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44F6" w:rsidR="00EF7EA3" w:rsidP="0023051A" w:rsidRDefault="00EF7EA3" w14:paraId="7A475F08" w14:textId="77777777">
      <w:pPr>
        <w:widowControl w:val="0"/>
        <w:spacing w:after="120" w:line="30" w:lineRule="atLeast"/>
        <w:jc w:val="center"/>
        <w:rPr>
          <w:rFonts w:ascii="Times New Roman" w:hAnsi="Times New Roman"/>
          <w:smallCaps/>
          <w:sz w:val="40"/>
          <w:szCs w:val="40"/>
        </w:rPr>
      </w:pPr>
      <w:r w:rsidRPr="008C44F6">
        <w:rPr>
          <w:rFonts w:ascii="Times New Roman" w:hAnsi="Times New Roman"/>
          <w:smallCaps/>
          <w:sz w:val="40"/>
          <w:szCs w:val="40"/>
        </w:rPr>
        <w:t>National Center for Education Statistics</w:t>
      </w:r>
    </w:p>
    <w:p w:rsidRPr="008C44F6" w:rsidR="00EF7EA3" w:rsidP="0023051A" w:rsidRDefault="00EF7EA3" w14:paraId="1F15BD74" w14:textId="77777777">
      <w:pPr>
        <w:widowControl w:val="0"/>
        <w:spacing w:after="120" w:line="30" w:lineRule="atLeast"/>
        <w:jc w:val="center"/>
        <w:rPr>
          <w:rFonts w:ascii="Times New Roman" w:hAnsi="Times New Roman"/>
          <w:smallCaps/>
          <w:sz w:val="40"/>
          <w:szCs w:val="40"/>
        </w:rPr>
      </w:pPr>
      <w:r w:rsidRPr="008C44F6">
        <w:rPr>
          <w:rFonts w:ascii="Times New Roman" w:hAnsi="Times New Roman"/>
          <w:smallCaps/>
          <w:sz w:val="40"/>
          <w:szCs w:val="40"/>
        </w:rPr>
        <w:t>National Assessment of Educational Progress</w:t>
      </w:r>
    </w:p>
    <w:p w:rsidRPr="008C44F6" w:rsidR="00EF7EA3" w:rsidP="0023051A" w:rsidRDefault="00EF7EA3" w14:paraId="2011D53F" w14:textId="77777777">
      <w:pPr>
        <w:widowControl w:val="0"/>
        <w:spacing w:after="120" w:line="30" w:lineRule="atLeast"/>
        <w:jc w:val="center"/>
        <w:rPr>
          <w:sz w:val="40"/>
          <w:szCs w:val="40"/>
        </w:rPr>
      </w:pPr>
    </w:p>
    <w:p w:rsidRPr="008C44F6" w:rsidR="00DC5047" w:rsidP="0023051A" w:rsidRDefault="00DC5047" w14:paraId="78561D0B" w14:textId="77777777">
      <w:pPr>
        <w:widowControl w:val="0"/>
        <w:spacing w:after="120" w:line="30" w:lineRule="atLeast"/>
        <w:jc w:val="center"/>
        <w:rPr>
          <w:rFonts w:ascii="Times New Roman" w:hAnsi="Times New Roman"/>
          <w:i/>
          <w:sz w:val="36"/>
          <w:szCs w:val="36"/>
        </w:rPr>
      </w:pPr>
    </w:p>
    <w:p w:rsidRPr="008C44F6" w:rsidR="00EF7EA3" w:rsidP="0023051A" w:rsidRDefault="00EF7EA3" w14:paraId="0270C7EA" w14:textId="77E3C6FF">
      <w:pPr>
        <w:widowControl w:val="0"/>
        <w:spacing w:after="120" w:line="30" w:lineRule="atLeast"/>
        <w:jc w:val="center"/>
        <w:rPr>
          <w:rFonts w:ascii="Times New Roman" w:hAnsi="Times New Roman"/>
          <w:i/>
          <w:sz w:val="36"/>
          <w:szCs w:val="36"/>
        </w:rPr>
      </w:pPr>
      <w:r w:rsidRPr="008C44F6">
        <w:rPr>
          <w:rFonts w:ascii="Times New Roman" w:hAnsi="Times New Roman"/>
          <w:i/>
          <w:sz w:val="36"/>
          <w:szCs w:val="36"/>
        </w:rPr>
        <w:t>Volume I</w:t>
      </w:r>
    </w:p>
    <w:p w:rsidRPr="008C44F6" w:rsidR="00EF7EA3" w:rsidP="0023051A" w:rsidRDefault="00EF7EA3" w14:paraId="3BB201EC" w14:textId="77777777">
      <w:pPr>
        <w:widowControl w:val="0"/>
        <w:spacing w:after="120" w:line="30" w:lineRule="atLeast"/>
        <w:jc w:val="center"/>
        <w:rPr>
          <w:rFonts w:ascii="Times New Roman" w:hAnsi="Times New Roman"/>
          <w:i/>
          <w:sz w:val="36"/>
          <w:szCs w:val="36"/>
        </w:rPr>
      </w:pPr>
      <w:r w:rsidRPr="008C44F6">
        <w:rPr>
          <w:rFonts w:ascii="Times New Roman" w:hAnsi="Times New Roman"/>
          <w:i/>
          <w:sz w:val="36"/>
          <w:szCs w:val="36"/>
        </w:rPr>
        <w:t>Supporting Statement</w:t>
      </w:r>
    </w:p>
    <w:p w:rsidRPr="008C44F6" w:rsidR="00EF7EA3" w:rsidP="0023051A" w:rsidRDefault="00EF7EA3" w14:paraId="2BCC7A07" w14:textId="77777777">
      <w:pPr>
        <w:widowControl w:val="0"/>
        <w:spacing w:after="120" w:line="30" w:lineRule="atLeast"/>
        <w:rPr>
          <w:rFonts w:ascii="Times New Roman" w:hAnsi="Times New Roman"/>
          <w:b/>
          <w:i/>
          <w:sz w:val="36"/>
        </w:rPr>
      </w:pPr>
    </w:p>
    <w:p w:rsidRPr="008C44F6" w:rsidR="004D2BC5" w:rsidP="004D2BC5" w:rsidRDefault="004D2BC5" w14:paraId="0E95DB38" w14:textId="77777777">
      <w:pPr>
        <w:spacing w:after="0" w:line="240" w:lineRule="auto"/>
        <w:jc w:val="center"/>
        <w:rPr>
          <w:rFonts w:ascii="Times New Roman" w:hAnsi="Times New Roman"/>
          <w:i/>
          <w:sz w:val="36"/>
          <w:szCs w:val="36"/>
        </w:rPr>
      </w:pPr>
      <w:r w:rsidRPr="008C44F6">
        <w:rPr>
          <w:rFonts w:ascii="Times New Roman" w:hAnsi="Times New Roman"/>
          <w:i/>
          <w:sz w:val="36"/>
          <w:szCs w:val="36"/>
        </w:rPr>
        <w:t>NAEP Survey Assessments Innovations Lab</w:t>
      </w:r>
      <w:r w:rsidRPr="008C44F6">
        <w:rPr>
          <w:rFonts w:ascii="Times New Roman" w:hAnsi="Times New Roman"/>
          <w:i/>
          <w:sz w:val="36"/>
        </w:rPr>
        <w:t xml:space="preserve"> (</w:t>
      </w:r>
      <w:r w:rsidRPr="008C44F6">
        <w:rPr>
          <w:rFonts w:ascii="Times New Roman" w:hAnsi="Times New Roman"/>
          <w:i/>
          <w:sz w:val="36"/>
          <w:szCs w:val="36"/>
        </w:rPr>
        <w:t>SAIL)</w:t>
      </w:r>
    </w:p>
    <w:p w:rsidRPr="008C44F6" w:rsidR="00382FD9" w:rsidP="004D2BC5" w:rsidRDefault="00382FD9" w14:paraId="16897E6E" w14:textId="77777777">
      <w:pPr>
        <w:spacing w:after="0" w:line="240" w:lineRule="auto"/>
        <w:jc w:val="center"/>
        <w:rPr>
          <w:rStyle w:val="normaltextrun1"/>
          <w:rFonts w:ascii="Times New Roman" w:hAnsi="Times New Roman"/>
          <w:i/>
          <w:sz w:val="36"/>
          <w:szCs w:val="36"/>
        </w:rPr>
      </w:pPr>
    </w:p>
    <w:p w:rsidRPr="008C44F6" w:rsidR="004D2BC5" w:rsidP="004D2BC5" w:rsidRDefault="004D2BC5" w14:paraId="6CB99419" w14:textId="5D7DBBFA">
      <w:pPr>
        <w:spacing w:after="0" w:line="240" w:lineRule="auto"/>
        <w:jc w:val="center"/>
        <w:rPr>
          <w:rStyle w:val="eop"/>
          <w:rFonts w:ascii="Times New Roman" w:hAnsi="Times New Roman"/>
          <w:i/>
          <w:sz w:val="36"/>
          <w:szCs w:val="36"/>
        </w:rPr>
      </w:pPr>
      <w:r w:rsidRPr="008C44F6">
        <w:rPr>
          <w:rStyle w:val="normaltextrun1"/>
          <w:rFonts w:ascii="Times New Roman" w:hAnsi="Times New Roman"/>
          <w:i/>
          <w:sz w:val="36"/>
          <w:szCs w:val="36"/>
        </w:rPr>
        <w:t>Test Assembly</w:t>
      </w:r>
      <w:r w:rsidRPr="008C44F6">
        <w:rPr>
          <w:rStyle w:val="eop"/>
          <w:rFonts w:ascii="Times New Roman" w:hAnsi="Times New Roman"/>
          <w:i/>
          <w:sz w:val="36"/>
          <w:szCs w:val="36"/>
        </w:rPr>
        <w:t> </w:t>
      </w:r>
      <w:r w:rsidR="00A96FF2">
        <w:rPr>
          <w:rStyle w:val="eop"/>
          <w:rFonts w:ascii="Times New Roman" w:hAnsi="Times New Roman"/>
          <w:i/>
          <w:sz w:val="36"/>
          <w:szCs w:val="36"/>
        </w:rPr>
        <w:t>Experimental Study</w:t>
      </w:r>
    </w:p>
    <w:p w:rsidRPr="008C44F6" w:rsidR="00EF7EA3" w:rsidP="0023051A" w:rsidRDefault="00EF7EA3" w14:paraId="2B123AFD" w14:textId="77777777">
      <w:pPr>
        <w:widowControl w:val="0"/>
        <w:spacing w:after="120" w:line="30" w:lineRule="atLeast"/>
        <w:jc w:val="center"/>
        <w:rPr>
          <w:sz w:val="36"/>
          <w:szCs w:val="36"/>
        </w:rPr>
      </w:pPr>
    </w:p>
    <w:p w:rsidRPr="008C44F6" w:rsidR="00DC5047" w:rsidP="0023051A" w:rsidRDefault="00DC5047" w14:paraId="39DC636F" w14:textId="77777777">
      <w:pPr>
        <w:spacing w:after="120" w:line="30" w:lineRule="atLeast"/>
        <w:jc w:val="center"/>
        <w:rPr>
          <w:rFonts w:ascii="Times New Roman" w:hAnsi="Times New Roman"/>
          <w:sz w:val="32"/>
          <w:szCs w:val="32"/>
        </w:rPr>
      </w:pPr>
    </w:p>
    <w:p w:rsidRPr="008C44F6" w:rsidR="00DC5047" w:rsidP="0023051A" w:rsidRDefault="00DC5047" w14:paraId="540A32AC" w14:textId="77777777">
      <w:pPr>
        <w:spacing w:after="120" w:line="30" w:lineRule="atLeast"/>
        <w:jc w:val="center"/>
        <w:rPr>
          <w:rFonts w:ascii="Times New Roman" w:hAnsi="Times New Roman"/>
          <w:sz w:val="32"/>
          <w:szCs w:val="32"/>
        </w:rPr>
      </w:pPr>
    </w:p>
    <w:p w:rsidRPr="008C44F6" w:rsidR="00EF7EA3" w:rsidP="0023051A" w:rsidRDefault="00EF7EA3" w14:paraId="756DB5AD" w14:textId="2918D7C5">
      <w:pPr>
        <w:spacing w:after="120" w:line="30" w:lineRule="atLeast"/>
        <w:jc w:val="center"/>
        <w:rPr>
          <w:rFonts w:ascii="Times New Roman" w:hAnsi="Times New Roman"/>
          <w:sz w:val="32"/>
          <w:szCs w:val="32"/>
        </w:rPr>
      </w:pPr>
      <w:r w:rsidRPr="008C44F6">
        <w:rPr>
          <w:rFonts w:ascii="Times New Roman" w:hAnsi="Times New Roman"/>
          <w:sz w:val="32"/>
          <w:szCs w:val="32"/>
        </w:rPr>
        <w:t>OMB#</w:t>
      </w:r>
      <w:r w:rsidRPr="008C44F6" w:rsidR="00CD2541">
        <w:rPr>
          <w:rFonts w:ascii="Times New Roman" w:hAnsi="Times New Roman"/>
          <w:sz w:val="32"/>
          <w:szCs w:val="32"/>
        </w:rPr>
        <w:t>1850-0803 v</w:t>
      </w:r>
      <w:r w:rsidRPr="008C44F6" w:rsidR="00945347">
        <w:rPr>
          <w:rFonts w:ascii="Times New Roman" w:hAnsi="Times New Roman"/>
          <w:sz w:val="32"/>
          <w:szCs w:val="32"/>
        </w:rPr>
        <w:t>.</w:t>
      </w:r>
      <w:r w:rsidRPr="008C44F6" w:rsidR="00425F87">
        <w:rPr>
          <w:rFonts w:ascii="Times New Roman" w:hAnsi="Times New Roman"/>
          <w:sz w:val="32"/>
          <w:szCs w:val="32"/>
        </w:rPr>
        <w:t>272</w:t>
      </w:r>
    </w:p>
    <w:p w:rsidRPr="008C44F6" w:rsidR="00EF7EA3" w:rsidP="0023051A" w:rsidRDefault="00EF7EA3" w14:paraId="7C671791" w14:textId="77777777">
      <w:pPr>
        <w:widowControl w:val="0"/>
        <w:spacing w:after="120" w:line="30" w:lineRule="atLeast"/>
        <w:jc w:val="center"/>
        <w:rPr>
          <w:i/>
          <w:sz w:val="40"/>
          <w:szCs w:val="40"/>
        </w:rPr>
      </w:pPr>
      <w:r w:rsidRPr="008C44F6">
        <w:rPr>
          <w:rFonts w:ascii="Times New Roman" w:hAnsi="Times New Roman"/>
          <w:noProof/>
          <w:sz w:val="24"/>
          <w:szCs w:val="24"/>
          <w:shd w:val="clear" w:color="auto" w:fill="E6E6E6"/>
        </w:rPr>
        <w:drawing>
          <wp:inline distT="0" distB="0" distL="0" distR="0" wp14:anchorId="11162869" wp14:editId="1A19014A">
            <wp:extent cx="1311910" cy="1494790"/>
            <wp:effectExtent l="19050" t="0" r="254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Pr="008C44F6" w:rsidR="00EF7EA3" w:rsidP="0023051A" w:rsidRDefault="00EF7EA3" w14:paraId="1A00114F" w14:textId="77777777">
      <w:pPr>
        <w:pStyle w:val="NormalWeb"/>
        <w:spacing w:before="0" w:beforeAutospacing="0" w:after="120" w:afterAutospacing="0" w:line="30" w:lineRule="atLeast"/>
      </w:pPr>
    </w:p>
    <w:p w:rsidRPr="008C44F6" w:rsidR="00DC5047" w:rsidP="0023051A" w:rsidRDefault="00DC5047" w14:paraId="76161EF1" w14:textId="77777777">
      <w:pPr>
        <w:spacing w:after="120" w:line="30" w:lineRule="atLeast"/>
        <w:jc w:val="center"/>
        <w:rPr>
          <w:rFonts w:ascii="Times New Roman" w:hAnsi="Times New Roman"/>
        </w:rPr>
      </w:pPr>
    </w:p>
    <w:p w:rsidRPr="008C44F6" w:rsidR="00DC5047" w:rsidP="0023051A" w:rsidRDefault="00DC5047" w14:paraId="30775B74" w14:textId="77777777">
      <w:pPr>
        <w:spacing w:after="120" w:line="30" w:lineRule="atLeast"/>
        <w:jc w:val="center"/>
        <w:rPr>
          <w:rFonts w:ascii="Times New Roman" w:hAnsi="Times New Roman"/>
        </w:rPr>
      </w:pPr>
    </w:p>
    <w:p w:rsidRPr="008C44F6" w:rsidR="00DC5047" w:rsidP="0023051A" w:rsidRDefault="00DC5047" w14:paraId="037369BF" w14:textId="77777777">
      <w:pPr>
        <w:spacing w:after="120" w:line="30" w:lineRule="atLeast"/>
        <w:jc w:val="center"/>
        <w:rPr>
          <w:rFonts w:ascii="Times New Roman" w:hAnsi="Times New Roman"/>
        </w:rPr>
      </w:pPr>
    </w:p>
    <w:p w:rsidRPr="008C44F6" w:rsidR="00DC5047" w:rsidP="0023051A" w:rsidRDefault="00DC5047" w14:paraId="5CF7E586" w14:textId="77777777">
      <w:pPr>
        <w:spacing w:after="120" w:line="30" w:lineRule="atLeast"/>
        <w:jc w:val="center"/>
        <w:rPr>
          <w:rFonts w:ascii="Times New Roman" w:hAnsi="Times New Roman"/>
        </w:rPr>
      </w:pPr>
    </w:p>
    <w:p w:rsidRPr="008C44F6" w:rsidR="0023051A" w:rsidP="0023051A" w:rsidRDefault="002D4503" w14:paraId="17721C22" w14:textId="634D5AC5">
      <w:pPr>
        <w:spacing w:after="120" w:line="30" w:lineRule="atLeast"/>
        <w:jc w:val="center"/>
        <w:rPr>
          <w:rFonts w:ascii="Times New Roman" w:hAnsi="Times New Roman"/>
        </w:rPr>
      </w:pPr>
      <w:r>
        <w:rPr>
          <w:rFonts w:ascii="Times New Roman" w:hAnsi="Times New Roman"/>
        </w:rPr>
        <w:t>September</w:t>
      </w:r>
      <w:r w:rsidRPr="008C44F6" w:rsidR="00C26797">
        <w:rPr>
          <w:rFonts w:ascii="Times New Roman" w:hAnsi="Times New Roman"/>
        </w:rPr>
        <w:t xml:space="preserve"> 2020</w:t>
      </w:r>
    </w:p>
    <w:p w:rsidRPr="008C44F6" w:rsidR="0023051A" w:rsidRDefault="0023051A" w14:paraId="3BC8D12B" w14:textId="115ACFD3">
      <w:pPr>
        <w:spacing w:after="0" w:line="240" w:lineRule="auto"/>
        <w:rPr>
          <w:rFonts w:ascii="Times New Roman" w:hAnsi="Times New Roman"/>
        </w:rPr>
      </w:pPr>
    </w:p>
    <w:p w:rsidRPr="008C44F6" w:rsidR="00D3233D" w:rsidRDefault="00D3233D" w14:paraId="74ED37A2" w14:textId="4B7C35D7">
      <w:pPr>
        <w:pStyle w:val="TOCHeading"/>
        <w:rPr>
          <w:rFonts w:asciiTheme="minorHAnsi" w:hAnsiTheme="minorHAnsi" w:eastAsiaTheme="minorEastAsia" w:cstheme="minorBidi"/>
          <w:color w:val="auto"/>
        </w:rPr>
      </w:pPr>
    </w:p>
    <w:sdt>
      <w:sdtPr>
        <w:rPr>
          <w:b/>
          <w:bCs/>
          <w:shd w:val="clear" w:color="auto" w:fill="E6E6E6"/>
        </w:rPr>
        <w:id w:val="-445319968"/>
        <w:docPartObj>
          <w:docPartGallery w:val="Table of Contents"/>
          <w:docPartUnique/>
        </w:docPartObj>
      </w:sdtPr>
      <w:sdtEndPr>
        <w:rPr>
          <w:b w:val="0"/>
          <w:bCs w:val="0"/>
          <w:noProof/>
        </w:rPr>
      </w:sdtEndPr>
      <w:sdtContent>
        <w:p w:rsidRPr="008C44F6" w:rsidR="00657F18" w:rsidP="00D3233D" w:rsidRDefault="00657F18" w14:paraId="376E8FE8" w14:textId="5E260DD3">
          <w:pPr>
            <w:spacing w:after="0" w:line="240" w:lineRule="auto"/>
            <w:rPr>
              <w:sz w:val="40"/>
              <w:szCs w:val="40"/>
            </w:rPr>
          </w:pPr>
          <w:r w:rsidRPr="008C44F6">
            <w:rPr>
              <w:sz w:val="40"/>
              <w:szCs w:val="40"/>
            </w:rPr>
            <w:t>Table of Contents</w:t>
          </w:r>
        </w:p>
        <w:p w:rsidRPr="008C44F6" w:rsidR="009C479F" w:rsidRDefault="00657F18" w14:paraId="10DEB2ED" w14:textId="40C94628">
          <w:pPr>
            <w:pStyle w:val="TOC1"/>
            <w:rPr>
              <w:rFonts w:asciiTheme="minorHAnsi" w:hAnsiTheme="minorHAnsi" w:eastAsiaTheme="minorEastAsia" w:cstheme="minorBidi"/>
              <w:noProof/>
              <w:sz w:val="24"/>
              <w:szCs w:val="24"/>
            </w:rPr>
          </w:pPr>
          <w:r w:rsidRPr="008C44F6">
            <w:rPr>
              <w:shd w:val="clear" w:color="auto" w:fill="E6E6E6"/>
            </w:rPr>
            <w:lastRenderedPageBreak/>
            <w:fldChar w:fldCharType="begin"/>
          </w:r>
          <w:r w:rsidRPr="008C44F6">
            <w:instrText xml:space="preserve"> TOC \o "1-3" \h \z \u </w:instrText>
          </w:r>
          <w:r w:rsidRPr="008C44F6">
            <w:rPr>
              <w:shd w:val="clear" w:color="auto" w:fill="E6E6E6"/>
            </w:rPr>
            <w:fldChar w:fldCharType="separate"/>
          </w:r>
          <w:hyperlink w:history="1" w:anchor="_Toc50551991">
            <w:r w:rsidRPr="008C44F6" w:rsidR="009C479F">
              <w:rPr>
                <w:rStyle w:val="Hyperlink"/>
                <w:noProof/>
                <w:color w:val="auto"/>
              </w:rPr>
              <w:t>1)</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Submittal-Related Information</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_Toc50551991 \h </w:instrText>
            </w:r>
            <w:r w:rsidRPr="008C44F6" w:rsidR="009C479F">
              <w:rPr>
                <w:noProof/>
                <w:webHidden/>
              </w:rPr>
            </w:r>
            <w:r w:rsidRPr="008C44F6" w:rsidR="009C479F">
              <w:rPr>
                <w:noProof/>
                <w:webHidden/>
              </w:rPr>
              <w:fldChar w:fldCharType="separate"/>
            </w:r>
            <w:r w:rsidRPr="008C44F6" w:rsidR="009C479F">
              <w:rPr>
                <w:noProof/>
                <w:webHidden/>
              </w:rPr>
              <w:t>3</w:t>
            </w:r>
            <w:r w:rsidRPr="008C44F6" w:rsidR="009C479F">
              <w:rPr>
                <w:noProof/>
                <w:webHidden/>
              </w:rPr>
              <w:fldChar w:fldCharType="end"/>
            </w:r>
          </w:hyperlink>
        </w:p>
        <w:p w:rsidRPr="008C44F6" w:rsidR="009C479F" w:rsidRDefault="004132B6" w14:paraId="4A82F2E2" w14:textId="6165FB0A">
          <w:pPr>
            <w:pStyle w:val="TOC1"/>
            <w:rPr>
              <w:rFonts w:asciiTheme="minorHAnsi" w:hAnsiTheme="minorHAnsi" w:eastAsiaTheme="minorEastAsia" w:cstheme="minorBidi"/>
              <w:noProof/>
              <w:sz w:val="24"/>
              <w:szCs w:val="24"/>
            </w:rPr>
          </w:pPr>
          <w:hyperlink w:history="1" w:anchor="_Toc50551992">
            <w:r w:rsidRPr="008C44F6" w:rsidR="009C479F">
              <w:rPr>
                <w:rStyle w:val="Hyperlink"/>
                <w:noProof/>
                <w:color w:val="auto"/>
              </w:rPr>
              <w:t>2)</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Background and Study Rationale</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_Toc50551992 \h </w:instrText>
            </w:r>
            <w:r w:rsidRPr="008C44F6" w:rsidR="009C479F">
              <w:rPr>
                <w:noProof/>
                <w:webHidden/>
              </w:rPr>
            </w:r>
            <w:r w:rsidRPr="008C44F6" w:rsidR="009C479F">
              <w:rPr>
                <w:noProof/>
                <w:webHidden/>
              </w:rPr>
              <w:fldChar w:fldCharType="separate"/>
            </w:r>
            <w:r w:rsidRPr="008C44F6" w:rsidR="009C479F">
              <w:rPr>
                <w:noProof/>
                <w:webHidden/>
              </w:rPr>
              <w:t>3</w:t>
            </w:r>
            <w:r w:rsidRPr="008C44F6" w:rsidR="009C479F">
              <w:rPr>
                <w:noProof/>
                <w:webHidden/>
              </w:rPr>
              <w:fldChar w:fldCharType="end"/>
            </w:r>
          </w:hyperlink>
        </w:p>
        <w:p w:rsidRPr="008C44F6" w:rsidR="009C479F" w:rsidRDefault="004132B6" w14:paraId="1CAC9834" w14:textId="31B270F5">
          <w:pPr>
            <w:pStyle w:val="TOC1"/>
            <w:rPr>
              <w:rFonts w:asciiTheme="minorHAnsi" w:hAnsiTheme="minorHAnsi" w:eastAsiaTheme="minorEastAsia" w:cstheme="minorBidi"/>
              <w:noProof/>
              <w:sz w:val="24"/>
              <w:szCs w:val="24"/>
            </w:rPr>
          </w:pPr>
          <w:hyperlink w:history="1" w:anchor="_Toc50551993">
            <w:r w:rsidRPr="008C44F6" w:rsidR="009C479F">
              <w:rPr>
                <w:rStyle w:val="Hyperlink"/>
                <w:noProof/>
                <w:color w:val="auto"/>
              </w:rPr>
              <w:t>3)</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Recruitment and Data Collection</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_Toc50551993 \h </w:instrText>
            </w:r>
            <w:r w:rsidRPr="008C44F6" w:rsidR="009C479F">
              <w:rPr>
                <w:noProof/>
                <w:webHidden/>
              </w:rPr>
            </w:r>
            <w:r w:rsidRPr="008C44F6" w:rsidR="009C479F">
              <w:rPr>
                <w:noProof/>
                <w:webHidden/>
              </w:rPr>
              <w:fldChar w:fldCharType="separate"/>
            </w:r>
            <w:r w:rsidRPr="008C44F6" w:rsidR="009C479F">
              <w:rPr>
                <w:noProof/>
                <w:webHidden/>
              </w:rPr>
              <w:t>6</w:t>
            </w:r>
            <w:r w:rsidRPr="008C44F6" w:rsidR="009C479F">
              <w:rPr>
                <w:noProof/>
                <w:webHidden/>
              </w:rPr>
              <w:fldChar w:fldCharType="end"/>
            </w:r>
          </w:hyperlink>
        </w:p>
        <w:p w:rsidRPr="008C44F6" w:rsidR="009C479F" w:rsidRDefault="004132B6" w14:paraId="2457BD09" w14:textId="68D619AB">
          <w:pPr>
            <w:pStyle w:val="TOC1"/>
            <w:rPr>
              <w:rFonts w:asciiTheme="minorHAnsi" w:hAnsiTheme="minorHAnsi" w:eastAsiaTheme="minorEastAsia" w:cstheme="minorBidi"/>
              <w:noProof/>
              <w:sz w:val="24"/>
              <w:szCs w:val="24"/>
            </w:rPr>
          </w:pPr>
          <w:hyperlink w:history="1" w:anchor="_Toc50551994">
            <w:r w:rsidRPr="008C44F6" w:rsidR="009C479F">
              <w:rPr>
                <w:rStyle w:val="Hyperlink"/>
                <w:noProof/>
                <w:color w:val="auto"/>
              </w:rPr>
              <w:t>4)</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Consultations Outside the Agency</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_Toc50551994 \h </w:instrText>
            </w:r>
            <w:r w:rsidRPr="008C44F6" w:rsidR="009C479F">
              <w:rPr>
                <w:noProof/>
                <w:webHidden/>
              </w:rPr>
            </w:r>
            <w:r w:rsidRPr="008C44F6" w:rsidR="009C479F">
              <w:rPr>
                <w:noProof/>
                <w:webHidden/>
              </w:rPr>
              <w:fldChar w:fldCharType="separate"/>
            </w:r>
            <w:r w:rsidRPr="008C44F6" w:rsidR="009C479F">
              <w:rPr>
                <w:noProof/>
                <w:webHidden/>
              </w:rPr>
              <w:t>7</w:t>
            </w:r>
            <w:r w:rsidRPr="008C44F6" w:rsidR="009C479F">
              <w:rPr>
                <w:noProof/>
                <w:webHidden/>
              </w:rPr>
              <w:fldChar w:fldCharType="end"/>
            </w:r>
          </w:hyperlink>
        </w:p>
        <w:p w:rsidRPr="008C44F6" w:rsidR="009C479F" w:rsidRDefault="004132B6" w14:paraId="54FBDA4F" w14:textId="592B8655">
          <w:pPr>
            <w:pStyle w:val="TOC1"/>
            <w:rPr>
              <w:rFonts w:asciiTheme="minorHAnsi" w:hAnsiTheme="minorHAnsi" w:eastAsiaTheme="minorEastAsia" w:cstheme="minorBidi"/>
              <w:noProof/>
              <w:sz w:val="24"/>
              <w:szCs w:val="24"/>
            </w:rPr>
          </w:pPr>
          <w:hyperlink w:history="1" w:anchor="_Toc50551995">
            <w:r w:rsidRPr="008C44F6" w:rsidR="009C479F">
              <w:rPr>
                <w:rStyle w:val="Hyperlink"/>
                <w:noProof/>
                <w:color w:val="auto"/>
              </w:rPr>
              <w:t>5)</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Justification for Sensitive Questions</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_Toc50551995 \h </w:instrText>
            </w:r>
            <w:r w:rsidRPr="008C44F6" w:rsidR="009C479F">
              <w:rPr>
                <w:noProof/>
                <w:webHidden/>
              </w:rPr>
            </w:r>
            <w:r w:rsidRPr="008C44F6" w:rsidR="009C479F">
              <w:rPr>
                <w:noProof/>
                <w:webHidden/>
              </w:rPr>
              <w:fldChar w:fldCharType="separate"/>
            </w:r>
            <w:r w:rsidRPr="008C44F6" w:rsidR="009C479F">
              <w:rPr>
                <w:noProof/>
                <w:webHidden/>
              </w:rPr>
              <w:t>7</w:t>
            </w:r>
            <w:r w:rsidRPr="008C44F6" w:rsidR="009C479F">
              <w:rPr>
                <w:noProof/>
                <w:webHidden/>
              </w:rPr>
              <w:fldChar w:fldCharType="end"/>
            </w:r>
          </w:hyperlink>
        </w:p>
        <w:p w:rsidRPr="008C44F6" w:rsidR="009C479F" w:rsidRDefault="004132B6" w14:paraId="5CF2F2F2" w14:textId="3A71562E">
          <w:pPr>
            <w:pStyle w:val="TOC1"/>
            <w:rPr>
              <w:rFonts w:asciiTheme="minorHAnsi" w:hAnsiTheme="minorHAnsi" w:eastAsiaTheme="minorEastAsia" w:cstheme="minorBidi"/>
              <w:noProof/>
              <w:sz w:val="24"/>
              <w:szCs w:val="24"/>
            </w:rPr>
          </w:pPr>
          <w:hyperlink w:history="1" w:anchor="_Toc50551996">
            <w:r w:rsidRPr="008C44F6" w:rsidR="009C479F">
              <w:rPr>
                <w:rStyle w:val="Hyperlink"/>
                <w:noProof/>
                <w:color w:val="auto"/>
              </w:rPr>
              <w:t>6)</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Paying Respondents</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_Toc50551996 \h </w:instrText>
            </w:r>
            <w:r w:rsidRPr="008C44F6" w:rsidR="009C479F">
              <w:rPr>
                <w:noProof/>
                <w:webHidden/>
              </w:rPr>
            </w:r>
            <w:r w:rsidRPr="008C44F6" w:rsidR="009C479F">
              <w:rPr>
                <w:noProof/>
                <w:webHidden/>
              </w:rPr>
              <w:fldChar w:fldCharType="separate"/>
            </w:r>
            <w:r w:rsidRPr="008C44F6" w:rsidR="009C479F">
              <w:rPr>
                <w:noProof/>
                <w:webHidden/>
              </w:rPr>
              <w:t>7</w:t>
            </w:r>
            <w:r w:rsidRPr="008C44F6" w:rsidR="009C479F">
              <w:rPr>
                <w:noProof/>
                <w:webHidden/>
              </w:rPr>
              <w:fldChar w:fldCharType="end"/>
            </w:r>
          </w:hyperlink>
        </w:p>
        <w:p w:rsidRPr="008C44F6" w:rsidR="009C479F" w:rsidRDefault="004132B6" w14:paraId="6F5F1D7B" w14:textId="5C1655CC">
          <w:pPr>
            <w:pStyle w:val="TOC1"/>
            <w:rPr>
              <w:rFonts w:asciiTheme="minorHAnsi" w:hAnsiTheme="minorHAnsi" w:eastAsiaTheme="minorEastAsia" w:cstheme="minorBidi"/>
              <w:noProof/>
              <w:sz w:val="24"/>
              <w:szCs w:val="24"/>
            </w:rPr>
          </w:pPr>
          <w:hyperlink w:history="1" w:anchor="_Toc50551997">
            <w:r w:rsidRPr="008C44F6" w:rsidR="009C479F">
              <w:rPr>
                <w:rStyle w:val="Hyperlink"/>
                <w:noProof/>
                <w:color w:val="auto"/>
              </w:rPr>
              <w:t>7)</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Assurance of Confidentiality</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_Toc50551997 \h </w:instrText>
            </w:r>
            <w:r w:rsidRPr="008C44F6" w:rsidR="009C479F">
              <w:rPr>
                <w:noProof/>
                <w:webHidden/>
              </w:rPr>
            </w:r>
            <w:r w:rsidRPr="008C44F6" w:rsidR="009C479F">
              <w:rPr>
                <w:noProof/>
                <w:webHidden/>
              </w:rPr>
              <w:fldChar w:fldCharType="separate"/>
            </w:r>
            <w:r w:rsidRPr="008C44F6" w:rsidR="009C479F">
              <w:rPr>
                <w:noProof/>
                <w:webHidden/>
              </w:rPr>
              <w:t>8</w:t>
            </w:r>
            <w:r w:rsidRPr="008C44F6" w:rsidR="009C479F">
              <w:rPr>
                <w:noProof/>
                <w:webHidden/>
              </w:rPr>
              <w:fldChar w:fldCharType="end"/>
            </w:r>
          </w:hyperlink>
        </w:p>
        <w:p w:rsidRPr="008C44F6" w:rsidR="009C479F" w:rsidRDefault="004132B6" w14:paraId="2EFAE348" w14:textId="2F65AD01">
          <w:pPr>
            <w:pStyle w:val="TOC1"/>
            <w:rPr>
              <w:rFonts w:asciiTheme="minorHAnsi" w:hAnsiTheme="minorHAnsi" w:eastAsiaTheme="minorEastAsia" w:cstheme="minorBidi"/>
              <w:noProof/>
              <w:sz w:val="24"/>
              <w:szCs w:val="24"/>
            </w:rPr>
          </w:pPr>
          <w:hyperlink w:history="1" w:anchor="_Toc50551998">
            <w:r w:rsidRPr="008C44F6" w:rsidR="009C479F">
              <w:rPr>
                <w:rStyle w:val="Hyperlink"/>
                <w:noProof/>
                <w:color w:val="auto"/>
              </w:rPr>
              <w:t>8)</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Estimate of Hourly Burden</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_Toc50551998 \h </w:instrText>
            </w:r>
            <w:r w:rsidRPr="008C44F6" w:rsidR="009C479F">
              <w:rPr>
                <w:noProof/>
                <w:webHidden/>
              </w:rPr>
            </w:r>
            <w:r w:rsidRPr="008C44F6" w:rsidR="009C479F">
              <w:rPr>
                <w:noProof/>
                <w:webHidden/>
              </w:rPr>
              <w:fldChar w:fldCharType="separate"/>
            </w:r>
            <w:r w:rsidRPr="008C44F6" w:rsidR="009C479F">
              <w:rPr>
                <w:noProof/>
                <w:webHidden/>
              </w:rPr>
              <w:t>9</w:t>
            </w:r>
            <w:r w:rsidRPr="008C44F6" w:rsidR="009C479F">
              <w:rPr>
                <w:noProof/>
                <w:webHidden/>
              </w:rPr>
              <w:fldChar w:fldCharType="end"/>
            </w:r>
          </w:hyperlink>
        </w:p>
        <w:p w:rsidRPr="008C44F6" w:rsidR="009C479F" w:rsidRDefault="004132B6" w14:paraId="69EE14B3" w14:textId="01E10C0A">
          <w:pPr>
            <w:pStyle w:val="TOC1"/>
            <w:rPr>
              <w:rFonts w:asciiTheme="minorHAnsi" w:hAnsiTheme="minorHAnsi" w:eastAsiaTheme="minorEastAsia" w:cstheme="minorBidi"/>
              <w:noProof/>
              <w:sz w:val="24"/>
              <w:szCs w:val="24"/>
            </w:rPr>
          </w:pPr>
          <w:hyperlink w:history="1" w:anchor="_Toc50551999">
            <w:r w:rsidRPr="008C44F6" w:rsidR="009C479F">
              <w:rPr>
                <w:rStyle w:val="Hyperlink"/>
                <w:noProof/>
                <w:color w:val="auto"/>
              </w:rPr>
              <w:t>9)</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Costs to Federal Government</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_Toc50551999 \h </w:instrText>
            </w:r>
            <w:r w:rsidRPr="008C44F6" w:rsidR="009C479F">
              <w:rPr>
                <w:noProof/>
                <w:webHidden/>
              </w:rPr>
            </w:r>
            <w:r w:rsidRPr="008C44F6" w:rsidR="009C479F">
              <w:rPr>
                <w:noProof/>
                <w:webHidden/>
              </w:rPr>
              <w:fldChar w:fldCharType="separate"/>
            </w:r>
            <w:r w:rsidRPr="008C44F6" w:rsidR="009C479F">
              <w:rPr>
                <w:noProof/>
                <w:webHidden/>
              </w:rPr>
              <w:t>10</w:t>
            </w:r>
            <w:r w:rsidRPr="008C44F6" w:rsidR="009C479F">
              <w:rPr>
                <w:noProof/>
                <w:webHidden/>
              </w:rPr>
              <w:fldChar w:fldCharType="end"/>
            </w:r>
          </w:hyperlink>
        </w:p>
        <w:p w:rsidRPr="008C44F6" w:rsidR="009C479F" w:rsidRDefault="004132B6" w14:paraId="6D9D052B" w14:textId="2E4AAD0B">
          <w:pPr>
            <w:pStyle w:val="TOC1"/>
            <w:rPr>
              <w:rFonts w:asciiTheme="minorHAnsi" w:hAnsiTheme="minorHAnsi" w:eastAsiaTheme="minorEastAsia" w:cstheme="minorBidi"/>
              <w:noProof/>
              <w:sz w:val="24"/>
              <w:szCs w:val="24"/>
            </w:rPr>
          </w:pPr>
          <w:hyperlink w:history="1" w:anchor="_Toc50552000">
            <w:r w:rsidRPr="008C44F6" w:rsidR="009C479F">
              <w:rPr>
                <w:rStyle w:val="Hyperlink"/>
                <w:noProof/>
                <w:color w:val="auto"/>
              </w:rPr>
              <w:t>10)</w:t>
            </w:r>
            <w:r w:rsidRPr="008C44F6" w:rsidR="009C479F">
              <w:rPr>
                <w:rFonts w:asciiTheme="minorHAnsi" w:hAnsiTheme="minorHAnsi" w:eastAsiaTheme="minorEastAsia" w:cstheme="minorBidi"/>
                <w:noProof/>
                <w:sz w:val="24"/>
                <w:szCs w:val="24"/>
              </w:rPr>
              <w:tab/>
            </w:r>
            <w:r w:rsidRPr="008C44F6" w:rsidR="009C479F">
              <w:rPr>
                <w:rStyle w:val="Hyperlink"/>
                <w:noProof/>
                <w:color w:val="auto"/>
              </w:rPr>
              <w:t>Project Schedule</w:t>
            </w:r>
            <w:r w:rsidRPr="008C44F6" w:rsidR="009C479F">
              <w:rPr>
                <w:noProof/>
                <w:webHidden/>
              </w:rPr>
              <w:tab/>
            </w:r>
            <w:r w:rsidRPr="008C44F6" w:rsidR="009C479F">
              <w:rPr>
                <w:noProof/>
                <w:webHidden/>
              </w:rPr>
              <w:fldChar w:fldCharType="begin"/>
            </w:r>
            <w:r w:rsidRPr="008C44F6" w:rsidR="009C479F">
              <w:rPr>
                <w:noProof/>
                <w:webHidden/>
              </w:rPr>
              <w:instrText xml:space="preserve"> PAGEREF _Toc50552000 \h </w:instrText>
            </w:r>
            <w:r w:rsidRPr="008C44F6" w:rsidR="009C479F">
              <w:rPr>
                <w:noProof/>
                <w:webHidden/>
              </w:rPr>
            </w:r>
            <w:r w:rsidRPr="008C44F6" w:rsidR="009C479F">
              <w:rPr>
                <w:noProof/>
                <w:webHidden/>
              </w:rPr>
              <w:fldChar w:fldCharType="separate"/>
            </w:r>
            <w:r w:rsidRPr="008C44F6" w:rsidR="009C479F">
              <w:rPr>
                <w:noProof/>
                <w:webHidden/>
              </w:rPr>
              <w:t>10</w:t>
            </w:r>
            <w:r w:rsidRPr="008C44F6" w:rsidR="009C479F">
              <w:rPr>
                <w:noProof/>
                <w:webHidden/>
              </w:rPr>
              <w:fldChar w:fldCharType="end"/>
            </w:r>
          </w:hyperlink>
        </w:p>
        <w:p w:rsidRPr="008C44F6" w:rsidR="00657F18" w:rsidRDefault="00657F18" w14:paraId="279397F1" w14:textId="3BDC4346">
          <w:r w:rsidRPr="008C44F6">
            <w:rPr>
              <w:b/>
              <w:bCs/>
              <w:noProof/>
              <w:shd w:val="clear" w:color="auto" w:fill="E6E6E6"/>
            </w:rPr>
            <w:fldChar w:fldCharType="end"/>
          </w:r>
        </w:p>
      </w:sdtContent>
    </w:sdt>
    <w:p w:rsidRPr="008C44F6" w:rsidR="00657F18" w:rsidP="622D0FF3" w:rsidRDefault="00657F18" w14:paraId="6B03B2B4" w14:textId="7209849D">
      <w:pPr>
        <w:pStyle w:val="TOCHeading"/>
        <w:spacing w:before="0" w:line="240" w:lineRule="auto"/>
        <w:rPr>
          <w:rFonts w:asciiTheme="minorHAnsi" w:hAnsiTheme="minorHAnsi" w:eastAsiaTheme="majorEastAsia" w:cstheme="majorBidi"/>
          <w:b w:val="0"/>
          <w:bCs w:val="0"/>
          <w:color w:val="auto"/>
        </w:rPr>
      </w:pPr>
      <w:r w:rsidRPr="008C44F6">
        <w:rPr>
          <w:rFonts w:asciiTheme="minorHAnsi" w:hAnsiTheme="minorHAnsi" w:eastAsiaTheme="majorEastAsia" w:cstheme="majorBidi"/>
          <w:b w:val="0"/>
          <w:bCs w:val="0"/>
          <w:color w:val="auto"/>
        </w:rPr>
        <w:t>Attachments:</w:t>
      </w:r>
    </w:p>
    <w:p w:rsidRPr="008C44F6" w:rsidR="00657F18" w:rsidP="00657F18" w:rsidRDefault="00657F18" w14:paraId="07EB8729" w14:textId="61721737">
      <w:pPr>
        <w:pStyle w:val="TOCHeading"/>
        <w:spacing w:before="0" w:line="240" w:lineRule="auto"/>
        <w:rPr>
          <w:rFonts w:asciiTheme="minorHAnsi" w:hAnsiTheme="minorHAnsi" w:eastAsiaTheme="majorEastAsia" w:cstheme="majorBidi"/>
          <w:b w:val="0"/>
          <w:color w:val="auto"/>
          <w:sz w:val="22"/>
          <w:szCs w:val="22"/>
        </w:rPr>
      </w:pPr>
      <w:r w:rsidRPr="008C44F6">
        <w:rPr>
          <w:rFonts w:asciiTheme="minorHAnsi" w:hAnsiTheme="minorHAnsi" w:eastAsiaTheme="majorEastAsia" w:cstheme="majorBidi"/>
          <w:b w:val="0"/>
          <w:color w:val="auto"/>
          <w:sz w:val="22"/>
          <w:szCs w:val="22"/>
        </w:rPr>
        <w:t xml:space="preserve">Volume II – </w:t>
      </w:r>
      <w:r w:rsidRPr="008C44F6" w:rsidR="425E34E5">
        <w:rPr>
          <w:rFonts w:asciiTheme="minorHAnsi" w:hAnsiTheme="minorHAnsi" w:eastAsiaTheme="majorEastAsia" w:cstheme="majorBidi"/>
          <w:b w:val="0"/>
          <w:bCs w:val="0"/>
          <w:color w:val="auto"/>
          <w:sz w:val="22"/>
          <w:szCs w:val="22"/>
        </w:rPr>
        <w:t xml:space="preserve">Math Assessment and </w:t>
      </w:r>
      <w:r w:rsidRPr="008C44F6" w:rsidR="00475C51">
        <w:rPr>
          <w:rFonts w:asciiTheme="minorHAnsi" w:hAnsiTheme="minorHAnsi" w:eastAsiaTheme="majorEastAsia" w:cstheme="majorBidi"/>
          <w:b w:val="0"/>
          <w:color w:val="auto"/>
          <w:sz w:val="22"/>
          <w:szCs w:val="22"/>
        </w:rPr>
        <w:t xml:space="preserve">Survey </w:t>
      </w:r>
      <w:r w:rsidRPr="008C44F6" w:rsidR="425E34E5">
        <w:rPr>
          <w:rFonts w:asciiTheme="minorHAnsi" w:hAnsiTheme="minorHAnsi" w:eastAsiaTheme="majorEastAsia" w:cstheme="majorBidi"/>
          <w:b w:val="0"/>
          <w:bCs w:val="0"/>
          <w:color w:val="auto"/>
          <w:sz w:val="22"/>
          <w:szCs w:val="22"/>
        </w:rPr>
        <w:t>Item</w:t>
      </w:r>
      <w:r w:rsidRPr="008C44F6" w:rsidR="00475C51">
        <w:rPr>
          <w:rFonts w:asciiTheme="minorHAnsi" w:hAnsiTheme="minorHAnsi" w:eastAsiaTheme="majorEastAsia" w:cstheme="majorBidi"/>
          <w:b w:val="0"/>
          <w:color w:val="auto"/>
          <w:sz w:val="22"/>
          <w:szCs w:val="22"/>
        </w:rPr>
        <w:t xml:space="preserve"> Protocols</w:t>
      </w:r>
    </w:p>
    <w:p w:rsidRPr="008C44F6" w:rsidR="00657F18" w:rsidP="00657F18" w:rsidRDefault="00657F18" w14:paraId="71ACF101" w14:textId="0887F006">
      <w:pPr>
        <w:pStyle w:val="TOCHeading"/>
        <w:spacing w:before="0" w:line="240" w:lineRule="auto"/>
        <w:rPr>
          <w:rFonts w:asciiTheme="minorHAnsi" w:hAnsiTheme="minorHAnsi" w:eastAsiaTheme="majorEastAsia" w:cstheme="majorBidi"/>
          <w:b w:val="0"/>
          <w:color w:val="auto"/>
          <w:sz w:val="22"/>
          <w:szCs w:val="22"/>
        </w:rPr>
      </w:pPr>
      <w:r w:rsidRPr="008C44F6">
        <w:rPr>
          <w:rFonts w:asciiTheme="minorHAnsi" w:hAnsiTheme="minorHAnsi" w:eastAsiaTheme="majorEastAsia" w:cstheme="majorBidi"/>
          <w:b w:val="0"/>
          <w:color w:val="auto"/>
          <w:sz w:val="22"/>
          <w:szCs w:val="22"/>
        </w:rPr>
        <w:t>Appendices – Communication Materials</w:t>
      </w:r>
    </w:p>
    <w:p w:rsidRPr="008C44F6" w:rsidR="00B51171" w:rsidRDefault="00B51171" w14:paraId="674A83B9" w14:textId="1839D5F0">
      <w:pPr>
        <w:spacing w:after="0" w:line="240" w:lineRule="auto"/>
      </w:pPr>
      <w:r w:rsidRPr="008C44F6">
        <w:br w:type="page"/>
      </w:r>
    </w:p>
    <w:p w:rsidRPr="008C44F6" w:rsidR="009A1EA8" w:rsidP="0023051A" w:rsidRDefault="0005221F" w14:paraId="7A07F2EC" w14:textId="343B8D65">
      <w:pPr>
        <w:pStyle w:val="Heading1"/>
        <w:numPr>
          <w:ilvl w:val="0"/>
          <w:numId w:val="15"/>
        </w:numPr>
        <w:spacing w:before="0" w:after="120" w:line="30" w:lineRule="atLeast"/>
        <w:rPr>
          <w:rStyle w:val="IntenseEmphasis"/>
          <w:rFonts w:eastAsiaTheme="minorEastAsia"/>
          <w:i w:val="0"/>
          <w:iCs w:val="0"/>
          <w:color w:val="auto"/>
        </w:rPr>
      </w:pPr>
      <w:bookmarkStart w:name="_Toc41490569" w:id="0"/>
      <w:bookmarkStart w:name="_Toc50551991" w:id="1"/>
      <w:r w:rsidRPr="008C44F6">
        <w:rPr>
          <w:rStyle w:val="IntenseEmphasis"/>
          <w:rFonts w:eastAsiaTheme="minorEastAsia"/>
          <w:i w:val="0"/>
          <w:iCs w:val="0"/>
          <w:color w:val="auto"/>
        </w:rPr>
        <w:lastRenderedPageBreak/>
        <w:t>S</w:t>
      </w:r>
      <w:r w:rsidRPr="008C44F6" w:rsidR="009A1EA8">
        <w:rPr>
          <w:rStyle w:val="IntenseEmphasis"/>
          <w:rFonts w:eastAsiaTheme="minorEastAsia"/>
          <w:i w:val="0"/>
          <w:iCs w:val="0"/>
          <w:color w:val="auto"/>
        </w:rPr>
        <w:t>ubmittal-Related Information</w:t>
      </w:r>
      <w:bookmarkEnd w:id="0"/>
      <w:bookmarkEnd w:id="1"/>
    </w:p>
    <w:p w:rsidRPr="008C44F6" w:rsidR="00C908D8" w:rsidP="002869B0" w:rsidRDefault="00C908D8" w14:paraId="44B7AE06" w14:textId="43C1C2D0">
      <w:pPr>
        <w:spacing w:after="120"/>
        <w:rPr>
          <w:rStyle w:val="StyleTimesNewRoman"/>
          <w:rFonts w:ascii="Cambria" w:hAnsi="Cambria"/>
          <w:b/>
          <w:bCs/>
          <w:color w:val="auto"/>
          <w:kern w:val="32"/>
          <w:sz w:val="22"/>
        </w:rPr>
      </w:pPr>
      <w:r w:rsidRPr="008C44F6">
        <w:rPr>
          <w:rStyle w:val="StyleTimesNewRoman"/>
          <w:color w:val="auto"/>
          <w:sz w:val="22"/>
        </w:rPr>
        <w:t>This material is being submitted under the generic National Center for Education Statistics (NCES) clearance agreement (</w:t>
      </w:r>
      <w:r w:rsidRPr="008C44F6" w:rsidR="5D73D383">
        <w:rPr>
          <w:rStyle w:val="StyleTimesNewRoman"/>
          <w:color w:val="auto"/>
          <w:sz w:val="22"/>
        </w:rPr>
        <w:t>OMB#</w:t>
      </w:r>
      <w:r w:rsidRPr="008C44F6" w:rsidR="6D488150">
        <w:rPr>
          <w:rStyle w:val="StyleTimesNewRoman"/>
          <w:color w:val="auto"/>
          <w:sz w:val="22"/>
        </w:rPr>
        <w:t xml:space="preserve"> </w:t>
      </w:r>
      <w:r w:rsidRPr="008C44F6" w:rsidR="6D488150">
        <w:rPr>
          <w:rFonts w:cs="Calibri"/>
        </w:rPr>
        <w:t>1850-0</w:t>
      </w:r>
      <w:r w:rsidRPr="008C44F6" w:rsidR="00CD2541">
        <w:rPr>
          <w:rFonts w:cs="Calibri"/>
        </w:rPr>
        <w:t>803</w:t>
      </w:r>
      <w:r w:rsidRPr="008C44F6" w:rsidR="5D73D383">
        <w:rPr>
          <w:rStyle w:val="StyleTimesNewRoman"/>
          <w:color w:val="auto"/>
          <w:sz w:val="22"/>
        </w:rPr>
        <w:t>)</w:t>
      </w:r>
      <w:r w:rsidRPr="008C44F6">
        <w:rPr>
          <w:rStyle w:val="StyleTimesNewRoman"/>
          <w:b/>
          <w:bCs/>
          <w:color w:val="auto"/>
          <w:sz w:val="22"/>
        </w:rPr>
        <w:t>,</w:t>
      </w:r>
      <w:r w:rsidRPr="008C44F6">
        <w:rPr>
          <w:rStyle w:val="StyleTimesNewRoman"/>
          <w:color w:val="auto"/>
          <w:sz w:val="22"/>
        </w:rPr>
        <w:t xml:space="preserve"> which provides for NCES to conduct various procedures (such as pilot tests, cognitive interviews, and usability studies) to test new methodologies, question types, or delivery methods to improve survey and assessment instruments and procedures.</w:t>
      </w:r>
    </w:p>
    <w:p w:rsidRPr="008C44F6" w:rsidR="00200D10" w:rsidP="0023051A" w:rsidRDefault="27EE25D0" w14:paraId="66970700" w14:textId="77777777">
      <w:pPr>
        <w:pStyle w:val="Heading1"/>
        <w:numPr>
          <w:ilvl w:val="0"/>
          <w:numId w:val="15"/>
        </w:numPr>
        <w:spacing w:before="0" w:after="120" w:line="30" w:lineRule="atLeast"/>
        <w:rPr>
          <w:rStyle w:val="IntenseEmphasis"/>
          <w:rFonts w:eastAsiaTheme="minorEastAsia"/>
          <w:i w:val="0"/>
          <w:iCs w:val="0"/>
          <w:color w:val="auto"/>
        </w:rPr>
      </w:pPr>
      <w:bookmarkStart w:name="_Toc41490570" w:id="2"/>
      <w:bookmarkStart w:name="_Toc50551992" w:id="3"/>
      <w:r w:rsidRPr="008C44F6">
        <w:rPr>
          <w:rStyle w:val="IntenseEmphasis"/>
          <w:rFonts w:eastAsiaTheme="minorEastAsia"/>
          <w:i w:val="0"/>
          <w:iCs w:val="0"/>
          <w:color w:val="auto"/>
        </w:rPr>
        <w:t>Background and Study Rationale</w:t>
      </w:r>
      <w:bookmarkEnd w:id="2"/>
      <w:bookmarkEnd w:id="3"/>
    </w:p>
    <w:p w:rsidRPr="008C44F6" w:rsidR="004D2BC5" w:rsidP="004D2BC5" w:rsidRDefault="004D2BC5" w14:paraId="01F0551D" w14:textId="32266F80">
      <w:pPr>
        <w:rPr>
          <w:rStyle w:val="StyleTimesNewRoman"/>
          <w:color w:val="auto"/>
          <w:sz w:val="22"/>
        </w:rPr>
      </w:pPr>
      <w:r w:rsidRPr="008C44F6">
        <w:rPr>
          <w:rStyle w:val="StyleTimesNewRoman"/>
          <w:color w:val="auto"/>
          <w:sz w:val="22"/>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w:t>
      </w:r>
      <w:r w:rsidR="009168C2">
        <w:rPr>
          <w:rStyle w:val="StyleTimesNewRoman"/>
          <w:color w:val="auto"/>
          <w:sz w:val="22"/>
        </w:rPr>
        <w:t>conducted</w:t>
      </w:r>
      <w:r w:rsidRPr="008C44F6">
        <w:rPr>
          <w:rStyle w:val="StyleTimesNewRoman"/>
          <w:color w:val="auto"/>
          <w:sz w:val="22"/>
        </w:rPr>
        <w:t xml:space="preserve"> by NCES, part of the Institute </w:t>
      </w:r>
      <w:r w:rsidR="009168C2">
        <w:rPr>
          <w:rStyle w:val="StyleTimesNewRoman"/>
          <w:color w:val="auto"/>
          <w:sz w:val="22"/>
        </w:rPr>
        <w:t>of</w:t>
      </w:r>
      <w:r w:rsidRPr="008C44F6">
        <w:rPr>
          <w:rStyle w:val="StyleTimesNewRoman"/>
          <w:color w:val="auto"/>
          <w:sz w:val="22"/>
        </w:rPr>
        <w:t xml:space="preserve"> Education Sciences, in the U.S. Department of Education. NAEP’s primary purpose is to assess student achievement in the various subject areas and to also collect survey questionnaire (i.e., non-cognitive) data to provide context for the reporting and interpretation of assessment results.</w:t>
      </w:r>
    </w:p>
    <w:p w:rsidRPr="008C44F6" w:rsidR="004D2BC5" w:rsidP="4C2BE3A1" w:rsidRDefault="004D2BC5" w14:paraId="5968C785" w14:textId="4058825A">
      <w:pPr>
        <w:rPr>
          <w:rStyle w:val="StyleTimesNewRoman"/>
          <w:color w:val="auto"/>
          <w:sz w:val="22"/>
        </w:rPr>
      </w:pPr>
      <w:r w:rsidRPr="008C44F6">
        <w:rPr>
          <w:rStyle w:val="StyleTimesNewRoman"/>
          <w:color w:val="auto"/>
          <w:sz w:val="22"/>
        </w:rPr>
        <w:t xml:space="preserve">As part of NAEP’s development process, systems of delivery and assessment items are pretested on smaller numbers of respondents before they are administered to larger samples in pilot or operational administrations. The NAEP Survey Assessments Innovations Lab (SAIL) initiative is a research program set up to explore the potential value to NAEP of </w:t>
      </w:r>
      <w:r w:rsidRPr="008C44F6" w:rsidR="009519C5">
        <w:rPr>
          <w:rStyle w:val="StyleTimesNewRoman"/>
          <w:color w:val="auto"/>
          <w:sz w:val="22"/>
        </w:rPr>
        <w:t xml:space="preserve">conducting </w:t>
      </w:r>
      <w:r w:rsidRPr="008C44F6" w:rsidR="00C80254">
        <w:rPr>
          <w:rStyle w:val="StyleTimesNewRoman"/>
          <w:color w:val="auto"/>
          <w:sz w:val="22"/>
        </w:rPr>
        <w:t>design-related research studies to inform item development</w:t>
      </w:r>
      <w:r w:rsidRPr="008C44F6">
        <w:rPr>
          <w:rStyle w:val="StyleTimesNewRoman"/>
          <w:color w:val="auto"/>
          <w:sz w:val="22"/>
        </w:rPr>
        <w:t xml:space="preserve">. </w:t>
      </w:r>
    </w:p>
    <w:p w:rsidRPr="008C44F6" w:rsidR="00505F4F" w:rsidP="622D0FF3" w:rsidRDefault="3FD8C9CB" w14:paraId="2C9DF217" w14:textId="06F49B7A">
      <w:pPr>
        <w:rPr>
          <w:rFonts w:cs="Calibri"/>
        </w:rPr>
      </w:pPr>
      <w:r w:rsidRPr="008C44F6">
        <w:rPr>
          <w:rFonts w:cs="Calibri"/>
        </w:rPr>
        <w:t xml:space="preserve">Low test taking motivation has serious implications for the validity of test outcomes, particularly for </w:t>
      </w:r>
      <w:r w:rsidRPr="008C44F6" w:rsidR="003A0C2F">
        <w:rPr>
          <w:rFonts w:cs="Calibri"/>
        </w:rPr>
        <w:t xml:space="preserve">tests with low stakes for individuals </w:t>
      </w:r>
      <w:r w:rsidRPr="008C44F6">
        <w:rPr>
          <w:rFonts w:cs="Calibri"/>
        </w:rPr>
        <w:t>(i.e., no personal consequences for the test taker). Methods to minimize the occurrence of low test</w:t>
      </w:r>
      <w:r w:rsidRPr="008C44F6" w:rsidR="00893CED">
        <w:rPr>
          <w:rFonts w:cs="Calibri"/>
        </w:rPr>
        <w:t xml:space="preserve"> </w:t>
      </w:r>
      <w:r w:rsidRPr="008C44F6">
        <w:rPr>
          <w:rFonts w:cs="Calibri"/>
        </w:rPr>
        <w:t xml:space="preserve">taking motivation often require additional development and resources (e.g., technology-enhanced items, real time monitoring of response behaviors, payment incentives) that make their implementation challenging at scale. But what if there was a simpler method? We propose that test assembly (i.e., item order) could be a simpler method to increase test taking motivation as it would not require additional development of items or technology. </w:t>
      </w:r>
      <w:r w:rsidRPr="008C44F6" w:rsidR="00F76116">
        <w:rPr>
          <w:rFonts w:cs="Calibri"/>
        </w:rPr>
        <w:t xml:space="preserve">There are a variety of </w:t>
      </w:r>
      <w:r w:rsidRPr="008C44F6" w:rsidR="005E0032">
        <w:rPr>
          <w:rFonts w:cs="Calibri"/>
        </w:rPr>
        <w:t>test assembly strategies that could be utilized to address issues of low test-taking motivation</w:t>
      </w:r>
      <w:r w:rsidRPr="008C44F6" w:rsidR="00FB3A5E">
        <w:rPr>
          <w:rFonts w:cs="Calibri"/>
        </w:rPr>
        <w:t xml:space="preserve"> (e.g., organization based on item type, content area, or difficulty)</w:t>
      </w:r>
      <w:r w:rsidRPr="008C44F6" w:rsidR="005E0032">
        <w:rPr>
          <w:rFonts w:cs="Calibri"/>
        </w:rPr>
        <w:t>. However, there is still a need for foundational research that further specifies the existing theory of test</w:t>
      </w:r>
      <w:r w:rsidRPr="008C44F6" w:rsidR="00AA7968">
        <w:rPr>
          <w:rFonts w:cs="Calibri"/>
        </w:rPr>
        <w:t xml:space="preserve"> </w:t>
      </w:r>
      <w:r w:rsidRPr="008C44F6" w:rsidR="005E0032">
        <w:rPr>
          <w:rFonts w:cs="Calibri"/>
        </w:rPr>
        <w:t>taking motivation. In the Demands Capacity Model of test-taking motivation</w:t>
      </w:r>
      <w:r w:rsidRPr="008C44F6" w:rsidR="00FB3A5E">
        <w:rPr>
          <w:rFonts w:cs="Calibri"/>
        </w:rPr>
        <w:t xml:space="preserve"> (Wise &amp; Smith, 2011)</w:t>
      </w:r>
      <w:r w:rsidRPr="008C44F6" w:rsidR="005E0032">
        <w:rPr>
          <w:rFonts w:cs="Calibri"/>
        </w:rPr>
        <w:t xml:space="preserve">, there are two key sources of variation to predict whether or not motivated responding will occur at the item level. Item demands are related to the characteristics of the items (e.g., difficulty, position, format) that can cause perceived increases in the effort required to respond correctly. Student effort capacity is related to the characteristics of the students that impact their overall motivation to respond effortfully on a test and how that motivation may change as the test proceeds. </w:t>
      </w:r>
      <w:r w:rsidRPr="008C44F6" w:rsidR="00132857">
        <w:rPr>
          <w:rFonts w:cs="Calibri"/>
        </w:rPr>
        <w:t>Although there has been consistent research on test-taking motivation, much of that work has not specified what item and student characteristics are most relevant to test-taking motivation and how those characteristics impact the design of a test to promote motivated responding. Thus, a main goal of the proposed study is to provide evidence to further build the Demands Capacity Model</w:t>
      </w:r>
      <w:r w:rsidRPr="008C44F6" w:rsidR="00F0066D">
        <w:rPr>
          <w:rFonts w:cs="Calibri"/>
        </w:rPr>
        <w:t xml:space="preserve"> and inform test design decisions to promote motivated responding</w:t>
      </w:r>
      <w:r w:rsidRPr="008C44F6" w:rsidR="00132857">
        <w:rPr>
          <w:rFonts w:cs="Calibri"/>
        </w:rPr>
        <w:t xml:space="preserve">. </w:t>
      </w:r>
      <w:r w:rsidRPr="008C44F6" w:rsidR="00505F4F">
        <w:rPr>
          <w:rFonts w:cs="Calibri"/>
        </w:rPr>
        <w:t>Specifically, the proposed study will address the gap in knowledge of:</w:t>
      </w:r>
      <w:r w:rsidRPr="008C44F6">
        <w:rPr>
          <w:rFonts w:cs="Calibri"/>
        </w:rPr>
        <w:t xml:space="preserve"> </w:t>
      </w:r>
    </w:p>
    <w:p w:rsidRPr="008C44F6" w:rsidR="00505F4F" w:rsidP="00505F4F" w:rsidRDefault="00505F4F" w14:paraId="4FE23817" w14:textId="5153021F">
      <w:pPr>
        <w:pStyle w:val="ListParagraph"/>
        <w:numPr>
          <w:ilvl w:val="0"/>
          <w:numId w:val="31"/>
        </w:numPr>
        <w:rPr>
          <w:rFonts w:cs="Calibri"/>
        </w:rPr>
      </w:pPr>
      <w:r w:rsidRPr="008C44F6">
        <w:rPr>
          <w:rFonts w:cs="Calibri"/>
        </w:rPr>
        <w:t>H</w:t>
      </w:r>
      <w:r w:rsidRPr="008C44F6" w:rsidR="3FD8C9CB">
        <w:rPr>
          <w:rFonts w:cs="Calibri"/>
        </w:rPr>
        <w:t>ow does motivated responding vary for the same item when it occurs in different item positions</w:t>
      </w:r>
      <w:r w:rsidRPr="008C44F6">
        <w:rPr>
          <w:rFonts w:cs="Calibri"/>
        </w:rPr>
        <w:t>?</w:t>
      </w:r>
      <w:r w:rsidRPr="008C44F6" w:rsidR="3FD8C9CB">
        <w:rPr>
          <w:rFonts w:cs="Calibri"/>
        </w:rPr>
        <w:t xml:space="preserve"> </w:t>
      </w:r>
    </w:p>
    <w:p w:rsidRPr="008C44F6" w:rsidR="00505F4F" w:rsidP="00505F4F" w:rsidRDefault="00505F4F" w14:paraId="78853068" w14:textId="50333A3C">
      <w:pPr>
        <w:rPr>
          <w:rFonts w:cs="Calibri"/>
        </w:rPr>
      </w:pPr>
      <w:r w:rsidRPr="008C44F6">
        <w:rPr>
          <w:rFonts w:cs="Calibri"/>
        </w:rPr>
        <w:t xml:space="preserve">There is a rich literature on the impact of the same item occurring in different positions from the perspective of item difficulty parameters (e.g., </w:t>
      </w:r>
      <w:r w:rsidRPr="008C44F6" w:rsidR="00D61ABB">
        <w:rPr>
          <w:rFonts w:cs="Calibri"/>
        </w:rPr>
        <w:t>Borghans &amp; Schils, 2012; Debeer &amp; Janssen, 2013; Debeers et al., 2014; Meyers et al., 2008; Zamarro et al., 2019</w:t>
      </w:r>
      <w:r w:rsidRPr="008C44F6">
        <w:rPr>
          <w:rFonts w:cs="Calibri"/>
        </w:rPr>
        <w:t>). These studies have found that when the same item occurs earlier in a test it is generally easier than when it occurs later in a test. This finding has been attributed to reductions in motivation and/or fatigue, but there is a lack of research that has directly tested this hypothesis. In addition, while item type and format have been proposed to impact this relationship between item position and motivated responding (</w:t>
      </w:r>
      <w:r w:rsidRPr="008C44F6" w:rsidR="00D61ABB">
        <w:rPr>
          <w:rFonts w:cs="Calibri"/>
        </w:rPr>
        <w:t xml:space="preserve">Weirich, Hecht, Penk, </w:t>
      </w:r>
      <w:r w:rsidRPr="008C44F6" w:rsidR="00D61ABB">
        <w:rPr>
          <w:rFonts w:cs="Calibri"/>
        </w:rPr>
        <w:lastRenderedPageBreak/>
        <w:t>Roppelt, &amp; Böhme, 2017</w:t>
      </w:r>
      <w:r w:rsidRPr="008C44F6">
        <w:rPr>
          <w:rFonts w:cs="Calibri"/>
        </w:rPr>
        <w:t>), there has only been one study to actually test this hypothesis (</w:t>
      </w:r>
      <w:r w:rsidRPr="008C44F6" w:rsidR="00D61ABB">
        <w:rPr>
          <w:rFonts w:cs="Calibri"/>
        </w:rPr>
        <w:t>Kingston &amp; Dorans, 1984</w:t>
      </w:r>
      <w:r w:rsidRPr="008C44F6">
        <w:rPr>
          <w:rFonts w:cs="Calibri"/>
        </w:rPr>
        <w:t xml:space="preserve">). However, this type of research has not been expanded to new innovative item formats (e.g., technology-enhanced items). Thus, we plan to also explore the interaction of item format and position on motivated responding in the proposed study. This analysis could reveal whether some item formats are more or less resilient to </w:t>
      </w:r>
      <w:r w:rsidRPr="008C44F6" w:rsidR="0009173D">
        <w:rPr>
          <w:rFonts w:cs="Calibri"/>
        </w:rPr>
        <w:t xml:space="preserve">item position effects. </w:t>
      </w:r>
    </w:p>
    <w:p w:rsidRPr="008C44F6" w:rsidR="00505F4F" w:rsidP="00505F4F" w:rsidRDefault="00505F4F" w14:paraId="5F6EC1A3" w14:textId="2EE44D3B">
      <w:pPr>
        <w:pStyle w:val="ListParagraph"/>
        <w:numPr>
          <w:ilvl w:val="0"/>
          <w:numId w:val="31"/>
        </w:numPr>
        <w:rPr>
          <w:rFonts w:cs="Calibri"/>
        </w:rPr>
      </w:pPr>
      <w:r w:rsidRPr="008C44F6">
        <w:rPr>
          <w:rFonts w:cs="Calibri"/>
        </w:rPr>
        <w:t>H</w:t>
      </w:r>
      <w:r w:rsidRPr="008C44F6" w:rsidR="3FD8C9CB">
        <w:rPr>
          <w:rFonts w:cs="Calibri"/>
        </w:rPr>
        <w:t xml:space="preserve">ow does </w:t>
      </w:r>
      <w:r w:rsidRPr="008C44F6" w:rsidR="4D716A39">
        <w:rPr>
          <w:rFonts w:cs="Calibri"/>
        </w:rPr>
        <w:t>motivated responding vary for the same block when it occurs in different positions</w:t>
      </w:r>
      <w:r w:rsidRPr="008C44F6">
        <w:rPr>
          <w:rFonts w:cs="Calibri"/>
        </w:rPr>
        <w:t>?</w:t>
      </w:r>
      <w:r w:rsidRPr="008C44F6" w:rsidR="3FD8C9CB">
        <w:rPr>
          <w:rFonts w:cs="Calibri"/>
        </w:rPr>
        <w:t xml:space="preserve"> </w:t>
      </w:r>
    </w:p>
    <w:p w:rsidRPr="008C44F6" w:rsidR="00E6367E" w:rsidP="00E6367E" w:rsidRDefault="00E6367E" w14:paraId="0773A781" w14:textId="1203B633">
      <w:pPr>
        <w:rPr>
          <w:rFonts w:cs="Calibri"/>
        </w:rPr>
      </w:pPr>
      <w:r w:rsidRPr="008C44F6">
        <w:rPr>
          <w:rFonts w:cs="Calibri"/>
        </w:rPr>
        <w:t xml:space="preserve">Similar to the same item occurring in different positions, there has been research on the impact of block position on item difficulty parameters. However, there has not been direct research on the impact of block position on motivated responding. </w:t>
      </w:r>
      <w:r w:rsidRPr="008C44F6" w:rsidR="007157BC">
        <w:rPr>
          <w:rFonts w:cs="Calibri"/>
        </w:rPr>
        <w:t xml:space="preserve">Thus, the proposed study will address this gap in our current understanding of the impact of test design decisions on test-taking motivation. </w:t>
      </w:r>
      <w:r w:rsidRPr="008C44F6">
        <w:rPr>
          <w:rFonts w:cs="Calibri"/>
        </w:rPr>
        <w:t>Of particular interest is the fact that blocks break up a test that would typically be 32-34 items long into two segments of 16-17 items</w:t>
      </w:r>
      <w:r w:rsidRPr="008C44F6" w:rsidR="00B225ED">
        <w:rPr>
          <w:rFonts w:cs="Calibri"/>
        </w:rPr>
        <w:t xml:space="preserve"> each in NAEP math administrations. This division of the test has the potential to impact test-taking motivation. Prior research has found general trends that motivated responding reduces as the test progresses (</w:t>
      </w:r>
      <w:r w:rsidRPr="008C44F6" w:rsidR="000B0CEF">
        <w:rPr>
          <w:rFonts w:cs="Calibri"/>
        </w:rPr>
        <w:t>e.g., Wise, 2006; Wise, Pastor, &amp; Kong, 2009</w:t>
      </w:r>
      <w:r w:rsidRPr="008C44F6" w:rsidR="00B225ED">
        <w:rPr>
          <w:rFonts w:cs="Calibri"/>
        </w:rPr>
        <w:t xml:space="preserve">). However, this research has typically consisted of tests with 30 items or more. </w:t>
      </w:r>
      <w:r w:rsidRPr="008C44F6" w:rsidR="007157BC">
        <w:rPr>
          <w:rFonts w:cs="Calibri"/>
        </w:rPr>
        <w:t xml:space="preserve">Thus, we are also interested to look at the potential changes in motivated responding within a block when it occurs in position 1 or 2. For example, it may be the case that creating a “break” in the test reduces the impact of item position on motivated responding in general or could replenish students’ effort capacity at the start of a new block. </w:t>
      </w:r>
    </w:p>
    <w:p w:rsidRPr="008C44F6" w:rsidR="00505F4F" w:rsidP="00505F4F" w:rsidRDefault="00505F4F" w14:paraId="436C1D54" w14:textId="4B0D1E5F">
      <w:pPr>
        <w:pStyle w:val="ListParagraph"/>
        <w:numPr>
          <w:ilvl w:val="0"/>
          <w:numId w:val="31"/>
        </w:numPr>
        <w:rPr>
          <w:rFonts w:cs="Calibri"/>
        </w:rPr>
      </w:pPr>
      <w:r w:rsidRPr="008C44F6">
        <w:rPr>
          <w:rFonts w:cs="Calibri"/>
        </w:rPr>
        <w:t>H</w:t>
      </w:r>
      <w:r w:rsidRPr="008C44F6" w:rsidR="3FD8C9CB">
        <w:rPr>
          <w:rFonts w:cs="Calibri"/>
        </w:rPr>
        <w:t>ow does item order impact motivated responding in a free navigation testing environment</w:t>
      </w:r>
      <w:r w:rsidRPr="008C44F6">
        <w:rPr>
          <w:rFonts w:cs="Calibri"/>
        </w:rPr>
        <w:t>?</w:t>
      </w:r>
      <w:r w:rsidRPr="008C44F6" w:rsidR="3FD8C9CB">
        <w:rPr>
          <w:rFonts w:cs="Calibri"/>
        </w:rPr>
        <w:t xml:space="preserve"> </w:t>
      </w:r>
    </w:p>
    <w:p w:rsidRPr="008C44F6" w:rsidR="00505F4F" w:rsidP="622D0FF3" w:rsidRDefault="00ED45EC" w14:paraId="1C0223BA" w14:textId="7F1C1C40">
      <w:pPr>
        <w:rPr>
          <w:rFonts w:cs="Calibri"/>
        </w:rPr>
      </w:pPr>
      <w:r w:rsidRPr="008C44F6">
        <w:rPr>
          <w:rFonts w:cs="Calibri"/>
        </w:rPr>
        <w:t>To our knowledge, there has only been one study (</w:t>
      </w:r>
      <w:r w:rsidRPr="008C44F6" w:rsidR="000B0CEF">
        <w:rPr>
          <w:rFonts w:cs="Calibri"/>
        </w:rPr>
        <w:t>Wise &amp; Gao, 2017</w:t>
      </w:r>
      <w:r w:rsidRPr="008C44F6">
        <w:rPr>
          <w:rFonts w:cs="Calibri"/>
        </w:rPr>
        <w:t>) that has investigated motivated responding in the context of a free navigation environment, but this study did not explore item position effects. A free navigation environment provides students with the ability to navigate through items (within a block) as they please, which provides choice and autonomy during the testing experience. Choice and autonomy have long been identified as beneficial to motivation and engagement (</w:t>
      </w:r>
      <w:r w:rsidRPr="008C44F6" w:rsidR="006C1770">
        <w:rPr>
          <w:rFonts w:cs="Calibri"/>
        </w:rPr>
        <w:t xml:space="preserve">e.g., </w:t>
      </w:r>
      <w:r w:rsidRPr="008C44F6" w:rsidR="00645F13">
        <w:rPr>
          <w:rFonts w:cs="Calibri"/>
        </w:rPr>
        <w:t xml:space="preserve">Cordova &amp; Lepper, 1996; </w:t>
      </w:r>
      <w:r w:rsidRPr="008C44F6" w:rsidR="00125D46">
        <w:rPr>
          <w:rFonts w:cs="Calibri"/>
        </w:rPr>
        <w:t>Deci &amp; Ryan, 1985</w:t>
      </w:r>
      <w:r w:rsidRPr="008C44F6">
        <w:rPr>
          <w:rFonts w:cs="Calibri"/>
        </w:rPr>
        <w:t xml:space="preserve">). It is possible then that the design decision to allow free navigation may have a substantial impact on motivated responding. Thus, we plan to explore how motivated responding occurs within a free navigation environment, whether or not item position effects </w:t>
      </w:r>
      <w:r w:rsidRPr="008C44F6" w:rsidR="008D5C7C">
        <w:rPr>
          <w:rFonts w:cs="Calibri"/>
        </w:rPr>
        <w:t>occur, and how navigation behaviors (e.g., jump around from item-to-item vs. complete</w:t>
      </w:r>
      <w:r w:rsidRPr="008C44F6">
        <w:rPr>
          <w:rFonts w:cs="Calibri"/>
        </w:rPr>
        <w:t xml:space="preserve"> </w:t>
      </w:r>
      <w:r w:rsidRPr="008C44F6" w:rsidR="008D5C7C">
        <w:rPr>
          <w:rFonts w:cs="Calibri"/>
        </w:rPr>
        <w:t xml:space="preserve">items in prescribed order) relate to motivated responding. </w:t>
      </w:r>
    </w:p>
    <w:p w:rsidRPr="008C44F6" w:rsidR="008D5C7C" w:rsidP="622D0FF3" w:rsidRDefault="008D5C7C" w14:paraId="6DA964A0" w14:textId="76AEF3F8">
      <w:pPr>
        <w:rPr>
          <w:rFonts w:cs="Calibri"/>
        </w:rPr>
      </w:pPr>
      <w:r w:rsidRPr="008C44F6">
        <w:rPr>
          <w:rFonts w:cs="Calibri"/>
        </w:rPr>
        <w:t xml:space="preserve">Another issue that free navigation and non-required responding </w:t>
      </w:r>
      <w:r w:rsidRPr="008C44F6" w:rsidR="009867BE">
        <w:rPr>
          <w:rFonts w:cs="Calibri"/>
        </w:rPr>
        <w:t>present to the study of test-taking motivation is “how should motivated responding be operationally defined?” Typically, motivated responding is operationalized as individual item response times that are above a set time threshold (</w:t>
      </w:r>
      <w:r w:rsidRPr="008C44F6" w:rsidR="0071726B">
        <w:rPr>
          <w:rFonts w:cs="Calibri"/>
        </w:rPr>
        <w:t>Wise &amp; Kong, 2005; Wise &amp; Smith, 2016</w:t>
      </w:r>
      <w:r w:rsidRPr="008C44F6" w:rsidR="009867BE">
        <w:rPr>
          <w:rFonts w:cs="Calibri"/>
        </w:rPr>
        <w:t xml:space="preserve">). Conversely, unmotivated responding is operationalized as response times that are below a set time threshold that is meant to represent responses that are too quick for the student to have read the entire item and thoughtfully considered the correct response (i.e., rapid guessing). However, the use of response time thresholds to classify individual responses as motivated or unmotivated was developed and evaluated in testing contexts that typically include only single-selection multiple-choice items, fixed navigation, and required responses. </w:t>
      </w:r>
      <w:r w:rsidRPr="008C44F6" w:rsidR="00C36918">
        <w:rPr>
          <w:rFonts w:cs="Calibri"/>
        </w:rPr>
        <w:t xml:space="preserve">The NAEP administration scenario breaks with all three of these design constraints. This creates a need to understand </w:t>
      </w:r>
      <w:r w:rsidRPr="008C44F6" w:rsidR="004321E3">
        <w:rPr>
          <w:rFonts w:cs="Calibri"/>
        </w:rPr>
        <w:t xml:space="preserve">how </w:t>
      </w:r>
      <w:r w:rsidRPr="008C44F6" w:rsidR="00FB3A5E">
        <w:rPr>
          <w:rFonts w:cs="Calibri"/>
        </w:rPr>
        <w:t>motivated responding is operationalized in this type of testing environment. We view this as an opportunity to leverage the rich process data that is afforded by innovative item types, free navigation, and non-required responding to better understand what motivated and unmotivated responding looks like in practice. While this work is exploratory, we are leveraging the knowledge of other research areas to serve as a guide for how to deal with the variety of behaviors that occur</w:t>
      </w:r>
      <w:r w:rsidRPr="008C44F6" w:rsidR="006C1770">
        <w:rPr>
          <w:rFonts w:cs="Calibri"/>
        </w:rPr>
        <w:t xml:space="preserve"> (e.g.,</w:t>
      </w:r>
      <w:r w:rsidRPr="008C44F6" w:rsidR="00FB3A5E">
        <w:rPr>
          <w:rFonts w:cs="Calibri"/>
        </w:rPr>
        <w:t xml:space="preserve"> multiple item visits, skips, omits</w:t>
      </w:r>
      <w:r w:rsidRPr="008C44F6" w:rsidR="006C1770">
        <w:rPr>
          <w:rFonts w:cs="Calibri"/>
        </w:rPr>
        <w:t>)</w:t>
      </w:r>
      <w:r w:rsidRPr="008C44F6" w:rsidR="00FB3A5E">
        <w:rPr>
          <w:rFonts w:cs="Calibri"/>
        </w:rPr>
        <w:t>. Specifically, we will use the framework adopted in eye-tracking research as an initial guide for our exploration (</w:t>
      </w:r>
      <w:r w:rsidRPr="008C44F6" w:rsidR="0071726B">
        <w:rPr>
          <w:rFonts w:cs="Calibri"/>
        </w:rPr>
        <w:t>Rayner, 1998</w:t>
      </w:r>
      <w:r w:rsidRPr="008C44F6" w:rsidR="00FB3A5E">
        <w:rPr>
          <w:rFonts w:cs="Calibri"/>
        </w:rPr>
        <w:t>).</w:t>
      </w:r>
    </w:p>
    <w:p w:rsidRPr="008C44F6" w:rsidR="3FD8C9CB" w:rsidP="622D0FF3" w:rsidRDefault="3FD8C9CB" w14:paraId="0838DF95" w14:textId="078DBADF">
      <w:pPr>
        <w:rPr>
          <w:rFonts w:cs="Calibri"/>
        </w:rPr>
      </w:pPr>
      <w:r w:rsidRPr="008C44F6">
        <w:rPr>
          <w:rFonts w:cs="Calibri"/>
        </w:rPr>
        <w:lastRenderedPageBreak/>
        <w:t>We</w:t>
      </w:r>
      <w:r w:rsidRPr="008C44F6" w:rsidR="00FB3A5E">
        <w:rPr>
          <w:rFonts w:cs="Calibri"/>
        </w:rPr>
        <w:t xml:space="preserve"> plan to</w:t>
      </w:r>
      <w:r w:rsidRPr="008C44F6">
        <w:rPr>
          <w:rFonts w:cs="Calibri"/>
        </w:rPr>
        <w:t xml:space="preserve"> address </w:t>
      </w:r>
      <w:r w:rsidRPr="008C44F6" w:rsidR="00FB3A5E">
        <w:rPr>
          <w:rFonts w:cs="Calibri"/>
        </w:rPr>
        <w:t>these gaps in knowledge</w:t>
      </w:r>
      <w:r w:rsidRPr="008C44F6">
        <w:rPr>
          <w:rFonts w:cs="Calibri"/>
        </w:rPr>
        <w:t xml:space="preserve"> in a study with</w:t>
      </w:r>
      <w:r w:rsidRPr="008C44F6" w:rsidR="00C007D3">
        <w:rPr>
          <w:rFonts w:cs="Calibri"/>
        </w:rPr>
        <w:t xml:space="preserve"> approximately</w:t>
      </w:r>
      <w:r w:rsidRPr="008C44F6">
        <w:rPr>
          <w:rFonts w:cs="Calibri"/>
        </w:rPr>
        <w:t xml:space="preserve"> 3</w:t>
      </w:r>
      <w:r w:rsidRPr="008C44F6" w:rsidR="00C007D3">
        <w:rPr>
          <w:rFonts w:cs="Calibri"/>
        </w:rPr>
        <w:t>9</w:t>
      </w:r>
      <w:r w:rsidRPr="008C44F6">
        <w:rPr>
          <w:rFonts w:cs="Calibri"/>
        </w:rPr>
        <w:t>0 students in 8th grade. Students will complete a math assessment that is presented in a testing environment that mirrors the functionality of the NAEP interface and the administration of a NAEP assessment. All process data will be captured (e.g., response time, navigation behaviors) and used to investigate the relationship between test assembly and test taking motivation. The outcome of this study will lay the groundwork for future studies in which we investigate the impact of alternative methods for test assembly (e.g., grouping or spacing based on item content or difficulty) on test taking motivation.</w:t>
      </w:r>
    </w:p>
    <w:p w:rsidRPr="008C44F6" w:rsidR="00200D10" w:rsidP="0023051A" w:rsidRDefault="27EE25D0" w14:paraId="5193DE59" w14:textId="3AA28323">
      <w:pPr>
        <w:pStyle w:val="Heading1"/>
        <w:numPr>
          <w:ilvl w:val="0"/>
          <w:numId w:val="15"/>
        </w:numPr>
        <w:spacing w:before="0" w:after="120" w:line="30" w:lineRule="atLeast"/>
        <w:rPr>
          <w:rStyle w:val="IntenseEmphasis"/>
          <w:rFonts w:eastAsiaTheme="minorEastAsia"/>
          <w:i w:val="0"/>
          <w:iCs w:val="0"/>
          <w:color w:val="auto"/>
        </w:rPr>
      </w:pPr>
      <w:bookmarkStart w:name="_Toc41490571" w:id="4"/>
      <w:bookmarkStart w:name="_Toc50551993" w:id="5"/>
      <w:r w:rsidRPr="008C44F6">
        <w:rPr>
          <w:rStyle w:val="IntenseEmphasis"/>
          <w:rFonts w:eastAsiaTheme="minorEastAsia"/>
          <w:i w:val="0"/>
          <w:iCs w:val="0"/>
          <w:color w:val="auto"/>
        </w:rPr>
        <w:t>Recruitment</w:t>
      </w:r>
      <w:r w:rsidRPr="008C44F6" w:rsidR="003723B8">
        <w:rPr>
          <w:rStyle w:val="IntenseEmphasis"/>
          <w:i w:val="0"/>
          <w:iCs w:val="0"/>
          <w:color w:val="auto"/>
        </w:rPr>
        <w:t xml:space="preserve"> and Data Collection</w:t>
      </w:r>
      <w:bookmarkEnd w:id="4"/>
      <w:bookmarkEnd w:id="5"/>
    </w:p>
    <w:p w:rsidRPr="008C44F6" w:rsidR="003723B8" w:rsidP="0023051A" w:rsidRDefault="003723B8" w14:paraId="44EFEC9E" w14:textId="778115B7">
      <w:pPr>
        <w:pStyle w:val="BodyText"/>
        <w:spacing w:after="120" w:line="30" w:lineRule="atLeast"/>
        <w:rPr>
          <w:rStyle w:val="StyleTimesNewRoman"/>
          <w:b/>
          <w:color w:val="auto"/>
          <w:sz w:val="22"/>
          <w:u w:val="single"/>
        </w:rPr>
      </w:pPr>
      <w:r w:rsidRPr="008C44F6">
        <w:rPr>
          <w:b/>
          <w:u w:val="single"/>
        </w:rPr>
        <w:t>Recruitment</w:t>
      </w:r>
      <w:r w:rsidRPr="008C44F6" w:rsidR="00792A4D">
        <w:rPr>
          <w:b/>
          <w:u w:val="single"/>
        </w:rPr>
        <w:t xml:space="preserve"> and Sample Characteristics</w:t>
      </w:r>
    </w:p>
    <w:p w:rsidRPr="008C44F6" w:rsidR="00C45B85" w:rsidP="00C45B85" w:rsidRDefault="00C41D43" w14:paraId="12CB75DA" w14:textId="1197482F">
      <w:pPr>
        <w:rPr>
          <w:rStyle w:val="StyleTimesNewRoman"/>
          <w:color w:val="auto"/>
          <w:sz w:val="22"/>
        </w:rPr>
      </w:pPr>
      <w:r w:rsidRPr="008C44F6">
        <w:t>S</w:t>
      </w:r>
      <w:r w:rsidRPr="008C44F6" w:rsidR="00C45B85">
        <w:rPr>
          <w:rStyle w:val="StyleTimesNewRoman"/>
          <w:rFonts w:asciiTheme="minorHAnsi" w:hAnsiTheme="minorHAnsi"/>
          <w:color w:val="auto"/>
          <w:sz w:val="22"/>
        </w:rPr>
        <w:t xml:space="preserve">tudents would complete the study outside of normal school hours (e.g., afternoon, evening, weekends) at their homes. </w:t>
      </w:r>
      <w:r w:rsidRPr="008C44F6" w:rsidR="003517E3">
        <w:rPr>
          <w:rStyle w:val="StyleTimesNewRoman"/>
          <w:rFonts w:asciiTheme="minorHAnsi" w:hAnsiTheme="minorHAnsi"/>
          <w:color w:val="auto"/>
          <w:sz w:val="22"/>
        </w:rPr>
        <w:t>The normal school day alterations due to Covid-19 may cause schools to be unwilling or unable to include research studies during the normal school day. Thus, we are preparing for a scenario in which we will need to recruit students individually. In this scenario, ETS will recruit a maximum of 390 8</w:t>
      </w:r>
      <w:r w:rsidRPr="008C44F6" w:rsidR="003517E3">
        <w:rPr>
          <w:rStyle w:val="StyleTimesNewRoman"/>
          <w:rFonts w:asciiTheme="minorHAnsi" w:hAnsiTheme="minorHAnsi"/>
          <w:color w:val="auto"/>
          <w:sz w:val="22"/>
          <w:vertAlign w:val="superscript"/>
        </w:rPr>
        <w:t>th</w:t>
      </w:r>
      <w:r w:rsidRPr="008C44F6" w:rsidR="003517E3">
        <w:rPr>
          <w:rStyle w:val="StyleTimesNewRoman"/>
          <w:rFonts w:asciiTheme="minorHAnsi" w:hAnsiTheme="minorHAnsi"/>
          <w:color w:val="auto"/>
          <w:sz w:val="22"/>
        </w:rPr>
        <w:t xml:space="preserve"> grade students </w:t>
      </w:r>
      <w:r w:rsidR="000555A7">
        <w:rPr>
          <w:rStyle w:val="StyleTimesNewRoman"/>
          <w:rFonts w:asciiTheme="minorHAnsi" w:hAnsiTheme="minorHAnsi"/>
          <w:color w:val="auto"/>
          <w:sz w:val="22"/>
        </w:rPr>
        <w:t>who</w:t>
      </w:r>
      <w:r w:rsidRPr="008C44F6" w:rsidR="003517E3">
        <w:rPr>
          <w:rStyle w:val="StyleTimesNewRoman"/>
          <w:rFonts w:asciiTheme="minorHAnsi" w:hAnsiTheme="minorHAnsi"/>
          <w:color w:val="auto"/>
          <w:sz w:val="22"/>
        </w:rPr>
        <w:t xml:space="preserve"> are currently enrolled in a mathematics course. </w:t>
      </w:r>
    </w:p>
    <w:p w:rsidRPr="008C44F6" w:rsidR="00335614" w:rsidP="00252879" w:rsidRDefault="00252879" w14:paraId="17FEF697" w14:textId="0C92A0EE">
      <w:pPr>
        <w:rPr>
          <w:rStyle w:val="StyleTimesNewRoman"/>
          <w:rFonts w:asciiTheme="minorHAnsi" w:hAnsiTheme="minorHAnsi"/>
          <w:color w:val="auto"/>
          <w:sz w:val="22"/>
        </w:rPr>
      </w:pPr>
      <w:r w:rsidRPr="008C44F6">
        <w:rPr>
          <w:rStyle w:val="StyleTimesNewRoman"/>
          <w:rFonts w:asciiTheme="minorHAnsi" w:hAnsiTheme="minorHAnsi"/>
          <w:color w:val="auto"/>
          <w:sz w:val="22"/>
        </w:rPr>
        <w:t xml:space="preserve">Our goal will be to recruit a diverse sample of students that represents a mixture of demographic targets (e.g., gender, race/ethnicity, free/reduced lunch eligibility). However, recruitment may be more challenging due to the challenges surrounding </w:t>
      </w:r>
      <w:r w:rsidR="000555A7">
        <w:rPr>
          <w:rStyle w:val="StyleTimesNewRoman"/>
          <w:rFonts w:asciiTheme="minorHAnsi" w:hAnsiTheme="minorHAnsi"/>
          <w:color w:val="auto"/>
          <w:sz w:val="22"/>
        </w:rPr>
        <w:t xml:space="preserve">the </w:t>
      </w:r>
      <w:r w:rsidRPr="008C44F6" w:rsidR="000C4A65">
        <w:rPr>
          <w:rStyle w:val="StyleTimesNewRoman"/>
          <w:rFonts w:asciiTheme="minorHAnsi" w:hAnsiTheme="minorHAnsi"/>
          <w:color w:val="auto"/>
          <w:sz w:val="22"/>
        </w:rPr>
        <w:t>COVID-19 outbreak</w:t>
      </w:r>
      <w:r w:rsidRPr="008C44F6">
        <w:rPr>
          <w:rStyle w:val="StyleTimesNewRoman"/>
          <w:rFonts w:asciiTheme="minorHAnsi" w:hAnsiTheme="minorHAnsi"/>
          <w:color w:val="auto"/>
          <w:sz w:val="22"/>
        </w:rPr>
        <w:t xml:space="preserve"> and thus we will not make it a requirement that the recruited sample have specified representation of various demographic subgroups.</w:t>
      </w:r>
    </w:p>
    <w:p w:rsidRPr="008C44F6" w:rsidR="00C73194" w:rsidP="622D0FF3" w:rsidRDefault="00C73194" w14:paraId="45F23FD4" w14:textId="1BB54114">
      <w:pPr>
        <w:pStyle w:val="BodyText"/>
        <w:spacing w:after="120" w:line="30" w:lineRule="atLeast"/>
        <w:rPr>
          <w:b/>
          <w:bCs/>
          <w:u w:val="single"/>
        </w:rPr>
      </w:pPr>
      <w:r w:rsidRPr="008C44F6">
        <w:rPr>
          <w:b/>
          <w:bCs/>
          <w:u w:val="single"/>
        </w:rPr>
        <w:t>Data Collection Process</w:t>
      </w:r>
    </w:p>
    <w:p w:rsidRPr="008C44F6" w:rsidR="00252879" w:rsidP="5FAAFDE5" w:rsidRDefault="75156CB0" w14:paraId="5072522E" w14:textId="0C0188BE">
      <w:pPr>
        <w:spacing w:after="120" w:line="30" w:lineRule="atLeast"/>
        <w:rPr>
          <w:rFonts w:cs="Calibri"/>
        </w:rPr>
      </w:pPr>
      <w:r w:rsidRPr="008C44F6">
        <w:rPr>
          <w:rFonts w:cs="Calibri"/>
        </w:rPr>
        <w:t>The study will be conducted</w:t>
      </w:r>
      <w:r w:rsidR="00856EE6">
        <w:rPr>
          <w:rFonts w:cs="Calibri"/>
        </w:rPr>
        <w:t xml:space="preserve"> online</w:t>
      </w:r>
      <w:r w:rsidRPr="008C44F6">
        <w:rPr>
          <w:rFonts w:cs="Calibri"/>
        </w:rPr>
        <w:t xml:space="preserve"> with 8</w:t>
      </w:r>
      <w:r w:rsidRPr="008C44F6">
        <w:rPr>
          <w:rFonts w:cs="Calibri"/>
          <w:vertAlign w:val="superscript"/>
        </w:rPr>
        <w:t>th</w:t>
      </w:r>
      <w:r w:rsidRPr="008C44F6">
        <w:rPr>
          <w:rFonts w:cs="Calibri"/>
        </w:rPr>
        <w:t xml:space="preserve"> grade students</w:t>
      </w:r>
      <w:r w:rsidRPr="008C44F6" w:rsidR="7B95B8E2">
        <w:rPr>
          <w:rFonts w:cs="Calibri"/>
        </w:rPr>
        <w:t xml:space="preserve"> on their own outside of the normal school day. </w:t>
      </w:r>
      <w:r w:rsidRPr="008C44F6" w:rsidR="00747E0E">
        <w:rPr>
          <w:rFonts w:cs="Calibri"/>
        </w:rPr>
        <w:t xml:space="preserve">Due to </w:t>
      </w:r>
      <w:r w:rsidRPr="008C44F6" w:rsidR="000C4A65">
        <w:rPr>
          <w:rFonts w:cs="Calibri"/>
        </w:rPr>
        <w:t>COVID-19 outbreak</w:t>
      </w:r>
      <w:r w:rsidRPr="008C44F6" w:rsidR="00747E0E">
        <w:rPr>
          <w:rFonts w:cs="Calibri"/>
        </w:rPr>
        <w:t xml:space="preserve"> concerns we have designed the study in such a way that it does not require an ETS staff member to be present during administration. Thus, the administration of our study would not introduce any new conditions to the student participants that could increase the risk of contracting or spreading </w:t>
      </w:r>
      <w:r w:rsidRPr="008C44F6" w:rsidR="000C4A65">
        <w:rPr>
          <w:rFonts w:cs="Calibri"/>
        </w:rPr>
        <w:t xml:space="preserve">COVID-19 </w:t>
      </w:r>
      <w:r w:rsidRPr="008C44F6" w:rsidR="00747E0E">
        <w:rPr>
          <w:rFonts w:cs="Calibri"/>
        </w:rPr>
        <w:t>to students, their families, or the larger community.</w:t>
      </w:r>
    </w:p>
    <w:p w:rsidRPr="008C44F6" w:rsidR="75156CB0" w:rsidP="5FAAFDE5" w:rsidRDefault="00D0102A" w14:paraId="3533D546" w14:textId="211ABDD6">
      <w:pPr>
        <w:spacing w:after="120" w:line="30" w:lineRule="atLeast"/>
        <w:rPr>
          <w:rFonts w:cs="Calibri"/>
        </w:rPr>
      </w:pPr>
      <w:r w:rsidRPr="008C44F6">
        <w:rPr>
          <w:rFonts w:cs="Calibri"/>
        </w:rPr>
        <w:t>T</w:t>
      </w:r>
      <w:r w:rsidRPr="008C44F6" w:rsidR="5F3AF9FF">
        <w:rPr>
          <w:rFonts w:cs="Calibri"/>
        </w:rPr>
        <w:t xml:space="preserve">he study will be completed by each student </w:t>
      </w:r>
      <w:r w:rsidRPr="008C44F6" w:rsidR="00EA3E71">
        <w:rPr>
          <w:rFonts w:cs="Calibri"/>
        </w:rPr>
        <w:t xml:space="preserve">independently </w:t>
      </w:r>
      <w:r w:rsidRPr="008C44F6" w:rsidR="5F3AF9FF">
        <w:rPr>
          <w:rFonts w:cs="Calibri"/>
        </w:rPr>
        <w:t xml:space="preserve">on a computer. </w:t>
      </w:r>
      <w:r w:rsidRPr="008C44F6" w:rsidR="2FE0E670">
        <w:rPr>
          <w:rFonts w:cs="Calibri"/>
        </w:rPr>
        <w:t xml:space="preserve">Thus, the study will not require a proctor to be present either virtually or in-person. </w:t>
      </w:r>
      <w:r w:rsidRPr="008C44F6" w:rsidR="5F3AF9FF">
        <w:rPr>
          <w:rFonts w:cs="Calibri"/>
        </w:rPr>
        <w:t xml:space="preserve">The study will require that students have an internet </w:t>
      </w:r>
      <w:r w:rsidRPr="008C44F6" w:rsidR="2961D73F">
        <w:rPr>
          <w:rFonts w:cs="Calibri"/>
        </w:rPr>
        <w:t>connection but</w:t>
      </w:r>
      <w:r w:rsidRPr="008C44F6" w:rsidR="5F3AF9FF">
        <w:rPr>
          <w:rFonts w:cs="Calibri"/>
        </w:rPr>
        <w:t xml:space="preserve"> will not require a particular browser or any type of software to be installed on the computer. </w:t>
      </w:r>
      <w:r w:rsidRPr="008C44F6" w:rsidR="008A6E44">
        <w:rPr>
          <w:rFonts w:cs="Calibri"/>
        </w:rPr>
        <w:t>All materials are designed to be completed within 50</w:t>
      </w:r>
      <w:r w:rsidRPr="008C44F6" w:rsidR="00C87247">
        <w:rPr>
          <w:rFonts w:cs="Calibri"/>
        </w:rPr>
        <w:t>-</w:t>
      </w:r>
      <w:r w:rsidRPr="008C44F6" w:rsidR="008A6E44">
        <w:rPr>
          <w:rFonts w:cs="Calibri"/>
        </w:rPr>
        <w:t>minutes.</w:t>
      </w:r>
    </w:p>
    <w:p w:rsidRPr="008C44F6" w:rsidR="20648CC7" w:rsidP="5FAAFDE5" w:rsidRDefault="20648CC7" w14:paraId="78971F02" w14:textId="592A8B83">
      <w:pPr>
        <w:spacing w:after="120" w:line="30" w:lineRule="atLeast"/>
        <w:rPr>
          <w:rFonts w:cs="Calibri"/>
        </w:rPr>
      </w:pPr>
      <w:r w:rsidRPr="008C44F6">
        <w:rPr>
          <w:rFonts w:cs="Calibri"/>
        </w:rPr>
        <w:t xml:space="preserve">The study will involve three parts. The first two parts will be two blocks of math assessment items, with 15 math items in each block. </w:t>
      </w:r>
      <w:r w:rsidRPr="008C44F6" w:rsidR="003517E3">
        <w:rPr>
          <w:rFonts w:cs="Calibri"/>
        </w:rPr>
        <w:t xml:space="preserve">Students will receive a brief </w:t>
      </w:r>
      <w:r w:rsidRPr="008C44F6" w:rsidR="002D67E9">
        <w:rPr>
          <w:rFonts w:cs="Calibri"/>
        </w:rPr>
        <w:t xml:space="preserve">video </w:t>
      </w:r>
      <w:r w:rsidRPr="008C44F6" w:rsidR="003517E3">
        <w:rPr>
          <w:rFonts w:cs="Calibri"/>
        </w:rPr>
        <w:t>tutorial (</w:t>
      </w:r>
      <w:r w:rsidRPr="008C44F6" w:rsidR="002D67E9">
        <w:rPr>
          <w:rFonts w:cs="Calibri"/>
        </w:rPr>
        <w:t>approximately 3</w:t>
      </w:r>
      <w:r w:rsidRPr="008C44F6" w:rsidR="00BD0F75">
        <w:rPr>
          <w:rFonts w:cs="Calibri"/>
        </w:rPr>
        <w:t>-</w:t>
      </w:r>
      <w:r w:rsidRPr="008C44F6" w:rsidR="002D67E9">
        <w:rPr>
          <w:rFonts w:cs="Calibri"/>
        </w:rPr>
        <w:t>minutes</w:t>
      </w:r>
      <w:r w:rsidRPr="008C44F6" w:rsidR="003517E3">
        <w:rPr>
          <w:rFonts w:cs="Calibri"/>
        </w:rPr>
        <w:t xml:space="preserve">) on the assessment interface and available tools (e.g., calculator) prior to beginning the first block of math items. </w:t>
      </w:r>
      <w:r w:rsidRPr="008C44F6" w:rsidR="00785402">
        <w:rPr>
          <w:rFonts w:cs="Calibri"/>
        </w:rPr>
        <w:t xml:space="preserve">The video tutorial would also instruct students that their participation is voluntary, and they can choose to end their participation at any time during the study. </w:t>
      </w:r>
      <w:r w:rsidRPr="008C44F6">
        <w:rPr>
          <w:rFonts w:cs="Calibri"/>
        </w:rPr>
        <w:t xml:space="preserve">The math assessment items </w:t>
      </w:r>
      <w:r w:rsidRPr="008C44F6" w:rsidR="00082214">
        <w:rPr>
          <w:rFonts w:cs="Calibri"/>
        </w:rPr>
        <w:t>that will be administered are aligned</w:t>
      </w:r>
      <w:r w:rsidRPr="008C44F6">
        <w:rPr>
          <w:rFonts w:cs="Calibri"/>
        </w:rPr>
        <w:t xml:space="preserve"> to the NAEP </w:t>
      </w:r>
      <w:r w:rsidRPr="008C44F6" w:rsidR="7FC53879">
        <w:rPr>
          <w:rFonts w:cs="Calibri"/>
        </w:rPr>
        <w:t>2019 mathematics objectives for 8</w:t>
      </w:r>
      <w:r w:rsidRPr="008C44F6" w:rsidR="7FC53879">
        <w:rPr>
          <w:rFonts w:cs="Calibri"/>
          <w:vertAlign w:val="superscript"/>
        </w:rPr>
        <w:t>th</w:t>
      </w:r>
      <w:r w:rsidRPr="008C44F6" w:rsidR="7FC53879">
        <w:rPr>
          <w:rFonts w:cs="Calibri"/>
        </w:rPr>
        <w:t xml:space="preserve"> grade students</w:t>
      </w:r>
      <w:r w:rsidRPr="008C44F6" w:rsidR="2F11C6B5">
        <w:rPr>
          <w:rFonts w:cs="Calibri"/>
        </w:rPr>
        <w:t xml:space="preserve"> and provide a range of content and difficulty suitable for the target population for this study</w:t>
      </w:r>
      <w:r w:rsidRPr="008C44F6" w:rsidR="7FC53879">
        <w:rPr>
          <w:rFonts w:cs="Calibri"/>
        </w:rPr>
        <w:t xml:space="preserve">. </w:t>
      </w:r>
      <w:r w:rsidRPr="008C44F6" w:rsidR="003938A7">
        <w:rPr>
          <w:rFonts w:cs="Calibri"/>
        </w:rPr>
        <w:t>Specif</w:t>
      </w:r>
      <w:r w:rsidRPr="008C44F6" w:rsidR="001A012B">
        <w:rPr>
          <w:rFonts w:cs="Calibri"/>
        </w:rPr>
        <w:t>ically, t</w:t>
      </w:r>
      <w:r w:rsidRPr="008C44F6" w:rsidR="7FC53879">
        <w:rPr>
          <w:rFonts w:cs="Calibri"/>
        </w:rPr>
        <w:t>wenty-eight (93%) of the items align to the 8</w:t>
      </w:r>
      <w:r w:rsidRPr="008C44F6" w:rsidR="7FC53879">
        <w:rPr>
          <w:rFonts w:cs="Calibri"/>
          <w:vertAlign w:val="superscript"/>
        </w:rPr>
        <w:t>th</w:t>
      </w:r>
      <w:r w:rsidRPr="008C44F6" w:rsidR="7FC53879">
        <w:rPr>
          <w:rFonts w:cs="Calibri"/>
        </w:rPr>
        <w:t xml:space="preserve"> grade objectives, with one </w:t>
      </w:r>
      <w:r w:rsidRPr="008C44F6" w:rsidR="6FB77225">
        <w:rPr>
          <w:rFonts w:cs="Calibri"/>
        </w:rPr>
        <w:t>of the two remaining items aligning to the 4</w:t>
      </w:r>
      <w:r w:rsidRPr="008C44F6" w:rsidR="6FB77225">
        <w:rPr>
          <w:rFonts w:cs="Calibri"/>
          <w:vertAlign w:val="superscript"/>
        </w:rPr>
        <w:t>th</w:t>
      </w:r>
      <w:r w:rsidRPr="008C44F6" w:rsidR="6FB77225">
        <w:rPr>
          <w:rFonts w:cs="Calibri"/>
        </w:rPr>
        <w:t xml:space="preserve"> grade objectives and the other aligning to the 12</w:t>
      </w:r>
      <w:r w:rsidRPr="008C44F6" w:rsidR="6FB77225">
        <w:rPr>
          <w:rFonts w:cs="Calibri"/>
          <w:vertAlign w:val="superscript"/>
        </w:rPr>
        <w:t>th</w:t>
      </w:r>
      <w:r w:rsidRPr="008C44F6" w:rsidR="6FB77225">
        <w:rPr>
          <w:rFonts w:cs="Calibri"/>
        </w:rPr>
        <w:t xml:space="preserve"> grade objectives. </w:t>
      </w:r>
      <w:r w:rsidRPr="008C44F6" w:rsidR="4F82144F">
        <w:rPr>
          <w:rFonts w:cs="Calibri"/>
        </w:rPr>
        <w:t xml:space="preserve">The interface and functionality for the two blocks will mirror NAEP </w:t>
      </w:r>
      <w:r w:rsidRPr="008C44F6" w:rsidR="001A012B">
        <w:rPr>
          <w:rFonts w:cs="Calibri"/>
        </w:rPr>
        <w:t>administration</w:t>
      </w:r>
      <w:r w:rsidRPr="008C44F6" w:rsidR="005A4DDE">
        <w:rPr>
          <w:rFonts w:cs="Calibri"/>
        </w:rPr>
        <w:t xml:space="preserve">, in that </w:t>
      </w:r>
      <w:r w:rsidRPr="008C44F6" w:rsidR="4F82144F">
        <w:rPr>
          <w:rFonts w:cs="Calibri"/>
        </w:rPr>
        <w:t xml:space="preserve">students </w:t>
      </w:r>
      <w:r w:rsidRPr="008C44F6" w:rsidR="005A4DDE">
        <w:rPr>
          <w:rFonts w:cs="Calibri"/>
        </w:rPr>
        <w:t xml:space="preserve">can </w:t>
      </w:r>
      <w:r w:rsidRPr="008C44F6" w:rsidR="4F82144F">
        <w:rPr>
          <w:rFonts w:cs="Calibri"/>
        </w:rPr>
        <w:t xml:space="preserve">freely navigate between items and </w:t>
      </w:r>
      <w:r w:rsidRPr="008C44F6" w:rsidR="005A4DDE">
        <w:rPr>
          <w:rFonts w:cs="Calibri"/>
        </w:rPr>
        <w:t xml:space="preserve">are </w:t>
      </w:r>
      <w:r w:rsidRPr="008C44F6" w:rsidR="4F82144F">
        <w:rPr>
          <w:rFonts w:cs="Calibri"/>
        </w:rPr>
        <w:t>not require</w:t>
      </w:r>
      <w:r w:rsidRPr="008C44F6" w:rsidR="005A4DDE">
        <w:rPr>
          <w:rFonts w:cs="Calibri"/>
        </w:rPr>
        <w:t>d</w:t>
      </w:r>
      <w:r w:rsidRPr="008C44F6" w:rsidR="4F82144F">
        <w:rPr>
          <w:rFonts w:cs="Calibri"/>
        </w:rPr>
        <w:t xml:space="preserve"> to answer </w:t>
      </w:r>
      <w:r w:rsidRPr="008C44F6" w:rsidR="005A4DDE">
        <w:rPr>
          <w:rFonts w:cs="Calibri"/>
        </w:rPr>
        <w:t xml:space="preserve">an </w:t>
      </w:r>
      <w:r w:rsidRPr="008C44F6" w:rsidR="4F82144F">
        <w:rPr>
          <w:rFonts w:cs="Calibri"/>
        </w:rPr>
        <w:t xml:space="preserve">item </w:t>
      </w:r>
      <w:r w:rsidRPr="008C44F6" w:rsidR="00DF3498">
        <w:rPr>
          <w:rFonts w:cs="Calibri"/>
        </w:rPr>
        <w:t xml:space="preserve">in order </w:t>
      </w:r>
      <w:r w:rsidRPr="008C44F6" w:rsidR="4F82144F">
        <w:rPr>
          <w:rFonts w:cs="Calibri"/>
        </w:rPr>
        <w:t xml:space="preserve">to proceed. </w:t>
      </w:r>
      <w:r w:rsidRPr="008C44F6" w:rsidR="74EFAC94">
        <w:rPr>
          <w:rFonts w:cs="Calibri"/>
        </w:rPr>
        <w:t xml:space="preserve">Students will have </w:t>
      </w:r>
      <w:r w:rsidRPr="008C44F6" w:rsidR="00C15FE8">
        <w:rPr>
          <w:rFonts w:cs="Calibri"/>
        </w:rPr>
        <w:t>20-</w:t>
      </w:r>
      <w:r w:rsidRPr="008C44F6" w:rsidR="74EFAC94">
        <w:rPr>
          <w:rFonts w:cs="Calibri"/>
        </w:rPr>
        <w:t xml:space="preserve">minutes to complete each block. In addition to the math items, students will also be asked </w:t>
      </w:r>
      <w:r w:rsidRPr="008C44F6" w:rsidR="4AD7A663">
        <w:rPr>
          <w:rFonts w:cs="Calibri"/>
        </w:rPr>
        <w:t xml:space="preserve">one </w:t>
      </w:r>
      <w:r w:rsidRPr="008C44F6" w:rsidR="74EFAC94">
        <w:rPr>
          <w:rFonts w:cs="Calibri"/>
        </w:rPr>
        <w:t xml:space="preserve">Likert item after the first time they visit </w:t>
      </w:r>
      <w:r w:rsidRPr="008C44F6" w:rsidR="16DBF367">
        <w:rPr>
          <w:rFonts w:cs="Calibri"/>
        </w:rPr>
        <w:t xml:space="preserve">each item. The Likert item will address how much effort </w:t>
      </w:r>
      <w:r w:rsidRPr="008C44F6" w:rsidR="3767192E">
        <w:rPr>
          <w:rFonts w:cs="Calibri"/>
        </w:rPr>
        <w:t>students</w:t>
      </w:r>
      <w:r w:rsidRPr="008C44F6" w:rsidR="16DBF367">
        <w:rPr>
          <w:rFonts w:cs="Calibri"/>
        </w:rPr>
        <w:t xml:space="preserve"> put into answer</w:t>
      </w:r>
      <w:r w:rsidRPr="008C44F6" w:rsidR="526A121D">
        <w:rPr>
          <w:rFonts w:cs="Calibri"/>
        </w:rPr>
        <w:t>ing</w:t>
      </w:r>
      <w:r w:rsidRPr="008C44F6" w:rsidR="16DBF367">
        <w:rPr>
          <w:rFonts w:cs="Calibri"/>
        </w:rPr>
        <w:t xml:space="preserve"> the item on that first visit. </w:t>
      </w:r>
      <w:r w:rsidRPr="008C44F6" w:rsidR="007E001C">
        <w:rPr>
          <w:rFonts w:cs="Calibri"/>
        </w:rPr>
        <w:t xml:space="preserve">The decision to administer the effort Likert item after only the first item visit was done to reduce (a) the interruption to the typical test-taking experience and (b) the time needed to complete the study. However, it is important to note that while there may be missing data in the form of self-reported effort for later item visits, we will still have process data available for each item visit (i.e., visit time and behaviors). Thus, it will still be possible to categorize each item visit as effortful or not. </w:t>
      </w:r>
    </w:p>
    <w:p w:rsidRPr="008C44F6" w:rsidR="57A6FE6F" w:rsidP="5FAAFDE5" w:rsidRDefault="57A6FE6F" w14:paraId="0BD57807" w14:textId="08871E98">
      <w:pPr>
        <w:spacing w:after="120" w:line="30" w:lineRule="atLeast"/>
        <w:rPr>
          <w:rFonts w:cs="Calibri"/>
        </w:rPr>
      </w:pPr>
      <w:r w:rsidRPr="008C44F6">
        <w:rPr>
          <w:rFonts w:cs="Calibri"/>
        </w:rPr>
        <w:lastRenderedPageBreak/>
        <w:t xml:space="preserve">There will be six conditions in the present study that focus on test assembly (i.e., item organization within a block, block order). </w:t>
      </w:r>
      <w:r w:rsidRPr="008C44F6" w:rsidR="0E250A08">
        <w:rPr>
          <w:rFonts w:cs="Calibri"/>
        </w:rPr>
        <w:t xml:space="preserve">The 15 items within each block will be divided into three sets of 5 items each. </w:t>
      </w:r>
      <w:r w:rsidRPr="008C44F6" w:rsidR="007E001C">
        <w:rPr>
          <w:rFonts w:cs="Calibri"/>
        </w:rPr>
        <w:t xml:space="preserve">The three sets of items will only be for study design purposes and will not be visible </w:t>
      </w:r>
      <w:r w:rsidRPr="008C44F6" w:rsidR="00B82FF7">
        <w:rPr>
          <w:rFonts w:cs="Calibri"/>
        </w:rPr>
        <w:t xml:space="preserve">to the </w:t>
      </w:r>
      <w:r w:rsidRPr="008C44F6" w:rsidR="007E001C">
        <w:rPr>
          <w:rFonts w:cs="Calibri"/>
        </w:rPr>
        <w:t xml:space="preserve">students. In other words, students will be able to freely navigate between all 15 items within a block. </w:t>
      </w:r>
      <w:r w:rsidRPr="008C44F6" w:rsidR="0E250A08">
        <w:rPr>
          <w:rFonts w:cs="Calibri"/>
        </w:rPr>
        <w:t xml:space="preserve">The order of sets within a block and order of blocks will be counterbalanced and randomly assigned to participants. Each participant will complete </w:t>
      </w:r>
      <w:r w:rsidRPr="008C44F6" w:rsidR="4B0F2A84">
        <w:rPr>
          <w:rFonts w:cs="Calibri"/>
        </w:rPr>
        <w:t xml:space="preserve">one condition, but all participants will complete the same 30 items. The only difference in participant experience across </w:t>
      </w:r>
      <w:r w:rsidRPr="008C44F6" w:rsidR="0795F972">
        <w:rPr>
          <w:rFonts w:cs="Calibri"/>
        </w:rPr>
        <w:t>conditions</w:t>
      </w:r>
      <w:r w:rsidRPr="008C44F6" w:rsidR="4B0F2A84">
        <w:rPr>
          <w:rFonts w:cs="Calibri"/>
        </w:rPr>
        <w:t xml:space="preserve"> will be the order in which items and blocks are presented.  </w:t>
      </w:r>
    </w:p>
    <w:p w:rsidRPr="008C44F6" w:rsidR="6A31EF26" w:rsidP="5FAAFDE5" w:rsidRDefault="6A31EF26" w14:paraId="710A62B0" w14:textId="3AF5FE12">
      <w:pPr>
        <w:spacing w:after="120" w:line="30" w:lineRule="atLeast"/>
        <w:rPr>
          <w:rFonts w:cs="Calibri"/>
        </w:rPr>
      </w:pPr>
      <w:r w:rsidRPr="008C44F6">
        <w:rPr>
          <w:rFonts w:cs="Calibri"/>
        </w:rPr>
        <w:t xml:space="preserve">After completing the second block, students will proceed to the post-test survey. The post-test survey will ask students to estimate their performance on the two blocks (% of correct responses), overall test difficulty, </w:t>
      </w:r>
      <w:r w:rsidRPr="008C44F6" w:rsidR="7C4372EA">
        <w:rPr>
          <w:rFonts w:cs="Calibri"/>
        </w:rPr>
        <w:t xml:space="preserve">and overall effort exerted on the test. The post-test survey should take </w:t>
      </w:r>
      <w:r w:rsidRPr="008C44F6" w:rsidR="002D67E9">
        <w:rPr>
          <w:rFonts w:cs="Calibri"/>
        </w:rPr>
        <w:t>two to three minutes to complete</w:t>
      </w:r>
      <w:r w:rsidRPr="008C44F6" w:rsidR="7C4372EA">
        <w:rPr>
          <w:rFonts w:cs="Calibri"/>
        </w:rPr>
        <w:t xml:space="preserve">. </w:t>
      </w:r>
    </w:p>
    <w:p w:rsidRPr="008C44F6" w:rsidR="00C73194" w:rsidP="0023051A" w:rsidRDefault="00C73194" w14:paraId="2F39E003" w14:textId="28CCB0E9">
      <w:pPr>
        <w:autoSpaceDE w:val="0"/>
        <w:autoSpaceDN w:val="0"/>
        <w:adjustRightInd w:val="0"/>
        <w:spacing w:after="120" w:line="30" w:lineRule="atLeast"/>
        <w:rPr>
          <w:rFonts w:cs="Calibri"/>
        </w:rPr>
      </w:pPr>
      <w:r w:rsidRPr="008C44F6">
        <w:rPr>
          <w:rFonts w:cs="Calibri"/>
        </w:rPr>
        <w:t>The types of data collected will include</w:t>
      </w:r>
      <w:r w:rsidRPr="008C44F6" w:rsidR="005C0194">
        <w:rPr>
          <w:rFonts w:cs="Calibri"/>
        </w:rPr>
        <w:t>:</w:t>
      </w:r>
    </w:p>
    <w:p w:rsidRPr="008C44F6" w:rsidR="00C73194" w:rsidP="0023051A" w:rsidRDefault="00C73194" w14:paraId="5A53A057" w14:textId="480ECA50">
      <w:pPr>
        <w:pStyle w:val="ListParagraph"/>
        <w:numPr>
          <w:ilvl w:val="0"/>
          <w:numId w:val="11"/>
        </w:numPr>
        <w:spacing w:after="120" w:line="30" w:lineRule="atLeast"/>
      </w:pPr>
      <w:r w:rsidRPr="008C44F6">
        <w:t xml:space="preserve">student responses to </w:t>
      </w:r>
      <w:r w:rsidRPr="008C44F6" w:rsidR="730618AC">
        <w:t xml:space="preserve">math </w:t>
      </w:r>
      <w:r w:rsidRPr="008C44F6">
        <w:t>items</w:t>
      </w:r>
      <w:r w:rsidRPr="008C44F6" w:rsidR="780F77CF">
        <w:t>, Likert items, and post-test survey items</w:t>
      </w:r>
      <w:r w:rsidRPr="008C44F6">
        <w:t>;</w:t>
      </w:r>
    </w:p>
    <w:p w:rsidRPr="008C44F6" w:rsidR="00C73194" w:rsidP="0023051A" w:rsidRDefault="1CF0FE1B" w14:paraId="558F8C1C" w14:textId="58672A79">
      <w:pPr>
        <w:pStyle w:val="ListParagraph"/>
        <w:numPr>
          <w:ilvl w:val="0"/>
          <w:numId w:val="11"/>
        </w:numPr>
        <w:spacing w:after="120" w:line="30" w:lineRule="atLeast"/>
      </w:pPr>
      <w:r w:rsidRPr="008C44F6">
        <w:t>process data (e.g., response times, navigation in block, clickstream)</w:t>
      </w:r>
      <w:r w:rsidRPr="008C44F6" w:rsidR="00C73194">
        <w:t>;</w:t>
      </w:r>
      <w:r w:rsidRPr="008C44F6" w:rsidR="2ABB2A9D">
        <w:t xml:space="preserve"> and </w:t>
      </w:r>
    </w:p>
    <w:p w:rsidRPr="008C44F6" w:rsidR="00C73194" w:rsidP="002B70C7" w:rsidRDefault="2ABB2A9D" w14:paraId="6479ED22" w14:textId="02B542A2">
      <w:pPr>
        <w:pStyle w:val="ListParagraph"/>
        <w:numPr>
          <w:ilvl w:val="0"/>
          <w:numId w:val="11"/>
        </w:numPr>
        <w:spacing w:after="120" w:line="30" w:lineRule="atLeast"/>
      </w:pPr>
      <w:r w:rsidRPr="008C44F6">
        <w:t xml:space="preserve">demographic information to be collected as part of the </w:t>
      </w:r>
      <w:r w:rsidRPr="008C44F6" w:rsidR="002B70C7">
        <w:t xml:space="preserve">Intake Form </w:t>
      </w:r>
      <w:r w:rsidRPr="008C44F6" w:rsidR="00D0102A">
        <w:t>by</w:t>
      </w:r>
      <w:r w:rsidRPr="008C44F6" w:rsidR="002B70C7">
        <w:t xml:space="preserve"> parents and legal guardians (see Appendix </w:t>
      </w:r>
      <w:r w:rsidRPr="008C44F6" w:rsidR="008434F3">
        <w:t>C</w:t>
      </w:r>
      <w:r w:rsidRPr="008C44F6" w:rsidR="002B70C7">
        <w:t>).</w:t>
      </w:r>
    </w:p>
    <w:p w:rsidRPr="008C44F6" w:rsidR="00DB0976" w:rsidP="0023051A" w:rsidRDefault="00DB0976" w14:paraId="665915BC" w14:textId="433D5914">
      <w:pPr>
        <w:spacing w:after="120" w:line="30" w:lineRule="atLeast"/>
        <w:rPr>
          <w:rFonts w:asciiTheme="minorHAnsi" w:hAnsiTheme="minorHAnsi" w:eastAsiaTheme="minorEastAsia" w:cstheme="minorBidi"/>
          <w:b/>
          <w:u w:val="single"/>
        </w:rPr>
      </w:pPr>
    </w:p>
    <w:p w:rsidRPr="008C44F6" w:rsidR="00335614" w:rsidP="4C2BE3A1" w:rsidRDefault="40EFC4FC" w14:paraId="3F886B5F" w14:textId="071D7FCB">
      <w:pPr>
        <w:spacing w:after="120" w:line="30" w:lineRule="atLeast"/>
        <w:rPr>
          <w:rFonts w:asciiTheme="minorHAnsi" w:hAnsiTheme="minorHAnsi" w:eastAsiaTheme="minorEastAsia" w:cstheme="minorBidi"/>
          <w:b/>
          <w:bCs/>
          <w:u w:val="single"/>
        </w:rPr>
      </w:pPr>
      <w:r w:rsidRPr="008C44F6">
        <w:rPr>
          <w:rFonts w:asciiTheme="minorHAnsi" w:hAnsiTheme="minorHAnsi" w:eastAsiaTheme="minorEastAsia" w:cstheme="minorBidi"/>
          <w:b/>
          <w:bCs/>
          <w:u w:val="single"/>
        </w:rPr>
        <w:t>Analysis Plan</w:t>
      </w:r>
      <w:r w:rsidRPr="008C44F6" w:rsidR="00335614">
        <w:rPr>
          <w:rFonts w:asciiTheme="minorHAnsi" w:hAnsiTheme="minorHAnsi" w:eastAsiaTheme="minorEastAsia" w:cstheme="minorBidi"/>
          <w:b/>
          <w:bCs/>
          <w:u w:val="single"/>
        </w:rPr>
        <w:t xml:space="preserve"> </w:t>
      </w:r>
    </w:p>
    <w:p w:rsidRPr="008C44F6" w:rsidR="00974DD0" w:rsidP="0023051A" w:rsidRDefault="2AB7074A" w14:paraId="60E94D0F" w14:textId="3CC6DD76">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There are </w:t>
      </w:r>
      <w:r w:rsidRPr="008C44F6" w:rsidR="4F533716">
        <w:rPr>
          <w:rFonts w:asciiTheme="minorHAnsi" w:hAnsiTheme="minorHAnsi" w:eastAsiaTheme="minorEastAsia" w:cstheme="minorBidi"/>
        </w:rPr>
        <w:t>multiple</w:t>
      </w:r>
      <w:r w:rsidRPr="008C44F6" w:rsidR="7E162CEB">
        <w:rPr>
          <w:rFonts w:asciiTheme="minorHAnsi" w:hAnsiTheme="minorHAnsi" w:eastAsiaTheme="minorEastAsia" w:cstheme="minorBidi"/>
        </w:rPr>
        <w:t xml:space="preserve"> </w:t>
      </w:r>
      <w:r w:rsidRPr="008C44F6">
        <w:rPr>
          <w:rFonts w:asciiTheme="minorHAnsi" w:hAnsiTheme="minorHAnsi" w:eastAsiaTheme="minorEastAsia" w:cstheme="minorBidi"/>
        </w:rPr>
        <w:t>parts to our planned analyses:</w:t>
      </w:r>
    </w:p>
    <w:p w:rsidRPr="008C44F6" w:rsidR="2AB7074A" w:rsidP="5FAAFDE5" w:rsidRDefault="2AB7074A" w14:paraId="18F4F774" w14:textId="7BA96E46">
      <w:pPr>
        <w:pStyle w:val="ListParagraph"/>
        <w:numPr>
          <w:ilvl w:val="0"/>
          <w:numId w:val="23"/>
        </w:num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Motivation</w:t>
      </w:r>
      <w:r w:rsidRPr="008C44F6" w:rsidR="76268DAB">
        <w:rPr>
          <w:rFonts w:asciiTheme="minorHAnsi" w:hAnsiTheme="minorHAnsi" w:eastAsiaTheme="minorEastAsia" w:cstheme="minorBidi"/>
        </w:rPr>
        <w:t xml:space="preserve"> difference between the test assembly conditions</w:t>
      </w:r>
    </w:p>
    <w:p w:rsidRPr="008C44F6" w:rsidR="2AB7074A" w:rsidP="5FAAFDE5" w:rsidRDefault="7381DDE5" w14:paraId="7304AB26" w14:textId="2317E02C">
      <w:pPr>
        <w:pStyle w:val="ListParagraph"/>
        <w:numPr>
          <w:ilvl w:val="1"/>
          <w:numId w:val="23"/>
        </w:numPr>
        <w:spacing w:after="120" w:line="30" w:lineRule="atLeast"/>
      </w:pPr>
      <w:r w:rsidRPr="008C44F6">
        <w:rPr>
          <w:rFonts w:asciiTheme="minorHAnsi" w:hAnsiTheme="minorHAnsi" w:eastAsiaTheme="minorEastAsia" w:cstheme="minorBidi"/>
        </w:rPr>
        <w:t xml:space="preserve">The motivation analyses will utilize </w:t>
      </w:r>
      <w:r w:rsidRPr="008C44F6" w:rsidR="228AD531">
        <w:rPr>
          <w:rFonts w:asciiTheme="minorHAnsi" w:hAnsiTheme="minorHAnsi" w:eastAsiaTheme="minorEastAsia" w:cstheme="minorBidi"/>
        </w:rPr>
        <w:t>multiple</w:t>
      </w:r>
      <w:r w:rsidRPr="008C44F6">
        <w:rPr>
          <w:rFonts w:asciiTheme="minorHAnsi" w:hAnsiTheme="minorHAnsi" w:eastAsiaTheme="minorEastAsia" w:cstheme="minorBidi"/>
        </w:rPr>
        <w:t xml:space="preserve"> measures of </w:t>
      </w:r>
      <w:r w:rsidRPr="008C44F6" w:rsidR="34012909">
        <w:rPr>
          <w:rFonts w:asciiTheme="minorHAnsi" w:hAnsiTheme="minorHAnsi" w:eastAsiaTheme="minorEastAsia" w:cstheme="minorBidi"/>
        </w:rPr>
        <w:t>motivation</w:t>
      </w:r>
      <w:r w:rsidRPr="008C44F6" w:rsidR="3CE84C4D">
        <w:rPr>
          <w:rFonts w:asciiTheme="minorHAnsi" w:hAnsiTheme="minorHAnsi" w:eastAsiaTheme="minorEastAsia" w:cstheme="minorBidi"/>
        </w:rPr>
        <w:t xml:space="preserve"> (e.g., effort</w:t>
      </w:r>
      <w:r w:rsidRPr="008C44F6" w:rsidR="34012909">
        <w:rPr>
          <w:rFonts w:asciiTheme="minorHAnsi" w:hAnsiTheme="minorHAnsi" w:eastAsiaTheme="minorEastAsia" w:cstheme="minorBidi"/>
        </w:rPr>
        <w:t xml:space="preserve"> Likert item</w:t>
      </w:r>
      <w:r w:rsidRPr="008C44F6" w:rsidR="49C084E8">
        <w:rPr>
          <w:rFonts w:asciiTheme="minorHAnsi" w:hAnsiTheme="minorHAnsi" w:eastAsiaTheme="minorEastAsia" w:cstheme="minorBidi"/>
        </w:rPr>
        <w:t>,</w:t>
      </w:r>
      <w:r w:rsidRPr="008C44F6" w:rsidR="34012909">
        <w:rPr>
          <w:rFonts w:asciiTheme="minorHAnsi" w:hAnsiTheme="minorHAnsi" w:eastAsiaTheme="minorEastAsia" w:cstheme="minorBidi"/>
        </w:rPr>
        <w:t xml:space="preserve"> item visit time (in seconds)</w:t>
      </w:r>
      <w:r w:rsidRPr="008C44F6" w:rsidR="4832BF7B">
        <w:rPr>
          <w:rFonts w:asciiTheme="minorHAnsi" w:hAnsiTheme="minorHAnsi" w:eastAsiaTheme="minorEastAsia" w:cstheme="minorBidi"/>
        </w:rPr>
        <w:t>, and effort scale from post-test survey</w:t>
      </w:r>
      <w:r w:rsidRPr="008C44F6" w:rsidR="3C802A20">
        <w:rPr>
          <w:rFonts w:asciiTheme="minorHAnsi" w:hAnsiTheme="minorHAnsi" w:eastAsiaTheme="minorEastAsia" w:cstheme="minorBidi"/>
        </w:rPr>
        <w:t>)</w:t>
      </w:r>
      <w:r w:rsidRPr="008C44F6" w:rsidR="34012909">
        <w:rPr>
          <w:rFonts w:asciiTheme="minorHAnsi" w:hAnsiTheme="minorHAnsi" w:eastAsiaTheme="minorEastAsia" w:cstheme="minorBidi"/>
        </w:rPr>
        <w:t>.</w:t>
      </w:r>
      <w:r w:rsidRPr="008C44F6" w:rsidR="3B1C19B4">
        <w:rPr>
          <w:rFonts w:asciiTheme="minorHAnsi" w:hAnsiTheme="minorHAnsi" w:eastAsiaTheme="minorEastAsia" w:cstheme="minorBidi"/>
        </w:rPr>
        <w:t xml:space="preserve"> </w:t>
      </w:r>
    </w:p>
    <w:p w:rsidRPr="008C44F6" w:rsidR="63578C44" w:rsidP="0A5A50C4" w:rsidRDefault="4287CBC7" w14:paraId="4883FC74" w14:textId="3FAEE755">
      <w:pPr>
        <w:pStyle w:val="ListParagraph"/>
        <w:numPr>
          <w:ilvl w:val="1"/>
          <w:numId w:val="23"/>
        </w:numPr>
        <w:spacing w:after="120" w:line="30" w:lineRule="atLeast"/>
      </w:pPr>
      <w:r w:rsidRPr="008C44F6">
        <w:rPr>
          <w:rFonts w:asciiTheme="minorHAnsi" w:hAnsiTheme="minorHAnsi" w:eastAsiaTheme="minorEastAsia" w:cstheme="minorBidi"/>
        </w:rPr>
        <w:t xml:space="preserve">The comparisons between test conditions </w:t>
      </w:r>
      <w:r w:rsidRPr="008C44F6" w:rsidR="45F99891">
        <w:rPr>
          <w:rFonts w:asciiTheme="minorHAnsi" w:hAnsiTheme="minorHAnsi" w:eastAsiaTheme="minorEastAsia" w:cstheme="minorBidi"/>
        </w:rPr>
        <w:t>may</w:t>
      </w:r>
      <w:r w:rsidRPr="008C44F6">
        <w:rPr>
          <w:rFonts w:asciiTheme="minorHAnsi" w:hAnsiTheme="minorHAnsi" w:eastAsiaTheme="minorEastAsia" w:cstheme="minorBidi"/>
        </w:rPr>
        <w:t xml:space="preserve"> include </w:t>
      </w:r>
      <w:r w:rsidRPr="008C44F6" w:rsidR="2B500F23">
        <w:rPr>
          <w:rFonts w:asciiTheme="minorHAnsi" w:hAnsiTheme="minorHAnsi" w:eastAsiaTheme="minorEastAsia" w:cstheme="minorBidi"/>
        </w:rPr>
        <w:t>multiple</w:t>
      </w:r>
      <w:r w:rsidRPr="008C44F6">
        <w:rPr>
          <w:rFonts w:asciiTheme="minorHAnsi" w:hAnsiTheme="minorHAnsi" w:eastAsiaTheme="minorEastAsia" w:cstheme="minorBidi"/>
        </w:rPr>
        <w:t xml:space="preserve"> parts</w:t>
      </w:r>
      <w:r w:rsidRPr="008C44F6" w:rsidR="0612D281">
        <w:rPr>
          <w:rFonts w:asciiTheme="minorHAnsi" w:hAnsiTheme="minorHAnsi" w:eastAsiaTheme="minorEastAsia" w:cstheme="minorBidi"/>
        </w:rPr>
        <w:t xml:space="preserve"> (e.g.,</w:t>
      </w:r>
      <w:r w:rsidRPr="008C44F6">
        <w:rPr>
          <w:rFonts w:asciiTheme="minorHAnsi" w:hAnsiTheme="minorHAnsi" w:eastAsiaTheme="minorEastAsia" w:cstheme="minorBidi"/>
        </w:rPr>
        <w:t xml:space="preserve"> </w:t>
      </w:r>
      <w:r w:rsidRPr="008C44F6" w:rsidR="77FFF93A">
        <w:rPr>
          <w:rFonts w:asciiTheme="minorHAnsi" w:hAnsiTheme="minorHAnsi" w:eastAsiaTheme="minorEastAsia" w:cstheme="minorBidi"/>
        </w:rPr>
        <w:t>overall</w:t>
      </w:r>
      <w:r w:rsidRPr="008C44F6">
        <w:rPr>
          <w:rFonts w:asciiTheme="minorHAnsi" w:hAnsiTheme="minorHAnsi" w:eastAsiaTheme="minorEastAsia" w:cstheme="minorBidi"/>
        </w:rPr>
        <w:t xml:space="preserve"> motivation level</w:t>
      </w:r>
      <w:r w:rsidRPr="008C44F6" w:rsidR="77FFF93A">
        <w:rPr>
          <w:rFonts w:asciiTheme="minorHAnsi" w:hAnsiTheme="minorHAnsi" w:eastAsiaTheme="minorEastAsia" w:cstheme="minorBidi"/>
        </w:rPr>
        <w:t>, temporal</w:t>
      </w:r>
      <w:r w:rsidRPr="008C44F6" w:rsidR="65A846C9">
        <w:rPr>
          <w:rFonts w:asciiTheme="minorHAnsi" w:hAnsiTheme="minorHAnsi" w:eastAsiaTheme="minorEastAsia" w:cstheme="minorBidi"/>
        </w:rPr>
        <w:t xml:space="preserve"> dynamics of </w:t>
      </w:r>
      <w:r w:rsidRPr="008C44F6" w:rsidR="0871A26F">
        <w:rPr>
          <w:rFonts w:asciiTheme="minorHAnsi" w:hAnsiTheme="minorHAnsi" w:eastAsiaTheme="minorEastAsia" w:cstheme="minorBidi"/>
        </w:rPr>
        <w:t xml:space="preserve">motivated responding </w:t>
      </w:r>
      <w:r w:rsidRPr="008C44F6" w:rsidR="0CEEDB63">
        <w:rPr>
          <w:rFonts w:asciiTheme="minorHAnsi" w:hAnsiTheme="minorHAnsi" w:eastAsiaTheme="minorEastAsia" w:cstheme="minorBidi"/>
        </w:rPr>
        <w:t>across a block</w:t>
      </w:r>
      <w:r w:rsidRPr="008C44F6" w:rsidR="77FFF93A">
        <w:rPr>
          <w:rFonts w:asciiTheme="minorHAnsi" w:hAnsiTheme="minorHAnsi" w:eastAsiaTheme="minorEastAsia" w:cstheme="minorBidi"/>
        </w:rPr>
        <w:t>,</w:t>
      </w:r>
      <w:r w:rsidRPr="008C44F6" w:rsidR="4AF07290">
        <w:rPr>
          <w:rFonts w:asciiTheme="minorHAnsi" w:hAnsiTheme="minorHAnsi" w:eastAsiaTheme="minorEastAsia" w:cstheme="minorBidi"/>
        </w:rPr>
        <w:t xml:space="preserve"> impact of block position on motivated responding</w:t>
      </w:r>
      <w:r w:rsidRPr="008C44F6" w:rsidR="77FFF93A">
        <w:rPr>
          <w:rFonts w:asciiTheme="minorHAnsi" w:hAnsiTheme="minorHAnsi" w:eastAsiaTheme="minorEastAsia" w:cstheme="minorBidi"/>
        </w:rPr>
        <w:t>,</w:t>
      </w:r>
      <w:r w:rsidRPr="008C44F6" w:rsidR="63578C44">
        <w:rPr>
          <w:rFonts w:asciiTheme="minorHAnsi" w:hAnsiTheme="minorHAnsi" w:eastAsiaTheme="minorEastAsia" w:cstheme="minorBidi"/>
        </w:rPr>
        <w:t xml:space="preserve"> impact of individual item position on motivated responding</w:t>
      </w:r>
      <w:r w:rsidRPr="008C44F6" w:rsidR="0638CAD1">
        <w:rPr>
          <w:rFonts w:asciiTheme="minorHAnsi" w:hAnsiTheme="minorHAnsi" w:eastAsiaTheme="minorEastAsia" w:cstheme="minorBidi"/>
        </w:rPr>
        <w:t xml:space="preserve">). </w:t>
      </w:r>
      <w:r w:rsidRPr="008C44F6" w:rsidR="77FFF93A">
        <w:rPr>
          <w:rFonts w:asciiTheme="minorHAnsi" w:hAnsiTheme="minorHAnsi" w:eastAsiaTheme="minorEastAsia" w:cstheme="minorBidi"/>
        </w:rPr>
        <w:t xml:space="preserve"> </w:t>
      </w:r>
    </w:p>
    <w:p w:rsidRPr="008C44F6" w:rsidR="2AB7074A" w:rsidP="5FAAFDE5" w:rsidRDefault="2AB7074A" w14:paraId="1A7BE749" w14:textId="584D941E">
      <w:pPr>
        <w:pStyle w:val="ListParagraph"/>
        <w:numPr>
          <w:ilvl w:val="0"/>
          <w:numId w:val="23"/>
        </w:numPr>
        <w:spacing w:after="120" w:line="30" w:lineRule="atLeast"/>
      </w:pPr>
      <w:r w:rsidRPr="008C44F6">
        <w:rPr>
          <w:rFonts w:asciiTheme="minorHAnsi" w:hAnsiTheme="minorHAnsi" w:eastAsiaTheme="minorEastAsia" w:cstheme="minorBidi"/>
        </w:rPr>
        <w:t>Performance</w:t>
      </w:r>
      <w:r w:rsidRPr="008C44F6" w:rsidR="33A3E558">
        <w:rPr>
          <w:rFonts w:asciiTheme="minorHAnsi" w:hAnsiTheme="minorHAnsi" w:eastAsiaTheme="minorEastAsia" w:cstheme="minorBidi"/>
        </w:rPr>
        <w:t xml:space="preserve"> differences between the test assembly conditions</w:t>
      </w:r>
    </w:p>
    <w:p w:rsidRPr="008C44F6" w:rsidR="44C60BE2" w:rsidP="5FAAFDE5" w:rsidRDefault="6E736C7B" w14:paraId="17DEB414" w14:textId="2BD6597C">
      <w:pPr>
        <w:pStyle w:val="ListParagraph"/>
        <w:numPr>
          <w:ilvl w:val="1"/>
          <w:numId w:val="23"/>
        </w:numPr>
        <w:spacing w:after="120" w:line="30" w:lineRule="atLeast"/>
      </w:pPr>
      <w:r w:rsidRPr="008C44F6">
        <w:rPr>
          <w:rFonts w:asciiTheme="minorHAnsi" w:hAnsiTheme="minorHAnsi" w:eastAsiaTheme="minorEastAsia" w:cstheme="minorBidi"/>
        </w:rPr>
        <w:t xml:space="preserve">The performance analyses will utilize </w:t>
      </w:r>
      <w:r w:rsidRPr="008C44F6" w:rsidR="2EC7B597">
        <w:rPr>
          <w:rFonts w:asciiTheme="minorHAnsi" w:hAnsiTheme="minorHAnsi" w:eastAsiaTheme="minorEastAsia" w:cstheme="minorBidi"/>
        </w:rPr>
        <w:t xml:space="preserve">multiple measures of performance (e.g., </w:t>
      </w:r>
      <w:r w:rsidRPr="008C44F6">
        <w:rPr>
          <w:rFonts w:asciiTheme="minorHAnsi" w:hAnsiTheme="minorHAnsi" w:eastAsiaTheme="minorEastAsia" w:cstheme="minorBidi"/>
        </w:rPr>
        <w:t>the quality of responses on individual items and the estimated performance on the post-test survey</w:t>
      </w:r>
      <w:r w:rsidRPr="008C44F6" w:rsidR="1F6D23C5">
        <w:rPr>
          <w:rFonts w:asciiTheme="minorHAnsi" w:hAnsiTheme="minorHAnsi" w:eastAsiaTheme="minorEastAsia" w:cstheme="minorBidi"/>
        </w:rPr>
        <w:t>)</w:t>
      </w:r>
      <w:r w:rsidRPr="008C44F6">
        <w:rPr>
          <w:rFonts w:asciiTheme="minorHAnsi" w:hAnsiTheme="minorHAnsi" w:eastAsiaTheme="minorEastAsia" w:cstheme="minorBidi"/>
        </w:rPr>
        <w:t xml:space="preserve">. </w:t>
      </w:r>
    </w:p>
    <w:p w:rsidRPr="008C44F6" w:rsidR="4360CFA5" w:rsidP="0A5A50C4" w:rsidRDefault="6E736C7B" w14:paraId="6A3D3189" w14:textId="2260A1B8">
      <w:pPr>
        <w:pStyle w:val="ListParagraph"/>
        <w:numPr>
          <w:ilvl w:val="1"/>
          <w:numId w:val="23"/>
        </w:numPr>
        <w:spacing w:after="120" w:line="30" w:lineRule="atLeast"/>
      </w:pPr>
      <w:r w:rsidRPr="008C44F6">
        <w:rPr>
          <w:rFonts w:asciiTheme="minorHAnsi" w:hAnsiTheme="minorHAnsi" w:eastAsiaTheme="minorEastAsia" w:cstheme="minorBidi"/>
        </w:rPr>
        <w:t xml:space="preserve">The comparisons between test conditions </w:t>
      </w:r>
      <w:r w:rsidRPr="008C44F6" w:rsidR="50227812">
        <w:rPr>
          <w:rFonts w:asciiTheme="minorHAnsi" w:hAnsiTheme="minorHAnsi" w:eastAsiaTheme="minorEastAsia" w:cstheme="minorBidi"/>
        </w:rPr>
        <w:t>may</w:t>
      </w:r>
      <w:r w:rsidRPr="008C44F6">
        <w:rPr>
          <w:rFonts w:asciiTheme="minorHAnsi" w:hAnsiTheme="minorHAnsi" w:eastAsiaTheme="minorEastAsia" w:cstheme="minorBidi"/>
        </w:rPr>
        <w:t xml:space="preserve"> include </w:t>
      </w:r>
      <w:r w:rsidRPr="008C44F6" w:rsidR="1F1FB05E">
        <w:rPr>
          <w:rFonts w:asciiTheme="minorHAnsi" w:hAnsiTheme="minorHAnsi" w:eastAsiaTheme="minorEastAsia" w:cstheme="minorBidi"/>
        </w:rPr>
        <w:t>multiple</w:t>
      </w:r>
      <w:r w:rsidRPr="008C44F6" w:rsidR="2A2C1D00">
        <w:rPr>
          <w:rFonts w:asciiTheme="minorHAnsi" w:hAnsiTheme="minorHAnsi" w:eastAsiaTheme="minorEastAsia" w:cstheme="minorBidi"/>
        </w:rPr>
        <w:t xml:space="preserve"> </w:t>
      </w:r>
      <w:r w:rsidRPr="008C44F6">
        <w:rPr>
          <w:rFonts w:asciiTheme="minorHAnsi" w:hAnsiTheme="minorHAnsi" w:eastAsiaTheme="minorEastAsia" w:cstheme="minorBidi"/>
        </w:rPr>
        <w:t>parts</w:t>
      </w:r>
      <w:r w:rsidRPr="008C44F6" w:rsidR="2E6BBBB1">
        <w:rPr>
          <w:rFonts w:asciiTheme="minorHAnsi" w:hAnsiTheme="minorHAnsi" w:eastAsiaTheme="minorEastAsia" w:cstheme="minorBidi"/>
        </w:rPr>
        <w:t xml:space="preserve"> (e.g., overall</w:t>
      </w:r>
      <w:r w:rsidRPr="008C44F6" w:rsidR="4124B254">
        <w:rPr>
          <w:rFonts w:asciiTheme="minorHAnsi" w:hAnsiTheme="minorHAnsi" w:eastAsiaTheme="minorEastAsia" w:cstheme="minorBidi"/>
        </w:rPr>
        <w:t xml:space="preserve"> performance</w:t>
      </w:r>
      <w:r w:rsidRPr="008C44F6" w:rsidR="2E6BBBB1">
        <w:rPr>
          <w:rFonts w:asciiTheme="minorHAnsi" w:hAnsiTheme="minorHAnsi" w:eastAsiaTheme="minorEastAsia" w:cstheme="minorBidi"/>
        </w:rPr>
        <w:t>,</w:t>
      </w:r>
      <w:r w:rsidRPr="008C44F6" w:rsidR="4360CFA5">
        <w:rPr>
          <w:rFonts w:asciiTheme="minorHAnsi" w:hAnsiTheme="minorHAnsi" w:eastAsiaTheme="minorEastAsia" w:cstheme="minorBidi"/>
        </w:rPr>
        <w:t xml:space="preserve"> impact of block position on performance</w:t>
      </w:r>
      <w:r w:rsidRPr="008C44F6" w:rsidR="2E6BBBB1">
        <w:rPr>
          <w:rFonts w:asciiTheme="minorHAnsi" w:hAnsiTheme="minorHAnsi" w:eastAsiaTheme="minorEastAsia" w:cstheme="minorBidi"/>
        </w:rPr>
        <w:t>,</w:t>
      </w:r>
      <w:r w:rsidRPr="008C44F6" w:rsidR="4360CFA5">
        <w:rPr>
          <w:rFonts w:asciiTheme="minorHAnsi" w:hAnsiTheme="minorHAnsi" w:eastAsiaTheme="minorEastAsia" w:cstheme="minorBidi"/>
        </w:rPr>
        <w:t xml:space="preserve"> impact of individual item position on </w:t>
      </w:r>
      <w:r w:rsidRPr="008C44F6" w:rsidR="6999E03F">
        <w:rPr>
          <w:rFonts w:asciiTheme="minorHAnsi" w:hAnsiTheme="minorHAnsi" w:eastAsiaTheme="minorEastAsia" w:cstheme="minorBidi"/>
        </w:rPr>
        <w:t>performance</w:t>
      </w:r>
      <w:r w:rsidRPr="008C44F6" w:rsidR="2E6BBBB1">
        <w:rPr>
          <w:rFonts w:asciiTheme="minorHAnsi" w:hAnsiTheme="minorHAnsi" w:eastAsiaTheme="minorEastAsia" w:cstheme="minorBidi"/>
        </w:rPr>
        <w:t>).</w:t>
      </w:r>
    </w:p>
    <w:p w:rsidRPr="008C44F6" w:rsidR="67284DC8" w:rsidP="5FAAFDE5" w:rsidRDefault="67284DC8" w14:paraId="0A85B6AE" w14:textId="0369A3A0">
      <w:pPr>
        <w:pStyle w:val="ListParagraph"/>
        <w:numPr>
          <w:ilvl w:val="1"/>
          <w:numId w:val="23"/>
        </w:numPr>
        <w:spacing w:after="0"/>
        <w:rPr>
          <w:rFonts w:asciiTheme="minorHAnsi" w:hAnsiTheme="minorHAnsi" w:eastAsiaTheme="minorEastAsia" w:cstheme="minorBidi"/>
        </w:rPr>
      </w:pPr>
      <w:r w:rsidRPr="008C44F6">
        <w:rPr>
          <w:rFonts w:asciiTheme="minorHAnsi" w:hAnsiTheme="minorHAnsi" w:eastAsiaTheme="minorEastAsia" w:cstheme="minorBidi"/>
        </w:rPr>
        <w:t xml:space="preserve">We </w:t>
      </w:r>
      <w:r w:rsidRPr="008C44F6" w:rsidR="6890562D">
        <w:rPr>
          <w:rFonts w:asciiTheme="minorHAnsi" w:hAnsiTheme="minorHAnsi" w:eastAsiaTheme="minorEastAsia" w:cstheme="minorBidi"/>
        </w:rPr>
        <w:t>plan to</w:t>
      </w:r>
      <w:r w:rsidRPr="008C44F6">
        <w:rPr>
          <w:rFonts w:asciiTheme="minorHAnsi" w:hAnsiTheme="minorHAnsi" w:eastAsiaTheme="minorEastAsia" w:cstheme="minorBidi"/>
        </w:rPr>
        <w:t xml:space="preserve"> compare findings from the motivation analyses to those in the performance analyses. </w:t>
      </w:r>
    </w:p>
    <w:p w:rsidRPr="008C44F6" w:rsidR="2AB7074A" w:rsidP="5FAAFDE5" w:rsidRDefault="2AB7074A" w14:paraId="1638CA33" w14:textId="652BF62F">
      <w:pPr>
        <w:pStyle w:val="ListParagraph"/>
        <w:numPr>
          <w:ilvl w:val="0"/>
          <w:numId w:val="23"/>
        </w:numPr>
        <w:spacing w:after="120" w:line="30" w:lineRule="atLeast"/>
      </w:pPr>
      <w:r w:rsidRPr="008C44F6">
        <w:rPr>
          <w:rFonts w:asciiTheme="minorHAnsi" w:hAnsiTheme="minorHAnsi" w:eastAsiaTheme="minorEastAsia" w:cstheme="minorBidi"/>
        </w:rPr>
        <w:t>Navigation</w:t>
      </w:r>
      <w:r w:rsidRPr="008C44F6" w:rsidR="2E11D971">
        <w:rPr>
          <w:rFonts w:asciiTheme="minorHAnsi" w:hAnsiTheme="minorHAnsi" w:eastAsiaTheme="minorEastAsia" w:cstheme="minorBidi"/>
        </w:rPr>
        <w:t xml:space="preserve"> differences between the test assembly conditions</w:t>
      </w:r>
    </w:p>
    <w:p w:rsidRPr="008C44F6" w:rsidR="206DA6F9" w:rsidP="5FAAFDE5" w:rsidRDefault="231C3879" w14:paraId="391CF3AA" w14:textId="2523379E">
      <w:pPr>
        <w:pStyle w:val="ListParagraph"/>
        <w:numPr>
          <w:ilvl w:val="1"/>
          <w:numId w:val="23"/>
        </w:numPr>
        <w:spacing w:after="120" w:line="30" w:lineRule="atLeast"/>
      </w:pPr>
      <w:r w:rsidRPr="008C44F6">
        <w:rPr>
          <w:rFonts w:asciiTheme="minorHAnsi" w:hAnsiTheme="minorHAnsi" w:eastAsiaTheme="minorEastAsia" w:cstheme="minorBidi"/>
        </w:rPr>
        <w:t xml:space="preserve">The navigation analyses will utilize multiple measures of navigation (e.g., sequence of item visits, item skips, item revisits). </w:t>
      </w:r>
      <w:r w:rsidRPr="008C44F6" w:rsidR="6B11D7CB">
        <w:rPr>
          <w:rFonts w:asciiTheme="minorHAnsi" w:hAnsiTheme="minorHAnsi" w:eastAsiaTheme="minorEastAsia" w:cstheme="minorBidi"/>
        </w:rPr>
        <w:t xml:space="preserve"> </w:t>
      </w:r>
    </w:p>
    <w:p w:rsidRPr="008C44F6" w:rsidR="3322DF24" w:rsidP="0A5A50C4" w:rsidRDefault="3E408861" w14:paraId="47EE5687" w14:textId="747E29EB">
      <w:pPr>
        <w:pStyle w:val="ListParagraph"/>
        <w:numPr>
          <w:ilvl w:val="1"/>
          <w:numId w:val="23"/>
        </w:numPr>
        <w:spacing w:after="120" w:line="30" w:lineRule="atLeast"/>
      </w:pPr>
      <w:r w:rsidRPr="008C44F6">
        <w:rPr>
          <w:rFonts w:asciiTheme="minorHAnsi" w:hAnsiTheme="minorHAnsi" w:eastAsiaTheme="minorEastAsia" w:cstheme="minorBidi"/>
        </w:rPr>
        <w:t xml:space="preserve">The comparisons between test conditions </w:t>
      </w:r>
      <w:r w:rsidRPr="008C44F6" w:rsidR="6BD0E477">
        <w:rPr>
          <w:rFonts w:asciiTheme="minorHAnsi" w:hAnsiTheme="minorHAnsi" w:eastAsiaTheme="minorEastAsia" w:cstheme="minorBidi"/>
        </w:rPr>
        <w:t>may</w:t>
      </w:r>
      <w:r w:rsidRPr="008C44F6">
        <w:rPr>
          <w:rFonts w:asciiTheme="minorHAnsi" w:hAnsiTheme="minorHAnsi" w:eastAsiaTheme="minorEastAsia" w:cstheme="minorBidi"/>
        </w:rPr>
        <w:t xml:space="preserve"> include </w:t>
      </w:r>
      <w:r w:rsidRPr="008C44F6" w:rsidR="4E2E08A6">
        <w:rPr>
          <w:rFonts w:asciiTheme="minorHAnsi" w:hAnsiTheme="minorHAnsi" w:eastAsiaTheme="minorEastAsia" w:cstheme="minorBidi"/>
        </w:rPr>
        <w:t>multiple</w:t>
      </w:r>
      <w:r w:rsidRPr="008C44F6" w:rsidR="480E3706">
        <w:rPr>
          <w:rFonts w:asciiTheme="minorHAnsi" w:hAnsiTheme="minorHAnsi" w:eastAsiaTheme="minorEastAsia" w:cstheme="minorBidi"/>
        </w:rPr>
        <w:t xml:space="preserve"> </w:t>
      </w:r>
      <w:r w:rsidRPr="008C44F6">
        <w:rPr>
          <w:rFonts w:asciiTheme="minorHAnsi" w:hAnsiTheme="minorHAnsi" w:eastAsiaTheme="minorEastAsia" w:cstheme="minorBidi"/>
        </w:rPr>
        <w:t>parts</w:t>
      </w:r>
      <w:r w:rsidRPr="008C44F6" w:rsidR="1A98DA5F">
        <w:rPr>
          <w:rFonts w:asciiTheme="minorHAnsi" w:hAnsiTheme="minorHAnsi" w:eastAsiaTheme="minorEastAsia" w:cstheme="minorBidi"/>
        </w:rPr>
        <w:t xml:space="preserve"> (e.g., </w:t>
      </w:r>
      <w:r w:rsidRPr="008C44F6" w:rsidR="0DCCDE33">
        <w:rPr>
          <w:rFonts w:asciiTheme="minorHAnsi" w:hAnsiTheme="minorHAnsi" w:eastAsiaTheme="minorEastAsia" w:cstheme="minorBidi"/>
        </w:rPr>
        <w:t>item visit sequence overall and within block, individual item visit behaviors).</w:t>
      </w:r>
      <w:r w:rsidRPr="008C44F6">
        <w:rPr>
          <w:rFonts w:asciiTheme="minorHAnsi" w:hAnsiTheme="minorHAnsi" w:eastAsiaTheme="minorEastAsia" w:cstheme="minorBidi"/>
        </w:rPr>
        <w:t xml:space="preserve"> </w:t>
      </w:r>
    </w:p>
    <w:p w:rsidRPr="008C44F6" w:rsidR="4FBC6AA3" w:rsidP="5FAAFDE5" w:rsidRDefault="4FBC6AA3" w14:paraId="723DA552" w14:textId="2BEE2412">
      <w:pPr>
        <w:pStyle w:val="ListParagraph"/>
        <w:numPr>
          <w:ilvl w:val="1"/>
          <w:numId w:val="23"/>
        </w:numPr>
        <w:spacing w:after="0"/>
        <w:rPr>
          <w:rFonts w:asciiTheme="minorHAnsi" w:hAnsiTheme="minorHAnsi" w:eastAsiaTheme="minorEastAsia" w:cstheme="minorBidi"/>
        </w:rPr>
      </w:pPr>
      <w:r w:rsidRPr="008C44F6">
        <w:rPr>
          <w:rFonts w:asciiTheme="minorHAnsi" w:hAnsiTheme="minorHAnsi" w:eastAsiaTheme="minorEastAsia" w:cstheme="minorBidi"/>
        </w:rPr>
        <w:t xml:space="preserve">We </w:t>
      </w:r>
      <w:r w:rsidRPr="008C44F6" w:rsidR="5B4AE3E1">
        <w:rPr>
          <w:rFonts w:asciiTheme="minorHAnsi" w:hAnsiTheme="minorHAnsi" w:eastAsiaTheme="minorEastAsia" w:cstheme="minorBidi"/>
        </w:rPr>
        <w:t xml:space="preserve">plan to </w:t>
      </w:r>
      <w:r w:rsidRPr="008C44F6">
        <w:rPr>
          <w:rFonts w:asciiTheme="minorHAnsi" w:hAnsiTheme="minorHAnsi" w:eastAsiaTheme="minorEastAsia" w:cstheme="minorBidi"/>
        </w:rPr>
        <w:t xml:space="preserve">compare findings from the motivation analyses to those in the navigation analyses. </w:t>
      </w:r>
    </w:p>
    <w:p w:rsidRPr="008C44F6" w:rsidR="4FBC6AA3" w:rsidP="5FAAFDE5" w:rsidRDefault="4FBC6AA3" w14:paraId="220358CD" w14:textId="35958C02">
      <w:pPr>
        <w:pStyle w:val="ListParagraph"/>
        <w:numPr>
          <w:ilvl w:val="1"/>
          <w:numId w:val="23"/>
        </w:numPr>
        <w:spacing w:after="120"/>
        <w:rPr>
          <w:rFonts w:asciiTheme="minorHAnsi" w:hAnsiTheme="minorHAnsi" w:eastAsiaTheme="minorEastAsia" w:cstheme="minorBidi"/>
        </w:rPr>
      </w:pPr>
      <w:r w:rsidRPr="008C44F6">
        <w:rPr>
          <w:rFonts w:asciiTheme="minorHAnsi" w:hAnsiTheme="minorHAnsi" w:eastAsiaTheme="minorEastAsia" w:cstheme="minorBidi"/>
        </w:rPr>
        <w:t xml:space="preserve">We </w:t>
      </w:r>
      <w:r w:rsidRPr="008C44F6" w:rsidR="654B337D">
        <w:rPr>
          <w:rFonts w:asciiTheme="minorHAnsi" w:hAnsiTheme="minorHAnsi" w:eastAsiaTheme="minorEastAsia" w:cstheme="minorBidi"/>
        </w:rPr>
        <w:t xml:space="preserve">plan to </w:t>
      </w:r>
      <w:r w:rsidRPr="008C44F6">
        <w:rPr>
          <w:rFonts w:asciiTheme="minorHAnsi" w:hAnsiTheme="minorHAnsi" w:eastAsiaTheme="minorEastAsia" w:cstheme="minorBidi"/>
        </w:rPr>
        <w:t xml:space="preserve">compare findings from the performance analyses to those in the navigation analyses. </w:t>
      </w:r>
    </w:p>
    <w:p w:rsidRPr="008C44F6" w:rsidR="4FBC6AA3" w:rsidP="5FAAFDE5" w:rsidRDefault="4FBC6AA3" w14:paraId="10E802D1" w14:textId="50A8BD06">
      <w:pPr>
        <w:pStyle w:val="ListParagraph"/>
        <w:numPr>
          <w:ilvl w:val="0"/>
          <w:numId w:val="23"/>
        </w:numPr>
        <w:spacing w:after="120"/>
      </w:pPr>
      <w:r w:rsidRPr="008C44F6">
        <w:rPr>
          <w:rFonts w:asciiTheme="minorHAnsi" w:hAnsiTheme="minorHAnsi" w:eastAsiaTheme="minorEastAsia" w:cstheme="minorBidi"/>
        </w:rPr>
        <w:t xml:space="preserve">Sub-group </w:t>
      </w:r>
      <w:r w:rsidRPr="008C44F6" w:rsidR="3873E9F0">
        <w:rPr>
          <w:rFonts w:asciiTheme="minorHAnsi" w:hAnsiTheme="minorHAnsi" w:eastAsiaTheme="minorEastAsia" w:cstheme="minorBidi"/>
        </w:rPr>
        <w:t>differences between the test assembly conditions</w:t>
      </w:r>
    </w:p>
    <w:p w:rsidRPr="008C44F6" w:rsidR="4081FF1A" w:rsidP="5FAAFDE5" w:rsidRDefault="4081FF1A" w14:paraId="3C65757B" w14:textId="6C02C0BD">
      <w:pPr>
        <w:pStyle w:val="ListParagraph"/>
        <w:numPr>
          <w:ilvl w:val="1"/>
          <w:numId w:val="23"/>
        </w:numPr>
        <w:spacing w:after="120"/>
      </w:pPr>
      <w:r w:rsidRPr="008C44F6">
        <w:rPr>
          <w:rFonts w:asciiTheme="minorHAnsi" w:hAnsiTheme="minorHAnsi" w:eastAsiaTheme="minorEastAsia" w:cstheme="minorBidi"/>
        </w:rPr>
        <w:t xml:space="preserve">We plan to investigate differences in motivation, performance, and navigation across the six test assembly conditions in relation to student demographics (e.g., gender, race/ethnicity, SES). </w:t>
      </w:r>
      <w:r w:rsidRPr="008C44F6" w:rsidR="0F8EC799">
        <w:rPr>
          <w:rFonts w:asciiTheme="minorHAnsi" w:hAnsiTheme="minorHAnsi" w:eastAsiaTheme="minorEastAsia" w:cstheme="minorBidi"/>
        </w:rPr>
        <w:t xml:space="preserve"> </w:t>
      </w:r>
    </w:p>
    <w:p w:rsidRPr="008C44F6" w:rsidR="00200D10" w:rsidP="0023051A" w:rsidRDefault="27EE25D0" w14:paraId="3C166042" w14:textId="1129007D">
      <w:pPr>
        <w:pStyle w:val="Heading1"/>
        <w:numPr>
          <w:ilvl w:val="0"/>
          <w:numId w:val="15"/>
        </w:numPr>
        <w:spacing w:before="0" w:after="120" w:line="30" w:lineRule="atLeast"/>
        <w:rPr>
          <w:rStyle w:val="IntenseEmphasis"/>
          <w:rFonts w:eastAsiaTheme="minorEastAsia"/>
          <w:i w:val="0"/>
          <w:iCs w:val="0"/>
          <w:color w:val="auto"/>
        </w:rPr>
      </w:pPr>
      <w:bookmarkStart w:name="_Toc41490572" w:id="6"/>
      <w:bookmarkStart w:name="_Toc50551994" w:id="7"/>
      <w:r w:rsidRPr="008C44F6">
        <w:rPr>
          <w:rStyle w:val="IntenseEmphasis"/>
          <w:rFonts w:eastAsiaTheme="minorEastAsia"/>
          <w:i w:val="0"/>
          <w:iCs w:val="0"/>
          <w:color w:val="auto"/>
        </w:rPr>
        <w:t xml:space="preserve">Consultations </w:t>
      </w:r>
      <w:r w:rsidRPr="008C44F6" w:rsidR="00CC42D5">
        <w:rPr>
          <w:rStyle w:val="IntenseEmphasis"/>
          <w:rFonts w:eastAsiaTheme="minorEastAsia"/>
          <w:i w:val="0"/>
          <w:iCs w:val="0"/>
          <w:color w:val="auto"/>
        </w:rPr>
        <w:t>O</w:t>
      </w:r>
      <w:r w:rsidRPr="008C44F6">
        <w:rPr>
          <w:rStyle w:val="IntenseEmphasis"/>
          <w:rFonts w:eastAsiaTheme="minorEastAsia"/>
          <w:i w:val="0"/>
          <w:iCs w:val="0"/>
          <w:color w:val="auto"/>
        </w:rPr>
        <w:t>utside the Agency</w:t>
      </w:r>
      <w:bookmarkEnd w:id="6"/>
      <w:bookmarkEnd w:id="7"/>
      <w:r w:rsidRPr="008C44F6" w:rsidR="00335614">
        <w:rPr>
          <w:rStyle w:val="IntenseEmphasis"/>
          <w:rFonts w:eastAsiaTheme="minorEastAsia"/>
          <w:i w:val="0"/>
          <w:iCs w:val="0"/>
          <w:color w:val="auto"/>
        </w:rPr>
        <w:t xml:space="preserve"> </w:t>
      </w:r>
    </w:p>
    <w:p w:rsidRPr="008C44F6" w:rsidR="003723B8" w:rsidP="0023051A" w:rsidRDefault="00994510" w14:paraId="21D5C7CB" w14:textId="6CA98BD8">
      <w:pPr>
        <w:spacing w:after="120" w:line="30" w:lineRule="atLeast"/>
      </w:pPr>
      <w:r w:rsidRPr="008C44F6">
        <w:t xml:space="preserve">Educational Testing Service (ETS) is the </w:t>
      </w:r>
      <w:r w:rsidRPr="008C44F6" w:rsidR="00A91EF1">
        <w:t>i</w:t>
      </w:r>
      <w:r w:rsidRPr="008C44F6">
        <w:t xml:space="preserve">tem </w:t>
      </w:r>
      <w:r w:rsidRPr="008C44F6" w:rsidR="00A91EF1">
        <w:t>d</w:t>
      </w:r>
      <w:r w:rsidRPr="008C44F6">
        <w:t xml:space="preserve">evelopment, </w:t>
      </w:r>
      <w:r w:rsidRPr="008C44F6" w:rsidR="00A91EF1">
        <w:t>d</w:t>
      </w:r>
      <w:r w:rsidRPr="008C44F6">
        <w:t xml:space="preserve">ata </w:t>
      </w:r>
      <w:r w:rsidRPr="008C44F6" w:rsidR="00A91EF1">
        <w:t>a</w:t>
      </w:r>
      <w:r w:rsidRPr="008C44F6">
        <w:t xml:space="preserve">nalysis, and </w:t>
      </w:r>
      <w:r w:rsidRPr="008C44F6" w:rsidR="00A91EF1">
        <w:t>r</w:t>
      </w:r>
      <w:r w:rsidRPr="008C44F6">
        <w:t xml:space="preserve">eporting contractor for NAEP and will develop the items, analyze results, and draft a report with results. </w:t>
      </w:r>
      <w:r w:rsidRPr="008C44F6" w:rsidR="006C4490">
        <w:t>ETS research scientists</w:t>
      </w:r>
      <w:r w:rsidRPr="008C44F6">
        <w:t xml:space="preserve"> will recruit participants and administer the </w:t>
      </w:r>
      <w:r w:rsidRPr="008C44F6" w:rsidR="640635E7">
        <w:t>materials</w:t>
      </w:r>
      <w:r w:rsidRPr="008C44F6" w:rsidR="00335614">
        <w:t xml:space="preserve"> for </w:t>
      </w:r>
      <w:r w:rsidRPr="008C44F6" w:rsidR="3924EDF4">
        <w:t xml:space="preserve">the proposed study. </w:t>
      </w:r>
    </w:p>
    <w:p w:rsidRPr="008C44F6" w:rsidR="003723B8" w:rsidP="0023051A" w:rsidRDefault="00720559" w14:paraId="42D807EF" w14:textId="0D6C7292">
      <w:pPr>
        <w:pStyle w:val="Heading1"/>
        <w:numPr>
          <w:ilvl w:val="0"/>
          <w:numId w:val="15"/>
        </w:numPr>
        <w:spacing w:before="0" w:after="120" w:line="30" w:lineRule="atLeast"/>
        <w:rPr>
          <w:rStyle w:val="IntenseEmphasis"/>
          <w:rFonts w:eastAsiaTheme="minorEastAsia"/>
          <w:i w:val="0"/>
          <w:iCs w:val="0"/>
          <w:color w:val="auto"/>
        </w:rPr>
      </w:pPr>
      <w:bookmarkStart w:name="_Toc41490573" w:id="8"/>
      <w:bookmarkStart w:name="_Toc50551995" w:id="9"/>
      <w:r w:rsidRPr="008C44F6">
        <w:rPr>
          <w:rStyle w:val="IntenseEmphasis"/>
          <w:rFonts w:eastAsiaTheme="minorEastAsia"/>
          <w:i w:val="0"/>
          <w:iCs w:val="0"/>
          <w:color w:val="auto"/>
        </w:rPr>
        <w:t>J</w:t>
      </w:r>
      <w:r w:rsidRPr="008C44F6" w:rsidR="003723B8">
        <w:rPr>
          <w:rStyle w:val="IntenseEmphasis"/>
          <w:rFonts w:eastAsiaTheme="minorEastAsia"/>
          <w:i w:val="0"/>
          <w:iCs w:val="0"/>
          <w:color w:val="auto"/>
        </w:rPr>
        <w:t>ustification for Sensitive Questions</w:t>
      </w:r>
      <w:bookmarkEnd w:id="8"/>
      <w:bookmarkEnd w:id="9"/>
    </w:p>
    <w:p w:rsidRPr="008C44F6" w:rsidR="00F17F72" w:rsidP="0023051A" w:rsidRDefault="003723B8" w14:paraId="0F2AC72D" w14:textId="6ACBAEDA">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Throughout the item development processes, effort has been made to avoid asking for information that might be considered sensitive or offensive.</w:t>
      </w:r>
    </w:p>
    <w:p w:rsidRPr="008C44F6" w:rsidR="00D13584" w:rsidP="1C771015" w:rsidRDefault="003723B8" w14:paraId="0A7C3C7B" w14:textId="3B719A04">
      <w:pPr>
        <w:pStyle w:val="Heading1"/>
        <w:numPr>
          <w:ilvl w:val="0"/>
          <w:numId w:val="15"/>
        </w:numPr>
        <w:spacing w:before="0" w:after="120" w:line="30" w:lineRule="atLeast"/>
        <w:rPr>
          <w:rStyle w:val="IntenseEmphasis"/>
          <w:rFonts w:eastAsiaTheme="minorEastAsia"/>
          <w:i w:val="0"/>
          <w:iCs w:val="0"/>
          <w:color w:val="auto"/>
        </w:rPr>
      </w:pPr>
      <w:bookmarkStart w:name="_Toc50551996" w:id="10"/>
      <w:r w:rsidRPr="008C44F6">
        <w:rPr>
          <w:rStyle w:val="IntenseEmphasis"/>
          <w:rFonts w:eastAsiaTheme="minorEastAsia"/>
          <w:i w:val="0"/>
          <w:iCs w:val="0"/>
          <w:color w:val="auto"/>
        </w:rPr>
        <w:lastRenderedPageBreak/>
        <w:t>Paying Respondent</w:t>
      </w:r>
      <w:r w:rsidRPr="008C44F6" w:rsidR="00335614">
        <w:rPr>
          <w:rStyle w:val="IntenseEmphasis"/>
          <w:rFonts w:eastAsiaTheme="minorEastAsia"/>
          <w:i w:val="0"/>
          <w:iCs w:val="0"/>
          <w:color w:val="auto"/>
        </w:rPr>
        <w:t>s</w:t>
      </w:r>
      <w:bookmarkEnd w:id="10"/>
    </w:p>
    <w:p w:rsidRPr="008C44F6" w:rsidR="00641B96" w:rsidP="00D0102A" w:rsidRDefault="00641B96" w14:paraId="1D323461" w14:textId="442F3DA4">
      <w:pPr>
        <w:spacing w:after="120" w:line="30" w:lineRule="atLeast"/>
      </w:pPr>
      <w:bookmarkStart w:name="_Toc41490575" w:id="11"/>
      <w:r w:rsidRPr="008C44F6">
        <w:t xml:space="preserve">To encourage participation in a </w:t>
      </w:r>
      <w:r w:rsidRPr="008C44F6" w:rsidR="00F716A5">
        <w:t xml:space="preserve">50-minute </w:t>
      </w:r>
      <w:r w:rsidRPr="008C44F6">
        <w:t>administration session, students (</w:t>
      </w:r>
      <w:r w:rsidRPr="008C44F6">
        <w:rPr>
          <w:i/>
          <w:iCs/>
        </w:rPr>
        <w:t>N</w:t>
      </w:r>
      <w:r w:rsidRPr="008C44F6">
        <w:t xml:space="preserve">=390) participating after school hours or on the weekend will be offered a $20 virtual gift card as a thank you for his or her or their time and effort. </w:t>
      </w:r>
    </w:p>
    <w:p w:rsidRPr="008C44F6" w:rsidR="00200D10" w:rsidP="0023051A" w:rsidRDefault="003821BB" w14:paraId="5F73200D" w14:textId="44D07D87">
      <w:pPr>
        <w:pStyle w:val="Heading1"/>
        <w:numPr>
          <w:ilvl w:val="0"/>
          <w:numId w:val="15"/>
        </w:numPr>
        <w:spacing w:before="0" w:after="120" w:line="30" w:lineRule="atLeast"/>
        <w:rPr>
          <w:rStyle w:val="IntenseEmphasis"/>
          <w:rFonts w:eastAsiaTheme="minorEastAsia"/>
          <w:i w:val="0"/>
          <w:iCs w:val="0"/>
          <w:color w:val="auto"/>
        </w:rPr>
      </w:pPr>
      <w:bookmarkStart w:name="_Toc50551997" w:id="12"/>
      <w:r w:rsidRPr="008C44F6">
        <w:rPr>
          <w:rStyle w:val="IntenseEmphasis"/>
          <w:rFonts w:eastAsiaTheme="minorEastAsia"/>
          <w:i w:val="0"/>
          <w:iCs w:val="0"/>
          <w:color w:val="auto"/>
        </w:rPr>
        <w:t>Assurance of Co</w:t>
      </w:r>
      <w:r w:rsidRPr="008C44F6" w:rsidR="00720559">
        <w:rPr>
          <w:rStyle w:val="IntenseEmphasis"/>
          <w:rFonts w:eastAsiaTheme="minorEastAsia"/>
          <w:i w:val="0"/>
          <w:iCs w:val="0"/>
          <w:color w:val="auto"/>
        </w:rPr>
        <w:t>n</w:t>
      </w:r>
      <w:r w:rsidRPr="008C44F6" w:rsidR="27EE25D0">
        <w:rPr>
          <w:rStyle w:val="IntenseEmphasis"/>
          <w:rFonts w:eastAsiaTheme="minorEastAsia"/>
          <w:i w:val="0"/>
          <w:iCs w:val="0"/>
          <w:color w:val="auto"/>
        </w:rPr>
        <w:t>fidentiality</w:t>
      </w:r>
      <w:bookmarkEnd w:id="11"/>
      <w:bookmarkEnd w:id="12"/>
    </w:p>
    <w:p w:rsidRPr="008C44F6" w:rsidR="00C04155" w:rsidP="0023051A" w:rsidRDefault="01FD52E6" w14:paraId="155E8DEC" w14:textId="32D261E6">
      <w:pPr>
        <w:spacing w:after="120" w:line="30" w:lineRule="atLeast"/>
      </w:pPr>
      <w:r w:rsidRPr="008C44F6">
        <w:t>The study will not retain any personally identifiable information. Prior to the start of the study, participants will be notified that their participation is voluntary and that all of the information they provide may be used only for statistical purposes and may not be disclosed</w:t>
      </w:r>
      <w:r w:rsidRPr="008C44F6" w:rsidR="6BDE782A">
        <w:t>,</w:t>
      </w:r>
      <w:r w:rsidRPr="008C44F6">
        <w:t xml:space="preserve"> or used</w:t>
      </w:r>
      <w:r w:rsidRPr="008C44F6" w:rsidR="6BDE782A">
        <w:t>,</w:t>
      </w:r>
      <w:r w:rsidRPr="008C44F6">
        <w:t xml:space="preserve"> in identifiable form for any other purpose except as required by law (20 U.S.C. §9573 and 6 U.S.C. §151).</w:t>
      </w:r>
    </w:p>
    <w:p w:rsidRPr="008C44F6" w:rsidR="00DC0335" w:rsidP="49F770F8" w:rsidRDefault="01FD52E6" w14:paraId="51B1174B" w14:textId="3BCF9E80">
      <w:pPr>
        <w:spacing w:after="120" w:line="30" w:lineRule="atLeast"/>
      </w:pPr>
      <w:r w:rsidRPr="008C44F6">
        <w:t>Before students</w:t>
      </w:r>
      <w:r w:rsidRPr="008C44F6" w:rsidR="232FFFBD">
        <w:t xml:space="preserve"> </w:t>
      </w:r>
      <w:r w:rsidRPr="008C44F6">
        <w:t xml:space="preserve">can participate in the study, written consent will be obtained from the parent or legal guardian of students less than 18 years of age. </w:t>
      </w:r>
      <w:r w:rsidRPr="008C44F6" w:rsidR="00E46282">
        <w:t>Parents and legal guardians will be emailed ETS prepared consent forms</w:t>
      </w:r>
      <w:r w:rsidRPr="008C44F6" w:rsidR="008434F3">
        <w:t xml:space="preserve"> (see Appendix D)</w:t>
      </w:r>
      <w:r w:rsidRPr="008C44F6" w:rsidR="00E46282">
        <w:t xml:space="preserve"> and will be asked to scan and email the consent form to ETS project staff. </w:t>
      </w:r>
      <w:r w:rsidRPr="008C44F6">
        <w:t xml:space="preserve">Participants will be assigned a unique student identifier (ID), which will be created </w:t>
      </w:r>
      <w:r w:rsidRPr="008C44F6" w:rsidR="001F358B">
        <w:t xml:space="preserve">by ETS staff and </w:t>
      </w:r>
      <w:r w:rsidRPr="008C44F6">
        <w:t xml:space="preserve">solely for data file management and used to keep all participant materials together. </w:t>
      </w:r>
      <w:r w:rsidRPr="008C44F6" w:rsidR="008434F3">
        <w:t>The unique student ID will be structured such that there will be a code for the research project (TA), the study condition (A to F), and the individual student (100-500). For example, the ID TAA101 would represent a student (101) in this study (TA) in condition A.</w:t>
      </w:r>
      <w:r w:rsidRPr="008C44F6" w:rsidR="005B4F50">
        <w:t xml:space="preserve"> </w:t>
      </w:r>
      <w:r w:rsidRPr="008C44F6">
        <w:t xml:space="preserve">The participant ID will not be linked to the participant name in any way or form. </w:t>
      </w:r>
      <w:r w:rsidRPr="008C44F6" w:rsidR="00E37ED7">
        <w:t>A “crosswalk” roster (ID and student name only) will be created in order to pay students. Student</w:t>
      </w:r>
      <w:r w:rsidRPr="008C44F6" w:rsidR="00E37ED7">
        <w:rPr>
          <w:rFonts w:eastAsia="Times New Roman"/>
        </w:rPr>
        <w:t xml:space="preserve"> PII is never connected to student data. This is ETS standard operating procedure when collecting student PII for payment purposes. </w:t>
      </w:r>
      <w:r w:rsidRPr="008C44F6">
        <w:t xml:space="preserve">The consent forms, which include the participant name, will be separated from the participant </w:t>
      </w:r>
      <w:r w:rsidRPr="008C44F6" w:rsidR="16C76A25">
        <w:t>data</w:t>
      </w:r>
      <w:r w:rsidRPr="008C44F6">
        <w:t xml:space="preserve"> files, secured for the duration of the study, and will be destroyed after the final report is released.</w:t>
      </w:r>
    </w:p>
    <w:p w:rsidRPr="008C44F6" w:rsidR="0000450B" w:rsidP="0000450B" w:rsidRDefault="0000450B" w14:paraId="6033CD73" w14:textId="635C93F1">
      <w:pPr>
        <w:spacing w:after="0" w:line="240" w:lineRule="auto"/>
      </w:pPr>
    </w:p>
    <w:p w:rsidRPr="008C44F6" w:rsidR="005E0AC8" w:rsidP="002869B0" w:rsidRDefault="005E0AC8" w14:paraId="33C794AC" w14:textId="6E1027B0">
      <w:pPr>
        <w:pStyle w:val="Heading1"/>
        <w:numPr>
          <w:ilvl w:val="0"/>
          <w:numId w:val="15"/>
        </w:numPr>
        <w:spacing w:before="0" w:after="120" w:line="30" w:lineRule="atLeast"/>
        <w:rPr>
          <w:rStyle w:val="IntenseEmphasis"/>
          <w:rFonts w:eastAsiaTheme="minorEastAsia"/>
          <w:i w:val="0"/>
          <w:iCs w:val="0"/>
          <w:color w:val="auto"/>
        </w:rPr>
      </w:pPr>
      <w:bookmarkStart w:name="_Toc40438229" w:id="13"/>
      <w:bookmarkStart w:name="_Toc40438230" w:id="14"/>
      <w:bookmarkStart w:name="_Toc40438231" w:id="15"/>
      <w:bookmarkStart w:name="_Toc40438348" w:id="16"/>
      <w:bookmarkStart w:name="_Toc40438349" w:id="17"/>
      <w:bookmarkStart w:name="_Toc40438350" w:id="18"/>
      <w:bookmarkStart w:name="_Toc40438351" w:id="19"/>
      <w:bookmarkStart w:name="_Toc40438352" w:id="20"/>
      <w:bookmarkStart w:name="_Toc40438353" w:id="21"/>
      <w:bookmarkStart w:name="_Toc40438366" w:id="22"/>
      <w:bookmarkStart w:name="_Toc528841106" w:id="23"/>
      <w:bookmarkStart w:name="_Toc41490576" w:id="24"/>
      <w:bookmarkStart w:name="_Toc50551998" w:id="25"/>
      <w:bookmarkEnd w:id="13"/>
      <w:bookmarkEnd w:id="14"/>
      <w:bookmarkEnd w:id="15"/>
      <w:bookmarkEnd w:id="16"/>
      <w:bookmarkEnd w:id="17"/>
      <w:bookmarkEnd w:id="18"/>
      <w:bookmarkEnd w:id="19"/>
      <w:bookmarkEnd w:id="20"/>
      <w:bookmarkEnd w:id="21"/>
      <w:bookmarkEnd w:id="22"/>
      <w:r w:rsidRPr="008C44F6">
        <w:rPr>
          <w:rStyle w:val="IntenseEmphasis"/>
          <w:rFonts w:eastAsiaTheme="minorEastAsia"/>
          <w:i w:val="0"/>
          <w:iCs w:val="0"/>
          <w:color w:val="auto"/>
        </w:rPr>
        <w:t>Estimate of Hourly Burden</w:t>
      </w:r>
      <w:bookmarkEnd w:id="23"/>
      <w:bookmarkEnd w:id="24"/>
      <w:bookmarkEnd w:id="25"/>
    </w:p>
    <w:p w:rsidRPr="008C44F6" w:rsidR="00D0102A" w:rsidP="7F61E385" w:rsidRDefault="005E0AC8" w14:paraId="08CDCA8A" w14:textId="69BF3851">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The estimated burden for recruitment assumes attrition throughout the process.</w:t>
      </w:r>
      <w:r w:rsidRPr="008C44F6">
        <w:rPr>
          <w:rStyle w:val="FootnoteReference"/>
          <w:rFonts w:asciiTheme="minorHAnsi" w:hAnsiTheme="minorHAnsi" w:eastAsiaTheme="minorEastAsia" w:cstheme="minorBidi"/>
        </w:rPr>
        <w:footnoteReference w:id="2"/>
      </w:r>
      <w:r w:rsidRPr="008C44F6">
        <w:rPr>
          <w:rFonts w:asciiTheme="minorHAnsi" w:hAnsiTheme="minorHAnsi" w:eastAsiaTheme="minorEastAsia" w:cstheme="minorBidi"/>
        </w:rPr>
        <w:t xml:space="preserve"> </w:t>
      </w:r>
      <w:r w:rsidRPr="008C44F6" w:rsidR="00F17CC4">
        <w:rPr>
          <w:rFonts w:asciiTheme="minorHAnsi" w:hAnsiTheme="minorHAnsi" w:eastAsiaTheme="minorEastAsia" w:cstheme="minorBidi"/>
        </w:rPr>
        <w:t xml:space="preserve">Table </w:t>
      </w:r>
      <w:r w:rsidRPr="008C44F6" w:rsidR="00D0102A">
        <w:rPr>
          <w:rFonts w:asciiTheme="minorHAnsi" w:hAnsiTheme="minorHAnsi" w:eastAsiaTheme="minorEastAsia" w:cstheme="minorBidi"/>
        </w:rPr>
        <w:t>1</w:t>
      </w:r>
      <w:r w:rsidRPr="008C44F6" w:rsidR="00F17CC4">
        <w:rPr>
          <w:rFonts w:asciiTheme="minorHAnsi" w:hAnsiTheme="minorHAnsi" w:eastAsiaTheme="minorEastAsia" w:cstheme="minorBidi"/>
        </w:rPr>
        <w:t xml:space="preserve"> details the estimated burden for the experimental study activities.</w:t>
      </w:r>
      <w:r w:rsidRPr="008C44F6" w:rsidR="00B97017">
        <w:rPr>
          <w:rFonts w:asciiTheme="minorHAnsi" w:hAnsiTheme="minorHAnsi" w:eastAsiaTheme="minorEastAsia" w:cstheme="minorBidi"/>
        </w:rPr>
        <w:t xml:space="preserve"> </w:t>
      </w:r>
      <w:r w:rsidRPr="008C44F6" w:rsidR="00F17CC4">
        <w:rPr>
          <w:rFonts w:asciiTheme="minorHAnsi" w:hAnsiTheme="minorHAnsi" w:eastAsiaTheme="minorEastAsia" w:cstheme="minorBidi"/>
        </w:rPr>
        <w:t>A</w:t>
      </w:r>
      <w:r w:rsidRPr="008C44F6" w:rsidR="00B97017">
        <w:rPr>
          <w:rFonts w:asciiTheme="minorHAnsi" w:hAnsiTheme="minorHAnsi" w:eastAsiaTheme="minorEastAsia" w:cstheme="minorBidi"/>
        </w:rPr>
        <w:t>dditional explanation for the time estimates is included</w:t>
      </w:r>
      <w:r w:rsidRPr="008C44F6" w:rsidR="00D0102A">
        <w:rPr>
          <w:rFonts w:asciiTheme="minorHAnsi" w:hAnsiTheme="minorHAnsi" w:eastAsiaTheme="minorEastAsia" w:cstheme="minorBidi"/>
        </w:rPr>
        <w:t xml:space="preserve"> below</w:t>
      </w:r>
      <w:r w:rsidRPr="008C44F6" w:rsidR="00B97017">
        <w:rPr>
          <w:rFonts w:asciiTheme="minorHAnsi" w:hAnsiTheme="minorHAnsi" w:eastAsiaTheme="minorEastAsia" w:cstheme="minorBidi"/>
        </w:rPr>
        <w:t xml:space="preserve">. </w:t>
      </w:r>
      <w:r w:rsidRPr="008C44F6" w:rsidR="006031C6">
        <w:rPr>
          <w:rFonts w:asciiTheme="minorHAnsi" w:hAnsiTheme="minorHAnsi" w:eastAsiaTheme="minorEastAsia" w:cstheme="minorBidi"/>
        </w:rPr>
        <w:t xml:space="preserve"> </w:t>
      </w:r>
    </w:p>
    <w:p w:rsidRPr="008C44F6" w:rsidR="00BB18BC" w:rsidP="00384091" w:rsidRDefault="59A65A1A" w14:paraId="0AA3226E" w14:textId="5BDCBE09">
      <w:pPr>
        <w:spacing w:after="0" w:line="240" w:lineRule="auto"/>
        <w:rPr>
          <w:rFonts w:asciiTheme="minorHAnsi" w:hAnsiTheme="minorHAnsi" w:eastAsiaTheme="minorEastAsia" w:cstheme="minorBidi"/>
          <w:b/>
          <w:bCs/>
        </w:rPr>
      </w:pPr>
      <w:r w:rsidRPr="008C44F6">
        <w:rPr>
          <w:rFonts w:asciiTheme="minorHAnsi" w:hAnsiTheme="minorHAnsi" w:eastAsiaTheme="minorEastAsia" w:cstheme="minorBidi"/>
          <w:b/>
          <w:bCs/>
        </w:rPr>
        <w:t xml:space="preserve">Table </w:t>
      </w:r>
      <w:r w:rsidRPr="008C44F6" w:rsidR="00D0102A">
        <w:rPr>
          <w:rFonts w:asciiTheme="minorHAnsi" w:hAnsiTheme="minorHAnsi" w:eastAsiaTheme="minorEastAsia" w:cstheme="minorBidi"/>
          <w:b/>
          <w:bCs/>
        </w:rPr>
        <w:t>1</w:t>
      </w:r>
      <w:r w:rsidRPr="008C44F6">
        <w:rPr>
          <w:rFonts w:asciiTheme="minorHAnsi" w:hAnsiTheme="minorHAnsi" w:eastAsiaTheme="minorEastAsia" w:cstheme="minorBidi"/>
          <w:b/>
          <w:bCs/>
        </w:rPr>
        <w:t xml:space="preserve">. </w:t>
      </w:r>
      <w:r w:rsidRPr="008C44F6" w:rsidR="21D45A55">
        <w:rPr>
          <w:rFonts w:asciiTheme="minorHAnsi" w:hAnsiTheme="minorHAnsi" w:eastAsiaTheme="minorEastAsia" w:cstheme="minorBidi"/>
          <w:b/>
          <w:bCs/>
        </w:rPr>
        <w:t xml:space="preserve">Estimated </w:t>
      </w:r>
      <w:r w:rsidRPr="008C44F6">
        <w:rPr>
          <w:rFonts w:asciiTheme="minorHAnsi" w:hAnsiTheme="minorHAnsi" w:eastAsiaTheme="minorEastAsia" w:cstheme="minorBidi"/>
          <w:b/>
          <w:bCs/>
        </w:rPr>
        <w:t>Hourly Burden for Students</w:t>
      </w:r>
      <w:r w:rsidRPr="008C44F6" w:rsidR="014E2A1D">
        <w:rPr>
          <w:rFonts w:asciiTheme="minorHAnsi" w:hAnsiTheme="minorHAnsi" w:eastAsiaTheme="minorEastAsia" w:cstheme="minorBidi"/>
          <w:b/>
          <w:bCs/>
        </w:rPr>
        <w:t xml:space="preserve"> and</w:t>
      </w:r>
      <w:r w:rsidRPr="008C44F6">
        <w:rPr>
          <w:rFonts w:asciiTheme="minorHAnsi" w:hAnsiTheme="minorHAnsi" w:eastAsiaTheme="minorEastAsia" w:cstheme="minorBidi"/>
          <w:b/>
          <w:bCs/>
        </w:rPr>
        <w:t xml:space="preserve"> </w:t>
      </w:r>
      <w:r w:rsidRPr="008C44F6" w:rsidR="00F17CC4">
        <w:rPr>
          <w:rFonts w:asciiTheme="minorHAnsi" w:hAnsiTheme="minorHAnsi" w:eastAsiaTheme="minorEastAsia" w:cstheme="minorBidi"/>
          <w:b/>
          <w:bCs/>
        </w:rPr>
        <w:t>Parents</w:t>
      </w:r>
      <w:r w:rsidRPr="008C44F6" w:rsidR="005E6D5B">
        <w:rPr>
          <w:rFonts w:asciiTheme="minorHAnsi" w:hAnsiTheme="minorHAnsi" w:eastAsiaTheme="minorEastAsia" w:cstheme="minorBidi"/>
          <w:b/>
          <w:bCs/>
        </w:rPr>
        <w:t xml:space="preserve"> or Legal Guardians</w:t>
      </w:r>
      <w:r w:rsidRPr="008C44F6">
        <w:rPr>
          <w:rFonts w:asciiTheme="minorHAnsi" w:hAnsiTheme="minorHAnsi" w:eastAsiaTheme="minorEastAsia" w:cstheme="minorBidi"/>
          <w:b/>
          <w:bCs/>
        </w:rPr>
        <w:t xml:space="preserve"> for </w:t>
      </w:r>
      <w:r w:rsidRPr="008C44F6" w:rsidR="36D91BCA">
        <w:rPr>
          <w:rFonts w:asciiTheme="minorHAnsi" w:hAnsiTheme="minorHAnsi" w:eastAsiaTheme="minorEastAsia" w:cstheme="minorBidi"/>
          <w:b/>
          <w:bCs/>
        </w:rPr>
        <w:t>Test Assembly</w:t>
      </w:r>
      <w:r w:rsidRPr="008C44F6">
        <w:rPr>
          <w:rFonts w:asciiTheme="minorHAnsi" w:hAnsiTheme="minorHAnsi" w:eastAsiaTheme="minorEastAsia" w:cstheme="minorBidi"/>
          <w:b/>
          <w:bCs/>
        </w:rPr>
        <w:t xml:space="preserve"> </w:t>
      </w:r>
      <w:r w:rsidRPr="008C44F6" w:rsidR="4531B086">
        <w:rPr>
          <w:rFonts w:asciiTheme="minorHAnsi" w:hAnsiTheme="minorHAnsi" w:eastAsiaTheme="minorEastAsia" w:cstheme="minorBidi"/>
          <w:b/>
          <w:bCs/>
        </w:rPr>
        <w:t>Experimental Study</w:t>
      </w:r>
      <w:r w:rsidRPr="008C44F6">
        <w:rPr>
          <w:rFonts w:asciiTheme="minorHAnsi" w:hAnsiTheme="minorHAnsi" w:eastAsiaTheme="minorEastAsia" w:cstheme="minorBidi"/>
          <w:b/>
          <w:bCs/>
        </w:rPr>
        <w:t xml:space="preserve"> Activities</w:t>
      </w:r>
    </w:p>
    <w:tbl>
      <w:tblPr>
        <w:tblW w:w="9710" w:type="dxa"/>
        <w:tblLayout w:type="fixed"/>
        <w:tblCellMar>
          <w:left w:w="0" w:type="dxa"/>
          <w:right w:w="0" w:type="dxa"/>
        </w:tblCellMar>
        <w:tblLook w:val="04A0" w:firstRow="1" w:lastRow="0" w:firstColumn="1" w:lastColumn="0" w:noHBand="0" w:noVBand="1"/>
      </w:tblPr>
      <w:tblGrid>
        <w:gridCol w:w="4130"/>
        <w:gridCol w:w="1620"/>
        <w:gridCol w:w="1350"/>
        <w:gridCol w:w="1530"/>
        <w:gridCol w:w="1080"/>
      </w:tblGrid>
      <w:tr w:rsidRPr="008C44F6" w:rsidR="008C44F6" w:rsidTr="00CC4764" w14:paraId="339D3D80" w14:textId="77777777">
        <w:trPr>
          <w:trHeight w:val="144"/>
        </w:trPr>
        <w:tc>
          <w:tcPr>
            <w:tcW w:w="41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8C44F6" w:rsidR="00F0186E" w:rsidP="00CC4764" w:rsidRDefault="00F0186E" w14:paraId="67D27CC7" w14:textId="77777777">
            <w:pPr>
              <w:spacing w:after="0" w:line="240" w:lineRule="auto"/>
              <w:jc w:val="center"/>
              <w:rPr>
                <w:b/>
                <w:bCs/>
              </w:rPr>
            </w:pPr>
            <w:r w:rsidRPr="008C44F6">
              <w:rPr>
                <w:b/>
                <w:bCs/>
              </w:rPr>
              <w:t>Respondent</w:t>
            </w:r>
          </w:p>
        </w:tc>
        <w:tc>
          <w:tcPr>
            <w:tcW w:w="162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8C44F6" w:rsidR="00F0186E" w:rsidP="00CC4764" w:rsidRDefault="00F0186E" w14:paraId="1109D223" w14:textId="77777777">
            <w:pPr>
              <w:spacing w:after="0" w:line="240" w:lineRule="auto"/>
              <w:jc w:val="center"/>
              <w:rPr>
                <w:b/>
                <w:bCs/>
              </w:rPr>
            </w:pPr>
            <w:r w:rsidRPr="008C44F6">
              <w:rPr>
                <w:b/>
                <w:bCs/>
              </w:rPr>
              <w:t>Number of respondents</w:t>
            </w:r>
          </w:p>
        </w:tc>
        <w:tc>
          <w:tcPr>
            <w:tcW w:w="13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8C44F6" w:rsidR="00F0186E" w:rsidP="00CC4764" w:rsidRDefault="00F0186E" w14:paraId="40CF3526" w14:textId="77777777">
            <w:pPr>
              <w:spacing w:after="0" w:line="240" w:lineRule="auto"/>
              <w:jc w:val="center"/>
              <w:rPr>
                <w:b/>
                <w:bCs/>
              </w:rPr>
            </w:pPr>
            <w:r w:rsidRPr="008C44F6">
              <w:rPr>
                <w:b/>
                <w:bCs/>
              </w:rPr>
              <w:t>Number of Responses</w:t>
            </w:r>
          </w:p>
        </w:tc>
        <w:tc>
          <w:tcPr>
            <w:tcW w:w="153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hideMark/>
          </w:tcPr>
          <w:p w:rsidRPr="008C44F6" w:rsidR="00F0186E" w:rsidP="00CC4764" w:rsidRDefault="00F0186E" w14:paraId="6836C1A1" w14:textId="77777777">
            <w:pPr>
              <w:spacing w:after="0" w:line="240" w:lineRule="auto"/>
              <w:jc w:val="center"/>
              <w:rPr>
                <w:b/>
                <w:bCs/>
              </w:rPr>
            </w:pPr>
            <w:r w:rsidRPr="008C44F6">
              <w:rPr>
                <w:b/>
                <w:bCs/>
              </w:rPr>
              <w:t>Hours per respondent</w:t>
            </w:r>
          </w:p>
        </w:tc>
        <w:tc>
          <w:tcPr>
            <w:tcW w:w="1080" w:type="dxa"/>
            <w:tcBorders>
              <w:top w:val="single" w:color="auto" w:sz="8" w:space="0"/>
              <w:left w:val="nil"/>
              <w:bottom w:val="single" w:color="auto" w:sz="4" w:space="0"/>
              <w:right w:val="single" w:color="auto" w:sz="8" w:space="0"/>
            </w:tcBorders>
            <w:vAlign w:val="center"/>
          </w:tcPr>
          <w:p w:rsidRPr="008C44F6" w:rsidR="00F0186E" w:rsidP="00CC4764" w:rsidRDefault="00F0186E" w14:paraId="17AF1AA0" w14:textId="77777777">
            <w:pPr>
              <w:spacing w:after="0" w:line="240" w:lineRule="auto"/>
              <w:jc w:val="center"/>
              <w:rPr>
                <w:b/>
                <w:bCs/>
              </w:rPr>
            </w:pPr>
            <w:r w:rsidRPr="008C44F6">
              <w:rPr>
                <w:b/>
                <w:bCs/>
              </w:rPr>
              <w:t>Total hours</w:t>
            </w:r>
          </w:p>
        </w:tc>
      </w:tr>
      <w:tr w:rsidRPr="008C44F6" w:rsidR="00F0186E" w:rsidTr="00CC4764" w14:paraId="522C1929" w14:textId="77777777">
        <w:trPr>
          <w:trHeight w:val="144"/>
        </w:trPr>
        <w:tc>
          <w:tcPr>
            <w:tcW w:w="9710" w:type="dxa"/>
            <w:gridSpan w:val="5"/>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rsidRPr="008C44F6" w:rsidR="00F0186E" w:rsidP="00CC4764" w:rsidRDefault="00F0186E" w14:paraId="324D1504" w14:textId="77777777">
            <w:pPr>
              <w:spacing w:after="0"/>
              <w:jc w:val="center"/>
              <w:rPr>
                <w:b/>
                <w:bCs/>
              </w:rPr>
            </w:pPr>
            <w:r w:rsidRPr="008C44F6">
              <w:rPr>
                <w:b/>
                <w:bCs/>
              </w:rPr>
              <w:t>Organization Staff Member</w:t>
            </w:r>
          </w:p>
        </w:tc>
      </w:tr>
      <w:tr w:rsidRPr="00870F44" w:rsidR="008C44F6" w:rsidTr="00CC4764" w14:paraId="2E114E6C" w14:textId="77777777">
        <w:trPr>
          <w:trHeight w:val="144"/>
        </w:trPr>
        <w:tc>
          <w:tcPr>
            <w:tcW w:w="4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70F44" w:rsidR="00F0186E" w:rsidP="00CC4764" w:rsidRDefault="00F0186E" w14:paraId="00CE2A84" w14:textId="77777777">
            <w:pPr>
              <w:spacing w:after="0" w:line="240" w:lineRule="auto"/>
            </w:pPr>
            <w:r w:rsidRPr="00870F44">
              <w:t>Flyer review</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0041BDA8" w14:textId="77777777">
            <w:pPr>
              <w:spacing w:after="0" w:line="240" w:lineRule="auto"/>
              <w:jc w:val="center"/>
            </w:pPr>
            <w:r w:rsidRPr="00870F44">
              <w:t>20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70F44" w:rsidR="00F0186E" w:rsidP="00CC4764" w:rsidRDefault="00F0186E" w14:paraId="7515963E" w14:textId="77777777">
            <w:pPr>
              <w:spacing w:after="0" w:line="240" w:lineRule="auto"/>
              <w:jc w:val="center"/>
            </w:pPr>
            <w:r w:rsidRPr="00870F44">
              <w:t>20</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5831C769" w14:textId="77777777">
            <w:pPr>
              <w:spacing w:after="0" w:line="240" w:lineRule="auto"/>
              <w:jc w:val="center"/>
            </w:pPr>
            <w:r w:rsidRPr="00870F44">
              <w:t>0.08</w:t>
            </w:r>
          </w:p>
        </w:tc>
        <w:tc>
          <w:tcPr>
            <w:tcW w:w="1080" w:type="dxa"/>
            <w:tcBorders>
              <w:top w:val="nil"/>
              <w:left w:val="nil"/>
              <w:bottom w:val="single" w:color="auto" w:sz="8" w:space="0"/>
              <w:right w:val="single" w:color="auto" w:sz="8" w:space="0"/>
            </w:tcBorders>
            <w:vAlign w:val="center"/>
          </w:tcPr>
          <w:p w:rsidRPr="00870F44" w:rsidR="00F0186E" w:rsidP="00CC4764" w:rsidRDefault="00F0186E" w14:paraId="08BBF777" w14:textId="77777777">
            <w:pPr>
              <w:spacing w:after="0" w:line="240" w:lineRule="auto"/>
              <w:jc w:val="center"/>
            </w:pPr>
            <w:r w:rsidRPr="00870F44">
              <w:t>2</w:t>
            </w:r>
          </w:p>
        </w:tc>
      </w:tr>
      <w:tr w:rsidRPr="00870F44" w:rsidR="008C44F6" w:rsidTr="00CC4764" w14:paraId="66BF7D5A" w14:textId="77777777">
        <w:trPr>
          <w:trHeight w:val="144"/>
        </w:trPr>
        <w:tc>
          <w:tcPr>
            <w:tcW w:w="9710" w:type="dxa"/>
            <w:gridSpan w:val="5"/>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hideMark/>
          </w:tcPr>
          <w:p w:rsidRPr="00870F44" w:rsidR="00F0186E" w:rsidP="00CC4764" w:rsidRDefault="00F0186E" w14:paraId="68FA55EE" w14:textId="77777777">
            <w:pPr>
              <w:spacing w:after="0"/>
              <w:jc w:val="center"/>
            </w:pPr>
            <w:r w:rsidRPr="00870F44">
              <w:rPr>
                <w:b/>
                <w:bCs/>
              </w:rPr>
              <w:t>Parent or Legal Guardian</w:t>
            </w:r>
          </w:p>
        </w:tc>
      </w:tr>
      <w:tr w:rsidRPr="00870F44" w:rsidR="008C44F6" w:rsidTr="00CC4764" w14:paraId="08D86E59" w14:textId="77777777">
        <w:trPr>
          <w:trHeight w:val="144"/>
        </w:trPr>
        <w:tc>
          <w:tcPr>
            <w:tcW w:w="41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870F44" w:rsidR="00F0186E" w:rsidP="00CC4764" w:rsidRDefault="00F0186E" w14:paraId="5B38C321" w14:textId="77777777">
            <w:pPr>
              <w:spacing w:after="0"/>
            </w:pPr>
            <w:r w:rsidRPr="00870F44">
              <w:t>Flyer review</w:t>
            </w:r>
          </w:p>
        </w:tc>
        <w:tc>
          <w:tcPr>
            <w:tcW w:w="16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2BA2B63C" w14:textId="77777777">
            <w:pPr>
              <w:spacing w:after="0"/>
              <w:jc w:val="center"/>
            </w:pPr>
            <w:r w:rsidRPr="00870F44">
              <w:t>1,000</w:t>
            </w:r>
          </w:p>
        </w:tc>
        <w:tc>
          <w:tcPr>
            <w:tcW w:w="135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hideMark/>
          </w:tcPr>
          <w:p w:rsidRPr="00870F44" w:rsidR="00F0186E" w:rsidP="00CC4764" w:rsidRDefault="00F0186E" w14:paraId="1C35EF32" w14:textId="77777777">
            <w:pPr>
              <w:spacing w:after="0"/>
              <w:jc w:val="center"/>
            </w:pPr>
            <w:r w:rsidRPr="00870F44">
              <w:t>1,000</w:t>
            </w:r>
          </w:p>
        </w:tc>
        <w:tc>
          <w:tcPr>
            <w:tcW w:w="15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5C260B02" w14:textId="77777777">
            <w:pPr>
              <w:spacing w:after="0"/>
              <w:jc w:val="center"/>
            </w:pPr>
            <w:r w:rsidRPr="00870F44">
              <w:t>0.08</w:t>
            </w:r>
          </w:p>
        </w:tc>
        <w:tc>
          <w:tcPr>
            <w:tcW w:w="1080" w:type="dxa"/>
            <w:tcBorders>
              <w:top w:val="single" w:color="auto" w:sz="4" w:space="0"/>
              <w:left w:val="nil"/>
              <w:bottom w:val="single" w:color="auto" w:sz="8" w:space="0"/>
              <w:right w:val="single" w:color="auto" w:sz="8" w:space="0"/>
            </w:tcBorders>
            <w:vAlign w:val="center"/>
          </w:tcPr>
          <w:p w:rsidRPr="00870F44" w:rsidR="00F0186E" w:rsidP="00CC4764" w:rsidRDefault="00F0186E" w14:paraId="3A812E42" w14:textId="77777777">
            <w:pPr>
              <w:spacing w:after="0"/>
              <w:jc w:val="center"/>
            </w:pPr>
            <w:r w:rsidRPr="00870F44">
              <w:t>80</w:t>
            </w:r>
          </w:p>
        </w:tc>
      </w:tr>
      <w:tr w:rsidRPr="00870F44" w:rsidR="008C44F6" w:rsidTr="00CC4764" w14:paraId="05C01C20" w14:textId="77777777">
        <w:trPr>
          <w:trHeight w:val="144"/>
        </w:trPr>
        <w:tc>
          <w:tcPr>
            <w:tcW w:w="41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70F44" w:rsidR="00F0186E" w:rsidP="00CC4764" w:rsidRDefault="00F0186E" w14:paraId="720E1409" w14:textId="77777777">
            <w:pPr>
              <w:spacing w:after="0"/>
            </w:pPr>
            <w:r w:rsidRPr="00870F44">
              <w:t>Completion of online screening form</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212396F5" w14:textId="77777777">
            <w:pPr>
              <w:spacing w:after="0"/>
              <w:jc w:val="center"/>
            </w:pPr>
            <w:r w:rsidRPr="00870F44">
              <w:t>500</w:t>
            </w:r>
            <w:r w:rsidRPr="00870F44">
              <w:rPr>
                <w:vertAlign w:val="superscript"/>
              </w:rPr>
              <w:t>+</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70F44" w:rsidR="00F0186E" w:rsidP="00CC4764" w:rsidRDefault="00F0186E" w14:paraId="6D62E7E1" w14:textId="77777777">
            <w:pPr>
              <w:spacing w:after="0"/>
              <w:jc w:val="center"/>
            </w:pPr>
            <w:r w:rsidRPr="00870F44">
              <w:t>500</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06668965" w14:textId="77777777">
            <w:pPr>
              <w:spacing w:after="0"/>
              <w:jc w:val="center"/>
            </w:pPr>
            <w:r w:rsidRPr="00870F44">
              <w:t>0.15</w:t>
            </w:r>
          </w:p>
        </w:tc>
        <w:tc>
          <w:tcPr>
            <w:tcW w:w="1080" w:type="dxa"/>
            <w:tcBorders>
              <w:top w:val="nil"/>
              <w:left w:val="nil"/>
              <w:bottom w:val="single" w:color="auto" w:sz="8" w:space="0"/>
              <w:right w:val="single" w:color="auto" w:sz="8" w:space="0"/>
            </w:tcBorders>
            <w:vAlign w:val="center"/>
          </w:tcPr>
          <w:p w:rsidRPr="00870F44" w:rsidR="00F0186E" w:rsidP="00CC4764" w:rsidRDefault="00F0186E" w14:paraId="26B19579" w14:textId="77777777">
            <w:pPr>
              <w:spacing w:after="0"/>
              <w:jc w:val="center"/>
            </w:pPr>
            <w:r w:rsidRPr="00870F44">
              <w:t>75</w:t>
            </w:r>
          </w:p>
        </w:tc>
      </w:tr>
      <w:tr w:rsidRPr="00870F44" w:rsidR="008C44F6" w:rsidTr="00CC4764" w14:paraId="053CD6C8" w14:textId="77777777">
        <w:trPr>
          <w:trHeight w:val="144"/>
        </w:trPr>
        <w:tc>
          <w:tcPr>
            <w:tcW w:w="41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70F44" w:rsidR="00F0186E" w:rsidP="00CC4764" w:rsidRDefault="00F0186E" w14:paraId="3603B0F2" w14:textId="77777777">
            <w:pPr>
              <w:spacing w:after="0"/>
            </w:pPr>
            <w:r w:rsidRPr="00870F44">
              <w:t>Consent form completion and return</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46A80C08" w14:textId="77777777">
            <w:pPr>
              <w:spacing w:after="0"/>
              <w:jc w:val="center"/>
            </w:pPr>
            <w:r w:rsidRPr="00870F44">
              <w:t>390*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70F44" w:rsidR="00F0186E" w:rsidP="00CC4764" w:rsidRDefault="00F0186E" w14:paraId="37E259C3" w14:textId="77777777">
            <w:pPr>
              <w:spacing w:after="0"/>
              <w:jc w:val="center"/>
            </w:pPr>
            <w:r w:rsidRPr="00870F44">
              <w:t>390</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rsidRPr="00870F44" w:rsidR="00F0186E" w:rsidP="00CC4764" w:rsidRDefault="00F0186E" w14:paraId="019A52EE" w14:textId="77777777">
            <w:pPr>
              <w:spacing w:after="0"/>
              <w:jc w:val="center"/>
            </w:pPr>
            <w:r w:rsidRPr="00870F44">
              <w:t>0.13</w:t>
            </w:r>
          </w:p>
        </w:tc>
        <w:tc>
          <w:tcPr>
            <w:tcW w:w="1080" w:type="dxa"/>
            <w:tcBorders>
              <w:top w:val="nil"/>
              <w:left w:val="nil"/>
              <w:bottom w:val="single" w:color="auto" w:sz="8" w:space="0"/>
              <w:right w:val="single" w:color="auto" w:sz="8" w:space="0"/>
            </w:tcBorders>
            <w:vAlign w:val="center"/>
          </w:tcPr>
          <w:p w:rsidRPr="00870F44" w:rsidR="00F0186E" w:rsidP="00CC4764" w:rsidRDefault="00F0186E" w14:paraId="186C13B5" w14:textId="77777777">
            <w:pPr>
              <w:spacing w:after="0"/>
              <w:jc w:val="center"/>
            </w:pPr>
            <w:r w:rsidRPr="00870F44">
              <w:t>51</w:t>
            </w:r>
          </w:p>
        </w:tc>
      </w:tr>
      <w:tr w:rsidRPr="00870F44" w:rsidR="008C44F6" w:rsidTr="00CC4764" w14:paraId="63A47D24" w14:textId="77777777">
        <w:trPr>
          <w:trHeight w:val="144"/>
        </w:trPr>
        <w:tc>
          <w:tcPr>
            <w:tcW w:w="4130"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870F44" w:rsidR="00F0186E" w:rsidP="00CC4764" w:rsidRDefault="00F0186E" w14:paraId="0A087556" w14:textId="77777777">
            <w:pPr>
              <w:spacing w:after="0"/>
            </w:pPr>
            <w:r w:rsidRPr="00870F44">
              <w:t>Confirmation/acknowledgement to parent via email or letter</w:t>
            </w:r>
          </w:p>
        </w:tc>
        <w:tc>
          <w:tcPr>
            <w:tcW w:w="1620" w:type="dxa"/>
            <w:tcBorders>
              <w:top w:val="nil"/>
              <w:left w:val="nil"/>
              <w:bottom w:val="single" w:color="auto" w:sz="4" w:space="0"/>
              <w:right w:val="single" w:color="auto" w:sz="8" w:space="0"/>
            </w:tcBorders>
            <w:tcMar>
              <w:top w:w="0" w:type="dxa"/>
              <w:left w:w="108" w:type="dxa"/>
              <w:bottom w:w="0" w:type="dxa"/>
              <w:right w:w="108" w:type="dxa"/>
            </w:tcMar>
            <w:vAlign w:val="center"/>
          </w:tcPr>
          <w:p w:rsidRPr="00870F44" w:rsidR="00F0186E" w:rsidP="00CC4764" w:rsidRDefault="00F0186E" w14:paraId="018A28B1" w14:textId="77777777">
            <w:pPr>
              <w:spacing w:after="0"/>
              <w:jc w:val="center"/>
            </w:pPr>
            <w:r w:rsidRPr="00870F44">
              <w:t>390*</w:t>
            </w:r>
          </w:p>
        </w:tc>
        <w:tc>
          <w:tcPr>
            <w:tcW w:w="13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870F44" w:rsidR="00F0186E" w:rsidP="00CC4764" w:rsidRDefault="00F0186E" w14:paraId="2C47D23A" w14:textId="77777777">
            <w:pPr>
              <w:spacing w:after="0"/>
              <w:jc w:val="center"/>
            </w:pPr>
            <w:r w:rsidRPr="00870F44">
              <w:t>390</w:t>
            </w:r>
          </w:p>
        </w:tc>
        <w:tc>
          <w:tcPr>
            <w:tcW w:w="1530" w:type="dxa"/>
            <w:tcBorders>
              <w:top w:val="nil"/>
              <w:left w:val="nil"/>
              <w:bottom w:val="single" w:color="auto" w:sz="4" w:space="0"/>
              <w:right w:val="single" w:color="auto" w:sz="8" w:space="0"/>
            </w:tcBorders>
            <w:tcMar>
              <w:top w:w="0" w:type="dxa"/>
              <w:left w:w="108" w:type="dxa"/>
              <w:bottom w:w="0" w:type="dxa"/>
              <w:right w:w="108" w:type="dxa"/>
            </w:tcMar>
            <w:vAlign w:val="center"/>
          </w:tcPr>
          <w:p w:rsidRPr="00870F44" w:rsidR="00F0186E" w:rsidP="00CC4764" w:rsidRDefault="00F0186E" w14:paraId="5A58B494" w14:textId="77777777">
            <w:pPr>
              <w:spacing w:after="0"/>
              <w:jc w:val="center"/>
            </w:pPr>
            <w:r w:rsidRPr="00870F44">
              <w:t>0.05</w:t>
            </w:r>
          </w:p>
        </w:tc>
        <w:tc>
          <w:tcPr>
            <w:tcW w:w="1080" w:type="dxa"/>
            <w:tcBorders>
              <w:top w:val="nil"/>
              <w:left w:val="nil"/>
              <w:bottom w:val="single" w:color="auto" w:sz="4" w:space="0"/>
              <w:right w:val="single" w:color="auto" w:sz="8" w:space="0"/>
            </w:tcBorders>
            <w:vAlign w:val="center"/>
          </w:tcPr>
          <w:p w:rsidRPr="00870F44" w:rsidR="00F0186E" w:rsidP="00CC4764" w:rsidRDefault="00F0186E" w14:paraId="181473A0" w14:textId="77777777">
            <w:pPr>
              <w:spacing w:after="0"/>
              <w:jc w:val="center"/>
            </w:pPr>
            <w:r w:rsidRPr="00870F44">
              <w:t>20</w:t>
            </w:r>
          </w:p>
        </w:tc>
      </w:tr>
      <w:tr w:rsidRPr="008C44F6" w:rsidR="008C44F6" w:rsidTr="00CC4764" w14:paraId="20DF1CE5" w14:textId="77777777">
        <w:trPr>
          <w:trHeight w:val="144"/>
        </w:trPr>
        <w:tc>
          <w:tcPr>
            <w:tcW w:w="4130" w:type="dxa"/>
            <w:tcBorders>
              <w:top w:val="nil"/>
              <w:left w:val="single" w:color="auto" w:sz="8" w:space="0"/>
              <w:bottom w:val="single" w:color="auto" w:sz="4" w:space="0"/>
              <w:right w:val="single" w:color="auto" w:sz="8" w:space="0"/>
            </w:tcBorders>
            <w:shd w:val="clear" w:color="auto" w:fill="A6A6A6" w:themeFill="background1" w:themeFillShade="A6"/>
            <w:tcMar>
              <w:top w:w="0" w:type="dxa"/>
              <w:left w:w="108" w:type="dxa"/>
              <w:bottom w:w="0" w:type="dxa"/>
              <w:right w:w="108" w:type="dxa"/>
            </w:tcMar>
            <w:vAlign w:val="center"/>
          </w:tcPr>
          <w:p w:rsidRPr="008C44F6" w:rsidR="00F0186E" w:rsidP="00CC4764" w:rsidRDefault="00F0186E" w14:paraId="3861BAE0" w14:textId="77777777">
            <w:pPr>
              <w:spacing w:after="0"/>
              <w:jc w:val="right"/>
            </w:pPr>
            <w:r w:rsidRPr="008C44F6">
              <w:rPr>
                <w:b/>
                <w:bCs/>
              </w:rPr>
              <w:t>Sub-Total</w:t>
            </w:r>
          </w:p>
        </w:tc>
        <w:tc>
          <w:tcPr>
            <w:tcW w:w="1620" w:type="dxa"/>
            <w:tcBorders>
              <w:top w:val="nil"/>
              <w:left w:val="nil"/>
              <w:bottom w:val="single" w:color="auto" w:sz="4" w:space="0"/>
              <w:right w:val="single" w:color="auto" w:sz="8" w:space="0"/>
            </w:tcBorders>
            <w:shd w:val="clear" w:color="auto" w:fill="A6A6A6" w:themeFill="background1" w:themeFillShade="A6"/>
            <w:tcMar>
              <w:top w:w="0" w:type="dxa"/>
              <w:left w:w="108" w:type="dxa"/>
              <w:bottom w:w="0" w:type="dxa"/>
              <w:right w:w="108" w:type="dxa"/>
            </w:tcMar>
            <w:vAlign w:val="center"/>
          </w:tcPr>
          <w:p w:rsidRPr="008C44F6" w:rsidR="00F0186E" w:rsidP="00CC4764" w:rsidRDefault="00F0186E" w14:paraId="184AF354" w14:textId="77777777">
            <w:pPr>
              <w:spacing w:after="0"/>
              <w:jc w:val="center"/>
            </w:pPr>
            <w:r w:rsidRPr="008C44F6">
              <w:rPr>
                <w:b/>
                <w:bCs/>
              </w:rPr>
              <w:t>1,000</w:t>
            </w:r>
          </w:p>
        </w:tc>
        <w:tc>
          <w:tcPr>
            <w:tcW w:w="1350" w:type="dxa"/>
            <w:tcBorders>
              <w:top w:val="nil"/>
              <w:left w:val="nil"/>
              <w:bottom w:val="single" w:color="auto" w:sz="4" w:space="0"/>
              <w:right w:val="single" w:color="auto" w:sz="8" w:space="0"/>
            </w:tcBorders>
            <w:shd w:val="clear" w:color="auto" w:fill="A6A6A6" w:themeFill="background1" w:themeFillShade="A6"/>
            <w:tcMar>
              <w:top w:w="0" w:type="dxa"/>
              <w:left w:w="108" w:type="dxa"/>
              <w:bottom w:w="0" w:type="dxa"/>
              <w:right w:w="108" w:type="dxa"/>
            </w:tcMar>
            <w:vAlign w:val="center"/>
          </w:tcPr>
          <w:p w:rsidRPr="008C44F6" w:rsidR="00F0186E" w:rsidP="00CC4764" w:rsidRDefault="00F0186E" w14:paraId="0E6589BA" w14:textId="77777777">
            <w:pPr>
              <w:spacing w:after="0"/>
              <w:jc w:val="center"/>
            </w:pPr>
            <w:r w:rsidRPr="008C44F6">
              <w:rPr>
                <w:b/>
                <w:bCs/>
              </w:rPr>
              <w:t>2,280</w:t>
            </w:r>
          </w:p>
        </w:tc>
        <w:tc>
          <w:tcPr>
            <w:tcW w:w="1530" w:type="dxa"/>
            <w:tcBorders>
              <w:top w:val="nil"/>
              <w:left w:val="nil"/>
              <w:bottom w:val="single" w:color="auto" w:sz="4" w:space="0"/>
              <w:right w:val="single" w:color="auto" w:sz="8" w:space="0"/>
            </w:tcBorders>
            <w:shd w:val="clear" w:color="auto" w:fill="A6A6A6" w:themeFill="background1" w:themeFillShade="A6"/>
            <w:tcMar>
              <w:top w:w="0" w:type="dxa"/>
              <w:left w:w="108" w:type="dxa"/>
              <w:bottom w:w="0" w:type="dxa"/>
              <w:right w:w="108" w:type="dxa"/>
            </w:tcMar>
            <w:vAlign w:val="center"/>
          </w:tcPr>
          <w:p w:rsidRPr="008C44F6" w:rsidR="00F0186E" w:rsidP="00CC4764" w:rsidRDefault="00F0186E" w14:paraId="68615E7D" w14:textId="77777777">
            <w:pPr>
              <w:spacing w:after="0"/>
              <w:jc w:val="center"/>
            </w:pPr>
          </w:p>
        </w:tc>
        <w:tc>
          <w:tcPr>
            <w:tcW w:w="1080" w:type="dxa"/>
            <w:tcBorders>
              <w:top w:val="nil"/>
              <w:left w:val="nil"/>
              <w:bottom w:val="single" w:color="auto" w:sz="4" w:space="0"/>
              <w:right w:val="single" w:color="auto" w:sz="8" w:space="0"/>
            </w:tcBorders>
            <w:shd w:val="clear" w:color="auto" w:fill="A6A6A6" w:themeFill="background1" w:themeFillShade="A6"/>
            <w:vAlign w:val="center"/>
          </w:tcPr>
          <w:p w:rsidRPr="008C44F6" w:rsidR="00F0186E" w:rsidP="00CC4764" w:rsidRDefault="00F0186E" w14:paraId="7A72CAE8" w14:textId="77777777">
            <w:pPr>
              <w:spacing w:after="0"/>
              <w:jc w:val="center"/>
            </w:pPr>
            <w:r w:rsidRPr="008C44F6">
              <w:rPr>
                <w:b/>
                <w:bCs/>
              </w:rPr>
              <w:t>226</w:t>
            </w:r>
          </w:p>
        </w:tc>
      </w:tr>
      <w:tr w:rsidRPr="008C44F6" w:rsidR="008C44F6" w:rsidTr="00CC4764" w14:paraId="63C53E19" w14:textId="77777777">
        <w:trPr>
          <w:trHeight w:val="144"/>
        </w:trPr>
        <w:tc>
          <w:tcPr>
            <w:tcW w:w="9710" w:type="dxa"/>
            <w:gridSpan w:val="5"/>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rsidRPr="008C44F6" w:rsidR="00F0186E" w:rsidP="00CC4764" w:rsidRDefault="00F0186E" w14:paraId="2A644559" w14:textId="77777777">
            <w:pPr>
              <w:spacing w:after="0"/>
              <w:jc w:val="center"/>
              <w:rPr>
                <w:b/>
                <w:bCs/>
              </w:rPr>
            </w:pPr>
            <w:r w:rsidRPr="008C44F6">
              <w:rPr>
                <w:b/>
                <w:bCs/>
              </w:rPr>
              <w:t>Student</w:t>
            </w:r>
          </w:p>
        </w:tc>
      </w:tr>
      <w:tr w:rsidRPr="008C44F6" w:rsidR="008C44F6" w:rsidTr="00CC4764" w14:paraId="64935F35" w14:textId="77777777">
        <w:trPr>
          <w:trHeight w:val="144"/>
        </w:trPr>
        <w:tc>
          <w:tcPr>
            <w:tcW w:w="4130"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8C44F6" w:rsidR="00F0186E" w:rsidP="00CC4764" w:rsidRDefault="00F0186E" w14:paraId="20EC2BF6" w14:textId="77777777">
            <w:pPr>
              <w:spacing w:after="0"/>
            </w:pPr>
            <w:r w:rsidRPr="008C44F6">
              <w:t>Pilot</w:t>
            </w:r>
          </w:p>
        </w:tc>
        <w:tc>
          <w:tcPr>
            <w:tcW w:w="1620" w:type="dxa"/>
            <w:tcBorders>
              <w:top w:val="nil"/>
              <w:left w:val="nil"/>
              <w:bottom w:val="single" w:color="auto" w:sz="4" w:space="0"/>
              <w:right w:val="single" w:color="auto" w:sz="8" w:space="0"/>
            </w:tcBorders>
            <w:tcMar>
              <w:top w:w="0" w:type="dxa"/>
              <w:left w:w="108" w:type="dxa"/>
              <w:bottom w:w="0" w:type="dxa"/>
              <w:right w:w="108" w:type="dxa"/>
            </w:tcMar>
            <w:vAlign w:val="center"/>
          </w:tcPr>
          <w:p w:rsidRPr="008C44F6" w:rsidR="00F0186E" w:rsidP="00CC4764" w:rsidRDefault="00F0186E" w14:paraId="1F5F3EE8" w14:textId="77777777">
            <w:pPr>
              <w:spacing w:after="0"/>
              <w:jc w:val="center"/>
            </w:pPr>
            <w:r w:rsidRPr="008C44F6">
              <w:t>390</w:t>
            </w:r>
          </w:p>
        </w:tc>
        <w:tc>
          <w:tcPr>
            <w:tcW w:w="13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8C44F6" w:rsidR="00F0186E" w:rsidP="00CC4764" w:rsidRDefault="00F0186E" w14:paraId="23FD0926" w14:textId="77777777">
            <w:pPr>
              <w:spacing w:after="0"/>
              <w:jc w:val="center"/>
            </w:pPr>
            <w:r w:rsidRPr="008C44F6">
              <w:t>390</w:t>
            </w:r>
          </w:p>
        </w:tc>
        <w:tc>
          <w:tcPr>
            <w:tcW w:w="1530" w:type="dxa"/>
            <w:tcBorders>
              <w:top w:val="nil"/>
              <w:left w:val="nil"/>
              <w:bottom w:val="single" w:color="auto" w:sz="4" w:space="0"/>
              <w:right w:val="single" w:color="auto" w:sz="8" w:space="0"/>
            </w:tcBorders>
            <w:tcMar>
              <w:top w:w="0" w:type="dxa"/>
              <w:left w:w="108" w:type="dxa"/>
              <w:bottom w:w="0" w:type="dxa"/>
              <w:right w:w="108" w:type="dxa"/>
            </w:tcMar>
            <w:vAlign w:val="center"/>
          </w:tcPr>
          <w:p w:rsidRPr="008C44F6" w:rsidR="00F0186E" w:rsidP="00CC4764" w:rsidRDefault="00F0186E" w14:paraId="3D54B97E" w14:textId="77777777">
            <w:pPr>
              <w:spacing w:after="0"/>
              <w:jc w:val="center"/>
            </w:pPr>
            <w:r w:rsidRPr="008C44F6">
              <w:t>0.83</w:t>
            </w:r>
          </w:p>
        </w:tc>
        <w:tc>
          <w:tcPr>
            <w:tcW w:w="1080" w:type="dxa"/>
            <w:tcBorders>
              <w:top w:val="nil"/>
              <w:left w:val="nil"/>
              <w:bottom w:val="single" w:color="auto" w:sz="4" w:space="0"/>
              <w:right w:val="single" w:color="auto" w:sz="8" w:space="0"/>
            </w:tcBorders>
            <w:vAlign w:val="center"/>
          </w:tcPr>
          <w:p w:rsidRPr="008C44F6" w:rsidR="00F0186E" w:rsidP="00CC4764" w:rsidRDefault="00F0186E" w14:paraId="765CE392" w14:textId="77777777">
            <w:pPr>
              <w:spacing w:after="0"/>
              <w:jc w:val="center"/>
            </w:pPr>
            <w:r w:rsidRPr="008C44F6">
              <w:t>324</w:t>
            </w:r>
          </w:p>
        </w:tc>
      </w:tr>
      <w:tr w:rsidRPr="008C44F6" w:rsidR="008C44F6" w:rsidTr="00CC4764" w14:paraId="2CA8D4AB" w14:textId="77777777">
        <w:trPr>
          <w:trHeight w:val="144"/>
        </w:trPr>
        <w:tc>
          <w:tcPr>
            <w:tcW w:w="4130" w:type="dxa"/>
            <w:tcBorders>
              <w:top w:val="nil"/>
              <w:left w:val="single" w:color="auto" w:sz="8" w:space="0"/>
              <w:bottom w:val="single" w:color="auto" w:sz="8" w:space="0"/>
              <w:right w:val="single" w:color="auto" w:sz="8" w:space="0"/>
            </w:tcBorders>
            <w:shd w:val="clear" w:color="auto" w:fill="A6A6A6"/>
            <w:tcMar>
              <w:top w:w="0" w:type="dxa"/>
              <w:left w:w="108" w:type="dxa"/>
              <w:bottom w:w="0" w:type="dxa"/>
              <w:right w:w="108" w:type="dxa"/>
            </w:tcMar>
            <w:hideMark/>
          </w:tcPr>
          <w:p w:rsidRPr="008C44F6" w:rsidR="00F0186E" w:rsidP="00CC4764" w:rsidRDefault="00F0186E" w14:paraId="04B8682C" w14:textId="77777777">
            <w:pPr>
              <w:spacing w:after="0"/>
              <w:jc w:val="right"/>
              <w:rPr>
                <w:b/>
                <w:bCs/>
              </w:rPr>
            </w:pPr>
            <w:r w:rsidRPr="008C44F6">
              <w:rPr>
                <w:b/>
                <w:bCs/>
              </w:rPr>
              <w:t>Total Burden</w:t>
            </w:r>
          </w:p>
        </w:tc>
        <w:tc>
          <w:tcPr>
            <w:tcW w:w="1620" w:type="dxa"/>
            <w:tcBorders>
              <w:top w:val="nil"/>
              <w:left w:val="nil"/>
              <w:bottom w:val="single" w:color="auto" w:sz="8" w:space="0"/>
              <w:right w:val="single" w:color="auto" w:sz="8" w:space="0"/>
            </w:tcBorders>
            <w:shd w:val="clear" w:color="auto" w:fill="A6A6A6"/>
            <w:tcMar>
              <w:top w:w="0" w:type="dxa"/>
              <w:left w:w="108" w:type="dxa"/>
              <w:bottom w:w="0" w:type="dxa"/>
              <w:right w:w="108" w:type="dxa"/>
            </w:tcMar>
            <w:vAlign w:val="center"/>
          </w:tcPr>
          <w:p w:rsidRPr="008C44F6" w:rsidR="00F0186E" w:rsidP="00CC4764" w:rsidRDefault="00F0186E" w14:paraId="31811363" w14:textId="55D8F734">
            <w:pPr>
              <w:spacing w:after="0"/>
              <w:jc w:val="center"/>
              <w:rPr>
                <w:b/>
                <w:bCs/>
              </w:rPr>
            </w:pPr>
            <w:r w:rsidRPr="008C44F6">
              <w:rPr>
                <w:b/>
                <w:bCs/>
              </w:rPr>
              <w:t>1,</w:t>
            </w:r>
            <w:r w:rsidR="00870F44">
              <w:rPr>
                <w:b/>
                <w:bCs/>
              </w:rPr>
              <w:t>410</w:t>
            </w:r>
          </w:p>
        </w:tc>
        <w:tc>
          <w:tcPr>
            <w:tcW w:w="1350" w:type="dxa"/>
            <w:tcBorders>
              <w:top w:val="nil"/>
              <w:left w:val="nil"/>
              <w:bottom w:val="single" w:color="auto" w:sz="8" w:space="0"/>
              <w:right w:val="single" w:color="auto" w:sz="8" w:space="0"/>
            </w:tcBorders>
            <w:shd w:val="clear" w:color="auto" w:fill="A6A6A6"/>
            <w:tcMar>
              <w:top w:w="0" w:type="dxa"/>
              <w:left w:w="108" w:type="dxa"/>
              <w:bottom w:w="0" w:type="dxa"/>
              <w:right w:w="108" w:type="dxa"/>
            </w:tcMar>
            <w:vAlign w:val="center"/>
            <w:hideMark/>
          </w:tcPr>
          <w:p w:rsidRPr="008C44F6" w:rsidR="00F0186E" w:rsidP="00CC4764" w:rsidRDefault="00F0186E" w14:paraId="3FD187AB" w14:textId="64615050">
            <w:pPr>
              <w:spacing w:after="0"/>
              <w:jc w:val="center"/>
              <w:rPr>
                <w:b/>
                <w:bCs/>
              </w:rPr>
            </w:pPr>
            <w:r w:rsidRPr="008C44F6">
              <w:rPr>
                <w:b/>
                <w:bCs/>
              </w:rPr>
              <w:t>2,6</w:t>
            </w:r>
            <w:r w:rsidR="00870F44">
              <w:rPr>
                <w:b/>
                <w:bCs/>
              </w:rPr>
              <w:t>9</w:t>
            </w:r>
            <w:r w:rsidRPr="008C44F6">
              <w:rPr>
                <w:b/>
                <w:bCs/>
              </w:rPr>
              <w:t>0</w:t>
            </w:r>
          </w:p>
        </w:tc>
        <w:tc>
          <w:tcPr>
            <w:tcW w:w="1530" w:type="dxa"/>
            <w:tcBorders>
              <w:top w:val="nil"/>
              <w:left w:val="nil"/>
              <w:bottom w:val="single" w:color="auto" w:sz="8" w:space="0"/>
              <w:right w:val="single" w:color="auto" w:sz="8" w:space="0"/>
            </w:tcBorders>
            <w:shd w:val="clear" w:color="auto" w:fill="A6A6A6"/>
            <w:tcMar>
              <w:top w:w="0" w:type="dxa"/>
              <w:left w:w="108" w:type="dxa"/>
              <w:bottom w:w="0" w:type="dxa"/>
              <w:right w:w="108" w:type="dxa"/>
            </w:tcMar>
            <w:vAlign w:val="center"/>
            <w:hideMark/>
          </w:tcPr>
          <w:p w:rsidRPr="008C44F6" w:rsidR="00F0186E" w:rsidP="00CC4764" w:rsidRDefault="00F0186E" w14:paraId="644E88A1" w14:textId="77777777">
            <w:pPr>
              <w:spacing w:after="0"/>
              <w:jc w:val="center"/>
              <w:rPr>
                <w:b/>
                <w:bCs/>
              </w:rPr>
            </w:pPr>
          </w:p>
        </w:tc>
        <w:tc>
          <w:tcPr>
            <w:tcW w:w="1080" w:type="dxa"/>
            <w:tcBorders>
              <w:top w:val="nil"/>
              <w:left w:val="nil"/>
              <w:bottom w:val="single" w:color="auto" w:sz="8" w:space="0"/>
              <w:right w:val="single" w:color="auto" w:sz="8" w:space="0"/>
            </w:tcBorders>
            <w:shd w:val="clear" w:color="auto" w:fill="A6A6A6"/>
            <w:vAlign w:val="center"/>
          </w:tcPr>
          <w:p w:rsidRPr="008C44F6" w:rsidR="00F0186E" w:rsidP="00CC4764" w:rsidRDefault="00F0186E" w14:paraId="33DC7CB4" w14:textId="77777777">
            <w:pPr>
              <w:spacing w:after="0"/>
              <w:jc w:val="center"/>
              <w:rPr>
                <w:b/>
                <w:bCs/>
              </w:rPr>
            </w:pPr>
            <w:r w:rsidRPr="008C44F6">
              <w:rPr>
                <w:b/>
                <w:bCs/>
              </w:rPr>
              <w:t>552</w:t>
            </w:r>
          </w:p>
        </w:tc>
      </w:tr>
    </w:tbl>
    <w:p w:rsidRPr="008C44F6" w:rsidR="00BB18BC" w:rsidP="05E820D9" w:rsidRDefault="0001385C" w14:paraId="0A1808EE" w14:textId="0A517C64">
      <w:pPr>
        <w:spacing w:after="0" w:line="240" w:lineRule="auto"/>
        <w:rPr>
          <w:rFonts w:asciiTheme="minorHAnsi" w:hAnsiTheme="minorHAnsi" w:eastAsiaTheme="minorEastAsia" w:cstheme="minorBidi"/>
          <w:sz w:val="20"/>
          <w:szCs w:val="20"/>
        </w:rPr>
      </w:pPr>
      <w:r w:rsidRPr="008C44F6">
        <w:rPr>
          <w:rFonts w:asciiTheme="minorHAnsi" w:hAnsiTheme="minorHAnsi" w:eastAsiaTheme="minorEastAsia" w:cstheme="minorBidi"/>
          <w:sz w:val="20"/>
          <w:szCs w:val="20"/>
          <w:vertAlign w:val="superscript"/>
        </w:rPr>
        <w:t>+</w:t>
      </w:r>
      <w:r w:rsidRPr="008C44F6" w:rsidR="00BB18BC">
        <w:rPr>
          <w:rFonts w:asciiTheme="minorHAnsi" w:hAnsiTheme="minorHAnsi" w:eastAsiaTheme="minorEastAsia" w:cstheme="minorBidi"/>
          <w:sz w:val="20"/>
          <w:szCs w:val="20"/>
        </w:rPr>
        <w:t xml:space="preserve"> Subset of</w:t>
      </w:r>
      <w:r w:rsidRPr="008C44F6" w:rsidR="006107AF">
        <w:rPr>
          <w:rFonts w:asciiTheme="minorHAnsi" w:hAnsiTheme="minorHAnsi" w:eastAsiaTheme="minorEastAsia" w:cstheme="minorBidi"/>
          <w:sz w:val="20"/>
          <w:szCs w:val="20"/>
        </w:rPr>
        <w:t xml:space="preserve"> the</w:t>
      </w:r>
      <w:r w:rsidRPr="008C44F6" w:rsidR="00BB18BC">
        <w:rPr>
          <w:rFonts w:asciiTheme="minorHAnsi" w:hAnsiTheme="minorHAnsi" w:eastAsiaTheme="minorEastAsia" w:cstheme="minorBidi"/>
          <w:sz w:val="20"/>
          <w:szCs w:val="20"/>
        </w:rPr>
        <w:t xml:space="preserve"> initial contact group</w:t>
      </w:r>
    </w:p>
    <w:p w:rsidRPr="008C44F6" w:rsidR="3BF6B37F" w:rsidP="005E2BFB" w:rsidRDefault="3BF6B37F" w14:paraId="27B8958C" w14:textId="15026651">
      <w:pPr>
        <w:tabs>
          <w:tab w:val="left" w:pos="6936"/>
        </w:tabs>
        <w:spacing w:after="0" w:line="240" w:lineRule="auto"/>
        <w:rPr>
          <w:rFonts w:asciiTheme="minorHAnsi" w:hAnsiTheme="minorHAnsi" w:eastAsiaTheme="minorEastAsia" w:cstheme="minorBidi"/>
          <w:sz w:val="20"/>
          <w:szCs w:val="20"/>
        </w:rPr>
      </w:pPr>
      <w:r w:rsidRPr="008C44F6">
        <w:rPr>
          <w:rFonts w:asciiTheme="minorHAnsi" w:hAnsiTheme="minorHAnsi" w:eastAsiaTheme="minorEastAsia" w:cstheme="minorBidi"/>
          <w:sz w:val="20"/>
          <w:szCs w:val="20"/>
        </w:rPr>
        <w:t xml:space="preserve">* </w:t>
      </w:r>
      <w:r w:rsidRPr="008C44F6" w:rsidR="4CF302E2">
        <w:rPr>
          <w:rFonts w:asciiTheme="minorHAnsi" w:hAnsiTheme="minorHAnsi" w:eastAsiaTheme="minorEastAsia" w:cstheme="minorBidi"/>
          <w:sz w:val="20"/>
          <w:szCs w:val="20"/>
        </w:rPr>
        <w:t>Subset with completed screening form</w:t>
      </w:r>
      <w:r w:rsidRPr="008C44F6" w:rsidR="005E2BFB">
        <w:rPr>
          <w:rFonts w:asciiTheme="minorHAnsi" w:hAnsiTheme="minorHAnsi" w:eastAsiaTheme="minorEastAsia" w:cstheme="minorBidi"/>
          <w:sz w:val="20"/>
          <w:szCs w:val="20"/>
        </w:rPr>
        <w:tab/>
      </w:r>
    </w:p>
    <w:p w:rsidRPr="008C44F6" w:rsidR="1F3367AD" w:rsidP="0A5A50C4" w:rsidRDefault="52593EB3" w14:paraId="1FAAD237" w14:textId="51995E4C">
      <w:pPr>
        <w:spacing w:after="0" w:line="240" w:lineRule="auto"/>
        <w:rPr>
          <w:rFonts w:asciiTheme="minorHAnsi" w:hAnsiTheme="minorHAnsi" w:eastAsiaTheme="minorEastAsia" w:cstheme="minorBidi"/>
          <w:sz w:val="20"/>
          <w:szCs w:val="20"/>
        </w:rPr>
      </w:pPr>
      <w:r w:rsidRPr="008C44F6">
        <w:rPr>
          <w:rFonts w:asciiTheme="minorHAnsi" w:hAnsiTheme="minorHAnsi" w:eastAsiaTheme="minorEastAsia" w:cstheme="minorBidi"/>
          <w:i/>
          <w:iCs/>
          <w:sz w:val="20"/>
          <w:szCs w:val="20"/>
        </w:rPr>
        <w:t>Note</w:t>
      </w:r>
      <w:r w:rsidRPr="008C44F6" w:rsidR="00C15D89">
        <w:rPr>
          <w:rFonts w:asciiTheme="minorHAnsi" w:hAnsiTheme="minorHAnsi" w:eastAsiaTheme="minorEastAsia" w:cstheme="minorBidi"/>
          <w:i/>
          <w:iCs/>
          <w:sz w:val="20"/>
          <w:szCs w:val="20"/>
        </w:rPr>
        <w:t>:</w:t>
      </w:r>
      <w:r w:rsidRPr="008C44F6">
        <w:rPr>
          <w:rFonts w:asciiTheme="minorHAnsi" w:hAnsiTheme="minorHAnsi" w:eastAsiaTheme="minorEastAsia" w:cstheme="minorBidi"/>
          <w:i/>
          <w:iCs/>
          <w:sz w:val="20"/>
          <w:szCs w:val="20"/>
        </w:rPr>
        <w:t xml:space="preserve"> </w:t>
      </w:r>
      <w:r w:rsidRPr="008C44F6">
        <w:rPr>
          <w:rFonts w:asciiTheme="minorHAnsi" w:hAnsiTheme="minorHAnsi" w:eastAsiaTheme="minorEastAsia" w:cstheme="minorBidi"/>
          <w:sz w:val="20"/>
          <w:szCs w:val="20"/>
        </w:rPr>
        <w:t>These numbers are rounded to the nearest whole number</w:t>
      </w:r>
      <w:r w:rsidRPr="008C44F6" w:rsidR="1251196A">
        <w:rPr>
          <w:rFonts w:asciiTheme="minorHAnsi" w:hAnsiTheme="minorHAnsi" w:eastAsiaTheme="minorEastAsia" w:cstheme="minorBidi"/>
          <w:sz w:val="20"/>
          <w:szCs w:val="20"/>
        </w:rPr>
        <w:t xml:space="preserve"> in the Total Hours column</w:t>
      </w:r>
      <w:r w:rsidRPr="008C44F6">
        <w:rPr>
          <w:rFonts w:asciiTheme="minorHAnsi" w:hAnsiTheme="minorHAnsi" w:eastAsiaTheme="minorEastAsia" w:cstheme="minorBidi"/>
          <w:sz w:val="20"/>
          <w:szCs w:val="20"/>
        </w:rPr>
        <w:t xml:space="preserve">. </w:t>
      </w:r>
    </w:p>
    <w:p w:rsidRPr="008C44F6" w:rsidR="00D0102A" w:rsidP="0A5A50C4" w:rsidRDefault="00D0102A" w14:paraId="03C37B34" w14:textId="7D5A3B73">
      <w:pPr>
        <w:spacing w:after="0" w:line="240" w:lineRule="auto"/>
        <w:rPr>
          <w:rFonts w:asciiTheme="minorHAnsi" w:hAnsiTheme="minorHAnsi" w:eastAsiaTheme="minorEastAsia" w:cstheme="minorBidi"/>
          <w:sz w:val="20"/>
          <w:szCs w:val="20"/>
        </w:rPr>
      </w:pPr>
    </w:p>
    <w:p w:rsidRPr="008C44F6" w:rsidR="0000450B" w:rsidP="009528C3" w:rsidRDefault="00D0102A" w14:paraId="4226E617" w14:textId="31831AE2">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lastRenderedPageBreak/>
        <w:t xml:space="preserve">The anticipated total number of student participants in this scenario for the experimental study administration is 390. All time estimates for contact with parents and legal guardians are based on prior experience conducting NAEP studies. </w:t>
      </w:r>
      <w:r w:rsidRPr="008C44F6" w:rsidR="009528C3">
        <w:rPr>
          <w:rFonts w:asciiTheme="minorHAnsi" w:hAnsiTheme="minorHAnsi" w:eastAsiaTheme="minorEastAsia" w:cstheme="minorBidi"/>
        </w:rPr>
        <w:t xml:space="preserve">Recruitment for this study will occur across several online platforms (e.g., ETS internal website, social media, and direct email). Flyer review will involve the review of either only the Recruitment Letter/Email (Appendices A and B) in the case of direct or email or the review of both a Recruitment Flyer (Appendix G) and the Recruitment Letter/Email (Appendices A and B). </w:t>
      </w:r>
      <w:r w:rsidRPr="008C44F6">
        <w:rPr>
          <w:rFonts w:asciiTheme="minorHAnsi" w:hAnsiTheme="minorHAnsi" w:eastAsiaTheme="minorEastAsia" w:cstheme="minorBidi"/>
        </w:rPr>
        <w:t>We anticipate distributing 1000 flyers to parents and legal guardians, with an estimated time of 5-minutes or 0.08 hours (see Appendi</w:t>
      </w:r>
      <w:r w:rsidRPr="008C44F6" w:rsidR="009528C3">
        <w:rPr>
          <w:rFonts w:asciiTheme="minorHAnsi" w:hAnsiTheme="minorHAnsi" w:eastAsiaTheme="minorEastAsia" w:cstheme="minorBidi"/>
        </w:rPr>
        <w:t>ces A, B, and G</w:t>
      </w:r>
      <w:r w:rsidRPr="008C44F6">
        <w:rPr>
          <w:rFonts w:asciiTheme="minorHAnsi" w:hAnsiTheme="minorHAnsi" w:eastAsiaTheme="minorEastAsia" w:cstheme="minorBidi"/>
        </w:rPr>
        <w:t xml:space="preserve">). Time to fill out the online screening form is estimated at 9-minutes or 0.15 hours (see Appendix </w:t>
      </w:r>
      <w:r w:rsidRPr="008C44F6" w:rsidR="009528C3">
        <w:rPr>
          <w:rFonts w:asciiTheme="minorHAnsi" w:hAnsiTheme="minorHAnsi" w:eastAsiaTheme="minorEastAsia" w:cstheme="minorBidi"/>
        </w:rPr>
        <w:t>C</w:t>
      </w:r>
      <w:r w:rsidRPr="008C44F6">
        <w:rPr>
          <w:rFonts w:asciiTheme="minorHAnsi" w:hAnsiTheme="minorHAnsi" w:eastAsiaTheme="minorEastAsia" w:cstheme="minorBidi"/>
        </w:rPr>
        <w:t xml:space="preserve">). For those selected to participate and asked to fill out the consent form, the estimated time is 8-minutes or 0.13 hours (see Appendix </w:t>
      </w:r>
      <w:r w:rsidRPr="008C44F6" w:rsidR="009528C3">
        <w:rPr>
          <w:rFonts w:asciiTheme="minorHAnsi" w:hAnsiTheme="minorHAnsi" w:eastAsiaTheme="minorEastAsia" w:cstheme="minorBidi"/>
        </w:rPr>
        <w:t>D</w:t>
      </w:r>
      <w:r w:rsidRPr="008C44F6">
        <w:rPr>
          <w:rFonts w:asciiTheme="minorHAnsi" w:hAnsiTheme="minorHAnsi" w:eastAsiaTheme="minorEastAsia" w:cstheme="minorBidi"/>
        </w:rPr>
        <w:t xml:space="preserve">). The follow-up email to confirm participation for each </w:t>
      </w:r>
      <w:r w:rsidRPr="008C44F6" w:rsidR="009528C3">
        <w:rPr>
          <w:rFonts w:asciiTheme="minorHAnsi" w:hAnsiTheme="minorHAnsi" w:eastAsiaTheme="minorEastAsia" w:cstheme="minorBidi"/>
        </w:rPr>
        <w:t>student</w:t>
      </w:r>
      <w:r w:rsidRPr="008C44F6">
        <w:rPr>
          <w:rFonts w:asciiTheme="minorHAnsi" w:hAnsiTheme="minorHAnsi" w:eastAsiaTheme="minorEastAsia" w:cstheme="minorBidi"/>
        </w:rPr>
        <w:t xml:space="preserve"> (see Appendix </w:t>
      </w:r>
      <w:r w:rsidRPr="008C44F6" w:rsidR="009528C3">
        <w:rPr>
          <w:rFonts w:asciiTheme="minorHAnsi" w:hAnsiTheme="minorHAnsi" w:eastAsiaTheme="minorEastAsia" w:cstheme="minorBidi"/>
        </w:rPr>
        <w:t>E</w:t>
      </w:r>
      <w:r w:rsidRPr="008C44F6">
        <w:rPr>
          <w:rFonts w:asciiTheme="minorHAnsi" w:hAnsiTheme="minorHAnsi" w:eastAsiaTheme="minorEastAsia" w:cstheme="minorBidi"/>
        </w:rPr>
        <w:t xml:space="preserve">) is estimated at 3-minutes or 0.05 hours. Students will be able to complete all parts of the study in 50-minutes or 0.83 hours. </w:t>
      </w:r>
    </w:p>
    <w:p w:rsidRPr="008C44F6" w:rsidR="0000450B" w:rsidP="7F61E385" w:rsidRDefault="00F95EC9" w14:paraId="62856A22" w14:textId="68D554CD">
      <w:pPr>
        <w:spacing w:after="0" w:line="240" w:lineRule="auto"/>
        <w:rPr>
          <w:rFonts w:asciiTheme="minorHAnsi" w:hAnsiTheme="minorHAnsi" w:eastAsiaTheme="minorEastAsia" w:cstheme="minorBidi"/>
        </w:rPr>
      </w:pPr>
      <w:r w:rsidRPr="008C44F6">
        <w:rPr>
          <w:rFonts w:asciiTheme="minorHAnsi" w:hAnsiTheme="minorHAnsi" w:eastAsiaTheme="minorEastAsia" w:cstheme="minorBidi"/>
        </w:rPr>
        <w:t xml:space="preserve">In addition to </w:t>
      </w:r>
      <w:r w:rsidRPr="008C44F6" w:rsidR="002A6C15">
        <w:rPr>
          <w:rFonts w:asciiTheme="minorHAnsi" w:hAnsiTheme="minorHAnsi" w:eastAsiaTheme="minorEastAsia" w:cstheme="minorBidi"/>
        </w:rPr>
        <w:t xml:space="preserve">direct </w:t>
      </w:r>
      <w:r w:rsidRPr="008C44F6">
        <w:rPr>
          <w:rFonts w:asciiTheme="minorHAnsi" w:hAnsiTheme="minorHAnsi" w:eastAsiaTheme="minorEastAsia" w:cstheme="minorBidi"/>
        </w:rPr>
        <w:t>recruitment</w:t>
      </w:r>
      <w:r w:rsidRPr="008C44F6" w:rsidR="002A6C15">
        <w:rPr>
          <w:rFonts w:asciiTheme="minorHAnsi" w:hAnsiTheme="minorHAnsi" w:eastAsiaTheme="minorEastAsia" w:cstheme="minorBidi"/>
        </w:rPr>
        <w:t xml:space="preserve"> of parents and legal guardians</w:t>
      </w:r>
      <w:r w:rsidRPr="008C44F6">
        <w:rPr>
          <w:rFonts w:asciiTheme="minorHAnsi" w:hAnsiTheme="minorHAnsi" w:eastAsiaTheme="minorEastAsia" w:cstheme="minorBidi"/>
        </w:rPr>
        <w:t xml:space="preserve"> via online platforms, </w:t>
      </w:r>
      <w:r w:rsidRPr="008C44F6" w:rsidR="00926D3B">
        <w:rPr>
          <w:rFonts w:asciiTheme="minorHAnsi" w:hAnsiTheme="minorHAnsi" w:eastAsiaTheme="minorEastAsia" w:cstheme="minorBidi"/>
        </w:rPr>
        <w:t xml:space="preserve">we will also contact organizations </w:t>
      </w:r>
      <w:r w:rsidRPr="008C44F6" w:rsidR="002A6C15">
        <w:rPr>
          <w:rFonts w:asciiTheme="minorHAnsi" w:hAnsiTheme="minorHAnsi" w:eastAsiaTheme="minorEastAsia" w:cstheme="minorBidi"/>
        </w:rPr>
        <w:t xml:space="preserve">that provide services to students outside of normal school hours (e.g., Boys and Girls Club). These organizations will be contacted via email (Appendix F) and will be asked if they would be open to sending information about our study to the parents and legal guardians of their students. The time burden for parents, legal guardians, and students would remain the same as described above. </w:t>
      </w:r>
    </w:p>
    <w:p w:rsidRPr="008C44F6" w:rsidR="009528C3" w:rsidP="7F61E385" w:rsidRDefault="009528C3" w14:paraId="117B0F9C" w14:textId="77777777">
      <w:pPr>
        <w:spacing w:after="0" w:line="240" w:lineRule="auto"/>
        <w:rPr>
          <w:rFonts w:asciiTheme="minorHAnsi" w:hAnsiTheme="minorHAnsi" w:eastAsiaTheme="minorEastAsia" w:cstheme="minorBidi"/>
          <w:sz w:val="20"/>
          <w:szCs w:val="20"/>
        </w:rPr>
      </w:pPr>
    </w:p>
    <w:p w:rsidRPr="008C44F6" w:rsidR="005E0AC8" w:rsidP="002869B0" w:rsidRDefault="005E0AC8" w14:paraId="0F28A707" w14:textId="77777777">
      <w:pPr>
        <w:pStyle w:val="Heading1"/>
        <w:numPr>
          <w:ilvl w:val="0"/>
          <w:numId w:val="15"/>
        </w:numPr>
        <w:spacing w:before="0" w:after="120" w:line="30" w:lineRule="atLeast"/>
        <w:rPr>
          <w:rStyle w:val="IntenseEmphasis"/>
          <w:i w:val="0"/>
          <w:iCs w:val="0"/>
          <w:color w:val="auto"/>
        </w:rPr>
      </w:pPr>
      <w:bookmarkStart w:name="_Toc528841107" w:id="26"/>
      <w:bookmarkStart w:name="_Toc41490577" w:id="27"/>
      <w:bookmarkStart w:name="_Toc50551999" w:id="28"/>
      <w:r w:rsidRPr="008C44F6">
        <w:rPr>
          <w:rStyle w:val="IntenseEmphasis"/>
          <w:i w:val="0"/>
          <w:iCs w:val="0"/>
          <w:color w:val="auto"/>
        </w:rPr>
        <w:t>Costs to Federal Government</w:t>
      </w:r>
      <w:bookmarkEnd w:id="26"/>
      <w:bookmarkEnd w:id="27"/>
      <w:bookmarkEnd w:id="28"/>
    </w:p>
    <w:p w:rsidRPr="008C44F6" w:rsidR="001A3FD0" w:rsidP="001A3FD0" w:rsidRDefault="001A3FD0" w14:paraId="6C77EBC3" w14:textId="693830A4">
      <w:pPr>
        <w:spacing w:after="120" w:line="30" w:lineRule="atLeast"/>
      </w:pPr>
      <w:r w:rsidRPr="008C44F6">
        <w:t xml:space="preserve">The total cost of the study is $29,124 as detailed in Table </w:t>
      </w:r>
      <w:r w:rsidRPr="008C44F6" w:rsidR="0000450B">
        <w:t>2</w:t>
      </w:r>
      <w:r w:rsidRPr="008C44F6">
        <w:t>.</w:t>
      </w:r>
    </w:p>
    <w:p w:rsidRPr="008C44F6" w:rsidR="001A3FD0" w:rsidP="001A3FD0" w:rsidRDefault="001A3FD0" w14:paraId="4F9C9724" w14:textId="7FEAFBD9">
      <w:pPr>
        <w:keepNext/>
        <w:spacing w:after="40" w:line="30" w:lineRule="atLeast"/>
        <w:rPr>
          <w:rFonts w:asciiTheme="minorHAnsi" w:hAnsiTheme="minorHAnsi" w:eastAsiaTheme="minorEastAsia" w:cstheme="minorBidi"/>
          <w:b/>
        </w:rPr>
      </w:pPr>
      <w:r w:rsidRPr="008C44F6">
        <w:rPr>
          <w:rFonts w:asciiTheme="minorHAnsi" w:hAnsiTheme="minorHAnsi" w:eastAsiaTheme="minorEastAsia" w:cstheme="minorBidi"/>
          <w:b/>
          <w:bCs/>
        </w:rPr>
        <w:t xml:space="preserve">Table </w:t>
      </w:r>
      <w:r w:rsidRPr="008C44F6" w:rsidR="0000450B">
        <w:rPr>
          <w:rFonts w:asciiTheme="minorHAnsi" w:hAnsiTheme="minorHAnsi" w:eastAsiaTheme="minorEastAsia" w:cstheme="minorBidi"/>
          <w:b/>
          <w:bCs/>
        </w:rPr>
        <w:t>2</w:t>
      </w:r>
      <w:r w:rsidRPr="008C44F6">
        <w:rPr>
          <w:rFonts w:asciiTheme="minorHAnsi" w:hAnsiTheme="minorHAnsi" w:eastAsiaTheme="minorEastAsia" w:cstheme="minorBidi"/>
          <w:b/>
          <w:bCs/>
        </w:rPr>
        <w:t>.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19"/>
        <w:gridCol w:w="1409"/>
        <w:gridCol w:w="1674"/>
      </w:tblGrid>
      <w:tr w:rsidRPr="008C44F6" w:rsidR="008C44F6" w:rsidTr="00A43211" w14:paraId="62FB1487" w14:textId="77777777">
        <w:trPr>
          <w:trHeight w:val="566"/>
        </w:trPr>
        <w:tc>
          <w:tcPr>
            <w:tcW w:w="3532" w:type="pct"/>
            <w:shd w:val="clear" w:color="auto" w:fill="F2F2F2" w:themeFill="background1" w:themeFillShade="F2"/>
            <w:vAlign w:val="center"/>
          </w:tcPr>
          <w:p w:rsidRPr="008C44F6" w:rsidR="001A3FD0" w:rsidP="00A43211" w:rsidRDefault="001A3FD0" w14:paraId="455F314B" w14:textId="77777777">
            <w:pPr>
              <w:pStyle w:val="tabletext"/>
              <w:keepNext/>
              <w:spacing w:after="0"/>
              <w:jc w:val="center"/>
              <w:rPr>
                <w:rFonts w:asciiTheme="minorHAnsi" w:hAnsiTheme="minorHAnsi" w:eastAsiaTheme="minorEastAsia" w:cstheme="minorBidi"/>
                <w:b/>
                <w:bCs/>
              </w:rPr>
            </w:pPr>
            <w:r w:rsidRPr="008C44F6">
              <w:rPr>
                <w:rFonts w:asciiTheme="minorHAnsi" w:hAnsiTheme="minorHAnsi" w:eastAsiaTheme="minorEastAsia" w:cstheme="minorBidi"/>
                <w:b/>
                <w:bCs/>
              </w:rPr>
              <w:t>Activity</w:t>
            </w:r>
          </w:p>
        </w:tc>
        <w:tc>
          <w:tcPr>
            <w:tcW w:w="671" w:type="pct"/>
            <w:shd w:val="clear" w:color="auto" w:fill="F2F2F2" w:themeFill="background1" w:themeFillShade="F2"/>
            <w:vAlign w:val="center"/>
          </w:tcPr>
          <w:p w:rsidRPr="008C44F6" w:rsidR="001A3FD0" w:rsidP="00A43211" w:rsidRDefault="001A3FD0" w14:paraId="6FF2F5B1" w14:textId="77777777">
            <w:pPr>
              <w:pStyle w:val="tabletext"/>
              <w:keepNext/>
              <w:spacing w:after="0"/>
              <w:jc w:val="center"/>
              <w:rPr>
                <w:rFonts w:asciiTheme="minorHAnsi" w:hAnsiTheme="minorHAnsi" w:eastAsiaTheme="minorEastAsia" w:cstheme="minorBidi"/>
                <w:b/>
                <w:bCs/>
              </w:rPr>
            </w:pPr>
            <w:r w:rsidRPr="008C44F6">
              <w:rPr>
                <w:rFonts w:asciiTheme="minorHAnsi" w:hAnsiTheme="minorHAnsi" w:eastAsiaTheme="minorEastAsia" w:cstheme="minorBidi"/>
                <w:b/>
                <w:bCs/>
              </w:rPr>
              <w:t>Provider</w:t>
            </w:r>
          </w:p>
        </w:tc>
        <w:tc>
          <w:tcPr>
            <w:tcW w:w="797" w:type="pct"/>
            <w:shd w:val="clear" w:color="auto" w:fill="F2F2F2" w:themeFill="background1" w:themeFillShade="F2"/>
            <w:vAlign w:val="center"/>
          </w:tcPr>
          <w:p w:rsidRPr="008C44F6" w:rsidR="001A3FD0" w:rsidP="00A43211" w:rsidRDefault="001A3FD0" w14:paraId="56C87345" w14:textId="77777777">
            <w:pPr>
              <w:pStyle w:val="tabletext"/>
              <w:keepNext/>
              <w:spacing w:after="0"/>
              <w:jc w:val="center"/>
              <w:rPr>
                <w:rFonts w:asciiTheme="minorHAnsi" w:hAnsiTheme="minorHAnsi" w:eastAsiaTheme="minorEastAsia" w:cstheme="minorBidi"/>
                <w:b/>
                <w:bCs/>
              </w:rPr>
            </w:pPr>
            <w:r w:rsidRPr="008C44F6">
              <w:rPr>
                <w:rFonts w:asciiTheme="minorHAnsi" w:hAnsiTheme="minorHAnsi" w:eastAsiaTheme="minorEastAsia" w:cstheme="minorBidi"/>
                <w:b/>
                <w:bCs/>
              </w:rPr>
              <w:t>Estimated Cost</w:t>
            </w:r>
          </w:p>
        </w:tc>
      </w:tr>
      <w:tr w:rsidRPr="008C44F6" w:rsidR="008C44F6" w:rsidTr="00A43211" w14:paraId="7DF86A0F" w14:textId="77777777">
        <w:trPr>
          <w:trHeight w:val="566"/>
        </w:trPr>
        <w:tc>
          <w:tcPr>
            <w:tcW w:w="3532" w:type="pct"/>
            <w:vAlign w:val="center"/>
          </w:tcPr>
          <w:p w:rsidRPr="008C44F6" w:rsidR="001A3FD0" w:rsidP="00A43211" w:rsidRDefault="001A3FD0" w14:paraId="554F5F8D" w14:textId="77777777">
            <w:pPr>
              <w:pStyle w:val="tabletext"/>
              <w:spacing w:after="0"/>
            </w:pPr>
            <w:r w:rsidRPr="008C44F6">
              <w:t>Design and prepare for study administration; administer study (including recruitment, data collection, data entry)</w:t>
            </w:r>
          </w:p>
        </w:tc>
        <w:tc>
          <w:tcPr>
            <w:tcW w:w="671" w:type="pct"/>
            <w:vAlign w:val="center"/>
          </w:tcPr>
          <w:p w:rsidRPr="008C44F6" w:rsidR="001A3FD0" w:rsidP="00A43211" w:rsidRDefault="001A3FD0" w14:paraId="61117C43" w14:textId="77777777">
            <w:pPr>
              <w:pStyle w:val="tabletext"/>
              <w:spacing w:after="0"/>
              <w:jc w:val="center"/>
              <w:rPr>
                <w:rFonts w:asciiTheme="minorHAnsi" w:hAnsiTheme="minorHAnsi" w:eastAsiaTheme="minorEastAsia" w:cstheme="minorBidi"/>
              </w:rPr>
            </w:pPr>
            <w:r w:rsidRPr="008C44F6">
              <w:rPr>
                <w:rFonts w:asciiTheme="minorHAnsi" w:hAnsiTheme="minorHAnsi" w:eastAsiaTheme="minorEastAsia" w:cstheme="minorBidi"/>
              </w:rPr>
              <w:t>ETS</w:t>
            </w:r>
          </w:p>
        </w:tc>
        <w:tc>
          <w:tcPr>
            <w:tcW w:w="797" w:type="pct"/>
            <w:shd w:val="clear" w:color="auto" w:fill="auto"/>
            <w:vAlign w:val="center"/>
          </w:tcPr>
          <w:p w:rsidRPr="008C44F6" w:rsidR="001A3FD0" w:rsidP="00A43211" w:rsidRDefault="001A3FD0" w14:paraId="76D90096" w14:textId="77777777">
            <w:pPr>
              <w:pStyle w:val="tabletext"/>
              <w:spacing w:after="0"/>
              <w:jc w:val="center"/>
              <w:rPr>
                <w:rFonts w:asciiTheme="minorHAnsi" w:hAnsiTheme="minorHAnsi" w:eastAsiaTheme="minorEastAsia" w:cstheme="minorBidi"/>
              </w:rPr>
            </w:pPr>
            <w:r w:rsidRPr="008C44F6">
              <w:rPr>
                <w:rFonts w:asciiTheme="minorHAnsi" w:hAnsiTheme="minorHAnsi" w:eastAsiaTheme="minorEastAsia" w:cstheme="minorBidi"/>
              </w:rPr>
              <w:t xml:space="preserve">$21,324 </w:t>
            </w:r>
          </w:p>
        </w:tc>
      </w:tr>
      <w:tr w:rsidRPr="008C44F6" w:rsidR="001A3FD0" w:rsidTr="00A43211" w14:paraId="02E60E33" w14:textId="77777777">
        <w:trPr>
          <w:trHeight w:val="566"/>
        </w:trPr>
        <w:tc>
          <w:tcPr>
            <w:tcW w:w="3532" w:type="pct"/>
            <w:vAlign w:val="center"/>
          </w:tcPr>
          <w:p w:rsidRPr="008C44F6" w:rsidR="001A3FD0" w:rsidP="00A43211" w:rsidRDefault="001A3FD0" w14:paraId="3E09AD1F" w14:textId="77777777">
            <w:pPr>
              <w:pStyle w:val="tabletext"/>
              <w:spacing w:after="0"/>
            </w:pPr>
            <w:r w:rsidRPr="008C44F6">
              <w:t>Support payment of participants</w:t>
            </w:r>
          </w:p>
        </w:tc>
        <w:tc>
          <w:tcPr>
            <w:tcW w:w="671" w:type="pct"/>
            <w:vAlign w:val="center"/>
          </w:tcPr>
          <w:p w:rsidRPr="008C44F6" w:rsidR="001A3FD0" w:rsidP="00A43211" w:rsidRDefault="001A3FD0" w14:paraId="144358DA" w14:textId="77777777">
            <w:pPr>
              <w:pStyle w:val="tabletext"/>
              <w:spacing w:after="0"/>
              <w:jc w:val="center"/>
              <w:rPr>
                <w:rFonts w:asciiTheme="minorHAnsi" w:hAnsiTheme="minorHAnsi" w:eastAsiaTheme="minorEastAsia" w:cstheme="minorBidi"/>
              </w:rPr>
            </w:pPr>
            <w:r w:rsidRPr="008C44F6">
              <w:rPr>
                <w:rFonts w:asciiTheme="minorHAnsi" w:hAnsiTheme="minorHAnsi" w:eastAsiaTheme="minorEastAsia" w:cstheme="minorBidi"/>
              </w:rPr>
              <w:t>ETS</w:t>
            </w:r>
          </w:p>
        </w:tc>
        <w:tc>
          <w:tcPr>
            <w:tcW w:w="797" w:type="pct"/>
            <w:shd w:val="clear" w:color="auto" w:fill="auto"/>
            <w:vAlign w:val="center"/>
          </w:tcPr>
          <w:p w:rsidRPr="008C44F6" w:rsidR="001A3FD0" w:rsidP="00A43211" w:rsidRDefault="001A3FD0" w14:paraId="76B46DD2" w14:textId="77777777">
            <w:pPr>
              <w:pStyle w:val="tabletext"/>
              <w:spacing w:after="0"/>
              <w:jc w:val="center"/>
              <w:rPr>
                <w:rFonts w:asciiTheme="minorHAnsi" w:hAnsiTheme="minorHAnsi" w:eastAsiaTheme="minorEastAsia" w:cstheme="minorBidi"/>
              </w:rPr>
            </w:pPr>
            <w:r w:rsidRPr="008C44F6">
              <w:rPr>
                <w:rFonts w:asciiTheme="minorHAnsi" w:hAnsiTheme="minorHAnsi" w:eastAsiaTheme="minorEastAsia" w:cstheme="minorBidi"/>
              </w:rPr>
              <w:t>$7,800</w:t>
            </w:r>
          </w:p>
        </w:tc>
      </w:tr>
    </w:tbl>
    <w:p w:rsidRPr="008C44F6" w:rsidR="001A3FD0" w:rsidP="001A3FD0" w:rsidRDefault="001A3FD0" w14:paraId="776E550B" w14:textId="77777777">
      <w:pPr>
        <w:spacing w:after="120" w:line="30" w:lineRule="atLeast"/>
        <w:rPr>
          <w:rFonts w:asciiTheme="minorHAnsi" w:hAnsiTheme="minorHAnsi" w:eastAsiaTheme="minorEastAsia" w:cstheme="minorBidi"/>
          <w:b/>
          <w:bCs/>
        </w:rPr>
      </w:pPr>
    </w:p>
    <w:p w:rsidRPr="008C44F6" w:rsidR="0000450B" w:rsidP="0000450B" w:rsidRDefault="0000450B" w14:paraId="0383C30F" w14:textId="77777777">
      <w:pPr>
        <w:pStyle w:val="Heading1"/>
        <w:numPr>
          <w:ilvl w:val="0"/>
          <w:numId w:val="15"/>
        </w:numPr>
        <w:spacing w:before="0" w:after="120" w:line="30" w:lineRule="atLeast"/>
        <w:rPr>
          <w:rStyle w:val="IntenseEmphasis"/>
          <w:rFonts w:eastAsiaTheme="minorEastAsia"/>
          <w:i w:val="0"/>
          <w:iCs w:val="0"/>
          <w:color w:val="auto"/>
        </w:rPr>
      </w:pPr>
      <w:bookmarkStart w:name="_Toc50552000" w:id="29"/>
      <w:r w:rsidRPr="008C44F6">
        <w:rPr>
          <w:rStyle w:val="IntenseEmphasis"/>
          <w:rFonts w:eastAsiaTheme="minorEastAsia"/>
          <w:i w:val="0"/>
          <w:iCs w:val="0"/>
          <w:color w:val="auto"/>
        </w:rPr>
        <w:t>Project Schedule</w:t>
      </w:r>
      <w:bookmarkEnd w:id="29"/>
    </w:p>
    <w:p w:rsidRPr="008C44F6" w:rsidR="007B72AF" w:rsidP="0000450B" w:rsidRDefault="0018625E" w14:paraId="351128E1" w14:textId="31744F96">
      <w:pPr>
        <w:spacing w:after="120" w:line="30" w:lineRule="atLeast"/>
      </w:pPr>
      <w:r w:rsidRPr="008C44F6">
        <w:t xml:space="preserve">The schedule for this study, including all activities, is provided in Table </w:t>
      </w:r>
      <w:r w:rsidRPr="008C44F6" w:rsidR="0000450B">
        <w:t>3</w:t>
      </w:r>
      <w:r w:rsidRPr="008C44F6">
        <w:t>.</w:t>
      </w:r>
    </w:p>
    <w:p w:rsidRPr="008C44F6" w:rsidR="0023051A" w:rsidP="4C2BE3A1" w:rsidRDefault="40EFC4FC" w14:paraId="020B025C" w14:textId="757F0DA5">
      <w:pPr>
        <w:spacing w:after="40" w:line="30" w:lineRule="atLeast"/>
        <w:rPr>
          <w:rFonts w:asciiTheme="minorHAnsi" w:hAnsiTheme="minorHAnsi" w:eastAsiaTheme="minorEastAsia" w:cstheme="minorBidi"/>
          <w:b/>
          <w:bCs/>
        </w:rPr>
      </w:pPr>
      <w:r w:rsidRPr="008C44F6">
        <w:rPr>
          <w:rFonts w:asciiTheme="minorHAnsi" w:hAnsiTheme="minorHAnsi" w:eastAsiaTheme="minorEastAsia" w:cstheme="minorBidi"/>
          <w:b/>
          <w:bCs/>
        </w:rPr>
        <w:t xml:space="preserve">Table </w:t>
      </w:r>
      <w:r w:rsidRPr="008C44F6" w:rsidR="0000450B">
        <w:rPr>
          <w:rFonts w:asciiTheme="minorHAnsi" w:hAnsiTheme="minorHAnsi" w:eastAsiaTheme="minorEastAsia" w:cstheme="minorBidi"/>
          <w:b/>
          <w:bCs/>
        </w:rPr>
        <w:t>3</w:t>
      </w:r>
      <w:r w:rsidRPr="008C44F6">
        <w:rPr>
          <w:rFonts w:asciiTheme="minorHAnsi" w:hAnsiTheme="minorHAnsi" w:eastAsiaTheme="minorEastAsia" w:cstheme="minorBidi"/>
          <w:b/>
          <w:bCs/>
        </w:rPr>
        <w:t xml:space="preserve">. </w:t>
      </w:r>
      <w:r w:rsidRPr="008C44F6" w:rsidR="267E552C">
        <w:rPr>
          <w:rFonts w:asciiTheme="minorHAnsi" w:hAnsiTheme="minorHAnsi" w:eastAsiaTheme="minorEastAsia" w:cstheme="minorBidi"/>
          <w:b/>
          <w:bCs/>
        </w:rPr>
        <w:t>Project Schedule</w:t>
      </w:r>
      <w:r w:rsidRPr="008C44F6" w:rsidR="1BE9AE06">
        <w:rPr>
          <w:rFonts w:asciiTheme="minorHAnsi" w:hAnsiTheme="minorHAnsi" w:eastAsiaTheme="minorEastAsia" w:cstheme="minorBidi"/>
          <w:b/>
          <w:bCs/>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484"/>
        <w:gridCol w:w="2018"/>
      </w:tblGrid>
      <w:tr w:rsidRPr="008C44F6" w:rsidR="008C44F6" w:rsidTr="0087687E" w14:paraId="7B79A6A8" w14:textId="77777777">
        <w:trPr>
          <w:trHeight w:val="145"/>
        </w:trPr>
        <w:tc>
          <w:tcPr>
            <w:tcW w:w="3683" w:type="pct"/>
            <w:shd w:val="clear" w:color="auto" w:fill="F2F2F2" w:themeFill="background1" w:themeFillShade="F2"/>
            <w:noWrap/>
            <w:vAlign w:val="center"/>
          </w:tcPr>
          <w:p w:rsidRPr="008C44F6" w:rsidR="0023051A" w:rsidP="006043DF" w:rsidRDefault="0023051A" w14:paraId="1A9FCF61" w14:textId="77777777">
            <w:pPr>
              <w:keepNext/>
              <w:spacing w:after="0" w:line="240" w:lineRule="auto"/>
              <w:jc w:val="center"/>
              <w:rPr>
                <w:b/>
              </w:rPr>
            </w:pPr>
            <w:r w:rsidRPr="008C44F6">
              <w:rPr>
                <w:b/>
              </w:rPr>
              <w:t>Activity</w:t>
            </w:r>
          </w:p>
          <w:p w:rsidRPr="008C44F6" w:rsidR="0023051A" w:rsidP="00793261" w:rsidRDefault="0023051A" w14:paraId="7FE37D59" w14:textId="0C0E3CC3">
            <w:pPr>
              <w:keepNext/>
              <w:spacing w:after="0" w:line="240" w:lineRule="auto"/>
              <w:jc w:val="center"/>
              <w:rPr>
                <w:i/>
                <w:iCs/>
              </w:rPr>
            </w:pPr>
            <w:r w:rsidRPr="008C44F6">
              <w:rPr>
                <w:i/>
                <w:iCs/>
              </w:rPr>
              <w:t>Each activity includes recruitment</w:t>
            </w:r>
            <w:r w:rsidRPr="008C44F6" w:rsidR="66CFAC2B">
              <w:rPr>
                <w:i/>
                <w:iCs/>
              </w:rPr>
              <w:t xml:space="preserve"> and</w:t>
            </w:r>
            <w:r w:rsidRPr="008C44F6">
              <w:rPr>
                <w:i/>
                <w:iCs/>
              </w:rPr>
              <w:t xml:space="preserve"> data collection</w:t>
            </w:r>
          </w:p>
        </w:tc>
        <w:tc>
          <w:tcPr>
            <w:tcW w:w="1317" w:type="pct"/>
            <w:shd w:val="clear" w:color="auto" w:fill="F2F2F2" w:themeFill="background1" w:themeFillShade="F2"/>
            <w:noWrap/>
            <w:vAlign w:val="center"/>
          </w:tcPr>
          <w:p w:rsidRPr="008C44F6" w:rsidR="0023051A" w:rsidP="006043DF" w:rsidRDefault="0023051A" w14:paraId="554CB99D" w14:textId="77777777">
            <w:pPr>
              <w:keepNext/>
              <w:spacing w:after="0" w:line="240" w:lineRule="auto"/>
              <w:jc w:val="center"/>
              <w:rPr>
                <w:b/>
              </w:rPr>
            </w:pPr>
            <w:r w:rsidRPr="008C44F6">
              <w:rPr>
                <w:b/>
              </w:rPr>
              <w:t>Dates</w:t>
            </w:r>
          </w:p>
        </w:tc>
      </w:tr>
      <w:tr w:rsidRPr="008C44F6" w:rsidR="008C44F6" w:rsidTr="0087687E" w14:paraId="504181A1" w14:textId="77777777">
        <w:trPr>
          <w:trHeight w:val="145"/>
        </w:trPr>
        <w:tc>
          <w:tcPr>
            <w:tcW w:w="3683" w:type="pct"/>
            <w:shd w:val="clear" w:color="auto" w:fill="auto"/>
            <w:noWrap/>
            <w:vAlign w:val="center"/>
          </w:tcPr>
          <w:p w:rsidRPr="008C44F6" w:rsidR="7D6C6D3C" w:rsidP="00C15D89" w:rsidRDefault="189928B0" w14:paraId="250B8A4B" w14:textId="059BA3F7">
            <w:pPr>
              <w:spacing w:after="0"/>
              <w:rPr>
                <w:rFonts w:cs="Calibri"/>
              </w:rPr>
            </w:pPr>
            <w:r w:rsidRPr="008C44F6">
              <w:rPr>
                <w:rFonts w:cs="Calibri"/>
              </w:rPr>
              <w:t>Preparation</w:t>
            </w:r>
            <w:r w:rsidRPr="008C44F6" w:rsidR="4DA7FA20">
              <w:rPr>
                <w:rFonts w:cs="Calibri"/>
              </w:rPr>
              <w:t xml:space="preserve"> for </w:t>
            </w:r>
            <w:r w:rsidRPr="008C44F6" w:rsidR="730EFBD0">
              <w:rPr>
                <w:rFonts w:cs="Calibri"/>
              </w:rPr>
              <w:t>experimental</w:t>
            </w:r>
            <w:r w:rsidRPr="008C44F6" w:rsidR="4DA7FA20">
              <w:rPr>
                <w:rFonts w:cs="Calibri"/>
              </w:rPr>
              <w:t xml:space="preserve"> study</w:t>
            </w:r>
          </w:p>
        </w:tc>
        <w:tc>
          <w:tcPr>
            <w:tcW w:w="1317" w:type="pct"/>
            <w:shd w:val="clear" w:color="auto" w:fill="auto"/>
            <w:noWrap/>
            <w:vAlign w:val="center"/>
          </w:tcPr>
          <w:p w:rsidRPr="008C44F6" w:rsidR="7D6C6D3C" w:rsidP="00C15D89" w:rsidRDefault="7D6C6D3C" w14:paraId="0B8993DC" w14:textId="5C62D06D">
            <w:pPr>
              <w:spacing w:after="0" w:line="240" w:lineRule="auto"/>
              <w:jc w:val="center"/>
            </w:pPr>
            <w:r w:rsidRPr="008C44F6">
              <w:t>July – August 2020</w:t>
            </w:r>
          </w:p>
        </w:tc>
      </w:tr>
      <w:tr w:rsidRPr="008C44F6" w:rsidR="008C44F6" w:rsidTr="0087687E" w14:paraId="2862DA23" w14:textId="77777777">
        <w:trPr>
          <w:trHeight w:val="145"/>
        </w:trPr>
        <w:tc>
          <w:tcPr>
            <w:tcW w:w="3683" w:type="pct"/>
            <w:shd w:val="clear" w:color="auto" w:fill="auto"/>
            <w:noWrap/>
            <w:vAlign w:val="center"/>
          </w:tcPr>
          <w:p w:rsidRPr="008C44F6" w:rsidR="0087687E" w:rsidP="0087687E" w:rsidRDefault="0087687E" w14:paraId="2079CAC1" w14:textId="2BABD582">
            <w:pPr>
              <w:spacing w:after="0" w:line="240" w:lineRule="auto"/>
            </w:pPr>
            <w:r w:rsidRPr="008C44F6">
              <w:t>Recruitment</w:t>
            </w:r>
          </w:p>
        </w:tc>
        <w:tc>
          <w:tcPr>
            <w:tcW w:w="1317" w:type="pct"/>
            <w:shd w:val="clear" w:color="auto" w:fill="auto"/>
            <w:noWrap/>
            <w:vAlign w:val="center"/>
          </w:tcPr>
          <w:p w:rsidRPr="008C44F6" w:rsidR="0087687E" w:rsidP="0087687E" w:rsidRDefault="0087687E" w14:paraId="5B963838" w14:textId="123C9515">
            <w:pPr>
              <w:spacing w:after="0" w:line="240" w:lineRule="auto"/>
              <w:jc w:val="center"/>
            </w:pPr>
            <w:r w:rsidRPr="008C44F6">
              <w:t>September 2020</w:t>
            </w:r>
          </w:p>
        </w:tc>
      </w:tr>
      <w:tr w:rsidRPr="008C44F6" w:rsidR="008C44F6" w:rsidTr="0087687E" w14:paraId="161F6C9C" w14:textId="77777777">
        <w:trPr>
          <w:trHeight w:val="145"/>
        </w:trPr>
        <w:tc>
          <w:tcPr>
            <w:tcW w:w="3683" w:type="pct"/>
            <w:shd w:val="clear" w:color="auto" w:fill="auto"/>
            <w:noWrap/>
            <w:vAlign w:val="center"/>
          </w:tcPr>
          <w:p w:rsidRPr="008C44F6" w:rsidR="0087687E" w:rsidP="0087687E" w:rsidRDefault="0087687E" w14:paraId="051B38E3" w14:textId="75E49C91">
            <w:pPr>
              <w:spacing w:after="0" w:line="240" w:lineRule="auto"/>
            </w:pPr>
            <w:r w:rsidRPr="008C44F6">
              <w:t>Communicate with parents and legal guardians to resolve any concerns for student participation (e.g., general process, technology concerns)</w:t>
            </w:r>
          </w:p>
        </w:tc>
        <w:tc>
          <w:tcPr>
            <w:tcW w:w="1317" w:type="pct"/>
            <w:shd w:val="clear" w:color="auto" w:fill="auto"/>
            <w:noWrap/>
            <w:vAlign w:val="center"/>
          </w:tcPr>
          <w:p w:rsidRPr="008C44F6" w:rsidR="0087687E" w:rsidP="0087687E" w:rsidRDefault="0087687E" w14:paraId="59FBCDCF" w14:textId="004A331B">
            <w:pPr>
              <w:spacing w:after="0" w:line="240" w:lineRule="auto"/>
              <w:jc w:val="center"/>
            </w:pPr>
            <w:r w:rsidRPr="008C44F6">
              <w:t>October 1 – 15, 2020</w:t>
            </w:r>
          </w:p>
        </w:tc>
      </w:tr>
      <w:tr w:rsidRPr="008C44F6" w:rsidR="008C44F6" w:rsidTr="0087687E" w14:paraId="27101623" w14:textId="77777777">
        <w:trPr>
          <w:trHeight w:val="145"/>
        </w:trPr>
        <w:tc>
          <w:tcPr>
            <w:tcW w:w="3683" w:type="pct"/>
            <w:shd w:val="clear" w:color="auto" w:fill="auto"/>
            <w:noWrap/>
            <w:vAlign w:val="center"/>
          </w:tcPr>
          <w:p w:rsidRPr="008C44F6" w:rsidR="0023051A" w:rsidP="00C15D89" w:rsidRDefault="615F1F56" w14:paraId="04FB6715" w14:textId="247BFB4F">
            <w:pPr>
              <w:spacing w:after="0" w:line="240" w:lineRule="auto"/>
            </w:pPr>
            <w:r w:rsidRPr="008C44F6">
              <w:t>Data collection</w:t>
            </w:r>
          </w:p>
        </w:tc>
        <w:tc>
          <w:tcPr>
            <w:tcW w:w="1317" w:type="pct"/>
            <w:shd w:val="clear" w:color="auto" w:fill="auto"/>
            <w:noWrap/>
            <w:vAlign w:val="center"/>
          </w:tcPr>
          <w:p w:rsidRPr="008C44F6" w:rsidR="0023051A" w:rsidP="00C15D89" w:rsidRDefault="00580AED" w14:paraId="3BAE4168" w14:textId="17AFD9F1">
            <w:pPr>
              <w:keepNext/>
              <w:spacing w:after="0" w:line="240" w:lineRule="auto"/>
              <w:jc w:val="center"/>
              <w:rPr>
                <w:rFonts w:cs="Calibri"/>
              </w:rPr>
            </w:pPr>
            <w:r w:rsidRPr="008C44F6">
              <w:t xml:space="preserve">October 15 </w:t>
            </w:r>
            <w:r w:rsidRPr="008C44F6">
              <w:rPr>
                <w:rFonts w:ascii="Symbol" w:hAnsi="Symbol" w:eastAsia="Symbol" w:cs="Symbol"/>
              </w:rPr>
              <w:t></w:t>
            </w:r>
            <w:r w:rsidRPr="008C44F6">
              <w:rPr>
                <w:rFonts w:ascii="Symbol" w:hAnsi="Symbol" w:eastAsia="Symbol" w:cs="Symbol"/>
              </w:rPr>
              <w:t></w:t>
            </w:r>
            <w:r w:rsidRPr="008C44F6">
              <w:t>January 31, 2020</w:t>
            </w:r>
          </w:p>
        </w:tc>
      </w:tr>
    </w:tbl>
    <w:p w:rsidRPr="008C44F6" w:rsidR="0023051A" w:rsidP="0023051A" w:rsidRDefault="0023051A" w14:paraId="7B66322D" w14:textId="214C5029">
      <w:pPr>
        <w:spacing w:after="120" w:line="30" w:lineRule="atLeast"/>
        <w:rPr>
          <w:rFonts w:asciiTheme="minorHAnsi" w:hAnsiTheme="minorHAnsi" w:eastAsiaTheme="minorEastAsia" w:cstheme="minorBidi"/>
          <w:b/>
        </w:rPr>
      </w:pPr>
    </w:p>
    <w:p w:rsidRPr="008C44F6" w:rsidR="00425F87" w:rsidP="00425F87" w:rsidRDefault="00425F87" w14:paraId="1954B24F" w14:textId="77777777">
      <w:pPr>
        <w:spacing w:after="120" w:line="30" w:lineRule="atLeast"/>
        <w:rPr>
          <w:rFonts w:asciiTheme="minorHAnsi" w:hAnsiTheme="minorHAnsi" w:eastAsiaTheme="minorEastAsia" w:cstheme="minorBidi"/>
          <w:b/>
          <w:bCs/>
        </w:rPr>
      </w:pPr>
      <w:r w:rsidRPr="008C44F6">
        <w:rPr>
          <w:rFonts w:asciiTheme="minorHAnsi" w:hAnsiTheme="minorHAnsi" w:eastAsiaTheme="minorEastAsia" w:cstheme="minorBidi"/>
          <w:b/>
          <w:bCs/>
        </w:rPr>
        <w:t>References</w:t>
      </w:r>
    </w:p>
    <w:p w:rsidRPr="008C44F6" w:rsidR="00425F87" w:rsidP="00425F87" w:rsidRDefault="00425F87" w14:paraId="614942DC"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Borghans, L., &amp; Schils, T. (2012). The leaning tower of pisa: Decomposing achievement test scores into cognitive and noncognitive components. Unpublished manuscript. </w:t>
      </w:r>
    </w:p>
    <w:p w:rsidRPr="008C44F6" w:rsidR="00425F87" w:rsidP="00425F87" w:rsidRDefault="00425F87" w14:paraId="5296DAAC"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Cordova, D., &amp; Lepper, M. (1996). Intrinsic motivation and the process of learning: Beneficial effects of contextualization, personalization, and choice. </w:t>
      </w:r>
      <w:r w:rsidRPr="008C44F6">
        <w:rPr>
          <w:rFonts w:asciiTheme="minorHAnsi" w:hAnsiTheme="minorHAnsi" w:eastAsiaTheme="minorEastAsia" w:cstheme="minorBidi"/>
          <w:i/>
          <w:iCs/>
        </w:rPr>
        <w:t>Journal of Educational Psychology</w:t>
      </w:r>
      <w:r w:rsidRPr="008C44F6">
        <w:rPr>
          <w:rFonts w:asciiTheme="minorHAnsi" w:hAnsiTheme="minorHAnsi" w:eastAsiaTheme="minorEastAsia" w:cstheme="minorBidi"/>
        </w:rPr>
        <w:t xml:space="preserve">, </w:t>
      </w:r>
      <w:r w:rsidRPr="008C44F6">
        <w:rPr>
          <w:rFonts w:asciiTheme="minorHAnsi" w:hAnsiTheme="minorHAnsi" w:eastAsiaTheme="minorEastAsia" w:cstheme="minorBidi"/>
          <w:i/>
          <w:iCs/>
        </w:rPr>
        <w:t>88</w:t>
      </w:r>
      <w:r w:rsidRPr="008C44F6">
        <w:rPr>
          <w:rFonts w:asciiTheme="minorHAnsi" w:hAnsiTheme="minorHAnsi" w:eastAsiaTheme="minorEastAsia" w:cstheme="minorBidi"/>
        </w:rPr>
        <w:t>, 715-730.</w:t>
      </w:r>
    </w:p>
    <w:p w:rsidRPr="008C44F6" w:rsidR="00425F87" w:rsidP="00425F87" w:rsidRDefault="00425F87" w14:paraId="004FCFC8"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Debeer, D., &amp; Janssen, R. (2013). Modeling item-position effects within an IRT framework. </w:t>
      </w:r>
      <w:r w:rsidRPr="008C44F6">
        <w:rPr>
          <w:rFonts w:asciiTheme="minorHAnsi" w:hAnsiTheme="minorHAnsi" w:eastAsiaTheme="minorEastAsia" w:cstheme="minorBidi"/>
          <w:i/>
          <w:iCs/>
        </w:rPr>
        <w:t>Journal of Educational Measurement</w:t>
      </w:r>
      <w:r w:rsidRPr="008C44F6">
        <w:rPr>
          <w:rFonts w:asciiTheme="minorHAnsi" w:hAnsiTheme="minorHAnsi" w:eastAsiaTheme="minorEastAsia" w:cstheme="minorBidi"/>
        </w:rPr>
        <w:t>, </w:t>
      </w:r>
      <w:r w:rsidRPr="008C44F6">
        <w:rPr>
          <w:rFonts w:asciiTheme="minorHAnsi" w:hAnsiTheme="minorHAnsi" w:eastAsiaTheme="minorEastAsia" w:cstheme="minorBidi"/>
          <w:i/>
          <w:iCs/>
        </w:rPr>
        <w:t>50</w:t>
      </w:r>
      <w:r w:rsidRPr="008C44F6">
        <w:rPr>
          <w:rFonts w:asciiTheme="minorHAnsi" w:hAnsiTheme="minorHAnsi" w:eastAsiaTheme="minorEastAsia" w:cstheme="minorBidi"/>
        </w:rPr>
        <w:t>(2), 164-185.</w:t>
      </w:r>
    </w:p>
    <w:p w:rsidRPr="008C44F6" w:rsidR="00425F87" w:rsidP="00425F87" w:rsidRDefault="00425F87" w14:paraId="10E2D039"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lastRenderedPageBreak/>
        <w:t>Debeer, D., Buchholz, J., Hartig, J., &amp; Janssen, R. (2014). Student, school, and country differences in sustained test-taking effort in the 2009 PISA reading assessment. </w:t>
      </w:r>
      <w:r w:rsidRPr="008C44F6">
        <w:rPr>
          <w:rFonts w:asciiTheme="minorHAnsi" w:hAnsiTheme="minorHAnsi" w:eastAsiaTheme="minorEastAsia" w:cstheme="minorBidi"/>
          <w:i/>
          <w:iCs/>
        </w:rPr>
        <w:t>Journal of Educational and Behavioral Statistics</w:t>
      </w:r>
      <w:r w:rsidRPr="008C44F6">
        <w:rPr>
          <w:rFonts w:asciiTheme="minorHAnsi" w:hAnsiTheme="minorHAnsi" w:eastAsiaTheme="minorEastAsia" w:cstheme="minorBidi"/>
        </w:rPr>
        <w:t>, </w:t>
      </w:r>
      <w:r w:rsidRPr="008C44F6">
        <w:rPr>
          <w:rFonts w:asciiTheme="minorHAnsi" w:hAnsiTheme="minorHAnsi" w:eastAsiaTheme="minorEastAsia" w:cstheme="minorBidi"/>
          <w:i/>
          <w:iCs/>
        </w:rPr>
        <w:t>39</w:t>
      </w:r>
      <w:r w:rsidRPr="008C44F6">
        <w:rPr>
          <w:rFonts w:asciiTheme="minorHAnsi" w:hAnsiTheme="minorHAnsi" w:eastAsiaTheme="minorEastAsia" w:cstheme="minorBidi"/>
        </w:rPr>
        <w:t xml:space="preserve">(6), 502-523. </w:t>
      </w:r>
    </w:p>
    <w:p w:rsidRPr="008C44F6" w:rsidR="00425F87" w:rsidP="00425F87" w:rsidRDefault="00425F87" w14:paraId="685AE6C2"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Deci, E. L., &amp; Ryan, R. M. (1985). </w:t>
      </w:r>
      <w:r w:rsidRPr="008C44F6">
        <w:rPr>
          <w:rFonts w:asciiTheme="minorHAnsi" w:hAnsiTheme="minorHAnsi" w:eastAsiaTheme="minorEastAsia" w:cstheme="minorBidi"/>
          <w:i/>
          <w:iCs/>
        </w:rPr>
        <w:t>Intrinsic motivation and self-determination in human behavior</w:t>
      </w:r>
      <w:r w:rsidRPr="008C44F6">
        <w:rPr>
          <w:rFonts w:asciiTheme="minorHAnsi" w:hAnsiTheme="minorHAnsi" w:eastAsiaTheme="minorEastAsia" w:cstheme="minorBidi"/>
        </w:rPr>
        <w:t>. New York, NY: Plenum.</w:t>
      </w:r>
    </w:p>
    <w:p w:rsidRPr="008C44F6" w:rsidR="00425F87" w:rsidP="00425F87" w:rsidRDefault="00425F87" w14:paraId="025396B3"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Kingston, N. M., &amp; Dorans, N. J. (1984). Item location effects and their implications for IRT equating and adaptive testing. </w:t>
      </w:r>
      <w:r w:rsidRPr="008C44F6">
        <w:rPr>
          <w:rFonts w:asciiTheme="minorHAnsi" w:hAnsiTheme="minorHAnsi" w:eastAsiaTheme="minorEastAsia" w:cstheme="minorBidi"/>
          <w:i/>
          <w:iCs/>
        </w:rPr>
        <w:t>Applied Psychological Measurement</w:t>
      </w:r>
      <w:r w:rsidRPr="008C44F6">
        <w:rPr>
          <w:rFonts w:asciiTheme="minorHAnsi" w:hAnsiTheme="minorHAnsi" w:eastAsiaTheme="minorEastAsia" w:cstheme="minorBidi"/>
        </w:rPr>
        <w:t>, </w:t>
      </w:r>
      <w:r w:rsidRPr="008C44F6">
        <w:rPr>
          <w:rFonts w:asciiTheme="minorHAnsi" w:hAnsiTheme="minorHAnsi" w:eastAsiaTheme="minorEastAsia" w:cstheme="minorBidi"/>
          <w:i/>
          <w:iCs/>
        </w:rPr>
        <w:t>8</w:t>
      </w:r>
      <w:r w:rsidRPr="008C44F6">
        <w:rPr>
          <w:rFonts w:asciiTheme="minorHAnsi" w:hAnsiTheme="minorHAnsi" w:eastAsiaTheme="minorEastAsia" w:cstheme="minorBidi"/>
        </w:rPr>
        <w:t>(2), 147-154.</w:t>
      </w:r>
    </w:p>
    <w:p w:rsidRPr="008C44F6" w:rsidR="00425F87" w:rsidP="00425F87" w:rsidRDefault="00425F87" w14:paraId="5BC8FE22"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Meyers, J. L., Miller, G. E., &amp; Way, W. D. (2008). Item position and item difficulty change in an IRT-based common item equating design. </w:t>
      </w:r>
      <w:r w:rsidRPr="008C44F6">
        <w:rPr>
          <w:rFonts w:asciiTheme="minorHAnsi" w:hAnsiTheme="minorHAnsi" w:eastAsiaTheme="minorEastAsia" w:cstheme="minorBidi"/>
          <w:i/>
          <w:iCs/>
        </w:rPr>
        <w:t>Applied Measurement in Education</w:t>
      </w:r>
      <w:r w:rsidRPr="008C44F6">
        <w:rPr>
          <w:rFonts w:asciiTheme="minorHAnsi" w:hAnsiTheme="minorHAnsi" w:eastAsiaTheme="minorEastAsia" w:cstheme="minorBidi"/>
        </w:rPr>
        <w:t>, </w:t>
      </w:r>
      <w:r w:rsidRPr="008C44F6">
        <w:rPr>
          <w:rFonts w:asciiTheme="minorHAnsi" w:hAnsiTheme="minorHAnsi" w:eastAsiaTheme="minorEastAsia" w:cstheme="minorBidi"/>
          <w:i/>
          <w:iCs/>
        </w:rPr>
        <w:t>22</w:t>
      </w:r>
      <w:r w:rsidRPr="008C44F6">
        <w:rPr>
          <w:rFonts w:asciiTheme="minorHAnsi" w:hAnsiTheme="minorHAnsi" w:eastAsiaTheme="minorEastAsia" w:cstheme="minorBidi"/>
        </w:rPr>
        <w:t xml:space="preserve">(1), 38-60. </w:t>
      </w:r>
    </w:p>
    <w:p w:rsidRPr="008C44F6" w:rsidR="00425F87" w:rsidP="00425F87" w:rsidRDefault="00425F87" w14:paraId="48CA4588"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Rayner, K. (1998). Eye movements in reading and information processing: 20 years of research. </w:t>
      </w:r>
      <w:r w:rsidRPr="008C44F6">
        <w:rPr>
          <w:rFonts w:asciiTheme="minorHAnsi" w:hAnsiTheme="minorHAnsi" w:eastAsiaTheme="minorEastAsia" w:cstheme="minorBidi"/>
          <w:i/>
          <w:iCs/>
        </w:rPr>
        <w:t>Psychological Bulletin</w:t>
      </w:r>
      <w:r w:rsidRPr="008C44F6">
        <w:rPr>
          <w:rFonts w:asciiTheme="minorHAnsi" w:hAnsiTheme="minorHAnsi" w:eastAsiaTheme="minorEastAsia" w:cstheme="minorBidi"/>
        </w:rPr>
        <w:t xml:space="preserve">, </w:t>
      </w:r>
      <w:r w:rsidRPr="008C44F6">
        <w:rPr>
          <w:rFonts w:asciiTheme="minorHAnsi" w:hAnsiTheme="minorHAnsi" w:eastAsiaTheme="minorEastAsia" w:cstheme="minorBidi"/>
          <w:i/>
          <w:iCs/>
        </w:rPr>
        <w:t>124</w:t>
      </w:r>
      <w:r w:rsidRPr="008C44F6">
        <w:rPr>
          <w:rFonts w:asciiTheme="minorHAnsi" w:hAnsiTheme="minorHAnsi" w:eastAsiaTheme="minorEastAsia" w:cstheme="minorBidi"/>
        </w:rPr>
        <w:t>(3), 372-422.</w:t>
      </w:r>
    </w:p>
    <w:p w:rsidRPr="008C44F6" w:rsidR="00425F87" w:rsidP="00425F87" w:rsidRDefault="00425F87" w14:paraId="12DA4175"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Weirich, S., Hecht, M., Penk, C., Roppelt, A., &amp; B</w:t>
      </w:r>
      <w:r w:rsidRPr="008C44F6">
        <w:rPr>
          <w:rFonts w:cs="Calibri" w:eastAsiaTheme="minorEastAsia"/>
        </w:rPr>
        <w:t>ö</w:t>
      </w:r>
      <w:r w:rsidRPr="008C44F6">
        <w:rPr>
          <w:rFonts w:asciiTheme="minorHAnsi" w:hAnsiTheme="minorHAnsi" w:eastAsiaTheme="minorEastAsia" w:cstheme="minorBidi"/>
        </w:rPr>
        <w:t xml:space="preserve">hme, K. (2017). Item position effects are moderated by changes in test-taking effort. </w:t>
      </w:r>
      <w:r w:rsidRPr="008C44F6">
        <w:rPr>
          <w:rFonts w:asciiTheme="minorHAnsi" w:hAnsiTheme="minorHAnsi" w:eastAsiaTheme="minorEastAsia" w:cstheme="minorBidi"/>
          <w:i/>
          <w:iCs/>
        </w:rPr>
        <w:t>Applied Psychological Measurement</w:t>
      </w:r>
      <w:r w:rsidRPr="008C44F6">
        <w:rPr>
          <w:rFonts w:asciiTheme="minorHAnsi" w:hAnsiTheme="minorHAnsi" w:eastAsiaTheme="minorEastAsia" w:cstheme="minorBidi"/>
        </w:rPr>
        <w:t xml:space="preserve">, </w:t>
      </w:r>
      <w:r w:rsidRPr="008C44F6">
        <w:rPr>
          <w:rFonts w:asciiTheme="minorHAnsi" w:hAnsiTheme="minorHAnsi" w:eastAsiaTheme="minorEastAsia" w:cstheme="minorBidi"/>
          <w:i/>
          <w:iCs/>
        </w:rPr>
        <w:t>41</w:t>
      </w:r>
      <w:r w:rsidRPr="008C44F6">
        <w:rPr>
          <w:rFonts w:asciiTheme="minorHAnsi" w:hAnsiTheme="minorHAnsi" w:eastAsiaTheme="minorEastAsia" w:cstheme="minorBidi"/>
        </w:rPr>
        <w:t>(2), 115-129.</w:t>
      </w:r>
    </w:p>
    <w:p w:rsidRPr="008C44F6" w:rsidR="00425F87" w:rsidP="00425F87" w:rsidRDefault="00425F87" w14:paraId="5A0DF12E"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Wise, S. L. (2006). An investigation of the differential effort received by items on a low-stakes, computer-based test. </w:t>
      </w:r>
      <w:r w:rsidRPr="008C44F6">
        <w:rPr>
          <w:rFonts w:asciiTheme="minorHAnsi" w:hAnsiTheme="minorHAnsi" w:eastAsiaTheme="minorEastAsia" w:cstheme="minorBidi"/>
          <w:i/>
          <w:iCs/>
        </w:rPr>
        <w:t>Applied Measurement in Education</w:t>
      </w:r>
      <w:r w:rsidRPr="008C44F6">
        <w:rPr>
          <w:rFonts w:asciiTheme="minorHAnsi" w:hAnsiTheme="minorHAnsi" w:eastAsiaTheme="minorEastAsia" w:cstheme="minorBidi"/>
        </w:rPr>
        <w:t xml:space="preserve">, </w:t>
      </w:r>
      <w:r w:rsidRPr="008C44F6">
        <w:rPr>
          <w:rFonts w:asciiTheme="minorHAnsi" w:hAnsiTheme="minorHAnsi" w:eastAsiaTheme="minorEastAsia" w:cstheme="minorBidi"/>
          <w:i/>
          <w:iCs/>
        </w:rPr>
        <w:t>19</w:t>
      </w:r>
      <w:r w:rsidRPr="008C44F6">
        <w:rPr>
          <w:rFonts w:asciiTheme="minorHAnsi" w:hAnsiTheme="minorHAnsi" w:eastAsiaTheme="minorEastAsia" w:cstheme="minorBidi"/>
        </w:rPr>
        <w:t>, 93-112.</w:t>
      </w:r>
    </w:p>
    <w:p w:rsidRPr="008C44F6" w:rsidR="00425F87" w:rsidP="00425F87" w:rsidRDefault="00425F87" w14:paraId="63EA5D15"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Wise, S. L., &amp; Gao, L. (2017). A general approach to measuring test-taking effort on computer-based tests. </w:t>
      </w:r>
      <w:r w:rsidRPr="008C44F6">
        <w:rPr>
          <w:rFonts w:asciiTheme="minorHAnsi" w:hAnsiTheme="minorHAnsi" w:eastAsiaTheme="minorEastAsia" w:cstheme="minorBidi"/>
          <w:i/>
          <w:iCs/>
        </w:rPr>
        <w:t>Applied Measurement in Education</w:t>
      </w:r>
      <w:r w:rsidRPr="008C44F6">
        <w:rPr>
          <w:rFonts w:asciiTheme="minorHAnsi" w:hAnsiTheme="minorHAnsi" w:eastAsiaTheme="minorEastAsia" w:cstheme="minorBidi"/>
        </w:rPr>
        <w:t xml:space="preserve">, </w:t>
      </w:r>
      <w:r w:rsidRPr="008C44F6">
        <w:rPr>
          <w:rFonts w:asciiTheme="minorHAnsi" w:hAnsiTheme="minorHAnsi" w:eastAsiaTheme="minorEastAsia" w:cstheme="minorBidi"/>
          <w:i/>
          <w:iCs/>
        </w:rPr>
        <w:t>30</w:t>
      </w:r>
      <w:r w:rsidRPr="008C44F6">
        <w:rPr>
          <w:rFonts w:asciiTheme="minorHAnsi" w:hAnsiTheme="minorHAnsi" w:eastAsiaTheme="minorEastAsia" w:cstheme="minorBidi"/>
        </w:rPr>
        <w:t>(4), 343-354.</w:t>
      </w:r>
    </w:p>
    <w:p w:rsidRPr="008C44F6" w:rsidR="00425F87" w:rsidP="00425F87" w:rsidRDefault="00425F87" w14:paraId="3101D3A2"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Wise, S. L., &amp; Kong, X. (2005). Response time effort: A new measure of examinee motivation in computer-based tests. </w:t>
      </w:r>
      <w:r w:rsidRPr="008C44F6">
        <w:rPr>
          <w:rFonts w:asciiTheme="minorHAnsi" w:hAnsiTheme="minorHAnsi" w:eastAsiaTheme="minorEastAsia" w:cstheme="minorBidi"/>
          <w:i/>
          <w:iCs/>
        </w:rPr>
        <w:t>Applied Measurement in Education</w:t>
      </w:r>
      <w:r w:rsidRPr="008C44F6">
        <w:rPr>
          <w:rFonts w:asciiTheme="minorHAnsi" w:hAnsiTheme="minorHAnsi" w:eastAsiaTheme="minorEastAsia" w:cstheme="minorBidi"/>
        </w:rPr>
        <w:t>, </w:t>
      </w:r>
      <w:r w:rsidRPr="008C44F6">
        <w:rPr>
          <w:rFonts w:asciiTheme="minorHAnsi" w:hAnsiTheme="minorHAnsi" w:eastAsiaTheme="minorEastAsia" w:cstheme="minorBidi"/>
          <w:i/>
          <w:iCs/>
        </w:rPr>
        <w:t>18</w:t>
      </w:r>
      <w:r w:rsidRPr="008C44F6">
        <w:rPr>
          <w:rFonts w:asciiTheme="minorHAnsi" w:hAnsiTheme="minorHAnsi" w:eastAsiaTheme="minorEastAsia" w:cstheme="minorBidi"/>
        </w:rPr>
        <w:t>(2), 163-183.</w:t>
      </w:r>
    </w:p>
    <w:p w:rsidRPr="008C44F6" w:rsidR="00425F87" w:rsidP="00425F87" w:rsidRDefault="00425F87" w14:paraId="2E20C1FF"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Wise, S. L., Pastor, D. A., &amp; Kong, X. J. (2009). Understanding correlates of rapid-guessing behavior in low stakes testing: Implications for test development and measurement practice. </w:t>
      </w:r>
      <w:r w:rsidRPr="008C44F6">
        <w:rPr>
          <w:rFonts w:asciiTheme="minorHAnsi" w:hAnsiTheme="minorHAnsi" w:eastAsiaTheme="minorEastAsia" w:cstheme="minorBidi"/>
          <w:i/>
          <w:iCs/>
        </w:rPr>
        <w:t>Applied Measurement in Education</w:t>
      </w:r>
      <w:r w:rsidRPr="008C44F6">
        <w:rPr>
          <w:rFonts w:asciiTheme="minorHAnsi" w:hAnsiTheme="minorHAnsi" w:eastAsiaTheme="minorEastAsia" w:cstheme="minorBidi"/>
        </w:rPr>
        <w:t xml:space="preserve">, </w:t>
      </w:r>
      <w:r w:rsidRPr="008C44F6">
        <w:rPr>
          <w:rFonts w:asciiTheme="minorHAnsi" w:hAnsiTheme="minorHAnsi" w:eastAsiaTheme="minorEastAsia" w:cstheme="minorBidi"/>
          <w:i/>
          <w:iCs/>
        </w:rPr>
        <w:t>22</w:t>
      </w:r>
      <w:r w:rsidRPr="008C44F6">
        <w:rPr>
          <w:rFonts w:asciiTheme="minorHAnsi" w:hAnsiTheme="minorHAnsi" w:eastAsiaTheme="minorEastAsia" w:cstheme="minorBidi"/>
        </w:rPr>
        <w:t>, 185-205.</w:t>
      </w:r>
    </w:p>
    <w:p w:rsidRPr="008C44F6" w:rsidR="00425F87" w:rsidP="00425F87" w:rsidRDefault="00425F87" w14:paraId="39BF2CCD"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 xml:space="preserve">Wise, S. L., &amp; Smith, L. F. (2011). A model of examinee test-taking effort. In J. A. Bovaird, K. F. Geisinger, &amp; C. W. Buckendal (Eds.), </w:t>
      </w:r>
      <w:r w:rsidRPr="008C44F6">
        <w:rPr>
          <w:rFonts w:asciiTheme="minorHAnsi" w:hAnsiTheme="minorHAnsi" w:eastAsiaTheme="minorEastAsia" w:cstheme="minorBidi"/>
          <w:i/>
          <w:iCs/>
        </w:rPr>
        <w:t>High-stakes testing in education: Science and practice in K-12 settings</w:t>
      </w:r>
      <w:r w:rsidRPr="008C44F6">
        <w:rPr>
          <w:rFonts w:asciiTheme="minorHAnsi" w:hAnsiTheme="minorHAnsi" w:eastAsiaTheme="minorEastAsia" w:cstheme="minorBidi"/>
        </w:rPr>
        <w:t xml:space="preserve"> (pp. 139-153). Washington, DC: American Psychological Association.</w:t>
      </w:r>
    </w:p>
    <w:p w:rsidRPr="008C44F6" w:rsidR="00425F87" w:rsidP="00425F87" w:rsidRDefault="00425F87" w14:paraId="76269427"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Wise, S. L., &amp; Smith, L. (2016). The validity of assessment when students don't give good effort. In G. Brown &amp; L. Harris (Eds.), </w:t>
      </w:r>
      <w:r w:rsidRPr="008C44F6">
        <w:rPr>
          <w:rFonts w:asciiTheme="minorHAnsi" w:hAnsiTheme="minorHAnsi" w:eastAsiaTheme="minorEastAsia" w:cstheme="minorBidi"/>
          <w:i/>
          <w:iCs/>
        </w:rPr>
        <w:t>Handbook of human and social conditions in assessment</w:t>
      </w:r>
      <w:r w:rsidRPr="008C44F6">
        <w:rPr>
          <w:rFonts w:asciiTheme="minorHAnsi" w:hAnsiTheme="minorHAnsi" w:eastAsiaTheme="minorEastAsia" w:cstheme="minorBidi"/>
        </w:rPr>
        <w:t> (pp. 204-220). New York, NY: Routledge.</w:t>
      </w:r>
    </w:p>
    <w:p w:rsidRPr="008C44F6" w:rsidR="00425F87" w:rsidP="00425F87" w:rsidRDefault="00425F87" w14:paraId="410E9AA6" w14:textId="77777777">
      <w:pPr>
        <w:spacing w:after="120" w:line="30" w:lineRule="atLeast"/>
        <w:rPr>
          <w:rFonts w:asciiTheme="minorHAnsi" w:hAnsiTheme="minorHAnsi" w:eastAsiaTheme="minorEastAsia" w:cstheme="minorBidi"/>
        </w:rPr>
      </w:pPr>
      <w:r w:rsidRPr="008C44F6">
        <w:rPr>
          <w:rFonts w:asciiTheme="minorHAnsi" w:hAnsiTheme="minorHAnsi" w:eastAsiaTheme="minorEastAsia" w:cstheme="minorBidi"/>
        </w:rPr>
        <w:t>Zamarro, G., Hitt, C., &amp; Mendez, I. (2019). When students don't care: Reexamining international differences in achievement and non-cognitive skills. </w:t>
      </w:r>
      <w:r w:rsidRPr="008C44F6">
        <w:rPr>
          <w:rFonts w:asciiTheme="minorHAnsi" w:hAnsiTheme="minorHAnsi" w:eastAsiaTheme="minorEastAsia" w:cstheme="minorBidi"/>
          <w:i/>
          <w:iCs/>
        </w:rPr>
        <w:t>Journal of Human Capital</w:t>
      </w:r>
      <w:r w:rsidRPr="008C44F6">
        <w:rPr>
          <w:rFonts w:asciiTheme="minorHAnsi" w:hAnsiTheme="minorHAnsi" w:eastAsiaTheme="minorEastAsia" w:cstheme="minorBidi"/>
        </w:rPr>
        <w:t>, </w:t>
      </w:r>
      <w:r w:rsidRPr="008C44F6">
        <w:rPr>
          <w:rFonts w:asciiTheme="minorHAnsi" w:hAnsiTheme="minorHAnsi" w:eastAsiaTheme="minorEastAsia" w:cstheme="minorBidi"/>
          <w:i/>
          <w:iCs/>
        </w:rPr>
        <w:t>13</w:t>
      </w:r>
      <w:r w:rsidRPr="008C44F6">
        <w:rPr>
          <w:rFonts w:asciiTheme="minorHAnsi" w:hAnsiTheme="minorHAnsi" w:eastAsiaTheme="minorEastAsia" w:cstheme="minorBidi"/>
        </w:rPr>
        <w:t>(4), 519-552.</w:t>
      </w:r>
    </w:p>
    <w:p w:rsidRPr="008C44F6" w:rsidR="00425F87" w:rsidP="0023051A" w:rsidRDefault="00425F87" w14:paraId="07ABF5F0" w14:textId="77777777">
      <w:pPr>
        <w:spacing w:after="120" w:line="30" w:lineRule="atLeast"/>
        <w:rPr>
          <w:rFonts w:asciiTheme="minorHAnsi" w:hAnsiTheme="minorHAnsi" w:eastAsiaTheme="minorEastAsia" w:cstheme="minorBidi"/>
          <w:b/>
        </w:rPr>
      </w:pPr>
    </w:p>
    <w:sectPr w:rsidRPr="008C44F6" w:rsidR="00425F87" w:rsidSect="007618FF">
      <w:headerReference w:type="default" r:id="rId12"/>
      <w:footerReference w:type="default" r:id="rId13"/>
      <w:headerReference w:type="first" r:id="rId1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C11CD" w14:textId="77777777" w:rsidR="004132B6" w:rsidRDefault="004132B6" w:rsidP="00CE4F80">
      <w:pPr>
        <w:spacing w:after="0" w:line="240" w:lineRule="auto"/>
      </w:pPr>
      <w:r>
        <w:separator/>
      </w:r>
    </w:p>
  </w:endnote>
  <w:endnote w:type="continuationSeparator" w:id="0">
    <w:p w14:paraId="14AC66AC" w14:textId="77777777" w:rsidR="004132B6" w:rsidRDefault="004132B6" w:rsidP="00CE4F80">
      <w:pPr>
        <w:spacing w:after="0" w:line="240" w:lineRule="auto"/>
      </w:pPr>
      <w:r>
        <w:continuationSeparator/>
      </w:r>
    </w:p>
  </w:endnote>
  <w:endnote w:type="continuationNotice" w:id="1">
    <w:p w14:paraId="4C0ACBAF" w14:textId="77777777" w:rsidR="004132B6" w:rsidRDefault="00413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910003"/>
      <w:docPartObj>
        <w:docPartGallery w:val="Page Numbers (Bottom of Page)"/>
        <w:docPartUnique/>
      </w:docPartObj>
    </w:sdtPr>
    <w:sdtEndPr>
      <w:rPr>
        <w:noProof/>
      </w:rPr>
    </w:sdtEndPr>
    <w:sdtContent>
      <w:p w14:paraId="1F53BAEB" w14:textId="465FA017" w:rsidR="00ED45EC" w:rsidRDefault="00ED45EC" w:rsidP="007618FF">
        <w:pPr>
          <w:pStyle w:val="Footer"/>
          <w:spacing w:after="0" w:line="240" w:lineRule="auto"/>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7</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8656" w14:textId="77777777" w:rsidR="004132B6" w:rsidRDefault="004132B6" w:rsidP="00CE4F80">
      <w:pPr>
        <w:spacing w:after="0" w:line="240" w:lineRule="auto"/>
      </w:pPr>
      <w:r>
        <w:separator/>
      </w:r>
    </w:p>
  </w:footnote>
  <w:footnote w:type="continuationSeparator" w:id="0">
    <w:p w14:paraId="610BED1E" w14:textId="77777777" w:rsidR="004132B6" w:rsidRDefault="004132B6" w:rsidP="00CE4F80">
      <w:pPr>
        <w:spacing w:after="0" w:line="240" w:lineRule="auto"/>
      </w:pPr>
      <w:r>
        <w:continuationSeparator/>
      </w:r>
    </w:p>
  </w:footnote>
  <w:footnote w:type="continuationNotice" w:id="1">
    <w:p w14:paraId="58EFF968" w14:textId="77777777" w:rsidR="004132B6" w:rsidRDefault="004132B6">
      <w:pPr>
        <w:spacing w:after="0" w:line="240" w:lineRule="auto"/>
      </w:pPr>
    </w:p>
  </w:footnote>
  <w:footnote w:id="2">
    <w:p w14:paraId="2814D8FF" w14:textId="5D9011C2" w:rsidR="00ED45EC" w:rsidRPr="00597855" w:rsidRDefault="00ED45EC" w:rsidP="005E0AC8">
      <w:pPr>
        <w:pStyle w:val="FootnoteText"/>
        <w:spacing w:after="0" w:line="240" w:lineRule="auto"/>
        <w:ind w:left="90" w:hanging="90"/>
        <w:rPr>
          <w:sz w:val="18"/>
          <w:szCs w:val="18"/>
        </w:rPr>
      </w:pPr>
      <w:r w:rsidRPr="00597855">
        <w:rPr>
          <w:rStyle w:val="FootnoteReference"/>
          <w:sz w:val="18"/>
          <w:szCs w:val="18"/>
        </w:rPr>
        <w:footnoteRef/>
      </w:r>
      <w:r w:rsidRPr="00597855">
        <w:rPr>
          <w:sz w:val="18"/>
          <w:szCs w:val="18"/>
        </w:rPr>
        <w:t xml:space="preserve"> </w:t>
      </w:r>
      <w:r>
        <w:rPr>
          <w:sz w:val="18"/>
          <w:szCs w:val="18"/>
        </w:rPr>
        <w:t xml:space="preserve">Based on our experiences in other similar NAEP studies, </w:t>
      </w:r>
      <w:r w:rsidR="002A6C15">
        <w:rPr>
          <w:sz w:val="18"/>
          <w:szCs w:val="18"/>
        </w:rPr>
        <w:t>w</w:t>
      </w:r>
      <w:r>
        <w:rPr>
          <w:sz w:val="18"/>
          <w:szCs w:val="18"/>
        </w:rPr>
        <w:t xml:space="preserve">e estimate the attrition rates for </w:t>
      </w:r>
      <w:r w:rsidRPr="00597855">
        <w:rPr>
          <w:sz w:val="18"/>
          <w:szCs w:val="18"/>
        </w:rPr>
        <w:t xml:space="preserve">direct </w:t>
      </w:r>
      <w:r>
        <w:rPr>
          <w:sz w:val="18"/>
          <w:szCs w:val="18"/>
        </w:rPr>
        <w:t xml:space="preserve">student </w:t>
      </w:r>
      <w:r w:rsidRPr="00597855">
        <w:rPr>
          <w:sz w:val="18"/>
          <w:szCs w:val="18"/>
        </w:rPr>
        <w:t xml:space="preserve">participant recruitment are </w:t>
      </w:r>
      <w:r>
        <w:rPr>
          <w:sz w:val="18"/>
          <w:szCs w:val="18"/>
        </w:rPr>
        <w:t>50</w:t>
      </w:r>
      <w:r w:rsidRPr="00597855">
        <w:rPr>
          <w:sz w:val="18"/>
          <w:szCs w:val="18"/>
        </w:rPr>
        <w:t xml:space="preserve"> percent from </w:t>
      </w:r>
      <w:r>
        <w:rPr>
          <w:sz w:val="18"/>
          <w:szCs w:val="18"/>
        </w:rPr>
        <w:t>flyer review to online screening form, 22 percent from online screening form to consent form, and no attrition from consent form to confirmation.</w:t>
      </w:r>
      <w:r w:rsidRPr="0059785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F5F3" w14:textId="77777777" w:rsidR="00ED45EC" w:rsidRDefault="00ED45EC" w:rsidP="007618FF">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F21E" w14:textId="5DD97416" w:rsidR="00ED45EC" w:rsidRDefault="00ED45EC">
    <w:pPr>
      <w:pStyle w:val="Header"/>
    </w:pPr>
  </w:p>
  <w:p w14:paraId="1B371AE1" w14:textId="77777777" w:rsidR="00ED45EC" w:rsidRDefault="00ED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25E43"/>
    <w:multiLevelType w:val="hybridMultilevel"/>
    <w:tmpl w:val="DADE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48C"/>
    <w:multiLevelType w:val="hybridMultilevel"/>
    <w:tmpl w:val="F54A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77181"/>
    <w:multiLevelType w:val="hybridMultilevel"/>
    <w:tmpl w:val="82CC5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000FB"/>
    <w:multiLevelType w:val="hybridMultilevel"/>
    <w:tmpl w:val="2D50A574"/>
    <w:lvl w:ilvl="0" w:tplc="4FE69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C6DD2"/>
    <w:multiLevelType w:val="hybridMultilevel"/>
    <w:tmpl w:val="B0E82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A0B41"/>
    <w:multiLevelType w:val="hybridMultilevel"/>
    <w:tmpl w:val="C8EE0390"/>
    <w:lvl w:ilvl="0" w:tplc="087CB61C">
      <w:start w:val="1"/>
      <w:numFmt w:val="decimal"/>
      <w:lvlText w:val="%1."/>
      <w:lvlJc w:val="left"/>
      <w:pPr>
        <w:ind w:left="720" w:hanging="360"/>
      </w:pPr>
    </w:lvl>
    <w:lvl w:ilvl="1" w:tplc="ED58E726">
      <w:start w:val="1"/>
      <w:numFmt w:val="lowerLetter"/>
      <w:lvlText w:val="%2."/>
      <w:lvlJc w:val="left"/>
      <w:pPr>
        <w:ind w:left="1440" w:hanging="360"/>
      </w:pPr>
    </w:lvl>
    <w:lvl w:ilvl="2" w:tplc="57B050FE">
      <w:start w:val="1"/>
      <w:numFmt w:val="lowerRoman"/>
      <w:lvlText w:val="%3."/>
      <w:lvlJc w:val="right"/>
      <w:pPr>
        <w:ind w:left="2160" w:hanging="180"/>
      </w:pPr>
    </w:lvl>
    <w:lvl w:ilvl="3" w:tplc="99B8BFE8">
      <w:start w:val="1"/>
      <w:numFmt w:val="decimal"/>
      <w:lvlText w:val="%4."/>
      <w:lvlJc w:val="left"/>
      <w:pPr>
        <w:ind w:left="2880" w:hanging="360"/>
      </w:pPr>
    </w:lvl>
    <w:lvl w:ilvl="4" w:tplc="CCF683AA">
      <w:start w:val="1"/>
      <w:numFmt w:val="lowerLetter"/>
      <w:lvlText w:val="%5."/>
      <w:lvlJc w:val="left"/>
      <w:pPr>
        <w:ind w:left="3600" w:hanging="360"/>
      </w:pPr>
    </w:lvl>
    <w:lvl w:ilvl="5" w:tplc="8E1AFB16">
      <w:start w:val="1"/>
      <w:numFmt w:val="lowerRoman"/>
      <w:lvlText w:val="%6."/>
      <w:lvlJc w:val="right"/>
      <w:pPr>
        <w:ind w:left="4320" w:hanging="180"/>
      </w:pPr>
    </w:lvl>
    <w:lvl w:ilvl="6" w:tplc="0FA0C528">
      <w:start w:val="1"/>
      <w:numFmt w:val="decimal"/>
      <w:lvlText w:val="%7."/>
      <w:lvlJc w:val="left"/>
      <w:pPr>
        <w:ind w:left="5040" w:hanging="360"/>
      </w:pPr>
    </w:lvl>
    <w:lvl w:ilvl="7" w:tplc="469A152C">
      <w:start w:val="1"/>
      <w:numFmt w:val="lowerLetter"/>
      <w:lvlText w:val="%8."/>
      <w:lvlJc w:val="left"/>
      <w:pPr>
        <w:ind w:left="5760" w:hanging="360"/>
      </w:pPr>
    </w:lvl>
    <w:lvl w:ilvl="8" w:tplc="B510CA30">
      <w:start w:val="1"/>
      <w:numFmt w:val="lowerRoman"/>
      <w:lvlText w:val="%9."/>
      <w:lvlJc w:val="right"/>
      <w:pPr>
        <w:ind w:left="6480" w:hanging="180"/>
      </w:pPr>
    </w:lvl>
  </w:abstractNum>
  <w:abstractNum w:abstractNumId="8" w15:restartNumberingAfterBreak="0">
    <w:nsid w:val="2C817AFE"/>
    <w:multiLevelType w:val="hybridMultilevel"/>
    <w:tmpl w:val="450C6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45556"/>
    <w:multiLevelType w:val="hybridMultilevel"/>
    <w:tmpl w:val="CDA81B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93574"/>
    <w:multiLevelType w:val="hybridMultilevel"/>
    <w:tmpl w:val="51F6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D5BFD"/>
    <w:multiLevelType w:val="hybridMultilevel"/>
    <w:tmpl w:val="B5262492"/>
    <w:lvl w:ilvl="0" w:tplc="D946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32DC"/>
    <w:multiLevelType w:val="hybridMultilevel"/>
    <w:tmpl w:val="FE3CF2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60E1"/>
    <w:multiLevelType w:val="hybridMultilevel"/>
    <w:tmpl w:val="B4A6ED1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3885"/>
    <w:multiLevelType w:val="hybridMultilevel"/>
    <w:tmpl w:val="51F6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B0E7D"/>
    <w:multiLevelType w:val="hybridMultilevel"/>
    <w:tmpl w:val="12A80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257D3"/>
    <w:multiLevelType w:val="hybridMultilevel"/>
    <w:tmpl w:val="15C0DAB6"/>
    <w:lvl w:ilvl="0" w:tplc="172EAB2E">
      <w:start w:val="1"/>
      <w:numFmt w:val="decimal"/>
      <w:lvlText w:val="%1."/>
      <w:lvlJc w:val="left"/>
      <w:pPr>
        <w:ind w:left="720" w:hanging="360"/>
      </w:pPr>
    </w:lvl>
    <w:lvl w:ilvl="1" w:tplc="B994E2DE">
      <w:start w:val="1"/>
      <w:numFmt w:val="lowerLetter"/>
      <w:lvlText w:val="%2."/>
      <w:lvlJc w:val="left"/>
      <w:pPr>
        <w:ind w:left="1440" w:hanging="360"/>
      </w:pPr>
    </w:lvl>
    <w:lvl w:ilvl="2" w:tplc="ECA4E62E">
      <w:start w:val="1"/>
      <w:numFmt w:val="lowerRoman"/>
      <w:lvlText w:val="%3."/>
      <w:lvlJc w:val="right"/>
      <w:pPr>
        <w:ind w:left="2160" w:hanging="180"/>
      </w:pPr>
    </w:lvl>
    <w:lvl w:ilvl="3" w:tplc="383E1D16">
      <w:start w:val="1"/>
      <w:numFmt w:val="decimal"/>
      <w:lvlText w:val="%4."/>
      <w:lvlJc w:val="left"/>
      <w:pPr>
        <w:ind w:left="2880" w:hanging="360"/>
      </w:pPr>
    </w:lvl>
    <w:lvl w:ilvl="4" w:tplc="59BAB350">
      <w:start w:val="1"/>
      <w:numFmt w:val="lowerLetter"/>
      <w:lvlText w:val="%5."/>
      <w:lvlJc w:val="left"/>
      <w:pPr>
        <w:ind w:left="3600" w:hanging="360"/>
      </w:pPr>
    </w:lvl>
    <w:lvl w:ilvl="5" w:tplc="AA3A1F1E">
      <w:start w:val="1"/>
      <w:numFmt w:val="lowerRoman"/>
      <w:lvlText w:val="%6."/>
      <w:lvlJc w:val="right"/>
      <w:pPr>
        <w:ind w:left="4320" w:hanging="180"/>
      </w:pPr>
    </w:lvl>
    <w:lvl w:ilvl="6" w:tplc="2A765706">
      <w:start w:val="1"/>
      <w:numFmt w:val="decimal"/>
      <w:lvlText w:val="%7."/>
      <w:lvlJc w:val="left"/>
      <w:pPr>
        <w:ind w:left="5040" w:hanging="360"/>
      </w:pPr>
    </w:lvl>
    <w:lvl w:ilvl="7" w:tplc="DA080CD8">
      <w:start w:val="1"/>
      <w:numFmt w:val="lowerLetter"/>
      <w:lvlText w:val="%8."/>
      <w:lvlJc w:val="left"/>
      <w:pPr>
        <w:ind w:left="5760" w:hanging="360"/>
      </w:pPr>
    </w:lvl>
    <w:lvl w:ilvl="8" w:tplc="26422F3E">
      <w:start w:val="1"/>
      <w:numFmt w:val="lowerRoman"/>
      <w:lvlText w:val="%9."/>
      <w:lvlJc w:val="right"/>
      <w:pPr>
        <w:ind w:left="6480" w:hanging="180"/>
      </w:pPr>
    </w:lvl>
  </w:abstractNum>
  <w:abstractNum w:abstractNumId="17" w15:restartNumberingAfterBreak="0">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A525F"/>
    <w:multiLevelType w:val="hybridMultilevel"/>
    <w:tmpl w:val="980A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B3D14"/>
    <w:multiLevelType w:val="hybridMultilevel"/>
    <w:tmpl w:val="FFFFFFFF"/>
    <w:lvl w:ilvl="0" w:tplc="EF2C035C">
      <w:start w:val="1"/>
      <w:numFmt w:val="decimal"/>
      <w:lvlText w:val="%1."/>
      <w:lvlJc w:val="left"/>
      <w:pPr>
        <w:ind w:left="720" w:hanging="360"/>
      </w:pPr>
    </w:lvl>
    <w:lvl w:ilvl="1" w:tplc="61FEC622">
      <w:start w:val="1"/>
      <w:numFmt w:val="lowerLetter"/>
      <w:lvlText w:val="%2."/>
      <w:lvlJc w:val="left"/>
      <w:pPr>
        <w:ind w:left="1440" w:hanging="360"/>
      </w:pPr>
    </w:lvl>
    <w:lvl w:ilvl="2" w:tplc="C26A00A2">
      <w:start w:val="1"/>
      <w:numFmt w:val="lowerRoman"/>
      <w:lvlText w:val="%3."/>
      <w:lvlJc w:val="right"/>
      <w:pPr>
        <w:ind w:left="2160" w:hanging="180"/>
      </w:pPr>
    </w:lvl>
    <w:lvl w:ilvl="3" w:tplc="AC98F3FC">
      <w:start w:val="1"/>
      <w:numFmt w:val="decimal"/>
      <w:lvlText w:val="%4."/>
      <w:lvlJc w:val="left"/>
      <w:pPr>
        <w:ind w:left="2880" w:hanging="360"/>
      </w:pPr>
    </w:lvl>
    <w:lvl w:ilvl="4" w:tplc="BC14D124">
      <w:start w:val="1"/>
      <w:numFmt w:val="lowerLetter"/>
      <w:lvlText w:val="%5."/>
      <w:lvlJc w:val="left"/>
      <w:pPr>
        <w:ind w:left="3600" w:hanging="360"/>
      </w:pPr>
    </w:lvl>
    <w:lvl w:ilvl="5" w:tplc="F6F0FD0E">
      <w:start w:val="1"/>
      <w:numFmt w:val="lowerRoman"/>
      <w:lvlText w:val="%6."/>
      <w:lvlJc w:val="right"/>
      <w:pPr>
        <w:ind w:left="4320" w:hanging="180"/>
      </w:pPr>
    </w:lvl>
    <w:lvl w:ilvl="6" w:tplc="BDE69C92">
      <w:start w:val="1"/>
      <w:numFmt w:val="decimal"/>
      <w:lvlText w:val="%7."/>
      <w:lvlJc w:val="left"/>
      <w:pPr>
        <w:ind w:left="5040" w:hanging="360"/>
      </w:pPr>
    </w:lvl>
    <w:lvl w:ilvl="7" w:tplc="2D0C8586">
      <w:start w:val="1"/>
      <w:numFmt w:val="lowerLetter"/>
      <w:lvlText w:val="%8."/>
      <w:lvlJc w:val="left"/>
      <w:pPr>
        <w:ind w:left="5760" w:hanging="360"/>
      </w:pPr>
    </w:lvl>
    <w:lvl w:ilvl="8" w:tplc="E496E1E4">
      <w:start w:val="1"/>
      <w:numFmt w:val="lowerRoman"/>
      <w:lvlText w:val="%9."/>
      <w:lvlJc w:val="right"/>
      <w:pPr>
        <w:ind w:left="6480" w:hanging="180"/>
      </w:pPr>
    </w:lvl>
  </w:abstractNum>
  <w:abstractNum w:abstractNumId="20" w15:restartNumberingAfterBreak="0">
    <w:nsid w:val="56AD77E6"/>
    <w:multiLevelType w:val="hybridMultilevel"/>
    <w:tmpl w:val="C824BED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54709"/>
    <w:multiLevelType w:val="hybridMultilevel"/>
    <w:tmpl w:val="E390B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A0962"/>
    <w:multiLevelType w:val="hybridMultilevel"/>
    <w:tmpl w:val="493269F6"/>
    <w:lvl w:ilvl="0" w:tplc="66ECC382">
      <w:start w:val="1"/>
      <w:numFmt w:val="decimal"/>
      <w:lvlText w:val="%1."/>
      <w:lvlJc w:val="left"/>
      <w:pPr>
        <w:ind w:left="720" w:hanging="360"/>
      </w:pPr>
    </w:lvl>
    <w:lvl w:ilvl="1" w:tplc="0BAE648E">
      <w:start w:val="1"/>
      <w:numFmt w:val="lowerLetter"/>
      <w:lvlText w:val="%2."/>
      <w:lvlJc w:val="left"/>
      <w:pPr>
        <w:ind w:left="1440" w:hanging="360"/>
      </w:pPr>
    </w:lvl>
    <w:lvl w:ilvl="2" w:tplc="2D3A6CB4">
      <w:start w:val="1"/>
      <w:numFmt w:val="lowerRoman"/>
      <w:lvlText w:val="%3."/>
      <w:lvlJc w:val="right"/>
      <w:pPr>
        <w:ind w:left="2160" w:hanging="180"/>
      </w:pPr>
    </w:lvl>
    <w:lvl w:ilvl="3" w:tplc="CB4CCE6A">
      <w:start w:val="1"/>
      <w:numFmt w:val="decimal"/>
      <w:lvlText w:val="%4."/>
      <w:lvlJc w:val="left"/>
      <w:pPr>
        <w:ind w:left="2880" w:hanging="360"/>
      </w:pPr>
    </w:lvl>
    <w:lvl w:ilvl="4" w:tplc="3836FAFE">
      <w:start w:val="1"/>
      <w:numFmt w:val="lowerLetter"/>
      <w:lvlText w:val="%5."/>
      <w:lvlJc w:val="left"/>
      <w:pPr>
        <w:ind w:left="3600" w:hanging="360"/>
      </w:pPr>
    </w:lvl>
    <w:lvl w:ilvl="5" w:tplc="9C24A026">
      <w:start w:val="1"/>
      <w:numFmt w:val="lowerRoman"/>
      <w:lvlText w:val="%6."/>
      <w:lvlJc w:val="right"/>
      <w:pPr>
        <w:ind w:left="4320" w:hanging="180"/>
      </w:pPr>
    </w:lvl>
    <w:lvl w:ilvl="6" w:tplc="6F6C1086">
      <w:start w:val="1"/>
      <w:numFmt w:val="decimal"/>
      <w:lvlText w:val="%7."/>
      <w:lvlJc w:val="left"/>
      <w:pPr>
        <w:ind w:left="5040" w:hanging="360"/>
      </w:pPr>
    </w:lvl>
    <w:lvl w:ilvl="7" w:tplc="330805A8">
      <w:start w:val="1"/>
      <w:numFmt w:val="lowerLetter"/>
      <w:lvlText w:val="%8."/>
      <w:lvlJc w:val="left"/>
      <w:pPr>
        <w:ind w:left="5760" w:hanging="360"/>
      </w:pPr>
    </w:lvl>
    <w:lvl w:ilvl="8" w:tplc="5B5C5B08">
      <w:start w:val="1"/>
      <w:numFmt w:val="lowerRoman"/>
      <w:lvlText w:val="%9."/>
      <w:lvlJc w:val="right"/>
      <w:pPr>
        <w:ind w:left="6480" w:hanging="180"/>
      </w:pPr>
    </w:lvl>
  </w:abstractNum>
  <w:abstractNum w:abstractNumId="23" w15:restartNumberingAfterBreak="0">
    <w:nsid w:val="66D42D0F"/>
    <w:multiLevelType w:val="hybridMultilevel"/>
    <w:tmpl w:val="3EFC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80B47"/>
    <w:multiLevelType w:val="hybridMultilevel"/>
    <w:tmpl w:val="F92C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64779"/>
    <w:multiLevelType w:val="hybridMultilevel"/>
    <w:tmpl w:val="51F6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15:restartNumberingAfterBreak="0">
    <w:nsid w:val="6CA95B39"/>
    <w:multiLevelType w:val="hybridMultilevel"/>
    <w:tmpl w:val="C9E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A6E3B"/>
    <w:multiLevelType w:val="hybridMultilevel"/>
    <w:tmpl w:val="A77CCEA4"/>
    <w:lvl w:ilvl="0" w:tplc="7AC8E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208C1"/>
    <w:multiLevelType w:val="hybridMultilevel"/>
    <w:tmpl w:val="FFFFFFFF"/>
    <w:lvl w:ilvl="0" w:tplc="1BB696E2">
      <w:start w:val="1"/>
      <w:numFmt w:val="decimal"/>
      <w:lvlText w:val="%1."/>
      <w:lvlJc w:val="left"/>
      <w:pPr>
        <w:ind w:left="720" w:hanging="360"/>
      </w:pPr>
    </w:lvl>
    <w:lvl w:ilvl="1" w:tplc="F348AA2A">
      <w:start w:val="1"/>
      <w:numFmt w:val="lowerLetter"/>
      <w:lvlText w:val="%2."/>
      <w:lvlJc w:val="left"/>
      <w:pPr>
        <w:ind w:left="1440" w:hanging="360"/>
      </w:pPr>
    </w:lvl>
    <w:lvl w:ilvl="2" w:tplc="B04CD18C">
      <w:start w:val="1"/>
      <w:numFmt w:val="lowerRoman"/>
      <w:lvlText w:val="%3."/>
      <w:lvlJc w:val="right"/>
      <w:pPr>
        <w:ind w:left="2160" w:hanging="180"/>
      </w:pPr>
    </w:lvl>
    <w:lvl w:ilvl="3" w:tplc="A1C44B86">
      <w:start w:val="1"/>
      <w:numFmt w:val="decimal"/>
      <w:lvlText w:val="%4."/>
      <w:lvlJc w:val="left"/>
      <w:pPr>
        <w:ind w:left="2880" w:hanging="360"/>
      </w:pPr>
    </w:lvl>
    <w:lvl w:ilvl="4" w:tplc="C7D01846">
      <w:start w:val="1"/>
      <w:numFmt w:val="lowerLetter"/>
      <w:lvlText w:val="%5."/>
      <w:lvlJc w:val="left"/>
      <w:pPr>
        <w:ind w:left="3600" w:hanging="360"/>
      </w:pPr>
    </w:lvl>
    <w:lvl w:ilvl="5" w:tplc="81B80FC0">
      <w:start w:val="1"/>
      <w:numFmt w:val="lowerRoman"/>
      <w:lvlText w:val="%6."/>
      <w:lvlJc w:val="right"/>
      <w:pPr>
        <w:ind w:left="4320" w:hanging="180"/>
      </w:pPr>
    </w:lvl>
    <w:lvl w:ilvl="6" w:tplc="A12CA73C">
      <w:start w:val="1"/>
      <w:numFmt w:val="decimal"/>
      <w:lvlText w:val="%7."/>
      <w:lvlJc w:val="left"/>
      <w:pPr>
        <w:ind w:left="5040" w:hanging="360"/>
      </w:pPr>
    </w:lvl>
    <w:lvl w:ilvl="7" w:tplc="4A9CAE7A">
      <w:start w:val="1"/>
      <w:numFmt w:val="lowerLetter"/>
      <w:lvlText w:val="%8."/>
      <w:lvlJc w:val="left"/>
      <w:pPr>
        <w:ind w:left="5760" w:hanging="360"/>
      </w:pPr>
    </w:lvl>
    <w:lvl w:ilvl="8" w:tplc="F6301386">
      <w:start w:val="1"/>
      <w:numFmt w:val="lowerRoman"/>
      <w:lvlText w:val="%9."/>
      <w:lvlJc w:val="right"/>
      <w:pPr>
        <w:ind w:left="6480" w:hanging="180"/>
      </w:pPr>
    </w:lvl>
  </w:abstractNum>
  <w:abstractNum w:abstractNumId="30" w15:restartNumberingAfterBreak="0">
    <w:nsid w:val="70F127E6"/>
    <w:multiLevelType w:val="hybridMultilevel"/>
    <w:tmpl w:val="B95483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270C"/>
    <w:multiLevelType w:val="hybridMultilevel"/>
    <w:tmpl w:val="47D6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B6D9D"/>
    <w:multiLevelType w:val="hybridMultilevel"/>
    <w:tmpl w:val="94306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27"/>
  </w:num>
  <w:num w:numId="4">
    <w:abstractNumId w:val="4"/>
  </w:num>
  <w:num w:numId="5">
    <w:abstractNumId w:val="26"/>
  </w:num>
  <w:num w:numId="6">
    <w:abstractNumId w:val="5"/>
  </w:num>
  <w:num w:numId="7">
    <w:abstractNumId w:val="17"/>
  </w:num>
  <w:num w:numId="8">
    <w:abstractNumId w:val="32"/>
  </w:num>
  <w:num w:numId="9">
    <w:abstractNumId w:val="18"/>
  </w:num>
  <w:num w:numId="10">
    <w:abstractNumId w:val="31"/>
  </w:num>
  <w:num w:numId="11">
    <w:abstractNumId w:val="1"/>
  </w:num>
  <w:num w:numId="12">
    <w:abstractNumId w:val="15"/>
  </w:num>
  <w:num w:numId="13">
    <w:abstractNumId w:val="13"/>
  </w:num>
  <w:num w:numId="14">
    <w:abstractNumId w:val="20"/>
  </w:num>
  <w:num w:numId="15">
    <w:abstractNumId w:val="12"/>
  </w:num>
  <w:num w:numId="16">
    <w:abstractNumId w:val="30"/>
  </w:num>
  <w:num w:numId="17">
    <w:abstractNumId w:val="8"/>
  </w:num>
  <w:num w:numId="18">
    <w:abstractNumId w:val="0"/>
  </w:num>
  <w:num w:numId="19">
    <w:abstractNumId w:val="6"/>
  </w:num>
  <w:num w:numId="20">
    <w:abstractNumId w:val="3"/>
  </w:num>
  <w:num w:numId="21">
    <w:abstractNumId w:val="11"/>
  </w:num>
  <w:num w:numId="22">
    <w:abstractNumId w:val="22"/>
  </w:num>
  <w:num w:numId="23">
    <w:abstractNumId w:val="19"/>
  </w:num>
  <w:num w:numId="24">
    <w:abstractNumId w:val="29"/>
  </w:num>
  <w:num w:numId="25">
    <w:abstractNumId w:val="7"/>
  </w:num>
  <w:num w:numId="26">
    <w:abstractNumId w:val="23"/>
  </w:num>
  <w:num w:numId="27">
    <w:abstractNumId w:val="24"/>
  </w:num>
  <w:num w:numId="28">
    <w:abstractNumId w:val="25"/>
  </w:num>
  <w:num w:numId="29">
    <w:abstractNumId w:val="14"/>
  </w:num>
  <w:num w:numId="30">
    <w:abstractNumId w:val="10"/>
  </w:num>
  <w:num w:numId="31">
    <w:abstractNumId w:val="21"/>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BA"/>
    <w:rsid w:val="0000450B"/>
    <w:rsid w:val="00004708"/>
    <w:rsid w:val="00004AF2"/>
    <w:rsid w:val="0000736B"/>
    <w:rsid w:val="00011A93"/>
    <w:rsid w:val="0001385C"/>
    <w:rsid w:val="00014421"/>
    <w:rsid w:val="00015141"/>
    <w:rsid w:val="00015AFC"/>
    <w:rsid w:val="00016407"/>
    <w:rsid w:val="000216C3"/>
    <w:rsid w:val="00026DA7"/>
    <w:rsid w:val="00030892"/>
    <w:rsid w:val="00032993"/>
    <w:rsid w:val="000331C7"/>
    <w:rsid w:val="00040560"/>
    <w:rsid w:val="000411D2"/>
    <w:rsid w:val="00042DD7"/>
    <w:rsid w:val="00044D55"/>
    <w:rsid w:val="00044D6A"/>
    <w:rsid w:val="00050C48"/>
    <w:rsid w:val="000517A7"/>
    <w:rsid w:val="000520B8"/>
    <w:rsid w:val="0005221F"/>
    <w:rsid w:val="000523B2"/>
    <w:rsid w:val="000523C5"/>
    <w:rsid w:val="00053C9E"/>
    <w:rsid w:val="00053CD4"/>
    <w:rsid w:val="00053E51"/>
    <w:rsid w:val="000555A7"/>
    <w:rsid w:val="00056D59"/>
    <w:rsid w:val="000636ED"/>
    <w:rsid w:val="000660C7"/>
    <w:rsid w:val="00066354"/>
    <w:rsid w:val="00067FBD"/>
    <w:rsid w:val="000731A7"/>
    <w:rsid w:val="000735FF"/>
    <w:rsid w:val="0007471B"/>
    <w:rsid w:val="000749DA"/>
    <w:rsid w:val="00076022"/>
    <w:rsid w:val="00080AD1"/>
    <w:rsid w:val="00080BE7"/>
    <w:rsid w:val="00082214"/>
    <w:rsid w:val="00082BF2"/>
    <w:rsid w:val="00083A12"/>
    <w:rsid w:val="00085721"/>
    <w:rsid w:val="0009061B"/>
    <w:rsid w:val="0009124B"/>
    <w:rsid w:val="0009173D"/>
    <w:rsid w:val="00092424"/>
    <w:rsid w:val="000942C2"/>
    <w:rsid w:val="00094D76"/>
    <w:rsid w:val="000968EF"/>
    <w:rsid w:val="00097907"/>
    <w:rsid w:val="000A6C80"/>
    <w:rsid w:val="000A7F88"/>
    <w:rsid w:val="000B0CEF"/>
    <w:rsid w:val="000B1379"/>
    <w:rsid w:val="000B5A88"/>
    <w:rsid w:val="000B76C1"/>
    <w:rsid w:val="000B7EC8"/>
    <w:rsid w:val="000C0148"/>
    <w:rsid w:val="000C0F02"/>
    <w:rsid w:val="000C1474"/>
    <w:rsid w:val="000C17A1"/>
    <w:rsid w:val="000C4A65"/>
    <w:rsid w:val="000C5F2D"/>
    <w:rsid w:val="000C61C0"/>
    <w:rsid w:val="000C698E"/>
    <w:rsid w:val="000C73D0"/>
    <w:rsid w:val="000D0A3E"/>
    <w:rsid w:val="000D1D82"/>
    <w:rsid w:val="000D2B07"/>
    <w:rsid w:val="000D3EAA"/>
    <w:rsid w:val="000D486C"/>
    <w:rsid w:val="000D761C"/>
    <w:rsid w:val="000E0E51"/>
    <w:rsid w:val="000E1AB5"/>
    <w:rsid w:val="000E1C49"/>
    <w:rsid w:val="000E3E4E"/>
    <w:rsid w:val="000E6F18"/>
    <w:rsid w:val="000F13F1"/>
    <w:rsid w:val="000F182E"/>
    <w:rsid w:val="000F20B9"/>
    <w:rsid w:val="000F2AFC"/>
    <w:rsid w:val="000F3A37"/>
    <w:rsid w:val="000F4C7F"/>
    <w:rsid w:val="000F53BD"/>
    <w:rsid w:val="000F5A52"/>
    <w:rsid w:val="000F5D99"/>
    <w:rsid w:val="000F73E2"/>
    <w:rsid w:val="000F7CBE"/>
    <w:rsid w:val="00100C9B"/>
    <w:rsid w:val="00103CF0"/>
    <w:rsid w:val="001045DF"/>
    <w:rsid w:val="0010490E"/>
    <w:rsid w:val="0010682A"/>
    <w:rsid w:val="00107789"/>
    <w:rsid w:val="00111A17"/>
    <w:rsid w:val="001122B0"/>
    <w:rsid w:val="00112398"/>
    <w:rsid w:val="0011305E"/>
    <w:rsid w:val="00113A3D"/>
    <w:rsid w:val="00120B06"/>
    <w:rsid w:val="00121E5E"/>
    <w:rsid w:val="0012306E"/>
    <w:rsid w:val="0012467A"/>
    <w:rsid w:val="00125B5B"/>
    <w:rsid w:val="00125D46"/>
    <w:rsid w:val="00126939"/>
    <w:rsid w:val="00126A73"/>
    <w:rsid w:val="00130091"/>
    <w:rsid w:val="00130E5B"/>
    <w:rsid w:val="00130F52"/>
    <w:rsid w:val="00132857"/>
    <w:rsid w:val="00134D12"/>
    <w:rsid w:val="0013522A"/>
    <w:rsid w:val="00140E2B"/>
    <w:rsid w:val="0014244B"/>
    <w:rsid w:val="00142A91"/>
    <w:rsid w:val="00143A91"/>
    <w:rsid w:val="00150B89"/>
    <w:rsid w:val="0015174E"/>
    <w:rsid w:val="001521D9"/>
    <w:rsid w:val="00152897"/>
    <w:rsid w:val="0015553F"/>
    <w:rsid w:val="00155AC1"/>
    <w:rsid w:val="001608BA"/>
    <w:rsid w:val="001708B0"/>
    <w:rsid w:val="001719F2"/>
    <w:rsid w:val="00176DBC"/>
    <w:rsid w:val="00177C24"/>
    <w:rsid w:val="00181AC2"/>
    <w:rsid w:val="00181D9A"/>
    <w:rsid w:val="001835BB"/>
    <w:rsid w:val="0018625E"/>
    <w:rsid w:val="00187013"/>
    <w:rsid w:val="00192ECE"/>
    <w:rsid w:val="00193249"/>
    <w:rsid w:val="00193329"/>
    <w:rsid w:val="001933F6"/>
    <w:rsid w:val="00193F2F"/>
    <w:rsid w:val="00196FAF"/>
    <w:rsid w:val="0019724E"/>
    <w:rsid w:val="00197A81"/>
    <w:rsid w:val="001A012B"/>
    <w:rsid w:val="001A1A05"/>
    <w:rsid w:val="001A3E12"/>
    <w:rsid w:val="001A3FD0"/>
    <w:rsid w:val="001A5AF8"/>
    <w:rsid w:val="001B093B"/>
    <w:rsid w:val="001B5FF9"/>
    <w:rsid w:val="001B760B"/>
    <w:rsid w:val="001B7B0D"/>
    <w:rsid w:val="001C0C90"/>
    <w:rsid w:val="001C152A"/>
    <w:rsid w:val="001C2003"/>
    <w:rsid w:val="001C24D5"/>
    <w:rsid w:val="001C2706"/>
    <w:rsid w:val="001C2731"/>
    <w:rsid w:val="001C6E64"/>
    <w:rsid w:val="001C7C2B"/>
    <w:rsid w:val="001D14AC"/>
    <w:rsid w:val="001D563E"/>
    <w:rsid w:val="001D7EC6"/>
    <w:rsid w:val="001E002D"/>
    <w:rsid w:val="001E3574"/>
    <w:rsid w:val="001E5AFC"/>
    <w:rsid w:val="001E669E"/>
    <w:rsid w:val="001E68EE"/>
    <w:rsid w:val="001E6FC4"/>
    <w:rsid w:val="001F0203"/>
    <w:rsid w:val="001F1A87"/>
    <w:rsid w:val="001F27D1"/>
    <w:rsid w:val="001F2BAA"/>
    <w:rsid w:val="001F358B"/>
    <w:rsid w:val="001F3647"/>
    <w:rsid w:val="001F3D5B"/>
    <w:rsid w:val="001F4759"/>
    <w:rsid w:val="001F5187"/>
    <w:rsid w:val="001F667A"/>
    <w:rsid w:val="001F73E9"/>
    <w:rsid w:val="001F77A3"/>
    <w:rsid w:val="002007AB"/>
    <w:rsid w:val="00200AFB"/>
    <w:rsid w:val="00200D10"/>
    <w:rsid w:val="00200DDB"/>
    <w:rsid w:val="00201C68"/>
    <w:rsid w:val="0020285D"/>
    <w:rsid w:val="002055AC"/>
    <w:rsid w:val="002067D3"/>
    <w:rsid w:val="002069B4"/>
    <w:rsid w:val="00212273"/>
    <w:rsid w:val="00215BB0"/>
    <w:rsid w:val="00215E94"/>
    <w:rsid w:val="00217AEE"/>
    <w:rsid w:val="0022314E"/>
    <w:rsid w:val="00224173"/>
    <w:rsid w:val="00224595"/>
    <w:rsid w:val="002277B0"/>
    <w:rsid w:val="00230393"/>
    <w:rsid w:val="0023051A"/>
    <w:rsid w:val="002324DB"/>
    <w:rsid w:val="0023503B"/>
    <w:rsid w:val="00237C75"/>
    <w:rsid w:val="00237EE1"/>
    <w:rsid w:val="00240126"/>
    <w:rsid w:val="00240BE7"/>
    <w:rsid w:val="00241A9E"/>
    <w:rsid w:val="002431D9"/>
    <w:rsid w:val="002463B3"/>
    <w:rsid w:val="00247C45"/>
    <w:rsid w:val="00250D4C"/>
    <w:rsid w:val="0025235A"/>
    <w:rsid w:val="002524C5"/>
    <w:rsid w:val="00252879"/>
    <w:rsid w:val="00253C3F"/>
    <w:rsid w:val="00253E23"/>
    <w:rsid w:val="00255B84"/>
    <w:rsid w:val="00257A08"/>
    <w:rsid w:val="00260A86"/>
    <w:rsid w:val="00260F8D"/>
    <w:rsid w:val="00262F3F"/>
    <w:rsid w:val="002647E8"/>
    <w:rsid w:val="00267FF7"/>
    <w:rsid w:val="0027029F"/>
    <w:rsid w:val="00270BED"/>
    <w:rsid w:val="0027461C"/>
    <w:rsid w:val="00276898"/>
    <w:rsid w:val="00280B04"/>
    <w:rsid w:val="00282BBC"/>
    <w:rsid w:val="00282C43"/>
    <w:rsid w:val="002869B0"/>
    <w:rsid w:val="00290665"/>
    <w:rsid w:val="0029244E"/>
    <w:rsid w:val="00294224"/>
    <w:rsid w:val="002948BE"/>
    <w:rsid w:val="00295C6C"/>
    <w:rsid w:val="00296F32"/>
    <w:rsid w:val="002A0942"/>
    <w:rsid w:val="002A22E4"/>
    <w:rsid w:val="002A3831"/>
    <w:rsid w:val="002A3914"/>
    <w:rsid w:val="002A67C7"/>
    <w:rsid w:val="002A6C15"/>
    <w:rsid w:val="002A7D6E"/>
    <w:rsid w:val="002B24B2"/>
    <w:rsid w:val="002B3AC5"/>
    <w:rsid w:val="002B3E8A"/>
    <w:rsid w:val="002B70C7"/>
    <w:rsid w:val="002C0518"/>
    <w:rsid w:val="002C13DA"/>
    <w:rsid w:val="002C30E0"/>
    <w:rsid w:val="002C63D3"/>
    <w:rsid w:val="002C6B06"/>
    <w:rsid w:val="002C762A"/>
    <w:rsid w:val="002D0281"/>
    <w:rsid w:val="002D1402"/>
    <w:rsid w:val="002D31A0"/>
    <w:rsid w:val="002D4503"/>
    <w:rsid w:val="002D4ECA"/>
    <w:rsid w:val="002D67E9"/>
    <w:rsid w:val="002E1352"/>
    <w:rsid w:val="002E3D1D"/>
    <w:rsid w:val="002E4EB8"/>
    <w:rsid w:val="002E5473"/>
    <w:rsid w:val="002E5C80"/>
    <w:rsid w:val="002E6728"/>
    <w:rsid w:val="002E7B49"/>
    <w:rsid w:val="002F1C3B"/>
    <w:rsid w:val="002F67A8"/>
    <w:rsid w:val="002F6DC1"/>
    <w:rsid w:val="002F6EE8"/>
    <w:rsid w:val="00302BDE"/>
    <w:rsid w:val="003042CE"/>
    <w:rsid w:val="003059CF"/>
    <w:rsid w:val="00305CE3"/>
    <w:rsid w:val="00306E5F"/>
    <w:rsid w:val="00307695"/>
    <w:rsid w:val="00310AA8"/>
    <w:rsid w:val="0031338A"/>
    <w:rsid w:val="00313559"/>
    <w:rsid w:val="00314BB9"/>
    <w:rsid w:val="003153F0"/>
    <w:rsid w:val="00315E64"/>
    <w:rsid w:val="003163E3"/>
    <w:rsid w:val="00316EC0"/>
    <w:rsid w:val="00317951"/>
    <w:rsid w:val="00325095"/>
    <w:rsid w:val="00325149"/>
    <w:rsid w:val="003265FE"/>
    <w:rsid w:val="0032773C"/>
    <w:rsid w:val="0033230B"/>
    <w:rsid w:val="003328B9"/>
    <w:rsid w:val="00334839"/>
    <w:rsid w:val="00334F81"/>
    <w:rsid w:val="00335614"/>
    <w:rsid w:val="00335A85"/>
    <w:rsid w:val="003517E3"/>
    <w:rsid w:val="00351D4F"/>
    <w:rsid w:val="003521FB"/>
    <w:rsid w:val="00352E33"/>
    <w:rsid w:val="00357C11"/>
    <w:rsid w:val="003603BD"/>
    <w:rsid w:val="00361207"/>
    <w:rsid w:val="0036202E"/>
    <w:rsid w:val="00363C6F"/>
    <w:rsid w:val="00366338"/>
    <w:rsid w:val="00366CC0"/>
    <w:rsid w:val="00367CDC"/>
    <w:rsid w:val="003709BD"/>
    <w:rsid w:val="003723B8"/>
    <w:rsid w:val="00373224"/>
    <w:rsid w:val="003738E6"/>
    <w:rsid w:val="003750F5"/>
    <w:rsid w:val="00376168"/>
    <w:rsid w:val="00376F69"/>
    <w:rsid w:val="00380222"/>
    <w:rsid w:val="003809C1"/>
    <w:rsid w:val="003821BB"/>
    <w:rsid w:val="00382FD9"/>
    <w:rsid w:val="00384091"/>
    <w:rsid w:val="00385B56"/>
    <w:rsid w:val="00390327"/>
    <w:rsid w:val="00390AE1"/>
    <w:rsid w:val="003938A7"/>
    <w:rsid w:val="00393B14"/>
    <w:rsid w:val="00394D27"/>
    <w:rsid w:val="003A0799"/>
    <w:rsid w:val="003A0C2F"/>
    <w:rsid w:val="003A39A7"/>
    <w:rsid w:val="003A5FAC"/>
    <w:rsid w:val="003A6A95"/>
    <w:rsid w:val="003A7902"/>
    <w:rsid w:val="003A7BCC"/>
    <w:rsid w:val="003A7FB2"/>
    <w:rsid w:val="003B0BCF"/>
    <w:rsid w:val="003B1001"/>
    <w:rsid w:val="003B255F"/>
    <w:rsid w:val="003B392F"/>
    <w:rsid w:val="003B40E0"/>
    <w:rsid w:val="003B4AE2"/>
    <w:rsid w:val="003B4C9E"/>
    <w:rsid w:val="003C1C39"/>
    <w:rsid w:val="003C3D5B"/>
    <w:rsid w:val="003C4080"/>
    <w:rsid w:val="003C677C"/>
    <w:rsid w:val="003C67C1"/>
    <w:rsid w:val="003D3405"/>
    <w:rsid w:val="003D3B28"/>
    <w:rsid w:val="003D443D"/>
    <w:rsid w:val="003D4A21"/>
    <w:rsid w:val="003E1E4C"/>
    <w:rsid w:val="003E7560"/>
    <w:rsid w:val="003E7694"/>
    <w:rsid w:val="003F18F8"/>
    <w:rsid w:val="003F2529"/>
    <w:rsid w:val="003F2995"/>
    <w:rsid w:val="003F2D29"/>
    <w:rsid w:val="003F6EEB"/>
    <w:rsid w:val="00401AD1"/>
    <w:rsid w:val="004028CF"/>
    <w:rsid w:val="00403AD4"/>
    <w:rsid w:val="004063F7"/>
    <w:rsid w:val="00406B81"/>
    <w:rsid w:val="00411224"/>
    <w:rsid w:val="0041269A"/>
    <w:rsid w:val="004132B6"/>
    <w:rsid w:val="0041546F"/>
    <w:rsid w:val="00416004"/>
    <w:rsid w:val="00416B50"/>
    <w:rsid w:val="0042168A"/>
    <w:rsid w:val="00423B0B"/>
    <w:rsid w:val="00425F87"/>
    <w:rsid w:val="00431042"/>
    <w:rsid w:val="004321E3"/>
    <w:rsid w:val="004323A8"/>
    <w:rsid w:val="004334AB"/>
    <w:rsid w:val="00433DB1"/>
    <w:rsid w:val="0043581B"/>
    <w:rsid w:val="00440A98"/>
    <w:rsid w:val="00441A8D"/>
    <w:rsid w:val="00442259"/>
    <w:rsid w:val="00444E37"/>
    <w:rsid w:val="00450966"/>
    <w:rsid w:val="004509B5"/>
    <w:rsid w:val="00451903"/>
    <w:rsid w:val="00452E8B"/>
    <w:rsid w:val="0045399D"/>
    <w:rsid w:val="004570D6"/>
    <w:rsid w:val="004570F4"/>
    <w:rsid w:val="00461FE6"/>
    <w:rsid w:val="00462E06"/>
    <w:rsid w:val="00464DC9"/>
    <w:rsid w:val="00466373"/>
    <w:rsid w:val="00470C33"/>
    <w:rsid w:val="00471101"/>
    <w:rsid w:val="0047157F"/>
    <w:rsid w:val="004739BA"/>
    <w:rsid w:val="004739E6"/>
    <w:rsid w:val="00475C51"/>
    <w:rsid w:val="00475F13"/>
    <w:rsid w:val="00476010"/>
    <w:rsid w:val="0047644B"/>
    <w:rsid w:val="00483F25"/>
    <w:rsid w:val="0048548E"/>
    <w:rsid w:val="0048587C"/>
    <w:rsid w:val="00487766"/>
    <w:rsid w:val="00487A4B"/>
    <w:rsid w:val="0049248F"/>
    <w:rsid w:val="00493456"/>
    <w:rsid w:val="004A12A8"/>
    <w:rsid w:val="004A1B36"/>
    <w:rsid w:val="004A3385"/>
    <w:rsid w:val="004A36B2"/>
    <w:rsid w:val="004A535B"/>
    <w:rsid w:val="004A6698"/>
    <w:rsid w:val="004B1378"/>
    <w:rsid w:val="004B17AC"/>
    <w:rsid w:val="004B3FE8"/>
    <w:rsid w:val="004B4202"/>
    <w:rsid w:val="004B4328"/>
    <w:rsid w:val="004B6FBF"/>
    <w:rsid w:val="004C145C"/>
    <w:rsid w:val="004C1771"/>
    <w:rsid w:val="004C4971"/>
    <w:rsid w:val="004D0009"/>
    <w:rsid w:val="004D06F5"/>
    <w:rsid w:val="004D1AD5"/>
    <w:rsid w:val="004D2BC5"/>
    <w:rsid w:val="004D42EB"/>
    <w:rsid w:val="004D52F7"/>
    <w:rsid w:val="004D6583"/>
    <w:rsid w:val="004D67A1"/>
    <w:rsid w:val="004D67F3"/>
    <w:rsid w:val="004D76E5"/>
    <w:rsid w:val="004E05F4"/>
    <w:rsid w:val="004E26EA"/>
    <w:rsid w:val="004E2E0F"/>
    <w:rsid w:val="004E37FB"/>
    <w:rsid w:val="004E3DCA"/>
    <w:rsid w:val="004E3E87"/>
    <w:rsid w:val="004E3EAC"/>
    <w:rsid w:val="004E3FF2"/>
    <w:rsid w:val="004E4EFC"/>
    <w:rsid w:val="004E6AE4"/>
    <w:rsid w:val="004F0811"/>
    <w:rsid w:val="004F0862"/>
    <w:rsid w:val="004F3B2F"/>
    <w:rsid w:val="005001CE"/>
    <w:rsid w:val="00500678"/>
    <w:rsid w:val="00505818"/>
    <w:rsid w:val="00505F4F"/>
    <w:rsid w:val="00506528"/>
    <w:rsid w:val="00507FA4"/>
    <w:rsid w:val="00510C0E"/>
    <w:rsid w:val="005124A9"/>
    <w:rsid w:val="00512A71"/>
    <w:rsid w:val="0051356F"/>
    <w:rsid w:val="00513A85"/>
    <w:rsid w:val="005179DC"/>
    <w:rsid w:val="005207A9"/>
    <w:rsid w:val="005218F1"/>
    <w:rsid w:val="00525151"/>
    <w:rsid w:val="005259D1"/>
    <w:rsid w:val="00526A5C"/>
    <w:rsid w:val="00530541"/>
    <w:rsid w:val="005306E7"/>
    <w:rsid w:val="005308CB"/>
    <w:rsid w:val="00532B4C"/>
    <w:rsid w:val="0053315B"/>
    <w:rsid w:val="00533A0B"/>
    <w:rsid w:val="005340B6"/>
    <w:rsid w:val="00534ADC"/>
    <w:rsid w:val="00537049"/>
    <w:rsid w:val="0054088B"/>
    <w:rsid w:val="0054533D"/>
    <w:rsid w:val="005455DF"/>
    <w:rsid w:val="005463C8"/>
    <w:rsid w:val="00546874"/>
    <w:rsid w:val="00546951"/>
    <w:rsid w:val="0055101C"/>
    <w:rsid w:val="005543AB"/>
    <w:rsid w:val="00554411"/>
    <w:rsid w:val="005544E1"/>
    <w:rsid w:val="00555501"/>
    <w:rsid w:val="00555D05"/>
    <w:rsid w:val="00556135"/>
    <w:rsid w:val="0055650C"/>
    <w:rsid w:val="005570EC"/>
    <w:rsid w:val="005604CA"/>
    <w:rsid w:val="00561F9B"/>
    <w:rsid w:val="00563DAF"/>
    <w:rsid w:val="00565F64"/>
    <w:rsid w:val="00573157"/>
    <w:rsid w:val="005746A9"/>
    <w:rsid w:val="00577F1D"/>
    <w:rsid w:val="00580527"/>
    <w:rsid w:val="00580913"/>
    <w:rsid w:val="00580AED"/>
    <w:rsid w:val="00584F12"/>
    <w:rsid w:val="0058741F"/>
    <w:rsid w:val="00590DB8"/>
    <w:rsid w:val="00592B69"/>
    <w:rsid w:val="005936E0"/>
    <w:rsid w:val="00597855"/>
    <w:rsid w:val="005A0AB2"/>
    <w:rsid w:val="005A15C9"/>
    <w:rsid w:val="005A3859"/>
    <w:rsid w:val="005A4DDE"/>
    <w:rsid w:val="005A58FC"/>
    <w:rsid w:val="005A673E"/>
    <w:rsid w:val="005B082A"/>
    <w:rsid w:val="005B2131"/>
    <w:rsid w:val="005B37F0"/>
    <w:rsid w:val="005B4F50"/>
    <w:rsid w:val="005B52EC"/>
    <w:rsid w:val="005B7470"/>
    <w:rsid w:val="005B74D9"/>
    <w:rsid w:val="005C0194"/>
    <w:rsid w:val="005C1E0A"/>
    <w:rsid w:val="005C32DE"/>
    <w:rsid w:val="005C6402"/>
    <w:rsid w:val="005D2228"/>
    <w:rsid w:val="005D3A0E"/>
    <w:rsid w:val="005D3E03"/>
    <w:rsid w:val="005D6BB3"/>
    <w:rsid w:val="005E0032"/>
    <w:rsid w:val="005E0AC8"/>
    <w:rsid w:val="005E17A0"/>
    <w:rsid w:val="005E183B"/>
    <w:rsid w:val="005E2BFB"/>
    <w:rsid w:val="005E6D5B"/>
    <w:rsid w:val="005F1BEE"/>
    <w:rsid w:val="005F2E8A"/>
    <w:rsid w:val="005F4470"/>
    <w:rsid w:val="005F4BA6"/>
    <w:rsid w:val="005F532D"/>
    <w:rsid w:val="005F5F92"/>
    <w:rsid w:val="006002A3"/>
    <w:rsid w:val="006005F2"/>
    <w:rsid w:val="00600881"/>
    <w:rsid w:val="006031C6"/>
    <w:rsid w:val="006043DF"/>
    <w:rsid w:val="00604600"/>
    <w:rsid w:val="00605E33"/>
    <w:rsid w:val="00606DD5"/>
    <w:rsid w:val="00607393"/>
    <w:rsid w:val="006107AF"/>
    <w:rsid w:val="00610938"/>
    <w:rsid w:val="00610BD0"/>
    <w:rsid w:val="00613185"/>
    <w:rsid w:val="006154D8"/>
    <w:rsid w:val="0062026F"/>
    <w:rsid w:val="00621358"/>
    <w:rsid w:val="006215AE"/>
    <w:rsid w:val="006238C8"/>
    <w:rsid w:val="00623B2A"/>
    <w:rsid w:val="00625030"/>
    <w:rsid w:val="00627625"/>
    <w:rsid w:val="006300F3"/>
    <w:rsid w:val="006376CB"/>
    <w:rsid w:val="00641246"/>
    <w:rsid w:val="00641B96"/>
    <w:rsid w:val="00642DDD"/>
    <w:rsid w:val="00643D0F"/>
    <w:rsid w:val="00645F13"/>
    <w:rsid w:val="00646881"/>
    <w:rsid w:val="00650E62"/>
    <w:rsid w:val="00652772"/>
    <w:rsid w:val="00655403"/>
    <w:rsid w:val="00657586"/>
    <w:rsid w:val="00657C8A"/>
    <w:rsid w:val="00657F18"/>
    <w:rsid w:val="006636C2"/>
    <w:rsid w:val="006653D0"/>
    <w:rsid w:val="006701D1"/>
    <w:rsid w:val="00670637"/>
    <w:rsid w:val="00676BFE"/>
    <w:rsid w:val="00677859"/>
    <w:rsid w:val="006802B6"/>
    <w:rsid w:val="00680BB0"/>
    <w:rsid w:val="00682C8A"/>
    <w:rsid w:val="00682D07"/>
    <w:rsid w:val="0068542D"/>
    <w:rsid w:val="00687368"/>
    <w:rsid w:val="00691542"/>
    <w:rsid w:val="006930D7"/>
    <w:rsid w:val="00694AA2"/>
    <w:rsid w:val="00696779"/>
    <w:rsid w:val="0069793A"/>
    <w:rsid w:val="006A16BB"/>
    <w:rsid w:val="006A3340"/>
    <w:rsid w:val="006A33CE"/>
    <w:rsid w:val="006A595D"/>
    <w:rsid w:val="006B0DA3"/>
    <w:rsid w:val="006B0F81"/>
    <w:rsid w:val="006B1DEF"/>
    <w:rsid w:val="006B2DE6"/>
    <w:rsid w:val="006B33AB"/>
    <w:rsid w:val="006B47A8"/>
    <w:rsid w:val="006B6EFC"/>
    <w:rsid w:val="006C0CAC"/>
    <w:rsid w:val="006C1770"/>
    <w:rsid w:val="006C2CEB"/>
    <w:rsid w:val="006C3AA4"/>
    <w:rsid w:val="006C4490"/>
    <w:rsid w:val="006C45C2"/>
    <w:rsid w:val="006C4C11"/>
    <w:rsid w:val="006C5603"/>
    <w:rsid w:val="006C589F"/>
    <w:rsid w:val="006C6998"/>
    <w:rsid w:val="006D299C"/>
    <w:rsid w:val="006D2A73"/>
    <w:rsid w:val="006D3AB9"/>
    <w:rsid w:val="006D3D1B"/>
    <w:rsid w:val="006D453A"/>
    <w:rsid w:val="006D4972"/>
    <w:rsid w:val="006D6429"/>
    <w:rsid w:val="006D733C"/>
    <w:rsid w:val="006E07F7"/>
    <w:rsid w:val="006E1093"/>
    <w:rsid w:val="006E22DF"/>
    <w:rsid w:val="006E3329"/>
    <w:rsid w:val="006E599E"/>
    <w:rsid w:val="006E6022"/>
    <w:rsid w:val="006E6CD5"/>
    <w:rsid w:val="006E7192"/>
    <w:rsid w:val="006F19D0"/>
    <w:rsid w:val="006F474F"/>
    <w:rsid w:val="006F4FC0"/>
    <w:rsid w:val="006F5090"/>
    <w:rsid w:val="006F6EB3"/>
    <w:rsid w:val="00702322"/>
    <w:rsid w:val="00705348"/>
    <w:rsid w:val="00705892"/>
    <w:rsid w:val="00706C2E"/>
    <w:rsid w:val="00714210"/>
    <w:rsid w:val="007156B4"/>
    <w:rsid w:val="007157BC"/>
    <w:rsid w:val="0071605E"/>
    <w:rsid w:val="00716531"/>
    <w:rsid w:val="0071726B"/>
    <w:rsid w:val="00720559"/>
    <w:rsid w:val="00724BCB"/>
    <w:rsid w:val="00725312"/>
    <w:rsid w:val="007268D0"/>
    <w:rsid w:val="00726E6F"/>
    <w:rsid w:val="00733187"/>
    <w:rsid w:val="00734E1F"/>
    <w:rsid w:val="007426B0"/>
    <w:rsid w:val="00742BCE"/>
    <w:rsid w:val="007435C5"/>
    <w:rsid w:val="00745157"/>
    <w:rsid w:val="007465C1"/>
    <w:rsid w:val="00746D04"/>
    <w:rsid w:val="00747484"/>
    <w:rsid w:val="00747E0E"/>
    <w:rsid w:val="007532B1"/>
    <w:rsid w:val="00754BFB"/>
    <w:rsid w:val="007557F0"/>
    <w:rsid w:val="00755BDA"/>
    <w:rsid w:val="00756462"/>
    <w:rsid w:val="00760E2B"/>
    <w:rsid w:val="007610C3"/>
    <w:rsid w:val="007618FF"/>
    <w:rsid w:val="007622DE"/>
    <w:rsid w:val="00763960"/>
    <w:rsid w:val="00766399"/>
    <w:rsid w:val="00770CB2"/>
    <w:rsid w:val="0077291C"/>
    <w:rsid w:val="00772D8A"/>
    <w:rsid w:val="00775D1A"/>
    <w:rsid w:val="00776C7D"/>
    <w:rsid w:val="00780107"/>
    <w:rsid w:val="00780E9B"/>
    <w:rsid w:val="007823BF"/>
    <w:rsid w:val="0078338C"/>
    <w:rsid w:val="00785402"/>
    <w:rsid w:val="00787322"/>
    <w:rsid w:val="007928CF"/>
    <w:rsid w:val="00792A4D"/>
    <w:rsid w:val="00793261"/>
    <w:rsid w:val="00794749"/>
    <w:rsid w:val="007950D4"/>
    <w:rsid w:val="00796338"/>
    <w:rsid w:val="00797188"/>
    <w:rsid w:val="0079755C"/>
    <w:rsid w:val="007A15C5"/>
    <w:rsid w:val="007A1DC9"/>
    <w:rsid w:val="007A3993"/>
    <w:rsid w:val="007A4189"/>
    <w:rsid w:val="007A4524"/>
    <w:rsid w:val="007A6FA7"/>
    <w:rsid w:val="007A79CD"/>
    <w:rsid w:val="007B0513"/>
    <w:rsid w:val="007B106B"/>
    <w:rsid w:val="007B2571"/>
    <w:rsid w:val="007B4C3A"/>
    <w:rsid w:val="007B5AC7"/>
    <w:rsid w:val="007B6283"/>
    <w:rsid w:val="007B6512"/>
    <w:rsid w:val="007B6611"/>
    <w:rsid w:val="007B72AF"/>
    <w:rsid w:val="007C3973"/>
    <w:rsid w:val="007C6D04"/>
    <w:rsid w:val="007D0759"/>
    <w:rsid w:val="007D1383"/>
    <w:rsid w:val="007D17DA"/>
    <w:rsid w:val="007D48C5"/>
    <w:rsid w:val="007D61AD"/>
    <w:rsid w:val="007D64F0"/>
    <w:rsid w:val="007D6CDE"/>
    <w:rsid w:val="007E001C"/>
    <w:rsid w:val="007E0AB4"/>
    <w:rsid w:val="007E218D"/>
    <w:rsid w:val="007E4459"/>
    <w:rsid w:val="007F0F7D"/>
    <w:rsid w:val="007F1921"/>
    <w:rsid w:val="007F234F"/>
    <w:rsid w:val="007F2F88"/>
    <w:rsid w:val="007F4640"/>
    <w:rsid w:val="007F573E"/>
    <w:rsid w:val="007F6159"/>
    <w:rsid w:val="007F6364"/>
    <w:rsid w:val="00800CEE"/>
    <w:rsid w:val="00802CF7"/>
    <w:rsid w:val="0080314E"/>
    <w:rsid w:val="00803399"/>
    <w:rsid w:val="00804390"/>
    <w:rsid w:val="00807A80"/>
    <w:rsid w:val="00811230"/>
    <w:rsid w:val="0081302A"/>
    <w:rsid w:val="00813D64"/>
    <w:rsid w:val="00813DA8"/>
    <w:rsid w:val="00815E50"/>
    <w:rsid w:val="00817BEB"/>
    <w:rsid w:val="00820BBE"/>
    <w:rsid w:val="008243BD"/>
    <w:rsid w:val="008270E5"/>
    <w:rsid w:val="008324D1"/>
    <w:rsid w:val="008328AB"/>
    <w:rsid w:val="00833332"/>
    <w:rsid w:val="008334FF"/>
    <w:rsid w:val="00833E19"/>
    <w:rsid w:val="0083797B"/>
    <w:rsid w:val="0084152C"/>
    <w:rsid w:val="0084179D"/>
    <w:rsid w:val="008434F3"/>
    <w:rsid w:val="00843530"/>
    <w:rsid w:val="00845A35"/>
    <w:rsid w:val="00845E77"/>
    <w:rsid w:val="00846201"/>
    <w:rsid w:val="00853003"/>
    <w:rsid w:val="008537A0"/>
    <w:rsid w:val="00854482"/>
    <w:rsid w:val="00856EE6"/>
    <w:rsid w:val="0086045D"/>
    <w:rsid w:val="008614B9"/>
    <w:rsid w:val="00863A35"/>
    <w:rsid w:val="00865970"/>
    <w:rsid w:val="00870907"/>
    <w:rsid w:val="00870F44"/>
    <w:rsid w:val="00873409"/>
    <w:rsid w:val="00876619"/>
    <w:rsid w:val="0087687E"/>
    <w:rsid w:val="00882235"/>
    <w:rsid w:val="00882FFA"/>
    <w:rsid w:val="008830FA"/>
    <w:rsid w:val="00884D70"/>
    <w:rsid w:val="008865E3"/>
    <w:rsid w:val="00886CCF"/>
    <w:rsid w:val="00890F12"/>
    <w:rsid w:val="00892CFE"/>
    <w:rsid w:val="00893CED"/>
    <w:rsid w:val="008942DB"/>
    <w:rsid w:val="00895193"/>
    <w:rsid w:val="008973EA"/>
    <w:rsid w:val="008A2B9B"/>
    <w:rsid w:val="008A6E44"/>
    <w:rsid w:val="008B1403"/>
    <w:rsid w:val="008B241C"/>
    <w:rsid w:val="008B2CCA"/>
    <w:rsid w:val="008B6039"/>
    <w:rsid w:val="008B64E0"/>
    <w:rsid w:val="008C0AE2"/>
    <w:rsid w:val="008C1588"/>
    <w:rsid w:val="008C44F6"/>
    <w:rsid w:val="008C4D7E"/>
    <w:rsid w:val="008C6607"/>
    <w:rsid w:val="008C7E69"/>
    <w:rsid w:val="008D03FC"/>
    <w:rsid w:val="008D07BE"/>
    <w:rsid w:val="008D0E01"/>
    <w:rsid w:val="008D1D07"/>
    <w:rsid w:val="008D3218"/>
    <w:rsid w:val="008D3CD2"/>
    <w:rsid w:val="008D5C7C"/>
    <w:rsid w:val="008D5C7F"/>
    <w:rsid w:val="008D661D"/>
    <w:rsid w:val="008D6624"/>
    <w:rsid w:val="008E2A04"/>
    <w:rsid w:val="008E64AF"/>
    <w:rsid w:val="008EE95A"/>
    <w:rsid w:val="008F039F"/>
    <w:rsid w:val="008F2D58"/>
    <w:rsid w:val="008F2EA8"/>
    <w:rsid w:val="00900D4B"/>
    <w:rsid w:val="00901B65"/>
    <w:rsid w:val="00901C44"/>
    <w:rsid w:val="0090465B"/>
    <w:rsid w:val="00904DEE"/>
    <w:rsid w:val="00906D45"/>
    <w:rsid w:val="00907B6A"/>
    <w:rsid w:val="0091101A"/>
    <w:rsid w:val="00912AE2"/>
    <w:rsid w:val="00912E12"/>
    <w:rsid w:val="00912EB1"/>
    <w:rsid w:val="009139C8"/>
    <w:rsid w:val="00914D1F"/>
    <w:rsid w:val="009168C2"/>
    <w:rsid w:val="0092204B"/>
    <w:rsid w:val="00924A6A"/>
    <w:rsid w:val="009256B4"/>
    <w:rsid w:val="00925A31"/>
    <w:rsid w:val="00926D3B"/>
    <w:rsid w:val="00927D51"/>
    <w:rsid w:val="00930C4F"/>
    <w:rsid w:val="00931AFA"/>
    <w:rsid w:val="00935371"/>
    <w:rsid w:val="00935DFE"/>
    <w:rsid w:val="00936327"/>
    <w:rsid w:val="0094370E"/>
    <w:rsid w:val="009437BE"/>
    <w:rsid w:val="00945347"/>
    <w:rsid w:val="0094639D"/>
    <w:rsid w:val="009518BC"/>
    <w:rsid w:val="009519C5"/>
    <w:rsid w:val="0095281B"/>
    <w:rsid w:val="009528C3"/>
    <w:rsid w:val="00956CDE"/>
    <w:rsid w:val="00960C23"/>
    <w:rsid w:val="00971CA1"/>
    <w:rsid w:val="00972F4A"/>
    <w:rsid w:val="009748BB"/>
    <w:rsid w:val="00974DD0"/>
    <w:rsid w:val="00981902"/>
    <w:rsid w:val="0098464E"/>
    <w:rsid w:val="009852A2"/>
    <w:rsid w:val="009867BE"/>
    <w:rsid w:val="00986D77"/>
    <w:rsid w:val="00986F27"/>
    <w:rsid w:val="00991B6E"/>
    <w:rsid w:val="00994510"/>
    <w:rsid w:val="00994F9F"/>
    <w:rsid w:val="00995607"/>
    <w:rsid w:val="00997820"/>
    <w:rsid w:val="009A1997"/>
    <w:rsid w:val="009A1EA8"/>
    <w:rsid w:val="009A347D"/>
    <w:rsid w:val="009A3D48"/>
    <w:rsid w:val="009A5078"/>
    <w:rsid w:val="009B143B"/>
    <w:rsid w:val="009B2406"/>
    <w:rsid w:val="009B290F"/>
    <w:rsid w:val="009B365A"/>
    <w:rsid w:val="009B4280"/>
    <w:rsid w:val="009B57AB"/>
    <w:rsid w:val="009B60D4"/>
    <w:rsid w:val="009B75E5"/>
    <w:rsid w:val="009C110B"/>
    <w:rsid w:val="009C2E4E"/>
    <w:rsid w:val="009C3EC2"/>
    <w:rsid w:val="009C479F"/>
    <w:rsid w:val="009C5CE0"/>
    <w:rsid w:val="009C6924"/>
    <w:rsid w:val="009D67D7"/>
    <w:rsid w:val="009D7334"/>
    <w:rsid w:val="009D7408"/>
    <w:rsid w:val="009D79BC"/>
    <w:rsid w:val="009E0D4C"/>
    <w:rsid w:val="009E12F4"/>
    <w:rsid w:val="009E3E03"/>
    <w:rsid w:val="009E46CB"/>
    <w:rsid w:val="009F0EB6"/>
    <w:rsid w:val="009F4635"/>
    <w:rsid w:val="009F4B31"/>
    <w:rsid w:val="00A00711"/>
    <w:rsid w:val="00A00DB1"/>
    <w:rsid w:val="00A00F31"/>
    <w:rsid w:val="00A0126A"/>
    <w:rsid w:val="00A023DF"/>
    <w:rsid w:val="00A02F30"/>
    <w:rsid w:val="00A0440E"/>
    <w:rsid w:val="00A0580B"/>
    <w:rsid w:val="00A1169A"/>
    <w:rsid w:val="00A125F1"/>
    <w:rsid w:val="00A12834"/>
    <w:rsid w:val="00A13EB9"/>
    <w:rsid w:val="00A14065"/>
    <w:rsid w:val="00A1568E"/>
    <w:rsid w:val="00A20061"/>
    <w:rsid w:val="00A2007B"/>
    <w:rsid w:val="00A210AA"/>
    <w:rsid w:val="00A221D4"/>
    <w:rsid w:val="00A2535A"/>
    <w:rsid w:val="00A25E64"/>
    <w:rsid w:val="00A26CA6"/>
    <w:rsid w:val="00A300A6"/>
    <w:rsid w:val="00A30B0F"/>
    <w:rsid w:val="00A31E92"/>
    <w:rsid w:val="00A32561"/>
    <w:rsid w:val="00A32832"/>
    <w:rsid w:val="00A347A3"/>
    <w:rsid w:val="00A36844"/>
    <w:rsid w:val="00A37711"/>
    <w:rsid w:val="00A41586"/>
    <w:rsid w:val="00A41CCA"/>
    <w:rsid w:val="00A43211"/>
    <w:rsid w:val="00A4350A"/>
    <w:rsid w:val="00A43895"/>
    <w:rsid w:val="00A4604E"/>
    <w:rsid w:val="00A47C0D"/>
    <w:rsid w:val="00A51172"/>
    <w:rsid w:val="00A567E3"/>
    <w:rsid w:val="00A60944"/>
    <w:rsid w:val="00A61149"/>
    <w:rsid w:val="00A641A3"/>
    <w:rsid w:val="00A64716"/>
    <w:rsid w:val="00A64827"/>
    <w:rsid w:val="00A67C6E"/>
    <w:rsid w:val="00A7375A"/>
    <w:rsid w:val="00A756E2"/>
    <w:rsid w:val="00A76E45"/>
    <w:rsid w:val="00A82A2D"/>
    <w:rsid w:val="00A900BC"/>
    <w:rsid w:val="00A91EF1"/>
    <w:rsid w:val="00A92793"/>
    <w:rsid w:val="00A9372D"/>
    <w:rsid w:val="00A96FF2"/>
    <w:rsid w:val="00AA2EE5"/>
    <w:rsid w:val="00AA38FE"/>
    <w:rsid w:val="00AA55F5"/>
    <w:rsid w:val="00AA7968"/>
    <w:rsid w:val="00AB11CE"/>
    <w:rsid w:val="00AB15A3"/>
    <w:rsid w:val="00AB186A"/>
    <w:rsid w:val="00AB19AE"/>
    <w:rsid w:val="00AB2C6A"/>
    <w:rsid w:val="00AB75BA"/>
    <w:rsid w:val="00AC04E2"/>
    <w:rsid w:val="00AC07BA"/>
    <w:rsid w:val="00AC2E47"/>
    <w:rsid w:val="00AC2EDA"/>
    <w:rsid w:val="00AC4A82"/>
    <w:rsid w:val="00AC4D7C"/>
    <w:rsid w:val="00AC6162"/>
    <w:rsid w:val="00AC6610"/>
    <w:rsid w:val="00AC79A8"/>
    <w:rsid w:val="00AD1FA8"/>
    <w:rsid w:val="00AD2566"/>
    <w:rsid w:val="00AD4101"/>
    <w:rsid w:val="00AE11B8"/>
    <w:rsid w:val="00AE169F"/>
    <w:rsid w:val="00AEA829"/>
    <w:rsid w:val="00AF417F"/>
    <w:rsid w:val="00AF6549"/>
    <w:rsid w:val="00AF796D"/>
    <w:rsid w:val="00AF7CF0"/>
    <w:rsid w:val="00B00EDC"/>
    <w:rsid w:val="00B019CE"/>
    <w:rsid w:val="00B0642D"/>
    <w:rsid w:val="00B06F1E"/>
    <w:rsid w:val="00B0719E"/>
    <w:rsid w:val="00B076F6"/>
    <w:rsid w:val="00B1179E"/>
    <w:rsid w:val="00B14190"/>
    <w:rsid w:val="00B14C36"/>
    <w:rsid w:val="00B14D29"/>
    <w:rsid w:val="00B17249"/>
    <w:rsid w:val="00B211A2"/>
    <w:rsid w:val="00B21D2A"/>
    <w:rsid w:val="00B225ED"/>
    <w:rsid w:val="00B24200"/>
    <w:rsid w:val="00B26691"/>
    <w:rsid w:val="00B26E08"/>
    <w:rsid w:val="00B30AEC"/>
    <w:rsid w:val="00B33838"/>
    <w:rsid w:val="00B368CE"/>
    <w:rsid w:val="00B36C4D"/>
    <w:rsid w:val="00B40BE3"/>
    <w:rsid w:val="00B40E54"/>
    <w:rsid w:val="00B41E20"/>
    <w:rsid w:val="00B41EF6"/>
    <w:rsid w:val="00B43714"/>
    <w:rsid w:val="00B45E7C"/>
    <w:rsid w:val="00B470C5"/>
    <w:rsid w:val="00B51171"/>
    <w:rsid w:val="00B51AE8"/>
    <w:rsid w:val="00B5236E"/>
    <w:rsid w:val="00B54D89"/>
    <w:rsid w:val="00B560EB"/>
    <w:rsid w:val="00B63641"/>
    <w:rsid w:val="00B704E2"/>
    <w:rsid w:val="00B7182B"/>
    <w:rsid w:val="00B71CE1"/>
    <w:rsid w:val="00B73435"/>
    <w:rsid w:val="00B743D9"/>
    <w:rsid w:val="00B8231B"/>
    <w:rsid w:val="00B82FF7"/>
    <w:rsid w:val="00B930C6"/>
    <w:rsid w:val="00B94DD4"/>
    <w:rsid w:val="00B955B7"/>
    <w:rsid w:val="00B97017"/>
    <w:rsid w:val="00B97925"/>
    <w:rsid w:val="00BA153B"/>
    <w:rsid w:val="00BA1A27"/>
    <w:rsid w:val="00BA1C02"/>
    <w:rsid w:val="00BA3B08"/>
    <w:rsid w:val="00BA3BDA"/>
    <w:rsid w:val="00BA6EDB"/>
    <w:rsid w:val="00BA715C"/>
    <w:rsid w:val="00BB18BC"/>
    <w:rsid w:val="00BB2447"/>
    <w:rsid w:val="00BB2455"/>
    <w:rsid w:val="00BB2D5A"/>
    <w:rsid w:val="00BB5CBD"/>
    <w:rsid w:val="00BB63F2"/>
    <w:rsid w:val="00BB7A49"/>
    <w:rsid w:val="00BC043E"/>
    <w:rsid w:val="00BC0E85"/>
    <w:rsid w:val="00BC47EC"/>
    <w:rsid w:val="00BD0386"/>
    <w:rsid w:val="00BD0F75"/>
    <w:rsid w:val="00BD27BE"/>
    <w:rsid w:val="00BD31D8"/>
    <w:rsid w:val="00BD510E"/>
    <w:rsid w:val="00BE07B9"/>
    <w:rsid w:val="00BE0C48"/>
    <w:rsid w:val="00BE2524"/>
    <w:rsid w:val="00BE3862"/>
    <w:rsid w:val="00BE3975"/>
    <w:rsid w:val="00BE613C"/>
    <w:rsid w:val="00BF0943"/>
    <w:rsid w:val="00BF11A6"/>
    <w:rsid w:val="00BF161F"/>
    <w:rsid w:val="00BF203D"/>
    <w:rsid w:val="00BF2E34"/>
    <w:rsid w:val="00BF4564"/>
    <w:rsid w:val="00BF5688"/>
    <w:rsid w:val="00BF5699"/>
    <w:rsid w:val="00BF645B"/>
    <w:rsid w:val="00BF74DB"/>
    <w:rsid w:val="00BF7BC2"/>
    <w:rsid w:val="00C002AA"/>
    <w:rsid w:val="00C007D3"/>
    <w:rsid w:val="00C025EB"/>
    <w:rsid w:val="00C03C05"/>
    <w:rsid w:val="00C04155"/>
    <w:rsid w:val="00C043E4"/>
    <w:rsid w:val="00C04DE8"/>
    <w:rsid w:val="00C115BD"/>
    <w:rsid w:val="00C126C1"/>
    <w:rsid w:val="00C12A74"/>
    <w:rsid w:val="00C1533D"/>
    <w:rsid w:val="00C15B6E"/>
    <w:rsid w:val="00C15D89"/>
    <w:rsid w:val="00C15FE8"/>
    <w:rsid w:val="00C165F7"/>
    <w:rsid w:val="00C223EA"/>
    <w:rsid w:val="00C26797"/>
    <w:rsid w:val="00C26CBD"/>
    <w:rsid w:val="00C30523"/>
    <w:rsid w:val="00C309A4"/>
    <w:rsid w:val="00C32153"/>
    <w:rsid w:val="00C32345"/>
    <w:rsid w:val="00C33F1D"/>
    <w:rsid w:val="00C340DE"/>
    <w:rsid w:val="00C34DC5"/>
    <w:rsid w:val="00C36918"/>
    <w:rsid w:val="00C36F42"/>
    <w:rsid w:val="00C377CD"/>
    <w:rsid w:val="00C40809"/>
    <w:rsid w:val="00C40813"/>
    <w:rsid w:val="00C41D43"/>
    <w:rsid w:val="00C4496C"/>
    <w:rsid w:val="00C45B85"/>
    <w:rsid w:val="00C50C22"/>
    <w:rsid w:val="00C516D6"/>
    <w:rsid w:val="00C536D0"/>
    <w:rsid w:val="00C5559B"/>
    <w:rsid w:val="00C57268"/>
    <w:rsid w:val="00C6146A"/>
    <w:rsid w:val="00C61D72"/>
    <w:rsid w:val="00C64987"/>
    <w:rsid w:val="00C652FC"/>
    <w:rsid w:val="00C65396"/>
    <w:rsid w:val="00C65411"/>
    <w:rsid w:val="00C659E2"/>
    <w:rsid w:val="00C66952"/>
    <w:rsid w:val="00C73194"/>
    <w:rsid w:val="00C73B3D"/>
    <w:rsid w:val="00C73EC0"/>
    <w:rsid w:val="00C74B48"/>
    <w:rsid w:val="00C75417"/>
    <w:rsid w:val="00C76F98"/>
    <w:rsid w:val="00C8011E"/>
    <w:rsid w:val="00C80254"/>
    <w:rsid w:val="00C8512D"/>
    <w:rsid w:val="00C85203"/>
    <w:rsid w:val="00C85766"/>
    <w:rsid w:val="00C87247"/>
    <w:rsid w:val="00C908D8"/>
    <w:rsid w:val="00C90AAF"/>
    <w:rsid w:val="00C9140C"/>
    <w:rsid w:val="00C92413"/>
    <w:rsid w:val="00CA467C"/>
    <w:rsid w:val="00CA6277"/>
    <w:rsid w:val="00CA64E4"/>
    <w:rsid w:val="00CB1864"/>
    <w:rsid w:val="00CB2C97"/>
    <w:rsid w:val="00CB3392"/>
    <w:rsid w:val="00CB3EE4"/>
    <w:rsid w:val="00CB5ABD"/>
    <w:rsid w:val="00CB63F5"/>
    <w:rsid w:val="00CB6CE6"/>
    <w:rsid w:val="00CC153F"/>
    <w:rsid w:val="00CC27F5"/>
    <w:rsid w:val="00CC2E49"/>
    <w:rsid w:val="00CC3257"/>
    <w:rsid w:val="00CC42D5"/>
    <w:rsid w:val="00CC45D1"/>
    <w:rsid w:val="00CC6CBD"/>
    <w:rsid w:val="00CC6DC5"/>
    <w:rsid w:val="00CD0BA0"/>
    <w:rsid w:val="00CD1E69"/>
    <w:rsid w:val="00CD1F6B"/>
    <w:rsid w:val="00CD2541"/>
    <w:rsid w:val="00CD4599"/>
    <w:rsid w:val="00CD4C56"/>
    <w:rsid w:val="00CD565A"/>
    <w:rsid w:val="00CE02A0"/>
    <w:rsid w:val="00CE1B59"/>
    <w:rsid w:val="00CE32DD"/>
    <w:rsid w:val="00CE4F80"/>
    <w:rsid w:val="00CE5633"/>
    <w:rsid w:val="00CE59F5"/>
    <w:rsid w:val="00CE7D77"/>
    <w:rsid w:val="00CF0B56"/>
    <w:rsid w:val="00CF18E8"/>
    <w:rsid w:val="00CF2A7F"/>
    <w:rsid w:val="00CF524D"/>
    <w:rsid w:val="00CF620D"/>
    <w:rsid w:val="00CF6385"/>
    <w:rsid w:val="00D0052B"/>
    <w:rsid w:val="00D0102A"/>
    <w:rsid w:val="00D017A8"/>
    <w:rsid w:val="00D044C6"/>
    <w:rsid w:val="00D05CC0"/>
    <w:rsid w:val="00D06331"/>
    <w:rsid w:val="00D06BAE"/>
    <w:rsid w:val="00D11D81"/>
    <w:rsid w:val="00D13383"/>
    <w:rsid w:val="00D13584"/>
    <w:rsid w:val="00D149D2"/>
    <w:rsid w:val="00D22D1A"/>
    <w:rsid w:val="00D26694"/>
    <w:rsid w:val="00D27B44"/>
    <w:rsid w:val="00D30B89"/>
    <w:rsid w:val="00D3233D"/>
    <w:rsid w:val="00D33A43"/>
    <w:rsid w:val="00D363FC"/>
    <w:rsid w:val="00D3671F"/>
    <w:rsid w:val="00D36B0D"/>
    <w:rsid w:val="00D3760C"/>
    <w:rsid w:val="00D37CC6"/>
    <w:rsid w:val="00D43F9C"/>
    <w:rsid w:val="00D44101"/>
    <w:rsid w:val="00D44A13"/>
    <w:rsid w:val="00D475E4"/>
    <w:rsid w:val="00D51688"/>
    <w:rsid w:val="00D54F8D"/>
    <w:rsid w:val="00D61ABB"/>
    <w:rsid w:val="00D62CB1"/>
    <w:rsid w:val="00D65241"/>
    <w:rsid w:val="00D664FD"/>
    <w:rsid w:val="00D66F9D"/>
    <w:rsid w:val="00D67A81"/>
    <w:rsid w:val="00D732AA"/>
    <w:rsid w:val="00D744DA"/>
    <w:rsid w:val="00D7693E"/>
    <w:rsid w:val="00D77B8A"/>
    <w:rsid w:val="00D8035A"/>
    <w:rsid w:val="00D86082"/>
    <w:rsid w:val="00D906CB"/>
    <w:rsid w:val="00D944D8"/>
    <w:rsid w:val="00D952E7"/>
    <w:rsid w:val="00D969FA"/>
    <w:rsid w:val="00DA02DE"/>
    <w:rsid w:val="00DA3CC6"/>
    <w:rsid w:val="00DA41EF"/>
    <w:rsid w:val="00DA4C07"/>
    <w:rsid w:val="00DA7039"/>
    <w:rsid w:val="00DA7BF0"/>
    <w:rsid w:val="00DB0161"/>
    <w:rsid w:val="00DB06C5"/>
    <w:rsid w:val="00DB0976"/>
    <w:rsid w:val="00DB0B35"/>
    <w:rsid w:val="00DB0DC4"/>
    <w:rsid w:val="00DB2F11"/>
    <w:rsid w:val="00DB3551"/>
    <w:rsid w:val="00DB4FC8"/>
    <w:rsid w:val="00DB748A"/>
    <w:rsid w:val="00DB76ED"/>
    <w:rsid w:val="00DC0335"/>
    <w:rsid w:val="00DC3319"/>
    <w:rsid w:val="00DC4356"/>
    <w:rsid w:val="00DC5047"/>
    <w:rsid w:val="00DD1585"/>
    <w:rsid w:val="00DD2236"/>
    <w:rsid w:val="00DD29CA"/>
    <w:rsid w:val="00DD3C3C"/>
    <w:rsid w:val="00DD590C"/>
    <w:rsid w:val="00DD7F54"/>
    <w:rsid w:val="00DE2119"/>
    <w:rsid w:val="00DE2905"/>
    <w:rsid w:val="00DE3C5A"/>
    <w:rsid w:val="00DE4A18"/>
    <w:rsid w:val="00DE62D7"/>
    <w:rsid w:val="00DE7430"/>
    <w:rsid w:val="00DF3498"/>
    <w:rsid w:val="00DF699C"/>
    <w:rsid w:val="00E0155A"/>
    <w:rsid w:val="00E02F2F"/>
    <w:rsid w:val="00E032CA"/>
    <w:rsid w:val="00E0407A"/>
    <w:rsid w:val="00E0475F"/>
    <w:rsid w:val="00E05D13"/>
    <w:rsid w:val="00E101BA"/>
    <w:rsid w:val="00E10689"/>
    <w:rsid w:val="00E11400"/>
    <w:rsid w:val="00E12ED6"/>
    <w:rsid w:val="00E16E88"/>
    <w:rsid w:val="00E22C0B"/>
    <w:rsid w:val="00E23D10"/>
    <w:rsid w:val="00E266E0"/>
    <w:rsid w:val="00E308E7"/>
    <w:rsid w:val="00E320A5"/>
    <w:rsid w:val="00E33A55"/>
    <w:rsid w:val="00E36083"/>
    <w:rsid w:val="00E362E4"/>
    <w:rsid w:val="00E37ED7"/>
    <w:rsid w:val="00E4012C"/>
    <w:rsid w:val="00E409EA"/>
    <w:rsid w:val="00E40E32"/>
    <w:rsid w:val="00E45883"/>
    <w:rsid w:val="00E46282"/>
    <w:rsid w:val="00E5022A"/>
    <w:rsid w:val="00E5079E"/>
    <w:rsid w:val="00E519C7"/>
    <w:rsid w:val="00E53EED"/>
    <w:rsid w:val="00E56FB0"/>
    <w:rsid w:val="00E608CD"/>
    <w:rsid w:val="00E62E28"/>
    <w:rsid w:val="00E6367E"/>
    <w:rsid w:val="00E640AD"/>
    <w:rsid w:val="00E6493F"/>
    <w:rsid w:val="00E65A45"/>
    <w:rsid w:val="00E70EBF"/>
    <w:rsid w:val="00E72D18"/>
    <w:rsid w:val="00E72EFD"/>
    <w:rsid w:val="00E7355A"/>
    <w:rsid w:val="00E740DC"/>
    <w:rsid w:val="00E75E7B"/>
    <w:rsid w:val="00E76195"/>
    <w:rsid w:val="00E80680"/>
    <w:rsid w:val="00E80B70"/>
    <w:rsid w:val="00E810E0"/>
    <w:rsid w:val="00E81A7D"/>
    <w:rsid w:val="00E82062"/>
    <w:rsid w:val="00E84C55"/>
    <w:rsid w:val="00E850B2"/>
    <w:rsid w:val="00E86228"/>
    <w:rsid w:val="00E86B4E"/>
    <w:rsid w:val="00E872D6"/>
    <w:rsid w:val="00E905DF"/>
    <w:rsid w:val="00E90AEB"/>
    <w:rsid w:val="00E92EB1"/>
    <w:rsid w:val="00E932F4"/>
    <w:rsid w:val="00E934F9"/>
    <w:rsid w:val="00E95853"/>
    <w:rsid w:val="00E9595D"/>
    <w:rsid w:val="00EA23CB"/>
    <w:rsid w:val="00EA2688"/>
    <w:rsid w:val="00EA3E71"/>
    <w:rsid w:val="00EA400D"/>
    <w:rsid w:val="00EA57C1"/>
    <w:rsid w:val="00EA63F9"/>
    <w:rsid w:val="00EA6D29"/>
    <w:rsid w:val="00EA75DF"/>
    <w:rsid w:val="00EB4B18"/>
    <w:rsid w:val="00EB4CB0"/>
    <w:rsid w:val="00EB5F88"/>
    <w:rsid w:val="00EB6ED4"/>
    <w:rsid w:val="00EC0DA0"/>
    <w:rsid w:val="00EC23DD"/>
    <w:rsid w:val="00EC5F57"/>
    <w:rsid w:val="00EC7C51"/>
    <w:rsid w:val="00ED0885"/>
    <w:rsid w:val="00ED129F"/>
    <w:rsid w:val="00ED2E0A"/>
    <w:rsid w:val="00ED45EC"/>
    <w:rsid w:val="00ED51A4"/>
    <w:rsid w:val="00EE0B4E"/>
    <w:rsid w:val="00EE101D"/>
    <w:rsid w:val="00EE108D"/>
    <w:rsid w:val="00EE2094"/>
    <w:rsid w:val="00EE38F0"/>
    <w:rsid w:val="00EE44F3"/>
    <w:rsid w:val="00EE4BA2"/>
    <w:rsid w:val="00EE5248"/>
    <w:rsid w:val="00EE5AB8"/>
    <w:rsid w:val="00EE5BAE"/>
    <w:rsid w:val="00EE72D7"/>
    <w:rsid w:val="00EE7F92"/>
    <w:rsid w:val="00EF15A6"/>
    <w:rsid w:val="00EF2E21"/>
    <w:rsid w:val="00EF4DA3"/>
    <w:rsid w:val="00EF6BE1"/>
    <w:rsid w:val="00EF7EA3"/>
    <w:rsid w:val="00F0066D"/>
    <w:rsid w:val="00F0139F"/>
    <w:rsid w:val="00F0176C"/>
    <w:rsid w:val="00F0186E"/>
    <w:rsid w:val="00F0226E"/>
    <w:rsid w:val="00F0446A"/>
    <w:rsid w:val="00F0555F"/>
    <w:rsid w:val="00F05A3D"/>
    <w:rsid w:val="00F10930"/>
    <w:rsid w:val="00F125D6"/>
    <w:rsid w:val="00F1537E"/>
    <w:rsid w:val="00F16FDF"/>
    <w:rsid w:val="00F17CC4"/>
    <w:rsid w:val="00F17F72"/>
    <w:rsid w:val="00F22F7A"/>
    <w:rsid w:val="00F255A8"/>
    <w:rsid w:val="00F27A0F"/>
    <w:rsid w:val="00F27D6F"/>
    <w:rsid w:val="00F27FC1"/>
    <w:rsid w:val="00F30C2B"/>
    <w:rsid w:val="00F3698D"/>
    <w:rsid w:val="00F50547"/>
    <w:rsid w:val="00F51700"/>
    <w:rsid w:val="00F5217B"/>
    <w:rsid w:val="00F53D1F"/>
    <w:rsid w:val="00F54C51"/>
    <w:rsid w:val="00F556A8"/>
    <w:rsid w:val="00F57A84"/>
    <w:rsid w:val="00F57D0B"/>
    <w:rsid w:val="00F614FA"/>
    <w:rsid w:val="00F6173E"/>
    <w:rsid w:val="00F63599"/>
    <w:rsid w:val="00F64613"/>
    <w:rsid w:val="00F66DA3"/>
    <w:rsid w:val="00F66EB0"/>
    <w:rsid w:val="00F67001"/>
    <w:rsid w:val="00F670D0"/>
    <w:rsid w:val="00F70B9C"/>
    <w:rsid w:val="00F71690"/>
    <w:rsid w:val="00F716A5"/>
    <w:rsid w:val="00F75F36"/>
    <w:rsid w:val="00F76116"/>
    <w:rsid w:val="00F8084F"/>
    <w:rsid w:val="00F808DB"/>
    <w:rsid w:val="00F81397"/>
    <w:rsid w:val="00F8153C"/>
    <w:rsid w:val="00F81C10"/>
    <w:rsid w:val="00F86237"/>
    <w:rsid w:val="00F876C0"/>
    <w:rsid w:val="00F876FF"/>
    <w:rsid w:val="00F915F8"/>
    <w:rsid w:val="00F95EC9"/>
    <w:rsid w:val="00F96618"/>
    <w:rsid w:val="00FA3551"/>
    <w:rsid w:val="00FA3611"/>
    <w:rsid w:val="00FA4DB1"/>
    <w:rsid w:val="00FA52F9"/>
    <w:rsid w:val="00FA54A1"/>
    <w:rsid w:val="00FA6608"/>
    <w:rsid w:val="00FB22F4"/>
    <w:rsid w:val="00FB3347"/>
    <w:rsid w:val="00FB3970"/>
    <w:rsid w:val="00FB3A5E"/>
    <w:rsid w:val="00FB7F3A"/>
    <w:rsid w:val="00FC29BE"/>
    <w:rsid w:val="00FC39BE"/>
    <w:rsid w:val="00FC5491"/>
    <w:rsid w:val="00FC5EB7"/>
    <w:rsid w:val="00FC6CDA"/>
    <w:rsid w:val="00FC6D75"/>
    <w:rsid w:val="00FC7DD1"/>
    <w:rsid w:val="00FC7F1B"/>
    <w:rsid w:val="00FD13A1"/>
    <w:rsid w:val="00FD279C"/>
    <w:rsid w:val="00FD4C36"/>
    <w:rsid w:val="00FE2CB9"/>
    <w:rsid w:val="00FE3387"/>
    <w:rsid w:val="00FE4A26"/>
    <w:rsid w:val="00FE5E9A"/>
    <w:rsid w:val="00FE6D9F"/>
    <w:rsid w:val="00FE6F86"/>
    <w:rsid w:val="00FF01D6"/>
    <w:rsid w:val="00FF0912"/>
    <w:rsid w:val="00FF3E52"/>
    <w:rsid w:val="00FF6225"/>
    <w:rsid w:val="00FF643F"/>
    <w:rsid w:val="00FF729E"/>
    <w:rsid w:val="010F95A0"/>
    <w:rsid w:val="01354FBE"/>
    <w:rsid w:val="014E2A1D"/>
    <w:rsid w:val="016A0012"/>
    <w:rsid w:val="01B72667"/>
    <w:rsid w:val="01D803D5"/>
    <w:rsid w:val="01EECB9B"/>
    <w:rsid w:val="01FD52E6"/>
    <w:rsid w:val="021572E0"/>
    <w:rsid w:val="024794E6"/>
    <w:rsid w:val="025DC305"/>
    <w:rsid w:val="02627BF2"/>
    <w:rsid w:val="0276A518"/>
    <w:rsid w:val="032AB0B7"/>
    <w:rsid w:val="0365F9C6"/>
    <w:rsid w:val="038A29AC"/>
    <w:rsid w:val="03D55B82"/>
    <w:rsid w:val="03E420D6"/>
    <w:rsid w:val="041C3F7C"/>
    <w:rsid w:val="0486A4AC"/>
    <w:rsid w:val="049D6C42"/>
    <w:rsid w:val="04FAB87F"/>
    <w:rsid w:val="054F52DE"/>
    <w:rsid w:val="058F04C5"/>
    <w:rsid w:val="05E820D9"/>
    <w:rsid w:val="0612D281"/>
    <w:rsid w:val="0638CAD1"/>
    <w:rsid w:val="06712322"/>
    <w:rsid w:val="067298C4"/>
    <w:rsid w:val="071AE0CD"/>
    <w:rsid w:val="077D39A5"/>
    <w:rsid w:val="078E133F"/>
    <w:rsid w:val="0795F972"/>
    <w:rsid w:val="07A8B192"/>
    <w:rsid w:val="07D50EC8"/>
    <w:rsid w:val="08380864"/>
    <w:rsid w:val="0839CEFA"/>
    <w:rsid w:val="08579715"/>
    <w:rsid w:val="0871A26F"/>
    <w:rsid w:val="08A688A1"/>
    <w:rsid w:val="090AEE13"/>
    <w:rsid w:val="0923D1BE"/>
    <w:rsid w:val="09302B51"/>
    <w:rsid w:val="0977C9CB"/>
    <w:rsid w:val="09839D1E"/>
    <w:rsid w:val="09E21825"/>
    <w:rsid w:val="0A5A50C4"/>
    <w:rsid w:val="0A8A302B"/>
    <w:rsid w:val="0AA89DF6"/>
    <w:rsid w:val="0B6330B3"/>
    <w:rsid w:val="0B6A756A"/>
    <w:rsid w:val="0CC7AE42"/>
    <w:rsid w:val="0CEEDB63"/>
    <w:rsid w:val="0D0899CE"/>
    <w:rsid w:val="0D126818"/>
    <w:rsid w:val="0D1D7E7F"/>
    <w:rsid w:val="0D8F5185"/>
    <w:rsid w:val="0D97129D"/>
    <w:rsid w:val="0DB198C3"/>
    <w:rsid w:val="0DCCDE33"/>
    <w:rsid w:val="0DF38904"/>
    <w:rsid w:val="0E06A75F"/>
    <w:rsid w:val="0E250A08"/>
    <w:rsid w:val="0E36CBDC"/>
    <w:rsid w:val="0EC747DB"/>
    <w:rsid w:val="0F14E56A"/>
    <w:rsid w:val="0F6192E7"/>
    <w:rsid w:val="0F8EC799"/>
    <w:rsid w:val="0F95B17F"/>
    <w:rsid w:val="0FAB54D6"/>
    <w:rsid w:val="103B7FDA"/>
    <w:rsid w:val="1087CCB5"/>
    <w:rsid w:val="10C9447F"/>
    <w:rsid w:val="1110DE52"/>
    <w:rsid w:val="115EA7EF"/>
    <w:rsid w:val="11F1A381"/>
    <w:rsid w:val="12020268"/>
    <w:rsid w:val="12258858"/>
    <w:rsid w:val="1251196A"/>
    <w:rsid w:val="1345F512"/>
    <w:rsid w:val="13857B8D"/>
    <w:rsid w:val="13955783"/>
    <w:rsid w:val="13B5A2B2"/>
    <w:rsid w:val="13D9207D"/>
    <w:rsid w:val="13DB0A5A"/>
    <w:rsid w:val="1403423F"/>
    <w:rsid w:val="14A50438"/>
    <w:rsid w:val="1549C132"/>
    <w:rsid w:val="1584F9F7"/>
    <w:rsid w:val="15A543BD"/>
    <w:rsid w:val="15DD56F5"/>
    <w:rsid w:val="15DFC361"/>
    <w:rsid w:val="15E8C1F3"/>
    <w:rsid w:val="1621699A"/>
    <w:rsid w:val="16254A6B"/>
    <w:rsid w:val="165A7218"/>
    <w:rsid w:val="16C76A25"/>
    <w:rsid w:val="16DBF367"/>
    <w:rsid w:val="16FBCE83"/>
    <w:rsid w:val="17072851"/>
    <w:rsid w:val="1763254E"/>
    <w:rsid w:val="17D2D09F"/>
    <w:rsid w:val="18374B6A"/>
    <w:rsid w:val="188A12C4"/>
    <w:rsid w:val="189928B0"/>
    <w:rsid w:val="18B53273"/>
    <w:rsid w:val="18C091C9"/>
    <w:rsid w:val="18F3DA33"/>
    <w:rsid w:val="18F95D91"/>
    <w:rsid w:val="1912F7DA"/>
    <w:rsid w:val="19409A69"/>
    <w:rsid w:val="1968A28A"/>
    <w:rsid w:val="19AA3CAD"/>
    <w:rsid w:val="19C77E9C"/>
    <w:rsid w:val="1A07AE5D"/>
    <w:rsid w:val="1A284B10"/>
    <w:rsid w:val="1A300936"/>
    <w:rsid w:val="1A48EF35"/>
    <w:rsid w:val="1A86F146"/>
    <w:rsid w:val="1A935924"/>
    <w:rsid w:val="1A98DA5F"/>
    <w:rsid w:val="1AC4F9CA"/>
    <w:rsid w:val="1B5055EF"/>
    <w:rsid w:val="1B877C48"/>
    <w:rsid w:val="1BDA43EF"/>
    <w:rsid w:val="1BE9AE06"/>
    <w:rsid w:val="1C0ECCCB"/>
    <w:rsid w:val="1C223D99"/>
    <w:rsid w:val="1C3BCF86"/>
    <w:rsid w:val="1C3F4453"/>
    <w:rsid w:val="1C771015"/>
    <w:rsid w:val="1CB4C102"/>
    <w:rsid w:val="1CBD7B2D"/>
    <w:rsid w:val="1CD5DB83"/>
    <w:rsid w:val="1CEA61E7"/>
    <w:rsid w:val="1CF0378B"/>
    <w:rsid w:val="1CF0FE1B"/>
    <w:rsid w:val="1D1198A4"/>
    <w:rsid w:val="1D201F59"/>
    <w:rsid w:val="1D8F7451"/>
    <w:rsid w:val="1DB644D9"/>
    <w:rsid w:val="1E010BB0"/>
    <w:rsid w:val="1E401AD9"/>
    <w:rsid w:val="1E843841"/>
    <w:rsid w:val="1EB91B68"/>
    <w:rsid w:val="1F1FB05E"/>
    <w:rsid w:val="1F3367AD"/>
    <w:rsid w:val="1F6D23C5"/>
    <w:rsid w:val="20189C0F"/>
    <w:rsid w:val="205FF047"/>
    <w:rsid w:val="20648CC7"/>
    <w:rsid w:val="206DA6F9"/>
    <w:rsid w:val="213E37CE"/>
    <w:rsid w:val="216411BC"/>
    <w:rsid w:val="21B0745C"/>
    <w:rsid w:val="21BCF646"/>
    <w:rsid w:val="21CD460C"/>
    <w:rsid w:val="21D45A55"/>
    <w:rsid w:val="21D70F9B"/>
    <w:rsid w:val="21F04140"/>
    <w:rsid w:val="21FC4429"/>
    <w:rsid w:val="22217002"/>
    <w:rsid w:val="224451BE"/>
    <w:rsid w:val="22530D78"/>
    <w:rsid w:val="22643A90"/>
    <w:rsid w:val="228AD531"/>
    <w:rsid w:val="22EDA3BA"/>
    <w:rsid w:val="231C3879"/>
    <w:rsid w:val="232FFFBD"/>
    <w:rsid w:val="2384D490"/>
    <w:rsid w:val="23C1D745"/>
    <w:rsid w:val="2429A91E"/>
    <w:rsid w:val="244001BE"/>
    <w:rsid w:val="2456C614"/>
    <w:rsid w:val="24AB12F9"/>
    <w:rsid w:val="24C59D15"/>
    <w:rsid w:val="25309EE6"/>
    <w:rsid w:val="254ACCD3"/>
    <w:rsid w:val="25887F2A"/>
    <w:rsid w:val="25A4FC9B"/>
    <w:rsid w:val="25A67FA7"/>
    <w:rsid w:val="25AC9CEF"/>
    <w:rsid w:val="25C75A1C"/>
    <w:rsid w:val="25E25DE4"/>
    <w:rsid w:val="26299791"/>
    <w:rsid w:val="267E552C"/>
    <w:rsid w:val="2699058D"/>
    <w:rsid w:val="27DCD824"/>
    <w:rsid w:val="27EE25D0"/>
    <w:rsid w:val="285979CE"/>
    <w:rsid w:val="28885613"/>
    <w:rsid w:val="2932A730"/>
    <w:rsid w:val="293F514D"/>
    <w:rsid w:val="2961D73F"/>
    <w:rsid w:val="29A0FBA5"/>
    <w:rsid w:val="29AA4C56"/>
    <w:rsid w:val="29E57805"/>
    <w:rsid w:val="29E5C99E"/>
    <w:rsid w:val="29FAC4A4"/>
    <w:rsid w:val="29FE0CA8"/>
    <w:rsid w:val="2A2C1D00"/>
    <w:rsid w:val="2A623E38"/>
    <w:rsid w:val="2A7C6785"/>
    <w:rsid w:val="2A995CDE"/>
    <w:rsid w:val="2A9F7579"/>
    <w:rsid w:val="2AB7074A"/>
    <w:rsid w:val="2ABB2A9D"/>
    <w:rsid w:val="2B49AE9E"/>
    <w:rsid w:val="2B500F23"/>
    <w:rsid w:val="2B7470EB"/>
    <w:rsid w:val="2B93A6B3"/>
    <w:rsid w:val="2BA51641"/>
    <w:rsid w:val="2C023B37"/>
    <w:rsid w:val="2C0838DF"/>
    <w:rsid w:val="2C6017B8"/>
    <w:rsid w:val="2CA4B58B"/>
    <w:rsid w:val="2CB15BC6"/>
    <w:rsid w:val="2CE8CA97"/>
    <w:rsid w:val="2CF45D16"/>
    <w:rsid w:val="2D332F0A"/>
    <w:rsid w:val="2D342689"/>
    <w:rsid w:val="2D343892"/>
    <w:rsid w:val="2D3B45A6"/>
    <w:rsid w:val="2D60FFF7"/>
    <w:rsid w:val="2E11D971"/>
    <w:rsid w:val="2E6BBBB1"/>
    <w:rsid w:val="2EA1CBA0"/>
    <w:rsid w:val="2EC7B597"/>
    <w:rsid w:val="2F11C6B5"/>
    <w:rsid w:val="2FE0E670"/>
    <w:rsid w:val="301E962F"/>
    <w:rsid w:val="30A4F55E"/>
    <w:rsid w:val="30ED9CFB"/>
    <w:rsid w:val="30FD1F15"/>
    <w:rsid w:val="3127C1B6"/>
    <w:rsid w:val="3153754B"/>
    <w:rsid w:val="31E6D069"/>
    <w:rsid w:val="3207E4AC"/>
    <w:rsid w:val="3219F2FE"/>
    <w:rsid w:val="327412DB"/>
    <w:rsid w:val="32C731E6"/>
    <w:rsid w:val="3305E6E9"/>
    <w:rsid w:val="3322A7A6"/>
    <w:rsid w:val="3322DF24"/>
    <w:rsid w:val="3374945F"/>
    <w:rsid w:val="33A3E558"/>
    <w:rsid w:val="33D73E6A"/>
    <w:rsid w:val="34012909"/>
    <w:rsid w:val="344DB4E2"/>
    <w:rsid w:val="3468B9F1"/>
    <w:rsid w:val="34BBC0D6"/>
    <w:rsid w:val="34C9F3A3"/>
    <w:rsid w:val="353EAEB8"/>
    <w:rsid w:val="3557968D"/>
    <w:rsid w:val="35B40F04"/>
    <w:rsid w:val="35C37292"/>
    <w:rsid w:val="36844704"/>
    <w:rsid w:val="36A0E50B"/>
    <w:rsid w:val="36A5B1A1"/>
    <w:rsid w:val="36C4AD0D"/>
    <w:rsid w:val="36D91BCA"/>
    <w:rsid w:val="3739E005"/>
    <w:rsid w:val="3767192E"/>
    <w:rsid w:val="376980B9"/>
    <w:rsid w:val="37BA9773"/>
    <w:rsid w:val="37E8A567"/>
    <w:rsid w:val="3818C3F8"/>
    <w:rsid w:val="382B5C17"/>
    <w:rsid w:val="383BB451"/>
    <w:rsid w:val="383D1EEA"/>
    <w:rsid w:val="3873E9F0"/>
    <w:rsid w:val="38A936C7"/>
    <w:rsid w:val="38CF30E9"/>
    <w:rsid w:val="39026D15"/>
    <w:rsid w:val="3924EDF4"/>
    <w:rsid w:val="397B518D"/>
    <w:rsid w:val="398A8B34"/>
    <w:rsid w:val="39961CE9"/>
    <w:rsid w:val="39AE41DB"/>
    <w:rsid w:val="3A4F55C9"/>
    <w:rsid w:val="3A6669C0"/>
    <w:rsid w:val="3A8D0A66"/>
    <w:rsid w:val="3AAD891A"/>
    <w:rsid w:val="3ACEB526"/>
    <w:rsid w:val="3AF9F330"/>
    <w:rsid w:val="3B1C19B4"/>
    <w:rsid w:val="3BD3856D"/>
    <w:rsid w:val="3BF6B37F"/>
    <w:rsid w:val="3C802A20"/>
    <w:rsid w:val="3CAC4191"/>
    <w:rsid w:val="3CE84C4D"/>
    <w:rsid w:val="3D0261D2"/>
    <w:rsid w:val="3D2AD82D"/>
    <w:rsid w:val="3D895F79"/>
    <w:rsid w:val="3DBE4A46"/>
    <w:rsid w:val="3DE88BC1"/>
    <w:rsid w:val="3DEC04BF"/>
    <w:rsid w:val="3E397724"/>
    <w:rsid w:val="3E408861"/>
    <w:rsid w:val="3E46A25B"/>
    <w:rsid w:val="3E6A1C6B"/>
    <w:rsid w:val="3E945117"/>
    <w:rsid w:val="3E956940"/>
    <w:rsid w:val="3E98B412"/>
    <w:rsid w:val="3F106575"/>
    <w:rsid w:val="3F3E784D"/>
    <w:rsid w:val="3F8CE025"/>
    <w:rsid w:val="3FB4A6C1"/>
    <w:rsid w:val="3FD03330"/>
    <w:rsid w:val="3FD8C9CB"/>
    <w:rsid w:val="3FF9B0B1"/>
    <w:rsid w:val="4002F26B"/>
    <w:rsid w:val="400F6D5D"/>
    <w:rsid w:val="4081FF1A"/>
    <w:rsid w:val="40903DFC"/>
    <w:rsid w:val="40B85300"/>
    <w:rsid w:val="40BEBC9C"/>
    <w:rsid w:val="40ED3840"/>
    <w:rsid w:val="40EFC4FC"/>
    <w:rsid w:val="40F01F61"/>
    <w:rsid w:val="4124B254"/>
    <w:rsid w:val="41A3C40D"/>
    <w:rsid w:val="41A497A8"/>
    <w:rsid w:val="41D154A3"/>
    <w:rsid w:val="41D7D216"/>
    <w:rsid w:val="423DF651"/>
    <w:rsid w:val="425E34E5"/>
    <w:rsid w:val="4287CBC7"/>
    <w:rsid w:val="42A0B4C8"/>
    <w:rsid w:val="4360CFA5"/>
    <w:rsid w:val="44C60BE2"/>
    <w:rsid w:val="44E73297"/>
    <w:rsid w:val="4531B086"/>
    <w:rsid w:val="454D953E"/>
    <w:rsid w:val="4554178F"/>
    <w:rsid w:val="4557D5C0"/>
    <w:rsid w:val="45F99891"/>
    <w:rsid w:val="4625A039"/>
    <w:rsid w:val="463DAEC6"/>
    <w:rsid w:val="469FD783"/>
    <w:rsid w:val="47080570"/>
    <w:rsid w:val="474D13E7"/>
    <w:rsid w:val="47CED5EA"/>
    <w:rsid w:val="47FBCC1F"/>
    <w:rsid w:val="4803D747"/>
    <w:rsid w:val="480E3706"/>
    <w:rsid w:val="4832BF7B"/>
    <w:rsid w:val="489550A0"/>
    <w:rsid w:val="48EBA629"/>
    <w:rsid w:val="49439175"/>
    <w:rsid w:val="494E5610"/>
    <w:rsid w:val="49C084E8"/>
    <w:rsid w:val="49F770F8"/>
    <w:rsid w:val="4A055A66"/>
    <w:rsid w:val="4A7F3490"/>
    <w:rsid w:val="4A88FDA6"/>
    <w:rsid w:val="4AD7A663"/>
    <w:rsid w:val="4AF07290"/>
    <w:rsid w:val="4B0F2A84"/>
    <w:rsid w:val="4B46D90B"/>
    <w:rsid w:val="4B8325A9"/>
    <w:rsid w:val="4B94B99F"/>
    <w:rsid w:val="4BB098ED"/>
    <w:rsid w:val="4BDD586A"/>
    <w:rsid w:val="4BF0DFB2"/>
    <w:rsid w:val="4C01B5E2"/>
    <w:rsid w:val="4C2BE3A1"/>
    <w:rsid w:val="4C4A3D46"/>
    <w:rsid w:val="4C6A4111"/>
    <w:rsid w:val="4C717A9B"/>
    <w:rsid w:val="4CF302E2"/>
    <w:rsid w:val="4CF346DB"/>
    <w:rsid w:val="4D3D02C8"/>
    <w:rsid w:val="4D716A39"/>
    <w:rsid w:val="4DA7FA20"/>
    <w:rsid w:val="4E082FAD"/>
    <w:rsid w:val="4E0DD53B"/>
    <w:rsid w:val="4E2E08A6"/>
    <w:rsid w:val="4E3B6398"/>
    <w:rsid w:val="4E64C67F"/>
    <w:rsid w:val="4EE2B537"/>
    <w:rsid w:val="4F43A53A"/>
    <w:rsid w:val="4F44F6B1"/>
    <w:rsid w:val="4F533716"/>
    <w:rsid w:val="4F82144F"/>
    <w:rsid w:val="4F9ADE05"/>
    <w:rsid w:val="4FA9BE2F"/>
    <w:rsid w:val="4FB2A835"/>
    <w:rsid w:val="4FBC6AA3"/>
    <w:rsid w:val="4FC89395"/>
    <w:rsid w:val="4FD7DDF8"/>
    <w:rsid w:val="50227812"/>
    <w:rsid w:val="50818090"/>
    <w:rsid w:val="50972B89"/>
    <w:rsid w:val="50D36E48"/>
    <w:rsid w:val="521476B8"/>
    <w:rsid w:val="52593EB3"/>
    <w:rsid w:val="526A121D"/>
    <w:rsid w:val="5276D311"/>
    <w:rsid w:val="52956323"/>
    <w:rsid w:val="53571E72"/>
    <w:rsid w:val="53DFB444"/>
    <w:rsid w:val="53F2A344"/>
    <w:rsid w:val="54104E86"/>
    <w:rsid w:val="541281F9"/>
    <w:rsid w:val="544C48E7"/>
    <w:rsid w:val="549494A2"/>
    <w:rsid w:val="54E488F5"/>
    <w:rsid w:val="54F56808"/>
    <w:rsid w:val="55279066"/>
    <w:rsid w:val="5542FAB0"/>
    <w:rsid w:val="554953BE"/>
    <w:rsid w:val="558267A8"/>
    <w:rsid w:val="55C12A2D"/>
    <w:rsid w:val="565F4E6F"/>
    <w:rsid w:val="568CA31F"/>
    <w:rsid w:val="56930EB8"/>
    <w:rsid w:val="5697A5E9"/>
    <w:rsid w:val="56B7E4FD"/>
    <w:rsid w:val="56B7F21A"/>
    <w:rsid w:val="579E965E"/>
    <w:rsid w:val="57A6FE6F"/>
    <w:rsid w:val="58224815"/>
    <w:rsid w:val="58460B9E"/>
    <w:rsid w:val="588A0724"/>
    <w:rsid w:val="58F6E80D"/>
    <w:rsid w:val="5983B542"/>
    <w:rsid w:val="59A65A1A"/>
    <w:rsid w:val="59A7E3BB"/>
    <w:rsid w:val="59A8FBA8"/>
    <w:rsid w:val="5A392CC9"/>
    <w:rsid w:val="5A4FDE37"/>
    <w:rsid w:val="5A5186A3"/>
    <w:rsid w:val="5AEEBC78"/>
    <w:rsid w:val="5AF57253"/>
    <w:rsid w:val="5B1E6B8F"/>
    <w:rsid w:val="5B29655C"/>
    <w:rsid w:val="5B4AE3E1"/>
    <w:rsid w:val="5B5C6896"/>
    <w:rsid w:val="5B8C771F"/>
    <w:rsid w:val="5B92EA34"/>
    <w:rsid w:val="5C48E187"/>
    <w:rsid w:val="5CBC3E13"/>
    <w:rsid w:val="5D73D383"/>
    <w:rsid w:val="5D8B5066"/>
    <w:rsid w:val="5DAAFAD6"/>
    <w:rsid w:val="5DD92D93"/>
    <w:rsid w:val="5DDBB4BC"/>
    <w:rsid w:val="5E057A25"/>
    <w:rsid w:val="5E323BFF"/>
    <w:rsid w:val="5EF36DA5"/>
    <w:rsid w:val="5F3AF9FF"/>
    <w:rsid w:val="5F48A1C8"/>
    <w:rsid w:val="5F846FEA"/>
    <w:rsid w:val="5FA017E8"/>
    <w:rsid w:val="5FAAFDE5"/>
    <w:rsid w:val="604CF15D"/>
    <w:rsid w:val="609EF4E0"/>
    <w:rsid w:val="60A0A97F"/>
    <w:rsid w:val="60B38156"/>
    <w:rsid w:val="61008A35"/>
    <w:rsid w:val="615F1F56"/>
    <w:rsid w:val="61750401"/>
    <w:rsid w:val="6179CF73"/>
    <w:rsid w:val="619B3DF3"/>
    <w:rsid w:val="61FC68A4"/>
    <w:rsid w:val="622D0FF3"/>
    <w:rsid w:val="62693E54"/>
    <w:rsid w:val="629A2707"/>
    <w:rsid w:val="62A3EF99"/>
    <w:rsid w:val="6316E029"/>
    <w:rsid w:val="632BBBB1"/>
    <w:rsid w:val="63578C44"/>
    <w:rsid w:val="63A8280C"/>
    <w:rsid w:val="640635E7"/>
    <w:rsid w:val="64246847"/>
    <w:rsid w:val="642BEA21"/>
    <w:rsid w:val="64334F26"/>
    <w:rsid w:val="643A27BE"/>
    <w:rsid w:val="6478DC3B"/>
    <w:rsid w:val="64854E61"/>
    <w:rsid w:val="64AC75E8"/>
    <w:rsid w:val="64CA1179"/>
    <w:rsid w:val="6506579C"/>
    <w:rsid w:val="654B337D"/>
    <w:rsid w:val="65659543"/>
    <w:rsid w:val="6571AA47"/>
    <w:rsid w:val="6583BD58"/>
    <w:rsid w:val="65A5CEFC"/>
    <w:rsid w:val="65A846C9"/>
    <w:rsid w:val="6613FA56"/>
    <w:rsid w:val="662D48E5"/>
    <w:rsid w:val="66807926"/>
    <w:rsid w:val="66873E95"/>
    <w:rsid w:val="669E1DBE"/>
    <w:rsid w:val="66CE00FD"/>
    <w:rsid w:val="66CFAC2B"/>
    <w:rsid w:val="66EC88CD"/>
    <w:rsid w:val="67284DC8"/>
    <w:rsid w:val="6764BA3F"/>
    <w:rsid w:val="6771F939"/>
    <w:rsid w:val="67A74F1D"/>
    <w:rsid w:val="67CAFD9C"/>
    <w:rsid w:val="67DB1A46"/>
    <w:rsid w:val="67F5D8AE"/>
    <w:rsid w:val="6814934E"/>
    <w:rsid w:val="6885492F"/>
    <w:rsid w:val="6890562D"/>
    <w:rsid w:val="68D07BAB"/>
    <w:rsid w:val="68D42105"/>
    <w:rsid w:val="6913B796"/>
    <w:rsid w:val="692DF2C3"/>
    <w:rsid w:val="6953D090"/>
    <w:rsid w:val="69610B07"/>
    <w:rsid w:val="6999E03F"/>
    <w:rsid w:val="69BD4713"/>
    <w:rsid w:val="6A2A42A9"/>
    <w:rsid w:val="6A31EF26"/>
    <w:rsid w:val="6AB1E0AB"/>
    <w:rsid w:val="6AC21E66"/>
    <w:rsid w:val="6AFC6B2E"/>
    <w:rsid w:val="6B11D7CB"/>
    <w:rsid w:val="6B646E39"/>
    <w:rsid w:val="6BD0E477"/>
    <w:rsid w:val="6BDE782A"/>
    <w:rsid w:val="6BF49069"/>
    <w:rsid w:val="6C21C410"/>
    <w:rsid w:val="6C25E75D"/>
    <w:rsid w:val="6C3F8864"/>
    <w:rsid w:val="6CA0100A"/>
    <w:rsid w:val="6CD1BFCD"/>
    <w:rsid w:val="6D0B0FB5"/>
    <w:rsid w:val="6D15FB41"/>
    <w:rsid w:val="6D43F623"/>
    <w:rsid w:val="6D488150"/>
    <w:rsid w:val="6D8737F4"/>
    <w:rsid w:val="6DBAC335"/>
    <w:rsid w:val="6DF4AEC8"/>
    <w:rsid w:val="6E05A855"/>
    <w:rsid w:val="6E0E7795"/>
    <w:rsid w:val="6E24019B"/>
    <w:rsid w:val="6E36ACE8"/>
    <w:rsid w:val="6E6270E2"/>
    <w:rsid w:val="6E736C7B"/>
    <w:rsid w:val="6E807CAA"/>
    <w:rsid w:val="6ED731A9"/>
    <w:rsid w:val="6F043FA6"/>
    <w:rsid w:val="6F348C0A"/>
    <w:rsid w:val="6F67BAFF"/>
    <w:rsid w:val="6FB77225"/>
    <w:rsid w:val="6FE2D1E9"/>
    <w:rsid w:val="6FF0CEB7"/>
    <w:rsid w:val="70FBB729"/>
    <w:rsid w:val="70FFCE8F"/>
    <w:rsid w:val="7129164E"/>
    <w:rsid w:val="712DDFF5"/>
    <w:rsid w:val="713E0460"/>
    <w:rsid w:val="713E3BFE"/>
    <w:rsid w:val="7143BC1A"/>
    <w:rsid w:val="71B17708"/>
    <w:rsid w:val="72052D92"/>
    <w:rsid w:val="72369BAB"/>
    <w:rsid w:val="725CBF9C"/>
    <w:rsid w:val="729F81A8"/>
    <w:rsid w:val="72E1EAA2"/>
    <w:rsid w:val="7303F9A7"/>
    <w:rsid w:val="730618AC"/>
    <w:rsid w:val="730EFBD0"/>
    <w:rsid w:val="7381DDE5"/>
    <w:rsid w:val="7409106B"/>
    <w:rsid w:val="741A94C1"/>
    <w:rsid w:val="741CFAC7"/>
    <w:rsid w:val="743D65BC"/>
    <w:rsid w:val="7458074F"/>
    <w:rsid w:val="74696FBB"/>
    <w:rsid w:val="747ECC6E"/>
    <w:rsid w:val="74CE6EEA"/>
    <w:rsid w:val="74CF5151"/>
    <w:rsid w:val="74DE7593"/>
    <w:rsid w:val="74EFAC94"/>
    <w:rsid w:val="74F001B1"/>
    <w:rsid w:val="75156CB0"/>
    <w:rsid w:val="7537D702"/>
    <w:rsid w:val="7546807E"/>
    <w:rsid w:val="7575FB9B"/>
    <w:rsid w:val="75EDECE9"/>
    <w:rsid w:val="75FBA210"/>
    <w:rsid w:val="75FCF72C"/>
    <w:rsid w:val="761A2F74"/>
    <w:rsid w:val="76268DAB"/>
    <w:rsid w:val="765FD72E"/>
    <w:rsid w:val="76F7A3BB"/>
    <w:rsid w:val="77ACA067"/>
    <w:rsid w:val="77FFF93A"/>
    <w:rsid w:val="780F77CF"/>
    <w:rsid w:val="7862F343"/>
    <w:rsid w:val="787B54AB"/>
    <w:rsid w:val="789003AD"/>
    <w:rsid w:val="789B0A8C"/>
    <w:rsid w:val="79880E60"/>
    <w:rsid w:val="79CF3E02"/>
    <w:rsid w:val="79ED5B07"/>
    <w:rsid w:val="79F52702"/>
    <w:rsid w:val="7A177F9E"/>
    <w:rsid w:val="7A6C1752"/>
    <w:rsid w:val="7AB44121"/>
    <w:rsid w:val="7ABF8D0C"/>
    <w:rsid w:val="7B033CDE"/>
    <w:rsid w:val="7B072D8E"/>
    <w:rsid w:val="7B45131A"/>
    <w:rsid w:val="7B6B6B2E"/>
    <w:rsid w:val="7B6C47DC"/>
    <w:rsid w:val="7B95B8E2"/>
    <w:rsid w:val="7BAEB23A"/>
    <w:rsid w:val="7BFEC501"/>
    <w:rsid w:val="7C4372EA"/>
    <w:rsid w:val="7C99297E"/>
    <w:rsid w:val="7C9CEFC5"/>
    <w:rsid w:val="7CF87778"/>
    <w:rsid w:val="7D32F1B1"/>
    <w:rsid w:val="7D35F6B4"/>
    <w:rsid w:val="7D394AE8"/>
    <w:rsid w:val="7D6C6D3C"/>
    <w:rsid w:val="7D78DC3C"/>
    <w:rsid w:val="7DAC6834"/>
    <w:rsid w:val="7DFAAA6B"/>
    <w:rsid w:val="7E162CEB"/>
    <w:rsid w:val="7E197328"/>
    <w:rsid w:val="7E210FD8"/>
    <w:rsid w:val="7F45B2AA"/>
    <w:rsid w:val="7F61E385"/>
    <w:rsid w:val="7F9BBC05"/>
    <w:rsid w:val="7FA51CA7"/>
    <w:rsid w:val="7FAE697D"/>
    <w:rsid w:val="7FC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45E7"/>
  <w15:docId w15:val="{E0A19F90-B6F5-FC44-92DD-2F97DC5D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CB"/>
    <w:pPr>
      <w:spacing w:after="200" w:line="276" w:lineRule="auto"/>
    </w:pPr>
    <w:rPr>
      <w:sz w:val="22"/>
      <w:szCs w:val="22"/>
    </w:rPr>
  </w:style>
  <w:style w:type="paragraph" w:styleId="Heading1">
    <w:name w:val="heading 1"/>
    <w:basedOn w:val="Normal"/>
    <w:next w:val="Normal"/>
    <w:link w:val="Heading1Char"/>
    <w:uiPriority w:val="9"/>
    <w:qFormat/>
    <w:rsid w:val="00103C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243B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723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F80"/>
    <w:rPr>
      <w:sz w:val="16"/>
      <w:szCs w:val="16"/>
    </w:rPr>
  </w:style>
  <w:style w:type="paragraph" w:styleId="CommentText">
    <w:name w:val="annotation text"/>
    <w:basedOn w:val="Normal"/>
    <w:link w:val="CommentTextChar"/>
    <w:uiPriority w:val="99"/>
    <w:semiHidden/>
    <w:unhideWhenUsed/>
    <w:rsid w:val="00CE4F80"/>
    <w:rPr>
      <w:sz w:val="20"/>
      <w:szCs w:val="20"/>
    </w:rPr>
  </w:style>
  <w:style w:type="character" w:customStyle="1" w:styleId="CommentTextChar">
    <w:name w:val="Comment Text Char"/>
    <w:basedOn w:val="DefaultParagraphFont"/>
    <w:link w:val="CommentText"/>
    <w:uiPriority w:val="99"/>
    <w:semiHidden/>
    <w:rsid w:val="00CE4F80"/>
  </w:style>
  <w:style w:type="paragraph" w:styleId="CommentSubject">
    <w:name w:val="annotation subject"/>
    <w:basedOn w:val="CommentText"/>
    <w:next w:val="CommentText"/>
    <w:link w:val="CommentSubjectChar"/>
    <w:uiPriority w:val="99"/>
    <w:semiHidden/>
    <w:unhideWhenUsed/>
    <w:rsid w:val="00CE4F80"/>
    <w:rPr>
      <w:b/>
      <w:bCs/>
    </w:rPr>
  </w:style>
  <w:style w:type="character" w:customStyle="1" w:styleId="CommentSubjectChar">
    <w:name w:val="Comment Subject Char"/>
    <w:basedOn w:val="CommentTextChar"/>
    <w:link w:val="CommentSubject"/>
    <w:uiPriority w:val="99"/>
    <w:semiHidden/>
    <w:rsid w:val="00CE4F80"/>
    <w:rPr>
      <w:b/>
      <w:bCs/>
    </w:rPr>
  </w:style>
  <w:style w:type="paragraph" w:styleId="BalloonText">
    <w:name w:val="Balloon Text"/>
    <w:basedOn w:val="Normal"/>
    <w:link w:val="BalloonTextChar"/>
    <w:uiPriority w:val="99"/>
    <w:semiHidden/>
    <w:unhideWhenUsed/>
    <w:rsid w:val="00CE4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80"/>
    <w:rPr>
      <w:rFonts w:ascii="Tahoma" w:hAnsi="Tahoma" w:cs="Tahoma"/>
      <w:sz w:val="16"/>
      <w:szCs w:val="16"/>
    </w:rPr>
  </w:style>
  <w:style w:type="paragraph" w:styleId="Header">
    <w:name w:val="header"/>
    <w:basedOn w:val="Normal"/>
    <w:link w:val="HeaderChar"/>
    <w:uiPriority w:val="99"/>
    <w:unhideWhenUsed/>
    <w:rsid w:val="00CE4F80"/>
    <w:pPr>
      <w:tabs>
        <w:tab w:val="center" w:pos="4680"/>
        <w:tab w:val="right" w:pos="9360"/>
      </w:tabs>
    </w:pPr>
  </w:style>
  <w:style w:type="character" w:customStyle="1" w:styleId="HeaderChar">
    <w:name w:val="Header Char"/>
    <w:basedOn w:val="DefaultParagraphFont"/>
    <w:link w:val="Header"/>
    <w:uiPriority w:val="99"/>
    <w:rsid w:val="00CE4F80"/>
    <w:rPr>
      <w:sz w:val="22"/>
      <w:szCs w:val="22"/>
    </w:rPr>
  </w:style>
  <w:style w:type="paragraph" w:styleId="Footer">
    <w:name w:val="footer"/>
    <w:basedOn w:val="Normal"/>
    <w:link w:val="FooterChar"/>
    <w:uiPriority w:val="99"/>
    <w:unhideWhenUsed/>
    <w:rsid w:val="00CE4F80"/>
    <w:pPr>
      <w:tabs>
        <w:tab w:val="center" w:pos="4680"/>
        <w:tab w:val="right" w:pos="9360"/>
      </w:tabs>
    </w:pPr>
  </w:style>
  <w:style w:type="character" w:customStyle="1" w:styleId="FooterChar">
    <w:name w:val="Footer Char"/>
    <w:basedOn w:val="DefaultParagraphFont"/>
    <w:link w:val="Footer"/>
    <w:uiPriority w:val="99"/>
    <w:rsid w:val="00CE4F80"/>
    <w:rPr>
      <w:sz w:val="22"/>
      <w:szCs w:val="22"/>
    </w:rPr>
  </w:style>
  <w:style w:type="paragraph" w:styleId="FootnoteText">
    <w:name w:val="footnote text"/>
    <w:basedOn w:val="Normal"/>
    <w:link w:val="FootnoteTextChar"/>
    <w:uiPriority w:val="99"/>
    <w:semiHidden/>
    <w:unhideWhenUsed/>
    <w:rsid w:val="004E6AE4"/>
    <w:rPr>
      <w:sz w:val="20"/>
      <w:szCs w:val="20"/>
    </w:rPr>
  </w:style>
  <w:style w:type="character" w:customStyle="1" w:styleId="FootnoteTextChar">
    <w:name w:val="Footnote Text Char"/>
    <w:basedOn w:val="DefaultParagraphFont"/>
    <w:link w:val="FootnoteText"/>
    <w:uiPriority w:val="99"/>
    <w:semiHidden/>
    <w:rsid w:val="004E6AE4"/>
  </w:style>
  <w:style w:type="character" w:styleId="FootnoteReference">
    <w:name w:val="footnote reference"/>
    <w:basedOn w:val="DefaultParagraphFont"/>
    <w:uiPriority w:val="99"/>
    <w:semiHidden/>
    <w:unhideWhenUsed/>
    <w:rsid w:val="004E6AE4"/>
    <w:rPr>
      <w:vertAlign w:val="superscript"/>
    </w:rPr>
  </w:style>
  <w:style w:type="paragraph" w:styleId="Revision">
    <w:name w:val="Revision"/>
    <w:hidden/>
    <w:uiPriority w:val="99"/>
    <w:semiHidden/>
    <w:rsid w:val="00A4350A"/>
    <w:rPr>
      <w:sz w:val="22"/>
      <w:szCs w:val="22"/>
    </w:rPr>
  </w:style>
  <w:style w:type="table" w:styleId="TableGrid">
    <w:name w:val="Table Grid"/>
    <w:basedOn w:val="TableNormal"/>
    <w:uiPriority w:val="59"/>
    <w:rsid w:val="00A4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F4759"/>
    <w:pPr>
      <w:spacing w:after="60" w:line="240" w:lineRule="auto"/>
    </w:pPr>
  </w:style>
  <w:style w:type="character" w:customStyle="1" w:styleId="Heading1Char">
    <w:name w:val="Heading 1 Char"/>
    <w:basedOn w:val="DefaultParagraphFont"/>
    <w:link w:val="Heading1"/>
    <w:uiPriority w:val="9"/>
    <w:rsid w:val="00103CF0"/>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103CF0"/>
    <w:pPr>
      <w:keepLines/>
      <w:spacing w:before="480" w:after="0"/>
      <w:outlineLvl w:val="9"/>
    </w:pPr>
    <w:rPr>
      <w:color w:val="365F91"/>
      <w:kern w:val="0"/>
      <w:sz w:val="28"/>
      <w:szCs w:val="28"/>
    </w:rPr>
  </w:style>
  <w:style w:type="character" w:customStyle="1" w:styleId="Heading2Char">
    <w:name w:val="Heading 2 Char"/>
    <w:basedOn w:val="DefaultParagraphFont"/>
    <w:link w:val="Heading2"/>
    <w:uiPriority w:val="9"/>
    <w:rsid w:val="008243BD"/>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450966"/>
    <w:pPr>
      <w:tabs>
        <w:tab w:val="left" w:pos="450"/>
        <w:tab w:val="right" w:leader="dot" w:pos="10214"/>
      </w:tabs>
      <w:spacing w:after="100"/>
    </w:pPr>
  </w:style>
  <w:style w:type="paragraph" w:styleId="TOC2">
    <w:name w:val="toc 2"/>
    <w:basedOn w:val="Normal"/>
    <w:next w:val="Normal"/>
    <w:autoRedefine/>
    <w:uiPriority w:val="39"/>
    <w:unhideWhenUsed/>
    <w:rsid w:val="000517A7"/>
    <w:pPr>
      <w:spacing w:after="100"/>
      <w:ind w:left="220"/>
    </w:pPr>
  </w:style>
  <w:style w:type="character" w:styleId="Hyperlink">
    <w:name w:val="Hyperlink"/>
    <w:basedOn w:val="DefaultParagraphFont"/>
    <w:uiPriority w:val="99"/>
    <w:unhideWhenUsed/>
    <w:rsid w:val="000517A7"/>
    <w:rPr>
      <w:color w:val="0000FF" w:themeColor="hyperlink"/>
      <w:u w:val="single"/>
    </w:rPr>
  </w:style>
  <w:style w:type="paragraph" w:styleId="ListParagraph">
    <w:name w:val="List Paragraph"/>
    <w:basedOn w:val="Normal"/>
    <w:link w:val="ListParagraphChar"/>
    <w:uiPriority w:val="34"/>
    <w:qFormat/>
    <w:rsid w:val="00CF18E8"/>
    <w:pPr>
      <w:spacing w:after="240" w:line="240" w:lineRule="auto"/>
      <w:ind w:left="720"/>
      <w:contextualSpacing/>
    </w:pPr>
  </w:style>
  <w:style w:type="character" w:styleId="LineNumber">
    <w:name w:val="line number"/>
    <w:basedOn w:val="DefaultParagraphFont"/>
    <w:uiPriority w:val="99"/>
    <w:semiHidden/>
    <w:unhideWhenUsed/>
    <w:rsid w:val="00CE7D77"/>
  </w:style>
  <w:style w:type="paragraph" w:styleId="NormalWeb">
    <w:name w:val="Normal (Web)"/>
    <w:basedOn w:val="Normal"/>
    <w:uiPriority w:val="99"/>
    <w:rsid w:val="00EF7EA3"/>
    <w:pPr>
      <w:spacing w:before="100" w:beforeAutospacing="1" w:after="100" w:afterAutospacing="1" w:line="240" w:lineRule="auto"/>
    </w:pPr>
    <w:rPr>
      <w:rFonts w:ascii="Times New Roman" w:eastAsia="Times New Roman" w:hAnsi="Times New Roman"/>
      <w:sz w:val="24"/>
      <w:szCs w:val="24"/>
    </w:rPr>
  </w:style>
  <w:style w:type="character" w:customStyle="1" w:styleId="StyleTimesNewRoman">
    <w:name w:val="Style Times New Roman"/>
    <w:uiPriority w:val="99"/>
    <w:rsid w:val="00C908D8"/>
    <w:rPr>
      <w:color w:val="000000"/>
      <w:sz w:val="24"/>
    </w:rPr>
  </w:style>
  <w:style w:type="paragraph" w:customStyle="1" w:styleId="BodyText">
    <w:name w:val="BodyText"/>
    <w:basedOn w:val="Normal"/>
    <w:link w:val="BodyTextChar"/>
    <w:qFormat/>
    <w:rsid w:val="009852A2"/>
    <w:rPr>
      <w:rFonts w:eastAsia="SimSun"/>
    </w:rPr>
  </w:style>
  <w:style w:type="character" w:customStyle="1" w:styleId="BodyTextChar">
    <w:name w:val="BodyText Char"/>
    <w:link w:val="BodyText"/>
    <w:rsid w:val="009852A2"/>
    <w:rPr>
      <w:rFonts w:eastAsia="SimSun"/>
      <w:sz w:val="22"/>
      <w:szCs w:val="22"/>
    </w:rPr>
  </w:style>
  <w:style w:type="character" w:customStyle="1" w:styleId="ListParagraphChar">
    <w:name w:val="List Paragraph Char"/>
    <w:link w:val="ListParagraph"/>
    <w:uiPriority w:val="34"/>
    <w:locked/>
    <w:rsid w:val="00C73194"/>
    <w:rPr>
      <w:sz w:val="22"/>
      <w:szCs w:val="22"/>
    </w:rPr>
  </w:style>
  <w:style w:type="character" w:customStyle="1" w:styleId="Heading3Char">
    <w:name w:val="Heading 3 Char"/>
    <w:basedOn w:val="DefaultParagraphFont"/>
    <w:link w:val="Heading3"/>
    <w:uiPriority w:val="9"/>
    <w:rsid w:val="003723B8"/>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657F18"/>
    <w:rPr>
      <w:i/>
      <w:iCs/>
      <w:color w:val="4F81BD" w:themeColor="accent1"/>
    </w:rPr>
  </w:style>
  <w:style w:type="character" w:customStyle="1" w:styleId="normaltextrun1">
    <w:name w:val="normaltextrun1"/>
    <w:basedOn w:val="DefaultParagraphFont"/>
    <w:rsid w:val="004D2BC5"/>
  </w:style>
  <w:style w:type="character" w:customStyle="1" w:styleId="eop">
    <w:name w:val="eop"/>
    <w:basedOn w:val="DefaultParagraphFont"/>
    <w:rsid w:val="004D2BC5"/>
  </w:style>
  <w:style w:type="paragraph" w:styleId="PlainText">
    <w:name w:val="Plain Text"/>
    <w:basedOn w:val="Normal"/>
    <w:link w:val="PlainTextChar"/>
    <w:uiPriority w:val="99"/>
    <w:unhideWhenUsed/>
    <w:rsid w:val="004D2BC5"/>
    <w:pPr>
      <w:widowControl w:val="0"/>
      <w:adjustRightInd w:val="0"/>
      <w:spacing w:after="0" w:line="360" w:lineRule="atLeast"/>
      <w:jc w:val="both"/>
      <w:textAlignment w:val="baseline"/>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4D2BC5"/>
    <w:rPr>
      <w:rFonts w:ascii="Consolas" w:hAnsi="Consolas"/>
      <w:sz w:val="21"/>
      <w:szCs w:val="21"/>
      <w:lang w:val="x-none" w:eastAsia="x-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1411">
      <w:bodyDiv w:val="1"/>
      <w:marLeft w:val="0"/>
      <w:marRight w:val="0"/>
      <w:marTop w:val="0"/>
      <w:marBottom w:val="0"/>
      <w:divBdr>
        <w:top w:val="none" w:sz="0" w:space="0" w:color="auto"/>
        <w:left w:val="none" w:sz="0" w:space="0" w:color="auto"/>
        <w:bottom w:val="none" w:sz="0" w:space="0" w:color="auto"/>
        <w:right w:val="none" w:sz="0" w:space="0" w:color="auto"/>
      </w:divBdr>
    </w:div>
    <w:div w:id="10230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72311F71E31C46AAFC7D7F777C9FC1" ma:contentTypeVersion="11" ma:contentTypeDescription="Create a new document." ma:contentTypeScope="" ma:versionID="59c259a8512c21020da8fc496302324b">
  <xsd:schema xmlns:xsd="http://www.w3.org/2001/XMLSchema" xmlns:xs="http://www.w3.org/2001/XMLSchema" xmlns:p="http://schemas.microsoft.com/office/2006/metadata/properties" xmlns:ns3="493bf78a-17f8-4af2-938a-299e146aa5b6" xmlns:ns4="cae21f39-3d52-4060-aea4-fa64a5fda41a" targetNamespace="http://schemas.microsoft.com/office/2006/metadata/properties" ma:root="true" ma:fieldsID="b795ad3e2edeca4aa5081ce9b89452a5" ns3:_="" ns4:_="">
    <xsd:import namespace="493bf78a-17f8-4af2-938a-299e146aa5b6"/>
    <xsd:import namespace="cae21f39-3d52-4060-aea4-fa64a5fda4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f78a-17f8-4af2-938a-299e146a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21f39-3d52-4060-aea4-fa64a5fda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98A50-DF80-4400-A716-01CCCFCA7E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05B78-12EA-4AEF-AEC1-1570BF4C3079}">
  <ds:schemaRefs>
    <ds:schemaRef ds:uri="http://schemas.openxmlformats.org/officeDocument/2006/bibliography"/>
  </ds:schemaRefs>
</ds:datastoreItem>
</file>

<file path=customXml/itemProps3.xml><?xml version="1.0" encoding="utf-8"?>
<ds:datastoreItem xmlns:ds="http://schemas.openxmlformats.org/officeDocument/2006/customXml" ds:itemID="{353C502A-DAA5-46E9-95D9-4B90966C8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f78a-17f8-4af2-938a-299e146aa5b6"/>
    <ds:schemaRef ds:uri="cae21f39-3d52-4060-aea4-fa64a5fd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54167-773C-4223-AB91-5BC13D568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E. Almonte</dc:creator>
  <cp:keywords/>
  <cp:lastModifiedBy>Clarady, Carrie</cp:lastModifiedBy>
  <cp:revision>78</cp:revision>
  <cp:lastPrinted>2014-10-15T03:27:00Z</cp:lastPrinted>
  <dcterms:created xsi:type="dcterms:W3CDTF">2020-08-13T15:56:00Z</dcterms:created>
  <dcterms:modified xsi:type="dcterms:W3CDTF">2020-09-09T20:46:00Z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0x0101005072311F71E31C46AAFC7D7F777C9FC1</vt:lpwstr>
  </property>
  <property fmtid="{D5CDD505-2E9C-101B-9397-08002B2CF9AE}" pid="3" name="_NewReviewCycle">
    <vt:lpwstr/>
  </property>
</Properties>
</file>