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2F75" w14:textId="77777777" w:rsidR="00C50FC2" w:rsidRDefault="00C50FC2" w:rsidP="00A43409">
      <w:pPr>
        <w:pStyle w:val="NoSpacing"/>
        <w:jc w:val="center"/>
        <w:rPr>
          <w:rFonts w:asciiTheme="majorHAnsi" w:hAnsiTheme="majorHAnsi"/>
          <w:b/>
          <w:sz w:val="28"/>
          <w:szCs w:val="28"/>
        </w:rPr>
      </w:pPr>
      <w:bookmarkStart w:id="0" w:name="_GoBack"/>
      <w:bookmarkEnd w:id="0"/>
    </w:p>
    <w:p w14:paraId="3D235ECB" w14:textId="77777777" w:rsidR="00C50FC2" w:rsidRDefault="00C50FC2" w:rsidP="00A43409">
      <w:pPr>
        <w:pStyle w:val="NoSpacing"/>
        <w:jc w:val="center"/>
        <w:rPr>
          <w:rFonts w:asciiTheme="majorHAnsi" w:hAnsiTheme="majorHAnsi"/>
          <w:b/>
          <w:sz w:val="28"/>
          <w:szCs w:val="28"/>
        </w:rPr>
      </w:pPr>
    </w:p>
    <w:p w14:paraId="10F857F5" w14:textId="77777777" w:rsidR="00C50FC2" w:rsidRDefault="00C50FC2" w:rsidP="00A43409">
      <w:pPr>
        <w:pStyle w:val="NoSpacing"/>
        <w:jc w:val="center"/>
        <w:rPr>
          <w:rFonts w:asciiTheme="majorHAnsi" w:hAnsiTheme="majorHAnsi"/>
          <w:b/>
          <w:sz w:val="28"/>
          <w:szCs w:val="28"/>
        </w:rPr>
      </w:pPr>
    </w:p>
    <w:p w14:paraId="54BA5AEC" w14:textId="77777777" w:rsidR="009B6D70" w:rsidRPr="00E119DE" w:rsidRDefault="009B6D70" w:rsidP="00E119DE">
      <w:pPr>
        <w:pStyle w:val="NoSpacing"/>
        <w:jc w:val="right"/>
        <w:rPr>
          <w:rFonts w:ascii="Arial Black" w:hAnsi="Arial Black"/>
          <w:b/>
          <w:sz w:val="40"/>
          <w:szCs w:val="40"/>
        </w:rPr>
      </w:pPr>
      <w:r w:rsidRPr="00E119DE">
        <w:rPr>
          <w:rFonts w:ascii="Arial Black" w:hAnsi="Arial Black"/>
          <w:b/>
          <w:sz w:val="40"/>
          <w:szCs w:val="40"/>
        </w:rPr>
        <w:t>High School and Beyond 2020 (HS&amp;B:20)</w:t>
      </w:r>
    </w:p>
    <w:p w14:paraId="0C3EE216" w14:textId="581B9B9C" w:rsidR="009B6D70" w:rsidRPr="00E119DE" w:rsidRDefault="002A57FD" w:rsidP="00E119DE">
      <w:pPr>
        <w:pStyle w:val="NoSpacing"/>
        <w:jc w:val="right"/>
        <w:rPr>
          <w:rFonts w:ascii="Arial Black" w:hAnsi="Arial Black"/>
          <w:sz w:val="40"/>
          <w:szCs w:val="40"/>
        </w:rPr>
      </w:pPr>
      <w:r>
        <w:rPr>
          <w:rFonts w:ascii="Arial Black" w:hAnsi="Arial Black"/>
          <w:b/>
          <w:sz w:val="40"/>
          <w:szCs w:val="40"/>
        </w:rPr>
        <w:t xml:space="preserve">Base-Year </w:t>
      </w:r>
      <w:r w:rsidR="00742FDC">
        <w:rPr>
          <w:rFonts w:ascii="Arial Black" w:hAnsi="Arial Black"/>
          <w:b/>
          <w:sz w:val="40"/>
          <w:szCs w:val="40"/>
        </w:rPr>
        <w:t>Full-Scale Study Recruitment and Field Test</w:t>
      </w:r>
    </w:p>
    <w:p w14:paraId="63740B01" w14:textId="77777777" w:rsidR="009B6D70" w:rsidRPr="00E119DE" w:rsidRDefault="009B6D70" w:rsidP="00E119DE">
      <w:pPr>
        <w:pStyle w:val="NoSpacing"/>
        <w:jc w:val="right"/>
        <w:rPr>
          <w:rFonts w:ascii="Arial Black" w:hAnsi="Arial Black"/>
          <w:sz w:val="40"/>
          <w:szCs w:val="40"/>
        </w:rPr>
      </w:pPr>
    </w:p>
    <w:p w14:paraId="75D71B39" w14:textId="77777777" w:rsidR="009B6D70" w:rsidRPr="00E119DE" w:rsidRDefault="009B6D70" w:rsidP="00E119DE">
      <w:pPr>
        <w:pStyle w:val="NoSpacing"/>
        <w:jc w:val="right"/>
        <w:rPr>
          <w:rFonts w:ascii="Arial Black" w:hAnsi="Arial Black"/>
          <w:sz w:val="40"/>
          <w:szCs w:val="40"/>
        </w:rPr>
      </w:pPr>
    </w:p>
    <w:p w14:paraId="1CB703D0" w14:textId="77777777" w:rsidR="009B6D70" w:rsidRPr="00E119DE" w:rsidRDefault="009B6D70" w:rsidP="00E119DE">
      <w:pPr>
        <w:pStyle w:val="NoSpacing"/>
        <w:jc w:val="right"/>
        <w:rPr>
          <w:rFonts w:ascii="Arial Black" w:hAnsi="Arial Black"/>
          <w:sz w:val="40"/>
          <w:szCs w:val="40"/>
        </w:rPr>
      </w:pPr>
    </w:p>
    <w:p w14:paraId="341A0374" w14:textId="4547D0EC" w:rsidR="009B6D70" w:rsidRPr="00E119DE" w:rsidRDefault="009B6D70" w:rsidP="00E119DE">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2F0094">
        <w:rPr>
          <w:rFonts w:ascii="Arial Black" w:hAnsi="Arial Black"/>
          <w:sz w:val="40"/>
          <w:szCs w:val="40"/>
        </w:rPr>
        <w:t>2</w:t>
      </w:r>
    </w:p>
    <w:p w14:paraId="65033827" w14:textId="77777777" w:rsidR="009B6D70" w:rsidRPr="00BA441F" w:rsidRDefault="009B6D70" w:rsidP="00E119DE">
      <w:pPr>
        <w:pStyle w:val="NoSpacing"/>
        <w:jc w:val="right"/>
        <w:rPr>
          <w:rFonts w:ascii="Cambria" w:hAnsi="Cambria"/>
        </w:rPr>
      </w:pPr>
    </w:p>
    <w:p w14:paraId="478E2727" w14:textId="77777777" w:rsidR="009B6D70" w:rsidRPr="00BA441F" w:rsidRDefault="009B6D70" w:rsidP="00E119DE">
      <w:pPr>
        <w:pStyle w:val="NoSpacing"/>
        <w:jc w:val="right"/>
        <w:rPr>
          <w:rFonts w:ascii="Cambria" w:hAnsi="Cambria"/>
        </w:rPr>
      </w:pPr>
    </w:p>
    <w:p w14:paraId="3380EE17" w14:textId="77777777" w:rsidR="009B6D70" w:rsidRPr="00BA441F" w:rsidRDefault="009B6D70" w:rsidP="00E119DE">
      <w:pPr>
        <w:pStyle w:val="NoSpacing"/>
        <w:jc w:val="right"/>
        <w:rPr>
          <w:rFonts w:ascii="Cambria" w:hAnsi="Cambria"/>
          <w:b/>
          <w:sz w:val="28"/>
          <w:szCs w:val="28"/>
        </w:rPr>
      </w:pPr>
    </w:p>
    <w:p w14:paraId="743AC9E9" w14:textId="77777777" w:rsidR="009B6D70" w:rsidRPr="00BA441F" w:rsidRDefault="009B6D70" w:rsidP="00E119DE">
      <w:pPr>
        <w:pStyle w:val="NoSpacing"/>
        <w:jc w:val="right"/>
        <w:rPr>
          <w:rFonts w:ascii="Cambria" w:hAnsi="Cambria"/>
          <w:b/>
          <w:sz w:val="28"/>
          <w:szCs w:val="28"/>
        </w:rPr>
      </w:pPr>
    </w:p>
    <w:p w14:paraId="0E60DC85" w14:textId="3ADFBD03" w:rsidR="009B6D70" w:rsidRPr="00E119DE" w:rsidRDefault="009B6D70" w:rsidP="00E119DE">
      <w:pPr>
        <w:pStyle w:val="NoSpacing"/>
        <w:jc w:val="right"/>
        <w:rPr>
          <w:rFonts w:ascii="Arial Black" w:hAnsi="Arial Black"/>
          <w:b/>
          <w:sz w:val="32"/>
          <w:szCs w:val="32"/>
        </w:rPr>
      </w:pPr>
      <w:r w:rsidRPr="00E119DE">
        <w:rPr>
          <w:rFonts w:ascii="Arial Black" w:hAnsi="Arial Black"/>
          <w:b/>
          <w:sz w:val="32"/>
          <w:szCs w:val="32"/>
        </w:rPr>
        <w:t>Supporting Statement Part B</w:t>
      </w:r>
    </w:p>
    <w:p w14:paraId="34F88AF2" w14:textId="77777777" w:rsidR="009B6D70" w:rsidRPr="00BA441F" w:rsidRDefault="009B6D70" w:rsidP="00E119DE">
      <w:pPr>
        <w:pStyle w:val="NoSpacing"/>
        <w:jc w:val="right"/>
        <w:rPr>
          <w:rFonts w:ascii="Cambria" w:hAnsi="Cambria"/>
        </w:rPr>
      </w:pPr>
    </w:p>
    <w:p w14:paraId="3DF73B55" w14:textId="77777777" w:rsidR="009B6D70" w:rsidRPr="00BA441F" w:rsidRDefault="009B6D70" w:rsidP="00E119DE">
      <w:pPr>
        <w:pStyle w:val="NoSpacing"/>
        <w:jc w:val="right"/>
        <w:rPr>
          <w:rFonts w:ascii="Cambria" w:hAnsi="Cambria"/>
        </w:rPr>
      </w:pPr>
    </w:p>
    <w:p w14:paraId="50AC086A" w14:textId="77777777" w:rsidR="009B6D70" w:rsidRPr="00BA441F" w:rsidRDefault="009B6D70" w:rsidP="00E119DE">
      <w:pPr>
        <w:pStyle w:val="NoSpacing"/>
        <w:jc w:val="right"/>
        <w:rPr>
          <w:rFonts w:ascii="Cambria" w:hAnsi="Cambria"/>
        </w:rPr>
      </w:pPr>
    </w:p>
    <w:p w14:paraId="72CBB0DB" w14:textId="77777777" w:rsidR="009B6D70" w:rsidRPr="00BA441F" w:rsidRDefault="009B6D70" w:rsidP="00E119DE">
      <w:pPr>
        <w:pStyle w:val="NoSpacing"/>
        <w:jc w:val="right"/>
        <w:rPr>
          <w:rFonts w:ascii="Cambria" w:hAnsi="Cambria"/>
        </w:rPr>
      </w:pPr>
    </w:p>
    <w:p w14:paraId="0B4CC669" w14:textId="77777777" w:rsidR="009B6D70" w:rsidRPr="00BA441F" w:rsidRDefault="009B6D70" w:rsidP="00E119DE">
      <w:pPr>
        <w:pStyle w:val="C1-CtrBoldHd"/>
        <w:spacing w:after="0" w:line="240" w:lineRule="auto"/>
        <w:jc w:val="right"/>
        <w:rPr>
          <w:rFonts w:ascii="Cambria" w:hAnsi="Cambria"/>
          <w:b w:val="0"/>
          <w:caps w:val="0"/>
          <w:szCs w:val="22"/>
        </w:rPr>
      </w:pPr>
    </w:p>
    <w:p w14:paraId="3C146D0E" w14:textId="3A17BBA4" w:rsidR="009B6D70" w:rsidRPr="00E119DE" w:rsidRDefault="002A57FD"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14:paraId="76A875F8" w14:textId="77777777" w:rsidR="009B6D70" w:rsidRPr="00E119DE" w:rsidRDefault="009B6D70" w:rsidP="00E119DE">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14:paraId="37C29AAA" w14:textId="77777777" w:rsidR="009B6D70" w:rsidRPr="00E119DE" w:rsidRDefault="009B6D70"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14:paraId="548AD0F6" w14:textId="77777777" w:rsidR="009B6D70" w:rsidRPr="00BD30F1" w:rsidRDefault="009B6D70" w:rsidP="00E119DE">
      <w:pPr>
        <w:pStyle w:val="C1-CtrBoldHd"/>
        <w:spacing w:after="0" w:line="240" w:lineRule="auto"/>
        <w:jc w:val="right"/>
        <w:rPr>
          <w:rFonts w:ascii="Cambria" w:hAnsi="Cambria"/>
          <w:b w:val="0"/>
          <w:sz w:val="28"/>
          <w:szCs w:val="28"/>
        </w:rPr>
      </w:pPr>
    </w:p>
    <w:p w14:paraId="6C7F481A" w14:textId="77777777" w:rsidR="009B6D70" w:rsidRPr="00BD30F1" w:rsidRDefault="009B6D70" w:rsidP="00E119DE">
      <w:pPr>
        <w:pStyle w:val="C1-CtrBoldHd"/>
        <w:spacing w:after="0" w:line="240" w:lineRule="auto"/>
        <w:jc w:val="right"/>
        <w:rPr>
          <w:rFonts w:ascii="Cambria" w:hAnsi="Cambria"/>
          <w:b w:val="0"/>
          <w:sz w:val="28"/>
          <w:szCs w:val="28"/>
        </w:rPr>
      </w:pPr>
    </w:p>
    <w:p w14:paraId="389389D0" w14:textId="77777777" w:rsidR="009B6D70" w:rsidRDefault="009B6D70" w:rsidP="00E119DE">
      <w:pPr>
        <w:pStyle w:val="C1-CtrBoldHd"/>
        <w:spacing w:after="0" w:line="240" w:lineRule="auto"/>
        <w:jc w:val="right"/>
        <w:rPr>
          <w:rFonts w:ascii="Cambria" w:hAnsi="Cambria"/>
          <w:b w:val="0"/>
          <w:caps w:val="0"/>
          <w:sz w:val="28"/>
          <w:szCs w:val="28"/>
        </w:rPr>
      </w:pPr>
    </w:p>
    <w:p w14:paraId="45AB1647" w14:textId="77777777" w:rsidR="0060623B" w:rsidRPr="00BD30F1" w:rsidRDefault="0060623B" w:rsidP="00E119DE">
      <w:pPr>
        <w:pStyle w:val="C1-CtrBoldHd"/>
        <w:spacing w:after="0" w:line="240" w:lineRule="auto"/>
        <w:jc w:val="right"/>
        <w:rPr>
          <w:rFonts w:ascii="Cambria" w:hAnsi="Cambria"/>
          <w:b w:val="0"/>
          <w:caps w:val="0"/>
          <w:sz w:val="28"/>
          <w:szCs w:val="28"/>
        </w:rPr>
      </w:pPr>
    </w:p>
    <w:p w14:paraId="0F1AB02E" w14:textId="0FEADDE2" w:rsidR="009B6D70" w:rsidRDefault="00BF143E" w:rsidP="00E119DE">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March</w:t>
      </w:r>
      <w:r w:rsidR="002F0094">
        <w:rPr>
          <w:rFonts w:ascii="Arial Black" w:hAnsi="Arial Black"/>
          <w:b w:val="0"/>
          <w:caps w:val="0"/>
          <w:sz w:val="24"/>
          <w:szCs w:val="24"/>
        </w:rPr>
        <w:t xml:space="preserve"> </w:t>
      </w:r>
      <w:r w:rsidR="009B6D70" w:rsidRPr="00E119DE">
        <w:rPr>
          <w:rFonts w:ascii="Arial Black" w:hAnsi="Arial Black"/>
          <w:b w:val="0"/>
          <w:caps w:val="0"/>
          <w:sz w:val="24"/>
          <w:szCs w:val="24"/>
        </w:rPr>
        <w:t>201</w:t>
      </w:r>
      <w:r w:rsidR="002F0094">
        <w:rPr>
          <w:rFonts w:ascii="Arial Black" w:hAnsi="Arial Black"/>
          <w:b w:val="0"/>
          <w:caps w:val="0"/>
          <w:sz w:val="24"/>
          <w:szCs w:val="24"/>
        </w:rPr>
        <w:t>9</w:t>
      </w:r>
    </w:p>
    <w:p w14:paraId="62CEE7E8" w14:textId="77777777" w:rsidR="0060623B" w:rsidRDefault="0060623B" w:rsidP="00E119DE">
      <w:pPr>
        <w:pStyle w:val="C1-CtrBoldHd"/>
        <w:spacing w:after="0" w:line="240" w:lineRule="auto"/>
        <w:jc w:val="right"/>
        <w:rPr>
          <w:rFonts w:ascii="Arial Black" w:hAnsi="Arial Black"/>
          <w:b w:val="0"/>
          <w:caps w:val="0"/>
          <w:sz w:val="24"/>
          <w:szCs w:val="24"/>
        </w:rPr>
      </w:pPr>
    </w:p>
    <w:p w14:paraId="7D569693" w14:textId="77777777" w:rsidR="00615185" w:rsidRDefault="00615185" w:rsidP="00E119DE">
      <w:pPr>
        <w:pStyle w:val="C1-CtrBoldHd"/>
        <w:spacing w:after="0" w:line="240" w:lineRule="auto"/>
        <w:jc w:val="right"/>
        <w:rPr>
          <w:rFonts w:ascii="Arial Black" w:hAnsi="Arial Black"/>
          <w:b w:val="0"/>
          <w:caps w:val="0"/>
          <w:sz w:val="24"/>
          <w:szCs w:val="24"/>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74E4960F" w14:textId="2A8914D7" w:rsidR="00C50FC2" w:rsidRDefault="00C50FC2" w:rsidP="00AD6709">
              <w:pPr>
                <w:pStyle w:val="TOCHeading"/>
                <w:spacing w:before="0"/>
                <w:rPr>
                  <w:rFonts w:eastAsiaTheme="minorHAnsi" w:cs="Times New Roman"/>
                  <w:b w:val="0"/>
                  <w:bCs w:val="0"/>
                  <w:sz w:val="22"/>
                  <w:szCs w:val="22"/>
                  <w:lang w:eastAsia="en-US"/>
                </w:rPr>
              </w:pPr>
            </w:p>
            <w:p w14:paraId="265EBCFD" w14:textId="78999A74" w:rsidR="004F0079" w:rsidRDefault="004F0079" w:rsidP="00AD6709">
              <w:pPr>
                <w:pStyle w:val="TOCHeading"/>
                <w:spacing w:before="0"/>
              </w:pPr>
              <w:r w:rsidRPr="004F0079">
                <w:t>Table of Contents</w:t>
              </w:r>
            </w:p>
            <w:p w14:paraId="1634E0B3" w14:textId="1858605B" w:rsidR="00B36A75" w:rsidRDefault="004F0079" w:rsidP="00EE2EFE">
              <w:pPr>
                <w:pStyle w:val="TOC2"/>
                <w:tabs>
                  <w:tab w:val="right" w:leader="dot" w:pos="10646"/>
                </w:tabs>
                <w:spacing w:after="20" w:line="240" w:lineRule="auto"/>
                <w:ind w:left="216"/>
                <w:rPr>
                  <w:rFonts w:asciiTheme="minorHAnsi" w:eastAsiaTheme="minorEastAsia" w:hAnsiTheme="minorHAnsi" w:cstheme="minorBidi"/>
                  <w:noProof/>
                </w:rPr>
              </w:pPr>
              <w:r>
                <w:fldChar w:fldCharType="begin"/>
              </w:r>
              <w:r>
                <w:instrText xml:space="preserve"> TOC \o "1-3" \h \z \u </w:instrText>
              </w:r>
              <w:r>
                <w:fldChar w:fldCharType="separate"/>
              </w:r>
              <w:hyperlink w:anchor="_Toc3892580" w:history="1">
                <w:r w:rsidR="00B36A75" w:rsidRPr="005D4724">
                  <w:rPr>
                    <w:rStyle w:val="Hyperlink"/>
                    <w:rFonts w:ascii="Arial" w:hAnsi="Arial" w:cs="Arial"/>
                    <w:noProof/>
                  </w:rPr>
                  <w:t>B. Collection of Information Employing Statistical Methods</w:t>
                </w:r>
                <w:r w:rsidR="00B36A75">
                  <w:rPr>
                    <w:noProof/>
                    <w:webHidden/>
                  </w:rPr>
                  <w:tab/>
                </w:r>
                <w:r w:rsidR="00B36A75">
                  <w:rPr>
                    <w:noProof/>
                    <w:webHidden/>
                  </w:rPr>
                  <w:fldChar w:fldCharType="begin"/>
                </w:r>
                <w:r w:rsidR="00B36A75">
                  <w:rPr>
                    <w:noProof/>
                    <w:webHidden/>
                  </w:rPr>
                  <w:instrText xml:space="preserve"> PAGEREF _Toc3892580 \h </w:instrText>
                </w:r>
                <w:r w:rsidR="00B36A75">
                  <w:rPr>
                    <w:noProof/>
                    <w:webHidden/>
                  </w:rPr>
                </w:r>
                <w:r w:rsidR="00B36A75">
                  <w:rPr>
                    <w:noProof/>
                    <w:webHidden/>
                  </w:rPr>
                  <w:fldChar w:fldCharType="separate"/>
                </w:r>
                <w:r w:rsidR="00B70D6D">
                  <w:rPr>
                    <w:noProof/>
                    <w:webHidden/>
                  </w:rPr>
                  <w:t>1</w:t>
                </w:r>
                <w:r w:rsidR="00B36A75">
                  <w:rPr>
                    <w:noProof/>
                    <w:webHidden/>
                  </w:rPr>
                  <w:fldChar w:fldCharType="end"/>
                </w:r>
              </w:hyperlink>
            </w:p>
            <w:p w14:paraId="059D02AE" w14:textId="665931D9" w:rsidR="00B36A75" w:rsidRDefault="00232F2B"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1" w:history="1">
                <w:r w:rsidR="00B36A75" w:rsidRPr="005D4724">
                  <w:rPr>
                    <w:rStyle w:val="Hyperlink"/>
                    <w:noProof/>
                  </w:rPr>
                  <w:t>B.1 Respondent Universe</w:t>
                </w:r>
                <w:r w:rsidR="00B36A75">
                  <w:rPr>
                    <w:noProof/>
                    <w:webHidden/>
                  </w:rPr>
                  <w:tab/>
                </w:r>
                <w:r w:rsidR="00B36A75">
                  <w:rPr>
                    <w:noProof/>
                    <w:webHidden/>
                  </w:rPr>
                  <w:fldChar w:fldCharType="begin"/>
                </w:r>
                <w:r w:rsidR="00B36A75">
                  <w:rPr>
                    <w:noProof/>
                    <w:webHidden/>
                  </w:rPr>
                  <w:instrText xml:space="preserve"> PAGEREF _Toc3892581 \h </w:instrText>
                </w:r>
                <w:r w:rsidR="00B36A75">
                  <w:rPr>
                    <w:noProof/>
                    <w:webHidden/>
                  </w:rPr>
                </w:r>
                <w:r w:rsidR="00B36A75">
                  <w:rPr>
                    <w:noProof/>
                    <w:webHidden/>
                  </w:rPr>
                  <w:fldChar w:fldCharType="separate"/>
                </w:r>
                <w:r w:rsidR="00B70D6D">
                  <w:rPr>
                    <w:noProof/>
                    <w:webHidden/>
                  </w:rPr>
                  <w:t>1</w:t>
                </w:r>
                <w:r w:rsidR="00B36A75">
                  <w:rPr>
                    <w:noProof/>
                    <w:webHidden/>
                  </w:rPr>
                  <w:fldChar w:fldCharType="end"/>
                </w:r>
              </w:hyperlink>
            </w:p>
            <w:p w14:paraId="737C83E8" w14:textId="5F97BD75" w:rsidR="00B36A75" w:rsidRDefault="00232F2B"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2" w:history="1">
                <w:r w:rsidR="00B36A75" w:rsidRPr="005D4724">
                  <w:rPr>
                    <w:rStyle w:val="Hyperlink"/>
                    <w:noProof/>
                  </w:rPr>
                  <w:t>B.2 Procedures for the Collection of Information</w:t>
                </w:r>
                <w:r w:rsidR="00B36A75">
                  <w:rPr>
                    <w:noProof/>
                    <w:webHidden/>
                  </w:rPr>
                  <w:tab/>
                </w:r>
                <w:r w:rsidR="00B36A75">
                  <w:rPr>
                    <w:noProof/>
                    <w:webHidden/>
                  </w:rPr>
                  <w:fldChar w:fldCharType="begin"/>
                </w:r>
                <w:r w:rsidR="00B36A75">
                  <w:rPr>
                    <w:noProof/>
                    <w:webHidden/>
                  </w:rPr>
                  <w:instrText xml:space="preserve"> PAGEREF _Toc3892582 \h </w:instrText>
                </w:r>
                <w:r w:rsidR="00B36A75">
                  <w:rPr>
                    <w:noProof/>
                    <w:webHidden/>
                  </w:rPr>
                </w:r>
                <w:r w:rsidR="00B36A75">
                  <w:rPr>
                    <w:noProof/>
                    <w:webHidden/>
                  </w:rPr>
                  <w:fldChar w:fldCharType="separate"/>
                </w:r>
                <w:r w:rsidR="00B70D6D">
                  <w:rPr>
                    <w:noProof/>
                    <w:webHidden/>
                  </w:rPr>
                  <w:t>2</w:t>
                </w:r>
                <w:r w:rsidR="00B36A75">
                  <w:rPr>
                    <w:noProof/>
                    <w:webHidden/>
                  </w:rPr>
                  <w:fldChar w:fldCharType="end"/>
                </w:r>
              </w:hyperlink>
            </w:p>
            <w:p w14:paraId="0ADD4C0D" w14:textId="10B9E997" w:rsidR="00B36A75" w:rsidRDefault="00232F2B"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3" w:history="1">
                <w:r w:rsidR="00B36A75" w:rsidRPr="005D4724">
                  <w:rPr>
                    <w:rStyle w:val="Hyperlink"/>
                    <w:noProof/>
                  </w:rPr>
                  <w:t>B.3 Methods to Secure Cooperation, Maximize Response Rates, and Deal with Nonresponse</w:t>
                </w:r>
                <w:r w:rsidR="00B36A75">
                  <w:rPr>
                    <w:noProof/>
                    <w:webHidden/>
                  </w:rPr>
                  <w:tab/>
                </w:r>
                <w:r w:rsidR="00B36A75">
                  <w:rPr>
                    <w:noProof/>
                    <w:webHidden/>
                  </w:rPr>
                  <w:fldChar w:fldCharType="begin"/>
                </w:r>
                <w:r w:rsidR="00B36A75">
                  <w:rPr>
                    <w:noProof/>
                    <w:webHidden/>
                  </w:rPr>
                  <w:instrText xml:space="preserve"> PAGEREF _Toc3892583 \h </w:instrText>
                </w:r>
                <w:r w:rsidR="00B36A75">
                  <w:rPr>
                    <w:noProof/>
                    <w:webHidden/>
                  </w:rPr>
                </w:r>
                <w:r w:rsidR="00B36A75">
                  <w:rPr>
                    <w:noProof/>
                    <w:webHidden/>
                  </w:rPr>
                  <w:fldChar w:fldCharType="separate"/>
                </w:r>
                <w:r w:rsidR="00B70D6D">
                  <w:rPr>
                    <w:noProof/>
                    <w:webHidden/>
                  </w:rPr>
                  <w:t>10</w:t>
                </w:r>
                <w:r w:rsidR="00B36A75">
                  <w:rPr>
                    <w:noProof/>
                    <w:webHidden/>
                  </w:rPr>
                  <w:fldChar w:fldCharType="end"/>
                </w:r>
              </w:hyperlink>
            </w:p>
            <w:p w14:paraId="66BB506F" w14:textId="2BA88A04" w:rsidR="00B36A75" w:rsidRDefault="00232F2B"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4" w:history="1">
                <w:r w:rsidR="00B36A75" w:rsidRPr="005D4724">
                  <w:rPr>
                    <w:rStyle w:val="Hyperlink"/>
                    <w:noProof/>
                  </w:rPr>
                  <w:t>B.4 Tests of Methods and Procedures</w:t>
                </w:r>
                <w:r w:rsidR="00B36A75">
                  <w:rPr>
                    <w:noProof/>
                    <w:webHidden/>
                  </w:rPr>
                  <w:tab/>
                </w:r>
                <w:r w:rsidR="00B36A75">
                  <w:rPr>
                    <w:noProof/>
                    <w:webHidden/>
                  </w:rPr>
                  <w:fldChar w:fldCharType="begin"/>
                </w:r>
                <w:r w:rsidR="00B36A75">
                  <w:rPr>
                    <w:noProof/>
                    <w:webHidden/>
                  </w:rPr>
                  <w:instrText xml:space="preserve"> PAGEREF _Toc3892584 \h </w:instrText>
                </w:r>
                <w:r w:rsidR="00B36A75">
                  <w:rPr>
                    <w:noProof/>
                    <w:webHidden/>
                  </w:rPr>
                </w:r>
                <w:r w:rsidR="00B36A75">
                  <w:rPr>
                    <w:noProof/>
                    <w:webHidden/>
                  </w:rPr>
                  <w:fldChar w:fldCharType="separate"/>
                </w:r>
                <w:r w:rsidR="00B70D6D">
                  <w:rPr>
                    <w:noProof/>
                    <w:webHidden/>
                  </w:rPr>
                  <w:t>16</w:t>
                </w:r>
                <w:r w:rsidR="00B36A75">
                  <w:rPr>
                    <w:noProof/>
                    <w:webHidden/>
                  </w:rPr>
                  <w:fldChar w:fldCharType="end"/>
                </w:r>
              </w:hyperlink>
            </w:p>
            <w:p w14:paraId="178B1CE6" w14:textId="20B4B588" w:rsidR="004F0079" w:rsidRDefault="00232F2B" w:rsidP="00EE2EFE">
              <w:pPr>
                <w:pStyle w:val="TOC2"/>
                <w:tabs>
                  <w:tab w:val="right" w:leader="dot" w:pos="10646"/>
                </w:tabs>
                <w:spacing w:after="20" w:line="240" w:lineRule="auto"/>
                <w:ind w:left="216"/>
              </w:pPr>
              <w:hyperlink w:anchor="_Toc3892585" w:history="1">
                <w:r w:rsidR="00B36A75" w:rsidRPr="005D4724">
                  <w:rPr>
                    <w:rStyle w:val="Hyperlink"/>
                    <w:noProof/>
                  </w:rPr>
                  <w:t>B.5 Reviewing Statisticians and Individuals Responsible for Study Design and Conduct</w:t>
                </w:r>
                <w:r w:rsidR="00B36A75">
                  <w:rPr>
                    <w:noProof/>
                    <w:webHidden/>
                  </w:rPr>
                  <w:tab/>
                </w:r>
                <w:r w:rsidR="00B36A75">
                  <w:rPr>
                    <w:noProof/>
                    <w:webHidden/>
                  </w:rPr>
                  <w:fldChar w:fldCharType="begin"/>
                </w:r>
                <w:r w:rsidR="00B36A75">
                  <w:rPr>
                    <w:noProof/>
                    <w:webHidden/>
                  </w:rPr>
                  <w:instrText xml:space="preserve"> PAGEREF _Toc3892585 \h </w:instrText>
                </w:r>
                <w:r w:rsidR="00B36A75">
                  <w:rPr>
                    <w:noProof/>
                    <w:webHidden/>
                  </w:rPr>
                </w:r>
                <w:r w:rsidR="00B36A75">
                  <w:rPr>
                    <w:noProof/>
                    <w:webHidden/>
                  </w:rPr>
                  <w:fldChar w:fldCharType="separate"/>
                </w:r>
                <w:r w:rsidR="00B70D6D">
                  <w:rPr>
                    <w:noProof/>
                    <w:webHidden/>
                  </w:rPr>
                  <w:t>17</w:t>
                </w:r>
                <w:r w:rsidR="00B36A75">
                  <w:rPr>
                    <w:noProof/>
                    <w:webHidden/>
                  </w:rPr>
                  <w:fldChar w:fldCharType="end"/>
                </w:r>
              </w:hyperlink>
              <w:r w:rsidR="004F0079">
                <w:rPr>
                  <w:b/>
                  <w:bCs/>
                  <w:noProof/>
                </w:rPr>
                <w:fldChar w:fldCharType="end"/>
              </w:r>
            </w:p>
          </w:sdtContent>
        </w:sdt>
      </w:sdtContent>
    </w:sdt>
    <w:p w14:paraId="57230C67" w14:textId="7B7DC24F" w:rsidR="00286884" w:rsidRPr="00E119DE" w:rsidRDefault="004F0079" w:rsidP="00615185">
      <w:pPr>
        <w:spacing w:after="120"/>
        <w:rPr>
          <w:rFonts w:ascii="Arial" w:hAnsi="Arial" w:cs="Arial"/>
          <w:sz w:val="28"/>
          <w:szCs w:val="28"/>
        </w:rPr>
      </w:pPr>
      <w:r w:rsidRPr="004F0079">
        <w:br w:type="page"/>
      </w:r>
      <w:bookmarkStart w:id="1" w:name="_Toc409593365"/>
      <w:bookmarkStart w:id="2" w:name="_Toc3892580"/>
      <w:bookmarkStart w:id="3" w:name="_Toc387868407"/>
      <w:r w:rsidR="00286884" w:rsidRPr="00770FED">
        <w:rPr>
          <w:rFonts w:ascii="Arial" w:hAnsi="Arial" w:cs="Arial"/>
          <w:sz w:val="28"/>
          <w:szCs w:val="28"/>
        </w:rPr>
        <w:lastRenderedPageBreak/>
        <w:t>B</w:t>
      </w:r>
      <w:r w:rsidR="00286884" w:rsidRPr="00E119DE">
        <w:rPr>
          <w:rFonts w:ascii="Arial" w:hAnsi="Arial" w:cs="Arial"/>
          <w:sz w:val="28"/>
          <w:szCs w:val="28"/>
        </w:rPr>
        <w:t>. Collection of Information Employing Statistical Methods</w:t>
      </w:r>
      <w:bookmarkEnd w:id="1"/>
      <w:bookmarkEnd w:id="2"/>
    </w:p>
    <w:p w14:paraId="4F5B92B3" w14:textId="3F00E17E" w:rsidR="0060623B" w:rsidRDefault="00BD1B68" w:rsidP="00DD31DC">
      <w:pPr>
        <w:spacing w:after="120" w:line="240" w:lineRule="auto"/>
      </w:pPr>
      <w:r w:rsidRPr="00EE5B8A">
        <w:t>Part B of this submission presents information on the statistical methods</w:t>
      </w:r>
      <w:r w:rsidR="00D7254A">
        <w:t xml:space="preserve"> </w:t>
      </w:r>
      <w:r w:rsidR="00AE1B90">
        <w:t xml:space="preserve">employed </w:t>
      </w:r>
      <w:r w:rsidR="00D7254A">
        <w:t xml:space="preserve">for the </w:t>
      </w:r>
      <w:r w:rsidR="00662384">
        <w:t xml:space="preserve">HS&amp;B:20 </w:t>
      </w:r>
      <w:r w:rsidR="00501B7D">
        <w:t>base-year f</w:t>
      </w:r>
      <w:r w:rsidR="00662384">
        <w:t xml:space="preserve">ield </w:t>
      </w:r>
      <w:r w:rsidR="00501B7D">
        <w:t>t</w:t>
      </w:r>
      <w:r w:rsidR="00662384">
        <w:t>est</w:t>
      </w:r>
      <w:r w:rsidR="00813AA7">
        <w:t xml:space="preserve"> and</w:t>
      </w:r>
      <w:r w:rsidR="001A7B4A">
        <w:t xml:space="preserve"> for the </w:t>
      </w:r>
      <w:r w:rsidR="00901554" w:rsidRPr="00901554">
        <w:t xml:space="preserve">HS&amp;B:20 base-year full-scale (BYFS) </w:t>
      </w:r>
      <w:r w:rsidR="00AE1B90">
        <w:t>study</w:t>
      </w:r>
      <w:r w:rsidR="001B6AD0" w:rsidRPr="001B6AD0">
        <w:t xml:space="preserve"> </w:t>
      </w:r>
      <w:r w:rsidR="001B6AD0">
        <w:t>sampling techniques and recruitment</w:t>
      </w:r>
      <w:r w:rsidRPr="00EE5B8A">
        <w:t>.</w:t>
      </w:r>
    </w:p>
    <w:p w14:paraId="7585DE90" w14:textId="6A0EA84D" w:rsidR="00662384" w:rsidRDefault="00662384" w:rsidP="00DD31DC">
      <w:pPr>
        <w:pStyle w:val="Heading2"/>
        <w:keepNext w:val="0"/>
        <w:spacing w:before="0" w:after="120" w:line="240" w:lineRule="auto"/>
      </w:pPr>
      <w:bookmarkStart w:id="4" w:name="_Toc438032643"/>
      <w:bookmarkStart w:id="5" w:name="_Toc3892581"/>
      <w:r>
        <w:t>B.1 Respondent Universe</w:t>
      </w:r>
      <w:bookmarkEnd w:id="4"/>
      <w:bookmarkEnd w:id="5"/>
    </w:p>
    <w:p w14:paraId="6EC336E7" w14:textId="03FE6799" w:rsidR="00B80004" w:rsidRDefault="00D779A7" w:rsidP="00DD31DC">
      <w:pPr>
        <w:spacing w:after="120" w:line="240" w:lineRule="auto"/>
      </w:pPr>
      <w:bookmarkStart w:id="6" w:name="_Hlk536626125"/>
      <w:r w:rsidRPr="00D779A7">
        <w:t>The High School and Beyond 2020 study (HS&amp;B:20) will follow a nationally-representative sample of ninth</w:t>
      </w:r>
      <w:r w:rsidR="003F1CAC">
        <w:t>-</w:t>
      </w:r>
      <w:r w:rsidRPr="00D779A7">
        <w:t>grade students from the start of high school in the fall of 2020 to the spring of 2024 when most will be in twelfth grade. The study sample will be freshened in 2024 to create a nationally representative sample of twelfth-graders. A high school transcript collection and additional follow-up data collections beyond high school are also planned.</w:t>
      </w:r>
      <w:r w:rsidR="003F1CAC">
        <w:t xml:space="preserve"> The sample of ninth-grade students selected in the fall of 2020 is referred to the ninth-grade cohort while the sample of students enrolled in twelfth-grade in spring of 2024 is referred to as the twelfth-grade cohort.</w:t>
      </w:r>
    </w:p>
    <w:p w14:paraId="3E079EC6" w14:textId="51D9016B" w:rsidR="00B1379E" w:rsidRPr="00284B50" w:rsidRDefault="00B1379E" w:rsidP="00DD31DC">
      <w:pPr>
        <w:spacing w:after="120" w:line="240" w:lineRule="auto"/>
      </w:pPr>
      <w:r w:rsidRPr="00284B50">
        <w:t xml:space="preserve">The target populations for </w:t>
      </w:r>
      <w:r w:rsidR="00901554" w:rsidRPr="00901554">
        <w:t>BYFS</w:t>
      </w:r>
      <w:r w:rsidR="00901554" w:rsidRPr="00284B50">
        <w:t xml:space="preserve"> </w:t>
      </w:r>
      <w:r w:rsidRPr="00284B50">
        <w:t xml:space="preserve">consists of </w:t>
      </w:r>
      <w:r w:rsidR="003F1CAC">
        <w:t>ninth-</w:t>
      </w:r>
      <w:r w:rsidRPr="00284B50">
        <w:t>grade students in public and private schools in the 50 United States and District of Columbia as of fall 2020</w:t>
      </w:r>
      <w:r w:rsidR="002F1AE1" w:rsidRPr="00284B50">
        <w:rPr>
          <w:rStyle w:val="FootnoteReference"/>
          <w:sz w:val="22"/>
        </w:rPr>
        <w:footnoteReference w:id="2"/>
      </w:r>
      <w:r w:rsidRPr="00284B50">
        <w:t>.</w:t>
      </w:r>
      <w:r w:rsidR="0060623B" w:rsidRPr="00284B50">
        <w:t xml:space="preserve"> </w:t>
      </w:r>
      <w:r w:rsidRPr="00284B50">
        <w:t xml:space="preserve">Excluded from the target universe will be special education schools, area vocational schools that do not enroll students directly, </w:t>
      </w:r>
      <w:r w:rsidR="001A7B4A">
        <w:t xml:space="preserve">Department of Defense (DoD) schools outside of the US, </w:t>
      </w:r>
      <w:r w:rsidRPr="00284B50">
        <w:t>and schools associated with temporary housing such as correctional facilities and treatment centers.</w:t>
      </w:r>
    </w:p>
    <w:p w14:paraId="569E8E1E" w14:textId="77777777" w:rsidR="00862331" w:rsidRPr="00862331" w:rsidRDefault="00862331" w:rsidP="00DD31DC">
      <w:pPr>
        <w:spacing w:after="120" w:line="240" w:lineRule="auto"/>
        <w:rPr>
          <w:u w:val="single"/>
        </w:rPr>
      </w:pPr>
      <w:r w:rsidRPr="00862331">
        <w:rPr>
          <w:u w:val="single"/>
        </w:rPr>
        <w:t>Field Test</w:t>
      </w:r>
    </w:p>
    <w:p w14:paraId="34257071" w14:textId="63A0E5C7" w:rsidR="0060623B" w:rsidRPr="00284B50" w:rsidRDefault="00662384" w:rsidP="00DD31DC">
      <w:pPr>
        <w:spacing w:after="120" w:line="240" w:lineRule="auto"/>
      </w:pPr>
      <w:r w:rsidRPr="00284B50">
        <w:t xml:space="preserve">The HS&amp;B:20 field test will </w:t>
      </w:r>
      <w:r w:rsidR="00367EE4" w:rsidRPr="00284B50">
        <w:t xml:space="preserve">include </w:t>
      </w:r>
      <w:r w:rsidR="003F1CAC">
        <w:t>ninth</w:t>
      </w:r>
      <w:r w:rsidR="002F1AE1" w:rsidRPr="00284B50">
        <w:t xml:space="preserve">- and </w:t>
      </w:r>
      <w:r w:rsidR="003F1CAC">
        <w:t>twelfth</w:t>
      </w:r>
      <w:r w:rsidR="00501B7D" w:rsidRPr="00284B50">
        <w:t>-</w:t>
      </w:r>
      <w:r w:rsidR="00367EE4" w:rsidRPr="00284B50">
        <w:t xml:space="preserve">grade students and will </w:t>
      </w:r>
      <w:r w:rsidRPr="00284B50">
        <w:t xml:space="preserve">be conducted during the </w:t>
      </w:r>
      <w:r w:rsidR="00043D9D" w:rsidRPr="00284B50">
        <w:t xml:space="preserve">fall of the 2019-20 </w:t>
      </w:r>
      <w:r w:rsidRPr="00284B50">
        <w:t>school year</w:t>
      </w:r>
      <w:r w:rsidR="00F26227" w:rsidRPr="00284B50">
        <w:t xml:space="preserve"> in six geographic locations, metropolitan statistical areas (MSA), to ensure sampled schools come from each of four broad Census regions (Northeast, Midwest, South, and West). </w:t>
      </w:r>
      <w:r w:rsidR="00F355FE">
        <w:t>Field test r</w:t>
      </w:r>
      <w:r w:rsidR="003F50A1" w:rsidRPr="00284B50">
        <w:t xml:space="preserve">ecruitment </w:t>
      </w:r>
      <w:r w:rsidR="00F26227" w:rsidRPr="00284B50">
        <w:t xml:space="preserve">is </w:t>
      </w:r>
      <w:r w:rsidR="00DD1CF6" w:rsidRPr="00284B50">
        <w:t xml:space="preserve">scheduled to begin </w:t>
      </w:r>
      <w:r w:rsidR="003F50A1" w:rsidRPr="00284B50">
        <w:t xml:space="preserve">in January 2019 and </w:t>
      </w:r>
      <w:r w:rsidR="00DD1CF6" w:rsidRPr="00284B50">
        <w:t xml:space="preserve">data collection </w:t>
      </w:r>
      <w:r w:rsidRPr="00284B50">
        <w:t xml:space="preserve">in </w:t>
      </w:r>
      <w:r w:rsidR="00C27097" w:rsidRPr="00284B50">
        <w:t>August</w:t>
      </w:r>
      <w:r w:rsidRPr="00284B50">
        <w:t xml:space="preserve"> 2019</w:t>
      </w:r>
      <w:r w:rsidR="00DD1CF6" w:rsidRPr="00284B50">
        <w:t>.</w:t>
      </w:r>
    </w:p>
    <w:p w14:paraId="542B5CF9" w14:textId="0717B91E" w:rsidR="00662384" w:rsidRPr="00284B50" w:rsidRDefault="00367EE4" w:rsidP="00DD31DC">
      <w:pPr>
        <w:spacing w:after="120" w:line="240" w:lineRule="auto"/>
      </w:pPr>
      <w:r w:rsidRPr="00284B50">
        <w:t>The field test will employ a two</w:t>
      </w:r>
      <w:r w:rsidR="00662384" w:rsidRPr="00284B50">
        <w:t xml:space="preserve">-stage sampling design, with schools selected in one stage, and then students selected within schools. Schools will be selected using </w:t>
      </w:r>
      <w:r w:rsidRPr="00284B50">
        <w:t>simple random sampling w</w:t>
      </w:r>
      <w:r w:rsidR="00662384" w:rsidRPr="00284B50">
        <w:t>ithin school sam</w:t>
      </w:r>
      <w:r w:rsidRPr="00284B50">
        <w:t>pling strata.</w:t>
      </w:r>
    </w:p>
    <w:p w14:paraId="08680455" w14:textId="5A2691B2" w:rsidR="00C9725C" w:rsidRDefault="00C9725C" w:rsidP="00DD31DC">
      <w:pPr>
        <w:spacing w:after="120" w:line="240" w:lineRule="auto"/>
      </w:pPr>
      <w:r w:rsidRPr="00284B50">
        <w:t>The primary sampling units (PSU) of schools will be selected from two databases of the U.S. Department of Education.</w:t>
      </w:r>
      <w:r w:rsidR="0060623B" w:rsidRPr="00284B50">
        <w:t xml:space="preserve"> </w:t>
      </w:r>
      <w:r w:rsidRPr="00284B50">
        <w:t xml:space="preserve">The 2015-2016 Common Core of Data (CCD) will be used </w:t>
      </w:r>
      <w:r w:rsidR="003F0FA0">
        <w:t>to select</w:t>
      </w:r>
      <w:r w:rsidRPr="00284B50">
        <w:t xml:space="preserve"> public schools </w:t>
      </w:r>
      <w:r w:rsidR="00862331">
        <w:t xml:space="preserve">and </w:t>
      </w:r>
      <w:r w:rsidR="00862331" w:rsidRPr="00284B50">
        <w:t>the 2015-2016 Private School Universe Survey (PSS)</w:t>
      </w:r>
      <w:r w:rsidR="003F0FA0">
        <w:t xml:space="preserve"> </w:t>
      </w:r>
      <w:r w:rsidR="003F0FA0" w:rsidRPr="00284B50">
        <w:t xml:space="preserve">will be used </w:t>
      </w:r>
      <w:r w:rsidR="003F0FA0">
        <w:t>to select</w:t>
      </w:r>
      <w:r w:rsidR="003F0FA0" w:rsidRPr="00284B50">
        <w:t xml:space="preserve"> </w:t>
      </w:r>
      <w:r w:rsidRPr="00284B50">
        <w:t xml:space="preserve">private schools. The secondary sampling units (SSU) of students will be selected from student rosters that will be </w:t>
      </w:r>
      <w:r w:rsidR="003F0FA0">
        <w:t>obtained</w:t>
      </w:r>
      <w:r w:rsidRPr="00284B50">
        <w:t xml:space="preserve"> from participating schools.</w:t>
      </w:r>
    </w:p>
    <w:p w14:paraId="14B03095" w14:textId="77777777" w:rsidR="003F0FA0" w:rsidRPr="003F0FA0" w:rsidRDefault="003F0FA0" w:rsidP="00F93BAF">
      <w:pPr>
        <w:widowControl w:val="0"/>
        <w:spacing w:after="120" w:line="21" w:lineRule="atLeast"/>
        <w:rPr>
          <w:u w:val="single"/>
        </w:rPr>
      </w:pPr>
      <w:r w:rsidRPr="003F0FA0">
        <w:rPr>
          <w:u w:val="single"/>
        </w:rPr>
        <w:t>Full-scale</w:t>
      </w:r>
    </w:p>
    <w:p w14:paraId="32F17023" w14:textId="23E1C381" w:rsidR="00F93BAF" w:rsidRDefault="00F93BAF" w:rsidP="00F93BAF">
      <w:pPr>
        <w:widowControl w:val="0"/>
        <w:spacing w:after="120" w:line="21" w:lineRule="atLeast"/>
      </w:pPr>
      <w:r>
        <w:t xml:space="preserve">BYFS </w:t>
      </w:r>
      <w:r w:rsidRPr="00436E66">
        <w:t>w</w:t>
      </w:r>
      <w:r>
        <w:t>ill be conducted during the 2020-21</w:t>
      </w:r>
      <w:r w:rsidRPr="00436E66">
        <w:t xml:space="preserve"> school year, with </w:t>
      </w:r>
      <w:r w:rsidR="0045294F">
        <w:t>r</w:t>
      </w:r>
      <w:r w:rsidR="0045294F" w:rsidRPr="00284B50">
        <w:t xml:space="preserve">ecruitment </w:t>
      </w:r>
      <w:r w:rsidR="0045294F" w:rsidRPr="00436E66">
        <w:t>sc</w:t>
      </w:r>
      <w:r w:rsidR="0045294F">
        <w:t xml:space="preserve">heduled to begin </w:t>
      </w:r>
      <w:r w:rsidR="0045294F" w:rsidRPr="00284B50">
        <w:t xml:space="preserve">in </w:t>
      </w:r>
      <w:r w:rsidR="0045294F">
        <w:t>August</w:t>
      </w:r>
      <w:r w:rsidR="0045294F" w:rsidRPr="00284B50">
        <w:t xml:space="preserve"> 2019 and </w:t>
      </w:r>
      <w:r w:rsidRPr="00436E66">
        <w:t xml:space="preserve">data collection </w:t>
      </w:r>
      <w:r>
        <w:t>in September 2020</w:t>
      </w:r>
      <w:r w:rsidRPr="00436E66">
        <w:t xml:space="preserve">. </w:t>
      </w:r>
      <w:r>
        <w:t xml:space="preserve">The BYFS is designed to select a nationally representative sample of schools offering grade 9 instruction and </w:t>
      </w:r>
      <w:r w:rsidRPr="003739AA">
        <w:t xml:space="preserve">a nationally representative sample of students enrolled in grade </w:t>
      </w:r>
      <w:r>
        <w:t xml:space="preserve">9. The </w:t>
      </w:r>
      <w:r w:rsidR="00A1703B">
        <w:t>BYFS</w:t>
      </w:r>
      <w:r>
        <w:t xml:space="preserve"> school population </w:t>
      </w:r>
      <w:r w:rsidR="000C2EA2">
        <w:t xml:space="preserve">consists of </w:t>
      </w:r>
      <w:r w:rsidR="000C2EA2" w:rsidRPr="000C2EA2">
        <w:t>regular public schools, including state department of education schools, that include 9th grade</w:t>
      </w:r>
      <w:r w:rsidR="000C2EA2">
        <w:t xml:space="preserve">; </w:t>
      </w:r>
      <w:r w:rsidR="000C2EA2" w:rsidRPr="000C2EA2">
        <w:t>Bureau of Indian Education schools that include 9th grade; and</w:t>
      </w:r>
      <w:r w:rsidR="000C2EA2">
        <w:t xml:space="preserve"> </w:t>
      </w:r>
      <w:r w:rsidR="000C2EA2" w:rsidRPr="000C2EA2">
        <w:t>Catholic and other private schools that include 9th grade</w:t>
      </w:r>
      <w:r w:rsidR="00FD2229">
        <w:t xml:space="preserve">. It </w:t>
      </w:r>
      <w:r>
        <w:t>excludes the following types of schools:</w:t>
      </w:r>
    </w:p>
    <w:p w14:paraId="7367C9E6" w14:textId="6B33E265" w:rsidR="00F93BAF" w:rsidRDefault="001A7B4A"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DoD</w:t>
      </w:r>
      <w:r w:rsidR="00F93BAF" w:rsidRPr="008E160F">
        <w:rPr>
          <w:rFonts w:asciiTheme="majorHAnsi" w:eastAsiaTheme="minorHAnsi" w:hAnsiTheme="majorHAnsi"/>
          <w:sz w:val="22"/>
          <w:szCs w:val="22"/>
        </w:rPr>
        <w:t xml:space="preserve"> Education Activity schools</w:t>
      </w:r>
      <w:r w:rsidR="00F93BAF">
        <w:rPr>
          <w:rFonts w:asciiTheme="majorHAnsi" w:eastAsiaTheme="minorHAnsi" w:hAnsiTheme="majorHAnsi"/>
          <w:sz w:val="22"/>
          <w:szCs w:val="22"/>
        </w:rPr>
        <w:t xml:space="preserve"> outside of the United States</w:t>
      </w:r>
      <w:r w:rsidR="00F93BAF" w:rsidRPr="008E160F">
        <w:rPr>
          <w:rFonts w:asciiTheme="majorHAnsi" w:eastAsiaTheme="minorHAnsi" w:hAnsiTheme="majorHAnsi"/>
          <w:sz w:val="22"/>
          <w:szCs w:val="22"/>
        </w:rPr>
        <w:t>,</w:t>
      </w:r>
    </w:p>
    <w:p w14:paraId="6FB97EED" w14:textId="77777777" w:rsidR="00F93BAF" w:rsidRPr="008E160F" w:rsidRDefault="00F93BAF"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Schools associated with correctional facilities, treatment facilities, hospitals, and other temporary housing facilities,</w:t>
      </w:r>
    </w:p>
    <w:p w14:paraId="3A474C66" w14:textId="77777777" w:rsidR="00F93BAF" w:rsidRDefault="00F93BAF"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Area vocational schools that do not enroll students directly, and</w:t>
      </w:r>
    </w:p>
    <w:p w14:paraId="5C4ABA19" w14:textId="5D5756C4" w:rsidR="00F93BAF" w:rsidRPr="008E160F" w:rsidRDefault="00FD2229" w:rsidP="00F93BAF">
      <w:pPr>
        <w:pStyle w:val="ListBullet"/>
        <w:widowControl w:val="0"/>
        <w:numPr>
          <w:ilvl w:val="0"/>
          <w:numId w:val="19"/>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w:t>
      </w:r>
      <w:r w:rsidR="00F93BAF" w:rsidRPr="008E160F">
        <w:rPr>
          <w:rFonts w:asciiTheme="majorHAnsi" w:eastAsiaTheme="minorHAnsi" w:hAnsiTheme="majorHAnsi"/>
          <w:sz w:val="22"/>
          <w:szCs w:val="22"/>
        </w:rPr>
        <w:t>pecial education schools</w:t>
      </w:r>
      <w:r w:rsidR="00F93BAF">
        <w:rPr>
          <w:rFonts w:asciiTheme="majorHAnsi" w:eastAsiaTheme="minorHAnsi" w:hAnsiTheme="majorHAnsi"/>
          <w:sz w:val="22"/>
          <w:szCs w:val="22"/>
        </w:rPr>
        <w:t>.</w:t>
      </w:r>
      <w:r w:rsidR="00F93BAF">
        <w:rPr>
          <w:rStyle w:val="FootnoteReference"/>
          <w:rFonts w:eastAsiaTheme="minorHAnsi"/>
          <w:szCs w:val="22"/>
        </w:rPr>
        <w:footnoteReference w:id="3"/>
      </w:r>
    </w:p>
    <w:p w14:paraId="39D23124" w14:textId="77777777" w:rsidR="00F93BAF" w:rsidRDefault="00F93BAF" w:rsidP="00F93BAF">
      <w:pPr>
        <w:widowControl w:val="0"/>
        <w:spacing w:after="120" w:line="21" w:lineRule="atLeast"/>
      </w:pPr>
      <w:r w:rsidRPr="00EE5B8A">
        <w:t xml:space="preserve">The </w:t>
      </w:r>
      <w:r>
        <w:t xml:space="preserve">HS&amp;B:20 BYFS </w:t>
      </w:r>
      <w:r w:rsidRPr="00EE5B8A">
        <w:t xml:space="preserve">will employ a multi-stage sampling design with schools selected in </w:t>
      </w:r>
      <w:r>
        <w:t>the first stage</w:t>
      </w:r>
      <w:r w:rsidRPr="00EE5B8A">
        <w:t xml:space="preserve"> and students selected</w:t>
      </w:r>
      <w:r>
        <w:t>,</w:t>
      </w:r>
      <w:r w:rsidRPr="00EE5B8A">
        <w:t xml:space="preserve"> within schools</w:t>
      </w:r>
      <w:r>
        <w:t>, at the second stage. Schools will be selected using probability proportional to size sampling within school sampling strata.</w:t>
      </w:r>
    </w:p>
    <w:p w14:paraId="7EF3E27D" w14:textId="04CA2F1C" w:rsidR="00AC6133" w:rsidRDefault="00F93BAF" w:rsidP="00F93BAF">
      <w:pPr>
        <w:widowControl w:val="0"/>
        <w:spacing w:after="120" w:line="21" w:lineRule="atLeast"/>
      </w:pPr>
      <w:r>
        <w:t>Students will be selected using simple random sampling within student sampling strata within schools. The school frame will be constructed from the 2017-18 Common Core of Data (</w:t>
      </w:r>
      <w:r w:rsidRPr="00B65CD5">
        <w:t>CCD 201</w:t>
      </w:r>
      <w:r>
        <w:t>7</w:t>
      </w:r>
      <w:r w:rsidRPr="00B65CD5">
        <w:t>-1</w:t>
      </w:r>
      <w:r>
        <w:t xml:space="preserve">8) and the 2015-16 Private School Universe Survey </w:t>
      </w:r>
      <w:r w:rsidRPr="00B65CD5">
        <w:t>(PSS 201</w:t>
      </w:r>
      <w:r>
        <w:t>5</w:t>
      </w:r>
      <w:r w:rsidRPr="00B65CD5">
        <w:t>-1</w:t>
      </w:r>
      <w:r>
        <w:t>6</w:t>
      </w:r>
      <w:r w:rsidRPr="00B65CD5">
        <w:t>)</w:t>
      </w:r>
      <w:r w:rsidRPr="00EE5B8A">
        <w:t xml:space="preserve"> </w:t>
      </w:r>
      <w:r>
        <w:t>and will include 28,688 schools that report offering ninth-grade instruction</w:t>
      </w:r>
      <w:r w:rsidR="00BC7213" w:rsidRPr="00BC7213">
        <w:t xml:space="preserve"> to at least 1 student</w:t>
      </w:r>
      <w:r>
        <w:t>.</w:t>
      </w:r>
      <w:r w:rsidR="0063581C" w:rsidRPr="0063581C">
        <w:t xml:space="preserve"> </w:t>
      </w:r>
      <w:r w:rsidR="0063581C">
        <w:t xml:space="preserve">An initial sample of 1,373 schools </w:t>
      </w:r>
      <w:r w:rsidR="00C176A5" w:rsidRPr="00C176A5">
        <w:t>will be selected with the goal of achieving</w:t>
      </w:r>
      <w:r w:rsidR="0098627E">
        <w:t xml:space="preserve"> </w:t>
      </w:r>
      <w:r w:rsidR="0063581C">
        <w:t>920 participating schools. A sample of approximately 26,000 students from an estimated 920 participating schools is estimated to produce 20,995 participating students enrolled in grade 9</w:t>
      </w:r>
      <w:r w:rsidR="0063581C" w:rsidRPr="000214E1">
        <w:t>.</w:t>
      </w:r>
    </w:p>
    <w:p w14:paraId="4870D118" w14:textId="28CAC4A2" w:rsidR="00F93BAF" w:rsidRDefault="00F93BAF" w:rsidP="00F93BAF">
      <w:pPr>
        <w:pStyle w:val="BodyText"/>
        <w:widowControl w:val="0"/>
        <w:spacing w:line="21" w:lineRule="atLeast"/>
      </w:pPr>
      <w:r>
        <w:t>The 28,688 schools in the sampling frame will be explicitly stratified by the cross-classification of the following characteristics</w:t>
      </w:r>
      <w:r>
        <w:rPr>
          <w:rStyle w:val="FootnoteReference"/>
        </w:rPr>
        <w:footnoteReference w:id="4"/>
      </w:r>
      <w:r>
        <w:t>:</w:t>
      </w:r>
    </w:p>
    <w:p w14:paraId="2B12730A" w14:textId="77777777" w:rsidR="00F93BAF" w:rsidRPr="00533B01" w:rsidRDefault="00F93BAF" w:rsidP="009D37C3">
      <w:pPr>
        <w:pStyle w:val="ListBullet"/>
        <w:widowControl w:val="0"/>
        <w:tabs>
          <w:tab w:val="clear" w:pos="360"/>
        </w:tabs>
        <w:spacing w:before="0" w:after="0" w:line="240" w:lineRule="auto"/>
        <w:ind w:left="533"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7DD420FE" w14:textId="77777777" w:rsidR="00F93BAF" w:rsidRPr="00533B01" w:rsidRDefault="00F93BAF" w:rsidP="009D37C3">
      <w:pPr>
        <w:pStyle w:val="ListBullet"/>
        <w:widowControl w:val="0"/>
        <w:tabs>
          <w:tab w:val="clear" w:pos="360"/>
        </w:tabs>
        <w:spacing w:before="0" w:after="0" w:line="240" w:lineRule="auto"/>
        <w:ind w:left="533"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Pr>
          <w:rFonts w:asciiTheme="majorHAnsi" w:eastAsiaTheme="minorHAnsi" w:hAnsiTheme="majorHAnsi"/>
          <w:sz w:val="22"/>
          <w:szCs w:val="22"/>
        </w:rPr>
        <w:t>,</w:t>
      </w:r>
    </w:p>
    <w:p w14:paraId="76D6A654" w14:textId="77777777" w:rsidR="0078194E" w:rsidRDefault="00F93BAF" w:rsidP="009D37C3">
      <w:pPr>
        <w:pStyle w:val="ListBullet"/>
        <w:widowControl w:val="0"/>
        <w:tabs>
          <w:tab w:val="clear" w:pos="360"/>
        </w:tabs>
        <w:spacing w:before="0" w:after="0" w:line="21" w:lineRule="atLeast"/>
        <w:ind w:left="533" w:hanging="274"/>
        <w:contextualSpacing w:val="0"/>
        <w:rPr>
          <w:rFonts w:asciiTheme="majorHAnsi" w:eastAsiaTheme="minorHAnsi" w:hAnsiTheme="majorHAnsi"/>
          <w:sz w:val="22"/>
          <w:szCs w:val="22"/>
        </w:rPr>
      </w:pPr>
      <w:r>
        <w:rPr>
          <w:rFonts w:asciiTheme="majorHAnsi" w:eastAsiaTheme="minorHAnsi" w:hAnsiTheme="majorHAnsi"/>
          <w:sz w:val="22"/>
          <w:szCs w:val="22"/>
        </w:rPr>
        <w:t>locale (city, suburb, town, rural), and</w:t>
      </w:r>
    </w:p>
    <w:p w14:paraId="655AD62B" w14:textId="3B83C109" w:rsidR="0063581C" w:rsidRPr="0063581C" w:rsidRDefault="00F93BAF" w:rsidP="0063581C">
      <w:pPr>
        <w:pStyle w:val="ListBullet"/>
        <w:widowControl w:val="0"/>
        <w:tabs>
          <w:tab w:val="clear" w:pos="360"/>
        </w:tabs>
        <w:spacing w:before="0" w:line="21" w:lineRule="atLeast"/>
        <w:ind w:left="533" w:hanging="274"/>
        <w:contextualSpacing w:val="0"/>
        <w:rPr>
          <w:rFonts w:asciiTheme="majorHAnsi" w:eastAsiaTheme="minorHAnsi" w:hAnsiTheme="majorHAnsi"/>
          <w:sz w:val="22"/>
          <w:szCs w:val="22"/>
        </w:rPr>
      </w:pPr>
      <w:r w:rsidRPr="009D37C3">
        <w:rPr>
          <w:rFonts w:asciiTheme="majorHAnsi" w:eastAsiaTheme="minorHAnsi" w:hAnsiTheme="majorHAnsi"/>
          <w:sz w:val="22"/>
          <w:szCs w:val="22"/>
        </w:rPr>
        <w:t>public school type (Charter, Magnet, Virt</w:t>
      </w:r>
      <w:r w:rsidR="00632C3B">
        <w:rPr>
          <w:rFonts w:asciiTheme="majorHAnsi" w:eastAsiaTheme="minorHAnsi" w:hAnsiTheme="majorHAnsi"/>
          <w:sz w:val="22"/>
          <w:szCs w:val="22"/>
        </w:rPr>
        <w:t>ual, not Charter/Magnet/Virtual</w:t>
      </w:r>
      <w:r w:rsidRPr="009D37C3">
        <w:rPr>
          <w:rFonts w:asciiTheme="majorHAnsi" w:eastAsiaTheme="minorHAnsi" w:hAnsiTheme="majorHAnsi"/>
          <w:sz w:val="22"/>
          <w:szCs w:val="22"/>
        </w:rPr>
        <w:t>)</w:t>
      </w:r>
      <w:r w:rsidR="00632C3B">
        <w:rPr>
          <w:rFonts w:asciiTheme="majorHAnsi" w:eastAsiaTheme="minorHAnsi" w:hAnsiTheme="majorHAnsi"/>
          <w:sz w:val="22"/>
          <w:szCs w:val="22"/>
        </w:rPr>
        <w:t>.</w:t>
      </w:r>
    </w:p>
    <w:p w14:paraId="44384714" w14:textId="4AEE0355" w:rsidR="0063581C" w:rsidRDefault="0063581C" w:rsidP="00F93BAF">
      <w:pPr>
        <w:pStyle w:val="BodyText"/>
        <w:widowControl w:val="0"/>
        <w:spacing w:line="21" w:lineRule="atLeast"/>
      </w:pPr>
      <w:r>
        <w:t xml:space="preserve">The distributions of the numbers of schools in the school sampling frame, </w:t>
      </w:r>
      <w:r w:rsidR="009E5AA4">
        <w:t xml:space="preserve">the initial school sample, and school participation goals are </w:t>
      </w:r>
      <w:r w:rsidR="002D1692">
        <w:t>shown</w:t>
      </w:r>
      <w:r w:rsidR="009E5AA4">
        <w:t xml:space="preserve"> by school sampling strata in table 1.</w:t>
      </w:r>
    </w:p>
    <w:p w14:paraId="06E43D6F" w14:textId="0CA05B21" w:rsidR="0063581C" w:rsidRDefault="0063581C" w:rsidP="0063581C">
      <w:pPr>
        <w:keepNext/>
        <w:spacing w:before="240" w:after="60" w:line="240" w:lineRule="auto"/>
        <w:rPr>
          <w:b/>
          <w:bCs/>
        </w:rPr>
      </w:pPr>
      <w:r>
        <w:rPr>
          <w:b/>
          <w:bCs/>
        </w:rPr>
        <w:t>Table 1</w:t>
      </w:r>
      <w:r w:rsidRPr="0040491E">
        <w:rPr>
          <w:b/>
          <w:bCs/>
        </w:rPr>
        <w:t xml:space="preserve">. </w:t>
      </w:r>
      <w:r w:rsidRPr="00B42ED0">
        <w:rPr>
          <w:b/>
          <w:bCs/>
        </w:rPr>
        <w:t>HS&amp;B:20</w:t>
      </w:r>
      <w:r>
        <w:rPr>
          <w:b/>
          <w:bCs/>
        </w:rPr>
        <w:t xml:space="preserve"> BYFS </w:t>
      </w:r>
      <w:r w:rsidRPr="0040491E">
        <w:rPr>
          <w:b/>
          <w:bCs/>
        </w:rPr>
        <w:t>School Sample Allocation</w:t>
      </w:r>
    </w:p>
    <w:tbl>
      <w:tblPr>
        <w:tblW w:w="5000" w:type="pct"/>
        <w:tblLook w:val="04A0" w:firstRow="1" w:lastRow="0" w:firstColumn="1" w:lastColumn="0" w:noHBand="0" w:noVBand="1"/>
      </w:tblPr>
      <w:tblGrid>
        <w:gridCol w:w="3458"/>
        <w:gridCol w:w="1064"/>
        <w:gridCol w:w="868"/>
        <w:gridCol w:w="1307"/>
        <w:gridCol w:w="972"/>
        <w:gridCol w:w="1401"/>
        <w:gridCol w:w="974"/>
        <w:gridCol w:w="972"/>
      </w:tblGrid>
      <w:tr w:rsidR="0063581C" w:rsidRPr="009467D4" w14:paraId="077492B7" w14:textId="77777777" w:rsidTr="00B50B25">
        <w:trPr>
          <w:trHeight w:val="144"/>
        </w:trPr>
        <w:tc>
          <w:tcPr>
            <w:tcW w:w="1570" w:type="pct"/>
            <w:tcBorders>
              <w:top w:val="single" w:sz="4" w:space="0" w:color="auto"/>
              <w:left w:val="single" w:sz="4" w:space="0" w:color="auto"/>
              <w:bottom w:val="single" w:sz="4" w:space="0" w:color="auto"/>
              <w:right w:val="single" w:sz="4" w:space="0" w:color="auto"/>
            </w:tcBorders>
            <w:shd w:val="clear" w:color="000000" w:fill="FAFBFE"/>
            <w:noWrap/>
            <w:vAlign w:val="bottom"/>
            <w:hideMark/>
          </w:tcPr>
          <w:p w14:paraId="7D158E15" w14:textId="7777777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 Type</w:t>
            </w:r>
          </w:p>
        </w:tc>
        <w:tc>
          <w:tcPr>
            <w:tcW w:w="483" w:type="pct"/>
            <w:tcBorders>
              <w:top w:val="single" w:sz="4" w:space="0" w:color="auto"/>
              <w:left w:val="nil"/>
              <w:bottom w:val="single" w:sz="4" w:space="0" w:color="auto"/>
              <w:right w:val="single" w:sz="4" w:space="0" w:color="auto"/>
            </w:tcBorders>
            <w:shd w:val="clear" w:color="000000" w:fill="FAFBFE"/>
            <w:vAlign w:val="bottom"/>
            <w:hideMark/>
          </w:tcPr>
          <w:p w14:paraId="3EF8B5C3" w14:textId="17A1358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Census Region</w:t>
            </w:r>
          </w:p>
        </w:tc>
        <w:tc>
          <w:tcPr>
            <w:tcW w:w="394" w:type="pct"/>
            <w:tcBorders>
              <w:top w:val="single" w:sz="4" w:space="0" w:color="auto"/>
              <w:left w:val="nil"/>
              <w:bottom w:val="single" w:sz="4" w:space="0" w:color="auto"/>
              <w:right w:val="single" w:sz="4" w:space="0" w:color="auto"/>
            </w:tcBorders>
            <w:shd w:val="clear" w:color="000000" w:fill="FAFBFE"/>
            <w:noWrap/>
            <w:vAlign w:val="bottom"/>
            <w:hideMark/>
          </w:tcPr>
          <w:p w14:paraId="6661D6AD" w14:textId="7777777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Locale</w:t>
            </w:r>
          </w:p>
        </w:tc>
        <w:tc>
          <w:tcPr>
            <w:tcW w:w="593" w:type="pct"/>
            <w:tcBorders>
              <w:top w:val="single" w:sz="4" w:space="0" w:color="auto"/>
              <w:left w:val="nil"/>
              <w:bottom w:val="single" w:sz="4" w:space="0" w:color="auto"/>
              <w:right w:val="single" w:sz="4" w:space="0" w:color="auto"/>
            </w:tcBorders>
            <w:shd w:val="clear" w:color="000000" w:fill="FAFBFE"/>
            <w:vAlign w:val="bottom"/>
            <w:hideMark/>
          </w:tcPr>
          <w:p w14:paraId="527586B5" w14:textId="373E0ED6"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Participation Goals</w:t>
            </w:r>
          </w:p>
        </w:tc>
        <w:tc>
          <w:tcPr>
            <w:tcW w:w="441" w:type="pct"/>
            <w:tcBorders>
              <w:top w:val="single" w:sz="4" w:space="0" w:color="auto"/>
              <w:left w:val="nil"/>
              <w:bottom w:val="single" w:sz="4" w:space="0" w:color="auto"/>
              <w:right w:val="single" w:sz="4" w:space="0" w:color="auto"/>
            </w:tcBorders>
            <w:shd w:val="clear" w:color="000000" w:fill="FAFBFE"/>
            <w:vAlign w:val="bottom"/>
            <w:hideMark/>
          </w:tcPr>
          <w:p w14:paraId="01BDC21F" w14:textId="5F44B763"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 Frame</w:t>
            </w:r>
            <w:r w:rsidR="001014FE">
              <w:rPr>
                <w:b/>
                <w:bCs/>
                <w:color w:val="000000"/>
                <w:sz w:val="18"/>
                <w:szCs w:val="18"/>
              </w:rPr>
              <w:t xml:space="preserve"> </w:t>
            </w:r>
            <w:r w:rsidRPr="009467D4">
              <w:rPr>
                <w:b/>
                <w:bCs/>
                <w:color w:val="000000"/>
                <w:sz w:val="18"/>
                <w:szCs w:val="18"/>
              </w:rPr>
              <w:t>Count</w:t>
            </w:r>
          </w:p>
        </w:tc>
        <w:tc>
          <w:tcPr>
            <w:tcW w:w="636" w:type="pct"/>
            <w:tcBorders>
              <w:top w:val="single" w:sz="4" w:space="0" w:color="auto"/>
              <w:left w:val="nil"/>
              <w:bottom w:val="single" w:sz="4" w:space="0" w:color="auto"/>
              <w:right w:val="single" w:sz="4" w:space="0" w:color="auto"/>
            </w:tcBorders>
            <w:shd w:val="clear" w:color="000000" w:fill="FAFBFE"/>
            <w:vAlign w:val="bottom"/>
            <w:hideMark/>
          </w:tcPr>
          <w:p w14:paraId="67CCD61B" w14:textId="0E709EF9"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Total Selected School Sample</w:t>
            </w:r>
          </w:p>
        </w:tc>
        <w:tc>
          <w:tcPr>
            <w:tcW w:w="442" w:type="pct"/>
            <w:tcBorders>
              <w:top w:val="single" w:sz="4" w:space="0" w:color="auto"/>
              <w:left w:val="nil"/>
              <w:bottom w:val="single" w:sz="4" w:space="0" w:color="auto"/>
              <w:right w:val="single" w:sz="4" w:space="0" w:color="auto"/>
            </w:tcBorders>
            <w:shd w:val="clear" w:color="000000" w:fill="FAFBFE"/>
            <w:vAlign w:val="bottom"/>
            <w:hideMark/>
          </w:tcPr>
          <w:p w14:paraId="383EC884" w14:textId="22B00216"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Initial School Sample</w:t>
            </w:r>
          </w:p>
        </w:tc>
        <w:tc>
          <w:tcPr>
            <w:tcW w:w="441" w:type="pct"/>
            <w:tcBorders>
              <w:top w:val="single" w:sz="4" w:space="0" w:color="auto"/>
              <w:left w:val="nil"/>
              <w:bottom w:val="single" w:sz="4" w:space="0" w:color="auto"/>
              <w:right w:val="single" w:sz="4" w:space="0" w:color="auto"/>
            </w:tcBorders>
            <w:shd w:val="clear" w:color="000000" w:fill="FAFBFE"/>
            <w:vAlign w:val="bottom"/>
            <w:hideMark/>
          </w:tcPr>
          <w:p w14:paraId="5B9F405A" w14:textId="6B36FABD"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w:t>
            </w:r>
            <w:r w:rsidR="001014FE">
              <w:rPr>
                <w:b/>
                <w:bCs/>
                <w:color w:val="000000"/>
                <w:sz w:val="18"/>
                <w:szCs w:val="18"/>
              </w:rPr>
              <w:t xml:space="preserve"> </w:t>
            </w:r>
            <w:r w:rsidRPr="009467D4">
              <w:rPr>
                <w:b/>
                <w:bCs/>
                <w:color w:val="000000"/>
                <w:sz w:val="18"/>
                <w:szCs w:val="18"/>
              </w:rPr>
              <w:t>Reserve Sample</w:t>
            </w:r>
          </w:p>
        </w:tc>
      </w:tr>
      <w:tr w:rsidR="0063581C" w:rsidRPr="009467D4" w14:paraId="46495132"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E2D3E0A" w14:textId="77777777"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Total</w:t>
            </w:r>
          </w:p>
        </w:tc>
        <w:tc>
          <w:tcPr>
            <w:tcW w:w="483" w:type="pct"/>
            <w:tcBorders>
              <w:top w:val="nil"/>
              <w:left w:val="nil"/>
              <w:bottom w:val="single" w:sz="4" w:space="0" w:color="auto"/>
              <w:right w:val="single" w:sz="4" w:space="0" w:color="auto"/>
            </w:tcBorders>
            <w:shd w:val="clear" w:color="000000" w:fill="FAFBFE"/>
            <w:noWrap/>
            <w:vAlign w:val="bottom"/>
          </w:tcPr>
          <w:p w14:paraId="48B1CB04" w14:textId="77777777" w:rsidR="0063581C" w:rsidRPr="009467D4" w:rsidRDefault="0063581C" w:rsidP="00B50B25">
            <w:pPr>
              <w:keepNext/>
              <w:spacing w:after="0" w:line="240" w:lineRule="auto"/>
              <w:jc w:val="right"/>
              <w:rPr>
                <w:rFonts w:cs="Courier New"/>
                <w:b/>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67C639EF" w14:textId="77777777" w:rsidR="0063581C" w:rsidRPr="009467D4" w:rsidRDefault="0063581C" w:rsidP="00B50B25">
            <w:pPr>
              <w:keepNext/>
              <w:spacing w:after="0" w:line="240" w:lineRule="auto"/>
              <w:jc w:val="right"/>
              <w:rPr>
                <w:rFonts w:cs="Courier New"/>
                <w:b/>
                <w:color w:val="000000"/>
                <w:sz w:val="18"/>
                <w:szCs w:val="18"/>
              </w:rPr>
            </w:pPr>
          </w:p>
        </w:tc>
        <w:tc>
          <w:tcPr>
            <w:tcW w:w="593" w:type="pct"/>
            <w:tcBorders>
              <w:top w:val="nil"/>
              <w:left w:val="nil"/>
              <w:bottom w:val="single" w:sz="4" w:space="0" w:color="auto"/>
              <w:right w:val="single" w:sz="4" w:space="0" w:color="auto"/>
            </w:tcBorders>
            <w:shd w:val="clear" w:color="000000" w:fill="FAFBFE"/>
            <w:noWrap/>
            <w:vAlign w:val="bottom"/>
            <w:hideMark/>
          </w:tcPr>
          <w:p w14:paraId="3AA96BBA" w14:textId="0903E88C"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920</w:t>
            </w:r>
          </w:p>
        </w:tc>
        <w:tc>
          <w:tcPr>
            <w:tcW w:w="441" w:type="pct"/>
            <w:tcBorders>
              <w:top w:val="nil"/>
              <w:left w:val="nil"/>
              <w:bottom w:val="single" w:sz="4" w:space="0" w:color="auto"/>
              <w:right w:val="single" w:sz="4" w:space="0" w:color="auto"/>
            </w:tcBorders>
            <w:shd w:val="clear" w:color="000000" w:fill="FAFBFE"/>
            <w:noWrap/>
            <w:vAlign w:val="bottom"/>
            <w:hideMark/>
          </w:tcPr>
          <w:p w14:paraId="1096999D" w14:textId="77777777" w:rsidR="0063581C" w:rsidRPr="009467D4" w:rsidRDefault="0063581C" w:rsidP="00B50B25">
            <w:pPr>
              <w:keepNext/>
              <w:spacing w:after="0" w:line="240" w:lineRule="auto"/>
              <w:jc w:val="right"/>
              <w:rPr>
                <w:rFonts w:cs="Courier New"/>
                <w:b/>
                <w:color w:val="000000"/>
                <w:sz w:val="18"/>
                <w:szCs w:val="18"/>
              </w:rPr>
            </w:pPr>
            <w:r>
              <w:rPr>
                <w:rFonts w:cs="Courier New"/>
                <w:b/>
                <w:color w:val="000000"/>
                <w:sz w:val="18"/>
                <w:szCs w:val="18"/>
              </w:rPr>
              <w:t>28,688</w:t>
            </w:r>
          </w:p>
        </w:tc>
        <w:tc>
          <w:tcPr>
            <w:tcW w:w="636" w:type="pct"/>
            <w:tcBorders>
              <w:top w:val="nil"/>
              <w:left w:val="nil"/>
              <w:bottom w:val="single" w:sz="4" w:space="0" w:color="auto"/>
              <w:right w:val="single" w:sz="4" w:space="0" w:color="auto"/>
            </w:tcBorders>
            <w:shd w:val="clear" w:color="000000" w:fill="FAFBFE"/>
            <w:noWrap/>
            <w:vAlign w:val="bottom"/>
            <w:hideMark/>
          </w:tcPr>
          <w:p w14:paraId="7C8FC3BE" w14:textId="044C7560"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2,728</w:t>
            </w:r>
          </w:p>
        </w:tc>
        <w:tc>
          <w:tcPr>
            <w:tcW w:w="442" w:type="pct"/>
            <w:tcBorders>
              <w:top w:val="nil"/>
              <w:left w:val="nil"/>
              <w:bottom w:val="single" w:sz="4" w:space="0" w:color="auto"/>
              <w:right w:val="single" w:sz="4" w:space="0" w:color="auto"/>
            </w:tcBorders>
            <w:shd w:val="clear" w:color="000000" w:fill="FAFBFE"/>
            <w:noWrap/>
            <w:vAlign w:val="bottom"/>
            <w:hideMark/>
          </w:tcPr>
          <w:p w14:paraId="32555A91" w14:textId="16CC274D"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1,373</w:t>
            </w:r>
          </w:p>
        </w:tc>
        <w:tc>
          <w:tcPr>
            <w:tcW w:w="441" w:type="pct"/>
            <w:tcBorders>
              <w:top w:val="nil"/>
              <w:left w:val="nil"/>
              <w:bottom w:val="single" w:sz="4" w:space="0" w:color="auto"/>
              <w:right w:val="single" w:sz="4" w:space="0" w:color="auto"/>
            </w:tcBorders>
            <w:shd w:val="clear" w:color="000000" w:fill="FAFBFE"/>
            <w:noWrap/>
            <w:vAlign w:val="bottom"/>
            <w:hideMark/>
          </w:tcPr>
          <w:p w14:paraId="0F8040F9" w14:textId="459C839A"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1,355</w:t>
            </w:r>
          </w:p>
        </w:tc>
      </w:tr>
      <w:tr w:rsidR="0063581C" w:rsidRPr="009467D4" w14:paraId="640418B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5BCC29C"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Public-Charter</w:t>
            </w:r>
          </w:p>
        </w:tc>
        <w:tc>
          <w:tcPr>
            <w:tcW w:w="483" w:type="pct"/>
            <w:tcBorders>
              <w:top w:val="nil"/>
              <w:left w:val="nil"/>
              <w:bottom w:val="single" w:sz="4" w:space="0" w:color="auto"/>
              <w:right w:val="single" w:sz="4" w:space="0" w:color="auto"/>
            </w:tcBorders>
            <w:shd w:val="clear" w:color="000000" w:fill="FAFBFE"/>
            <w:noWrap/>
            <w:vAlign w:val="bottom"/>
          </w:tcPr>
          <w:p w14:paraId="35828D2D" w14:textId="77777777" w:rsidR="0063581C" w:rsidRPr="009467D4" w:rsidRDefault="0063581C" w:rsidP="00B50B25">
            <w:pPr>
              <w:keepNext/>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6C6EBB28" w14:textId="77777777" w:rsidR="0063581C" w:rsidRPr="009467D4" w:rsidRDefault="0063581C" w:rsidP="00B50B25">
            <w:pPr>
              <w:keepNext/>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6F0ED621" w14:textId="3EF159D4"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27399FB5" w14:textId="1AD72C90"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2,466</w:t>
            </w:r>
          </w:p>
        </w:tc>
        <w:tc>
          <w:tcPr>
            <w:tcW w:w="636" w:type="pct"/>
            <w:tcBorders>
              <w:top w:val="nil"/>
              <w:left w:val="nil"/>
              <w:bottom w:val="single" w:sz="4" w:space="0" w:color="auto"/>
              <w:right w:val="single" w:sz="4" w:space="0" w:color="auto"/>
            </w:tcBorders>
            <w:shd w:val="clear" w:color="000000" w:fill="FAFBFE"/>
            <w:noWrap/>
            <w:vAlign w:val="bottom"/>
            <w:hideMark/>
          </w:tcPr>
          <w:p w14:paraId="68B0B5FF"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5E42F045"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490871D7"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78D0822D"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C35665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Public-Magnet</w:t>
            </w:r>
          </w:p>
        </w:tc>
        <w:tc>
          <w:tcPr>
            <w:tcW w:w="483" w:type="pct"/>
            <w:tcBorders>
              <w:top w:val="nil"/>
              <w:left w:val="nil"/>
              <w:bottom w:val="single" w:sz="4" w:space="0" w:color="auto"/>
              <w:right w:val="single" w:sz="4" w:space="0" w:color="auto"/>
            </w:tcBorders>
            <w:shd w:val="clear" w:color="000000" w:fill="FAFBFE"/>
            <w:noWrap/>
            <w:vAlign w:val="bottom"/>
          </w:tcPr>
          <w:p w14:paraId="77A32DF4" w14:textId="77777777" w:rsidR="0063581C" w:rsidRPr="009467D4" w:rsidRDefault="0063581C" w:rsidP="00B50B25">
            <w:pPr>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4A26E57F"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513F1CB7" w14:textId="4F23733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7D3D81AD" w14:textId="41DED66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971</w:t>
            </w:r>
          </w:p>
        </w:tc>
        <w:tc>
          <w:tcPr>
            <w:tcW w:w="636" w:type="pct"/>
            <w:tcBorders>
              <w:top w:val="nil"/>
              <w:left w:val="nil"/>
              <w:bottom w:val="single" w:sz="4" w:space="0" w:color="auto"/>
              <w:right w:val="single" w:sz="4" w:space="0" w:color="auto"/>
            </w:tcBorders>
            <w:shd w:val="clear" w:color="000000" w:fill="FAFBFE"/>
            <w:noWrap/>
            <w:vAlign w:val="bottom"/>
            <w:hideMark/>
          </w:tcPr>
          <w:p w14:paraId="3BA4CAF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3C0AA4E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7F65A0A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527B6D7C"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721EE7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Public-Virtual</w:t>
            </w:r>
          </w:p>
        </w:tc>
        <w:tc>
          <w:tcPr>
            <w:tcW w:w="483" w:type="pct"/>
            <w:tcBorders>
              <w:top w:val="nil"/>
              <w:left w:val="nil"/>
              <w:bottom w:val="single" w:sz="4" w:space="0" w:color="auto"/>
              <w:right w:val="single" w:sz="4" w:space="0" w:color="auto"/>
            </w:tcBorders>
            <w:shd w:val="clear" w:color="000000" w:fill="FAFBFE"/>
            <w:noWrap/>
            <w:vAlign w:val="bottom"/>
          </w:tcPr>
          <w:p w14:paraId="2691693C" w14:textId="77777777" w:rsidR="0063581C" w:rsidRPr="009467D4" w:rsidRDefault="0063581C" w:rsidP="00B50B25">
            <w:pPr>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337EE21D"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25B538AC" w14:textId="3CE59AC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344BD290" w14:textId="66E70E0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623</w:t>
            </w:r>
          </w:p>
        </w:tc>
        <w:tc>
          <w:tcPr>
            <w:tcW w:w="636" w:type="pct"/>
            <w:tcBorders>
              <w:top w:val="nil"/>
              <w:left w:val="nil"/>
              <w:bottom w:val="single" w:sz="4" w:space="0" w:color="auto"/>
              <w:right w:val="single" w:sz="4" w:space="0" w:color="auto"/>
            </w:tcBorders>
            <w:shd w:val="clear" w:color="000000" w:fill="FAFBFE"/>
            <w:noWrap/>
            <w:vAlign w:val="bottom"/>
            <w:hideMark/>
          </w:tcPr>
          <w:p w14:paraId="5BD99B0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461C542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47D5070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31C758C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42414F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7466A8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4370B7F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564E8E84" w14:textId="76566B4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17</w:t>
            </w:r>
          </w:p>
        </w:tc>
        <w:tc>
          <w:tcPr>
            <w:tcW w:w="441" w:type="pct"/>
            <w:tcBorders>
              <w:top w:val="nil"/>
              <w:left w:val="nil"/>
              <w:bottom w:val="single" w:sz="4" w:space="0" w:color="auto"/>
              <w:right w:val="single" w:sz="4" w:space="0" w:color="auto"/>
            </w:tcBorders>
            <w:shd w:val="clear" w:color="000000" w:fill="FAFBFE"/>
            <w:noWrap/>
            <w:vAlign w:val="bottom"/>
            <w:hideMark/>
          </w:tcPr>
          <w:p w14:paraId="1EBE4D99" w14:textId="10EE48E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717</w:t>
            </w:r>
          </w:p>
        </w:tc>
        <w:tc>
          <w:tcPr>
            <w:tcW w:w="636" w:type="pct"/>
            <w:tcBorders>
              <w:top w:val="nil"/>
              <w:left w:val="nil"/>
              <w:bottom w:val="single" w:sz="4" w:space="0" w:color="auto"/>
              <w:right w:val="single" w:sz="4" w:space="0" w:color="auto"/>
            </w:tcBorders>
            <w:shd w:val="clear" w:color="000000" w:fill="FAFBFE"/>
            <w:noWrap/>
            <w:vAlign w:val="bottom"/>
            <w:hideMark/>
          </w:tcPr>
          <w:p w14:paraId="05B3B2C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2" w:type="pct"/>
            <w:tcBorders>
              <w:top w:val="nil"/>
              <w:left w:val="nil"/>
              <w:bottom w:val="single" w:sz="4" w:space="0" w:color="auto"/>
              <w:right w:val="single" w:sz="4" w:space="0" w:color="auto"/>
            </w:tcBorders>
            <w:shd w:val="clear" w:color="000000" w:fill="FAFBFE"/>
            <w:noWrap/>
            <w:vAlign w:val="bottom"/>
            <w:hideMark/>
          </w:tcPr>
          <w:p w14:paraId="59DE987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w:t>
            </w:r>
          </w:p>
        </w:tc>
        <w:tc>
          <w:tcPr>
            <w:tcW w:w="441" w:type="pct"/>
            <w:tcBorders>
              <w:top w:val="nil"/>
              <w:left w:val="nil"/>
              <w:bottom w:val="single" w:sz="4" w:space="0" w:color="auto"/>
              <w:right w:val="single" w:sz="4" w:space="0" w:color="auto"/>
            </w:tcBorders>
            <w:shd w:val="clear" w:color="000000" w:fill="FAFBFE"/>
            <w:noWrap/>
            <w:vAlign w:val="bottom"/>
            <w:hideMark/>
          </w:tcPr>
          <w:p w14:paraId="4B8B159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25</w:t>
            </w:r>
          </w:p>
        </w:tc>
      </w:tr>
      <w:tr w:rsidR="0063581C" w:rsidRPr="009467D4" w14:paraId="14875A41"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7A6BDB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2C8D8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4E13F6A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6EEB5A42" w14:textId="1E4C8F1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55F28924" w14:textId="78206E7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1,162</w:t>
            </w:r>
          </w:p>
        </w:tc>
        <w:tc>
          <w:tcPr>
            <w:tcW w:w="636" w:type="pct"/>
            <w:tcBorders>
              <w:top w:val="nil"/>
              <w:left w:val="nil"/>
              <w:bottom w:val="single" w:sz="4" w:space="0" w:color="auto"/>
              <w:right w:val="single" w:sz="4" w:space="0" w:color="auto"/>
            </w:tcBorders>
            <w:shd w:val="clear" w:color="000000" w:fill="FAFBFE"/>
            <w:noWrap/>
            <w:vAlign w:val="bottom"/>
            <w:hideMark/>
          </w:tcPr>
          <w:p w14:paraId="54840AF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68A553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2990011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3B394C64"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79E233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8BABAC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2E9BE8B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2E3B8388" w14:textId="77E7443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w:t>
            </w:r>
          </w:p>
        </w:tc>
        <w:tc>
          <w:tcPr>
            <w:tcW w:w="441" w:type="pct"/>
            <w:tcBorders>
              <w:top w:val="nil"/>
              <w:left w:val="nil"/>
              <w:bottom w:val="single" w:sz="4" w:space="0" w:color="auto"/>
              <w:right w:val="single" w:sz="4" w:space="0" w:color="auto"/>
            </w:tcBorders>
            <w:shd w:val="clear" w:color="000000" w:fill="FAFBFE"/>
            <w:noWrap/>
            <w:vAlign w:val="bottom"/>
            <w:hideMark/>
          </w:tcPr>
          <w:p w14:paraId="3C31C416" w14:textId="0C2B118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247</w:t>
            </w:r>
          </w:p>
        </w:tc>
        <w:tc>
          <w:tcPr>
            <w:tcW w:w="636" w:type="pct"/>
            <w:tcBorders>
              <w:top w:val="nil"/>
              <w:left w:val="nil"/>
              <w:bottom w:val="single" w:sz="4" w:space="0" w:color="auto"/>
              <w:right w:val="single" w:sz="4" w:space="0" w:color="auto"/>
            </w:tcBorders>
            <w:shd w:val="clear" w:color="000000" w:fill="FAFBFE"/>
            <w:noWrap/>
            <w:vAlign w:val="bottom"/>
            <w:hideMark/>
          </w:tcPr>
          <w:p w14:paraId="5C3C450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2" w:type="pct"/>
            <w:tcBorders>
              <w:top w:val="nil"/>
              <w:left w:val="nil"/>
              <w:bottom w:val="single" w:sz="4" w:space="0" w:color="auto"/>
              <w:right w:val="single" w:sz="4" w:space="0" w:color="auto"/>
            </w:tcBorders>
            <w:shd w:val="clear" w:color="000000" w:fill="FAFBFE"/>
            <w:noWrap/>
            <w:vAlign w:val="bottom"/>
            <w:hideMark/>
          </w:tcPr>
          <w:p w14:paraId="0F2FF60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w:t>
            </w:r>
          </w:p>
        </w:tc>
        <w:tc>
          <w:tcPr>
            <w:tcW w:w="441" w:type="pct"/>
            <w:tcBorders>
              <w:top w:val="nil"/>
              <w:left w:val="nil"/>
              <w:bottom w:val="single" w:sz="4" w:space="0" w:color="auto"/>
              <w:right w:val="single" w:sz="4" w:space="0" w:color="auto"/>
            </w:tcBorders>
            <w:shd w:val="clear" w:color="000000" w:fill="FAFBFE"/>
            <w:noWrap/>
            <w:vAlign w:val="bottom"/>
            <w:hideMark/>
          </w:tcPr>
          <w:p w14:paraId="3DFD588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w:t>
            </w:r>
          </w:p>
        </w:tc>
      </w:tr>
      <w:tr w:rsidR="0063581C" w:rsidRPr="009467D4" w14:paraId="2B6A60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03478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7ECE33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75D5331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0F167E42" w14:textId="76CD9CE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w:t>
            </w:r>
          </w:p>
        </w:tc>
        <w:tc>
          <w:tcPr>
            <w:tcW w:w="441" w:type="pct"/>
            <w:tcBorders>
              <w:top w:val="nil"/>
              <w:left w:val="nil"/>
              <w:bottom w:val="single" w:sz="4" w:space="0" w:color="auto"/>
              <w:right w:val="single" w:sz="4" w:space="0" w:color="auto"/>
            </w:tcBorders>
            <w:shd w:val="clear" w:color="000000" w:fill="FAFBFE"/>
            <w:noWrap/>
            <w:vAlign w:val="bottom"/>
            <w:hideMark/>
          </w:tcPr>
          <w:p w14:paraId="6CF66FBB" w14:textId="6CD328D9"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775</w:t>
            </w:r>
          </w:p>
        </w:tc>
        <w:tc>
          <w:tcPr>
            <w:tcW w:w="636" w:type="pct"/>
            <w:tcBorders>
              <w:top w:val="nil"/>
              <w:left w:val="nil"/>
              <w:bottom w:val="single" w:sz="4" w:space="0" w:color="auto"/>
              <w:right w:val="single" w:sz="4" w:space="0" w:color="auto"/>
            </w:tcBorders>
            <w:shd w:val="clear" w:color="000000" w:fill="FAFBFE"/>
            <w:noWrap/>
            <w:vAlign w:val="bottom"/>
            <w:hideMark/>
          </w:tcPr>
          <w:p w14:paraId="45295D4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2" w:type="pct"/>
            <w:tcBorders>
              <w:top w:val="nil"/>
              <w:left w:val="nil"/>
              <w:bottom w:val="single" w:sz="4" w:space="0" w:color="auto"/>
              <w:right w:val="single" w:sz="4" w:space="0" w:color="auto"/>
            </w:tcBorders>
            <w:shd w:val="clear" w:color="000000" w:fill="FAFBFE"/>
            <w:noWrap/>
            <w:vAlign w:val="bottom"/>
            <w:hideMark/>
          </w:tcPr>
          <w:p w14:paraId="5EEB7E6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0B5DE01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r>
      <w:tr w:rsidR="0063581C" w:rsidRPr="009467D4" w14:paraId="5C7C2F0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AFA0EF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61D3D0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3AB9FAF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0BDDF15C" w14:textId="6A7CC5E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20</w:t>
            </w:r>
          </w:p>
        </w:tc>
        <w:tc>
          <w:tcPr>
            <w:tcW w:w="441" w:type="pct"/>
            <w:tcBorders>
              <w:top w:val="nil"/>
              <w:left w:val="nil"/>
              <w:bottom w:val="single" w:sz="4" w:space="0" w:color="auto"/>
              <w:right w:val="single" w:sz="4" w:space="0" w:color="auto"/>
            </w:tcBorders>
            <w:shd w:val="clear" w:color="000000" w:fill="FAFBFE"/>
            <w:noWrap/>
            <w:vAlign w:val="bottom"/>
            <w:hideMark/>
          </w:tcPr>
          <w:p w14:paraId="5C811429" w14:textId="1C70B19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713</w:t>
            </w:r>
          </w:p>
        </w:tc>
        <w:tc>
          <w:tcPr>
            <w:tcW w:w="636" w:type="pct"/>
            <w:tcBorders>
              <w:top w:val="nil"/>
              <w:left w:val="nil"/>
              <w:bottom w:val="single" w:sz="4" w:space="0" w:color="auto"/>
              <w:right w:val="single" w:sz="4" w:space="0" w:color="auto"/>
            </w:tcBorders>
            <w:shd w:val="clear" w:color="000000" w:fill="FAFBFE"/>
            <w:noWrap/>
            <w:vAlign w:val="bottom"/>
            <w:hideMark/>
          </w:tcPr>
          <w:p w14:paraId="5EEF5C8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59</w:t>
            </w:r>
          </w:p>
        </w:tc>
        <w:tc>
          <w:tcPr>
            <w:tcW w:w="442" w:type="pct"/>
            <w:tcBorders>
              <w:top w:val="nil"/>
              <w:left w:val="nil"/>
              <w:bottom w:val="single" w:sz="4" w:space="0" w:color="auto"/>
              <w:right w:val="single" w:sz="4" w:space="0" w:color="auto"/>
            </w:tcBorders>
            <w:shd w:val="clear" w:color="000000" w:fill="FAFBFE"/>
            <w:noWrap/>
            <w:vAlign w:val="bottom"/>
            <w:hideMark/>
          </w:tcPr>
          <w:p w14:paraId="1FBCCB7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28D708E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29</w:t>
            </w:r>
          </w:p>
        </w:tc>
      </w:tr>
      <w:tr w:rsidR="0063581C" w:rsidRPr="009467D4" w14:paraId="3C25D4E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324D51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710B4D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36F781B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50390860" w14:textId="67BE06F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29</w:t>
            </w:r>
          </w:p>
        </w:tc>
        <w:tc>
          <w:tcPr>
            <w:tcW w:w="441" w:type="pct"/>
            <w:tcBorders>
              <w:top w:val="nil"/>
              <w:left w:val="nil"/>
              <w:bottom w:val="single" w:sz="4" w:space="0" w:color="auto"/>
              <w:right w:val="single" w:sz="4" w:space="0" w:color="auto"/>
            </w:tcBorders>
            <w:shd w:val="clear" w:color="000000" w:fill="FAFBFE"/>
            <w:noWrap/>
            <w:vAlign w:val="bottom"/>
            <w:hideMark/>
          </w:tcPr>
          <w:p w14:paraId="3703271D" w14:textId="7B41273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984</w:t>
            </w:r>
          </w:p>
        </w:tc>
        <w:tc>
          <w:tcPr>
            <w:tcW w:w="636" w:type="pct"/>
            <w:tcBorders>
              <w:top w:val="nil"/>
              <w:left w:val="nil"/>
              <w:bottom w:val="single" w:sz="4" w:space="0" w:color="auto"/>
              <w:right w:val="single" w:sz="4" w:space="0" w:color="auto"/>
            </w:tcBorders>
            <w:shd w:val="clear" w:color="000000" w:fill="FAFBFE"/>
            <w:noWrap/>
            <w:vAlign w:val="bottom"/>
            <w:hideMark/>
          </w:tcPr>
          <w:p w14:paraId="0F004E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86</w:t>
            </w:r>
          </w:p>
        </w:tc>
        <w:tc>
          <w:tcPr>
            <w:tcW w:w="442" w:type="pct"/>
            <w:tcBorders>
              <w:top w:val="nil"/>
              <w:left w:val="nil"/>
              <w:bottom w:val="single" w:sz="4" w:space="0" w:color="auto"/>
              <w:right w:val="single" w:sz="4" w:space="0" w:color="auto"/>
            </w:tcBorders>
            <w:shd w:val="clear" w:color="000000" w:fill="FAFBFE"/>
            <w:noWrap/>
            <w:vAlign w:val="bottom"/>
            <w:hideMark/>
          </w:tcPr>
          <w:p w14:paraId="19BDB81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43</w:t>
            </w:r>
          </w:p>
        </w:tc>
        <w:tc>
          <w:tcPr>
            <w:tcW w:w="441" w:type="pct"/>
            <w:tcBorders>
              <w:top w:val="nil"/>
              <w:left w:val="nil"/>
              <w:bottom w:val="single" w:sz="4" w:space="0" w:color="auto"/>
              <w:right w:val="single" w:sz="4" w:space="0" w:color="auto"/>
            </w:tcBorders>
            <w:shd w:val="clear" w:color="000000" w:fill="FAFBFE"/>
            <w:noWrap/>
            <w:vAlign w:val="bottom"/>
            <w:hideMark/>
          </w:tcPr>
          <w:p w14:paraId="1E4AF1A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43</w:t>
            </w:r>
          </w:p>
        </w:tc>
      </w:tr>
      <w:tr w:rsidR="0063581C" w:rsidRPr="009467D4" w14:paraId="5A5A3D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265B36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2A1530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61FC46F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263AFD0C" w14:textId="7C3ACA2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w:t>
            </w:r>
          </w:p>
        </w:tc>
        <w:tc>
          <w:tcPr>
            <w:tcW w:w="441" w:type="pct"/>
            <w:tcBorders>
              <w:top w:val="nil"/>
              <w:left w:val="nil"/>
              <w:bottom w:val="single" w:sz="4" w:space="0" w:color="auto"/>
              <w:right w:val="single" w:sz="4" w:space="0" w:color="auto"/>
            </w:tcBorders>
            <w:shd w:val="clear" w:color="000000" w:fill="FAFBFE"/>
            <w:noWrap/>
            <w:vAlign w:val="bottom"/>
            <w:hideMark/>
          </w:tcPr>
          <w:p w14:paraId="400A793F" w14:textId="7DCE1A7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928</w:t>
            </w:r>
          </w:p>
        </w:tc>
        <w:tc>
          <w:tcPr>
            <w:tcW w:w="636" w:type="pct"/>
            <w:tcBorders>
              <w:top w:val="nil"/>
              <w:left w:val="nil"/>
              <w:bottom w:val="single" w:sz="4" w:space="0" w:color="auto"/>
              <w:right w:val="single" w:sz="4" w:space="0" w:color="auto"/>
            </w:tcBorders>
            <w:shd w:val="clear" w:color="000000" w:fill="FAFBFE"/>
            <w:noWrap/>
            <w:vAlign w:val="bottom"/>
            <w:hideMark/>
          </w:tcPr>
          <w:p w14:paraId="6CDA2F1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2" w:type="pct"/>
            <w:tcBorders>
              <w:top w:val="nil"/>
              <w:left w:val="nil"/>
              <w:bottom w:val="single" w:sz="4" w:space="0" w:color="auto"/>
              <w:right w:val="single" w:sz="4" w:space="0" w:color="auto"/>
            </w:tcBorders>
            <w:shd w:val="clear" w:color="000000" w:fill="FAFBFE"/>
            <w:noWrap/>
            <w:vAlign w:val="bottom"/>
            <w:hideMark/>
          </w:tcPr>
          <w:p w14:paraId="094D70F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7AF3142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r>
      <w:tr w:rsidR="0063581C" w:rsidRPr="009467D4" w14:paraId="06647F5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2EB67C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2BF946B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151A92E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37827924" w14:textId="7625F3E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28</w:t>
            </w:r>
          </w:p>
        </w:tc>
        <w:tc>
          <w:tcPr>
            <w:tcW w:w="441" w:type="pct"/>
            <w:tcBorders>
              <w:top w:val="nil"/>
              <w:left w:val="nil"/>
              <w:bottom w:val="single" w:sz="4" w:space="0" w:color="auto"/>
              <w:right w:val="single" w:sz="4" w:space="0" w:color="auto"/>
            </w:tcBorders>
            <w:shd w:val="clear" w:color="000000" w:fill="FAFBFE"/>
            <w:noWrap/>
            <w:vAlign w:val="bottom"/>
            <w:hideMark/>
          </w:tcPr>
          <w:p w14:paraId="236E3006" w14:textId="00E20594"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2,697</w:t>
            </w:r>
          </w:p>
        </w:tc>
        <w:tc>
          <w:tcPr>
            <w:tcW w:w="636" w:type="pct"/>
            <w:tcBorders>
              <w:top w:val="nil"/>
              <w:left w:val="nil"/>
              <w:bottom w:val="single" w:sz="4" w:space="0" w:color="auto"/>
              <w:right w:val="single" w:sz="4" w:space="0" w:color="auto"/>
            </w:tcBorders>
            <w:shd w:val="clear" w:color="000000" w:fill="FAFBFE"/>
            <w:noWrap/>
            <w:vAlign w:val="bottom"/>
            <w:hideMark/>
          </w:tcPr>
          <w:p w14:paraId="553516C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83</w:t>
            </w:r>
          </w:p>
        </w:tc>
        <w:tc>
          <w:tcPr>
            <w:tcW w:w="442" w:type="pct"/>
            <w:tcBorders>
              <w:top w:val="nil"/>
              <w:left w:val="nil"/>
              <w:bottom w:val="single" w:sz="4" w:space="0" w:color="auto"/>
              <w:right w:val="single" w:sz="4" w:space="0" w:color="auto"/>
            </w:tcBorders>
            <w:shd w:val="clear" w:color="000000" w:fill="FAFBFE"/>
            <w:noWrap/>
            <w:vAlign w:val="bottom"/>
            <w:hideMark/>
          </w:tcPr>
          <w:p w14:paraId="70B74D1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42</w:t>
            </w:r>
          </w:p>
        </w:tc>
        <w:tc>
          <w:tcPr>
            <w:tcW w:w="441" w:type="pct"/>
            <w:tcBorders>
              <w:top w:val="nil"/>
              <w:left w:val="nil"/>
              <w:bottom w:val="single" w:sz="4" w:space="0" w:color="auto"/>
              <w:right w:val="single" w:sz="4" w:space="0" w:color="auto"/>
            </w:tcBorders>
            <w:shd w:val="clear" w:color="000000" w:fill="FAFBFE"/>
            <w:noWrap/>
            <w:vAlign w:val="bottom"/>
            <w:hideMark/>
          </w:tcPr>
          <w:p w14:paraId="43148CA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41</w:t>
            </w:r>
          </w:p>
        </w:tc>
      </w:tr>
      <w:tr w:rsidR="0063581C" w:rsidRPr="009467D4" w14:paraId="3DB5CC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877026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8A5022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1D50D4A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40FC05BB" w14:textId="6E4066D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1F74ADB4" w14:textId="65B16215"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1,097</w:t>
            </w:r>
          </w:p>
        </w:tc>
        <w:tc>
          <w:tcPr>
            <w:tcW w:w="636" w:type="pct"/>
            <w:tcBorders>
              <w:top w:val="nil"/>
              <w:left w:val="nil"/>
              <w:bottom w:val="single" w:sz="4" w:space="0" w:color="auto"/>
              <w:right w:val="single" w:sz="4" w:space="0" w:color="auto"/>
            </w:tcBorders>
            <w:shd w:val="clear" w:color="000000" w:fill="FAFBFE"/>
            <w:noWrap/>
            <w:vAlign w:val="bottom"/>
            <w:hideMark/>
          </w:tcPr>
          <w:p w14:paraId="5A3892E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476890D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1188872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4C9DEF2E"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2684D2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66465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048D15C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338A4A3E" w14:textId="40398AC9"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c>
          <w:tcPr>
            <w:tcW w:w="441" w:type="pct"/>
            <w:tcBorders>
              <w:top w:val="nil"/>
              <w:left w:val="nil"/>
              <w:bottom w:val="single" w:sz="4" w:space="0" w:color="auto"/>
              <w:right w:val="single" w:sz="4" w:space="0" w:color="auto"/>
            </w:tcBorders>
            <w:shd w:val="clear" w:color="000000" w:fill="FAFBFE"/>
            <w:noWrap/>
            <w:vAlign w:val="bottom"/>
            <w:hideMark/>
          </w:tcPr>
          <w:p w14:paraId="5B4EEE29" w14:textId="381C61EE"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1,250</w:t>
            </w:r>
          </w:p>
        </w:tc>
        <w:tc>
          <w:tcPr>
            <w:tcW w:w="636" w:type="pct"/>
            <w:tcBorders>
              <w:top w:val="nil"/>
              <w:left w:val="nil"/>
              <w:bottom w:val="single" w:sz="4" w:space="0" w:color="auto"/>
              <w:right w:val="single" w:sz="4" w:space="0" w:color="auto"/>
            </w:tcBorders>
            <w:shd w:val="clear" w:color="000000" w:fill="FAFBFE"/>
            <w:noWrap/>
            <w:vAlign w:val="bottom"/>
            <w:hideMark/>
          </w:tcPr>
          <w:p w14:paraId="7E13793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130</w:t>
            </w:r>
          </w:p>
        </w:tc>
        <w:tc>
          <w:tcPr>
            <w:tcW w:w="442" w:type="pct"/>
            <w:tcBorders>
              <w:top w:val="nil"/>
              <w:left w:val="nil"/>
              <w:bottom w:val="single" w:sz="4" w:space="0" w:color="auto"/>
              <w:right w:val="single" w:sz="4" w:space="0" w:color="auto"/>
            </w:tcBorders>
            <w:shd w:val="clear" w:color="000000" w:fill="FAFBFE"/>
            <w:noWrap/>
            <w:vAlign w:val="bottom"/>
            <w:hideMark/>
          </w:tcPr>
          <w:p w14:paraId="4C1E9A3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65</w:t>
            </w:r>
          </w:p>
        </w:tc>
        <w:tc>
          <w:tcPr>
            <w:tcW w:w="441" w:type="pct"/>
            <w:tcBorders>
              <w:top w:val="nil"/>
              <w:left w:val="nil"/>
              <w:bottom w:val="single" w:sz="4" w:space="0" w:color="auto"/>
              <w:right w:val="single" w:sz="4" w:space="0" w:color="auto"/>
            </w:tcBorders>
            <w:shd w:val="clear" w:color="000000" w:fill="FAFBFE"/>
            <w:noWrap/>
            <w:vAlign w:val="bottom"/>
            <w:hideMark/>
          </w:tcPr>
          <w:p w14:paraId="4D0ED21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65</w:t>
            </w:r>
          </w:p>
        </w:tc>
      </w:tr>
      <w:tr w:rsidR="0063581C" w:rsidRPr="009467D4" w14:paraId="0BFC3E4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1ED8E1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17165D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265CE69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5507D21A" w14:textId="11AB27D6"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28140AB6" w14:textId="73E5E476"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1,004</w:t>
            </w:r>
          </w:p>
        </w:tc>
        <w:tc>
          <w:tcPr>
            <w:tcW w:w="636" w:type="pct"/>
            <w:tcBorders>
              <w:top w:val="nil"/>
              <w:left w:val="nil"/>
              <w:bottom w:val="single" w:sz="4" w:space="0" w:color="auto"/>
              <w:right w:val="single" w:sz="4" w:space="0" w:color="auto"/>
            </w:tcBorders>
            <w:shd w:val="clear" w:color="000000" w:fill="FAFBFE"/>
            <w:noWrap/>
            <w:vAlign w:val="bottom"/>
            <w:hideMark/>
          </w:tcPr>
          <w:p w14:paraId="23EBA4B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w:t>
            </w:r>
          </w:p>
        </w:tc>
        <w:tc>
          <w:tcPr>
            <w:tcW w:w="442" w:type="pct"/>
            <w:tcBorders>
              <w:top w:val="nil"/>
              <w:left w:val="nil"/>
              <w:bottom w:val="single" w:sz="4" w:space="0" w:color="auto"/>
              <w:right w:val="single" w:sz="4" w:space="0" w:color="auto"/>
            </w:tcBorders>
            <w:shd w:val="clear" w:color="000000" w:fill="FAFBFE"/>
            <w:noWrap/>
            <w:vAlign w:val="bottom"/>
            <w:hideMark/>
          </w:tcPr>
          <w:p w14:paraId="221B981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17A765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35</w:t>
            </w:r>
          </w:p>
        </w:tc>
      </w:tr>
      <w:tr w:rsidR="0063581C" w:rsidRPr="009467D4" w14:paraId="49EADCA4"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6EF20C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ECA834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3A1C4CE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6AC04191" w14:textId="56486F3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c>
          <w:tcPr>
            <w:tcW w:w="441" w:type="pct"/>
            <w:tcBorders>
              <w:top w:val="nil"/>
              <w:left w:val="nil"/>
              <w:bottom w:val="single" w:sz="4" w:space="0" w:color="auto"/>
              <w:right w:val="single" w:sz="4" w:space="0" w:color="auto"/>
            </w:tcBorders>
            <w:shd w:val="clear" w:color="000000" w:fill="FAFBFE"/>
            <w:noWrap/>
            <w:vAlign w:val="bottom"/>
            <w:hideMark/>
          </w:tcPr>
          <w:p w14:paraId="6CA04239" w14:textId="0A2C059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2,857</w:t>
            </w:r>
          </w:p>
        </w:tc>
        <w:tc>
          <w:tcPr>
            <w:tcW w:w="636" w:type="pct"/>
            <w:tcBorders>
              <w:top w:val="nil"/>
              <w:left w:val="nil"/>
              <w:bottom w:val="single" w:sz="4" w:space="0" w:color="auto"/>
              <w:right w:val="single" w:sz="4" w:space="0" w:color="auto"/>
            </w:tcBorders>
            <w:shd w:val="clear" w:color="000000" w:fill="FAFBFE"/>
            <w:noWrap/>
            <w:vAlign w:val="bottom"/>
            <w:hideMark/>
          </w:tcPr>
          <w:p w14:paraId="5B1969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148</w:t>
            </w:r>
          </w:p>
        </w:tc>
        <w:tc>
          <w:tcPr>
            <w:tcW w:w="442" w:type="pct"/>
            <w:tcBorders>
              <w:top w:val="nil"/>
              <w:left w:val="nil"/>
              <w:bottom w:val="single" w:sz="4" w:space="0" w:color="auto"/>
              <w:right w:val="single" w:sz="4" w:space="0" w:color="auto"/>
            </w:tcBorders>
            <w:shd w:val="clear" w:color="000000" w:fill="FAFBFE"/>
            <w:noWrap/>
            <w:vAlign w:val="bottom"/>
            <w:hideMark/>
          </w:tcPr>
          <w:p w14:paraId="78FC1F3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74</w:t>
            </w:r>
          </w:p>
        </w:tc>
        <w:tc>
          <w:tcPr>
            <w:tcW w:w="441" w:type="pct"/>
            <w:tcBorders>
              <w:top w:val="nil"/>
              <w:left w:val="nil"/>
              <w:bottom w:val="single" w:sz="4" w:space="0" w:color="auto"/>
              <w:right w:val="single" w:sz="4" w:space="0" w:color="auto"/>
            </w:tcBorders>
            <w:shd w:val="clear" w:color="000000" w:fill="FAFBFE"/>
            <w:noWrap/>
            <w:vAlign w:val="bottom"/>
            <w:hideMark/>
          </w:tcPr>
          <w:p w14:paraId="7B46104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74</w:t>
            </w:r>
          </w:p>
        </w:tc>
      </w:tr>
      <w:tr w:rsidR="0063581C" w:rsidRPr="009467D4" w14:paraId="7B2DD5A7"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21F549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6FE37D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31B047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52C285B6" w14:textId="19611C7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0B908471" w14:textId="6A1635E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960</w:t>
            </w:r>
          </w:p>
        </w:tc>
        <w:tc>
          <w:tcPr>
            <w:tcW w:w="636" w:type="pct"/>
            <w:tcBorders>
              <w:top w:val="nil"/>
              <w:left w:val="nil"/>
              <w:bottom w:val="single" w:sz="4" w:space="0" w:color="auto"/>
              <w:right w:val="single" w:sz="4" w:space="0" w:color="auto"/>
            </w:tcBorders>
            <w:shd w:val="clear" w:color="000000" w:fill="FAFBFE"/>
            <w:noWrap/>
            <w:vAlign w:val="bottom"/>
            <w:hideMark/>
          </w:tcPr>
          <w:p w14:paraId="4235970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107</w:t>
            </w:r>
          </w:p>
        </w:tc>
        <w:tc>
          <w:tcPr>
            <w:tcW w:w="442" w:type="pct"/>
            <w:tcBorders>
              <w:top w:val="nil"/>
              <w:left w:val="nil"/>
              <w:bottom w:val="single" w:sz="4" w:space="0" w:color="auto"/>
              <w:right w:val="single" w:sz="4" w:space="0" w:color="auto"/>
            </w:tcBorders>
            <w:shd w:val="clear" w:color="000000" w:fill="FAFBFE"/>
            <w:noWrap/>
            <w:vAlign w:val="bottom"/>
            <w:hideMark/>
          </w:tcPr>
          <w:p w14:paraId="1CF0A9D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54</w:t>
            </w:r>
          </w:p>
        </w:tc>
        <w:tc>
          <w:tcPr>
            <w:tcW w:w="441" w:type="pct"/>
            <w:tcBorders>
              <w:top w:val="nil"/>
              <w:left w:val="nil"/>
              <w:bottom w:val="single" w:sz="4" w:space="0" w:color="auto"/>
              <w:right w:val="single" w:sz="4" w:space="0" w:color="auto"/>
            </w:tcBorders>
            <w:shd w:val="clear" w:color="000000" w:fill="FAFBFE"/>
            <w:noWrap/>
            <w:vAlign w:val="bottom"/>
            <w:hideMark/>
          </w:tcPr>
          <w:p w14:paraId="57AF4D1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53</w:t>
            </w:r>
          </w:p>
        </w:tc>
      </w:tr>
      <w:tr w:rsidR="0063581C" w:rsidRPr="009467D4" w14:paraId="5A701C87"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86A677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511487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53166C4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1E43BDBA" w14:textId="202CE90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27D24052" w14:textId="6229C8F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950</w:t>
            </w:r>
          </w:p>
        </w:tc>
        <w:tc>
          <w:tcPr>
            <w:tcW w:w="636" w:type="pct"/>
            <w:tcBorders>
              <w:top w:val="nil"/>
              <w:left w:val="nil"/>
              <w:bottom w:val="single" w:sz="4" w:space="0" w:color="auto"/>
              <w:right w:val="single" w:sz="4" w:space="0" w:color="auto"/>
            </w:tcBorders>
            <w:shd w:val="clear" w:color="000000" w:fill="FAFBFE"/>
            <w:noWrap/>
            <w:vAlign w:val="bottom"/>
            <w:hideMark/>
          </w:tcPr>
          <w:p w14:paraId="47FA42A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66DC221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2613A36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19C20822"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A0341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09FF6E3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27344F0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1CC7D273" w14:textId="0DB3B0F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38E14DA2" w14:textId="7CF3693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632</w:t>
            </w:r>
          </w:p>
        </w:tc>
        <w:tc>
          <w:tcPr>
            <w:tcW w:w="636" w:type="pct"/>
            <w:tcBorders>
              <w:top w:val="nil"/>
              <w:left w:val="nil"/>
              <w:bottom w:val="single" w:sz="4" w:space="0" w:color="auto"/>
              <w:right w:val="single" w:sz="4" w:space="0" w:color="auto"/>
            </w:tcBorders>
            <w:shd w:val="clear" w:color="000000" w:fill="FAFBFE"/>
            <w:noWrap/>
            <w:vAlign w:val="bottom"/>
            <w:hideMark/>
          </w:tcPr>
          <w:p w14:paraId="366C211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w:t>
            </w:r>
          </w:p>
        </w:tc>
        <w:tc>
          <w:tcPr>
            <w:tcW w:w="442" w:type="pct"/>
            <w:tcBorders>
              <w:top w:val="nil"/>
              <w:left w:val="nil"/>
              <w:bottom w:val="single" w:sz="4" w:space="0" w:color="auto"/>
              <w:right w:val="single" w:sz="4" w:space="0" w:color="auto"/>
            </w:tcBorders>
            <w:shd w:val="clear" w:color="000000" w:fill="FAFBFE"/>
            <w:noWrap/>
            <w:vAlign w:val="bottom"/>
            <w:hideMark/>
          </w:tcPr>
          <w:p w14:paraId="6D3F002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24F6590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35</w:t>
            </w:r>
          </w:p>
        </w:tc>
      </w:tr>
      <w:tr w:rsidR="0063581C" w:rsidRPr="009467D4" w14:paraId="2EA72E5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3BEC8B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0927999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4F3CA9D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654BC750" w14:textId="44B5195E"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272A22BA" w14:textId="3DE4E90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1,311</w:t>
            </w:r>
          </w:p>
        </w:tc>
        <w:tc>
          <w:tcPr>
            <w:tcW w:w="636" w:type="pct"/>
            <w:tcBorders>
              <w:top w:val="nil"/>
              <w:left w:val="nil"/>
              <w:bottom w:val="single" w:sz="4" w:space="0" w:color="auto"/>
              <w:right w:val="single" w:sz="4" w:space="0" w:color="auto"/>
            </w:tcBorders>
            <w:shd w:val="clear" w:color="000000" w:fill="FAFBFE"/>
            <w:noWrap/>
            <w:vAlign w:val="bottom"/>
            <w:hideMark/>
          </w:tcPr>
          <w:p w14:paraId="16830B2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3C50430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6E28CF5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3C5DA18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EA9DBF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356909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tcPr>
          <w:p w14:paraId="1994804B"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710A7EE1" w14:textId="1DEA247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3AB28270" w14:textId="3C1A32D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265</w:t>
            </w:r>
          </w:p>
        </w:tc>
        <w:tc>
          <w:tcPr>
            <w:tcW w:w="636" w:type="pct"/>
            <w:tcBorders>
              <w:top w:val="nil"/>
              <w:left w:val="nil"/>
              <w:bottom w:val="single" w:sz="4" w:space="0" w:color="auto"/>
              <w:right w:val="single" w:sz="4" w:space="0" w:color="auto"/>
            </w:tcBorders>
            <w:shd w:val="clear" w:color="000000" w:fill="FAFBFE"/>
            <w:noWrap/>
            <w:vAlign w:val="bottom"/>
            <w:hideMark/>
          </w:tcPr>
          <w:p w14:paraId="6D42D08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37470D6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3BDA2F8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6C16DC8E"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F0AE2A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0FA6115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tcPr>
          <w:p w14:paraId="70F4D774"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7BFA5F98" w14:textId="2007DA3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4F323E22" w14:textId="2B504F7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336</w:t>
            </w:r>
          </w:p>
        </w:tc>
        <w:tc>
          <w:tcPr>
            <w:tcW w:w="636" w:type="pct"/>
            <w:tcBorders>
              <w:top w:val="nil"/>
              <w:left w:val="nil"/>
              <w:bottom w:val="single" w:sz="4" w:space="0" w:color="auto"/>
              <w:right w:val="single" w:sz="4" w:space="0" w:color="auto"/>
            </w:tcBorders>
            <w:shd w:val="clear" w:color="000000" w:fill="FAFBFE"/>
            <w:noWrap/>
            <w:vAlign w:val="bottom"/>
            <w:hideMark/>
          </w:tcPr>
          <w:p w14:paraId="5586783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22BDC17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64B4185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1BD3373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41825B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6D6B367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tcPr>
          <w:p w14:paraId="451474E7"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3CD59277" w14:textId="54367BE4"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6860C32F" w14:textId="126878C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258</w:t>
            </w:r>
          </w:p>
        </w:tc>
        <w:tc>
          <w:tcPr>
            <w:tcW w:w="636" w:type="pct"/>
            <w:tcBorders>
              <w:top w:val="nil"/>
              <w:left w:val="nil"/>
              <w:bottom w:val="single" w:sz="4" w:space="0" w:color="auto"/>
              <w:right w:val="single" w:sz="4" w:space="0" w:color="auto"/>
            </w:tcBorders>
            <w:shd w:val="clear" w:color="000000" w:fill="FAFBFE"/>
            <w:noWrap/>
            <w:vAlign w:val="bottom"/>
            <w:hideMark/>
          </w:tcPr>
          <w:p w14:paraId="632CC7C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47F7FD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0FBB345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688FD82C"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0F9CB0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59EF0FD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tcPr>
          <w:p w14:paraId="43401A80"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0D458774" w14:textId="02A655F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3F6A36A5" w14:textId="0ACCDE5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172</w:t>
            </w:r>
          </w:p>
        </w:tc>
        <w:tc>
          <w:tcPr>
            <w:tcW w:w="636" w:type="pct"/>
            <w:tcBorders>
              <w:top w:val="nil"/>
              <w:left w:val="nil"/>
              <w:bottom w:val="single" w:sz="4" w:space="0" w:color="auto"/>
              <w:right w:val="single" w:sz="4" w:space="0" w:color="auto"/>
            </w:tcBorders>
            <w:shd w:val="clear" w:color="000000" w:fill="FAFBFE"/>
            <w:noWrap/>
            <w:vAlign w:val="bottom"/>
            <w:hideMark/>
          </w:tcPr>
          <w:p w14:paraId="68BF390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0AFC6A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10996A4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35994CBD"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716505C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4B9B451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tcPr>
          <w:p w14:paraId="1EB633D6"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4EEF6039" w14:textId="043A27B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504B4F7C" w14:textId="6312A54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1,058</w:t>
            </w:r>
          </w:p>
        </w:tc>
        <w:tc>
          <w:tcPr>
            <w:tcW w:w="636" w:type="pct"/>
            <w:tcBorders>
              <w:top w:val="nil"/>
              <w:left w:val="nil"/>
              <w:bottom w:val="single" w:sz="4" w:space="0" w:color="auto"/>
              <w:right w:val="single" w:sz="4" w:space="0" w:color="auto"/>
            </w:tcBorders>
            <w:shd w:val="clear" w:color="000000" w:fill="FAFBFE"/>
            <w:noWrap/>
            <w:vAlign w:val="bottom"/>
            <w:hideMark/>
          </w:tcPr>
          <w:p w14:paraId="74352DA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37251ED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261CB0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3301ED5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521CCD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0CBC60A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tcPr>
          <w:p w14:paraId="31D57709"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654451DC" w14:textId="2D0B588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09054A9A" w14:textId="5FE6D66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854</w:t>
            </w:r>
          </w:p>
        </w:tc>
        <w:tc>
          <w:tcPr>
            <w:tcW w:w="636" w:type="pct"/>
            <w:tcBorders>
              <w:top w:val="nil"/>
              <w:left w:val="nil"/>
              <w:bottom w:val="single" w:sz="4" w:space="0" w:color="auto"/>
              <w:right w:val="single" w:sz="4" w:space="0" w:color="auto"/>
            </w:tcBorders>
            <w:shd w:val="clear" w:color="000000" w:fill="FAFBFE"/>
            <w:noWrap/>
            <w:vAlign w:val="bottom"/>
            <w:hideMark/>
          </w:tcPr>
          <w:p w14:paraId="2B0BBC1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7C3B25B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04224D7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6167DD31"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BFB4E7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22FF057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tcPr>
          <w:p w14:paraId="2C81DABC"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0CB127BB" w14:textId="2C21710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55</w:t>
            </w:r>
          </w:p>
        </w:tc>
        <w:tc>
          <w:tcPr>
            <w:tcW w:w="441" w:type="pct"/>
            <w:tcBorders>
              <w:top w:val="nil"/>
              <w:left w:val="nil"/>
              <w:bottom w:val="single" w:sz="4" w:space="0" w:color="auto"/>
              <w:right w:val="single" w:sz="4" w:space="0" w:color="auto"/>
            </w:tcBorders>
            <w:shd w:val="clear" w:color="000000" w:fill="FAFBFE"/>
            <w:noWrap/>
            <w:vAlign w:val="bottom"/>
            <w:hideMark/>
          </w:tcPr>
          <w:p w14:paraId="034DE4B7" w14:textId="2B0B027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2,442</w:t>
            </w:r>
          </w:p>
        </w:tc>
        <w:tc>
          <w:tcPr>
            <w:tcW w:w="636" w:type="pct"/>
            <w:tcBorders>
              <w:top w:val="nil"/>
              <w:left w:val="nil"/>
              <w:bottom w:val="single" w:sz="4" w:space="0" w:color="auto"/>
              <w:right w:val="single" w:sz="4" w:space="0" w:color="auto"/>
            </w:tcBorders>
            <w:shd w:val="clear" w:color="000000" w:fill="FAFBFE"/>
            <w:noWrap/>
            <w:vAlign w:val="bottom"/>
            <w:hideMark/>
          </w:tcPr>
          <w:p w14:paraId="5E4BE14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163</w:t>
            </w:r>
          </w:p>
        </w:tc>
        <w:tc>
          <w:tcPr>
            <w:tcW w:w="442" w:type="pct"/>
            <w:tcBorders>
              <w:top w:val="nil"/>
              <w:left w:val="nil"/>
              <w:bottom w:val="single" w:sz="4" w:space="0" w:color="auto"/>
              <w:right w:val="single" w:sz="4" w:space="0" w:color="auto"/>
            </w:tcBorders>
            <w:shd w:val="clear" w:color="000000" w:fill="FAFBFE"/>
            <w:noWrap/>
            <w:vAlign w:val="bottom"/>
            <w:hideMark/>
          </w:tcPr>
          <w:p w14:paraId="200F0F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82</w:t>
            </w:r>
          </w:p>
        </w:tc>
        <w:tc>
          <w:tcPr>
            <w:tcW w:w="441" w:type="pct"/>
            <w:tcBorders>
              <w:top w:val="nil"/>
              <w:left w:val="nil"/>
              <w:bottom w:val="single" w:sz="4" w:space="0" w:color="auto"/>
              <w:right w:val="single" w:sz="4" w:space="0" w:color="auto"/>
            </w:tcBorders>
            <w:shd w:val="clear" w:color="000000" w:fill="FAFBFE"/>
            <w:noWrap/>
            <w:vAlign w:val="bottom"/>
            <w:hideMark/>
          </w:tcPr>
          <w:p w14:paraId="7CE1117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81</w:t>
            </w:r>
          </w:p>
        </w:tc>
      </w:tr>
      <w:tr w:rsidR="0063581C" w:rsidRPr="009467D4" w14:paraId="7FCC42D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89D8E6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7F6D951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tcPr>
          <w:p w14:paraId="29FE1EC7"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14EF7669" w14:textId="44F2BA0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419E63E0" w14:textId="7ECF6035"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959</w:t>
            </w:r>
          </w:p>
        </w:tc>
        <w:tc>
          <w:tcPr>
            <w:tcW w:w="636" w:type="pct"/>
            <w:tcBorders>
              <w:top w:val="nil"/>
              <w:left w:val="nil"/>
              <w:bottom w:val="single" w:sz="4" w:space="0" w:color="auto"/>
              <w:right w:val="single" w:sz="4" w:space="0" w:color="auto"/>
            </w:tcBorders>
            <w:shd w:val="clear" w:color="000000" w:fill="FAFBFE"/>
            <w:noWrap/>
            <w:vAlign w:val="bottom"/>
            <w:hideMark/>
          </w:tcPr>
          <w:p w14:paraId="746A580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2EBFBB3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0C7F041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bl>
    <w:p w14:paraId="70A47F4A" w14:textId="4DE9B37F" w:rsidR="009B6D70" w:rsidRDefault="009B6D70" w:rsidP="00B434B2">
      <w:pPr>
        <w:pStyle w:val="Heading2"/>
        <w:keepNext w:val="0"/>
        <w:keepLines w:val="0"/>
        <w:widowControl w:val="0"/>
        <w:spacing w:before="240" w:after="120" w:line="240" w:lineRule="auto"/>
      </w:pPr>
      <w:bookmarkStart w:id="7" w:name="_Toc3892582"/>
      <w:bookmarkEnd w:id="6"/>
      <w:r w:rsidRPr="000D1DC0">
        <w:t>B.2 Procedures for the Collection of Information</w:t>
      </w:r>
      <w:bookmarkEnd w:id="7"/>
    </w:p>
    <w:p w14:paraId="046CA406" w14:textId="33977664" w:rsidR="0060623B" w:rsidRDefault="00840E7F" w:rsidP="00DD31DC">
      <w:pPr>
        <w:widowControl w:val="0"/>
        <w:spacing w:after="120" w:line="240" w:lineRule="auto"/>
      </w:pPr>
      <w:r>
        <w:t xml:space="preserve">HS&amp;B:20 will collect data from high school students and their parents, math teachers, guidance counselors, and school administrators. </w:t>
      </w:r>
      <w:r w:rsidR="00734B92">
        <w:t xml:space="preserve">Data will be collected from ninth graders in the fall </w:t>
      </w:r>
      <w:r w:rsidR="0047477E">
        <w:t xml:space="preserve">of </w:t>
      </w:r>
      <w:r w:rsidR="00734B92">
        <w:t xml:space="preserve">2020 as they begin high school and again in the spring of 2024 when most students in the sample will be seniors at the end of their high school career. </w:t>
      </w:r>
      <w:r w:rsidR="009E0E88">
        <w:t>The field test data collections will be conducted one year prior to their full-scale counterparts. Collecting data at these time</w:t>
      </w:r>
      <w:r w:rsidR="000D5DD9">
        <w:t xml:space="preserve"> </w:t>
      </w:r>
      <w:r w:rsidR="009E0E88">
        <w:t xml:space="preserve">points from students, parents, teachers, counselors, and administrators, with high school transcripts collected after high school, will culminate in a rich data set </w:t>
      </w:r>
      <w:r w:rsidR="007778CA">
        <w:t xml:space="preserve">that will </w:t>
      </w:r>
      <w:r w:rsidR="009E0E88">
        <w:t>provid</w:t>
      </w:r>
      <w:r w:rsidR="007778CA">
        <w:t>e</w:t>
      </w:r>
      <w:r w:rsidR="009E0E88">
        <w:t xml:space="preserve"> educators, policymakers, and researchers </w:t>
      </w:r>
      <w:r w:rsidR="0047477E">
        <w:t xml:space="preserve">with </w:t>
      </w:r>
      <w:r w:rsidR="009E0E88">
        <w:t>information about transitions, outcomes, and experiences in multiple contexts.</w:t>
      </w:r>
    </w:p>
    <w:p w14:paraId="4C68AF67" w14:textId="10E5CF00" w:rsidR="00B1379E" w:rsidRDefault="002F1AE1" w:rsidP="0075441E">
      <w:pPr>
        <w:keepNext/>
        <w:widowControl w:val="0"/>
        <w:spacing w:after="120" w:line="240" w:lineRule="auto"/>
        <w:rPr>
          <w:b/>
        </w:rPr>
      </w:pPr>
      <w:r>
        <w:rPr>
          <w:b/>
        </w:rPr>
        <w:t>Field Test School Sample</w:t>
      </w:r>
    </w:p>
    <w:p w14:paraId="7C087B1E" w14:textId="53CDA49F" w:rsidR="00406EC8" w:rsidRDefault="00406EC8" w:rsidP="000D5575">
      <w:pPr>
        <w:widowControl w:val="0"/>
        <w:spacing w:after="120" w:line="240" w:lineRule="auto"/>
      </w:pPr>
      <w:r>
        <w:t xml:space="preserve">The </w:t>
      </w:r>
      <w:r w:rsidR="000240AB">
        <w:t xml:space="preserve">base-year </w:t>
      </w:r>
      <w:r w:rsidR="00197F34">
        <w:t xml:space="preserve">field test </w:t>
      </w:r>
      <w:r>
        <w:t>school frame will include 1,092</w:t>
      </w:r>
      <w:r w:rsidRPr="007373C6">
        <w:rPr>
          <w:rStyle w:val="FootnoteReference"/>
          <w:sz w:val="22"/>
        </w:rPr>
        <w:footnoteReference w:id="5"/>
      </w:r>
      <w:r>
        <w:t xml:space="preserve"> schools that report offering ninth and twelfth-grade instruction to at least 35 ninth- and 35 twelfth-grade students and are located within six MSAs. The school frame will also include 53 schools that report offering ninth-grade instruction to at least 35 ninth-grade students but do not offer instruction for twelfth grade</w:t>
      </w:r>
      <w:r w:rsidR="0003052F">
        <w:t>, for a total of 1,145 schools in the school sampling frame</w:t>
      </w:r>
      <w:r>
        <w:t>.</w:t>
      </w:r>
    </w:p>
    <w:p w14:paraId="0FD3F830" w14:textId="421007CF" w:rsidR="0059630D" w:rsidRDefault="0059630D" w:rsidP="007373C6">
      <w:pPr>
        <w:spacing w:after="60" w:line="240" w:lineRule="auto"/>
      </w:pPr>
      <w:r>
        <w:t>Schools will be stratified by MSA and, within MSA, into two groups based on the presence or absence of twelfth-grade instruction: those schools offering ninth- and twelfth-grade instruction and those schools offering instruction in ninth but not twelfth grade. Schools offering both ninth- and twelfth-grade instruction will be further stratified into the following nine groups:</w:t>
      </w:r>
    </w:p>
    <w:p w14:paraId="51E51138" w14:textId="77777777" w:rsidR="0059630D" w:rsidRDefault="0059630D" w:rsidP="00DD31DC">
      <w:pPr>
        <w:pStyle w:val="ListParagraph"/>
        <w:numPr>
          <w:ilvl w:val="0"/>
          <w:numId w:val="21"/>
        </w:numPr>
        <w:spacing w:after="120" w:line="240" w:lineRule="auto"/>
        <w:ind w:left="1080"/>
      </w:pPr>
      <w:r>
        <w:t>Catholic schools</w:t>
      </w:r>
    </w:p>
    <w:p w14:paraId="5BD26BA2" w14:textId="77777777" w:rsidR="0059630D" w:rsidRDefault="0059630D" w:rsidP="00DD31DC">
      <w:pPr>
        <w:pStyle w:val="ListParagraph"/>
        <w:numPr>
          <w:ilvl w:val="0"/>
          <w:numId w:val="21"/>
        </w:numPr>
        <w:spacing w:after="120" w:line="240" w:lineRule="auto"/>
        <w:ind w:left="1080"/>
      </w:pPr>
      <w:r>
        <w:t>Other private schools</w:t>
      </w:r>
    </w:p>
    <w:p w14:paraId="0926F363" w14:textId="77777777" w:rsidR="0060623B" w:rsidRDefault="0059630D" w:rsidP="00DD31DC">
      <w:pPr>
        <w:pStyle w:val="ListParagraph"/>
        <w:numPr>
          <w:ilvl w:val="0"/>
          <w:numId w:val="21"/>
        </w:numPr>
        <w:spacing w:after="120" w:line="240" w:lineRule="auto"/>
        <w:ind w:left="1080"/>
      </w:pPr>
      <w:r>
        <w:t>Non-virtual magnet schools</w:t>
      </w:r>
    </w:p>
    <w:p w14:paraId="3FE3E31F" w14:textId="777CC88E" w:rsidR="0059630D" w:rsidRDefault="0059630D" w:rsidP="00DD31DC">
      <w:pPr>
        <w:pStyle w:val="ListParagraph"/>
        <w:numPr>
          <w:ilvl w:val="0"/>
          <w:numId w:val="21"/>
        </w:numPr>
        <w:spacing w:after="120" w:line="240" w:lineRule="auto"/>
        <w:ind w:left="1080"/>
      </w:pPr>
      <w:r>
        <w:t>Non-virtual/</w:t>
      </w:r>
      <w:r w:rsidR="0086165E">
        <w:t>non-magnet</w:t>
      </w:r>
      <w:r>
        <w:t xml:space="preserve"> charter schools</w:t>
      </w:r>
    </w:p>
    <w:p w14:paraId="248CECBD" w14:textId="77777777" w:rsidR="0059630D" w:rsidRDefault="0059630D" w:rsidP="00DD31DC">
      <w:pPr>
        <w:pStyle w:val="ListParagraph"/>
        <w:numPr>
          <w:ilvl w:val="0"/>
          <w:numId w:val="21"/>
        </w:numPr>
        <w:spacing w:after="120" w:line="240" w:lineRule="auto"/>
        <w:ind w:left="1080"/>
      </w:pPr>
      <w:r>
        <w:t>Virtual schools</w:t>
      </w:r>
    </w:p>
    <w:p w14:paraId="4D62C548" w14:textId="2643ECB0"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Northeast</w:t>
      </w:r>
    </w:p>
    <w:p w14:paraId="613744F4" w14:textId="21157552"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Midwest</w:t>
      </w:r>
    </w:p>
    <w:p w14:paraId="205D30C4" w14:textId="09A320CB"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South</w:t>
      </w:r>
    </w:p>
    <w:p w14:paraId="322486CD" w14:textId="7CDEE774"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West</w:t>
      </w:r>
    </w:p>
    <w:p w14:paraId="3FEC5D7A" w14:textId="1731FA0A" w:rsidR="0059630D" w:rsidRDefault="0059630D" w:rsidP="00DD31DC">
      <w:pPr>
        <w:spacing w:after="120" w:line="240" w:lineRule="auto"/>
      </w:pPr>
      <w:r>
        <w:t>Three hundred nine schools will be sampled and randomly assigned to receive an offer of a 90-minute student session or receive an offer for a single class</w:t>
      </w:r>
      <w:r w:rsidR="005A7A91">
        <w:t xml:space="preserve"> period</w:t>
      </w:r>
      <w:r>
        <w:t xml:space="preserve"> (e.g., 45-minute) student session.</w:t>
      </w:r>
    </w:p>
    <w:p w14:paraId="59BEDDF3" w14:textId="53220180" w:rsidR="00E54354" w:rsidRDefault="0059630D" w:rsidP="00DD31DC">
      <w:pPr>
        <w:spacing w:after="120" w:line="240" w:lineRule="auto"/>
      </w:pPr>
      <w:r>
        <w:t>The sample allocation was designed to produce 75 participating schools with approximately equal numbers of participating schools in each of six MSAs. The school strata and a sample a</w:t>
      </w:r>
      <w:r w:rsidR="00DD31DC">
        <w:t xml:space="preserve">llocation are shown in </w:t>
      </w:r>
      <w:r w:rsidR="0050357A">
        <w:t>T</w:t>
      </w:r>
      <w:r w:rsidR="00DD31DC">
        <w:t xml:space="preserve">able </w:t>
      </w:r>
      <w:r w:rsidR="00865A69">
        <w:t>2</w:t>
      </w:r>
      <w:r w:rsidR="00DD31DC">
        <w:t>.</w:t>
      </w:r>
    </w:p>
    <w:p w14:paraId="5AA06FFA" w14:textId="178933AD" w:rsidR="00644B6C" w:rsidRPr="00DD31DC" w:rsidRDefault="00644B6C" w:rsidP="00644B6C">
      <w:pPr>
        <w:widowControl w:val="0"/>
        <w:spacing w:after="120" w:line="240" w:lineRule="auto"/>
      </w:pPr>
      <w:r>
        <w:t>The first step in the sampling process involves the selection of two non-magnet/non-charter/non-virtual schools with certainty to ensure that at least two schools are sampled from public-school districts that require a research application. After selection of these schools, the school sample size associated with the school sampling strata for those selected schools will be reduced by two. The second step in the sampling process involves the selection of the single Bureau of Indian Education (BIE) school with certainty. After selection of this BIE school, the school sample size associated with the school sampling strata for that selected school will be reduced by one. The third step in the sampling process involves the use of simple random sampling to select 306 more schools. Schools will be randomly assigned to be offered a single class period (e.g., 45-minute) or a 90-minute student session in such a fashion as to ensure that schools in the same district or diocese will be assigned the same offer. For recruitment efficiency and power associated with recruitment experiments, the full sample of 309 schools is planned to be released for recruitment all at once. The sample of 309 schools is expected to yield 75 or more participating schools. The recruitment team will continue to encourage participation for the purposes of the field test in-school session length experiment (described further in B.3) even after the 75-school yield target is reached. If considerably more than 75 schools agree to participate, a subset of these schools may be informed that they will not need to take part.</w:t>
      </w:r>
    </w:p>
    <w:p w14:paraId="2A05460D" w14:textId="0BC7C868" w:rsidR="0059630D" w:rsidRDefault="0059630D" w:rsidP="000D5575">
      <w:pPr>
        <w:keepNext/>
        <w:spacing w:before="240" w:after="60" w:line="240" w:lineRule="auto"/>
        <w:rPr>
          <w:b/>
          <w:bCs/>
        </w:rPr>
      </w:pPr>
      <w:r w:rsidRPr="0040491E">
        <w:rPr>
          <w:b/>
          <w:bCs/>
        </w:rPr>
        <w:t xml:space="preserve">Table </w:t>
      </w:r>
      <w:r w:rsidR="00865A69">
        <w:rPr>
          <w:b/>
          <w:bCs/>
        </w:rPr>
        <w:t>2</w:t>
      </w:r>
      <w:r w:rsidRPr="0040491E">
        <w:rPr>
          <w:b/>
          <w:bCs/>
        </w:rPr>
        <w:t xml:space="preserve">. </w:t>
      </w:r>
      <w:r w:rsidR="0050357A" w:rsidRPr="0050357A">
        <w:rPr>
          <w:b/>
          <w:bCs/>
        </w:rPr>
        <w:t xml:space="preserve">HS&amp;B:20 </w:t>
      </w:r>
      <w:r w:rsidR="0050357A">
        <w:rPr>
          <w:b/>
          <w:bCs/>
        </w:rPr>
        <w:t xml:space="preserve">Base-Year </w:t>
      </w:r>
      <w:r>
        <w:rPr>
          <w:b/>
          <w:bCs/>
        </w:rPr>
        <w:t xml:space="preserve">Field Test </w:t>
      </w:r>
      <w:r w:rsidRPr="0040491E">
        <w:rPr>
          <w:b/>
          <w:bCs/>
        </w:rPr>
        <w:t>School Sample Allocation</w:t>
      </w:r>
    </w:p>
    <w:tbl>
      <w:tblPr>
        <w:tblW w:w="5000" w:type="pct"/>
        <w:tblLook w:val="04A0" w:firstRow="1" w:lastRow="0" w:firstColumn="1" w:lastColumn="0" w:noHBand="0" w:noVBand="1"/>
      </w:tblPr>
      <w:tblGrid>
        <w:gridCol w:w="590"/>
        <w:gridCol w:w="908"/>
        <w:gridCol w:w="1663"/>
        <w:gridCol w:w="1386"/>
        <w:gridCol w:w="3882"/>
        <w:gridCol w:w="1201"/>
        <w:gridCol w:w="1386"/>
      </w:tblGrid>
      <w:tr w:rsidR="004E0EEB" w:rsidRPr="00437D9A" w14:paraId="3ED0D131" w14:textId="77777777" w:rsidTr="00D96242">
        <w:trPr>
          <w:cantSplit/>
          <w:trHeight w:val="497"/>
          <w:tblHeader/>
        </w:trPr>
        <w:tc>
          <w:tcPr>
            <w:tcW w:w="268"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14:paraId="275D17F2" w14:textId="77777777" w:rsidR="0059630D" w:rsidRPr="00437D9A" w:rsidRDefault="0059630D" w:rsidP="00D2276C">
            <w:pPr>
              <w:spacing w:after="0" w:line="240" w:lineRule="auto"/>
              <w:jc w:val="center"/>
              <w:rPr>
                <w:rFonts w:ascii="Cambria" w:eastAsia="Times New Roman" w:hAnsi="Cambria"/>
                <w:b/>
                <w:bCs/>
                <w:color w:val="000000"/>
                <w:sz w:val="16"/>
                <w:szCs w:val="16"/>
              </w:rPr>
            </w:pPr>
            <w:r w:rsidRPr="00437D9A">
              <w:rPr>
                <w:rFonts w:ascii="Cambria" w:eastAsia="Times New Roman" w:hAnsi="Cambria"/>
                <w:b/>
                <w:bCs/>
                <w:color w:val="000000"/>
                <w:sz w:val="16"/>
                <w:szCs w:val="16"/>
              </w:rPr>
              <w:t>MSA</w:t>
            </w:r>
          </w:p>
        </w:tc>
        <w:tc>
          <w:tcPr>
            <w:tcW w:w="41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396C73BC" w14:textId="128DE8FF" w:rsidR="0059630D" w:rsidRPr="00437D9A" w:rsidRDefault="0059630D" w:rsidP="00D2276C">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School Frame Count</w:t>
            </w:r>
          </w:p>
        </w:tc>
        <w:tc>
          <w:tcPr>
            <w:tcW w:w="755"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14:paraId="10A0BE74" w14:textId="77777777" w:rsidR="0059630D" w:rsidRPr="00437D9A" w:rsidRDefault="0059630D" w:rsidP="00D2276C">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Grade Level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01B722BD" w14:textId="77777777"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Type</w:t>
            </w:r>
          </w:p>
        </w:tc>
        <w:tc>
          <w:tcPr>
            <w:tcW w:w="176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69BC61C8" w14:textId="77777777"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Public School Type</w:t>
            </w:r>
          </w:p>
        </w:tc>
        <w:tc>
          <w:tcPr>
            <w:tcW w:w="545"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7B002D8A" w14:textId="16B5A5E4" w:rsidR="0059630D" w:rsidRPr="00437D9A" w:rsidRDefault="0059630D" w:rsidP="00D2276C">
            <w:pPr>
              <w:spacing w:after="0" w:line="240" w:lineRule="auto"/>
              <w:rPr>
                <w:rFonts w:ascii="Cambria" w:eastAsia="Times New Roman" w:hAnsi="Cambria"/>
                <w:b/>
                <w:bCs/>
                <w:color w:val="000000"/>
                <w:sz w:val="16"/>
                <w:szCs w:val="16"/>
              </w:rPr>
            </w:pPr>
            <w:r>
              <w:rPr>
                <w:rFonts w:ascii="Cambria" w:eastAsia="Times New Roman" w:hAnsi="Cambria"/>
                <w:b/>
                <w:bCs/>
                <w:color w:val="000000"/>
                <w:sz w:val="16"/>
                <w:szCs w:val="16"/>
              </w:rPr>
              <w:t>School Sample</w:t>
            </w:r>
            <w:r w:rsidR="00803FCC">
              <w:rPr>
                <w:rFonts w:ascii="Cambria" w:eastAsia="Times New Roman" w:hAnsi="Cambria"/>
                <w:b/>
                <w:bCs/>
                <w:color w:val="000000"/>
                <w:sz w:val="16"/>
                <w:szCs w:val="16"/>
              </w:rPr>
              <w:t xml:space="preserve"> </w:t>
            </w:r>
            <w:r>
              <w:rPr>
                <w:rFonts w:ascii="Cambria" w:eastAsia="Times New Roman" w:hAnsi="Cambria"/>
                <w:b/>
                <w:bCs/>
                <w:color w:val="000000"/>
                <w:sz w:val="16"/>
                <w:szCs w:val="16"/>
              </w:rPr>
              <w:t>Size</w:t>
            </w:r>
          </w:p>
        </w:tc>
        <w:tc>
          <w:tcPr>
            <w:tcW w:w="629" w:type="pct"/>
            <w:vMerge w:val="restart"/>
            <w:tcBorders>
              <w:top w:val="single" w:sz="8" w:space="0" w:color="auto"/>
              <w:left w:val="single" w:sz="8" w:space="0" w:color="auto"/>
              <w:bottom w:val="single" w:sz="8" w:space="0" w:color="auto"/>
              <w:right w:val="single" w:sz="8" w:space="0" w:color="auto"/>
            </w:tcBorders>
            <w:shd w:val="clear" w:color="auto" w:fill="FAFBFE"/>
            <w:vAlign w:val="center"/>
            <w:hideMark/>
          </w:tcPr>
          <w:p w14:paraId="50E00FF4" w14:textId="6694091E"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Participation Goal</w:t>
            </w:r>
          </w:p>
        </w:tc>
      </w:tr>
      <w:tr w:rsidR="004E0EEB" w:rsidRPr="00437D9A" w14:paraId="3BEBE2D8" w14:textId="77777777" w:rsidTr="00D96242">
        <w:trPr>
          <w:cantSplit/>
          <w:trHeight w:val="497"/>
        </w:trPr>
        <w:tc>
          <w:tcPr>
            <w:tcW w:w="268"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6BF61E90" w14:textId="77777777" w:rsidR="0059630D" w:rsidRPr="00437D9A" w:rsidRDefault="0059630D" w:rsidP="00D2276C">
            <w:pPr>
              <w:spacing w:after="0" w:line="240" w:lineRule="auto"/>
              <w:jc w:val="center"/>
              <w:rPr>
                <w:rFonts w:ascii="Cambria" w:eastAsia="Times New Roman" w:hAnsi="Cambria"/>
                <w:b/>
                <w:bCs/>
                <w:color w:val="000000"/>
                <w:sz w:val="16"/>
                <w:szCs w:val="16"/>
              </w:rPr>
            </w:pPr>
          </w:p>
        </w:tc>
        <w:tc>
          <w:tcPr>
            <w:tcW w:w="41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5BFF6B61"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75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70C745D2"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27CE8479"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176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38BCE11C"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54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4114D021"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auto"/>
              <w:right w:val="single" w:sz="8" w:space="0" w:color="auto"/>
            </w:tcBorders>
            <w:shd w:val="clear" w:color="auto" w:fill="FAFBFE"/>
            <w:vAlign w:val="center"/>
            <w:hideMark/>
          </w:tcPr>
          <w:p w14:paraId="56815D7A" w14:textId="77777777" w:rsidR="0059630D" w:rsidRPr="00437D9A" w:rsidRDefault="0059630D" w:rsidP="00D2276C">
            <w:pPr>
              <w:spacing w:after="0" w:line="240" w:lineRule="auto"/>
              <w:rPr>
                <w:rFonts w:ascii="Cambria" w:eastAsia="Times New Roman" w:hAnsi="Cambria"/>
                <w:b/>
                <w:bCs/>
                <w:color w:val="000000"/>
                <w:sz w:val="16"/>
                <w:szCs w:val="16"/>
              </w:rPr>
            </w:pPr>
          </w:p>
        </w:tc>
      </w:tr>
      <w:tr w:rsidR="004E0EEB" w:rsidRPr="00437D9A" w14:paraId="5A7154E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36A43EB"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Total</w:t>
            </w:r>
          </w:p>
        </w:tc>
        <w:tc>
          <w:tcPr>
            <w:tcW w:w="412" w:type="pct"/>
            <w:tcBorders>
              <w:top w:val="nil"/>
              <w:left w:val="nil"/>
              <w:bottom w:val="single" w:sz="8" w:space="0" w:color="auto"/>
              <w:right w:val="single" w:sz="8" w:space="0" w:color="auto"/>
            </w:tcBorders>
            <w:shd w:val="clear" w:color="auto" w:fill="auto"/>
            <w:noWrap/>
            <w:vAlign w:val="center"/>
            <w:hideMark/>
          </w:tcPr>
          <w:p w14:paraId="7EBC8B3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1,145</w:t>
            </w:r>
          </w:p>
        </w:tc>
        <w:tc>
          <w:tcPr>
            <w:tcW w:w="755" w:type="pct"/>
            <w:tcBorders>
              <w:top w:val="nil"/>
              <w:left w:val="nil"/>
              <w:bottom w:val="single" w:sz="8" w:space="0" w:color="auto"/>
              <w:right w:val="single" w:sz="8" w:space="0" w:color="auto"/>
            </w:tcBorders>
            <w:shd w:val="clear" w:color="auto" w:fill="auto"/>
            <w:noWrap/>
            <w:vAlign w:val="center"/>
            <w:hideMark/>
          </w:tcPr>
          <w:p w14:paraId="223514E5" w14:textId="0791EDA1" w:rsidR="0059630D" w:rsidRPr="00437D9A" w:rsidRDefault="0059630D" w:rsidP="00D2276C">
            <w:pPr>
              <w:spacing w:after="0" w:line="240" w:lineRule="auto"/>
              <w:jc w:val="right"/>
              <w:rPr>
                <w:rFonts w:ascii="Cambria" w:eastAsia="Times New Roman" w:hAnsi="Cambria"/>
                <w:color w:val="000000"/>
                <w:sz w:val="16"/>
                <w:szCs w:val="16"/>
              </w:rPr>
            </w:pPr>
          </w:p>
        </w:tc>
        <w:tc>
          <w:tcPr>
            <w:tcW w:w="629" w:type="pct"/>
            <w:tcBorders>
              <w:top w:val="nil"/>
              <w:left w:val="nil"/>
              <w:bottom w:val="single" w:sz="8" w:space="0" w:color="auto"/>
              <w:right w:val="single" w:sz="8" w:space="0" w:color="auto"/>
            </w:tcBorders>
            <w:shd w:val="clear" w:color="auto" w:fill="auto"/>
            <w:noWrap/>
            <w:vAlign w:val="center"/>
            <w:hideMark/>
          </w:tcPr>
          <w:p w14:paraId="696F6849" w14:textId="0455E57A" w:rsidR="0059630D" w:rsidRPr="00437D9A" w:rsidRDefault="0059630D" w:rsidP="00D2276C">
            <w:pPr>
              <w:spacing w:after="0" w:line="240" w:lineRule="auto"/>
              <w:jc w:val="right"/>
              <w:rPr>
                <w:rFonts w:ascii="Cambria" w:eastAsia="Times New Roman" w:hAnsi="Cambria"/>
                <w:color w:val="000000"/>
                <w:sz w:val="16"/>
                <w:szCs w:val="16"/>
              </w:rPr>
            </w:pPr>
          </w:p>
        </w:tc>
        <w:tc>
          <w:tcPr>
            <w:tcW w:w="1762" w:type="pct"/>
            <w:tcBorders>
              <w:top w:val="nil"/>
              <w:left w:val="nil"/>
              <w:bottom w:val="single" w:sz="8" w:space="0" w:color="auto"/>
              <w:right w:val="single" w:sz="8" w:space="0" w:color="auto"/>
            </w:tcBorders>
            <w:shd w:val="clear" w:color="auto" w:fill="auto"/>
            <w:noWrap/>
            <w:vAlign w:val="center"/>
            <w:hideMark/>
          </w:tcPr>
          <w:p w14:paraId="7200A337" w14:textId="6E511E55" w:rsidR="0059630D" w:rsidRPr="00437D9A" w:rsidRDefault="0059630D" w:rsidP="00D2276C">
            <w:pPr>
              <w:spacing w:after="0" w:line="240" w:lineRule="auto"/>
              <w:jc w:val="right"/>
              <w:rPr>
                <w:rFonts w:ascii="Cambria" w:eastAsia="Times New Roman" w:hAnsi="Cambria"/>
                <w:color w:val="000000"/>
                <w:sz w:val="16"/>
                <w:szCs w:val="16"/>
              </w:rPr>
            </w:pPr>
          </w:p>
        </w:tc>
        <w:tc>
          <w:tcPr>
            <w:tcW w:w="545" w:type="pct"/>
            <w:tcBorders>
              <w:top w:val="nil"/>
              <w:left w:val="nil"/>
              <w:bottom w:val="single" w:sz="8" w:space="0" w:color="auto"/>
              <w:right w:val="single" w:sz="8" w:space="0" w:color="auto"/>
            </w:tcBorders>
            <w:shd w:val="clear" w:color="auto" w:fill="auto"/>
            <w:noWrap/>
            <w:vAlign w:val="center"/>
            <w:hideMark/>
          </w:tcPr>
          <w:p w14:paraId="1D8267F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eastAsia="Times New Roman" w:hAnsi="Cambria"/>
                <w:color w:val="000000"/>
                <w:sz w:val="16"/>
                <w:szCs w:val="16"/>
              </w:rPr>
              <w:t>309</w:t>
            </w:r>
          </w:p>
        </w:tc>
        <w:tc>
          <w:tcPr>
            <w:tcW w:w="629" w:type="pct"/>
            <w:tcBorders>
              <w:top w:val="nil"/>
              <w:left w:val="nil"/>
              <w:bottom w:val="single" w:sz="8" w:space="0" w:color="auto"/>
              <w:right w:val="single" w:sz="8" w:space="0" w:color="auto"/>
            </w:tcBorders>
            <w:shd w:val="clear" w:color="auto" w:fill="auto"/>
            <w:noWrap/>
            <w:vAlign w:val="center"/>
            <w:hideMark/>
          </w:tcPr>
          <w:p w14:paraId="2EDC749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75</w:t>
            </w:r>
          </w:p>
        </w:tc>
      </w:tr>
      <w:tr w:rsidR="004E0EEB" w:rsidRPr="00437D9A" w14:paraId="29D7938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8D283B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4F14225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5275CD5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0C53D19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69B28F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97ECF7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60EAC6C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2BDCF9C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E42C14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71FEE0C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22</w:t>
            </w:r>
          </w:p>
        </w:tc>
        <w:tc>
          <w:tcPr>
            <w:tcW w:w="755" w:type="pct"/>
            <w:tcBorders>
              <w:top w:val="nil"/>
              <w:left w:val="nil"/>
              <w:bottom w:val="single" w:sz="8" w:space="0" w:color="auto"/>
              <w:right w:val="single" w:sz="8" w:space="0" w:color="auto"/>
            </w:tcBorders>
            <w:shd w:val="clear" w:color="auto" w:fill="auto"/>
            <w:noWrap/>
            <w:vAlign w:val="center"/>
            <w:hideMark/>
          </w:tcPr>
          <w:p w14:paraId="5A02B79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5491E3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118734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20B421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4F310E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9D6121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7677BF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80ACA4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10FEFE0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5270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096ACAE" w14:textId="2C52F814"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 xml:space="preserve">Magnet not Virtual </w:t>
            </w:r>
          </w:p>
        </w:tc>
        <w:tc>
          <w:tcPr>
            <w:tcW w:w="545" w:type="pct"/>
            <w:tcBorders>
              <w:top w:val="nil"/>
              <w:left w:val="nil"/>
              <w:bottom w:val="single" w:sz="8" w:space="0" w:color="auto"/>
              <w:right w:val="single" w:sz="8" w:space="0" w:color="auto"/>
            </w:tcBorders>
            <w:shd w:val="clear" w:color="auto" w:fill="auto"/>
            <w:noWrap/>
            <w:vAlign w:val="center"/>
            <w:hideMark/>
          </w:tcPr>
          <w:p w14:paraId="6F6B5C1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4B89FC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9CA77E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4801DA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21FE2C5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2EF8DB6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06D72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D7935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3E0D42B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DC5D6B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F85079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66C1D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C26542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257745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BAA220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8E7D023" w14:textId="11E1AD2A"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charter/</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028C31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66D0B3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7CD8FD8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D81A7E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213975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76</w:t>
            </w:r>
          </w:p>
        </w:tc>
        <w:tc>
          <w:tcPr>
            <w:tcW w:w="755" w:type="pct"/>
            <w:tcBorders>
              <w:top w:val="nil"/>
              <w:left w:val="nil"/>
              <w:bottom w:val="single" w:sz="8" w:space="0" w:color="auto"/>
              <w:right w:val="single" w:sz="8" w:space="0" w:color="auto"/>
            </w:tcBorders>
            <w:shd w:val="clear" w:color="auto" w:fill="auto"/>
            <w:noWrap/>
            <w:vAlign w:val="center"/>
            <w:hideMark/>
          </w:tcPr>
          <w:p w14:paraId="54A1F4E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43DAF1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D71F4E5" w14:textId="09217E66"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07CCC73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26</w:t>
            </w:r>
          </w:p>
        </w:tc>
        <w:tc>
          <w:tcPr>
            <w:tcW w:w="629" w:type="pct"/>
            <w:tcBorders>
              <w:top w:val="nil"/>
              <w:left w:val="nil"/>
              <w:bottom w:val="single" w:sz="8" w:space="0" w:color="auto"/>
              <w:right w:val="single" w:sz="8" w:space="0" w:color="auto"/>
            </w:tcBorders>
            <w:shd w:val="clear" w:color="auto" w:fill="auto"/>
            <w:noWrap/>
            <w:vAlign w:val="center"/>
            <w:hideMark/>
          </w:tcPr>
          <w:p w14:paraId="5604450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r>
      <w:tr w:rsidR="004E0EEB" w:rsidRPr="00437D9A" w14:paraId="300F845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B82F1A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97E0DD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53E651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5C3AF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F42610E" w14:textId="03E5E2FF"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30925D7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A191A3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FBD741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55388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vAlign w:val="center"/>
            <w:hideMark/>
          </w:tcPr>
          <w:p w14:paraId="06675A7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4606F1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372879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BC95EFD" w14:textId="6E65B812"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74DD84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306F7A8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B03D23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21BCD1B"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F985F7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7393768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B37F80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2D32371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7A779F5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A293C8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CD8525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CA3A91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0D9BE5E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w:t>
            </w:r>
          </w:p>
        </w:tc>
        <w:tc>
          <w:tcPr>
            <w:tcW w:w="755" w:type="pct"/>
            <w:tcBorders>
              <w:top w:val="nil"/>
              <w:left w:val="nil"/>
              <w:bottom w:val="single" w:sz="8" w:space="0" w:color="auto"/>
              <w:right w:val="single" w:sz="8" w:space="0" w:color="auto"/>
            </w:tcBorders>
            <w:shd w:val="clear" w:color="auto" w:fill="auto"/>
            <w:noWrap/>
            <w:vAlign w:val="center"/>
            <w:hideMark/>
          </w:tcPr>
          <w:p w14:paraId="30CF880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4A1C4A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D0284F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4B42EC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F737EE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6C8F60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1DC8996"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497043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089080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4058C7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E9C9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6AD6D1E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E3F8B1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827613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6928B16"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0EEE954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31</w:t>
            </w:r>
          </w:p>
        </w:tc>
        <w:tc>
          <w:tcPr>
            <w:tcW w:w="755" w:type="pct"/>
            <w:tcBorders>
              <w:top w:val="nil"/>
              <w:left w:val="nil"/>
              <w:bottom w:val="single" w:sz="8" w:space="0" w:color="auto"/>
              <w:right w:val="single" w:sz="8" w:space="0" w:color="auto"/>
            </w:tcBorders>
            <w:shd w:val="clear" w:color="auto" w:fill="auto"/>
            <w:noWrap/>
            <w:vAlign w:val="center"/>
            <w:hideMark/>
          </w:tcPr>
          <w:p w14:paraId="71E06BF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99A2FD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3B2AB1A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6FEE76B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A4D078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109EFF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9C8A51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1731D3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83</w:t>
            </w:r>
          </w:p>
        </w:tc>
        <w:tc>
          <w:tcPr>
            <w:tcW w:w="755" w:type="pct"/>
            <w:tcBorders>
              <w:top w:val="nil"/>
              <w:left w:val="nil"/>
              <w:bottom w:val="single" w:sz="8" w:space="0" w:color="auto"/>
              <w:right w:val="single" w:sz="8" w:space="0" w:color="auto"/>
            </w:tcBorders>
            <w:shd w:val="clear" w:color="auto" w:fill="auto"/>
            <w:noWrap/>
            <w:vAlign w:val="center"/>
            <w:hideMark/>
          </w:tcPr>
          <w:p w14:paraId="283536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6B483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ABE3BD9" w14:textId="62630777"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4F0AD3D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6D6CC6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0272596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54750A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BEE484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F56910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705670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54D0EB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83B5B2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824AFA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35D5D7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DC9ACF"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52BE19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5F7A98C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44D1BA"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542EC3EE" w14:textId="7C11DFF3"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211F68F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D09931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5631B89"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D63102"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2F0B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18</w:t>
            </w:r>
          </w:p>
        </w:tc>
        <w:tc>
          <w:tcPr>
            <w:tcW w:w="755" w:type="pct"/>
            <w:tcBorders>
              <w:top w:val="nil"/>
              <w:left w:val="nil"/>
              <w:bottom w:val="single" w:sz="8" w:space="0" w:color="auto"/>
              <w:right w:val="single" w:sz="8" w:space="0" w:color="auto"/>
            </w:tcBorders>
            <w:shd w:val="clear" w:color="auto" w:fill="auto"/>
            <w:noWrap/>
            <w:vAlign w:val="center"/>
            <w:hideMark/>
          </w:tcPr>
          <w:p w14:paraId="2279984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DD31EE1"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545DBB" w14:textId="5D973474"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1A9C870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1F5FFC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8</w:t>
            </w:r>
          </w:p>
        </w:tc>
      </w:tr>
      <w:tr w:rsidR="004E0EEB" w:rsidRPr="00437D9A" w14:paraId="6C4870B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6243C39"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7454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489A78B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9159A8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D5567F" w14:textId="5D813588"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1F644E35"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6191BB2"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BE1CF1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2187897"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FD7128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28EF489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C0D0D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61908AC" w14:textId="41278FE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96E816E" w14:textId="1D5A30F6" w:rsidR="00AE3F01" w:rsidRPr="00437D9A" w:rsidRDefault="001B0B20"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c>
          <w:tcPr>
            <w:tcW w:w="629" w:type="pct"/>
            <w:tcBorders>
              <w:top w:val="nil"/>
              <w:left w:val="nil"/>
              <w:bottom w:val="single" w:sz="8" w:space="0" w:color="auto"/>
              <w:right w:val="single" w:sz="8" w:space="0" w:color="auto"/>
            </w:tcBorders>
            <w:shd w:val="clear" w:color="auto" w:fill="auto"/>
            <w:noWrap/>
            <w:vAlign w:val="center"/>
            <w:hideMark/>
          </w:tcPr>
          <w:p w14:paraId="2F6835B9" w14:textId="2814FC46" w:rsidR="00AE3F01" w:rsidRPr="00437D9A" w:rsidRDefault="00C85BCF"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1636E13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0D2EA9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267D998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77127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20BBA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76F0D4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00CF33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BDBB18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D3687F5"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269B10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BBA058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6A73FD8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D17E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45E0954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3CB7DD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40A6772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6F10D89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00AABF4"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473835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0E824F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3842626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5C6526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4530CD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12121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210D1E1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45205C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09B572E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1105AAE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7A7FD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86403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005ADFF8"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94ED9F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CF2135E"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F48518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646C03C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1ED9C66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39E3B5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8570FC3" w14:textId="551A2C1D"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0F04643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844FB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291D2F2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DDDBD5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EB665C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366CABE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0BF14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F33C5E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03CD11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582F495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7051C82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FA5B20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2AB4A06"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3043AAB6"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F8DC9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C324EFD" w14:textId="4D436766"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10D0F1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D097EC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4E0EEB" w:rsidRPr="00437D9A" w14:paraId="295ED78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C783FA3"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C2DFDF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0B75F8C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7D6B0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2368664" w14:textId="52CE3028"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50CE6CF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A361F6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4726899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7F499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4C36B66A"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6A00DFD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E97309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2EE3C5" w14:textId="48EFE6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26E4E624"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5DCA4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92F46F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787637"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45BDD1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33DB5A3"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E18D7"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BBB5DE" w14:textId="5444B41C"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173CBD4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034EB3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F4CB84D"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5C3146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7F1971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7A3F37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64064D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F6A63C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F83906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548A77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CBA925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D472D6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EA6851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454BA85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857F7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678207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8186F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92287A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4AC5DC5"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C8D05C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0924360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23</w:t>
            </w:r>
          </w:p>
        </w:tc>
        <w:tc>
          <w:tcPr>
            <w:tcW w:w="755" w:type="pct"/>
            <w:tcBorders>
              <w:top w:val="nil"/>
              <w:left w:val="nil"/>
              <w:bottom w:val="single" w:sz="8" w:space="0" w:color="auto"/>
              <w:right w:val="single" w:sz="8" w:space="0" w:color="auto"/>
            </w:tcBorders>
            <w:shd w:val="clear" w:color="auto" w:fill="auto"/>
            <w:noWrap/>
            <w:vAlign w:val="center"/>
            <w:hideMark/>
          </w:tcPr>
          <w:p w14:paraId="4D3A93D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B46C0B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45C71B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2982702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C14CA9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5A2122D9"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396056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1D5A8BD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43</w:t>
            </w:r>
          </w:p>
        </w:tc>
        <w:tc>
          <w:tcPr>
            <w:tcW w:w="755" w:type="pct"/>
            <w:tcBorders>
              <w:top w:val="nil"/>
              <w:left w:val="nil"/>
              <w:bottom w:val="single" w:sz="8" w:space="0" w:color="auto"/>
              <w:right w:val="single" w:sz="8" w:space="0" w:color="auto"/>
            </w:tcBorders>
            <w:shd w:val="clear" w:color="auto" w:fill="auto"/>
            <w:noWrap/>
            <w:vAlign w:val="center"/>
            <w:hideMark/>
          </w:tcPr>
          <w:p w14:paraId="35B3E39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12EF6F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1C442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12FAFF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0D7EF24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14AF96E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442BA3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EFCD7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20</w:t>
            </w:r>
          </w:p>
        </w:tc>
        <w:tc>
          <w:tcPr>
            <w:tcW w:w="755" w:type="pct"/>
            <w:tcBorders>
              <w:top w:val="nil"/>
              <w:left w:val="nil"/>
              <w:bottom w:val="single" w:sz="8" w:space="0" w:color="auto"/>
              <w:right w:val="single" w:sz="8" w:space="0" w:color="auto"/>
            </w:tcBorders>
            <w:shd w:val="clear" w:color="auto" w:fill="auto"/>
            <w:noWrap/>
            <w:vAlign w:val="center"/>
            <w:hideMark/>
          </w:tcPr>
          <w:p w14:paraId="60A9379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6C7CB3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9CBF1DE" w14:textId="05502151"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300AB94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672944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A5C3DA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3CE25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DC466A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02A29A8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30E73E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C801B8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69AC57D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3B2B87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B2B83A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B6B40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F25EB8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26</w:t>
            </w:r>
          </w:p>
        </w:tc>
        <w:tc>
          <w:tcPr>
            <w:tcW w:w="755" w:type="pct"/>
            <w:tcBorders>
              <w:top w:val="nil"/>
              <w:left w:val="nil"/>
              <w:bottom w:val="single" w:sz="8" w:space="0" w:color="auto"/>
              <w:right w:val="single" w:sz="8" w:space="0" w:color="auto"/>
            </w:tcBorders>
            <w:shd w:val="clear" w:color="auto" w:fill="auto"/>
            <w:noWrap/>
            <w:vAlign w:val="center"/>
            <w:hideMark/>
          </w:tcPr>
          <w:p w14:paraId="5CCA6D1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CC808A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10023AB" w14:textId="661A0AFE"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D65116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2959F57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06F1756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6706FE"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E84306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117</w:t>
            </w:r>
          </w:p>
        </w:tc>
        <w:tc>
          <w:tcPr>
            <w:tcW w:w="755" w:type="pct"/>
            <w:tcBorders>
              <w:top w:val="nil"/>
              <w:left w:val="nil"/>
              <w:bottom w:val="single" w:sz="8" w:space="0" w:color="auto"/>
              <w:right w:val="single" w:sz="8" w:space="0" w:color="auto"/>
            </w:tcBorders>
            <w:shd w:val="clear" w:color="auto" w:fill="auto"/>
            <w:noWrap/>
            <w:vAlign w:val="center"/>
            <w:hideMark/>
          </w:tcPr>
          <w:p w14:paraId="704138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119E93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A14DDF1" w14:textId="5F45FECF"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D931CC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FC4AB6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0004A2B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831AD1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4CAE9F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177E2D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E9CBFE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E7A23EF" w14:textId="7CEE3BA2"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6EC151B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096843F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176952A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CE3189A"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F33A8C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DEEA61"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1D2706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12E8E69" w14:textId="7CFE716B"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21A2324"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FC3037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DA1564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E93FF9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C155E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30</w:t>
            </w:r>
          </w:p>
        </w:tc>
        <w:tc>
          <w:tcPr>
            <w:tcW w:w="755" w:type="pct"/>
            <w:tcBorders>
              <w:top w:val="nil"/>
              <w:left w:val="nil"/>
              <w:bottom w:val="single" w:sz="8" w:space="0" w:color="auto"/>
              <w:right w:val="single" w:sz="8" w:space="0" w:color="auto"/>
            </w:tcBorders>
            <w:shd w:val="clear" w:color="auto" w:fill="auto"/>
            <w:noWrap/>
            <w:vAlign w:val="center"/>
            <w:hideMark/>
          </w:tcPr>
          <w:p w14:paraId="6A08E65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27981A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3A6ED8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96721E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48CEE5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3A59DEFF"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176C7BE"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4D98C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27</w:t>
            </w:r>
          </w:p>
        </w:tc>
        <w:tc>
          <w:tcPr>
            <w:tcW w:w="755" w:type="pct"/>
            <w:tcBorders>
              <w:top w:val="nil"/>
              <w:left w:val="nil"/>
              <w:bottom w:val="single" w:sz="8" w:space="0" w:color="auto"/>
              <w:right w:val="single" w:sz="8" w:space="0" w:color="auto"/>
            </w:tcBorders>
            <w:shd w:val="clear" w:color="auto" w:fill="auto"/>
            <w:noWrap/>
            <w:vAlign w:val="center"/>
            <w:hideMark/>
          </w:tcPr>
          <w:p w14:paraId="18EF16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750B1C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DC049E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4DEED8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4AC44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887822D"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C9D6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8BE435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162953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A6D280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A689A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7FCEE4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D4E866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2046321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199C0E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2894A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42</w:t>
            </w:r>
          </w:p>
        </w:tc>
        <w:tc>
          <w:tcPr>
            <w:tcW w:w="755" w:type="pct"/>
            <w:tcBorders>
              <w:top w:val="nil"/>
              <w:left w:val="nil"/>
              <w:bottom w:val="single" w:sz="8" w:space="0" w:color="auto"/>
              <w:right w:val="single" w:sz="8" w:space="0" w:color="auto"/>
            </w:tcBorders>
            <w:shd w:val="clear" w:color="auto" w:fill="auto"/>
            <w:noWrap/>
            <w:vAlign w:val="center"/>
            <w:hideMark/>
          </w:tcPr>
          <w:p w14:paraId="080E77D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1777B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557E1A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7786C0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1D62B4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AAE81D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FD195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BC0F4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6468C01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9EA4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E0C2590" w14:textId="28627B5F"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1309E46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D8BE3C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8D89A5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3B7FDA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1489F25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B21C55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99BC7F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52F4C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0185F41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AF15F1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F6ACF3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8A5E36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F125FE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45</w:t>
            </w:r>
          </w:p>
        </w:tc>
        <w:tc>
          <w:tcPr>
            <w:tcW w:w="755" w:type="pct"/>
            <w:tcBorders>
              <w:top w:val="nil"/>
              <w:left w:val="nil"/>
              <w:bottom w:val="single" w:sz="8" w:space="0" w:color="auto"/>
              <w:right w:val="single" w:sz="8" w:space="0" w:color="auto"/>
            </w:tcBorders>
            <w:shd w:val="clear" w:color="auto" w:fill="auto"/>
            <w:noWrap/>
            <w:vAlign w:val="center"/>
            <w:hideMark/>
          </w:tcPr>
          <w:p w14:paraId="2EF7020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516AFC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2620CDA" w14:textId="685341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669403C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22</w:t>
            </w:r>
          </w:p>
        </w:tc>
        <w:tc>
          <w:tcPr>
            <w:tcW w:w="629" w:type="pct"/>
            <w:tcBorders>
              <w:top w:val="nil"/>
              <w:left w:val="nil"/>
              <w:bottom w:val="single" w:sz="8" w:space="0" w:color="auto"/>
              <w:right w:val="single" w:sz="8" w:space="0" w:color="auto"/>
            </w:tcBorders>
            <w:shd w:val="clear" w:color="auto" w:fill="auto"/>
            <w:noWrap/>
            <w:vAlign w:val="center"/>
            <w:hideMark/>
          </w:tcPr>
          <w:p w14:paraId="5762ABE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4E0EEB" w:rsidRPr="00437D9A" w14:paraId="6AC1EDA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9C06DC"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FC0014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63FD2AE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6499C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86CD676" w14:textId="3001453C"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326C654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37641A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2B13EA4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C7D44D"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928484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69693EA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5967B3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901DD4B" w14:textId="4B700C94"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5793912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c>
          <w:tcPr>
            <w:tcW w:w="629" w:type="pct"/>
            <w:tcBorders>
              <w:top w:val="nil"/>
              <w:left w:val="nil"/>
              <w:bottom w:val="single" w:sz="8" w:space="0" w:color="auto"/>
              <w:right w:val="single" w:sz="8" w:space="0" w:color="auto"/>
            </w:tcBorders>
            <w:shd w:val="clear" w:color="auto" w:fill="auto"/>
            <w:noWrap/>
            <w:vAlign w:val="center"/>
            <w:hideMark/>
          </w:tcPr>
          <w:p w14:paraId="5334C91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0772E9D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0F54A0"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52E45C3"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12</w:t>
            </w:r>
          </w:p>
        </w:tc>
        <w:tc>
          <w:tcPr>
            <w:tcW w:w="755" w:type="pct"/>
            <w:tcBorders>
              <w:top w:val="nil"/>
              <w:left w:val="nil"/>
              <w:bottom w:val="single" w:sz="8" w:space="0" w:color="auto"/>
              <w:right w:val="single" w:sz="8" w:space="0" w:color="auto"/>
            </w:tcBorders>
            <w:shd w:val="clear" w:color="auto" w:fill="auto"/>
            <w:noWrap/>
            <w:vAlign w:val="center"/>
            <w:hideMark/>
          </w:tcPr>
          <w:p w14:paraId="5B36EFD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59B756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F2CA28" w14:textId="101955DE"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584211A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9AD466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6ED2F85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81798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81F1DA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4CC0AC8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6A7F81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4E42DB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0B9BBC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065073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B75582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E8CFBF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71AA0F2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2414841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21C4B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280FCB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96B15F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C35EA9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D43BD8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FC2C97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6EB703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7E20D83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D130DE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F08DD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21E2438"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960450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3E1AC9F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AC9FA0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41896AD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4FD43F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868E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12823A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BEC89C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C6F1F9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2A0504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26C0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1B7594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39</w:t>
            </w:r>
          </w:p>
        </w:tc>
        <w:tc>
          <w:tcPr>
            <w:tcW w:w="755" w:type="pct"/>
            <w:tcBorders>
              <w:top w:val="nil"/>
              <w:left w:val="nil"/>
              <w:bottom w:val="single" w:sz="8" w:space="0" w:color="auto"/>
              <w:right w:val="single" w:sz="8" w:space="0" w:color="auto"/>
            </w:tcBorders>
            <w:shd w:val="clear" w:color="auto" w:fill="auto"/>
            <w:noWrap/>
            <w:vAlign w:val="center"/>
            <w:hideMark/>
          </w:tcPr>
          <w:p w14:paraId="01E9DC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3BC17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1E51C25" w14:textId="70694A37"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2D758F2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202707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C2EE1A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B349A98"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C1B9B2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1A1C012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F653B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299AA53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CC1710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41A9E12"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DE59E4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D9441C1"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BAB3A6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24</w:t>
            </w:r>
          </w:p>
        </w:tc>
        <w:tc>
          <w:tcPr>
            <w:tcW w:w="755" w:type="pct"/>
            <w:tcBorders>
              <w:top w:val="nil"/>
              <w:left w:val="nil"/>
              <w:bottom w:val="single" w:sz="8" w:space="0" w:color="auto"/>
              <w:right w:val="single" w:sz="8" w:space="0" w:color="auto"/>
            </w:tcBorders>
            <w:shd w:val="clear" w:color="auto" w:fill="auto"/>
            <w:noWrap/>
            <w:vAlign w:val="center"/>
            <w:hideMark/>
          </w:tcPr>
          <w:p w14:paraId="42ECE247"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4B19B9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AB4CAA" w14:textId="3836E9F5"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2A92146"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14</w:t>
            </w:r>
          </w:p>
        </w:tc>
        <w:tc>
          <w:tcPr>
            <w:tcW w:w="629" w:type="pct"/>
            <w:tcBorders>
              <w:top w:val="nil"/>
              <w:left w:val="nil"/>
              <w:bottom w:val="single" w:sz="8" w:space="0" w:color="auto"/>
              <w:right w:val="single" w:sz="8" w:space="0" w:color="auto"/>
            </w:tcBorders>
            <w:shd w:val="clear" w:color="auto" w:fill="auto"/>
            <w:noWrap/>
            <w:vAlign w:val="center"/>
            <w:hideMark/>
          </w:tcPr>
          <w:p w14:paraId="3D6E5CA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r>
      <w:tr w:rsidR="004E0EEB" w:rsidRPr="00437D9A" w14:paraId="0EE6E7B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CF4FBCD"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D6CDFA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67</w:t>
            </w:r>
          </w:p>
        </w:tc>
        <w:tc>
          <w:tcPr>
            <w:tcW w:w="755" w:type="pct"/>
            <w:tcBorders>
              <w:top w:val="nil"/>
              <w:left w:val="nil"/>
              <w:bottom w:val="single" w:sz="8" w:space="0" w:color="auto"/>
              <w:right w:val="single" w:sz="8" w:space="0" w:color="auto"/>
            </w:tcBorders>
            <w:shd w:val="clear" w:color="auto" w:fill="auto"/>
            <w:noWrap/>
            <w:vAlign w:val="center"/>
            <w:hideMark/>
          </w:tcPr>
          <w:p w14:paraId="34CD175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B05EA6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CFE6448" w14:textId="1618D72A"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65A097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7729852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55C80E7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B532AC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09CAD9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w:t>
            </w:r>
          </w:p>
        </w:tc>
        <w:tc>
          <w:tcPr>
            <w:tcW w:w="755" w:type="pct"/>
            <w:tcBorders>
              <w:top w:val="nil"/>
              <w:left w:val="nil"/>
              <w:bottom w:val="single" w:sz="8" w:space="0" w:color="auto"/>
              <w:right w:val="single" w:sz="8" w:space="0" w:color="auto"/>
            </w:tcBorders>
            <w:shd w:val="clear" w:color="auto" w:fill="auto"/>
            <w:noWrap/>
            <w:vAlign w:val="center"/>
            <w:hideMark/>
          </w:tcPr>
          <w:p w14:paraId="25BD6F6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F667BB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A4B3AF" w14:textId="5C4F8F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4E8E0DD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9</w:t>
            </w:r>
          </w:p>
        </w:tc>
        <w:tc>
          <w:tcPr>
            <w:tcW w:w="629" w:type="pct"/>
            <w:tcBorders>
              <w:top w:val="nil"/>
              <w:left w:val="nil"/>
              <w:bottom w:val="single" w:sz="8" w:space="0" w:color="auto"/>
              <w:right w:val="single" w:sz="8" w:space="0" w:color="auto"/>
            </w:tcBorders>
            <w:shd w:val="clear" w:color="auto" w:fill="auto"/>
            <w:noWrap/>
            <w:vAlign w:val="center"/>
            <w:hideMark/>
          </w:tcPr>
          <w:p w14:paraId="3AB53BE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BA2A3A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6DFED9A"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7AB2F4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D4058E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8A0828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0BBFCEA" w14:textId="3EA461F3"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6E25341" w14:textId="481ED808"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r w:rsidR="00C85BCF">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73A0D1EF" w14:textId="62527323" w:rsidR="00AE3F01" w:rsidRPr="00437D9A" w:rsidRDefault="00C85BCF"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2F91A31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96D11D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85131C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16</w:t>
            </w:r>
          </w:p>
        </w:tc>
        <w:tc>
          <w:tcPr>
            <w:tcW w:w="755" w:type="pct"/>
            <w:tcBorders>
              <w:top w:val="nil"/>
              <w:left w:val="nil"/>
              <w:bottom w:val="single" w:sz="8" w:space="0" w:color="auto"/>
              <w:right w:val="single" w:sz="8" w:space="0" w:color="auto"/>
            </w:tcBorders>
            <w:shd w:val="clear" w:color="auto" w:fill="auto"/>
            <w:noWrap/>
            <w:vAlign w:val="center"/>
            <w:hideMark/>
          </w:tcPr>
          <w:p w14:paraId="3DF06C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B70DB9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3A62DF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3F2AD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5B2B1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FECD41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129B17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378A30D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B7FB52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55FF7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73792E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A0BE48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54A56B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bl>
    <w:p w14:paraId="1B913FA3" w14:textId="77777777" w:rsidR="0059630D" w:rsidRDefault="0059630D" w:rsidP="00FE3F78">
      <w:pPr>
        <w:spacing w:after="0" w:line="240" w:lineRule="auto"/>
      </w:pPr>
    </w:p>
    <w:p w14:paraId="1C46C7FC" w14:textId="3653E3EC" w:rsidR="00B1379E" w:rsidRDefault="00406EC8" w:rsidP="008D16E1">
      <w:pPr>
        <w:keepNext/>
        <w:widowControl w:val="0"/>
        <w:spacing w:after="120" w:line="240" w:lineRule="auto"/>
        <w:rPr>
          <w:b/>
        </w:rPr>
      </w:pPr>
      <w:r>
        <w:rPr>
          <w:b/>
        </w:rPr>
        <w:t>Field Test Student Sample</w:t>
      </w:r>
    </w:p>
    <w:p w14:paraId="4E71999D" w14:textId="7F67B2FE" w:rsidR="002F0687" w:rsidRDefault="00406EC8" w:rsidP="008D16E1">
      <w:pPr>
        <w:widowControl w:val="0"/>
        <w:spacing w:after="120" w:line="240" w:lineRule="auto"/>
      </w:pPr>
      <w:r>
        <w:t>Within participating schools, students</w:t>
      </w:r>
      <w:r w:rsidR="0044103A">
        <w:t xml:space="preserve"> will be stratified into grades</w:t>
      </w:r>
      <w:r>
        <w:t xml:space="preserve"> 9 or 12, and a simple random sample of 35 ninth-grade students will be selected and, for those schools that offer twelfth-grade instruction, a simple random sample of 35 twelfth-grade students will be selected.</w:t>
      </w:r>
      <w:r w:rsidR="0044103A">
        <w:t xml:space="preserve"> </w:t>
      </w:r>
      <w:r w:rsidR="002F0687" w:rsidRPr="000214E1">
        <w:t xml:space="preserve">The desired yield for the </w:t>
      </w:r>
      <w:r w:rsidR="002F0687">
        <w:t>field test</w:t>
      </w:r>
      <w:r w:rsidR="002F0687" w:rsidRPr="000214E1">
        <w:t xml:space="preserve"> is </w:t>
      </w:r>
      <w:r w:rsidR="002F0687">
        <w:t>2,120 students enrolled in grade 9 and 2,007 students enrolled in grade 12</w:t>
      </w:r>
      <w:r w:rsidR="002F0687" w:rsidRPr="000214E1">
        <w:t xml:space="preserve">. </w:t>
      </w:r>
      <w:r w:rsidR="002F0687">
        <w:t>An estimated 5 percent of sampled students are assumed to be ineligible and 85 percent of eligible students are assumed to participate.</w:t>
      </w:r>
      <w:r w:rsidR="002F0687" w:rsidRPr="000214E1">
        <w:t xml:space="preserve"> </w:t>
      </w:r>
      <w:r w:rsidR="002F0687">
        <w:t>Thus, to achieve a yield of 2,120</w:t>
      </w:r>
      <w:r w:rsidR="002F0687" w:rsidRPr="000214E1">
        <w:t xml:space="preserve"> </w:t>
      </w:r>
      <w:r w:rsidR="002F0687">
        <w:t xml:space="preserve">ninth-grade </w:t>
      </w:r>
      <w:r w:rsidR="002F0687" w:rsidRPr="000214E1">
        <w:t xml:space="preserve">students, the parents of approximately </w:t>
      </w:r>
      <w:r w:rsidR="002F0687">
        <w:t>2,625</w:t>
      </w:r>
      <w:r w:rsidR="002F0687" w:rsidRPr="000214E1">
        <w:t xml:space="preserve"> </w:t>
      </w:r>
      <w:r w:rsidR="002F0687">
        <w:t xml:space="preserve">ninth-grade </w:t>
      </w:r>
      <w:r w:rsidR="002F0687" w:rsidRPr="000214E1">
        <w:t>students will need to</w:t>
      </w:r>
      <w:r w:rsidR="002F0687">
        <w:t xml:space="preserve"> be contacted for consent (2,625*0.95</w:t>
      </w:r>
      <w:r w:rsidR="002F0687" w:rsidRPr="000214E1">
        <w:t>*0.8</w:t>
      </w:r>
      <w:r w:rsidR="002F0687">
        <w:t>5=2,120). Similarly, the parents of approximately 2,485 twelfth-grade students will need to be contacted for consent (2,485*.95*.85=2,007).</w:t>
      </w:r>
    </w:p>
    <w:p w14:paraId="2610CB67" w14:textId="4B85B089" w:rsidR="00587ADA" w:rsidRDefault="00481A84" w:rsidP="00587ADA">
      <w:pPr>
        <w:widowControl w:val="0"/>
        <w:spacing w:after="120" w:line="240" w:lineRule="auto"/>
        <w:rPr>
          <w:b/>
        </w:rPr>
      </w:pPr>
      <w:r>
        <w:rPr>
          <w:b/>
        </w:rPr>
        <w:t>Full-</w:t>
      </w:r>
      <w:r w:rsidR="00587ADA">
        <w:rPr>
          <w:b/>
        </w:rPr>
        <w:t>Scale School Sample</w:t>
      </w:r>
    </w:p>
    <w:p w14:paraId="0ED49A89" w14:textId="3BC18EA8" w:rsidR="00865A69" w:rsidRDefault="00865A69" w:rsidP="00865A69">
      <w:pPr>
        <w:pStyle w:val="BodyText"/>
        <w:widowControl w:val="0"/>
        <w:spacing w:line="21" w:lineRule="atLeast"/>
      </w:pPr>
      <w:r>
        <w:t>Prior to selection of the school sample, schools will be sorted by locale (city, suburban, town, rural), school grade configuration, and school size measure within each of the explicit school strata so that approximate proportionality across locale and school configuration is preserved. The purpose of including school size measure in the sort is to enable the ability to freshen the school sample. If newer versions of the CCD or PSS are released after selection of the school sample and by the end of the first quarter of 2020, the school sample will be freshened in the first half of 2020, before the start of BYFS data collection, because schools will be selected about a year before the start of data collection to allow sufficient time for recruitment. Thereby new schools will be identified through review of more recent CCD and PSS files, if available. Newly identified schools will be inserted into the sorted sampling frame in such a fashion as to preserve the original sort ordering. Using a half-open interval rule</w:t>
      </w:r>
      <w:r w:rsidR="00B43154">
        <w:t>,</w:t>
      </w:r>
      <w:r>
        <w:rPr>
          <w:rStyle w:val="FootnoteReference"/>
        </w:rPr>
        <w:footnoteReference w:id="6"/>
      </w:r>
      <w:r>
        <w:t xml:space="preserve"> we will identify schools to be added to the initial school sample.</w:t>
      </w:r>
    </w:p>
    <w:p w14:paraId="0D3941C7" w14:textId="77777777" w:rsidR="00865A69" w:rsidRDefault="00865A69" w:rsidP="00865A69">
      <w:pPr>
        <w:pStyle w:val="BodyText"/>
        <w:widowControl w:val="0"/>
        <w:spacing w:line="21" w:lineRule="atLeast"/>
        <w:rPr>
          <w:rFonts w:ascii="Cambria" w:hAnsi="Cambria"/>
        </w:rPr>
      </w:pPr>
      <w:r>
        <w:rPr>
          <w:rFonts w:ascii="Cambria" w:hAnsi="Cambria"/>
        </w:rPr>
        <w:t>Declining response rates are a concern for any research study, and some of the recent school-based</w:t>
      </w:r>
      <w:r w:rsidRPr="00794E15">
        <w:rPr>
          <w:rFonts w:ascii="Cambria" w:hAnsi="Cambria"/>
        </w:rPr>
        <w:t xml:space="preserve"> </w:t>
      </w:r>
      <w:r>
        <w:rPr>
          <w:rFonts w:ascii="Cambria" w:hAnsi="Cambria"/>
        </w:rPr>
        <w:t xml:space="preserve">NCES longitudinal </w:t>
      </w:r>
      <w:r w:rsidRPr="00794E15">
        <w:rPr>
          <w:rFonts w:ascii="Cambria" w:hAnsi="Cambria"/>
        </w:rPr>
        <w:t>studies</w:t>
      </w:r>
      <w:r>
        <w:rPr>
          <w:rFonts w:ascii="Cambria" w:hAnsi="Cambria"/>
        </w:rPr>
        <w:t xml:space="preserve"> achieved response rates lower than a desired target of 75 percent. For example, the school response rate for the</w:t>
      </w:r>
      <w:r w:rsidRPr="00794E15">
        <w:rPr>
          <w:rFonts w:ascii="Cambria" w:hAnsi="Cambria"/>
        </w:rPr>
        <w:t xml:space="preserve"> High School Longitudinal Study of 2009 (HSLS:09) </w:t>
      </w:r>
      <w:r>
        <w:rPr>
          <w:rFonts w:ascii="Cambria" w:hAnsi="Cambria"/>
        </w:rPr>
        <w:t xml:space="preserve">was 56 percent and the school response rate for </w:t>
      </w:r>
      <w:r w:rsidRPr="00794E15">
        <w:rPr>
          <w:rFonts w:ascii="Cambria" w:hAnsi="Cambria"/>
        </w:rPr>
        <w:t>the Early Childhood Longitudinal Study Kindergarten Class of 2010-11 (ECLS-K:2011)</w:t>
      </w:r>
      <w:r>
        <w:rPr>
          <w:rFonts w:ascii="Cambria" w:hAnsi="Cambria"/>
        </w:rPr>
        <w:t xml:space="preserve"> was</w:t>
      </w:r>
      <w:r w:rsidRPr="00794E15">
        <w:rPr>
          <w:rFonts w:ascii="Cambria" w:hAnsi="Cambria"/>
        </w:rPr>
        <w:t xml:space="preserve"> 63 percent</w:t>
      </w:r>
      <w:r>
        <w:rPr>
          <w:rFonts w:ascii="Cambria" w:hAnsi="Cambria"/>
        </w:rPr>
        <w:t>.</w:t>
      </w:r>
    </w:p>
    <w:p w14:paraId="689D381F" w14:textId="51EDCE64" w:rsidR="00865A69" w:rsidRDefault="00865A69" w:rsidP="00865A69">
      <w:pPr>
        <w:pStyle w:val="BodyText"/>
        <w:widowControl w:val="0"/>
        <w:spacing w:line="21" w:lineRule="atLeast"/>
        <w:rPr>
          <w:rFonts w:ascii="Cambria" w:hAnsi="Cambria"/>
        </w:rPr>
      </w:pPr>
      <w:r>
        <w:rPr>
          <w:rFonts w:ascii="Cambria" w:hAnsi="Cambria"/>
        </w:rPr>
        <w:t xml:space="preserve">Nevertheless, </w:t>
      </w:r>
      <w:r w:rsidRPr="00794E15">
        <w:rPr>
          <w:rFonts w:ascii="Cambria" w:hAnsi="Cambria"/>
        </w:rPr>
        <w:t xml:space="preserve">to be conservative, </w:t>
      </w:r>
      <w:r>
        <w:rPr>
          <w:rFonts w:ascii="Cambria" w:hAnsi="Cambria"/>
        </w:rPr>
        <w:t xml:space="preserve">the HS&amp;B:20 BYFS </w:t>
      </w:r>
      <w:r w:rsidRPr="00794E15">
        <w:rPr>
          <w:rFonts w:ascii="Cambria" w:hAnsi="Cambria"/>
        </w:rPr>
        <w:t xml:space="preserve">sampling </w:t>
      </w:r>
      <w:r w:rsidRPr="00644B6C">
        <w:rPr>
          <w:rFonts w:ascii="Cambria" w:hAnsi="Cambria"/>
        </w:rPr>
        <w:t>plan is designed to be flexible so that the study can better achieve school participation targets even if eligibility and response rates are lower than anticipated. The proposed school sampling process is designed to achieve 920 participating schools (641 public, 128 Catholic, and 151 other private) distributed over 27 school sampling strata. We plan to select 2,728 schools using stratified probability proportional to size sampling, from which an initial simple random sample of 1,373 schools</w:t>
      </w:r>
      <w:r w:rsidRPr="00794E15">
        <w:rPr>
          <w:rFonts w:ascii="Cambria" w:hAnsi="Cambria"/>
        </w:rPr>
        <w:t xml:space="preserve"> </w:t>
      </w:r>
      <w:r>
        <w:rPr>
          <w:rFonts w:ascii="Cambria" w:hAnsi="Cambria"/>
        </w:rPr>
        <w:t xml:space="preserve">will be selected </w:t>
      </w:r>
      <w:r w:rsidRPr="00794E15">
        <w:rPr>
          <w:rFonts w:ascii="Cambria" w:hAnsi="Cambria"/>
        </w:rPr>
        <w:t>within school strata</w:t>
      </w:r>
      <w:r>
        <w:rPr>
          <w:rFonts w:ascii="Cambria" w:hAnsi="Cambria"/>
        </w:rPr>
        <w:t>.</w:t>
      </w:r>
      <w:r w:rsidRPr="00794E15">
        <w:rPr>
          <w:rFonts w:ascii="Cambria" w:hAnsi="Cambria"/>
        </w:rPr>
        <w:t xml:space="preserve"> This subset of</w:t>
      </w:r>
      <w:r>
        <w:rPr>
          <w:rFonts w:ascii="Cambria" w:hAnsi="Cambria"/>
        </w:rPr>
        <w:t xml:space="preserve"> 1,373</w:t>
      </w:r>
      <w:r w:rsidRPr="00794E15">
        <w:rPr>
          <w:rFonts w:ascii="Cambria" w:hAnsi="Cambria"/>
        </w:rPr>
        <w:t xml:space="preserve"> schools </w:t>
      </w:r>
      <w:r w:rsidR="001512B7">
        <w:rPr>
          <w:rFonts w:ascii="Cambria" w:hAnsi="Cambria"/>
        </w:rPr>
        <w:t xml:space="preserve">will </w:t>
      </w:r>
      <w:r w:rsidRPr="00794E15">
        <w:rPr>
          <w:rFonts w:ascii="Cambria" w:hAnsi="Cambria"/>
        </w:rPr>
        <w:t>comprise the initial set of schools</w:t>
      </w:r>
      <w:r>
        <w:rPr>
          <w:rFonts w:ascii="Cambria" w:hAnsi="Cambria"/>
        </w:rPr>
        <w:t xml:space="preserve"> that will be</w:t>
      </w:r>
      <w:r w:rsidRPr="00794E15">
        <w:rPr>
          <w:rFonts w:ascii="Cambria" w:hAnsi="Cambria"/>
        </w:rPr>
        <w:t xml:space="preserve"> </w:t>
      </w:r>
      <w:r>
        <w:rPr>
          <w:rFonts w:ascii="Cambria" w:hAnsi="Cambria"/>
        </w:rPr>
        <w:t>pursued for recruitment, starting in August 2019, into the BYFS.</w:t>
      </w:r>
      <w:r w:rsidRPr="00794E15">
        <w:rPr>
          <w:rFonts w:ascii="Cambria" w:hAnsi="Cambria"/>
        </w:rPr>
        <w:t xml:space="preserve"> </w:t>
      </w:r>
      <w:r>
        <w:rPr>
          <w:rFonts w:ascii="Cambria" w:hAnsi="Cambria"/>
        </w:rPr>
        <w:t>The remaining schools</w:t>
      </w:r>
      <w:r w:rsidR="001512B7">
        <w:rPr>
          <w:rFonts w:ascii="Cambria" w:hAnsi="Cambria"/>
        </w:rPr>
        <w:t xml:space="preserve"> will</w:t>
      </w:r>
      <w:r>
        <w:rPr>
          <w:rFonts w:ascii="Cambria" w:hAnsi="Cambria"/>
        </w:rPr>
        <w:t xml:space="preserve"> provide a reserve sample from which additional schools may be sampled and pursued for recruitment. Schools may be sampled from the reserve if participation among schools in the initial sample is estimated to be too far away from school participation targets. </w:t>
      </w:r>
      <w:r w:rsidR="002B0D3A">
        <w:rPr>
          <w:rFonts w:ascii="Cambria" w:hAnsi="Cambria"/>
        </w:rPr>
        <w:t>There is no predefined schedule or number of participating schools that will trigger release of schools from the reserve sample.</w:t>
      </w:r>
      <w:r w:rsidR="0099109D">
        <w:rPr>
          <w:rStyle w:val="FootnoteReference"/>
        </w:rPr>
        <w:footnoteReference w:id="7"/>
      </w:r>
      <w:r w:rsidR="002B0D3A">
        <w:rPr>
          <w:rFonts w:ascii="Cambria" w:hAnsi="Cambria"/>
        </w:rPr>
        <w:t xml:space="preserve"> Rather, </w:t>
      </w:r>
      <w:r w:rsidR="002B0D3A">
        <w:t>t</w:t>
      </w:r>
      <w:r>
        <w:t xml:space="preserve">he numbers of participating schools among the 1,373 released schools will be monitored by school stratum and, if the number of participating schools in a stratum is substantially less than the yield goals for that stratum, then additional schools may be released for that stratum from the reserve set of schools. If a reserve sample of schools is warranted, a random sample of schools will be selected from the reserve and released for recruitment. This procedure </w:t>
      </w:r>
      <w:r>
        <w:rPr>
          <w:rFonts w:ascii="Cambria" w:hAnsi="Cambria"/>
        </w:rPr>
        <w:t>will improve the ability to better achieve within-stratum school participation goals in the event that stratum-specific eligibility and participation rates are lower than expected</w:t>
      </w:r>
      <w:r w:rsidRPr="00794E15">
        <w:rPr>
          <w:rFonts w:ascii="Cambria" w:hAnsi="Cambria"/>
        </w:rPr>
        <w:t>.</w:t>
      </w:r>
      <w:r>
        <w:rPr>
          <w:rFonts w:ascii="Cambria" w:hAnsi="Cambria"/>
        </w:rPr>
        <w:t xml:space="preserve"> </w:t>
      </w:r>
      <w:r w:rsidRPr="00794E15">
        <w:rPr>
          <w:rFonts w:ascii="Cambria" w:hAnsi="Cambria"/>
        </w:rPr>
        <w:t xml:space="preserve">The desired numbers of participating schools by the margins of the school stratification characteristics are shown in table </w:t>
      </w:r>
      <w:r>
        <w:rPr>
          <w:rFonts w:ascii="Cambria" w:hAnsi="Cambria"/>
        </w:rPr>
        <w:t>3</w:t>
      </w:r>
      <w:r w:rsidRPr="00794E15">
        <w:rPr>
          <w:rFonts w:ascii="Cambria" w:hAnsi="Cambria"/>
        </w:rPr>
        <w:t>.</w:t>
      </w:r>
    </w:p>
    <w:p w14:paraId="727EEC61" w14:textId="256FD1D4" w:rsidR="00865A69" w:rsidRPr="00C6011E" w:rsidRDefault="00865A69" w:rsidP="000D5575">
      <w:pPr>
        <w:keepNext/>
        <w:spacing w:before="240" w:after="60" w:line="240" w:lineRule="auto"/>
        <w:rPr>
          <w:b/>
          <w:bCs/>
        </w:rPr>
      </w:pPr>
      <w:r w:rsidRPr="00C6011E">
        <w:rPr>
          <w:b/>
          <w:bCs/>
        </w:rPr>
        <w:t xml:space="preserve">Table </w:t>
      </w:r>
      <w:r>
        <w:rPr>
          <w:b/>
          <w:bCs/>
        </w:rPr>
        <w:t>3</w:t>
      </w:r>
      <w:r w:rsidRPr="00C6011E">
        <w:rPr>
          <w:b/>
          <w:bCs/>
        </w:rPr>
        <w:t>.</w:t>
      </w:r>
      <w:r>
        <w:rPr>
          <w:b/>
          <w:bCs/>
        </w:rPr>
        <w:t xml:space="preserve"> </w:t>
      </w:r>
      <w:r w:rsidRPr="00B42ED0">
        <w:rPr>
          <w:b/>
          <w:bCs/>
        </w:rPr>
        <w:t>HS&amp;B:20</w:t>
      </w:r>
      <w:r>
        <w:rPr>
          <w:b/>
          <w:bCs/>
        </w:rPr>
        <w:t xml:space="preserve"> BYFS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1907"/>
        <w:gridCol w:w="2699"/>
        <w:gridCol w:w="1602"/>
        <w:gridCol w:w="1602"/>
        <w:gridCol w:w="1602"/>
        <w:gridCol w:w="1604"/>
      </w:tblGrid>
      <w:tr w:rsidR="00865A69" w:rsidRPr="004A696F" w14:paraId="6FE93483" w14:textId="77777777" w:rsidTr="00D96242">
        <w:trPr>
          <w:tblHeader/>
        </w:trPr>
        <w:tc>
          <w:tcPr>
            <w:tcW w:w="866" w:type="pct"/>
            <w:shd w:val="clear" w:color="auto" w:fill="FAFBFE"/>
            <w:vAlign w:val="center"/>
          </w:tcPr>
          <w:p w14:paraId="0A3F2D64" w14:textId="77777777" w:rsidR="00865A69" w:rsidRPr="00E03822" w:rsidRDefault="00865A69" w:rsidP="00644B6C">
            <w:pPr>
              <w:jc w:val="right"/>
              <w:rPr>
                <w:rFonts w:cs="Arial"/>
                <w:b/>
                <w:bCs/>
                <w:color w:val="000000"/>
                <w:sz w:val="18"/>
                <w:szCs w:val="18"/>
              </w:rPr>
            </w:pPr>
          </w:p>
        </w:tc>
        <w:tc>
          <w:tcPr>
            <w:tcW w:w="1225" w:type="pct"/>
            <w:shd w:val="clear" w:color="auto" w:fill="FAFBFE"/>
            <w:vAlign w:val="center"/>
          </w:tcPr>
          <w:p w14:paraId="34BD1B63" w14:textId="77777777" w:rsidR="00865A69" w:rsidRPr="00E03822" w:rsidRDefault="00865A69" w:rsidP="00644B6C">
            <w:pPr>
              <w:jc w:val="right"/>
              <w:rPr>
                <w:rFonts w:cs="Arial"/>
                <w:b/>
                <w:bCs/>
                <w:color w:val="000000"/>
                <w:sz w:val="18"/>
                <w:szCs w:val="18"/>
              </w:rPr>
            </w:pPr>
          </w:p>
        </w:tc>
        <w:tc>
          <w:tcPr>
            <w:tcW w:w="727" w:type="pct"/>
            <w:shd w:val="clear" w:color="auto" w:fill="FAFBFE"/>
            <w:vAlign w:val="center"/>
          </w:tcPr>
          <w:p w14:paraId="55D0786F"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Public</w:t>
            </w:r>
          </w:p>
        </w:tc>
        <w:tc>
          <w:tcPr>
            <w:tcW w:w="727" w:type="pct"/>
            <w:shd w:val="clear" w:color="auto" w:fill="FAFBFE"/>
            <w:vAlign w:val="center"/>
          </w:tcPr>
          <w:p w14:paraId="39A92180"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Catholic</w:t>
            </w:r>
          </w:p>
        </w:tc>
        <w:tc>
          <w:tcPr>
            <w:tcW w:w="727" w:type="pct"/>
            <w:shd w:val="clear" w:color="auto" w:fill="FAFBFE"/>
            <w:vAlign w:val="center"/>
          </w:tcPr>
          <w:p w14:paraId="287709E9"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Other private</w:t>
            </w:r>
          </w:p>
        </w:tc>
        <w:tc>
          <w:tcPr>
            <w:tcW w:w="728" w:type="pct"/>
            <w:shd w:val="clear" w:color="auto" w:fill="FAFBFE"/>
            <w:vAlign w:val="center"/>
          </w:tcPr>
          <w:p w14:paraId="79C40463"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Total</w:t>
            </w:r>
          </w:p>
        </w:tc>
      </w:tr>
      <w:tr w:rsidR="00865A69" w:rsidRPr="000B21C3" w14:paraId="00541473" w14:textId="77777777" w:rsidTr="00644B6C">
        <w:tc>
          <w:tcPr>
            <w:tcW w:w="866" w:type="pct"/>
            <w:vAlign w:val="center"/>
          </w:tcPr>
          <w:p w14:paraId="60906AD1" w14:textId="77777777" w:rsidR="00865A69" w:rsidRPr="000B21C3" w:rsidRDefault="00865A69" w:rsidP="00644B6C">
            <w:pPr>
              <w:jc w:val="right"/>
              <w:rPr>
                <w:rFonts w:cs="Arial"/>
                <w:b/>
                <w:bCs/>
                <w:color w:val="000000"/>
                <w:sz w:val="18"/>
                <w:szCs w:val="18"/>
              </w:rPr>
            </w:pPr>
            <w:r w:rsidRPr="000B21C3">
              <w:rPr>
                <w:rFonts w:cs="Arial"/>
                <w:b/>
                <w:bCs/>
                <w:color w:val="000000"/>
                <w:sz w:val="18"/>
                <w:szCs w:val="18"/>
              </w:rPr>
              <w:t>Total</w:t>
            </w:r>
          </w:p>
        </w:tc>
        <w:tc>
          <w:tcPr>
            <w:tcW w:w="1225" w:type="pct"/>
            <w:vAlign w:val="center"/>
          </w:tcPr>
          <w:p w14:paraId="1F5EBD0D" w14:textId="77777777" w:rsidR="00865A69" w:rsidRPr="000B21C3" w:rsidRDefault="00865A69" w:rsidP="00644B6C">
            <w:pPr>
              <w:rPr>
                <w:rFonts w:cs="Arial"/>
                <w:b/>
                <w:color w:val="000000"/>
                <w:sz w:val="18"/>
                <w:szCs w:val="18"/>
              </w:rPr>
            </w:pPr>
          </w:p>
        </w:tc>
        <w:tc>
          <w:tcPr>
            <w:tcW w:w="727" w:type="pct"/>
            <w:vAlign w:val="center"/>
          </w:tcPr>
          <w:p w14:paraId="10876F7F" w14:textId="77777777" w:rsidR="00865A69" w:rsidRPr="000B21C3" w:rsidRDefault="00865A69" w:rsidP="00644B6C">
            <w:pPr>
              <w:jc w:val="right"/>
              <w:rPr>
                <w:rFonts w:cs="Arial"/>
                <w:b/>
                <w:color w:val="000000"/>
                <w:sz w:val="18"/>
                <w:szCs w:val="18"/>
              </w:rPr>
            </w:pPr>
            <w:r w:rsidRPr="000B21C3">
              <w:rPr>
                <w:rFonts w:cs="Arial"/>
                <w:b/>
                <w:color w:val="000000"/>
                <w:sz w:val="18"/>
                <w:szCs w:val="18"/>
              </w:rPr>
              <w:t>641</w:t>
            </w:r>
          </w:p>
        </w:tc>
        <w:tc>
          <w:tcPr>
            <w:tcW w:w="727" w:type="pct"/>
            <w:vAlign w:val="center"/>
          </w:tcPr>
          <w:p w14:paraId="36CD1176" w14:textId="77777777" w:rsidR="00865A69" w:rsidRPr="000B21C3" w:rsidRDefault="00865A69" w:rsidP="00644B6C">
            <w:pPr>
              <w:jc w:val="right"/>
              <w:rPr>
                <w:rFonts w:cs="Arial"/>
                <w:b/>
                <w:color w:val="000000"/>
                <w:sz w:val="18"/>
                <w:szCs w:val="18"/>
              </w:rPr>
            </w:pPr>
            <w:r w:rsidRPr="000B21C3">
              <w:rPr>
                <w:rFonts w:cs="Arial"/>
                <w:b/>
                <w:color w:val="000000"/>
                <w:sz w:val="18"/>
                <w:szCs w:val="18"/>
              </w:rPr>
              <w:t>128</w:t>
            </w:r>
          </w:p>
        </w:tc>
        <w:tc>
          <w:tcPr>
            <w:tcW w:w="727" w:type="pct"/>
            <w:vAlign w:val="center"/>
          </w:tcPr>
          <w:p w14:paraId="7423A9CA" w14:textId="77777777" w:rsidR="00865A69" w:rsidRPr="000B21C3" w:rsidRDefault="00865A69" w:rsidP="00644B6C">
            <w:pPr>
              <w:jc w:val="right"/>
              <w:rPr>
                <w:rFonts w:cs="Arial"/>
                <w:b/>
                <w:color w:val="000000"/>
                <w:sz w:val="18"/>
                <w:szCs w:val="18"/>
              </w:rPr>
            </w:pPr>
            <w:r w:rsidRPr="000B21C3">
              <w:rPr>
                <w:rFonts w:cs="Arial"/>
                <w:b/>
                <w:color w:val="000000"/>
                <w:sz w:val="18"/>
                <w:szCs w:val="18"/>
              </w:rPr>
              <w:t>151</w:t>
            </w:r>
          </w:p>
        </w:tc>
        <w:tc>
          <w:tcPr>
            <w:tcW w:w="728" w:type="pct"/>
            <w:vAlign w:val="center"/>
          </w:tcPr>
          <w:p w14:paraId="1735A6FE" w14:textId="77777777" w:rsidR="00865A69" w:rsidRPr="000B21C3" w:rsidRDefault="00865A69" w:rsidP="00644B6C">
            <w:pPr>
              <w:jc w:val="right"/>
              <w:rPr>
                <w:rFonts w:cs="Arial"/>
                <w:b/>
                <w:color w:val="000000"/>
                <w:sz w:val="18"/>
                <w:szCs w:val="18"/>
              </w:rPr>
            </w:pPr>
            <w:r w:rsidRPr="000B21C3">
              <w:rPr>
                <w:rFonts w:cs="Arial"/>
                <w:b/>
                <w:color w:val="000000"/>
                <w:sz w:val="18"/>
                <w:szCs w:val="18"/>
              </w:rPr>
              <w:t>920</w:t>
            </w:r>
          </w:p>
        </w:tc>
      </w:tr>
      <w:tr w:rsidR="00865A69" w:rsidRPr="004A696F" w14:paraId="7925BA3B" w14:textId="77777777" w:rsidTr="00644B6C">
        <w:tc>
          <w:tcPr>
            <w:tcW w:w="866" w:type="pct"/>
            <w:vAlign w:val="center"/>
          </w:tcPr>
          <w:p w14:paraId="34A13FC4"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Region</w:t>
            </w:r>
          </w:p>
        </w:tc>
        <w:tc>
          <w:tcPr>
            <w:tcW w:w="1225" w:type="pct"/>
            <w:vAlign w:val="center"/>
          </w:tcPr>
          <w:p w14:paraId="291820B1" w14:textId="77777777" w:rsidR="00865A69" w:rsidRPr="00E03822" w:rsidRDefault="00865A69" w:rsidP="00644B6C">
            <w:pPr>
              <w:jc w:val="right"/>
              <w:rPr>
                <w:rFonts w:cs="Arial"/>
                <w:color w:val="000000"/>
                <w:sz w:val="18"/>
                <w:szCs w:val="18"/>
              </w:rPr>
            </w:pPr>
            <w:r w:rsidRPr="00E03822">
              <w:rPr>
                <w:rFonts w:cs="Arial"/>
                <w:color w:val="000000"/>
                <w:sz w:val="18"/>
                <w:szCs w:val="18"/>
              </w:rPr>
              <w:t>Northeast</w:t>
            </w:r>
          </w:p>
        </w:tc>
        <w:tc>
          <w:tcPr>
            <w:tcW w:w="727" w:type="pct"/>
            <w:vAlign w:val="center"/>
          </w:tcPr>
          <w:p w14:paraId="1DAAEA0A" w14:textId="77777777" w:rsidR="00865A69" w:rsidRPr="00E03822" w:rsidRDefault="00865A69" w:rsidP="00644B6C">
            <w:pPr>
              <w:jc w:val="right"/>
              <w:rPr>
                <w:rFonts w:cs="Arial"/>
                <w:color w:val="000000"/>
                <w:sz w:val="18"/>
                <w:szCs w:val="18"/>
              </w:rPr>
            </w:pPr>
            <w:r>
              <w:rPr>
                <w:rFonts w:cs="Arial"/>
                <w:color w:val="000000"/>
                <w:sz w:val="18"/>
                <w:szCs w:val="18"/>
              </w:rPr>
              <w:t>71</w:t>
            </w:r>
          </w:p>
        </w:tc>
        <w:tc>
          <w:tcPr>
            <w:tcW w:w="727" w:type="pct"/>
            <w:vAlign w:val="center"/>
          </w:tcPr>
          <w:p w14:paraId="40E13CE7" w14:textId="77777777" w:rsidR="00865A69" w:rsidRPr="00E03822" w:rsidRDefault="00865A69" w:rsidP="00644B6C">
            <w:pPr>
              <w:jc w:val="right"/>
              <w:rPr>
                <w:rFonts w:cs="Arial"/>
                <w:color w:val="000000"/>
                <w:sz w:val="18"/>
                <w:szCs w:val="18"/>
              </w:rPr>
            </w:pPr>
            <w:r>
              <w:rPr>
                <w:rFonts w:cs="Arial"/>
                <w:color w:val="000000"/>
                <w:sz w:val="18"/>
                <w:szCs w:val="18"/>
              </w:rPr>
              <w:t>34</w:t>
            </w:r>
          </w:p>
        </w:tc>
        <w:tc>
          <w:tcPr>
            <w:tcW w:w="727" w:type="pct"/>
            <w:vAlign w:val="center"/>
          </w:tcPr>
          <w:p w14:paraId="1BEA3765" w14:textId="77777777" w:rsidR="00865A69" w:rsidRPr="00E03822" w:rsidRDefault="00865A69" w:rsidP="00644B6C">
            <w:pPr>
              <w:jc w:val="right"/>
              <w:rPr>
                <w:rFonts w:cs="Arial"/>
                <w:color w:val="000000"/>
                <w:sz w:val="18"/>
                <w:szCs w:val="18"/>
              </w:rPr>
            </w:pPr>
            <w:r>
              <w:rPr>
                <w:rFonts w:cs="Arial"/>
                <w:color w:val="000000"/>
                <w:sz w:val="18"/>
                <w:szCs w:val="18"/>
              </w:rPr>
              <w:t>30</w:t>
            </w:r>
          </w:p>
        </w:tc>
        <w:tc>
          <w:tcPr>
            <w:tcW w:w="728" w:type="pct"/>
            <w:vAlign w:val="center"/>
          </w:tcPr>
          <w:p w14:paraId="035BF07E" w14:textId="77777777" w:rsidR="00865A69" w:rsidRPr="00E03822" w:rsidRDefault="00865A69" w:rsidP="00644B6C">
            <w:pPr>
              <w:jc w:val="right"/>
              <w:rPr>
                <w:rFonts w:cs="Arial"/>
                <w:color w:val="000000"/>
                <w:sz w:val="18"/>
                <w:szCs w:val="18"/>
              </w:rPr>
            </w:pPr>
            <w:r>
              <w:rPr>
                <w:rFonts w:cs="Arial"/>
                <w:color w:val="000000"/>
                <w:sz w:val="18"/>
                <w:szCs w:val="18"/>
              </w:rPr>
              <w:t>135</w:t>
            </w:r>
          </w:p>
        </w:tc>
      </w:tr>
      <w:tr w:rsidR="00865A69" w:rsidRPr="004A696F" w14:paraId="06E6B347" w14:textId="77777777" w:rsidTr="00644B6C">
        <w:tc>
          <w:tcPr>
            <w:tcW w:w="866" w:type="pct"/>
            <w:vAlign w:val="center"/>
          </w:tcPr>
          <w:p w14:paraId="37666CEF" w14:textId="77777777" w:rsidR="00865A69" w:rsidRPr="00E03822" w:rsidRDefault="00865A69" w:rsidP="00644B6C">
            <w:pPr>
              <w:jc w:val="right"/>
              <w:rPr>
                <w:rFonts w:cs="Arial"/>
                <w:b/>
                <w:bCs/>
                <w:color w:val="000000"/>
                <w:sz w:val="18"/>
                <w:szCs w:val="18"/>
              </w:rPr>
            </w:pPr>
          </w:p>
        </w:tc>
        <w:tc>
          <w:tcPr>
            <w:tcW w:w="1225" w:type="pct"/>
            <w:vAlign w:val="center"/>
          </w:tcPr>
          <w:p w14:paraId="6F6DDE45" w14:textId="77777777" w:rsidR="00865A69" w:rsidRPr="00E03822" w:rsidRDefault="00865A69" w:rsidP="00644B6C">
            <w:pPr>
              <w:jc w:val="right"/>
              <w:rPr>
                <w:rFonts w:cs="Arial"/>
                <w:color w:val="000000"/>
                <w:sz w:val="18"/>
                <w:szCs w:val="18"/>
              </w:rPr>
            </w:pPr>
            <w:r w:rsidRPr="00E03822">
              <w:rPr>
                <w:rFonts w:cs="Arial"/>
                <w:color w:val="000000"/>
                <w:sz w:val="18"/>
                <w:szCs w:val="18"/>
              </w:rPr>
              <w:t>Midwest</w:t>
            </w:r>
          </w:p>
        </w:tc>
        <w:tc>
          <w:tcPr>
            <w:tcW w:w="727" w:type="pct"/>
            <w:vAlign w:val="center"/>
          </w:tcPr>
          <w:p w14:paraId="64F4E7EA" w14:textId="77777777" w:rsidR="00865A69" w:rsidRPr="00E03822" w:rsidRDefault="00865A69" w:rsidP="00644B6C">
            <w:pPr>
              <w:jc w:val="right"/>
              <w:rPr>
                <w:rFonts w:cs="Arial"/>
                <w:color w:val="000000"/>
                <w:sz w:val="18"/>
                <w:szCs w:val="18"/>
              </w:rPr>
            </w:pPr>
            <w:r>
              <w:rPr>
                <w:rFonts w:cs="Arial"/>
                <w:color w:val="000000"/>
                <w:sz w:val="18"/>
                <w:szCs w:val="18"/>
              </w:rPr>
              <w:t>93</w:t>
            </w:r>
          </w:p>
        </w:tc>
        <w:tc>
          <w:tcPr>
            <w:tcW w:w="727" w:type="pct"/>
            <w:vAlign w:val="center"/>
          </w:tcPr>
          <w:p w14:paraId="2271D6C0"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7" w:type="pct"/>
            <w:vAlign w:val="center"/>
          </w:tcPr>
          <w:p w14:paraId="044835F5" w14:textId="77777777" w:rsidR="00865A69" w:rsidRPr="00E03822" w:rsidRDefault="00865A69" w:rsidP="00644B6C">
            <w:pPr>
              <w:jc w:val="right"/>
              <w:rPr>
                <w:rFonts w:cs="Arial"/>
                <w:color w:val="000000"/>
                <w:sz w:val="18"/>
                <w:szCs w:val="18"/>
              </w:rPr>
            </w:pPr>
            <w:r>
              <w:rPr>
                <w:rFonts w:cs="Arial"/>
                <w:color w:val="000000"/>
                <w:sz w:val="18"/>
                <w:szCs w:val="18"/>
              </w:rPr>
              <w:t>34</w:t>
            </w:r>
          </w:p>
        </w:tc>
        <w:tc>
          <w:tcPr>
            <w:tcW w:w="728" w:type="pct"/>
            <w:vAlign w:val="center"/>
          </w:tcPr>
          <w:p w14:paraId="614A9FF0" w14:textId="77777777" w:rsidR="00865A69" w:rsidRPr="00E03822" w:rsidRDefault="00865A69" w:rsidP="00644B6C">
            <w:pPr>
              <w:jc w:val="right"/>
              <w:rPr>
                <w:rFonts w:cs="Arial"/>
                <w:color w:val="000000"/>
                <w:sz w:val="18"/>
                <w:szCs w:val="18"/>
              </w:rPr>
            </w:pPr>
            <w:r>
              <w:rPr>
                <w:rFonts w:cs="Arial"/>
                <w:color w:val="000000"/>
                <w:sz w:val="18"/>
                <w:szCs w:val="18"/>
              </w:rPr>
              <w:t>159</w:t>
            </w:r>
          </w:p>
        </w:tc>
      </w:tr>
      <w:tr w:rsidR="00865A69" w:rsidRPr="004A696F" w14:paraId="79913360" w14:textId="77777777" w:rsidTr="00644B6C">
        <w:tc>
          <w:tcPr>
            <w:tcW w:w="866" w:type="pct"/>
            <w:vAlign w:val="center"/>
          </w:tcPr>
          <w:p w14:paraId="5B784C49" w14:textId="77777777" w:rsidR="00865A69" w:rsidRPr="00E03822" w:rsidRDefault="00865A69" w:rsidP="00644B6C">
            <w:pPr>
              <w:jc w:val="right"/>
              <w:rPr>
                <w:rFonts w:cs="Arial"/>
                <w:b/>
                <w:bCs/>
                <w:color w:val="000000"/>
                <w:sz w:val="18"/>
                <w:szCs w:val="18"/>
              </w:rPr>
            </w:pPr>
          </w:p>
        </w:tc>
        <w:tc>
          <w:tcPr>
            <w:tcW w:w="1225" w:type="pct"/>
            <w:vAlign w:val="center"/>
          </w:tcPr>
          <w:p w14:paraId="31136DC7" w14:textId="77777777" w:rsidR="00865A69" w:rsidRPr="00E03822" w:rsidRDefault="00865A69" w:rsidP="00644B6C">
            <w:pPr>
              <w:jc w:val="right"/>
              <w:rPr>
                <w:rFonts w:cs="Arial"/>
                <w:color w:val="000000"/>
                <w:sz w:val="18"/>
                <w:szCs w:val="18"/>
              </w:rPr>
            </w:pPr>
            <w:r w:rsidRPr="00E03822">
              <w:rPr>
                <w:rFonts w:cs="Arial"/>
                <w:color w:val="000000"/>
                <w:sz w:val="18"/>
                <w:szCs w:val="18"/>
              </w:rPr>
              <w:t>South</w:t>
            </w:r>
          </w:p>
        </w:tc>
        <w:tc>
          <w:tcPr>
            <w:tcW w:w="727" w:type="pct"/>
            <w:vAlign w:val="center"/>
          </w:tcPr>
          <w:p w14:paraId="51673C4A" w14:textId="77777777" w:rsidR="00865A69" w:rsidRPr="00E03822" w:rsidRDefault="00865A69" w:rsidP="00644B6C">
            <w:pPr>
              <w:jc w:val="right"/>
              <w:rPr>
                <w:rFonts w:cs="Arial"/>
                <w:color w:val="000000"/>
                <w:sz w:val="18"/>
                <w:szCs w:val="18"/>
              </w:rPr>
            </w:pPr>
            <w:r>
              <w:rPr>
                <w:rFonts w:cs="Arial"/>
                <w:color w:val="000000"/>
                <w:sz w:val="18"/>
                <w:szCs w:val="18"/>
              </w:rPr>
              <w:t>150</w:t>
            </w:r>
          </w:p>
        </w:tc>
        <w:tc>
          <w:tcPr>
            <w:tcW w:w="727" w:type="pct"/>
            <w:vAlign w:val="center"/>
          </w:tcPr>
          <w:p w14:paraId="0080CA4A" w14:textId="77777777" w:rsidR="00865A69" w:rsidRPr="00E03822" w:rsidRDefault="00865A69" w:rsidP="00644B6C">
            <w:pPr>
              <w:jc w:val="right"/>
              <w:rPr>
                <w:rFonts w:cs="Arial"/>
                <w:color w:val="000000"/>
                <w:sz w:val="18"/>
                <w:szCs w:val="18"/>
              </w:rPr>
            </w:pPr>
            <w:r>
              <w:rPr>
                <w:rFonts w:cs="Arial"/>
                <w:color w:val="000000"/>
                <w:sz w:val="18"/>
                <w:szCs w:val="18"/>
              </w:rPr>
              <w:t>30</w:t>
            </w:r>
          </w:p>
        </w:tc>
        <w:tc>
          <w:tcPr>
            <w:tcW w:w="727" w:type="pct"/>
            <w:vAlign w:val="center"/>
          </w:tcPr>
          <w:p w14:paraId="67DD1F78" w14:textId="77777777" w:rsidR="00865A69" w:rsidRPr="00E03822" w:rsidRDefault="00865A69" w:rsidP="00644B6C">
            <w:pPr>
              <w:jc w:val="right"/>
              <w:rPr>
                <w:rFonts w:cs="Arial"/>
                <w:color w:val="000000"/>
                <w:sz w:val="18"/>
                <w:szCs w:val="18"/>
              </w:rPr>
            </w:pPr>
            <w:r>
              <w:rPr>
                <w:rFonts w:cs="Arial"/>
                <w:color w:val="000000"/>
                <w:sz w:val="18"/>
                <w:szCs w:val="18"/>
              </w:rPr>
              <w:t>55</w:t>
            </w:r>
          </w:p>
        </w:tc>
        <w:tc>
          <w:tcPr>
            <w:tcW w:w="728" w:type="pct"/>
            <w:vAlign w:val="center"/>
          </w:tcPr>
          <w:p w14:paraId="290D2D57" w14:textId="77777777" w:rsidR="00865A69" w:rsidRPr="00E03822" w:rsidRDefault="00865A69" w:rsidP="00644B6C">
            <w:pPr>
              <w:jc w:val="right"/>
              <w:rPr>
                <w:rFonts w:cs="Arial"/>
                <w:color w:val="000000"/>
                <w:sz w:val="18"/>
                <w:szCs w:val="18"/>
              </w:rPr>
            </w:pPr>
            <w:r>
              <w:rPr>
                <w:rFonts w:cs="Arial"/>
                <w:color w:val="000000"/>
                <w:sz w:val="18"/>
                <w:szCs w:val="18"/>
              </w:rPr>
              <w:t>235</w:t>
            </w:r>
          </w:p>
        </w:tc>
      </w:tr>
      <w:tr w:rsidR="00865A69" w:rsidRPr="004A696F" w14:paraId="6D7ED7F7" w14:textId="77777777" w:rsidTr="00644B6C">
        <w:tc>
          <w:tcPr>
            <w:tcW w:w="866" w:type="pct"/>
            <w:vAlign w:val="center"/>
          </w:tcPr>
          <w:p w14:paraId="526CE2BC" w14:textId="77777777" w:rsidR="00865A69" w:rsidRPr="00E03822" w:rsidRDefault="00865A69" w:rsidP="00644B6C">
            <w:pPr>
              <w:jc w:val="right"/>
              <w:rPr>
                <w:rFonts w:cs="Arial"/>
                <w:b/>
                <w:bCs/>
                <w:color w:val="000000"/>
                <w:sz w:val="18"/>
                <w:szCs w:val="18"/>
              </w:rPr>
            </w:pPr>
          </w:p>
        </w:tc>
        <w:tc>
          <w:tcPr>
            <w:tcW w:w="1225" w:type="pct"/>
            <w:vAlign w:val="center"/>
          </w:tcPr>
          <w:p w14:paraId="36431FB0" w14:textId="77777777" w:rsidR="00865A69" w:rsidRPr="00E03822" w:rsidRDefault="00865A69" w:rsidP="00644B6C">
            <w:pPr>
              <w:jc w:val="right"/>
              <w:rPr>
                <w:rFonts w:cs="Arial"/>
                <w:color w:val="000000"/>
                <w:sz w:val="18"/>
                <w:szCs w:val="18"/>
              </w:rPr>
            </w:pPr>
            <w:r w:rsidRPr="00E03822">
              <w:rPr>
                <w:rFonts w:cs="Arial"/>
                <w:color w:val="000000"/>
                <w:sz w:val="18"/>
                <w:szCs w:val="18"/>
              </w:rPr>
              <w:t>West</w:t>
            </w:r>
          </w:p>
        </w:tc>
        <w:tc>
          <w:tcPr>
            <w:tcW w:w="727" w:type="pct"/>
            <w:vAlign w:val="center"/>
          </w:tcPr>
          <w:p w14:paraId="4823712A" w14:textId="77777777" w:rsidR="00865A69" w:rsidRPr="00E03822" w:rsidRDefault="00865A69" w:rsidP="00644B6C">
            <w:pPr>
              <w:jc w:val="right"/>
              <w:rPr>
                <w:rFonts w:cs="Arial"/>
                <w:color w:val="000000"/>
                <w:sz w:val="18"/>
                <w:szCs w:val="18"/>
              </w:rPr>
            </w:pPr>
            <w:r>
              <w:rPr>
                <w:rFonts w:cs="Arial"/>
                <w:color w:val="000000"/>
                <w:sz w:val="18"/>
                <w:szCs w:val="18"/>
              </w:rPr>
              <w:t>126</w:t>
            </w:r>
          </w:p>
        </w:tc>
        <w:tc>
          <w:tcPr>
            <w:tcW w:w="727" w:type="pct"/>
            <w:vAlign w:val="center"/>
          </w:tcPr>
          <w:p w14:paraId="12B92403"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7" w:type="pct"/>
            <w:vAlign w:val="center"/>
          </w:tcPr>
          <w:p w14:paraId="63A75311"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8" w:type="pct"/>
            <w:vAlign w:val="center"/>
          </w:tcPr>
          <w:p w14:paraId="252A940F" w14:textId="77777777" w:rsidR="00865A69" w:rsidRPr="00E03822" w:rsidRDefault="00865A69" w:rsidP="00644B6C">
            <w:pPr>
              <w:jc w:val="right"/>
              <w:rPr>
                <w:rFonts w:cs="Arial"/>
                <w:color w:val="000000"/>
                <w:sz w:val="18"/>
                <w:szCs w:val="18"/>
              </w:rPr>
            </w:pPr>
            <w:r>
              <w:rPr>
                <w:rFonts w:cs="Arial"/>
                <w:color w:val="000000"/>
                <w:sz w:val="18"/>
                <w:szCs w:val="18"/>
              </w:rPr>
              <w:t>190</w:t>
            </w:r>
          </w:p>
        </w:tc>
      </w:tr>
      <w:tr w:rsidR="00865A69" w:rsidRPr="004A696F" w14:paraId="7848183F" w14:textId="77777777" w:rsidTr="00644B6C">
        <w:tc>
          <w:tcPr>
            <w:tcW w:w="866" w:type="pct"/>
            <w:vAlign w:val="center"/>
          </w:tcPr>
          <w:p w14:paraId="36301ABD" w14:textId="77777777" w:rsidR="00865A69" w:rsidRPr="00E03822" w:rsidRDefault="00865A69" w:rsidP="00644B6C">
            <w:pPr>
              <w:jc w:val="right"/>
              <w:rPr>
                <w:rFonts w:cs="Arial"/>
                <w:b/>
                <w:bCs/>
                <w:color w:val="000000"/>
                <w:sz w:val="18"/>
                <w:szCs w:val="18"/>
              </w:rPr>
            </w:pPr>
            <w:r>
              <w:rPr>
                <w:rFonts w:cs="Arial"/>
                <w:b/>
                <w:bCs/>
                <w:color w:val="000000"/>
                <w:sz w:val="18"/>
                <w:szCs w:val="18"/>
              </w:rPr>
              <w:t>Locale</w:t>
            </w:r>
          </w:p>
        </w:tc>
        <w:tc>
          <w:tcPr>
            <w:tcW w:w="1225" w:type="pct"/>
            <w:vAlign w:val="center"/>
          </w:tcPr>
          <w:p w14:paraId="6E7E8FD0" w14:textId="77777777" w:rsidR="00865A69" w:rsidRPr="00E03822" w:rsidRDefault="00865A69" w:rsidP="00644B6C">
            <w:pPr>
              <w:jc w:val="right"/>
              <w:rPr>
                <w:rFonts w:cs="Arial"/>
                <w:color w:val="000000"/>
                <w:sz w:val="18"/>
                <w:szCs w:val="18"/>
              </w:rPr>
            </w:pPr>
            <w:r>
              <w:rPr>
                <w:rFonts w:cs="Arial"/>
                <w:color w:val="000000"/>
                <w:sz w:val="18"/>
                <w:szCs w:val="18"/>
              </w:rPr>
              <w:t>City</w:t>
            </w:r>
          </w:p>
        </w:tc>
        <w:tc>
          <w:tcPr>
            <w:tcW w:w="727" w:type="pct"/>
            <w:vAlign w:val="center"/>
          </w:tcPr>
          <w:p w14:paraId="085FFF86" w14:textId="77777777" w:rsidR="00865A69" w:rsidRPr="00E03822" w:rsidRDefault="00865A69" w:rsidP="00644B6C">
            <w:pPr>
              <w:jc w:val="right"/>
              <w:rPr>
                <w:rFonts w:cs="Arial"/>
                <w:color w:val="000000"/>
                <w:sz w:val="18"/>
                <w:szCs w:val="18"/>
              </w:rPr>
            </w:pPr>
            <w:r>
              <w:rPr>
                <w:rFonts w:cs="Arial"/>
                <w:color w:val="000000"/>
                <w:sz w:val="18"/>
                <w:szCs w:val="18"/>
              </w:rPr>
              <w:t>105</w:t>
            </w:r>
          </w:p>
        </w:tc>
        <w:tc>
          <w:tcPr>
            <w:tcW w:w="727" w:type="pct"/>
            <w:vAlign w:val="center"/>
          </w:tcPr>
          <w:p w14:paraId="65DA6CF4"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0792AC1A"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20E124A9" w14:textId="77777777" w:rsidR="00865A69" w:rsidRPr="00E03822" w:rsidRDefault="00865A69" w:rsidP="00644B6C">
            <w:pPr>
              <w:jc w:val="right"/>
              <w:rPr>
                <w:rFonts w:cs="Arial"/>
                <w:color w:val="000000"/>
                <w:sz w:val="18"/>
                <w:szCs w:val="18"/>
              </w:rPr>
            </w:pPr>
            <w:r>
              <w:rPr>
                <w:rFonts w:cs="Arial"/>
                <w:color w:val="000000"/>
                <w:sz w:val="18"/>
                <w:szCs w:val="18"/>
              </w:rPr>
              <w:t>105</w:t>
            </w:r>
          </w:p>
        </w:tc>
      </w:tr>
      <w:tr w:rsidR="00865A69" w:rsidRPr="004A696F" w14:paraId="1C82C053" w14:textId="77777777" w:rsidTr="00644B6C">
        <w:tc>
          <w:tcPr>
            <w:tcW w:w="866" w:type="pct"/>
            <w:vAlign w:val="center"/>
          </w:tcPr>
          <w:p w14:paraId="00D71337" w14:textId="77777777" w:rsidR="00865A69" w:rsidRPr="00E03822" w:rsidRDefault="00865A69" w:rsidP="00644B6C">
            <w:pPr>
              <w:jc w:val="right"/>
              <w:rPr>
                <w:rFonts w:cs="Arial"/>
                <w:b/>
                <w:bCs/>
                <w:color w:val="000000"/>
                <w:sz w:val="18"/>
                <w:szCs w:val="18"/>
              </w:rPr>
            </w:pPr>
          </w:p>
        </w:tc>
        <w:tc>
          <w:tcPr>
            <w:tcW w:w="1225" w:type="pct"/>
            <w:vAlign w:val="center"/>
          </w:tcPr>
          <w:p w14:paraId="5608CEDD" w14:textId="77777777" w:rsidR="00865A69" w:rsidRPr="00E03822" w:rsidRDefault="00865A69" w:rsidP="00644B6C">
            <w:pPr>
              <w:jc w:val="right"/>
              <w:rPr>
                <w:rFonts w:cs="Arial"/>
                <w:color w:val="000000"/>
                <w:sz w:val="18"/>
                <w:szCs w:val="18"/>
              </w:rPr>
            </w:pPr>
            <w:r>
              <w:rPr>
                <w:rFonts w:cs="Arial"/>
                <w:color w:val="000000"/>
                <w:sz w:val="18"/>
                <w:szCs w:val="18"/>
              </w:rPr>
              <w:t>Suburb</w:t>
            </w:r>
          </w:p>
        </w:tc>
        <w:tc>
          <w:tcPr>
            <w:tcW w:w="727" w:type="pct"/>
            <w:vAlign w:val="center"/>
          </w:tcPr>
          <w:p w14:paraId="2AF4E2BB" w14:textId="77777777" w:rsidR="00865A69" w:rsidRPr="00E03822" w:rsidRDefault="00865A69" w:rsidP="00644B6C">
            <w:pPr>
              <w:jc w:val="right"/>
              <w:rPr>
                <w:rFonts w:cs="Arial"/>
                <w:color w:val="000000"/>
                <w:sz w:val="18"/>
                <w:szCs w:val="18"/>
              </w:rPr>
            </w:pPr>
            <w:r>
              <w:rPr>
                <w:rFonts w:cs="Arial"/>
                <w:color w:val="000000"/>
                <w:sz w:val="18"/>
                <w:szCs w:val="18"/>
              </w:rPr>
              <w:t>137</w:t>
            </w:r>
          </w:p>
        </w:tc>
        <w:tc>
          <w:tcPr>
            <w:tcW w:w="727" w:type="pct"/>
            <w:vAlign w:val="center"/>
          </w:tcPr>
          <w:p w14:paraId="0FAAFB3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2D739025"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456DB342" w14:textId="77777777" w:rsidR="00865A69" w:rsidRPr="00E03822" w:rsidRDefault="00865A69" w:rsidP="00644B6C">
            <w:pPr>
              <w:jc w:val="right"/>
              <w:rPr>
                <w:rFonts w:cs="Arial"/>
                <w:color w:val="000000"/>
                <w:sz w:val="18"/>
                <w:szCs w:val="18"/>
              </w:rPr>
            </w:pPr>
            <w:r>
              <w:rPr>
                <w:rFonts w:cs="Arial"/>
                <w:color w:val="000000"/>
                <w:sz w:val="18"/>
                <w:szCs w:val="18"/>
              </w:rPr>
              <w:t>137</w:t>
            </w:r>
          </w:p>
        </w:tc>
      </w:tr>
      <w:tr w:rsidR="00865A69" w:rsidRPr="004A696F" w14:paraId="553A4A2A" w14:textId="77777777" w:rsidTr="00644B6C">
        <w:tc>
          <w:tcPr>
            <w:tcW w:w="866" w:type="pct"/>
            <w:vAlign w:val="center"/>
          </w:tcPr>
          <w:p w14:paraId="5F18DF5B" w14:textId="77777777" w:rsidR="00865A69" w:rsidRPr="00E03822" w:rsidRDefault="00865A69" w:rsidP="00644B6C">
            <w:pPr>
              <w:jc w:val="right"/>
              <w:rPr>
                <w:rFonts w:cs="Arial"/>
                <w:b/>
                <w:bCs/>
                <w:color w:val="000000"/>
                <w:sz w:val="18"/>
                <w:szCs w:val="18"/>
              </w:rPr>
            </w:pPr>
          </w:p>
        </w:tc>
        <w:tc>
          <w:tcPr>
            <w:tcW w:w="1225" w:type="pct"/>
            <w:vAlign w:val="center"/>
          </w:tcPr>
          <w:p w14:paraId="583D9088" w14:textId="77777777" w:rsidR="00865A69" w:rsidRPr="00E03822" w:rsidRDefault="00865A69" w:rsidP="00644B6C">
            <w:pPr>
              <w:jc w:val="right"/>
              <w:rPr>
                <w:rFonts w:cs="Arial"/>
                <w:color w:val="000000"/>
                <w:sz w:val="18"/>
                <w:szCs w:val="18"/>
              </w:rPr>
            </w:pPr>
            <w:r>
              <w:rPr>
                <w:rFonts w:cs="Arial"/>
                <w:color w:val="000000"/>
                <w:sz w:val="18"/>
                <w:szCs w:val="18"/>
              </w:rPr>
              <w:t>Town</w:t>
            </w:r>
          </w:p>
        </w:tc>
        <w:tc>
          <w:tcPr>
            <w:tcW w:w="727" w:type="pct"/>
            <w:vAlign w:val="center"/>
          </w:tcPr>
          <w:p w14:paraId="4CDE8F84" w14:textId="77777777" w:rsidR="00865A69" w:rsidRPr="00E03822" w:rsidRDefault="00865A69" w:rsidP="00644B6C">
            <w:pPr>
              <w:jc w:val="right"/>
              <w:rPr>
                <w:rFonts w:cs="Arial"/>
                <w:color w:val="000000"/>
                <w:sz w:val="18"/>
                <w:szCs w:val="18"/>
              </w:rPr>
            </w:pPr>
            <w:r>
              <w:rPr>
                <w:rFonts w:cs="Arial"/>
                <w:color w:val="000000"/>
                <w:sz w:val="18"/>
                <w:szCs w:val="18"/>
              </w:rPr>
              <w:t>72</w:t>
            </w:r>
          </w:p>
        </w:tc>
        <w:tc>
          <w:tcPr>
            <w:tcW w:w="727" w:type="pct"/>
            <w:vAlign w:val="center"/>
          </w:tcPr>
          <w:p w14:paraId="11349A31"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2A0BF81C"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283A0764" w14:textId="77777777" w:rsidR="00865A69" w:rsidRPr="00E03822" w:rsidRDefault="00865A69" w:rsidP="00644B6C">
            <w:pPr>
              <w:jc w:val="right"/>
              <w:rPr>
                <w:rFonts w:cs="Arial"/>
                <w:color w:val="000000"/>
                <w:sz w:val="18"/>
                <w:szCs w:val="18"/>
              </w:rPr>
            </w:pPr>
            <w:r>
              <w:rPr>
                <w:rFonts w:cs="Arial"/>
                <w:color w:val="000000"/>
                <w:sz w:val="18"/>
                <w:szCs w:val="18"/>
              </w:rPr>
              <w:t>72</w:t>
            </w:r>
          </w:p>
        </w:tc>
      </w:tr>
      <w:tr w:rsidR="00865A69" w:rsidRPr="004A696F" w14:paraId="53B672BF" w14:textId="77777777" w:rsidTr="00644B6C">
        <w:tc>
          <w:tcPr>
            <w:tcW w:w="866" w:type="pct"/>
            <w:vAlign w:val="center"/>
          </w:tcPr>
          <w:p w14:paraId="383C07FF" w14:textId="77777777" w:rsidR="00865A69" w:rsidRPr="00E03822" w:rsidRDefault="00865A69" w:rsidP="00644B6C">
            <w:pPr>
              <w:jc w:val="right"/>
              <w:rPr>
                <w:rFonts w:cs="Arial"/>
                <w:b/>
                <w:bCs/>
                <w:color w:val="000000"/>
                <w:sz w:val="18"/>
                <w:szCs w:val="18"/>
              </w:rPr>
            </w:pPr>
          </w:p>
        </w:tc>
        <w:tc>
          <w:tcPr>
            <w:tcW w:w="1225" w:type="pct"/>
            <w:vAlign w:val="center"/>
          </w:tcPr>
          <w:p w14:paraId="720B9A33" w14:textId="77777777" w:rsidR="00865A69" w:rsidRDefault="00865A69" w:rsidP="00644B6C">
            <w:pPr>
              <w:jc w:val="right"/>
              <w:rPr>
                <w:rFonts w:cs="Arial"/>
                <w:color w:val="000000"/>
                <w:sz w:val="18"/>
                <w:szCs w:val="18"/>
              </w:rPr>
            </w:pPr>
            <w:r>
              <w:rPr>
                <w:rFonts w:cs="Arial"/>
                <w:color w:val="000000"/>
                <w:sz w:val="18"/>
                <w:szCs w:val="18"/>
              </w:rPr>
              <w:t>Rural</w:t>
            </w:r>
          </w:p>
        </w:tc>
        <w:tc>
          <w:tcPr>
            <w:tcW w:w="727" w:type="pct"/>
            <w:vAlign w:val="center"/>
          </w:tcPr>
          <w:p w14:paraId="42278B31" w14:textId="77777777" w:rsidR="00865A69" w:rsidRDefault="00865A69" w:rsidP="00644B6C">
            <w:pPr>
              <w:jc w:val="right"/>
              <w:rPr>
                <w:rFonts w:cs="Arial"/>
                <w:color w:val="000000"/>
                <w:sz w:val="18"/>
                <w:szCs w:val="18"/>
              </w:rPr>
            </w:pPr>
            <w:r>
              <w:rPr>
                <w:rFonts w:cs="Arial"/>
                <w:color w:val="000000"/>
                <w:sz w:val="18"/>
                <w:szCs w:val="18"/>
              </w:rPr>
              <w:t>126</w:t>
            </w:r>
          </w:p>
        </w:tc>
        <w:tc>
          <w:tcPr>
            <w:tcW w:w="727" w:type="pct"/>
            <w:vAlign w:val="center"/>
          </w:tcPr>
          <w:p w14:paraId="0213A99A"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475E2168"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01346FEC" w14:textId="77777777" w:rsidR="00865A69" w:rsidRPr="00E03822" w:rsidRDefault="00865A69" w:rsidP="00644B6C">
            <w:pPr>
              <w:jc w:val="right"/>
              <w:rPr>
                <w:rFonts w:cs="Arial"/>
                <w:color w:val="000000"/>
                <w:sz w:val="18"/>
                <w:szCs w:val="18"/>
              </w:rPr>
            </w:pPr>
            <w:r>
              <w:rPr>
                <w:rFonts w:cs="Arial"/>
                <w:color w:val="000000"/>
                <w:sz w:val="18"/>
                <w:szCs w:val="18"/>
              </w:rPr>
              <w:t>126</w:t>
            </w:r>
          </w:p>
        </w:tc>
      </w:tr>
      <w:tr w:rsidR="00865A69" w:rsidRPr="004A696F" w14:paraId="68D4F78C" w14:textId="77777777" w:rsidTr="00644B6C">
        <w:tc>
          <w:tcPr>
            <w:tcW w:w="866" w:type="pct"/>
            <w:vAlign w:val="center"/>
          </w:tcPr>
          <w:p w14:paraId="195CE434" w14:textId="77777777" w:rsidR="00865A69" w:rsidRPr="00E03822" w:rsidRDefault="00865A69" w:rsidP="00644B6C">
            <w:pPr>
              <w:jc w:val="right"/>
              <w:rPr>
                <w:rFonts w:cs="Arial"/>
                <w:b/>
                <w:bCs/>
                <w:color w:val="000000"/>
                <w:sz w:val="18"/>
                <w:szCs w:val="18"/>
              </w:rPr>
            </w:pPr>
            <w:r>
              <w:rPr>
                <w:rFonts w:cs="Arial"/>
                <w:b/>
                <w:bCs/>
                <w:color w:val="000000"/>
                <w:sz w:val="18"/>
                <w:szCs w:val="18"/>
              </w:rPr>
              <w:t>Public-school Type</w:t>
            </w:r>
          </w:p>
        </w:tc>
        <w:tc>
          <w:tcPr>
            <w:tcW w:w="1225" w:type="pct"/>
            <w:vAlign w:val="center"/>
          </w:tcPr>
          <w:p w14:paraId="1BAB6387" w14:textId="77777777" w:rsidR="00865A69" w:rsidRDefault="00865A69" w:rsidP="00644B6C">
            <w:pPr>
              <w:jc w:val="right"/>
              <w:rPr>
                <w:rFonts w:cs="Arial"/>
                <w:color w:val="000000"/>
                <w:sz w:val="18"/>
                <w:szCs w:val="18"/>
              </w:rPr>
            </w:pPr>
            <w:r>
              <w:rPr>
                <w:rFonts w:cs="Arial"/>
                <w:color w:val="000000"/>
                <w:sz w:val="18"/>
                <w:szCs w:val="18"/>
              </w:rPr>
              <w:t>Charter</w:t>
            </w:r>
          </w:p>
        </w:tc>
        <w:tc>
          <w:tcPr>
            <w:tcW w:w="727" w:type="pct"/>
            <w:vAlign w:val="center"/>
          </w:tcPr>
          <w:p w14:paraId="1915F435"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7A4657A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779D05DE"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5DF70703"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72DF637A" w14:textId="77777777" w:rsidTr="00644B6C">
        <w:tc>
          <w:tcPr>
            <w:tcW w:w="866" w:type="pct"/>
            <w:vAlign w:val="center"/>
          </w:tcPr>
          <w:p w14:paraId="4D29A08F" w14:textId="77777777" w:rsidR="00865A69" w:rsidRPr="00E03822" w:rsidRDefault="00865A69" w:rsidP="00644B6C">
            <w:pPr>
              <w:jc w:val="right"/>
              <w:rPr>
                <w:rFonts w:cs="Arial"/>
                <w:b/>
                <w:bCs/>
                <w:color w:val="000000"/>
                <w:sz w:val="18"/>
                <w:szCs w:val="18"/>
              </w:rPr>
            </w:pPr>
          </w:p>
        </w:tc>
        <w:tc>
          <w:tcPr>
            <w:tcW w:w="1225" w:type="pct"/>
            <w:vAlign w:val="center"/>
          </w:tcPr>
          <w:p w14:paraId="51015A9A" w14:textId="77777777" w:rsidR="00865A69" w:rsidRDefault="00865A69" w:rsidP="00644B6C">
            <w:pPr>
              <w:jc w:val="right"/>
              <w:rPr>
                <w:rFonts w:cs="Arial"/>
                <w:color w:val="000000"/>
                <w:sz w:val="18"/>
                <w:szCs w:val="18"/>
              </w:rPr>
            </w:pPr>
            <w:r>
              <w:rPr>
                <w:rFonts w:cs="Arial"/>
                <w:color w:val="000000"/>
                <w:sz w:val="18"/>
                <w:szCs w:val="18"/>
              </w:rPr>
              <w:t>Magnet</w:t>
            </w:r>
          </w:p>
        </w:tc>
        <w:tc>
          <w:tcPr>
            <w:tcW w:w="727" w:type="pct"/>
            <w:vAlign w:val="center"/>
          </w:tcPr>
          <w:p w14:paraId="3BFD98D1"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0ADC5FB9"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4350EEDC"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12E83FAC"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664D9652" w14:textId="77777777" w:rsidTr="00644B6C">
        <w:tc>
          <w:tcPr>
            <w:tcW w:w="866" w:type="pct"/>
            <w:vAlign w:val="center"/>
          </w:tcPr>
          <w:p w14:paraId="7EF82FC9" w14:textId="77777777" w:rsidR="00865A69" w:rsidRPr="00E03822" w:rsidRDefault="00865A69" w:rsidP="00644B6C">
            <w:pPr>
              <w:jc w:val="right"/>
              <w:rPr>
                <w:rFonts w:cs="Arial"/>
                <w:b/>
                <w:bCs/>
                <w:color w:val="000000"/>
                <w:sz w:val="18"/>
                <w:szCs w:val="18"/>
              </w:rPr>
            </w:pPr>
          </w:p>
        </w:tc>
        <w:tc>
          <w:tcPr>
            <w:tcW w:w="1225" w:type="pct"/>
            <w:vAlign w:val="center"/>
          </w:tcPr>
          <w:p w14:paraId="124E2497" w14:textId="77777777" w:rsidR="00865A69" w:rsidRDefault="00865A69" w:rsidP="00644B6C">
            <w:pPr>
              <w:jc w:val="right"/>
              <w:rPr>
                <w:rFonts w:cs="Arial"/>
                <w:color w:val="000000"/>
                <w:sz w:val="18"/>
                <w:szCs w:val="18"/>
              </w:rPr>
            </w:pPr>
            <w:r>
              <w:rPr>
                <w:rFonts w:cs="Arial"/>
                <w:color w:val="000000"/>
                <w:sz w:val="18"/>
                <w:szCs w:val="18"/>
              </w:rPr>
              <w:t>Virtual</w:t>
            </w:r>
          </w:p>
        </w:tc>
        <w:tc>
          <w:tcPr>
            <w:tcW w:w="727" w:type="pct"/>
            <w:vAlign w:val="center"/>
          </w:tcPr>
          <w:p w14:paraId="5ADE5DFD"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1FC8A866"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6FF123B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10F37148"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2CA1EAC7" w14:textId="77777777" w:rsidTr="00644B6C">
        <w:tc>
          <w:tcPr>
            <w:tcW w:w="866" w:type="pct"/>
            <w:vAlign w:val="center"/>
          </w:tcPr>
          <w:p w14:paraId="498CA659" w14:textId="77777777" w:rsidR="00865A69" w:rsidRPr="00E03822" w:rsidRDefault="00865A69" w:rsidP="00644B6C">
            <w:pPr>
              <w:jc w:val="right"/>
              <w:rPr>
                <w:rFonts w:cs="Arial"/>
                <w:b/>
                <w:bCs/>
                <w:color w:val="000000"/>
                <w:sz w:val="18"/>
                <w:szCs w:val="18"/>
              </w:rPr>
            </w:pPr>
          </w:p>
        </w:tc>
        <w:tc>
          <w:tcPr>
            <w:tcW w:w="1225" w:type="pct"/>
            <w:vAlign w:val="center"/>
          </w:tcPr>
          <w:p w14:paraId="33D68703" w14:textId="77777777" w:rsidR="00865A69" w:rsidRDefault="00865A69" w:rsidP="00644B6C">
            <w:pPr>
              <w:jc w:val="right"/>
              <w:rPr>
                <w:rFonts w:cs="Arial"/>
                <w:color w:val="000000"/>
                <w:sz w:val="18"/>
                <w:szCs w:val="18"/>
              </w:rPr>
            </w:pPr>
            <w:r>
              <w:rPr>
                <w:rFonts w:cs="Arial"/>
                <w:color w:val="000000"/>
                <w:sz w:val="18"/>
                <w:szCs w:val="18"/>
              </w:rPr>
              <w:t>Not charter, magnet, or virtual</w:t>
            </w:r>
          </w:p>
        </w:tc>
        <w:tc>
          <w:tcPr>
            <w:tcW w:w="727" w:type="pct"/>
            <w:vAlign w:val="center"/>
          </w:tcPr>
          <w:p w14:paraId="48066065" w14:textId="77777777" w:rsidR="00865A69" w:rsidRDefault="00865A69" w:rsidP="00644B6C">
            <w:pPr>
              <w:jc w:val="right"/>
              <w:rPr>
                <w:rFonts w:cs="Arial"/>
                <w:color w:val="000000"/>
                <w:sz w:val="18"/>
                <w:szCs w:val="18"/>
              </w:rPr>
            </w:pPr>
            <w:r>
              <w:rPr>
                <w:rFonts w:cs="Arial"/>
                <w:color w:val="000000"/>
                <w:sz w:val="18"/>
                <w:szCs w:val="18"/>
              </w:rPr>
              <w:t>440</w:t>
            </w:r>
          </w:p>
        </w:tc>
        <w:tc>
          <w:tcPr>
            <w:tcW w:w="727" w:type="pct"/>
            <w:vAlign w:val="center"/>
          </w:tcPr>
          <w:p w14:paraId="37ACE885"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7F610A62"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48D84A29" w14:textId="77777777" w:rsidR="00865A69" w:rsidRPr="00E03822" w:rsidRDefault="00865A69" w:rsidP="00644B6C">
            <w:pPr>
              <w:jc w:val="right"/>
              <w:rPr>
                <w:rFonts w:cs="Arial"/>
                <w:color w:val="000000"/>
                <w:sz w:val="18"/>
                <w:szCs w:val="18"/>
              </w:rPr>
            </w:pPr>
            <w:r>
              <w:rPr>
                <w:rFonts w:cs="Arial"/>
                <w:color w:val="000000"/>
                <w:sz w:val="18"/>
                <w:szCs w:val="18"/>
              </w:rPr>
              <w:t>440</w:t>
            </w:r>
          </w:p>
        </w:tc>
      </w:tr>
    </w:tbl>
    <w:p w14:paraId="2BD102BD" w14:textId="712EBFAA" w:rsidR="00F71C45" w:rsidRDefault="00865A69" w:rsidP="00865A69">
      <w:pPr>
        <w:spacing w:after="240" w:line="240" w:lineRule="auto"/>
        <w:rPr>
          <w:sz w:val="16"/>
          <w:szCs w:val="16"/>
        </w:rPr>
      </w:pPr>
      <w:r>
        <w:rPr>
          <w:sz w:val="16"/>
          <w:szCs w:val="16"/>
        </w:rPr>
        <w:t>NA</w:t>
      </w:r>
      <w:r w:rsidRPr="00E4200E">
        <w:rPr>
          <w:sz w:val="16"/>
          <w:szCs w:val="16"/>
        </w:rPr>
        <w:t>:</w:t>
      </w:r>
      <w:r>
        <w:rPr>
          <w:sz w:val="16"/>
          <w:szCs w:val="16"/>
        </w:rPr>
        <w:t xml:space="preserve"> Not Applicable. </w:t>
      </w:r>
      <w:r w:rsidRPr="00E4200E">
        <w:rPr>
          <w:sz w:val="16"/>
          <w:szCs w:val="16"/>
        </w:rPr>
        <w:t xml:space="preserve">No explicit participation goals are established for Catholic and </w:t>
      </w:r>
      <w:r>
        <w:rPr>
          <w:sz w:val="16"/>
          <w:szCs w:val="16"/>
        </w:rPr>
        <w:t>o</w:t>
      </w:r>
      <w:r w:rsidRPr="00E4200E">
        <w:rPr>
          <w:sz w:val="16"/>
          <w:szCs w:val="16"/>
        </w:rPr>
        <w:t xml:space="preserve">ther private schools </w:t>
      </w:r>
      <w:r>
        <w:rPr>
          <w:sz w:val="16"/>
          <w:szCs w:val="16"/>
        </w:rPr>
        <w:t xml:space="preserve">by locale. </w:t>
      </w:r>
      <w:r w:rsidRPr="00E4200E">
        <w:rPr>
          <w:sz w:val="16"/>
          <w:szCs w:val="16"/>
        </w:rPr>
        <w:t>Catholic and Other private schools are all classified as Low prevalence, for purposes of sampling, as no focal disability counts are available.</w:t>
      </w:r>
    </w:p>
    <w:p w14:paraId="6D0350CE" w14:textId="13DA6950" w:rsidR="00C053DA" w:rsidRDefault="00C053DA" w:rsidP="00C053DA">
      <w:pPr>
        <w:widowControl w:val="0"/>
        <w:spacing w:after="120" w:line="21" w:lineRule="atLeast"/>
      </w:pPr>
      <w:r>
        <w:t>The 27 school strata along with the corresponding stratum-specific participation goals, frame counts, total selected school sample (n=2,728), initial school sample (n=1,373), and reserve sample (n=1,355) are shown in table 1.</w:t>
      </w:r>
      <w:r w:rsidR="007D71C4">
        <w:t xml:space="preserve"> </w:t>
      </w:r>
      <w:r>
        <w:t>The size measure used for the probability proportional to size selection of 2,728 schools will be constructed using the overall sampling rates for students in the following five student categories:</w:t>
      </w:r>
    </w:p>
    <w:p w14:paraId="474C73A0"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American Indian or Alaskan Native (AIAN), non-Hispanic</w:t>
      </w:r>
    </w:p>
    <w:p w14:paraId="5AFCAEF8"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w:t>
      </w:r>
    </w:p>
    <w:p w14:paraId="2AD144E0"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Hispanic,</w:t>
      </w:r>
    </w:p>
    <w:p w14:paraId="394C049D" w14:textId="77777777" w:rsidR="00865A69" w:rsidRPr="00FF59B1"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and</w:t>
      </w:r>
    </w:p>
    <w:p w14:paraId="3459E090" w14:textId="746DE3D1" w:rsidR="00865A69" w:rsidRDefault="00FC1C86" w:rsidP="00865A69">
      <w:pPr>
        <w:pStyle w:val="ListBullet"/>
        <w:numPr>
          <w:ilvl w:val="0"/>
          <w:numId w:val="19"/>
        </w:numPr>
        <w:tabs>
          <w:tab w:val="clear" w:pos="1800"/>
          <w:tab w:val="num" w:pos="360"/>
          <w:tab w:val="num" w:pos="720"/>
        </w:tabs>
        <w:spacing w:before="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 xml:space="preserve"> </w:t>
      </w:r>
      <w:r w:rsidR="00865A69" w:rsidRPr="00FF59B1">
        <w:rPr>
          <w:rFonts w:asciiTheme="majorHAnsi" w:eastAsiaTheme="minorHAnsi" w:hAnsiTheme="majorHAnsi"/>
          <w:sz w:val="22"/>
          <w:szCs w:val="22"/>
        </w:rPr>
        <w:t>Other</w:t>
      </w:r>
      <w:r w:rsidR="00865A69">
        <w:rPr>
          <w:rFonts w:asciiTheme="majorHAnsi" w:eastAsiaTheme="minorHAnsi" w:hAnsiTheme="majorHAnsi"/>
          <w:sz w:val="22"/>
          <w:szCs w:val="22"/>
        </w:rPr>
        <w:t xml:space="preserve"> race, non-Hispanic</w:t>
      </w:r>
    </w:p>
    <w:p w14:paraId="7708D2DE" w14:textId="77777777" w:rsidR="00865A69" w:rsidRDefault="00865A69" w:rsidP="00865A69">
      <w:pPr>
        <w:widowControl w:val="0"/>
        <w:spacing w:after="120" w:line="21" w:lineRule="atLeast"/>
      </w:pPr>
      <w:r>
        <w:t>combined with the total number of students in each of those five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288E97B2" w14:textId="77777777" w:rsidR="00865A69" w:rsidRPr="00224585" w:rsidRDefault="00232F2B" w:rsidP="00865A69">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015E43B0" w14:textId="179D0A85" w:rsidR="00865A69" w:rsidRDefault="00865A69" w:rsidP="00865A69">
      <w:pPr>
        <w:widowControl w:val="0"/>
        <w:spacing w:after="120" w:line="21" w:lineRule="atLeast"/>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is the sampling rate for the j</w:t>
      </w:r>
      <w:r w:rsidRPr="00107530">
        <w:rPr>
          <w:rFonts w:eastAsiaTheme="minorEastAsia"/>
          <w:vertAlign w:val="superscript"/>
        </w:rPr>
        <w:t>th</w:t>
      </w:r>
      <w:r>
        <w:rPr>
          <w:rFonts w:eastAsiaTheme="minorEastAsia"/>
        </w:rPr>
        <w:t xml:space="preserve"> student category in the h</w:t>
      </w:r>
      <w:r w:rsidRPr="0002753C">
        <w:rPr>
          <w:rFonts w:eastAsiaTheme="minorEastAsia"/>
          <w:vertAlign w:val="superscript"/>
        </w:rPr>
        <w:t>th</w:t>
      </w:r>
      <w:r>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Pr>
          <w:rFonts w:eastAsiaTheme="minorEastAsia"/>
        </w:rPr>
        <w:t xml:space="preserve"> is the number of students in the j</w:t>
      </w:r>
      <w:r w:rsidRPr="00C22E0D">
        <w:rPr>
          <w:rFonts w:eastAsiaTheme="minorEastAsia"/>
          <w:vertAlign w:val="superscript"/>
        </w:rPr>
        <w:t>th</w:t>
      </w:r>
      <w:r>
        <w:rPr>
          <w:rFonts w:eastAsiaTheme="minorEastAsia"/>
        </w:rPr>
        <w:t xml:space="preserve"> category within school </w:t>
      </w:r>
      <w:r w:rsidRPr="00FF59B1">
        <w:rPr>
          <w:rFonts w:eastAsiaTheme="minorEastAsia"/>
          <w:i/>
          <w:iCs/>
        </w:rPr>
        <w:t>i</w:t>
      </w:r>
      <w:r>
        <w:rPr>
          <w:rFonts w:eastAsiaTheme="minorEastAsia"/>
          <w:i/>
          <w:iCs/>
        </w:rPr>
        <w:t xml:space="preserve"> </w:t>
      </w:r>
      <w:r>
        <w:rPr>
          <w:rFonts w:eastAsiaTheme="minorEastAsia"/>
        </w:rPr>
        <w:t>in the h</w:t>
      </w:r>
      <w:r w:rsidRPr="0002753C">
        <w:rPr>
          <w:rFonts w:eastAsiaTheme="minorEastAsia"/>
          <w:vertAlign w:val="superscript"/>
        </w:rPr>
        <w:t>th</w:t>
      </w:r>
      <w:r>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equals the number of students to sample from the j</w:t>
      </w:r>
      <w:r w:rsidRPr="002A40AE">
        <w:rPr>
          <w:rFonts w:eastAsiaTheme="minorEastAsia"/>
          <w:vertAlign w:val="superscript"/>
        </w:rPr>
        <w:t>th</w:t>
      </w:r>
      <w:r>
        <w:rPr>
          <w:rFonts w:eastAsiaTheme="minorEastAsia"/>
        </w:rPr>
        <w:t xml:space="preserve"> category in the h</w:t>
      </w:r>
      <w:r w:rsidRPr="0002753C">
        <w:rPr>
          <w:rFonts w:eastAsiaTheme="minorEastAsia"/>
          <w:vertAlign w:val="superscript"/>
        </w:rPr>
        <w:t>th</w:t>
      </w:r>
      <w:r>
        <w:rPr>
          <w:rFonts w:eastAsiaTheme="minorEastAsia"/>
        </w:rPr>
        <w:t xml:space="preserve"> school stratum divided by the number of students in the j</w:t>
      </w:r>
      <w:r w:rsidRPr="002A40AE">
        <w:rPr>
          <w:rFonts w:eastAsiaTheme="minorEastAsia"/>
          <w:vertAlign w:val="superscript"/>
        </w:rPr>
        <w:t>th</w:t>
      </w:r>
      <w:r>
        <w:rPr>
          <w:rFonts w:eastAsiaTheme="minorEastAsia"/>
        </w:rPr>
        <w:t xml:space="preserve"> category across all schools in the h</w:t>
      </w:r>
      <w:r w:rsidRPr="0002753C">
        <w:rPr>
          <w:rFonts w:eastAsiaTheme="minorEastAsia"/>
          <w:vertAlign w:val="superscript"/>
        </w:rPr>
        <w:t>th</w:t>
      </w:r>
      <w:r>
        <w:rPr>
          <w:rFonts w:eastAsiaTheme="minorEastAsia"/>
        </w:rPr>
        <w:t xml:space="preserve"> school stratum. The sampling rates for the five student categories listed above will vary across the school strata; for example, a rate of .072 is used for AIAN students attending traditional public schools in the suburban areas in the South while an overall rate of .003 is used for students attending traditional public schools in suburban areas in the South. The student sampling rates by school strata are provided in table 4.</w:t>
      </w:r>
    </w:p>
    <w:p w14:paraId="42B6A516" w14:textId="77777777" w:rsidR="00644B6C" w:rsidRDefault="00644B6C" w:rsidP="00644B6C">
      <w:pPr>
        <w:widowControl w:val="0"/>
        <w:spacing w:before="240" w:after="120" w:line="21" w:lineRule="atLeast"/>
      </w:pPr>
      <w:r>
        <w:t>The sampling plan is designed to produce constant weights within each of the five student domains (AIAN non-Hispanic, Asian non-Hispanic, Hispanic, Black non-Hispanic, and other non-Hispanic)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0A325F6F" w14:textId="3F7815D3" w:rsidR="00644B6C" w:rsidRPr="00BE03CE" w:rsidRDefault="00644B6C" w:rsidP="00BE03CE">
      <w:pPr>
        <w:widowControl w:val="0"/>
        <w:spacing w:after="120" w:line="21" w:lineRule="atLeast"/>
      </w:pPr>
      <w:r>
        <w:t>Within participating schools, students will be stratified into the five student categories defined above and a systematic sample of students will be selected from each student sampling stratum. Approximately 28 students will be sampled from each of the anticipated 920 participating schools. However, the number of students sampled per student stratum will vary by school because the within-school student-stratum sample sizes depend upon the numbers of students in the five student sampling strata. The process of determining the student sample allocation follows the procedure outlined in section 2 of Folsom et al (1987).</w:t>
      </w:r>
      <w:r>
        <w:rPr>
          <w:rStyle w:val="FootnoteReference"/>
        </w:rPr>
        <w:footnoteReference w:id="8"/>
      </w:r>
    </w:p>
    <w:p w14:paraId="18575702" w14:textId="059041A1" w:rsidR="00865A69" w:rsidRDefault="00865A69" w:rsidP="000D5575">
      <w:pPr>
        <w:keepNext/>
        <w:spacing w:before="240" w:after="60" w:line="240" w:lineRule="auto"/>
        <w:rPr>
          <w:rFonts w:eastAsiaTheme="minorEastAsia"/>
          <w:b/>
          <w:bCs/>
        </w:rPr>
      </w:pPr>
      <w:r w:rsidRPr="00134B81">
        <w:rPr>
          <w:rFonts w:eastAsiaTheme="minorEastAsia"/>
          <w:b/>
          <w:bCs/>
        </w:rPr>
        <w:t xml:space="preserve">Table </w:t>
      </w:r>
      <w:r>
        <w:rPr>
          <w:rFonts w:eastAsiaTheme="minorEastAsia"/>
          <w:b/>
          <w:bCs/>
        </w:rPr>
        <w:t>4</w:t>
      </w:r>
      <w:r w:rsidRPr="00134B81">
        <w:rPr>
          <w:rFonts w:eastAsiaTheme="minorEastAsia"/>
          <w:b/>
          <w:bCs/>
        </w:rPr>
        <w:t xml:space="preserve">. </w:t>
      </w:r>
      <w:r>
        <w:rPr>
          <w:rFonts w:eastAsiaTheme="minorEastAsia"/>
          <w:b/>
          <w:bCs/>
        </w:rPr>
        <w:t xml:space="preserve">Aggregate </w:t>
      </w:r>
      <w:r w:rsidRPr="00134B81">
        <w:rPr>
          <w:rFonts w:eastAsiaTheme="minorEastAsia"/>
          <w:b/>
          <w:bCs/>
        </w:rPr>
        <w:t>Student Sampling Rates Used for School Selection</w:t>
      </w:r>
    </w:p>
    <w:tbl>
      <w:tblPr>
        <w:tblW w:w="5000" w:type="pct"/>
        <w:jc w:val="center"/>
        <w:tblLook w:val="04A0" w:firstRow="1" w:lastRow="0" w:firstColumn="1" w:lastColumn="0" w:noHBand="0" w:noVBand="1"/>
      </w:tblPr>
      <w:tblGrid>
        <w:gridCol w:w="3088"/>
        <w:gridCol w:w="1023"/>
        <w:gridCol w:w="937"/>
        <w:gridCol w:w="844"/>
        <w:gridCol w:w="1220"/>
        <w:gridCol w:w="976"/>
        <w:gridCol w:w="976"/>
        <w:gridCol w:w="976"/>
        <w:gridCol w:w="976"/>
      </w:tblGrid>
      <w:tr w:rsidR="00865A69" w:rsidRPr="00232757" w14:paraId="1D0FB823" w14:textId="77777777" w:rsidTr="00D96242">
        <w:trPr>
          <w:trHeight w:val="144"/>
          <w:tblHeader/>
          <w:jc w:val="center"/>
        </w:trPr>
        <w:tc>
          <w:tcPr>
            <w:tcW w:w="1096" w:type="pct"/>
            <w:tcBorders>
              <w:top w:val="single" w:sz="4" w:space="0" w:color="auto"/>
              <w:left w:val="single" w:sz="4" w:space="0" w:color="auto"/>
              <w:bottom w:val="single" w:sz="4" w:space="0" w:color="auto"/>
              <w:right w:val="single" w:sz="4" w:space="0" w:color="auto"/>
            </w:tcBorders>
            <w:shd w:val="clear" w:color="auto" w:fill="FAFBFE"/>
            <w:noWrap/>
            <w:vAlign w:val="bottom"/>
            <w:hideMark/>
          </w:tcPr>
          <w:p w14:paraId="69B1B7AD"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School Type</w:t>
            </w:r>
          </w:p>
        </w:tc>
        <w:tc>
          <w:tcPr>
            <w:tcW w:w="503" w:type="pct"/>
            <w:tcBorders>
              <w:top w:val="single" w:sz="4" w:space="0" w:color="auto"/>
              <w:left w:val="nil"/>
              <w:bottom w:val="single" w:sz="4" w:space="0" w:color="auto"/>
              <w:right w:val="single" w:sz="4" w:space="0" w:color="auto"/>
            </w:tcBorders>
            <w:shd w:val="clear" w:color="auto" w:fill="FAFBFE"/>
            <w:vAlign w:val="bottom"/>
            <w:hideMark/>
          </w:tcPr>
          <w:p w14:paraId="61E045EB"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 xml:space="preserve">Census </w:t>
            </w:r>
            <w:r w:rsidRPr="00232757">
              <w:rPr>
                <w:rFonts w:cstheme="minorHAnsi"/>
                <w:b/>
                <w:color w:val="000000"/>
                <w:sz w:val="18"/>
                <w:szCs w:val="18"/>
              </w:rPr>
              <w:br/>
              <w:t>Region</w:t>
            </w:r>
          </w:p>
        </w:tc>
        <w:tc>
          <w:tcPr>
            <w:tcW w:w="464" w:type="pct"/>
            <w:tcBorders>
              <w:top w:val="single" w:sz="4" w:space="0" w:color="auto"/>
              <w:left w:val="nil"/>
              <w:bottom w:val="single" w:sz="4" w:space="0" w:color="auto"/>
              <w:right w:val="single" w:sz="4" w:space="0" w:color="auto"/>
            </w:tcBorders>
            <w:shd w:val="clear" w:color="auto" w:fill="FAFBFE"/>
            <w:noWrap/>
            <w:vAlign w:val="bottom"/>
            <w:hideMark/>
          </w:tcPr>
          <w:p w14:paraId="73E73743"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Locale</w:t>
            </w:r>
          </w:p>
        </w:tc>
        <w:tc>
          <w:tcPr>
            <w:tcW w:w="421" w:type="pct"/>
            <w:tcBorders>
              <w:top w:val="single" w:sz="4" w:space="0" w:color="auto"/>
              <w:left w:val="nil"/>
              <w:bottom w:val="single" w:sz="4" w:space="0" w:color="auto"/>
              <w:right w:val="single" w:sz="4" w:space="0" w:color="auto"/>
            </w:tcBorders>
            <w:shd w:val="clear" w:color="auto" w:fill="FAFBFE"/>
            <w:noWrap/>
            <w:vAlign w:val="bottom"/>
            <w:hideMark/>
          </w:tcPr>
          <w:p w14:paraId="083FFEF4"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Overall</w:t>
            </w:r>
          </w:p>
        </w:tc>
        <w:tc>
          <w:tcPr>
            <w:tcW w:w="592" w:type="pct"/>
            <w:tcBorders>
              <w:top w:val="single" w:sz="4" w:space="0" w:color="auto"/>
              <w:left w:val="nil"/>
              <w:bottom w:val="single" w:sz="4" w:space="0" w:color="auto"/>
              <w:right w:val="single" w:sz="4" w:space="0" w:color="auto"/>
            </w:tcBorders>
            <w:shd w:val="clear" w:color="auto" w:fill="FAFBFE"/>
            <w:vAlign w:val="bottom"/>
            <w:hideMark/>
          </w:tcPr>
          <w:p w14:paraId="1A2482A0" w14:textId="390598BE"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 xml:space="preserve">American Indian or Alaskan Native, non-Hispanic </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05B3FF82"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Asian, non-Hispanic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655DC75C"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59B609E8"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Black, non-Hispanic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37A7024B"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Other, non-Hispanic</w:t>
            </w:r>
          </w:p>
        </w:tc>
      </w:tr>
      <w:tr w:rsidR="00865A69" w:rsidRPr="00232757" w14:paraId="2CDD27D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F17D5B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Public-Charter</w:t>
            </w:r>
          </w:p>
        </w:tc>
        <w:tc>
          <w:tcPr>
            <w:tcW w:w="503" w:type="pct"/>
            <w:tcBorders>
              <w:top w:val="nil"/>
              <w:left w:val="nil"/>
              <w:bottom w:val="single" w:sz="4" w:space="0" w:color="auto"/>
              <w:right w:val="single" w:sz="4" w:space="0" w:color="auto"/>
            </w:tcBorders>
            <w:shd w:val="clear" w:color="000000" w:fill="FAFBFE"/>
            <w:noWrap/>
            <w:vAlign w:val="bottom"/>
          </w:tcPr>
          <w:p w14:paraId="506F378E"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55B32D82"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55E5B5C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c>
          <w:tcPr>
            <w:tcW w:w="592" w:type="pct"/>
            <w:tcBorders>
              <w:top w:val="nil"/>
              <w:left w:val="nil"/>
              <w:bottom w:val="single" w:sz="4" w:space="0" w:color="auto"/>
              <w:right w:val="single" w:sz="4" w:space="0" w:color="auto"/>
            </w:tcBorders>
            <w:shd w:val="clear" w:color="auto" w:fill="auto"/>
            <w:noWrap/>
            <w:vAlign w:val="bottom"/>
            <w:hideMark/>
          </w:tcPr>
          <w:p w14:paraId="687BA68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0.103</w:t>
            </w:r>
          </w:p>
        </w:tc>
        <w:tc>
          <w:tcPr>
            <w:tcW w:w="481" w:type="pct"/>
            <w:tcBorders>
              <w:top w:val="nil"/>
              <w:left w:val="nil"/>
              <w:bottom w:val="single" w:sz="4" w:space="0" w:color="auto"/>
              <w:right w:val="single" w:sz="4" w:space="0" w:color="auto"/>
            </w:tcBorders>
            <w:shd w:val="clear" w:color="auto" w:fill="auto"/>
            <w:noWrap/>
            <w:vAlign w:val="bottom"/>
            <w:hideMark/>
          </w:tcPr>
          <w:p w14:paraId="6AB05FF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0.030</w:t>
            </w:r>
          </w:p>
        </w:tc>
        <w:tc>
          <w:tcPr>
            <w:tcW w:w="481" w:type="pct"/>
            <w:tcBorders>
              <w:top w:val="nil"/>
              <w:left w:val="nil"/>
              <w:bottom w:val="single" w:sz="4" w:space="0" w:color="auto"/>
              <w:right w:val="single" w:sz="4" w:space="0" w:color="auto"/>
            </w:tcBorders>
            <w:shd w:val="clear" w:color="auto" w:fill="auto"/>
            <w:noWrap/>
            <w:vAlign w:val="bottom"/>
            <w:hideMark/>
          </w:tcPr>
          <w:p w14:paraId="0B5E2E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3736E89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5085821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r>
      <w:tr w:rsidR="00865A69" w:rsidRPr="00232757" w14:paraId="4DCCBD9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B4D46E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Public-Magnet</w:t>
            </w:r>
          </w:p>
        </w:tc>
        <w:tc>
          <w:tcPr>
            <w:tcW w:w="503" w:type="pct"/>
            <w:tcBorders>
              <w:top w:val="nil"/>
              <w:left w:val="nil"/>
              <w:bottom w:val="single" w:sz="4" w:space="0" w:color="auto"/>
              <w:right w:val="single" w:sz="4" w:space="0" w:color="auto"/>
            </w:tcBorders>
            <w:shd w:val="clear" w:color="000000" w:fill="FAFBFE"/>
            <w:noWrap/>
            <w:vAlign w:val="bottom"/>
          </w:tcPr>
          <w:p w14:paraId="1EA50A4B"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3C88AFF2"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62D2A2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592" w:type="pct"/>
            <w:tcBorders>
              <w:top w:val="nil"/>
              <w:left w:val="nil"/>
              <w:bottom w:val="single" w:sz="4" w:space="0" w:color="auto"/>
              <w:right w:val="single" w:sz="4" w:space="0" w:color="auto"/>
            </w:tcBorders>
            <w:shd w:val="clear" w:color="auto" w:fill="auto"/>
            <w:noWrap/>
            <w:vAlign w:val="bottom"/>
            <w:hideMark/>
          </w:tcPr>
          <w:p w14:paraId="45AEA67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0.097</w:t>
            </w:r>
          </w:p>
        </w:tc>
        <w:tc>
          <w:tcPr>
            <w:tcW w:w="481" w:type="pct"/>
            <w:tcBorders>
              <w:top w:val="nil"/>
              <w:left w:val="nil"/>
              <w:bottom w:val="single" w:sz="4" w:space="0" w:color="auto"/>
              <w:right w:val="single" w:sz="4" w:space="0" w:color="auto"/>
            </w:tcBorders>
            <w:shd w:val="clear" w:color="auto" w:fill="auto"/>
            <w:noWrap/>
            <w:vAlign w:val="bottom"/>
            <w:hideMark/>
          </w:tcPr>
          <w:p w14:paraId="5835D04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c>
          <w:tcPr>
            <w:tcW w:w="481" w:type="pct"/>
            <w:tcBorders>
              <w:top w:val="nil"/>
              <w:left w:val="nil"/>
              <w:bottom w:val="single" w:sz="4" w:space="0" w:color="auto"/>
              <w:right w:val="single" w:sz="4" w:space="0" w:color="auto"/>
            </w:tcBorders>
            <w:shd w:val="clear" w:color="auto" w:fill="auto"/>
            <w:noWrap/>
            <w:vAlign w:val="bottom"/>
            <w:hideMark/>
          </w:tcPr>
          <w:p w14:paraId="2384A0A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321393C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481" w:type="pct"/>
            <w:tcBorders>
              <w:top w:val="nil"/>
              <w:left w:val="nil"/>
              <w:bottom w:val="single" w:sz="4" w:space="0" w:color="auto"/>
              <w:right w:val="single" w:sz="4" w:space="0" w:color="auto"/>
            </w:tcBorders>
            <w:shd w:val="clear" w:color="auto" w:fill="auto"/>
            <w:noWrap/>
            <w:vAlign w:val="bottom"/>
            <w:hideMark/>
          </w:tcPr>
          <w:p w14:paraId="3419688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r>
      <w:tr w:rsidR="00865A69" w:rsidRPr="00232757" w14:paraId="31B7DB4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429237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Public-Virtual</w:t>
            </w:r>
          </w:p>
        </w:tc>
        <w:tc>
          <w:tcPr>
            <w:tcW w:w="503" w:type="pct"/>
            <w:tcBorders>
              <w:top w:val="nil"/>
              <w:left w:val="nil"/>
              <w:bottom w:val="single" w:sz="4" w:space="0" w:color="auto"/>
              <w:right w:val="single" w:sz="4" w:space="0" w:color="auto"/>
            </w:tcBorders>
            <w:shd w:val="clear" w:color="000000" w:fill="FAFBFE"/>
            <w:noWrap/>
            <w:vAlign w:val="bottom"/>
          </w:tcPr>
          <w:p w14:paraId="7E78526A"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68FEAC1C"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0D1D94E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0.048</w:t>
            </w:r>
          </w:p>
        </w:tc>
        <w:tc>
          <w:tcPr>
            <w:tcW w:w="592" w:type="pct"/>
            <w:tcBorders>
              <w:top w:val="nil"/>
              <w:left w:val="nil"/>
              <w:bottom w:val="single" w:sz="4" w:space="0" w:color="auto"/>
              <w:right w:val="single" w:sz="4" w:space="0" w:color="auto"/>
            </w:tcBorders>
            <w:shd w:val="clear" w:color="auto" w:fill="auto"/>
            <w:noWrap/>
            <w:vAlign w:val="bottom"/>
            <w:hideMark/>
          </w:tcPr>
          <w:p w14:paraId="42E6168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0.090</w:t>
            </w:r>
          </w:p>
        </w:tc>
        <w:tc>
          <w:tcPr>
            <w:tcW w:w="481" w:type="pct"/>
            <w:tcBorders>
              <w:top w:val="nil"/>
              <w:left w:val="nil"/>
              <w:bottom w:val="single" w:sz="4" w:space="0" w:color="auto"/>
              <w:right w:val="single" w:sz="4" w:space="0" w:color="auto"/>
            </w:tcBorders>
            <w:shd w:val="clear" w:color="auto" w:fill="auto"/>
            <w:noWrap/>
            <w:vAlign w:val="bottom"/>
            <w:hideMark/>
          </w:tcPr>
          <w:p w14:paraId="0FFAB3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0.075</w:t>
            </w:r>
          </w:p>
        </w:tc>
        <w:tc>
          <w:tcPr>
            <w:tcW w:w="481" w:type="pct"/>
            <w:tcBorders>
              <w:top w:val="nil"/>
              <w:left w:val="nil"/>
              <w:bottom w:val="single" w:sz="4" w:space="0" w:color="auto"/>
              <w:right w:val="single" w:sz="4" w:space="0" w:color="auto"/>
            </w:tcBorders>
            <w:shd w:val="clear" w:color="auto" w:fill="auto"/>
            <w:noWrap/>
            <w:vAlign w:val="bottom"/>
            <w:hideMark/>
          </w:tcPr>
          <w:p w14:paraId="1FC21E8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0.042</w:t>
            </w:r>
          </w:p>
        </w:tc>
        <w:tc>
          <w:tcPr>
            <w:tcW w:w="481" w:type="pct"/>
            <w:tcBorders>
              <w:top w:val="nil"/>
              <w:left w:val="nil"/>
              <w:bottom w:val="single" w:sz="4" w:space="0" w:color="auto"/>
              <w:right w:val="single" w:sz="4" w:space="0" w:color="auto"/>
            </w:tcBorders>
            <w:shd w:val="clear" w:color="auto" w:fill="auto"/>
            <w:noWrap/>
            <w:vAlign w:val="bottom"/>
            <w:hideMark/>
          </w:tcPr>
          <w:p w14:paraId="751A41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0.053</w:t>
            </w:r>
          </w:p>
        </w:tc>
        <w:tc>
          <w:tcPr>
            <w:tcW w:w="481" w:type="pct"/>
            <w:tcBorders>
              <w:top w:val="nil"/>
              <w:left w:val="nil"/>
              <w:bottom w:val="single" w:sz="4" w:space="0" w:color="auto"/>
              <w:right w:val="single" w:sz="4" w:space="0" w:color="auto"/>
            </w:tcBorders>
            <w:shd w:val="clear" w:color="auto" w:fill="auto"/>
            <w:noWrap/>
            <w:vAlign w:val="bottom"/>
            <w:hideMark/>
          </w:tcPr>
          <w:p w14:paraId="0B5407B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0.047</w:t>
            </w:r>
          </w:p>
        </w:tc>
      </w:tr>
      <w:tr w:rsidR="00865A69" w:rsidRPr="00232757" w14:paraId="7E44A060"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563312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9620F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1F288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106748C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6560F6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53EDD8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6688873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EB8D33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338B338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46FDB8C6"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29C977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0E79CE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07B62E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588ECE2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79868C0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0.063</w:t>
            </w:r>
          </w:p>
        </w:tc>
        <w:tc>
          <w:tcPr>
            <w:tcW w:w="481" w:type="pct"/>
            <w:tcBorders>
              <w:top w:val="nil"/>
              <w:left w:val="nil"/>
              <w:bottom w:val="single" w:sz="4" w:space="0" w:color="auto"/>
              <w:right w:val="single" w:sz="4" w:space="0" w:color="auto"/>
            </w:tcBorders>
            <w:shd w:val="clear" w:color="auto" w:fill="auto"/>
            <w:noWrap/>
            <w:vAlign w:val="bottom"/>
            <w:hideMark/>
          </w:tcPr>
          <w:p w14:paraId="39B699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2D24C23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763BB99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6C4C52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06B5A7ED"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EA660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FC9DBD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1E03ADD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0E309F5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592" w:type="pct"/>
            <w:tcBorders>
              <w:top w:val="nil"/>
              <w:left w:val="nil"/>
              <w:bottom w:val="single" w:sz="4" w:space="0" w:color="auto"/>
              <w:right w:val="single" w:sz="4" w:space="0" w:color="auto"/>
            </w:tcBorders>
            <w:shd w:val="clear" w:color="auto" w:fill="auto"/>
            <w:noWrap/>
            <w:vAlign w:val="bottom"/>
            <w:hideMark/>
          </w:tcPr>
          <w:p w14:paraId="7A5DBA1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0.061</w:t>
            </w:r>
          </w:p>
        </w:tc>
        <w:tc>
          <w:tcPr>
            <w:tcW w:w="481" w:type="pct"/>
            <w:tcBorders>
              <w:top w:val="nil"/>
              <w:left w:val="nil"/>
              <w:bottom w:val="single" w:sz="4" w:space="0" w:color="auto"/>
              <w:right w:val="single" w:sz="4" w:space="0" w:color="auto"/>
            </w:tcBorders>
            <w:shd w:val="clear" w:color="auto" w:fill="auto"/>
            <w:noWrap/>
            <w:vAlign w:val="bottom"/>
            <w:hideMark/>
          </w:tcPr>
          <w:p w14:paraId="78B8533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0.048</w:t>
            </w:r>
          </w:p>
        </w:tc>
        <w:tc>
          <w:tcPr>
            <w:tcW w:w="481" w:type="pct"/>
            <w:tcBorders>
              <w:top w:val="nil"/>
              <w:left w:val="nil"/>
              <w:bottom w:val="single" w:sz="4" w:space="0" w:color="auto"/>
              <w:right w:val="single" w:sz="4" w:space="0" w:color="auto"/>
            </w:tcBorders>
            <w:shd w:val="clear" w:color="auto" w:fill="auto"/>
            <w:noWrap/>
            <w:vAlign w:val="bottom"/>
            <w:hideMark/>
          </w:tcPr>
          <w:p w14:paraId="525CC5B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0.012</w:t>
            </w:r>
          </w:p>
        </w:tc>
        <w:tc>
          <w:tcPr>
            <w:tcW w:w="481" w:type="pct"/>
            <w:tcBorders>
              <w:top w:val="nil"/>
              <w:left w:val="nil"/>
              <w:bottom w:val="single" w:sz="4" w:space="0" w:color="auto"/>
              <w:right w:val="single" w:sz="4" w:space="0" w:color="auto"/>
            </w:tcBorders>
            <w:shd w:val="clear" w:color="auto" w:fill="auto"/>
            <w:noWrap/>
            <w:vAlign w:val="bottom"/>
            <w:hideMark/>
          </w:tcPr>
          <w:p w14:paraId="4C1AA1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0.020</w:t>
            </w:r>
          </w:p>
        </w:tc>
        <w:tc>
          <w:tcPr>
            <w:tcW w:w="481" w:type="pct"/>
            <w:tcBorders>
              <w:top w:val="nil"/>
              <w:left w:val="nil"/>
              <w:bottom w:val="single" w:sz="4" w:space="0" w:color="auto"/>
              <w:right w:val="single" w:sz="4" w:space="0" w:color="auto"/>
            </w:tcBorders>
            <w:shd w:val="clear" w:color="auto" w:fill="auto"/>
            <w:noWrap/>
            <w:vAlign w:val="bottom"/>
            <w:hideMark/>
          </w:tcPr>
          <w:p w14:paraId="34A05A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5720168B"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1F7E20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DA7D3F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A7C140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51A660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0CA02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0.062</w:t>
            </w:r>
          </w:p>
        </w:tc>
        <w:tc>
          <w:tcPr>
            <w:tcW w:w="481" w:type="pct"/>
            <w:tcBorders>
              <w:top w:val="nil"/>
              <w:left w:val="nil"/>
              <w:bottom w:val="single" w:sz="4" w:space="0" w:color="auto"/>
              <w:right w:val="single" w:sz="4" w:space="0" w:color="auto"/>
            </w:tcBorders>
            <w:shd w:val="clear" w:color="auto" w:fill="auto"/>
            <w:noWrap/>
            <w:vAlign w:val="bottom"/>
            <w:hideMark/>
          </w:tcPr>
          <w:p w14:paraId="50CBD32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481" w:type="pct"/>
            <w:tcBorders>
              <w:top w:val="nil"/>
              <w:left w:val="nil"/>
              <w:bottom w:val="single" w:sz="4" w:space="0" w:color="auto"/>
              <w:right w:val="single" w:sz="4" w:space="0" w:color="auto"/>
            </w:tcBorders>
            <w:shd w:val="clear" w:color="auto" w:fill="auto"/>
            <w:noWrap/>
            <w:vAlign w:val="bottom"/>
            <w:hideMark/>
          </w:tcPr>
          <w:p w14:paraId="367185C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3C25AC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0.010</w:t>
            </w:r>
          </w:p>
        </w:tc>
        <w:tc>
          <w:tcPr>
            <w:tcW w:w="481" w:type="pct"/>
            <w:tcBorders>
              <w:top w:val="nil"/>
              <w:left w:val="nil"/>
              <w:bottom w:val="single" w:sz="4" w:space="0" w:color="auto"/>
              <w:right w:val="single" w:sz="4" w:space="0" w:color="auto"/>
            </w:tcBorders>
            <w:shd w:val="clear" w:color="auto" w:fill="auto"/>
            <w:noWrap/>
            <w:vAlign w:val="bottom"/>
            <w:hideMark/>
          </w:tcPr>
          <w:p w14:paraId="0C4F3E9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52330CB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50DB27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984E64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A84456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F6879F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261C771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2D1260B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0.012</w:t>
            </w:r>
          </w:p>
        </w:tc>
        <w:tc>
          <w:tcPr>
            <w:tcW w:w="481" w:type="pct"/>
            <w:tcBorders>
              <w:top w:val="nil"/>
              <w:left w:val="nil"/>
              <w:bottom w:val="single" w:sz="4" w:space="0" w:color="auto"/>
              <w:right w:val="single" w:sz="4" w:space="0" w:color="auto"/>
            </w:tcBorders>
            <w:shd w:val="clear" w:color="auto" w:fill="auto"/>
            <w:noWrap/>
            <w:vAlign w:val="bottom"/>
            <w:hideMark/>
          </w:tcPr>
          <w:p w14:paraId="3515036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023065B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15BB6C3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6505846E"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B7BA2B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11D54D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D4B9AB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587B083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02F7069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59C3A1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0.010</w:t>
            </w:r>
          </w:p>
        </w:tc>
        <w:tc>
          <w:tcPr>
            <w:tcW w:w="481" w:type="pct"/>
            <w:tcBorders>
              <w:top w:val="nil"/>
              <w:left w:val="nil"/>
              <w:bottom w:val="single" w:sz="4" w:space="0" w:color="auto"/>
              <w:right w:val="single" w:sz="4" w:space="0" w:color="auto"/>
            </w:tcBorders>
            <w:shd w:val="clear" w:color="auto" w:fill="auto"/>
            <w:noWrap/>
            <w:vAlign w:val="bottom"/>
            <w:hideMark/>
          </w:tcPr>
          <w:p w14:paraId="4110ACE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37C693F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826D6A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2B2FF90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FB65FE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28A08F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487DD9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1B4C406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575037F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0.066</w:t>
            </w:r>
          </w:p>
        </w:tc>
        <w:tc>
          <w:tcPr>
            <w:tcW w:w="481" w:type="pct"/>
            <w:tcBorders>
              <w:top w:val="nil"/>
              <w:left w:val="nil"/>
              <w:bottom w:val="single" w:sz="4" w:space="0" w:color="auto"/>
              <w:right w:val="single" w:sz="4" w:space="0" w:color="auto"/>
            </w:tcBorders>
            <w:shd w:val="clear" w:color="auto" w:fill="auto"/>
            <w:noWrap/>
            <w:vAlign w:val="bottom"/>
            <w:hideMark/>
          </w:tcPr>
          <w:p w14:paraId="3B80CD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0.037</w:t>
            </w:r>
          </w:p>
        </w:tc>
        <w:tc>
          <w:tcPr>
            <w:tcW w:w="481" w:type="pct"/>
            <w:tcBorders>
              <w:top w:val="nil"/>
              <w:left w:val="nil"/>
              <w:bottom w:val="single" w:sz="4" w:space="0" w:color="auto"/>
              <w:right w:val="single" w:sz="4" w:space="0" w:color="auto"/>
            </w:tcBorders>
            <w:shd w:val="clear" w:color="auto" w:fill="auto"/>
            <w:noWrap/>
            <w:vAlign w:val="bottom"/>
            <w:hideMark/>
          </w:tcPr>
          <w:p w14:paraId="5747A4B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728712B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42E6CC1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646D886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6A7057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2E3706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1A5B67A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3FA505E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592" w:type="pct"/>
            <w:tcBorders>
              <w:top w:val="nil"/>
              <w:left w:val="nil"/>
              <w:bottom w:val="single" w:sz="4" w:space="0" w:color="auto"/>
              <w:right w:val="single" w:sz="4" w:space="0" w:color="auto"/>
            </w:tcBorders>
            <w:shd w:val="clear" w:color="auto" w:fill="auto"/>
            <w:noWrap/>
            <w:vAlign w:val="bottom"/>
            <w:hideMark/>
          </w:tcPr>
          <w:p w14:paraId="38E14A2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0.079</w:t>
            </w:r>
          </w:p>
        </w:tc>
        <w:tc>
          <w:tcPr>
            <w:tcW w:w="481" w:type="pct"/>
            <w:tcBorders>
              <w:top w:val="nil"/>
              <w:left w:val="nil"/>
              <w:bottom w:val="single" w:sz="4" w:space="0" w:color="auto"/>
              <w:right w:val="single" w:sz="4" w:space="0" w:color="auto"/>
            </w:tcBorders>
            <w:shd w:val="clear" w:color="auto" w:fill="auto"/>
            <w:noWrap/>
            <w:vAlign w:val="bottom"/>
            <w:hideMark/>
          </w:tcPr>
          <w:p w14:paraId="35E5EFE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0.031</w:t>
            </w:r>
          </w:p>
        </w:tc>
        <w:tc>
          <w:tcPr>
            <w:tcW w:w="481" w:type="pct"/>
            <w:tcBorders>
              <w:top w:val="nil"/>
              <w:left w:val="nil"/>
              <w:bottom w:val="single" w:sz="4" w:space="0" w:color="auto"/>
              <w:right w:val="single" w:sz="4" w:space="0" w:color="auto"/>
            </w:tcBorders>
            <w:shd w:val="clear" w:color="auto" w:fill="auto"/>
            <w:noWrap/>
            <w:vAlign w:val="bottom"/>
            <w:hideMark/>
          </w:tcPr>
          <w:p w14:paraId="5131BD9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7C445FE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661F939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138A638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5915D57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5AC1DF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2706426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62D5F2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05A916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42C9FA8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c>
          <w:tcPr>
            <w:tcW w:w="481" w:type="pct"/>
            <w:tcBorders>
              <w:top w:val="nil"/>
              <w:left w:val="nil"/>
              <w:bottom w:val="single" w:sz="4" w:space="0" w:color="auto"/>
              <w:right w:val="single" w:sz="4" w:space="0" w:color="auto"/>
            </w:tcBorders>
            <w:shd w:val="clear" w:color="auto" w:fill="auto"/>
            <w:noWrap/>
            <w:vAlign w:val="bottom"/>
            <w:hideMark/>
          </w:tcPr>
          <w:p w14:paraId="599C72A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61E7E65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87D21E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164F5CFF"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F18E5E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938505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406F04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7E16303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3444682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0.072</w:t>
            </w:r>
          </w:p>
        </w:tc>
        <w:tc>
          <w:tcPr>
            <w:tcW w:w="481" w:type="pct"/>
            <w:tcBorders>
              <w:top w:val="nil"/>
              <w:left w:val="nil"/>
              <w:bottom w:val="single" w:sz="4" w:space="0" w:color="auto"/>
              <w:right w:val="single" w:sz="4" w:space="0" w:color="auto"/>
            </w:tcBorders>
            <w:shd w:val="clear" w:color="auto" w:fill="auto"/>
            <w:noWrap/>
            <w:vAlign w:val="bottom"/>
            <w:hideMark/>
          </w:tcPr>
          <w:p w14:paraId="3F5B6BA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313E430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3C9D6CE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7E68D20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2650B9CF"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DAF6A7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4D95450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7286150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1CE289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9B0EFA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0.076</w:t>
            </w:r>
          </w:p>
        </w:tc>
        <w:tc>
          <w:tcPr>
            <w:tcW w:w="481" w:type="pct"/>
            <w:tcBorders>
              <w:top w:val="nil"/>
              <w:left w:val="nil"/>
              <w:bottom w:val="single" w:sz="4" w:space="0" w:color="auto"/>
              <w:right w:val="single" w:sz="4" w:space="0" w:color="auto"/>
            </w:tcBorders>
            <w:shd w:val="clear" w:color="auto" w:fill="auto"/>
            <w:noWrap/>
            <w:vAlign w:val="bottom"/>
            <w:hideMark/>
          </w:tcPr>
          <w:p w14:paraId="53E7708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0.037</w:t>
            </w:r>
          </w:p>
        </w:tc>
        <w:tc>
          <w:tcPr>
            <w:tcW w:w="481" w:type="pct"/>
            <w:tcBorders>
              <w:top w:val="nil"/>
              <w:left w:val="nil"/>
              <w:bottom w:val="single" w:sz="4" w:space="0" w:color="auto"/>
              <w:right w:val="single" w:sz="4" w:space="0" w:color="auto"/>
            </w:tcBorders>
            <w:shd w:val="clear" w:color="auto" w:fill="auto"/>
            <w:noWrap/>
            <w:vAlign w:val="bottom"/>
            <w:hideMark/>
          </w:tcPr>
          <w:p w14:paraId="70D5AD9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07212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432CBCB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59D9CE20"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1F5014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F3FF5A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43BF42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B5634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5519D6E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0.085</w:t>
            </w:r>
          </w:p>
        </w:tc>
        <w:tc>
          <w:tcPr>
            <w:tcW w:w="481" w:type="pct"/>
            <w:tcBorders>
              <w:top w:val="nil"/>
              <w:left w:val="nil"/>
              <w:bottom w:val="single" w:sz="4" w:space="0" w:color="auto"/>
              <w:right w:val="single" w:sz="4" w:space="0" w:color="auto"/>
            </w:tcBorders>
            <w:shd w:val="clear" w:color="auto" w:fill="auto"/>
            <w:noWrap/>
            <w:vAlign w:val="bottom"/>
            <w:hideMark/>
          </w:tcPr>
          <w:p w14:paraId="5B5680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0.016</w:t>
            </w:r>
          </w:p>
        </w:tc>
        <w:tc>
          <w:tcPr>
            <w:tcW w:w="481" w:type="pct"/>
            <w:tcBorders>
              <w:top w:val="nil"/>
              <w:left w:val="nil"/>
              <w:bottom w:val="single" w:sz="4" w:space="0" w:color="auto"/>
              <w:right w:val="single" w:sz="4" w:space="0" w:color="auto"/>
            </w:tcBorders>
            <w:shd w:val="clear" w:color="auto" w:fill="auto"/>
            <w:noWrap/>
            <w:vAlign w:val="bottom"/>
            <w:hideMark/>
          </w:tcPr>
          <w:p w14:paraId="207CA4D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68CD4FB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2778A18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05CD2F79"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3C574C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91E816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4257880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30ABAE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DB01C0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0.077</w:t>
            </w:r>
          </w:p>
        </w:tc>
        <w:tc>
          <w:tcPr>
            <w:tcW w:w="481" w:type="pct"/>
            <w:tcBorders>
              <w:top w:val="nil"/>
              <w:left w:val="nil"/>
              <w:bottom w:val="single" w:sz="4" w:space="0" w:color="auto"/>
              <w:right w:val="single" w:sz="4" w:space="0" w:color="auto"/>
            </w:tcBorders>
            <w:shd w:val="clear" w:color="auto" w:fill="auto"/>
            <w:noWrap/>
            <w:vAlign w:val="bottom"/>
            <w:hideMark/>
          </w:tcPr>
          <w:p w14:paraId="282F638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481" w:type="pct"/>
            <w:tcBorders>
              <w:top w:val="nil"/>
              <w:left w:val="nil"/>
              <w:bottom w:val="single" w:sz="4" w:space="0" w:color="auto"/>
              <w:right w:val="single" w:sz="4" w:space="0" w:color="auto"/>
            </w:tcBorders>
            <w:shd w:val="clear" w:color="auto" w:fill="auto"/>
            <w:noWrap/>
            <w:vAlign w:val="bottom"/>
            <w:hideMark/>
          </w:tcPr>
          <w:p w14:paraId="3D08F91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C49E9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A7CEE4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4F72C43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2BA2F21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52E8B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05A35A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66E3E7E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504540E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0.070</w:t>
            </w:r>
          </w:p>
        </w:tc>
        <w:tc>
          <w:tcPr>
            <w:tcW w:w="481" w:type="pct"/>
            <w:tcBorders>
              <w:top w:val="nil"/>
              <w:left w:val="nil"/>
              <w:bottom w:val="single" w:sz="4" w:space="0" w:color="auto"/>
              <w:right w:val="single" w:sz="4" w:space="0" w:color="auto"/>
            </w:tcBorders>
            <w:shd w:val="clear" w:color="auto" w:fill="auto"/>
            <w:noWrap/>
            <w:vAlign w:val="bottom"/>
            <w:hideMark/>
          </w:tcPr>
          <w:p w14:paraId="0BD85EB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481" w:type="pct"/>
            <w:tcBorders>
              <w:top w:val="nil"/>
              <w:left w:val="nil"/>
              <w:bottom w:val="single" w:sz="4" w:space="0" w:color="auto"/>
              <w:right w:val="single" w:sz="4" w:space="0" w:color="auto"/>
            </w:tcBorders>
            <w:shd w:val="clear" w:color="auto" w:fill="auto"/>
            <w:noWrap/>
            <w:vAlign w:val="bottom"/>
            <w:hideMark/>
          </w:tcPr>
          <w:p w14:paraId="06B5BF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056DA29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5A03662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70C841A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0DDD72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5993F2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1BC416F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4CB3067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0.008</w:t>
            </w:r>
          </w:p>
        </w:tc>
        <w:tc>
          <w:tcPr>
            <w:tcW w:w="592" w:type="pct"/>
            <w:tcBorders>
              <w:top w:val="nil"/>
              <w:left w:val="nil"/>
              <w:bottom w:val="single" w:sz="4" w:space="0" w:color="auto"/>
              <w:right w:val="single" w:sz="4" w:space="0" w:color="auto"/>
            </w:tcBorders>
            <w:shd w:val="clear" w:color="auto" w:fill="auto"/>
            <w:noWrap/>
            <w:vAlign w:val="bottom"/>
            <w:hideMark/>
          </w:tcPr>
          <w:p w14:paraId="0B0B9DD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0.082</w:t>
            </w:r>
          </w:p>
        </w:tc>
        <w:tc>
          <w:tcPr>
            <w:tcW w:w="481" w:type="pct"/>
            <w:tcBorders>
              <w:top w:val="nil"/>
              <w:left w:val="nil"/>
              <w:bottom w:val="single" w:sz="4" w:space="0" w:color="auto"/>
              <w:right w:val="single" w:sz="4" w:space="0" w:color="auto"/>
            </w:tcBorders>
            <w:shd w:val="clear" w:color="auto" w:fill="auto"/>
            <w:noWrap/>
            <w:vAlign w:val="bottom"/>
            <w:hideMark/>
          </w:tcPr>
          <w:p w14:paraId="57B2BA5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481" w:type="pct"/>
            <w:tcBorders>
              <w:top w:val="nil"/>
              <w:left w:val="nil"/>
              <w:bottom w:val="single" w:sz="4" w:space="0" w:color="auto"/>
              <w:right w:val="single" w:sz="4" w:space="0" w:color="auto"/>
            </w:tcBorders>
            <w:shd w:val="clear" w:color="auto" w:fill="auto"/>
            <w:noWrap/>
            <w:vAlign w:val="bottom"/>
            <w:hideMark/>
          </w:tcPr>
          <w:p w14:paraId="7EA44E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005C31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0.021</w:t>
            </w:r>
          </w:p>
        </w:tc>
        <w:tc>
          <w:tcPr>
            <w:tcW w:w="481" w:type="pct"/>
            <w:tcBorders>
              <w:top w:val="nil"/>
              <w:left w:val="nil"/>
              <w:bottom w:val="single" w:sz="4" w:space="0" w:color="auto"/>
              <w:right w:val="single" w:sz="4" w:space="0" w:color="auto"/>
            </w:tcBorders>
            <w:shd w:val="clear" w:color="auto" w:fill="auto"/>
            <w:noWrap/>
            <w:vAlign w:val="bottom"/>
            <w:hideMark/>
          </w:tcPr>
          <w:p w14:paraId="6BEFFCF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470CFE65"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4D8ACB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609BAA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4ED6AA4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C4E660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592" w:type="pct"/>
            <w:tcBorders>
              <w:top w:val="nil"/>
              <w:left w:val="nil"/>
              <w:bottom w:val="single" w:sz="4" w:space="0" w:color="auto"/>
              <w:right w:val="single" w:sz="4" w:space="0" w:color="auto"/>
            </w:tcBorders>
            <w:shd w:val="clear" w:color="auto" w:fill="auto"/>
            <w:noWrap/>
            <w:vAlign w:val="bottom"/>
            <w:hideMark/>
          </w:tcPr>
          <w:p w14:paraId="06AD731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0.086</w:t>
            </w:r>
          </w:p>
        </w:tc>
        <w:tc>
          <w:tcPr>
            <w:tcW w:w="481" w:type="pct"/>
            <w:tcBorders>
              <w:top w:val="nil"/>
              <w:left w:val="nil"/>
              <w:bottom w:val="single" w:sz="4" w:space="0" w:color="auto"/>
              <w:right w:val="single" w:sz="4" w:space="0" w:color="auto"/>
            </w:tcBorders>
            <w:shd w:val="clear" w:color="auto" w:fill="auto"/>
            <w:noWrap/>
            <w:vAlign w:val="bottom"/>
            <w:hideMark/>
          </w:tcPr>
          <w:p w14:paraId="4724EA9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c>
          <w:tcPr>
            <w:tcW w:w="481" w:type="pct"/>
            <w:tcBorders>
              <w:top w:val="nil"/>
              <w:left w:val="nil"/>
              <w:bottom w:val="single" w:sz="4" w:space="0" w:color="auto"/>
              <w:right w:val="single" w:sz="4" w:space="0" w:color="auto"/>
            </w:tcBorders>
            <w:shd w:val="clear" w:color="auto" w:fill="auto"/>
            <w:noWrap/>
            <w:vAlign w:val="bottom"/>
            <w:hideMark/>
          </w:tcPr>
          <w:p w14:paraId="6E483CE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645658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0.013</w:t>
            </w:r>
          </w:p>
        </w:tc>
        <w:tc>
          <w:tcPr>
            <w:tcW w:w="481" w:type="pct"/>
            <w:tcBorders>
              <w:top w:val="nil"/>
              <w:left w:val="nil"/>
              <w:bottom w:val="single" w:sz="4" w:space="0" w:color="auto"/>
              <w:right w:val="single" w:sz="4" w:space="0" w:color="auto"/>
            </w:tcBorders>
            <w:shd w:val="clear" w:color="auto" w:fill="auto"/>
            <w:noWrap/>
            <w:vAlign w:val="bottom"/>
            <w:hideMark/>
          </w:tcPr>
          <w:p w14:paraId="5F89DDC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56D3D295"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588834E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7C6204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tcPr>
          <w:p w14:paraId="5757E98E"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62A7C3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592" w:type="pct"/>
            <w:tcBorders>
              <w:top w:val="nil"/>
              <w:left w:val="nil"/>
              <w:bottom w:val="single" w:sz="4" w:space="0" w:color="auto"/>
              <w:right w:val="single" w:sz="4" w:space="0" w:color="auto"/>
            </w:tcBorders>
            <w:shd w:val="clear" w:color="auto" w:fill="auto"/>
            <w:noWrap/>
            <w:vAlign w:val="bottom"/>
            <w:hideMark/>
          </w:tcPr>
          <w:p w14:paraId="59011A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0.064</w:t>
            </w:r>
          </w:p>
        </w:tc>
        <w:tc>
          <w:tcPr>
            <w:tcW w:w="481" w:type="pct"/>
            <w:tcBorders>
              <w:top w:val="nil"/>
              <w:left w:val="nil"/>
              <w:bottom w:val="single" w:sz="4" w:space="0" w:color="auto"/>
              <w:right w:val="single" w:sz="4" w:space="0" w:color="auto"/>
            </w:tcBorders>
            <w:shd w:val="clear" w:color="auto" w:fill="auto"/>
            <w:noWrap/>
            <w:vAlign w:val="bottom"/>
            <w:hideMark/>
          </w:tcPr>
          <w:p w14:paraId="1A6045D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0.090</w:t>
            </w:r>
          </w:p>
        </w:tc>
        <w:tc>
          <w:tcPr>
            <w:tcW w:w="481" w:type="pct"/>
            <w:tcBorders>
              <w:top w:val="nil"/>
              <w:left w:val="nil"/>
              <w:bottom w:val="single" w:sz="4" w:space="0" w:color="auto"/>
              <w:right w:val="single" w:sz="4" w:space="0" w:color="auto"/>
            </w:tcBorders>
            <w:shd w:val="clear" w:color="auto" w:fill="auto"/>
            <w:noWrap/>
            <w:vAlign w:val="bottom"/>
            <w:hideMark/>
          </w:tcPr>
          <w:p w14:paraId="7A63BB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0.043</w:t>
            </w:r>
          </w:p>
        </w:tc>
        <w:tc>
          <w:tcPr>
            <w:tcW w:w="481" w:type="pct"/>
            <w:tcBorders>
              <w:top w:val="nil"/>
              <w:left w:val="nil"/>
              <w:bottom w:val="single" w:sz="4" w:space="0" w:color="auto"/>
              <w:right w:val="single" w:sz="4" w:space="0" w:color="auto"/>
            </w:tcBorders>
            <w:shd w:val="clear" w:color="auto" w:fill="auto"/>
            <w:noWrap/>
            <w:vAlign w:val="bottom"/>
            <w:hideMark/>
          </w:tcPr>
          <w:p w14:paraId="5F2181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0.049</w:t>
            </w:r>
          </w:p>
        </w:tc>
        <w:tc>
          <w:tcPr>
            <w:tcW w:w="481" w:type="pct"/>
            <w:tcBorders>
              <w:top w:val="nil"/>
              <w:left w:val="nil"/>
              <w:bottom w:val="single" w:sz="4" w:space="0" w:color="auto"/>
              <w:right w:val="single" w:sz="4" w:space="0" w:color="auto"/>
            </w:tcBorders>
            <w:shd w:val="clear" w:color="auto" w:fill="auto"/>
            <w:noWrap/>
            <w:vAlign w:val="bottom"/>
            <w:hideMark/>
          </w:tcPr>
          <w:p w14:paraId="23823FB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0.023</w:t>
            </w:r>
          </w:p>
        </w:tc>
      </w:tr>
      <w:tr w:rsidR="00865A69" w:rsidRPr="00232757" w14:paraId="7218CB5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7427C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6CA7EF4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tcPr>
          <w:p w14:paraId="0192D441"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78E57F4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592" w:type="pct"/>
            <w:tcBorders>
              <w:top w:val="nil"/>
              <w:left w:val="nil"/>
              <w:bottom w:val="single" w:sz="4" w:space="0" w:color="auto"/>
              <w:right w:val="single" w:sz="4" w:space="0" w:color="auto"/>
            </w:tcBorders>
            <w:shd w:val="clear" w:color="auto" w:fill="auto"/>
            <w:noWrap/>
            <w:vAlign w:val="bottom"/>
            <w:hideMark/>
          </w:tcPr>
          <w:p w14:paraId="1750B3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0.069</w:t>
            </w:r>
          </w:p>
        </w:tc>
        <w:tc>
          <w:tcPr>
            <w:tcW w:w="481" w:type="pct"/>
            <w:tcBorders>
              <w:top w:val="nil"/>
              <w:left w:val="nil"/>
              <w:bottom w:val="single" w:sz="4" w:space="0" w:color="auto"/>
              <w:right w:val="single" w:sz="4" w:space="0" w:color="auto"/>
            </w:tcBorders>
            <w:shd w:val="clear" w:color="auto" w:fill="auto"/>
            <w:noWrap/>
            <w:vAlign w:val="bottom"/>
            <w:hideMark/>
          </w:tcPr>
          <w:p w14:paraId="0E00C39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0.082</w:t>
            </w:r>
          </w:p>
        </w:tc>
        <w:tc>
          <w:tcPr>
            <w:tcW w:w="481" w:type="pct"/>
            <w:tcBorders>
              <w:top w:val="nil"/>
              <w:left w:val="nil"/>
              <w:bottom w:val="single" w:sz="4" w:space="0" w:color="auto"/>
              <w:right w:val="single" w:sz="4" w:space="0" w:color="auto"/>
            </w:tcBorders>
            <w:shd w:val="clear" w:color="auto" w:fill="auto"/>
            <w:noWrap/>
            <w:vAlign w:val="bottom"/>
            <w:hideMark/>
          </w:tcPr>
          <w:p w14:paraId="4E5CC4B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0.047</w:t>
            </w:r>
          </w:p>
        </w:tc>
        <w:tc>
          <w:tcPr>
            <w:tcW w:w="481" w:type="pct"/>
            <w:tcBorders>
              <w:top w:val="nil"/>
              <w:left w:val="nil"/>
              <w:bottom w:val="single" w:sz="4" w:space="0" w:color="auto"/>
              <w:right w:val="single" w:sz="4" w:space="0" w:color="auto"/>
            </w:tcBorders>
            <w:shd w:val="clear" w:color="auto" w:fill="auto"/>
            <w:noWrap/>
            <w:vAlign w:val="bottom"/>
            <w:hideMark/>
          </w:tcPr>
          <w:p w14:paraId="57F344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0.050</w:t>
            </w:r>
          </w:p>
        </w:tc>
        <w:tc>
          <w:tcPr>
            <w:tcW w:w="481" w:type="pct"/>
            <w:tcBorders>
              <w:top w:val="nil"/>
              <w:left w:val="nil"/>
              <w:bottom w:val="single" w:sz="4" w:space="0" w:color="auto"/>
              <w:right w:val="single" w:sz="4" w:space="0" w:color="auto"/>
            </w:tcBorders>
            <w:shd w:val="clear" w:color="auto" w:fill="auto"/>
            <w:noWrap/>
            <w:vAlign w:val="bottom"/>
            <w:hideMark/>
          </w:tcPr>
          <w:p w14:paraId="2AA409C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0.020</w:t>
            </w:r>
          </w:p>
        </w:tc>
      </w:tr>
      <w:tr w:rsidR="00865A69" w:rsidRPr="00232757" w14:paraId="7559953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C3CFE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0AF97C5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tcPr>
          <w:p w14:paraId="20238F77"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0F437F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592" w:type="pct"/>
            <w:tcBorders>
              <w:top w:val="nil"/>
              <w:left w:val="nil"/>
              <w:bottom w:val="single" w:sz="4" w:space="0" w:color="auto"/>
              <w:right w:val="single" w:sz="4" w:space="0" w:color="auto"/>
            </w:tcBorders>
            <w:shd w:val="clear" w:color="auto" w:fill="auto"/>
            <w:noWrap/>
            <w:vAlign w:val="bottom"/>
            <w:hideMark/>
          </w:tcPr>
          <w:p w14:paraId="2B88D97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3C0AA5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0.079</w:t>
            </w:r>
          </w:p>
        </w:tc>
        <w:tc>
          <w:tcPr>
            <w:tcW w:w="481" w:type="pct"/>
            <w:tcBorders>
              <w:top w:val="nil"/>
              <w:left w:val="nil"/>
              <w:bottom w:val="single" w:sz="4" w:space="0" w:color="auto"/>
              <w:right w:val="single" w:sz="4" w:space="0" w:color="auto"/>
            </w:tcBorders>
            <w:shd w:val="clear" w:color="auto" w:fill="auto"/>
            <w:noWrap/>
            <w:vAlign w:val="bottom"/>
            <w:hideMark/>
          </w:tcPr>
          <w:p w14:paraId="7F6BF9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481" w:type="pct"/>
            <w:tcBorders>
              <w:top w:val="nil"/>
              <w:left w:val="nil"/>
              <w:bottom w:val="single" w:sz="4" w:space="0" w:color="auto"/>
              <w:right w:val="single" w:sz="4" w:space="0" w:color="auto"/>
            </w:tcBorders>
            <w:shd w:val="clear" w:color="auto" w:fill="auto"/>
            <w:noWrap/>
            <w:vAlign w:val="bottom"/>
            <w:hideMark/>
          </w:tcPr>
          <w:p w14:paraId="6C3F8E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0.052</w:t>
            </w:r>
          </w:p>
        </w:tc>
        <w:tc>
          <w:tcPr>
            <w:tcW w:w="481" w:type="pct"/>
            <w:tcBorders>
              <w:top w:val="nil"/>
              <w:left w:val="nil"/>
              <w:bottom w:val="single" w:sz="4" w:space="0" w:color="auto"/>
              <w:right w:val="single" w:sz="4" w:space="0" w:color="auto"/>
            </w:tcBorders>
            <w:shd w:val="clear" w:color="auto" w:fill="auto"/>
            <w:noWrap/>
            <w:vAlign w:val="bottom"/>
            <w:hideMark/>
          </w:tcPr>
          <w:p w14:paraId="5D46849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r>
      <w:tr w:rsidR="00865A69" w:rsidRPr="00232757" w14:paraId="08A32D8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8BDF1D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79F47C6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tcPr>
          <w:p w14:paraId="33567D4D"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1811B7D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0.041</w:t>
            </w:r>
          </w:p>
        </w:tc>
        <w:tc>
          <w:tcPr>
            <w:tcW w:w="592" w:type="pct"/>
            <w:tcBorders>
              <w:top w:val="nil"/>
              <w:left w:val="nil"/>
              <w:bottom w:val="single" w:sz="4" w:space="0" w:color="auto"/>
              <w:right w:val="single" w:sz="4" w:space="0" w:color="auto"/>
            </w:tcBorders>
            <w:shd w:val="clear" w:color="auto" w:fill="auto"/>
            <w:noWrap/>
            <w:vAlign w:val="bottom"/>
            <w:hideMark/>
          </w:tcPr>
          <w:p w14:paraId="7AC63D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0.073</w:t>
            </w:r>
          </w:p>
        </w:tc>
        <w:tc>
          <w:tcPr>
            <w:tcW w:w="481" w:type="pct"/>
            <w:tcBorders>
              <w:top w:val="nil"/>
              <w:left w:val="nil"/>
              <w:bottom w:val="single" w:sz="4" w:space="0" w:color="auto"/>
              <w:right w:val="single" w:sz="4" w:space="0" w:color="auto"/>
            </w:tcBorders>
            <w:shd w:val="clear" w:color="auto" w:fill="auto"/>
            <w:noWrap/>
            <w:vAlign w:val="bottom"/>
            <w:hideMark/>
          </w:tcPr>
          <w:p w14:paraId="22301AC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0.094</w:t>
            </w:r>
          </w:p>
        </w:tc>
        <w:tc>
          <w:tcPr>
            <w:tcW w:w="481" w:type="pct"/>
            <w:tcBorders>
              <w:top w:val="nil"/>
              <w:left w:val="nil"/>
              <w:bottom w:val="single" w:sz="4" w:space="0" w:color="auto"/>
              <w:right w:val="single" w:sz="4" w:space="0" w:color="auto"/>
            </w:tcBorders>
            <w:shd w:val="clear" w:color="auto" w:fill="auto"/>
            <w:noWrap/>
            <w:vAlign w:val="bottom"/>
            <w:hideMark/>
          </w:tcPr>
          <w:p w14:paraId="2A8102F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0.035</w:t>
            </w:r>
          </w:p>
        </w:tc>
        <w:tc>
          <w:tcPr>
            <w:tcW w:w="481" w:type="pct"/>
            <w:tcBorders>
              <w:top w:val="nil"/>
              <w:left w:val="nil"/>
              <w:bottom w:val="single" w:sz="4" w:space="0" w:color="auto"/>
              <w:right w:val="single" w:sz="4" w:space="0" w:color="auto"/>
            </w:tcBorders>
            <w:shd w:val="clear" w:color="auto" w:fill="auto"/>
            <w:noWrap/>
            <w:vAlign w:val="bottom"/>
            <w:hideMark/>
          </w:tcPr>
          <w:p w14:paraId="325B85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7C0C8DA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0.030</w:t>
            </w:r>
          </w:p>
        </w:tc>
      </w:tr>
      <w:tr w:rsidR="00865A69" w:rsidRPr="00232757" w14:paraId="0C53EE99"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715DF8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1D2CBE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tcPr>
          <w:p w14:paraId="5894C535"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5E5E6F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592" w:type="pct"/>
            <w:tcBorders>
              <w:top w:val="nil"/>
              <w:left w:val="nil"/>
              <w:bottom w:val="single" w:sz="4" w:space="0" w:color="auto"/>
              <w:right w:val="single" w:sz="4" w:space="0" w:color="auto"/>
            </w:tcBorders>
            <w:shd w:val="clear" w:color="auto" w:fill="auto"/>
            <w:noWrap/>
            <w:vAlign w:val="bottom"/>
            <w:hideMark/>
          </w:tcPr>
          <w:p w14:paraId="67E854E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0.063</w:t>
            </w:r>
          </w:p>
        </w:tc>
        <w:tc>
          <w:tcPr>
            <w:tcW w:w="481" w:type="pct"/>
            <w:tcBorders>
              <w:top w:val="nil"/>
              <w:left w:val="nil"/>
              <w:bottom w:val="single" w:sz="4" w:space="0" w:color="auto"/>
              <w:right w:val="single" w:sz="4" w:space="0" w:color="auto"/>
            </w:tcBorders>
            <w:shd w:val="clear" w:color="auto" w:fill="auto"/>
            <w:noWrap/>
            <w:vAlign w:val="bottom"/>
            <w:hideMark/>
          </w:tcPr>
          <w:p w14:paraId="570DB56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0.035</w:t>
            </w:r>
          </w:p>
        </w:tc>
        <w:tc>
          <w:tcPr>
            <w:tcW w:w="481" w:type="pct"/>
            <w:tcBorders>
              <w:top w:val="nil"/>
              <w:left w:val="nil"/>
              <w:bottom w:val="single" w:sz="4" w:space="0" w:color="auto"/>
              <w:right w:val="single" w:sz="4" w:space="0" w:color="auto"/>
            </w:tcBorders>
            <w:shd w:val="clear" w:color="auto" w:fill="auto"/>
            <w:noWrap/>
            <w:vAlign w:val="bottom"/>
            <w:hideMark/>
          </w:tcPr>
          <w:p w14:paraId="43F4EC9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26250AD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0.059</w:t>
            </w:r>
          </w:p>
        </w:tc>
        <w:tc>
          <w:tcPr>
            <w:tcW w:w="481" w:type="pct"/>
            <w:tcBorders>
              <w:top w:val="nil"/>
              <w:left w:val="nil"/>
              <w:bottom w:val="single" w:sz="4" w:space="0" w:color="auto"/>
              <w:right w:val="single" w:sz="4" w:space="0" w:color="auto"/>
            </w:tcBorders>
            <w:shd w:val="clear" w:color="auto" w:fill="auto"/>
            <w:noWrap/>
            <w:vAlign w:val="bottom"/>
            <w:hideMark/>
          </w:tcPr>
          <w:p w14:paraId="761E87F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0.023</w:t>
            </w:r>
          </w:p>
        </w:tc>
      </w:tr>
      <w:tr w:rsidR="00865A69" w:rsidRPr="00232757" w14:paraId="51FD1E4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AF5167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776B6D2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tcPr>
          <w:p w14:paraId="6F476B86"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21F4E55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592" w:type="pct"/>
            <w:tcBorders>
              <w:top w:val="nil"/>
              <w:left w:val="nil"/>
              <w:bottom w:val="single" w:sz="4" w:space="0" w:color="auto"/>
              <w:right w:val="single" w:sz="4" w:space="0" w:color="auto"/>
            </w:tcBorders>
            <w:shd w:val="clear" w:color="auto" w:fill="auto"/>
            <w:noWrap/>
            <w:vAlign w:val="bottom"/>
            <w:hideMark/>
          </w:tcPr>
          <w:p w14:paraId="4B0F4FF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0.064</w:t>
            </w:r>
          </w:p>
        </w:tc>
        <w:tc>
          <w:tcPr>
            <w:tcW w:w="481" w:type="pct"/>
            <w:tcBorders>
              <w:top w:val="nil"/>
              <w:left w:val="nil"/>
              <w:bottom w:val="single" w:sz="4" w:space="0" w:color="auto"/>
              <w:right w:val="single" w:sz="4" w:space="0" w:color="auto"/>
            </w:tcBorders>
            <w:shd w:val="clear" w:color="auto" w:fill="auto"/>
            <w:noWrap/>
            <w:vAlign w:val="bottom"/>
            <w:hideMark/>
          </w:tcPr>
          <w:p w14:paraId="257A846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0.085</w:t>
            </w:r>
          </w:p>
        </w:tc>
        <w:tc>
          <w:tcPr>
            <w:tcW w:w="481" w:type="pct"/>
            <w:tcBorders>
              <w:top w:val="nil"/>
              <w:left w:val="nil"/>
              <w:bottom w:val="single" w:sz="4" w:space="0" w:color="auto"/>
              <w:right w:val="single" w:sz="4" w:space="0" w:color="auto"/>
            </w:tcBorders>
            <w:shd w:val="clear" w:color="auto" w:fill="auto"/>
            <w:noWrap/>
            <w:vAlign w:val="bottom"/>
            <w:hideMark/>
          </w:tcPr>
          <w:p w14:paraId="6836319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0.066</w:t>
            </w:r>
          </w:p>
        </w:tc>
        <w:tc>
          <w:tcPr>
            <w:tcW w:w="481" w:type="pct"/>
            <w:tcBorders>
              <w:top w:val="nil"/>
              <w:left w:val="nil"/>
              <w:bottom w:val="single" w:sz="4" w:space="0" w:color="auto"/>
              <w:right w:val="single" w:sz="4" w:space="0" w:color="auto"/>
            </w:tcBorders>
            <w:shd w:val="clear" w:color="auto" w:fill="auto"/>
            <w:noWrap/>
            <w:vAlign w:val="bottom"/>
            <w:hideMark/>
          </w:tcPr>
          <w:p w14:paraId="021872D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0.057</w:t>
            </w:r>
          </w:p>
        </w:tc>
        <w:tc>
          <w:tcPr>
            <w:tcW w:w="481" w:type="pct"/>
            <w:tcBorders>
              <w:top w:val="nil"/>
              <w:left w:val="nil"/>
              <w:bottom w:val="single" w:sz="4" w:space="0" w:color="auto"/>
              <w:right w:val="single" w:sz="4" w:space="0" w:color="auto"/>
            </w:tcBorders>
            <w:shd w:val="clear" w:color="auto" w:fill="auto"/>
            <w:noWrap/>
            <w:vAlign w:val="bottom"/>
            <w:hideMark/>
          </w:tcPr>
          <w:p w14:paraId="7EF9D8B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0.031</w:t>
            </w:r>
          </w:p>
        </w:tc>
      </w:tr>
      <w:tr w:rsidR="00865A69" w:rsidRPr="00232757" w14:paraId="35519D76"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67EB91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768FB5D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tcPr>
          <w:p w14:paraId="0240F213"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109370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0.022</w:t>
            </w:r>
          </w:p>
        </w:tc>
        <w:tc>
          <w:tcPr>
            <w:tcW w:w="592" w:type="pct"/>
            <w:tcBorders>
              <w:top w:val="nil"/>
              <w:left w:val="nil"/>
              <w:bottom w:val="single" w:sz="4" w:space="0" w:color="auto"/>
              <w:right w:val="single" w:sz="4" w:space="0" w:color="auto"/>
            </w:tcBorders>
            <w:shd w:val="clear" w:color="auto" w:fill="auto"/>
            <w:noWrap/>
            <w:vAlign w:val="bottom"/>
            <w:hideMark/>
          </w:tcPr>
          <w:p w14:paraId="033FC3C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0.070</w:t>
            </w:r>
          </w:p>
        </w:tc>
        <w:tc>
          <w:tcPr>
            <w:tcW w:w="481" w:type="pct"/>
            <w:tcBorders>
              <w:top w:val="nil"/>
              <w:left w:val="nil"/>
              <w:bottom w:val="single" w:sz="4" w:space="0" w:color="auto"/>
              <w:right w:val="single" w:sz="4" w:space="0" w:color="auto"/>
            </w:tcBorders>
            <w:shd w:val="clear" w:color="auto" w:fill="auto"/>
            <w:noWrap/>
            <w:vAlign w:val="bottom"/>
            <w:hideMark/>
          </w:tcPr>
          <w:p w14:paraId="4046743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0.040</w:t>
            </w:r>
          </w:p>
        </w:tc>
        <w:tc>
          <w:tcPr>
            <w:tcW w:w="481" w:type="pct"/>
            <w:tcBorders>
              <w:top w:val="nil"/>
              <w:left w:val="nil"/>
              <w:bottom w:val="single" w:sz="4" w:space="0" w:color="auto"/>
              <w:right w:val="single" w:sz="4" w:space="0" w:color="auto"/>
            </w:tcBorders>
            <w:shd w:val="clear" w:color="auto" w:fill="auto"/>
            <w:noWrap/>
            <w:vAlign w:val="bottom"/>
            <w:hideMark/>
          </w:tcPr>
          <w:p w14:paraId="69E57AC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481" w:type="pct"/>
            <w:tcBorders>
              <w:top w:val="nil"/>
              <w:left w:val="nil"/>
              <w:bottom w:val="single" w:sz="4" w:space="0" w:color="auto"/>
              <w:right w:val="single" w:sz="4" w:space="0" w:color="auto"/>
            </w:tcBorders>
            <w:shd w:val="clear" w:color="auto" w:fill="auto"/>
            <w:noWrap/>
            <w:vAlign w:val="bottom"/>
            <w:hideMark/>
          </w:tcPr>
          <w:p w14:paraId="23A3635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0.036</w:t>
            </w:r>
          </w:p>
        </w:tc>
        <w:tc>
          <w:tcPr>
            <w:tcW w:w="481" w:type="pct"/>
            <w:tcBorders>
              <w:top w:val="nil"/>
              <w:left w:val="nil"/>
              <w:bottom w:val="single" w:sz="4" w:space="0" w:color="auto"/>
              <w:right w:val="single" w:sz="4" w:space="0" w:color="auto"/>
            </w:tcBorders>
            <w:shd w:val="clear" w:color="auto" w:fill="auto"/>
            <w:noWrap/>
            <w:vAlign w:val="bottom"/>
            <w:hideMark/>
          </w:tcPr>
          <w:p w14:paraId="4E267B3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0.017</w:t>
            </w:r>
          </w:p>
        </w:tc>
      </w:tr>
      <w:tr w:rsidR="00865A69" w:rsidRPr="00232757" w14:paraId="7EDF41BA"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7127F5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3BAC5E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tcPr>
          <w:p w14:paraId="5EA33DC6"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3785BA7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0.033</w:t>
            </w:r>
          </w:p>
        </w:tc>
        <w:tc>
          <w:tcPr>
            <w:tcW w:w="592" w:type="pct"/>
            <w:tcBorders>
              <w:top w:val="nil"/>
              <w:left w:val="nil"/>
              <w:bottom w:val="single" w:sz="4" w:space="0" w:color="auto"/>
              <w:right w:val="single" w:sz="4" w:space="0" w:color="auto"/>
            </w:tcBorders>
            <w:shd w:val="clear" w:color="auto" w:fill="auto"/>
            <w:noWrap/>
            <w:vAlign w:val="bottom"/>
            <w:hideMark/>
          </w:tcPr>
          <w:p w14:paraId="204EF91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0.072</w:t>
            </w:r>
          </w:p>
        </w:tc>
        <w:tc>
          <w:tcPr>
            <w:tcW w:w="481" w:type="pct"/>
            <w:tcBorders>
              <w:top w:val="nil"/>
              <w:left w:val="nil"/>
              <w:bottom w:val="single" w:sz="4" w:space="0" w:color="auto"/>
              <w:right w:val="single" w:sz="4" w:space="0" w:color="auto"/>
            </w:tcBorders>
            <w:shd w:val="clear" w:color="auto" w:fill="auto"/>
            <w:noWrap/>
            <w:vAlign w:val="bottom"/>
            <w:hideMark/>
          </w:tcPr>
          <w:p w14:paraId="10B5BD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481" w:type="pct"/>
            <w:tcBorders>
              <w:top w:val="nil"/>
              <w:left w:val="nil"/>
              <w:bottom w:val="single" w:sz="4" w:space="0" w:color="auto"/>
              <w:right w:val="single" w:sz="4" w:space="0" w:color="auto"/>
            </w:tcBorders>
            <w:shd w:val="clear" w:color="auto" w:fill="auto"/>
            <w:noWrap/>
            <w:vAlign w:val="bottom"/>
            <w:hideMark/>
          </w:tcPr>
          <w:p w14:paraId="27336D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0.055</w:t>
            </w:r>
          </w:p>
        </w:tc>
        <w:tc>
          <w:tcPr>
            <w:tcW w:w="481" w:type="pct"/>
            <w:tcBorders>
              <w:top w:val="nil"/>
              <w:left w:val="nil"/>
              <w:bottom w:val="single" w:sz="4" w:space="0" w:color="auto"/>
              <w:right w:val="single" w:sz="4" w:space="0" w:color="auto"/>
            </w:tcBorders>
            <w:shd w:val="clear" w:color="auto" w:fill="auto"/>
            <w:noWrap/>
            <w:vAlign w:val="bottom"/>
            <w:hideMark/>
          </w:tcPr>
          <w:p w14:paraId="7AEC7E1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5DAE32C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0.029</w:t>
            </w:r>
          </w:p>
        </w:tc>
      </w:tr>
    </w:tbl>
    <w:p w14:paraId="5108D29C" w14:textId="77777777" w:rsidR="001D393F" w:rsidRDefault="001D393F" w:rsidP="00865A69">
      <w:pPr>
        <w:widowControl w:val="0"/>
        <w:spacing w:after="120" w:line="21" w:lineRule="atLeast"/>
        <w:rPr>
          <w:rFonts w:ascii="Cambria" w:hAnsi="Cambria"/>
        </w:rPr>
      </w:pPr>
    </w:p>
    <w:p w14:paraId="7DEF9D2D" w14:textId="0B022D53" w:rsidR="00865A69" w:rsidRDefault="00865A69" w:rsidP="00865A69">
      <w:pPr>
        <w:widowControl w:val="0"/>
        <w:spacing w:after="120" w:line="21" w:lineRule="atLeast"/>
        <w:rPr>
          <w:rFonts w:ascii="Cambria" w:hAnsi="Cambria"/>
        </w:rPr>
      </w:pPr>
      <w:r w:rsidRPr="00395BE0">
        <w:rPr>
          <w:rFonts w:ascii="Cambria" w:hAnsi="Cambria"/>
        </w:rPr>
        <w:t xml:space="preserve">Once schools are selected and recruited, students enrolled in grade </w:t>
      </w:r>
      <w:r>
        <w:rPr>
          <w:rFonts w:ascii="Cambria" w:hAnsi="Cambria"/>
        </w:rPr>
        <w:t>9</w:t>
      </w:r>
      <w:r w:rsidRPr="00395BE0">
        <w:rPr>
          <w:rFonts w:ascii="Cambria" w:hAnsi="Cambria"/>
        </w:rPr>
        <w:t xml:space="preserve"> will be selected from student rosters that schools </w:t>
      </w:r>
      <w:r>
        <w:rPr>
          <w:rFonts w:ascii="Cambria" w:hAnsi="Cambria"/>
        </w:rPr>
        <w:t xml:space="preserve">or school districts </w:t>
      </w:r>
      <w:r w:rsidRPr="00395BE0">
        <w:rPr>
          <w:rFonts w:ascii="Cambria" w:hAnsi="Cambria"/>
        </w:rPr>
        <w:t xml:space="preserve">will be asked to provide. </w:t>
      </w:r>
      <w:r w:rsidR="00E37CEB">
        <w:rPr>
          <w:rFonts w:ascii="Cambria" w:hAnsi="Cambria"/>
        </w:rPr>
        <w:t xml:space="preserve">Whether the school or school district provides the information will be decided by the school or school district. </w:t>
      </w:r>
      <w:r w:rsidRPr="00395BE0">
        <w:rPr>
          <w:rFonts w:ascii="Cambria" w:hAnsi="Cambria"/>
        </w:rPr>
        <w:t xml:space="preserve">The student sample sizes were determined by the requirement that at least </w:t>
      </w:r>
      <w:r>
        <w:rPr>
          <w:rFonts w:ascii="Cambria" w:hAnsi="Cambria"/>
        </w:rPr>
        <w:t>1,708</w:t>
      </w:r>
      <w:r w:rsidRPr="00395BE0">
        <w:rPr>
          <w:rFonts w:ascii="Cambria" w:hAnsi="Cambria"/>
        </w:rPr>
        <w:t xml:space="preserve"> students in each of the </w:t>
      </w:r>
      <w:r>
        <w:rPr>
          <w:rFonts w:ascii="Cambria" w:hAnsi="Cambria"/>
        </w:rPr>
        <w:t>five</w:t>
      </w:r>
      <w:r w:rsidRPr="00395BE0">
        <w:rPr>
          <w:rFonts w:ascii="Cambria" w:hAnsi="Cambria"/>
        </w:rPr>
        <w:t xml:space="preserve"> student domains</w:t>
      </w:r>
      <w:r w:rsidRPr="00395BE0">
        <w:rPr>
          <w:rStyle w:val="FootnoteReference"/>
          <w:rFonts w:ascii="Cambria" w:hAnsi="Cambria"/>
          <w:sz w:val="22"/>
        </w:rPr>
        <w:footnoteReference w:id="9"/>
      </w:r>
      <w:r w:rsidRPr="00395BE0">
        <w:rPr>
          <w:rFonts w:ascii="Cambria" w:hAnsi="Cambria"/>
        </w:rPr>
        <w:t xml:space="preserve"> participate in </w:t>
      </w:r>
      <w:r>
        <w:rPr>
          <w:rFonts w:ascii="Cambria" w:hAnsi="Cambria"/>
        </w:rPr>
        <w:t xml:space="preserve">a second </w:t>
      </w:r>
      <w:r w:rsidRPr="00395BE0">
        <w:rPr>
          <w:rFonts w:ascii="Cambria" w:hAnsi="Cambria"/>
        </w:rPr>
        <w:t xml:space="preserve">follow-up of </w:t>
      </w:r>
      <w:r>
        <w:rPr>
          <w:rFonts w:ascii="Cambria" w:hAnsi="Cambria"/>
        </w:rPr>
        <w:t>HS&amp;B:20</w:t>
      </w:r>
      <w:r w:rsidRPr="00395BE0">
        <w:rPr>
          <w:rFonts w:ascii="Cambria" w:hAnsi="Cambria"/>
        </w:rPr>
        <w:t>.</w:t>
      </w:r>
      <w:r>
        <w:rPr>
          <w:rFonts w:ascii="Cambria" w:hAnsi="Cambria"/>
        </w:rPr>
        <w:t xml:space="preserve"> </w:t>
      </w:r>
      <w:r w:rsidRPr="00395BE0">
        <w:rPr>
          <w:rFonts w:ascii="Cambria" w:hAnsi="Cambria"/>
        </w:rPr>
        <w:t xml:space="preserve">The </w:t>
      </w:r>
      <w:r>
        <w:rPr>
          <w:rFonts w:ascii="Cambria" w:hAnsi="Cambria"/>
        </w:rPr>
        <w:t>1,708</w:t>
      </w:r>
      <w:r w:rsidRPr="00395BE0">
        <w:rPr>
          <w:rFonts w:ascii="Cambria" w:hAnsi="Cambria"/>
        </w:rPr>
        <w:t xml:space="preserve"> requirement was determined by evaluating the minimum required sample size that would be able to measure a relative change of </w:t>
      </w:r>
      <w:r>
        <w:rPr>
          <w:rFonts w:ascii="Cambria" w:hAnsi="Cambria"/>
        </w:rPr>
        <w:t>15</w:t>
      </w:r>
      <w:r w:rsidRPr="00395BE0">
        <w:rPr>
          <w:rFonts w:ascii="Cambria" w:hAnsi="Cambria"/>
        </w:rPr>
        <w:t xml:space="preserve"> percent in proportions between </w:t>
      </w:r>
      <w:r>
        <w:rPr>
          <w:rFonts w:ascii="Cambria" w:hAnsi="Cambria"/>
        </w:rPr>
        <w:t xml:space="preserve">the first- and second follow-up for students in the twelfth-grade as of the first follow-up. </w:t>
      </w:r>
      <w:r w:rsidR="00954D3A">
        <w:rPr>
          <w:rFonts w:ascii="Cambria" w:hAnsi="Cambria"/>
        </w:rPr>
        <w:t>Students in twelfth grade during the first follow-up, both those who were in the sample in ninth grade and those who were added through freshening in twelfth grade, form the twelfth-grade</w:t>
      </w:r>
      <w:r w:rsidR="00FC1C86">
        <w:rPr>
          <w:rFonts w:ascii="Cambria" w:hAnsi="Cambria"/>
        </w:rPr>
        <w:t xml:space="preserve"> </w:t>
      </w:r>
      <w:r w:rsidR="00954D3A">
        <w:rPr>
          <w:rFonts w:ascii="Cambria" w:hAnsi="Cambria"/>
        </w:rPr>
        <w:t>cohort.</w:t>
      </w:r>
      <w:r w:rsidR="00222B62">
        <w:rPr>
          <w:rStyle w:val="FootnoteReference"/>
        </w:rPr>
        <w:footnoteReference w:id="10"/>
      </w:r>
      <w:r w:rsidR="004E6EBB">
        <w:rPr>
          <w:rFonts w:ascii="Cambria" w:hAnsi="Cambria"/>
        </w:rPr>
        <w:t xml:space="preserve"> </w:t>
      </w:r>
      <w:r>
        <w:rPr>
          <w:rFonts w:ascii="Cambria" w:hAnsi="Cambria"/>
        </w:rPr>
        <w:t xml:space="preserve">Setting the minimum sample size required to achieve 1,708 participating students in the </w:t>
      </w:r>
      <w:r w:rsidR="00DA1436">
        <w:rPr>
          <w:rFonts w:ascii="Cambria" w:hAnsi="Cambria"/>
        </w:rPr>
        <w:t>twelfth</w:t>
      </w:r>
      <w:r>
        <w:rPr>
          <w:rFonts w:ascii="Cambria" w:hAnsi="Cambria"/>
        </w:rPr>
        <w:t xml:space="preserve">-grade cohort as of a second follow-up also ensures that the number of participating students in the second follow-up who were in the </w:t>
      </w:r>
      <w:r w:rsidR="00DA1436">
        <w:rPr>
          <w:rFonts w:ascii="Cambria" w:hAnsi="Cambria"/>
        </w:rPr>
        <w:t>ninth-</w:t>
      </w:r>
      <w:r>
        <w:rPr>
          <w:rFonts w:ascii="Cambria" w:hAnsi="Cambria"/>
        </w:rPr>
        <w:t>grade in the base</w:t>
      </w:r>
      <w:r w:rsidR="00494A9F">
        <w:rPr>
          <w:rFonts w:ascii="Cambria" w:hAnsi="Cambria"/>
        </w:rPr>
        <w:t xml:space="preserve"> </w:t>
      </w:r>
      <w:r>
        <w:rPr>
          <w:rFonts w:ascii="Cambria" w:hAnsi="Cambria"/>
        </w:rPr>
        <w:t>year will exceed 1,708</w:t>
      </w:r>
      <w:r w:rsidR="00494A9F">
        <w:rPr>
          <w:rFonts w:ascii="Cambria" w:hAnsi="Cambria"/>
        </w:rPr>
        <w:t>.</w:t>
      </w:r>
      <w:r>
        <w:rPr>
          <w:rStyle w:val="FootnoteReference"/>
        </w:rPr>
        <w:footnoteReference w:id="11"/>
      </w:r>
      <w:r w:rsidR="001D393F">
        <w:rPr>
          <w:rFonts w:ascii="Cambria" w:hAnsi="Cambria"/>
        </w:rPr>
        <w:t xml:space="preserve"> </w:t>
      </w:r>
      <w:r w:rsidRPr="00395BE0">
        <w:rPr>
          <w:rFonts w:ascii="Cambria" w:hAnsi="Cambria"/>
        </w:rPr>
        <w:t>Several assumptions were used to conduct this evaluation, as noted below.</w:t>
      </w:r>
    </w:p>
    <w:p w14:paraId="6C6DB843"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AE3B45">
        <w:rPr>
          <w:rFonts w:asciiTheme="majorHAnsi" w:eastAsiaTheme="minorHAnsi" w:hAnsiTheme="majorHAnsi"/>
          <w:sz w:val="22"/>
          <w:szCs w:val="22"/>
        </w:rPr>
        <w:t>Two-tailed tests</w:t>
      </w:r>
      <w:r w:rsidRPr="00C030AE">
        <w:rPr>
          <w:rFonts w:asciiTheme="majorHAnsi" w:eastAsiaTheme="minorHAnsi" w:hAnsiTheme="majorHAnsi"/>
          <w:sz w:val="22"/>
          <w:szCs w:val="22"/>
        </w:rPr>
        <w:t xml:space="preserve"> with significance of alpha = 0.05 were used to test differences between means and proportions with required power of 80 percent.</w:t>
      </w:r>
    </w:p>
    <w:p w14:paraId="4842D85A"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772D1D5"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w:t>
      </w:r>
      <w:r>
        <w:rPr>
          <w:rFonts w:asciiTheme="majorHAnsi" w:eastAsiaTheme="minorHAnsi" w:hAnsiTheme="majorHAnsi"/>
          <w:sz w:val="22"/>
          <w:szCs w:val="22"/>
        </w:rPr>
        <w:t>5</w:t>
      </w:r>
      <w:r w:rsidRPr="00C030AE">
        <w:rPr>
          <w:rFonts w:asciiTheme="majorHAnsi" w:eastAsiaTheme="minorHAnsi" w:hAnsiTheme="majorHAnsi"/>
          <w:sz w:val="22"/>
          <w:szCs w:val="22"/>
        </w:rPr>
        <w:t>.</w:t>
      </w:r>
    </w:p>
    <w:p w14:paraId="1AE8A9C1" w14:textId="77777777" w:rsidR="00865A69" w:rsidRPr="00C030AE" w:rsidRDefault="00865A69" w:rsidP="00865A69">
      <w:pPr>
        <w:pStyle w:val="ListBullet"/>
        <w:widowControl w:val="0"/>
        <w:spacing w:before="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6AC50EA1" w14:textId="77777777" w:rsidR="00865A69" w:rsidRDefault="00865A69" w:rsidP="00865A69">
      <w:pPr>
        <w:widowControl w:val="0"/>
        <w:spacing w:after="120" w:line="21" w:lineRule="atLeast"/>
      </w:pPr>
      <w:r>
        <w:t>McNemar’s test using Connor’s approximation was used to determine the minimum sample size needed to meet the precision requirement under the previously stated assumptions. The Proc Power procedure available in SAS software</w:t>
      </w:r>
      <w:r>
        <w:rPr>
          <w:rStyle w:val="FootnoteReference"/>
        </w:rPr>
        <w:footnoteReference w:id="12"/>
      </w:r>
      <w:r>
        <w:t xml:space="preserve"> was used to determine the minimum sample size.</w:t>
      </w:r>
    </w:p>
    <w:p w14:paraId="24CF1533" w14:textId="77777777" w:rsidR="00865A69" w:rsidRDefault="00865A69" w:rsidP="00865A69">
      <w:pPr>
        <w:widowControl w:val="0"/>
        <w:spacing w:after="120" w:line="21" w:lineRule="atLeast"/>
      </w:pPr>
      <w:r>
        <w:t>Sample sizes were also established for three other student domains: students attending virtual schools, students attending charter schools, and students attending magnet schools. The minimum sample sizes used for these three student domains were established by using all but one of the same assumptions and requirements as were used for five student race/ethnicity domains. The requirement to measure a relative change of 15 percent in proportions between a first- and second follow-up for students in the twelfth-grade as of the first follow-up was changed to require the ability to measure a 20 percent change in proportions. Under this modified requirement, a minimum of 978 participating students are required as of the end of a second follow-up for students in these three types of public-schools.</w:t>
      </w:r>
    </w:p>
    <w:p w14:paraId="75473364" w14:textId="77777777" w:rsidR="00FC1C86" w:rsidRDefault="00865A69" w:rsidP="00865A69">
      <w:pPr>
        <w:widowControl w:val="0"/>
        <w:spacing w:after="120" w:line="21" w:lineRule="atLeast"/>
      </w:pPr>
      <w:r>
        <w:t xml:space="preserve">The minimum number of students to sample from each of the five student categories and three public-school domains in the BYFS to achieve 1,708 participating students in each of the five student race/ethnicity domains and to achieve 978 participating students in the three public-school domains for the twelfth-grade cohort as of a second follow-up, along with the </w:t>
      </w:r>
      <w:r w:rsidRPr="000B6914">
        <w:t>assumptions</w:t>
      </w:r>
      <w:r>
        <w:t xml:space="preserve"> used to derive those numbers, are provided in table 5.</w:t>
      </w:r>
      <w:r w:rsidR="00FC1C86">
        <w:t xml:space="preserve"> </w:t>
      </w:r>
      <w:r w:rsidR="00D544D8">
        <w:t xml:space="preserve">The assumptions in Tables 5 and 6 are supported and motivated by previous work on HSLS:09. </w:t>
      </w:r>
      <w:r>
        <w:t>The numbers reported in table 5 show, for example, that if 3,500 Hispanic students are sampled in grade 9 then approximately 1,708 will respond in the base</w:t>
      </w:r>
      <w:r w:rsidR="00494A9F">
        <w:t xml:space="preserve"> </w:t>
      </w:r>
      <w:r>
        <w:t xml:space="preserve">year, enter </w:t>
      </w:r>
      <w:r w:rsidR="00DA1436">
        <w:t>grade 12</w:t>
      </w:r>
      <w:r>
        <w:t xml:space="preserve"> in 2024, and respond in both the first- and second-follow-up</w:t>
      </w:r>
      <w:r w:rsidR="00494A9F">
        <w:t>s</w:t>
      </w:r>
      <w:r>
        <w:t>.</w:t>
      </w:r>
    </w:p>
    <w:p w14:paraId="4D0D9E12" w14:textId="36C9C2E9" w:rsidR="001D393F" w:rsidRPr="00535905" w:rsidRDefault="001D393F" w:rsidP="00535905">
      <w:pPr>
        <w:widowControl w:val="0"/>
        <w:spacing w:after="120" w:line="21" w:lineRule="atLeast"/>
      </w:pPr>
      <w:r>
        <w:t xml:space="preserve">As can be seen in table 6, if the minimum sample sizes reported in table 5 are used in the BYFS, the estimated numbers of participating students among the BYFS ninth-grade cohort as of a second follow-up exceed the minimum numbers of required participating students of 1,708 and 978, for the five student race/ethnicity domains and three public-school type domains, respectively. The numbers reported in table 6 show, for example, that if 3,500 Hispanic students are sampled in grade 9 then approximately 1,847 will respond </w:t>
      </w:r>
      <w:r w:rsidR="00D544D8">
        <w:t>in the base year as well as in both the first- and second-follow-ups</w:t>
      </w:r>
      <w:r w:rsidR="004B1899">
        <w:t xml:space="preserve"> (regardless of what grade they enter in 2024).</w:t>
      </w:r>
    </w:p>
    <w:p w14:paraId="0E968A6D" w14:textId="3FE19B3F" w:rsidR="00865A69" w:rsidRPr="00E528D7" w:rsidRDefault="00865A69" w:rsidP="000D5575">
      <w:pPr>
        <w:keepNext/>
        <w:spacing w:before="240" w:after="60" w:line="240" w:lineRule="auto"/>
        <w:rPr>
          <w:b/>
          <w:bCs/>
        </w:rPr>
      </w:pPr>
      <w:r w:rsidRPr="00E528D7">
        <w:rPr>
          <w:b/>
          <w:bCs/>
        </w:rPr>
        <w:t xml:space="preserve">Table </w:t>
      </w:r>
      <w:r>
        <w:rPr>
          <w:b/>
          <w:bCs/>
        </w:rPr>
        <w:t>5</w:t>
      </w:r>
      <w:r w:rsidRPr="00E528D7">
        <w:rPr>
          <w:b/>
          <w:bCs/>
        </w:rPr>
        <w:t>.</w:t>
      </w:r>
      <w:r>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r>
        <w:rPr>
          <w:b/>
          <w:bCs/>
        </w:rPr>
        <w:t xml:space="preserve"> for </w:t>
      </w:r>
      <w:r w:rsidR="00DA1436">
        <w:rPr>
          <w:b/>
          <w:bCs/>
        </w:rPr>
        <w:t>Twelfth-</w:t>
      </w:r>
      <w:r>
        <w:rPr>
          <w:b/>
          <w:bCs/>
        </w:rPr>
        <w:t>grade Cohort</w:t>
      </w:r>
    </w:p>
    <w:tbl>
      <w:tblPr>
        <w:tblStyle w:val="TableGrid"/>
        <w:tblW w:w="5000" w:type="pct"/>
        <w:tblLook w:val="04A0" w:firstRow="1" w:lastRow="0" w:firstColumn="1" w:lastColumn="0" w:noHBand="0" w:noVBand="1"/>
      </w:tblPr>
      <w:tblGrid>
        <w:gridCol w:w="5328"/>
        <w:gridCol w:w="1523"/>
        <w:gridCol w:w="1389"/>
        <w:gridCol w:w="1388"/>
        <w:gridCol w:w="1388"/>
      </w:tblGrid>
      <w:tr w:rsidR="00865A69" w:rsidRPr="00455150" w14:paraId="2F11F2B7" w14:textId="77777777" w:rsidTr="00D96242">
        <w:trPr>
          <w:tblHeader/>
        </w:trPr>
        <w:tc>
          <w:tcPr>
            <w:tcW w:w="2418" w:type="pct"/>
            <w:shd w:val="clear" w:color="auto" w:fill="FAFBFE"/>
            <w:vAlign w:val="center"/>
          </w:tcPr>
          <w:p w14:paraId="40491E56" w14:textId="77777777" w:rsidR="00865A69" w:rsidRPr="00E03822" w:rsidRDefault="00865A69" w:rsidP="00644B6C">
            <w:pPr>
              <w:rPr>
                <w:rFonts w:cstheme="minorHAnsi"/>
                <w:b/>
                <w:bCs/>
                <w:color w:val="000000"/>
                <w:sz w:val="18"/>
                <w:szCs w:val="18"/>
              </w:rPr>
            </w:pPr>
            <w:r w:rsidRPr="00E03822">
              <w:rPr>
                <w:rFonts w:cstheme="minorHAnsi"/>
                <w:b/>
                <w:bCs/>
                <w:color w:val="000000"/>
                <w:sz w:val="18"/>
                <w:szCs w:val="18"/>
              </w:rPr>
              <w:t>Assumption</w:t>
            </w:r>
          </w:p>
        </w:tc>
        <w:tc>
          <w:tcPr>
            <w:tcW w:w="691" w:type="pct"/>
            <w:shd w:val="clear" w:color="auto" w:fill="FAFBFE"/>
            <w:vAlign w:val="center"/>
          </w:tcPr>
          <w:p w14:paraId="1B7F1462" w14:textId="092E7C40" w:rsidR="00865A69" w:rsidRPr="00E03822" w:rsidRDefault="00865A69" w:rsidP="00270C11">
            <w:pPr>
              <w:jc w:val="right"/>
              <w:rPr>
                <w:rFonts w:cstheme="minorHAnsi"/>
                <w:b/>
                <w:bCs/>
                <w:color w:val="000000"/>
                <w:sz w:val="18"/>
                <w:szCs w:val="18"/>
              </w:rPr>
            </w:pPr>
            <w:r>
              <w:rPr>
                <w:rFonts w:cstheme="minorHAnsi"/>
                <w:b/>
                <w:bCs/>
                <w:color w:val="000000"/>
                <w:sz w:val="18"/>
                <w:szCs w:val="18"/>
              </w:rPr>
              <w:t>Each Student Race/Ethnicity</w:t>
            </w:r>
            <w:r w:rsidR="00270C11">
              <w:rPr>
                <w:rFonts w:cstheme="minorHAnsi"/>
                <w:b/>
                <w:bCs/>
                <w:color w:val="000000"/>
                <w:sz w:val="18"/>
                <w:szCs w:val="18"/>
              </w:rPr>
              <w:t xml:space="preserve"> </w:t>
            </w:r>
            <w:r>
              <w:rPr>
                <w:rFonts w:cstheme="minorHAnsi"/>
                <w:b/>
                <w:bCs/>
                <w:color w:val="000000"/>
                <w:sz w:val="18"/>
                <w:szCs w:val="18"/>
              </w:rPr>
              <w:t>Domain</w:t>
            </w:r>
            <w:r>
              <w:rPr>
                <w:rStyle w:val="FootnoteReference"/>
                <w:rFonts w:cstheme="minorHAnsi"/>
                <w:b/>
                <w:bCs/>
                <w:color w:val="000000"/>
                <w:szCs w:val="18"/>
              </w:rPr>
              <w:footnoteReference w:id="13"/>
            </w:r>
          </w:p>
        </w:tc>
        <w:tc>
          <w:tcPr>
            <w:tcW w:w="630" w:type="pct"/>
            <w:shd w:val="clear" w:color="auto" w:fill="FAFBFE"/>
            <w:vAlign w:val="center"/>
          </w:tcPr>
          <w:p w14:paraId="753DA87F"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Charter students</w:t>
            </w:r>
          </w:p>
        </w:tc>
        <w:tc>
          <w:tcPr>
            <w:tcW w:w="630" w:type="pct"/>
            <w:shd w:val="clear" w:color="auto" w:fill="FAFBFE"/>
            <w:vAlign w:val="center"/>
          </w:tcPr>
          <w:p w14:paraId="5976197B"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Magnet students</w:t>
            </w:r>
          </w:p>
        </w:tc>
        <w:tc>
          <w:tcPr>
            <w:tcW w:w="630" w:type="pct"/>
            <w:shd w:val="clear" w:color="auto" w:fill="FAFBFE"/>
            <w:vAlign w:val="center"/>
          </w:tcPr>
          <w:p w14:paraId="22BC5B94"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Virtual Students</w:t>
            </w:r>
          </w:p>
        </w:tc>
      </w:tr>
      <w:tr w:rsidR="00865A69" w:rsidRPr="00455150" w14:paraId="6DA8A365" w14:textId="77777777" w:rsidTr="00270C11">
        <w:tc>
          <w:tcPr>
            <w:tcW w:w="2418" w:type="pct"/>
            <w:vAlign w:val="center"/>
          </w:tcPr>
          <w:p w14:paraId="5E9927ED" w14:textId="6F62D8F7"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691" w:type="pct"/>
            <w:vAlign w:val="center"/>
          </w:tcPr>
          <w:p w14:paraId="349D99F2" w14:textId="77777777" w:rsidR="00865A69" w:rsidRPr="00E03822" w:rsidRDefault="00865A69" w:rsidP="00644B6C">
            <w:pPr>
              <w:jc w:val="right"/>
              <w:rPr>
                <w:rFonts w:cstheme="minorHAnsi"/>
                <w:color w:val="000000"/>
                <w:sz w:val="18"/>
                <w:szCs w:val="18"/>
              </w:rPr>
            </w:pPr>
            <w:r>
              <w:rPr>
                <w:rFonts w:cstheme="minorHAnsi"/>
                <w:color w:val="000000"/>
                <w:sz w:val="18"/>
                <w:szCs w:val="18"/>
              </w:rPr>
              <w:t>3,500</w:t>
            </w:r>
          </w:p>
        </w:tc>
        <w:tc>
          <w:tcPr>
            <w:tcW w:w="630" w:type="pct"/>
            <w:vAlign w:val="center"/>
          </w:tcPr>
          <w:p w14:paraId="1D27B381"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c>
          <w:tcPr>
            <w:tcW w:w="630" w:type="pct"/>
            <w:vAlign w:val="center"/>
          </w:tcPr>
          <w:p w14:paraId="171E267F"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c>
          <w:tcPr>
            <w:tcW w:w="630" w:type="pct"/>
            <w:vAlign w:val="center"/>
          </w:tcPr>
          <w:p w14:paraId="7AB78650"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r>
      <w:tr w:rsidR="00865A69" w:rsidRPr="00455150" w14:paraId="35FDDF0E" w14:textId="77777777" w:rsidTr="00270C11">
        <w:tc>
          <w:tcPr>
            <w:tcW w:w="2418" w:type="pct"/>
            <w:vAlign w:val="center"/>
          </w:tcPr>
          <w:p w14:paraId="79914F1A" w14:textId="77B137C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eligibility rate</w:t>
            </w:r>
          </w:p>
        </w:tc>
        <w:tc>
          <w:tcPr>
            <w:tcW w:w="691" w:type="pct"/>
            <w:vAlign w:val="center"/>
          </w:tcPr>
          <w:p w14:paraId="56948A8F"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1B94825E"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2B5A11A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39636A9D"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r>
      <w:tr w:rsidR="00865A69" w:rsidRPr="00455150" w14:paraId="1331E83F" w14:textId="77777777" w:rsidTr="00270C11">
        <w:tc>
          <w:tcPr>
            <w:tcW w:w="2418" w:type="pct"/>
            <w:vAlign w:val="center"/>
          </w:tcPr>
          <w:p w14:paraId="6762E3A4" w14:textId="64B6D4CB"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response rate</w:t>
            </w:r>
          </w:p>
        </w:tc>
        <w:tc>
          <w:tcPr>
            <w:tcW w:w="691" w:type="pct"/>
            <w:vAlign w:val="center"/>
          </w:tcPr>
          <w:p w14:paraId="57C3F65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13CDAFA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54D7BFC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73E42A26"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r>
      <w:tr w:rsidR="00865A69" w:rsidRPr="00455150" w14:paraId="1AAACA6A" w14:textId="77777777" w:rsidTr="00270C11">
        <w:tc>
          <w:tcPr>
            <w:tcW w:w="2418" w:type="pct"/>
            <w:vAlign w:val="center"/>
          </w:tcPr>
          <w:p w14:paraId="7CA776D9" w14:textId="550E4C6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respondents</w:t>
            </w:r>
          </w:p>
        </w:tc>
        <w:tc>
          <w:tcPr>
            <w:tcW w:w="691" w:type="pct"/>
            <w:vAlign w:val="center"/>
          </w:tcPr>
          <w:p w14:paraId="3F876B5A" w14:textId="77777777" w:rsidR="00865A69" w:rsidRPr="00E03822" w:rsidRDefault="00865A69" w:rsidP="00644B6C">
            <w:pPr>
              <w:jc w:val="right"/>
              <w:rPr>
                <w:rFonts w:cstheme="minorHAnsi"/>
                <w:color w:val="000000"/>
                <w:sz w:val="18"/>
                <w:szCs w:val="18"/>
              </w:rPr>
            </w:pPr>
            <w:r>
              <w:rPr>
                <w:rFonts w:cstheme="minorHAnsi"/>
                <w:color w:val="000000"/>
                <w:sz w:val="18"/>
                <w:szCs w:val="18"/>
              </w:rPr>
              <w:t>2,826</w:t>
            </w:r>
          </w:p>
        </w:tc>
        <w:tc>
          <w:tcPr>
            <w:tcW w:w="630" w:type="pct"/>
            <w:vAlign w:val="center"/>
          </w:tcPr>
          <w:p w14:paraId="492E33BC"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0C839D8C"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303FCD11"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r>
      <w:tr w:rsidR="00865A69" w:rsidRPr="00455150" w14:paraId="5FC60F0D" w14:textId="77777777" w:rsidTr="00270C11">
        <w:tc>
          <w:tcPr>
            <w:tcW w:w="2418" w:type="pct"/>
            <w:vAlign w:val="center"/>
          </w:tcPr>
          <w:p w14:paraId="2523F1B1" w14:textId="54E7C33C"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644B6C">
              <w:rPr>
                <w:rFonts w:cstheme="minorHAnsi"/>
                <w:color w:val="000000"/>
                <w:sz w:val="18"/>
                <w:szCs w:val="18"/>
              </w:rPr>
              <w:t>n</w:t>
            </w:r>
            <w:r w:rsidR="00DA1436">
              <w:rPr>
                <w:rFonts w:cstheme="minorHAnsi"/>
                <w:color w:val="000000"/>
                <w:sz w:val="18"/>
                <w:szCs w:val="18"/>
              </w:rPr>
              <w:t>inth</w:t>
            </w:r>
            <w:r w:rsidRPr="00CB239B">
              <w:rPr>
                <w:rFonts w:cstheme="minorHAnsi"/>
                <w:color w:val="000000"/>
                <w:sz w:val="18"/>
                <w:szCs w:val="18"/>
              </w:rPr>
              <w:t xml:space="preserve">-grade students in </w:t>
            </w:r>
            <w:r w:rsidR="00DA1436">
              <w:rPr>
                <w:rFonts w:cstheme="minorHAnsi"/>
                <w:color w:val="000000"/>
                <w:sz w:val="18"/>
                <w:szCs w:val="18"/>
              </w:rPr>
              <w:t>twelfth</w:t>
            </w:r>
            <w:r w:rsidRPr="00CB239B">
              <w:rPr>
                <w:rFonts w:cstheme="minorHAnsi"/>
                <w:color w:val="000000"/>
                <w:sz w:val="18"/>
                <w:szCs w:val="18"/>
              </w:rPr>
              <w:t xml:space="preserve"> grade as of the first follow-up</w:t>
            </w:r>
          </w:p>
        </w:tc>
        <w:tc>
          <w:tcPr>
            <w:tcW w:w="691" w:type="pct"/>
            <w:vAlign w:val="center"/>
          </w:tcPr>
          <w:p w14:paraId="6EFBDB14"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4F108EEB"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4947A29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5C345C4E"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r>
      <w:tr w:rsidR="00865A69" w:rsidRPr="00455150" w14:paraId="3E76D5EC" w14:textId="77777777" w:rsidTr="00270C11">
        <w:tc>
          <w:tcPr>
            <w:tcW w:w="2418" w:type="pct"/>
            <w:vAlign w:val="center"/>
          </w:tcPr>
          <w:p w14:paraId="4C3C4315" w14:textId="5A39B42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 xml:space="preserve">-grade respondents in </w:t>
            </w:r>
            <w:r>
              <w:rPr>
                <w:rFonts w:cstheme="minorHAnsi"/>
                <w:color w:val="000000"/>
                <w:sz w:val="18"/>
                <w:szCs w:val="18"/>
              </w:rPr>
              <w:t>twelfth</w:t>
            </w:r>
            <w:r w:rsidRPr="00CB239B" w:rsidDel="00DA1436">
              <w:rPr>
                <w:rFonts w:cstheme="minorHAnsi"/>
                <w:color w:val="000000"/>
                <w:sz w:val="18"/>
                <w:szCs w:val="18"/>
              </w:rPr>
              <w:t xml:space="preserve"> </w:t>
            </w:r>
            <w:r w:rsidR="00865A69" w:rsidRPr="00CB239B">
              <w:rPr>
                <w:rFonts w:cstheme="minorHAnsi"/>
                <w:color w:val="000000"/>
                <w:sz w:val="18"/>
                <w:szCs w:val="18"/>
              </w:rPr>
              <w:t>grade as of the first follow-up</w:t>
            </w:r>
          </w:p>
        </w:tc>
        <w:tc>
          <w:tcPr>
            <w:tcW w:w="691" w:type="pct"/>
            <w:vAlign w:val="center"/>
          </w:tcPr>
          <w:p w14:paraId="3EE662E8" w14:textId="77777777" w:rsidR="00865A69" w:rsidRPr="00E03822" w:rsidRDefault="00865A69" w:rsidP="00644B6C">
            <w:pPr>
              <w:jc w:val="right"/>
              <w:rPr>
                <w:rFonts w:cstheme="minorHAnsi"/>
                <w:color w:val="000000"/>
                <w:sz w:val="18"/>
                <w:szCs w:val="18"/>
              </w:rPr>
            </w:pPr>
            <w:r>
              <w:rPr>
                <w:rFonts w:cstheme="minorHAnsi"/>
                <w:color w:val="000000"/>
                <w:sz w:val="18"/>
                <w:szCs w:val="18"/>
              </w:rPr>
              <w:t>2,544</w:t>
            </w:r>
          </w:p>
        </w:tc>
        <w:tc>
          <w:tcPr>
            <w:tcW w:w="630" w:type="pct"/>
            <w:vAlign w:val="center"/>
          </w:tcPr>
          <w:p w14:paraId="276D35CD"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c>
          <w:tcPr>
            <w:tcW w:w="630" w:type="pct"/>
            <w:vAlign w:val="center"/>
          </w:tcPr>
          <w:p w14:paraId="23B5B2F2"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c>
          <w:tcPr>
            <w:tcW w:w="630" w:type="pct"/>
            <w:vAlign w:val="center"/>
          </w:tcPr>
          <w:p w14:paraId="0C9EAD9B"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r>
      <w:tr w:rsidR="00865A69" w:rsidRPr="00455150" w14:paraId="5B08B147" w14:textId="77777777" w:rsidTr="00270C11">
        <w:tc>
          <w:tcPr>
            <w:tcW w:w="2418" w:type="pct"/>
            <w:vAlign w:val="center"/>
          </w:tcPr>
          <w:p w14:paraId="6FF98491" w14:textId="2D351739"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Pr="00CB239B">
              <w:rPr>
                <w:rFonts w:cstheme="minorHAnsi"/>
                <w:color w:val="000000"/>
                <w:sz w:val="18"/>
                <w:szCs w:val="18"/>
              </w:rPr>
              <w:t>-grade students whose transfer schools are known</w:t>
            </w:r>
          </w:p>
        </w:tc>
        <w:tc>
          <w:tcPr>
            <w:tcW w:w="691" w:type="pct"/>
            <w:vAlign w:val="center"/>
          </w:tcPr>
          <w:p w14:paraId="525F939A"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37AE6E8F"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39D44834"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1FE2CE15"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r>
      <w:tr w:rsidR="00865A69" w:rsidRPr="00455150" w14:paraId="12EB76C5" w14:textId="77777777" w:rsidTr="00270C11">
        <w:tc>
          <w:tcPr>
            <w:tcW w:w="2418" w:type="pct"/>
            <w:vAlign w:val="center"/>
          </w:tcPr>
          <w:p w14:paraId="7785CCBA" w14:textId="68C8BAC0"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Pr="00CB239B">
              <w:rPr>
                <w:rFonts w:cstheme="minorHAnsi"/>
                <w:color w:val="000000"/>
                <w:sz w:val="18"/>
                <w:szCs w:val="18"/>
              </w:rPr>
              <w:t>-grade students whose transfer schools are not known by their base-year school</w:t>
            </w:r>
          </w:p>
        </w:tc>
        <w:tc>
          <w:tcPr>
            <w:tcW w:w="691" w:type="pct"/>
            <w:vAlign w:val="center"/>
          </w:tcPr>
          <w:p w14:paraId="630BF6E7"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5D0BD528"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29FD462F"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747A4D11"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r>
      <w:tr w:rsidR="00865A69" w:rsidRPr="00455150" w14:paraId="2CA78AE6" w14:textId="77777777" w:rsidTr="00270C11">
        <w:tc>
          <w:tcPr>
            <w:tcW w:w="2418" w:type="pct"/>
            <w:vAlign w:val="center"/>
          </w:tcPr>
          <w:p w14:paraId="6E382520" w14:textId="4E5CEFEE"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00DA1436" w:rsidRPr="00CB239B" w:rsidDel="00DA1436">
              <w:rPr>
                <w:rFonts w:cstheme="minorHAnsi"/>
                <w:color w:val="000000"/>
                <w:sz w:val="18"/>
                <w:szCs w:val="18"/>
              </w:rPr>
              <w:t xml:space="preserve"> </w:t>
            </w:r>
            <w:r w:rsidRPr="00CB239B">
              <w:rPr>
                <w:rFonts w:cstheme="minorHAnsi"/>
                <w:color w:val="000000"/>
                <w:sz w:val="18"/>
                <w:szCs w:val="18"/>
              </w:rPr>
              <w:t>-grade students who are known to remain in base-year schools</w:t>
            </w:r>
          </w:p>
        </w:tc>
        <w:tc>
          <w:tcPr>
            <w:tcW w:w="691" w:type="pct"/>
            <w:vAlign w:val="center"/>
          </w:tcPr>
          <w:p w14:paraId="7AF53A5A"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2CCC871B"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3D67ECC0"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56F268B3"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r>
      <w:tr w:rsidR="00865A69" w:rsidRPr="00455150" w14:paraId="104C7F57" w14:textId="77777777" w:rsidTr="00270C11">
        <w:tc>
          <w:tcPr>
            <w:tcW w:w="2418" w:type="pct"/>
            <w:vAlign w:val="center"/>
          </w:tcPr>
          <w:p w14:paraId="3288544D" w14:textId="72C22B50"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transfer students whose schools are known</w:t>
            </w:r>
          </w:p>
        </w:tc>
        <w:tc>
          <w:tcPr>
            <w:tcW w:w="691" w:type="pct"/>
            <w:vAlign w:val="center"/>
          </w:tcPr>
          <w:p w14:paraId="3316D109"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0D5E0F8E"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6C87606C"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208B0506"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r>
      <w:tr w:rsidR="00865A69" w:rsidRPr="00455150" w14:paraId="55991D48" w14:textId="77777777" w:rsidTr="00270C11">
        <w:tc>
          <w:tcPr>
            <w:tcW w:w="2418" w:type="pct"/>
            <w:vAlign w:val="center"/>
          </w:tcPr>
          <w:p w14:paraId="61BDDD02" w14:textId="1E049DC4"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transfer students whose schools are unknown</w:t>
            </w:r>
          </w:p>
        </w:tc>
        <w:tc>
          <w:tcPr>
            <w:tcW w:w="691" w:type="pct"/>
            <w:vAlign w:val="center"/>
          </w:tcPr>
          <w:p w14:paraId="4BD47C9A"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31BD08D9"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3C092BB3"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46DE34B7"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r>
      <w:tr w:rsidR="00865A69" w:rsidRPr="00455150" w14:paraId="29F67F95" w14:textId="77777777" w:rsidTr="00270C11">
        <w:tc>
          <w:tcPr>
            <w:tcW w:w="2418" w:type="pct"/>
            <w:vAlign w:val="center"/>
          </w:tcPr>
          <w:p w14:paraId="6E0533F6" w14:textId="32252BDD"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students known to remain in their base-year schools</w:t>
            </w:r>
          </w:p>
        </w:tc>
        <w:tc>
          <w:tcPr>
            <w:tcW w:w="691" w:type="pct"/>
            <w:vAlign w:val="center"/>
          </w:tcPr>
          <w:p w14:paraId="58A75848"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26F29BFF"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4457574F"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65BD4B16"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r>
      <w:tr w:rsidR="00865A69" w:rsidRPr="00455150" w14:paraId="40018898" w14:textId="77777777" w:rsidTr="00270C11">
        <w:tc>
          <w:tcPr>
            <w:tcW w:w="2418" w:type="pct"/>
            <w:vAlign w:val="center"/>
          </w:tcPr>
          <w:p w14:paraId="708942E1"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691" w:type="pct"/>
            <w:vAlign w:val="center"/>
          </w:tcPr>
          <w:p w14:paraId="5CD7A414" w14:textId="77777777" w:rsidR="00865A69" w:rsidRPr="00E03822" w:rsidRDefault="00865A69" w:rsidP="00644B6C">
            <w:pPr>
              <w:jc w:val="right"/>
              <w:rPr>
                <w:rFonts w:cstheme="minorHAnsi"/>
                <w:color w:val="000000"/>
                <w:sz w:val="18"/>
                <w:szCs w:val="18"/>
              </w:rPr>
            </w:pPr>
            <w:r>
              <w:rPr>
                <w:rFonts w:cstheme="minorHAnsi"/>
                <w:color w:val="000000"/>
                <w:sz w:val="18"/>
                <w:szCs w:val="18"/>
              </w:rPr>
              <w:t>2,093</w:t>
            </w:r>
          </w:p>
        </w:tc>
        <w:tc>
          <w:tcPr>
            <w:tcW w:w="630" w:type="pct"/>
            <w:vAlign w:val="center"/>
          </w:tcPr>
          <w:p w14:paraId="57BE744C"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c>
          <w:tcPr>
            <w:tcW w:w="630" w:type="pct"/>
            <w:vAlign w:val="center"/>
          </w:tcPr>
          <w:p w14:paraId="40806A11"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c>
          <w:tcPr>
            <w:tcW w:w="630" w:type="pct"/>
            <w:vAlign w:val="center"/>
          </w:tcPr>
          <w:p w14:paraId="1971DB94"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r>
      <w:tr w:rsidR="00865A69" w:rsidRPr="00455150" w14:paraId="10B75081" w14:textId="77777777" w:rsidTr="00270C11">
        <w:tc>
          <w:tcPr>
            <w:tcW w:w="2418" w:type="pct"/>
            <w:vAlign w:val="center"/>
          </w:tcPr>
          <w:p w14:paraId="15E2022B"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691" w:type="pct"/>
            <w:vAlign w:val="center"/>
          </w:tcPr>
          <w:p w14:paraId="1A79E206"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50E0AEB6"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569B4E3D"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1F155700"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r>
      <w:tr w:rsidR="00865A69" w:rsidRPr="00455150" w14:paraId="360F1655" w14:textId="77777777" w:rsidTr="00270C11">
        <w:tc>
          <w:tcPr>
            <w:tcW w:w="2418" w:type="pct"/>
            <w:vAlign w:val="center"/>
          </w:tcPr>
          <w:p w14:paraId="63980C80"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691" w:type="pct"/>
            <w:vAlign w:val="center"/>
          </w:tcPr>
          <w:p w14:paraId="5B2467B6"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1EAB8976"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35C52D43"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6866426C"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r>
      <w:tr w:rsidR="00865A69" w:rsidRPr="00455150" w14:paraId="79164D33" w14:textId="77777777" w:rsidTr="00270C11">
        <w:tc>
          <w:tcPr>
            <w:tcW w:w="2418" w:type="pct"/>
            <w:vAlign w:val="center"/>
          </w:tcPr>
          <w:p w14:paraId="7BD88056"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691" w:type="pct"/>
            <w:vAlign w:val="center"/>
          </w:tcPr>
          <w:p w14:paraId="3BC04BB1"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5B24A73B"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28306BC9"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64A3C054"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r>
      <w:tr w:rsidR="00865A69" w:rsidRPr="00455150" w14:paraId="26F157C0" w14:textId="77777777" w:rsidTr="00270C11">
        <w:tc>
          <w:tcPr>
            <w:tcW w:w="2418" w:type="pct"/>
            <w:vAlign w:val="center"/>
          </w:tcPr>
          <w:p w14:paraId="679C92F0"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691" w:type="pct"/>
            <w:vAlign w:val="center"/>
          </w:tcPr>
          <w:p w14:paraId="7CBDF34D" w14:textId="77777777" w:rsidR="00865A69" w:rsidRPr="00E03822" w:rsidRDefault="00865A69" w:rsidP="00644B6C">
            <w:pPr>
              <w:jc w:val="right"/>
              <w:rPr>
                <w:rFonts w:cstheme="minorHAnsi"/>
                <w:color w:val="000000"/>
                <w:sz w:val="18"/>
                <w:szCs w:val="18"/>
              </w:rPr>
            </w:pPr>
            <w:r>
              <w:rPr>
                <w:rFonts w:cstheme="minorHAnsi"/>
                <w:color w:val="000000"/>
                <w:sz w:val="18"/>
                <w:szCs w:val="18"/>
              </w:rPr>
              <w:t>1,708</w:t>
            </w:r>
          </w:p>
        </w:tc>
        <w:tc>
          <w:tcPr>
            <w:tcW w:w="630" w:type="pct"/>
            <w:vAlign w:val="center"/>
          </w:tcPr>
          <w:p w14:paraId="1E2BC351"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c>
          <w:tcPr>
            <w:tcW w:w="630" w:type="pct"/>
            <w:vAlign w:val="center"/>
          </w:tcPr>
          <w:p w14:paraId="0FF0B519"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c>
          <w:tcPr>
            <w:tcW w:w="630" w:type="pct"/>
            <w:vAlign w:val="center"/>
          </w:tcPr>
          <w:p w14:paraId="20603C2D"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r>
    </w:tbl>
    <w:p w14:paraId="5F3DAEE0" w14:textId="77777777" w:rsidR="00865A69" w:rsidRDefault="00865A69" w:rsidP="00865A69">
      <w:pPr>
        <w:widowControl w:val="0"/>
        <w:spacing w:after="120" w:line="21" w:lineRule="atLeast"/>
      </w:pPr>
    </w:p>
    <w:p w14:paraId="5C6AC2A1" w14:textId="033C1D03" w:rsidR="00865A69" w:rsidRPr="00E528D7" w:rsidRDefault="00865A69" w:rsidP="009052C0">
      <w:pPr>
        <w:keepNext/>
        <w:spacing w:before="240" w:after="60" w:line="240" w:lineRule="auto"/>
        <w:rPr>
          <w:b/>
          <w:bCs/>
        </w:rPr>
      </w:pPr>
      <w:r w:rsidRPr="00E528D7">
        <w:rPr>
          <w:b/>
          <w:bCs/>
        </w:rPr>
        <w:t xml:space="preserve">Table </w:t>
      </w:r>
      <w:r>
        <w:rPr>
          <w:b/>
          <w:bCs/>
        </w:rPr>
        <w:t>6</w:t>
      </w:r>
      <w:r w:rsidRPr="00E528D7">
        <w:rPr>
          <w:b/>
          <w:bCs/>
        </w:rPr>
        <w:t>.</w:t>
      </w:r>
      <w:r>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r>
        <w:rPr>
          <w:b/>
          <w:bCs/>
        </w:rPr>
        <w:t xml:space="preserve"> for </w:t>
      </w:r>
      <w:r w:rsidR="00DA1436">
        <w:rPr>
          <w:b/>
          <w:bCs/>
        </w:rPr>
        <w:t>Ninth</w:t>
      </w:r>
      <w:r>
        <w:rPr>
          <w:b/>
          <w:bCs/>
        </w:rPr>
        <w:t>-grade Cohort</w:t>
      </w:r>
    </w:p>
    <w:tbl>
      <w:tblPr>
        <w:tblStyle w:val="TableGrid"/>
        <w:tblW w:w="5000" w:type="pct"/>
        <w:tblLook w:val="04A0" w:firstRow="1" w:lastRow="0" w:firstColumn="1" w:lastColumn="0" w:noHBand="0" w:noVBand="1"/>
      </w:tblPr>
      <w:tblGrid>
        <w:gridCol w:w="5328"/>
        <w:gridCol w:w="1523"/>
        <w:gridCol w:w="1389"/>
        <w:gridCol w:w="1388"/>
        <w:gridCol w:w="1388"/>
      </w:tblGrid>
      <w:tr w:rsidR="00865A69" w:rsidRPr="00455150" w14:paraId="063EA3A0" w14:textId="77777777" w:rsidTr="009052C0">
        <w:trPr>
          <w:tblHeader/>
        </w:trPr>
        <w:tc>
          <w:tcPr>
            <w:tcW w:w="2418" w:type="pct"/>
            <w:shd w:val="clear" w:color="auto" w:fill="FAFBFE"/>
            <w:vAlign w:val="center"/>
          </w:tcPr>
          <w:p w14:paraId="06B992FA" w14:textId="77777777" w:rsidR="00865A69" w:rsidRPr="00E03822" w:rsidRDefault="00865A69" w:rsidP="009052C0">
            <w:pPr>
              <w:keepNext/>
              <w:rPr>
                <w:rFonts w:cstheme="minorHAnsi"/>
                <w:b/>
                <w:bCs/>
                <w:color w:val="000000"/>
                <w:sz w:val="18"/>
                <w:szCs w:val="18"/>
              </w:rPr>
            </w:pPr>
            <w:r w:rsidRPr="00E03822">
              <w:rPr>
                <w:rFonts w:cstheme="minorHAnsi"/>
                <w:b/>
                <w:bCs/>
                <w:color w:val="000000"/>
                <w:sz w:val="18"/>
                <w:szCs w:val="18"/>
              </w:rPr>
              <w:t>Assumption</w:t>
            </w:r>
          </w:p>
        </w:tc>
        <w:tc>
          <w:tcPr>
            <w:tcW w:w="691" w:type="pct"/>
            <w:shd w:val="clear" w:color="auto" w:fill="FAFBFE"/>
            <w:vAlign w:val="center"/>
          </w:tcPr>
          <w:p w14:paraId="1848374C" w14:textId="77777777" w:rsidR="00865A69" w:rsidRDefault="00865A69" w:rsidP="009052C0">
            <w:pPr>
              <w:keepNext/>
              <w:jc w:val="right"/>
              <w:rPr>
                <w:rFonts w:cstheme="minorHAnsi"/>
                <w:b/>
                <w:bCs/>
                <w:color w:val="000000"/>
                <w:sz w:val="18"/>
                <w:szCs w:val="18"/>
              </w:rPr>
            </w:pPr>
            <w:r>
              <w:rPr>
                <w:rFonts w:cstheme="minorHAnsi"/>
                <w:b/>
                <w:bCs/>
                <w:color w:val="000000"/>
                <w:sz w:val="18"/>
                <w:szCs w:val="18"/>
              </w:rPr>
              <w:t>Each Student Race/Ethnicity</w:t>
            </w:r>
          </w:p>
          <w:p w14:paraId="257E141C"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Domain</w:t>
            </w:r>
            <w:r>
              <w:rPr>
                <w:rFonts w:cstheme="minorHAnsi"/>
                <w:b/>
                <w:bCs/>
                <w:color w:val="000000"/>
                <w:sz w:val="18"/>
                <w:szCs w:val="18"/>
                <w:vertAlign w:val="superscript"/>
              </w:rPr>
              <w:t>8</w:t>
            </w:r>
          </w:p>
        </w:tc>
        <w:tc>
          <w:tcPr>
            <w:tcW w:w="630" w:type="pct"/>
            <w:shd w:val="clear" w:color="auto" w:fill="FAFBFE"/>
            <w:vAlign w:val="center"/>
          </w:tcPr>
          <w:p w14:paraId="70D6442B"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Charter students</w:t>
            </w:r>
          </w:p>
        </w:tc>
        <w:tc>
          <w:tcPr>
            <w:tcW w:w="630" w:type="pct"/>
            <w:shd w:val="clear" w:color="auto" w:fill="FAFBFE"/>
            <w:vAlign w:val="center"/>
          </w:tcPr>
          <w:p w14:paraId="67022931"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Magnet students</w:t>
            </w:r>
          </w:p>
        </w:tc>
        <w:tc>
          <w:tcPr>
            <w:tcW w:w="630" w:type="pct"/>
            <w:shd w:val="clear" w:color="auto" w:fill="FAFBFE"/>
            <w:vAlign w:val="center"/>
          </w:tcPr>
          <w:p w14:paraId="58F33B81"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Virtual Students</w:t>
            </w:r>
          </w:p>
        </w:tc>
      </w:tr>
      <w:tr w:rsidR="00865A69" w:rsidRPr="00455150" w14:paraId="01FDFB08" w14:textId="77777777" w:rsidTr="009052C0">
        <w:tc>
          <w:tcPr>
            <w:tcW w:w="2418" w:type="pct"/>
            <w:vAlign w:val="center"/>
          </w:tcPr>
          <w:p w14:paraId="2C17E9D9" w14:textId="3431ACB8" w:rsidR="00865A69" w:rsidRPr="00E03822" w:rsidRDefault="00DA1436" w:rsidP="009052C0">
            <w:pPr>
              <w:keepNext/>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691" w:type="pct"/>
            <w:vAlign w:val="center"/>
          </w:tcPr>
          <w:p w14:paraId="2C72F091"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3,500</w:t>
            </w:r>
          </w:p>
        </w:tc>
        <w:tc>
          <w:tcPr>
            <w:tcW w:w="630" w:type="pct"/>
            <w:vAlign w:val="center"/>
          </w:tcPr>
          <w:p w14:paraId="5083B022"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c>
          <w:tcPr>
            <w:tcW w:w="630" w:type="pct"/>
            <w:vAlign w:val="center"/>
          </w:tcPr>
          <w:p w14:paraId="6708F0CD"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c>
          <w:tcPr>
            <w:tcW w:w="630" w:type="pct"/>
            <w:vAlign w:val="center"/>
          </w:tcPr>
          <w:p w14:paraId="5D0ACA41"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r>
      <w:tr w:rsidR="00865A69" w:rsidRPr="00455150" w14:paraId="5506A455" w14:textId="77777777" w:rsidTr="009052C0">
        <w:tc>
          <w:tcPr>
            <w:tcW w:w="2418" w:type="pct"/>
            <w:vAlign w:val="center"/>
          </w:tcPr>
          <w:p w14:paraId="0794061A" w14:textId="70BBE443" w:rsidR="00865A69" w:rsidRPr="00E03822" w:rsidRDefault="00DA1436" w:rsidP="009052C0">
            <w:pPr>
              <w:keepNext/>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student eligibility rate</w:t>
            </w:r>
          </w:p>
        </w:tc>
        <w:tc>
          <w:tcPr>
            <w:tcW w:w="691" w:type="pct"/>
            <w:vAlign w:val="center"/>
          </w:tcPr>
          <w:p w14:paraId="54BABCA8"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1AE4661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472E696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5A8FADAD"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r>
      <w:tr w:rsidR="00865A69" w:rsidRPr="00455150" w14:paraId="63FA7A36" w14:textId="77777777" w:rsidTr="009052C0">
        <w:tc>
          <w:tcPr>
            <w:tcW w:w="2418" w:type="pct"/>
            <w:vAlign w:val="center"/>
          </w:tcPr>
          <w:p w14:paraId="7ADB2C96" w14:textId="7330D1E0" w:rsidR="00865A69" w:rsidRPr="00E03822" w:rsidRDefault="00DA1436" w:rsidP="009052C0">
            <w:pPr>
              <w:keepNext/>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student response rate</w:t>
            </w:r>
          </w:p>
        </w:tc>
        <w:tc>
          <w:tcPr>
            <w:tcW w:w="691" w:type="pct"/>
            <w:vAlign w:val="center"/>
          </w:tcPr>
          <w:p w14:paraId="454A8348"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569B46A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1DF38623"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226DA909"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r>
      <w:tr w:rsidR="00865A69" w:rsidRPr="00455150" w14:paraId="0DD0619E" w14:textId="77777777" w:rsidTr="009052C0">
        <w:tc>
          <w:tcPr>
            <w:tcW w:w="2418" w:type="pct"/>
            <w:vAlign w:val="center"/>
          </w:tcPr>
          <w:p w14:paraId="1B2F4F73" w14:textId="32F0822D" w:rsidR="00865A69" w:rsidRPr="00E03822" w:rsidRDefault="00DA1436" w:rsidP="00644B6C">
            <w:pPr>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respondents</w:t>
            </w:r>
          </w:p>
        </w:tc>
        <w:tc>
          <w:tcPr>
            <w:tcW w:w="691" w:type="pct"/>
            <w:vAlign w:val="center"/>
          </w:tcPr>
          <w:p w14:paraId="01079C7D" w14:textId="77777777" w:rsidR="00865A69" w:rsidRPr="00E03822" w:rsidRDefault="00865A69" w:rsidP="00644B6C">
            <w:pPr>
              <w:jc w:val="right"/>
              <w:rPr>
                <w:rFonts w:cstheme="minorHAnsi"/>
                <w:color w:val="000000"/>
                <w:sz w:val="18"/>
                <w:szCs w:val="18"/>
              </w:rPr>
            </w:pPr>
            <w:r>
              <w:rPr>
                <w:rFonts w:cstheme="minorHAnsi"/>
                <w:color w:val="000000"/>
                <w:sz w:val="18"/>
                <w:szCs w:val="18"/>
              </w:rPr>
              <w:t>2,826</w:t>
            </w:r>
          </w:p>
        </w:tc>
        <w:tc>
          <w:tcPr>
            <w:tcW w:w="630" w:type="pct"/>
            <w:vAlign w:val="center"/>
          </w:tcPr>
          <w:p w14:paraId="1C0B133F"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6FEE1554"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1BB51AC3"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r>
      <w:tr w:rsidR="00865A69" w:rsidRPr="00455150" w14:paraId="0576F4E7" w14:textId="77777777" w:rsidTr="009052C0">
        <w:tc>
          <w:tcPr>
            <w:tcW w:w="2418" w:type="pct"/>
            <w:vAlign w:val="center"/>
          </w:tcPr>
          <w:p w14:paraId="0E3D9569" w14:textId="4FBEBF4E" w:rsidR="00865A69" w:rsidRPr="00E03822" w:rsidRDefault="00865A69" w:rsidP="00644B6C">
            <w:pPr>
              <w:autoSpaceDE w:val="0"/>
              <w:autoSpaceDN w:val="0"/>
              <w:adjustRightInd w:val="0"/>
              <w:rPr>
                <w:rFonts w:cstheme="minorHAnsi"/>
                <w:color w:val="000000"/>
                <w:sz w:val="18"/>
                <w:szCs w:val="18"/>
              </w:rPr>
            </w:pPr>
            <w:r w:rsidRPr="00443B15">
              <w:rPr>
                <w:rFonts w:cstheme="minorHAnsi"/>
                <w:color w:val="000000"/>
                <w:sz w:val="18"/>
                <w:szCs w:val="18"/>
              </w:rPr>
              <w:t xml:space="preserve">Percentage of </w:t>
            </w:r>
            <w:r w:rsidR="00DA1436">
              <w:rPr>
                <w:rFonts w:cstheme="minorHAnsi"/>
                <w:color w:val="000000"/>
                <w:sz w:val="18"/>
                <w:szCs w:val="18"/>
              </w:rPr>
              <w:t>Ninth</w:t>
            </w:r>
            <w:r w:rsidRPr="00443B15">
              <w:rPr>
                <w:rFonts w:cstheme="minorHAnsi"/>
                <w:color w:val="000000"/>
                <w:sz w:val="18"/>
                <w:szCs w:val="18"/>
              </w:rPr>
              <w:t>-grade students not in base-year school or whose status is indeterminate</w:t>
            </w:r>
            <w:r w:rsidRPr="00443B15">
              <w:rPr>
                <w:rFonts w:cstheme="minorHAnsi"/>
                <w:color w:val="000000"/>
                <w:sz w:val="18"/>
                <w:szCs w:val="18"/>
                <w:vertAlign w:val="superscript"/>
              </w:rPr>
              <w:footnoteReference w:id="14"/>
            </w:r>
            <w:r w:rsidRPr="00443B15">
              <w:rPr>
                <w:rFonts w:cstheme="minorHAnsi"/>
                <w:color w:val="000000"/>
                <w:sz w:val="18"/>
                <w:szCs w:val="18"/>
              </w:rPr>
              <w:t xml:space="preserve"> as of the first</w:t>
            </w:r>
            <w:r>
              <w:rPr>
                <w:rFonts w:cstheme="minorHAnsi"/>
                <w:color w:val="000000"/>
                <w:sz w:val="18"/>
                <w:szCs w:val="18"/>
              </w:rPr>
              <w:t xml:space="preserve"> </w:t>
            </w:r>
            <w:r w:rsidRPr="00443B15">
              <w:rPr>
                <w:rFonts w:cstheme="minorHAnsi"/>
                <w:color w:val="000000"/>
                <w:sz w:val="18"/>
                <w:szCs w:val="18"/>
              </w:rPr>
              <w:t>follow-up</w:t>
            </w:r>
          </w:p>
        </w:tc>
        <w:tc>
          <w:tcPr>
            <w:tcW w:w="691" w:type="pct"/>
            <w:vAlign w:val="center"/>
          </w:tcPr>
          <w:p w14:paraId="6B999AA9"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7ECF241A"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6BA8EA0F"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4A2841F3"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r>
      <w:tr w:rsidR="00865A69" w:rsidRPr="00455150" w14:paraId="15538CF4" w14:textId="77777777" w:rsidTr="009052C0">
        <w:tc>
          <w:tcPr>
            <w:tcW w:w="2418" w:type="pct"/>
            <w:vAlign w:val="center"/>
          </w:tcPr>
          <w:p w14:paraId="3F9DEB6E" w14:textId="63BDEDB3"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known to be in base-year schools</w:t>
            </w:r>
          </w:p>
        </w:tc>
        <w:tc>
          <w:tcPr>
            <w:tcW w:w="691" w:type="pct"/>
            <w:vAlign w:val="center"/>
          </w:tcPr>
          <w:p w14:paraId="285DA691"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2BCBC6B8"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4393439B"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03956515"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r>
      <w:tr w:rsidR="00865A69" w:rsidRPr="00455150" w14:paraId="2A4CFAC1" w14:textId="77777777" w:rsidTr="009052C0">
        <w:tc>
          <w:tcPr>
            <w:tcW w:w="2418" w:type="pct"/>
            <w:vAlign w:val="center"/>
          </w:tcPr>
          <w:p w14:paraId="41533A91" w14:textId="0854C81E"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not in base-year schools or whose status is indeterminate</w:t>
            </w:r>
          </w:p>
        </w:tc>
        <w:tc>
          <w:tcPr>
            <w:tcW w:w="691" w:type="pct"/>
            <w:vAlign w:val="center"/>
          </w:tcPr>
          <w:p w14:paraId="30FAA2EB"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1A48EDD6"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7AD8E3C2"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6DA69271"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r>
      <w:tr w:rsidR="00865A69" w:rsidRPr="00455150" w14:paraId="08A67598" w14:textId="77777777" w:rsidTr="009052C0">
        <w:tc>
          <w:tcPr>
            <w:tcW w:w="2418" w:type="pct"/>
            <w:vAlign w:val="center"/>
          </w:tcPr>
          <w:p w14:paraId="663C81C6"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691" w:type="pct"/>
            <w:vAlign w:val="center"/>
          </w:tcPr>
          <w:p w14:paraId="3A4B6398" w14:textId="77777777" w:rsidR="00865A69" w:rsidRPr="00E03822" w:rsidRDefault="00865A69" w:rsidP="00644B6C">
            <w:pPr>
              <w:jc w:val="right"/>
              <w:rPr>
                <w:rFonts w:cstheme="minorHAnsi"/>
                <w:color w:val="000000"/>
                <w:sz w:val="18"/>
                <w:szCs w:val="18"/>
              </w:rPr>
            </w:pPr>
            <w:r>
              <w:rPr>
                <w:rFonts w:cstheme="minorHAnsi"/>
                <w:color w:val="000000"/>
                <w:sz w:val="18"/>
                <w:szCs w:val="18"/>
              </w:rPr>
              <w:t>2,264</w:t>
            </w:r>
          </w:p>
        </w:tc>
        <w:tc>
          <w:tcPr>
            <w:tcW w:w="630" w:type="pct"/>
            <w:vAlign w:val="center"/>
          </w:tcPr>
          <w:p w14:paraId="79388FD0"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c>
          <w:tcPr>
            <w:tcW w:w="630" w:type="pct"/>
            <w:vAlign w:val="center"/>
          </w:tcPr>
          <w:p w14:paraId="09F2175A"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c>
          <w:tcPr>
            <w:tcW w:w="630" w:type="pct"/>
            <w:vAlign w:val="center"/>
          </w:tcPr>
          <w:p w14:paraId="277683AE"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r>
      <w:tr w:rsidR="00865A69" w:rsidRPr="00455150" w14:paraId="7B7C9FC7" w14:textId="77777777" w:rsidTr="009052C0">
        <w:tc>
          <w:tcPr>
            <w:tcW w:w="2418" w:type="pct"/>
            <w:vAlign w:val="center"/>
          </w:tcPr>
          <w:p w14:paraId="74F9F15A"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691" w:type="pct"/>
            <w:vAlign w:val="center"/>
          </w:tcPr>
          <w:p w14:paraId="33ACFF2F"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0EC680B9"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7044FA18"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213B5019"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r>
      <w:tr w:rsidR="00865A69" w:rsidRPr="00455150" w14:paraId="324404A7" w14:textId="77777777" w:rsidTr="009052C0">
        <w:tc>
          <w:tcPr>
            <w:tcW w:w="2418" w:type="pct"/>
            <w:vAlign w:val="center"/>
          </w:tcPr>
          <w:p w14:paraId="770A872E"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691" w:type="pct"/>
            <w:vAlign w:val="center"/>
          </w:tcPr>
          <w:p w14:paraId="69F0F382"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5BBAAF8C"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23ED683A"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65C42ECB"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r>
      <w:tr w:rsidR="00865A69" w:rsidRPr="00455150" w14:paraId="4135ED10" w14:textId="77777777" w:rsidTr="009052C0">
        <w:tc>
          <w:tcPr>
            <w:tcW w:w="2418" w:type="pct"/>
            <w:vAlign w:val="center"/>
          </w:tcPr>
          <w:p w14:paraId="76734B83"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691" w:type="pct"/>
            <w:vAlign w:val="center"/>
          </w:tcPr>
          <w:p w14:paraId="4024E06B"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61C23E36"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73D9998C"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7DE47A54"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r>
      <w:tr w:rsidR="00865A69" w:rsidRPr="00455150" w14:paraId="09DE0E15" w14:textId="77777777" w:rsidTr="009052C0">
        <w:tc>
          <w:tcPr>
            <w:tcW w:w="2418" w:type="pct"/>
            <w:vAlign w:val="center"/>
          </w:tcPr>
          <w:p w14:paraId="4CD46517"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691" w:type="pct"/>
            <w:vAlign w:val="center"/>
          </w:tcPr>
          <w:p w14:paraId="0B36FAE0" w14:textId="77777777" w:rsidR="00865A69" w:rsidRPr="00E03822" w:rsidRDefault="00865A69" w:rsidP="00644B6C">
            <w:pPr>
              <w:jc w:val="right"/>
              <w:rPr>
                <w:rFonts w:cstheme="minorHAnsi"/>
                <w:color w:val="000000"/>
                <w:sz w:val="18"/>
                <w:szCs w:val="18"/>
              </w:rPr>
            </w:pPr>
            <w:r>
              <w:rPr>
                <w:rFonts w:cstheme="minorHAnsi"/>
                <w:color w:val="000000"/>
                <w:sz w:val="18"/>
                <w:szCs w:val="18"/>
              </w:rPr>
              <w:t>1,847</w:t>
            </w:r>
          </w:p>
        </w:tc>
        <w:tc>
          <w:tcPr>
            <w:tcW w:w="630" w:type="pct"/>
            <w:vAlign w:val="center"/>
          </w:tcPr>
          <w:p w14:paraId="57431CD8"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c>
          <w:tcPr>
            <w:tcW w:w="630" w:type="pct"/>
            <w:vAlign w:val="center"/>
          </w:tcPr>
          <w:p w14:paraId="44B67085"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c>
          <w:tcPr>
            <w:tcW w:w="630" w:type="pct"/>
            <w:vAlign w:val="center"/>
          </w:tcPr>
          <w:p w14:paraId="2607874B"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r>
    </w:tbl>
    <w:p w14:paraId="2FBA8F93" w14:textId="77777777" w:rsidR="001D393F" w:rsidRDefault="001D393F" w:rsidP="00865A69">
      <w:pPr>
        <w:widowControl w:val="0"/>
        <w:spacing w:after="120" w:line="21" w:lineRule="atLeast"/>
      </w:pPr>
    </w:p>
    <w:p w14:paraId="6D611D56" w14:textId="1E75FEBE" w:rsidR="00865A69" w:rsidRDefault="00865A69" w:rsidP="00865A69">
      <w:pPr>
        <w:widowControl w:val="0"/>
        <w:spacing w:after="120" w:line="21" w:lineRule="atLeast"/>
      </w:pPr>
      <w:r>
        <w:t>Estimates of the minimum number of students to sample in the BYFS were derived by adjusting the 1,708 and 978 required for a twelfth-grade cohort to account for a variety of factors including estimates of student response in 2020 (grade 9), 2024 (grade 12), and at some point a few years after 2024 representing a second follow-up as well as other factors, including the extent to which BYFS participating schools agree to participate in first and second follow-up studies and the extent to which students are expected to move between schools between grades 9 and 12.</w:t>
      </w:r>
    </w:p>
    <w:p w14:paraId="02645D37" w14:textId="6A36D543" w:rsidR="00865A69" w:rsidRDefault="00865A69" w:rsidP="00865A69">
      <w:pPr>
        <w:widowControl w:val="0"/>
        <w:spacing w:after="120" w:line="21" w:lineRule="atLeast"/>
      </w:pPr>
      <w:r>
        <w:t xml:space="preserve">Using the minimum sample sizes reported in the top row of table </w:t>
      </w:r>
      <w:r w:rsidR="00DA1436">
        <w:t>6</w:t>
      </w:r>
      <w:r>
        <w:t>, the minimum required sample size is 17,500 (3,500*5) students but the sample allocation substantially oversamples AIAN, non-Hispanic students; Asian, non-Hispanic students; students attending virtual schools; and students attending charter schools. The sample allocation substantially undersamples Other, non-Hispanic students and undersamples Hispanic students. In order to reduce the impact of disproportionate sampling on national estimates and estimates that compare or combine estimates across student categories, the sample sizes for the Hispanic and Other, non-Hispanic student domains were increased. The increases in the Hispanic and Other, non-Hispanic student domains were determined by specifying and solving a non-linear optimization problem that sought to determine the total student sample size and student domain sample sizes that would produce design effects of 2.5 or less for estimates of means within each of the five key student race/ethnicity groups. The solution of this non-linear optimization problem indicated a total student sample size of 26,000 students would be required. The allocation of these 26,000 students to each of the five key student/race ethnicity groups was also determined by the solution to the non-linear optimization problem and the allocation is reported in the second row of table 7.</w:t>
      </w:r>
    </w:p>
    <w:p w14:paraId="5F58C339" w14:textId="6EB36D73" w:rsidR="00865A69" w:rsidRDefault="00865A69" w:rsidP="000D5575">
      <w:pPr>
        <w:keepNext/>
        <w:tabs>
          <w:tab w:val="left" w:pos="8649"/>
        </w:tabs>
        <w:spacing w:before="240" w:after="60" w:line="240" w:lineRule="auto"/>
        <w:rPr>
          <w:b/>
          <w:bCs/>
        </w:rPr>
      </w:pPr>
      <w:r w:rsidRPr="00055301">
        <w:rPr>
          <w:b/>
          <w:bCs/>
        </w:rPr>
        <w:t xml:space="preserve">Table </w:t>
      </w:r>
      <w:r>
        <w:rPr>
          <w:b/>
          <w:bCs/>
        </w:rPr>
        <w:t>7</w:t>
      </w:r>
      <w:r w:rsidRPr="00055301">
        <w:rPr>
          <w:b/>
          <w:bCs/>
        </w:rPr>
        <w:t>.</w:t>
      </w:r>
      <w:r>
        <w:rPr>
          <w:b/>
          <w:bCs/>
        </w:rPr>
        <w:t xml:space="preserve"> </w:t>
      </w:r>
      <w:r w:rsidRPr="00055301">
        <w:rPr>
          <w:b/>
          <w:bCs/>
        </w:rPr>
        <w:t>Final Student Sample Sizes and Expected</w:t>
      </w:r>
      <w:r>
        <w:rPr>
          <w:b/>
          <w:bCs/>
        </w:rPr>
        <w:t xml:space="preserve"> Minimum</w:t>
      </w:r>
      <w:r w:rsidRPr="00055301">
        <w:rPr>
          <w:b/>
          <w:bCs/>
        </w:rPr>
        <w:t xml:space="preserve"> Student Participation</w:t>
      </w:r>
    </w:p>
    <w:tbl>
      <w:tblPr>
        <w:tblStyle w:val="TableGrid"/>
        <w:tblW w:w="5000" w:type="pct"/>
        <w:tblLook w:val="04A0" w:firstRow="1" w:lastRow="0" w:firstColumn="1" w:lastColumn="0" w:noHBand="0" w:noVBand="1"/>
      </w:tblPr>
      <w:tblGrid>
        <w:gridCol w:w="3883"/>
        <w:gridCol w:w="1199"/>
        <w:gridCol w:w="1201"/>
        <w:gridCol w:w="1201"/>
        <w:gridCol w:w="1201"/>
        <w:gridCol w:w="1201"/>
        <w:gridCol w:w="1130"/>
      </w:tblGrid>
      <w:tr w:rsidR="00865A69" w:rsidRPr="00455150" w14:paraId="24412EA4" w14:textId="77777777" w:rsidTr="00D96242">
        <w:trPr>
          <w:tblHeader/>
        </w:trPr>
        <w:tc>
          <w:tcPr>
            <w:tcW w:w="1763" w:type="pct"/>
            <w:shd w:val="clear" w:color="auto" w:fill="FAFBFE"/>
            <w:vAlign w:val="center"/>
          </w:tcPr>
          <w:p w14:paraId="6B463D0B" w14:textId="77777777" w:rsidR="00865A69" w:rsidRPr="00E03822" w:rsidRDefault="00865A69" w:rsidP="00644B6C">
            <w:pPr>
              <w:rPr>
                <w:rFonts w:cstheme="minorHAnsi"/>
                <w:b/>
                <w:bCs/>
                <w:color w:val="000000"/>
                <w:sz w:val="18"/>
                <w:szCs w:val="18"/>
              </w:rPr>
            </w:pPr>
            <w:r w:rsidRPr="00E03822">
              <w:rPr>
                <w:rFonts w:cstheme="minorHAnsi"/>
                <w:b/>
                <w:bCs/>
                <w:color w:val="000000"/>
                <w:sz w:val="18"/>
                <w:szCs w:val="18"/>
              </w:rPr>
              <w:t>Assumption</w:t>
            </w:r>
          </w:p>
        </w:tc>
        <w:tc>
          <w:tcPr>
            <w:tcW w:w="544" w:type="pct"/>
            <w:shd w:val="clear" w:color="auto" w:fill="FAFBFE"/>
            <w:vAlign w:val="center"/>
          </w:tcPr>
          <w:p w14:paraId="00A0CFF4" w14:textId="77777777" w:rsidR="00865A69" w:rsidRDefault="00865A69" w:rsidP="00644B6C">
            <w:pPr>
              <w:jc w:val="right"/>
              <w:rPr>
                <w:rFonts w:cstheme="minorHAnsi"/>
                <w:b/>
                <w:bCs/>
                <w:color w:val="000000"/>
                <w:sz w:val="18"/>
                <w:szCs w:val="18"/>
              </w:rPr>
            </w:pPr>
            <w:r>
              <w:rPr>
                <w:rFonts w:cstheme="minorHAnsi"/>
                <w:b/>
                <w:bCs/>
                <w:color w:val="000000"/>
                <w:sz w:val="18"/>
                <w:szCs w:val="18"/>
              </w:rPr>
              <w:t>AIAN, non-Hispanic</w:t>
            </w:r>
          </w:p>
        </w:tc>
        <w:tc>
          <w:tcPr>
            <w:tcW w:w="545" w:type="pct"/>
            <w:shd w:val="clear" w:color="auto" w:fill="FAFBFE"/>
            <w:vAlign w:val="center"/>
          </w:tcPr>
          <w:p w14:paraId="345667FB" w14:textId="77777777" w:rsidR="00865A69" w:rsidRDefault="00865A69" w:rsidP="00644B6C">
            <w:pPr>
              <w:jc w:val="right"/>
              <w:rPr>
                <w:rFonts w:cstheme="minorHAnsi"/>
                <w:b/>
                <w:bCs/>
                <w:color w:val="000000"/>
                <w:sz w:val="18"/>
                <w:szCs w:val="18"/>
              </w:rPr>
            </w:pPr>
            <w:r>
              <w:rPr>
                <w:rFonts w:cstheme="minorHAnsi"/>
                <w:b/>
                <w:bCs/>
                <w:color w:val="000000"/>
                <w:sz w:val="18"/>
                <w:szCs w:val="18"/>
              </w:rPr>
              <w:t>Asian, non-Hispanic</w:t>
            </w:r>
          </w:p>
        </w:tc>
        <w:tc>
          <w:tcPr>
            <w:tcW w:w="545" w:type="pct"/>
            <w:shd w:val="clear" w:color="auto" w:fill="FAFBFE"/>
            <w:vAlign w:val="center"/>
          </w:tcPr>
          <w:p w14:paraId="71DFE5B1" w14:textId="77777777" w:rsidR="00865A69" w:rsidRDefault="00865A69" w:rsidP="00644B6C">
            <w:pPr>
              <w:jc w:val="right"/>
              <w:rPr>
                <w:rFonts w:cstheme="minorHAnsi"/>
                <w:b/>
                <w:bCs/>
                <w:color w:val="000000"/>
                <w:sz w:val="18"/>
                <w:szCs w:val="18"/>
              </w:rPr>
            </w:pPr>
            <w:r>
              <w:rPr>
                <w:rFonts w:cstheme="minorHAnsi"/>
                <w:b/>
                <w:bCs/>
                <w:color w:val="000000"/>
                <w:sz w:val="18"/>
                <w:szCs w:val="18"/>
              </w:rPr>
              <w:t>Hispanic</w:t>
            </w:r>
          </w:p>
        </w:tc>
        <w:tc>
          <w:tcPr>
            <w:tcW w:w="545" w:type="pct"/>
            <w:shd w:val="clear" w:color="auto" w:fill="FAFBFE"/>
            <w:vAlign w:val="center"/>
          </w:tcPr>
          <w:p w14:paraId="357BB704" w14:textId="77777777" w:rsidR="00865A69" w:rsidRDefault="00865A69" w:rsidP="00644B6C">
            <w:pPr>
              <w:jc w:val="right"/>
              <w:rPr>
                <w:rFonts w:cstheme="minorHAnsi"/>
                <w:b/>
                <w:bCs/>
                <w:color w:val="000000"/>
                <w:sz w:val="18"/>
                <w:szCs w:val="18"/>
              </w:rPr>
            </w:pPr>
            <w:r>
              <w:rPr>
                <w:rFonts w:cstheme="minorHAnsi"/>
                <w:b/>
                <w:bCs/>
                <w:color w:val="000000"/>
                <w:sz w:val="18"/>
                <w:szCs w:val="18"/>
              </w:rPr>
              <w:t>Black, non-Hispanic</w:t>
            </w:r>
          </w:p>
        </w:tc>
        <w:tc>
          <w:tcPr>
            <w:tcW w:w="545" w:type="pct"/>
            <w:shd w:val="clear" w:color="auto" w:fill="FAFBFE"/>
            <w:vAlign w:val="center"/>
          </w:tcPr>
          <w:p w14:paraId="6628F27C" w14:textId="77777777" w:rsidR="00865A69" w:rsidRDefault="00865A69" w:rsidP="00644B6C">
            <w:pPr>
              <w:jc w:val="right"/>
              <w:rPr>
                <w:rFonts w:cstheme="minorHAnsi"/>
                <w:b/>
                <w:bCs/>
                <w:color w:val="000000"/>
                <w:sz w:val="18"/>
                <w:szCs w:val="18"/>
              </w:rPr>
            </w:pPr>
            <w:r>
              <w:rPr>
                <w:rFonts w:cstheme="minorHAnsi"/>
                <w:b/>
                <w:bCs/>
                <w:color w:val="000000"/>
                <w:sz w:val="18"/>
                <w:szCs w:val="18"/>
              </w:rPr>
              <w:t>Other, non-Hispanic</w:t>
            </w:r>
          </w:p>
        </w:tc>
        <w:tc>
          <w:tcPr>
            <w:tcW w:w="514" w:type="pct"/>
            <w:shd w:val="clear" w:color="auto" w:fill="FAFBFE"/>
            <w:vAlign w:val="center"/>
          </w:tcPr>
          <w:p w14:paraId="4BEB7DAD"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Total</w:t>
            </w:r>
          </w:p>
        </w:tc>
      </w:tr>
      <w:tr w:rsidR="00865A69" w:rsidRPr="00455150" w14:paraId="12C7F3ED" w14:textId="77777777" w:rsidTr="00644B6C">
        <w:tc>
          <w:tcPr>
            <w:tcW w:w="1763" w:type="pct"/>
            <w:vAlign w:val="center"/>
          </w:tcPr>
          <w:p w14:paraId="73A7066B" w14:textId="595B36E6"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544" w:type="pct"/>
            <w:vAlign w:val="center"/>
          </w:tcPr>
          <w:p w14:paraId="69AE2397"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58984746"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64F32617" w14:textId="77777777" w:rsidR="00865A69" w:rsidRDefault="00865A69" w:rsidP="00644B6C">
            <w:pPr>
              <w:jc w:val="right"/>
              <w:rPr>
                <w:rFonts w:cstheme="minorHAnsi"/>
                <w:color w:val="000000"/>
                <w:sz w:val="18"/>
                <w:szCs w:val="18"/>
              </w:rPr>
            </w:pPr>
            <w:r>
              <w:rPr>
                <w:rFonts w:cstheme="minorHAnsi"/>
                <w:color w:val="000000"/>
                <w:sz w:val="18"/>
                <w:szCs w:val="18"/>
              </w:rPr>
              <w:t>4,500</w:t>
            </w:r>
          </w:p>
        </w:tc>
        <w:tc>
          <w:tcPr>
            <w:tcW w:w="545" w:type="pct"/>
            <w:vAlign w:val="center"/>
          </w:tcPr>
          <w:p w14:paraId="5F091C24"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7B897E78" w14:textId="77777777" w:rsidR="00865A69" w:rsidRDefault="00865A69" w:rsidP="00644B6C">
            <w:pPr>
              <w:jc w:val="right"/>
              <w:rPr>
                <w:rFonts w:cstheme="minorHAnsi"/>
                <w:color w:val="000000"/>
                <w:sz w:val="18"/>
                <w:szCs w:val="18"/>
              </w:rPr>
            </w:pPr>
            <w:r>
              <w:rPr>
                <w:rFonts w:cstheme="minorHAnsi"/>
                <w:color w:val="000000"/>
                <w:sz w:val="18"/>
                <w:szCs w:val="18"/>
              </w:rPr>
              <w:t>11,000</w:t>
            </w:r>
          </w:p>
        </w:tc>
        <w:tc>
          <w:tcPr>
            <w:tcW w:w="514" w:type="pct"/>
            <w:vAlign w:val="center"/>
          </w:tcPr>
          <w:p w14:paraId="64C5C949" w14:textId="77777777" w:rsidR="00865A69" w:rsidRPr="00E03822" w:rsidRDefault="00865A69" w:rsidP="00644B6C">
            <w:pPr>
              <w:jc w:val="right"/>
              <w:rPr>
                <w:rFonts w:cstheme="minorHAnsi"/>
                <w:color w:val="000000"/>
                <w:sz w:val="18"/>
                <w:szCs w:val="18"/>
              </w:rPr>
            </w:pPr>
            <w:r>
              <w:rPr>
                <w:rFonts w:cstheme="minorHAnsi"/>
                <w:color w:val="000000"/>
                <w:sz w:val="18"/>
                <w:szCs w:val="18"/>
              </w:rPr>
              <w:t>26,000</w:t>
            </w:r>
          </w:p>
        </w:tc>
      </w:tr>
      <w:tr w:rsidR="00865A69" w:rsidRPr="00455150" w14:paraId="00BBDAA1" w14:textId="77777777" w:rsidTr="00644B6C">
        <w:tc>
          <w:tcPr>
            <w:tcW w:w="1763" w:type="pct"/>
            <w:vAlign w:val="center"/>
          </w:tcPr>
          <w:p w14:paraId="1BE58EFC" w14:textId="1B55EF06"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eligibility rate</w:t>
            </w:r>
          </w:p>
        </w:tc>
        <w:tc>
          <w:tcPr>
            <w:tcW w:w="544" w:type="pct"/>
            <w:vAlign w:val="center"/>
          </w:tcPr>
          <w:p w14:paraId="50AB22C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50610B59"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35FD28E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4C160785"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042B539C"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14" w:type="pct"/>
            <w:vAlign w:val="center"/>
          </w:tcPr>
          <w:p w14:paraId="0D33366E" w14:textId="77777777" w:rsidR="00865A69" w:rsidRPr="00E03822" w:rsidRDefault="00865A69" w:rsidP="00644B6C">
            <w:pPr>
              <w:jc w:val="right"/>
              <w:rPr>
                <w:rFonts w:cstheme="minorHAnsi"/>
                <w:color w:val="000000"/>
                <w:sz w:val="18"/>
                <w:szCs w:val="18"/>
              </w:rPr>
            </w:pPr>
          </w:p>
        </w:tc>
      </w:tr>
      <w:tr w:rsidR="00865A69" w:rsidRPr="00455150" w14:paraId="5A6970F7" w14:textId="77777777" w:rsidTr="00644B6C">
        <w:tc>
          <w:tcPr>
            <w:tcW w:w="1763" w:type="pct"/>
            <w:vAlign w:val="center"/>
          </w:tcPr>
          <w:p w14:paraId="41BEFC99" w14:textId="4ABF6802"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response rate</w:t>
            </w:r>
          </w:p>
        </w:tc>
        <w:tc>
          <w:tcPr>
            <w:tcW w:w="544" w:type="pct"/>
            <w:vAlign w:val="center"/>
          </w:tcPr>
          <w:p w14:paraId="56ED569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6A1EEDF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3F9AF44B"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369AAE8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67252264"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14" w:type="pct"/>
            <w:vAlign w:val="center"/>
          </w:tcPr>
          <w:p w14:paraId="16A53185" w14:textId="77777777" w:rsidR="00865A69" w:rsidRPr="00E03822" w:rsidRDefault="00865A69" w:rsidP="00644B6C">
            <w:pPr>
              <w:jc w:val="right"/>
              <w:rPr>
                <w:rFonts w:cstheme="minorHAnsi"/>
                <w:color w:val="000000"/>
                <w:sz w:val="18"/>
                <w:szCs w:val="18"/>
              </w:rPr>
            </w:pPr>
          </w:p>
        </w:tc>
      </w:tr>
      <w:tr w:rsidR="00865A69" w:rsidRPr="00455150" w14:paraId="1BEDC24F" w14:textId="77777777" w:rsidTr="00644B6C">
        <w:tc>
          <w:tcPr>
            <w:tcW w:w="1763" w:type="pct"/>
            <w:vAlign w:val="center"/>
          </w:tcPr>
          <w:p w14:paraId="1A1F8FAC" w14:textId="2C0602B9"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respondents</w:t>
            </w:r>
          </w:p>
        </w:tc>
        <w:tc>
          <w:tcPr>
            <w:tcW w:w="544" w:type="pct"/>
            <w:vAlign w:val="center"/>
          </w:tcPr>
          <w:p w14:paraId="47D76817"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2DC11372"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6313D521" w14:textId="77777777" w:rsidR="00865A69" w:rsidRDefault="00865A69" w:rsidP="00644B6C">
            <w:pPr>
              <w:jc w:val="right"/>
              <w:rPr>
                <w:rFonts w:cstheme="minorHAnsi"/>
                <w:color w:val="000000"/>
                <w:sz w:val="18"/>
                <w:szCs w:val="18"/>
              </w:rPr>
            </w:pPr>
            <w:r>
              <w:rPr>
                <w:rFonts w:cstheme="minorHAnsi"/>
                <w:color w:val="000000"/>
                <w:sz w:val="18"/>
                <w:szCs w:val="18"/>
              </w:rPr>
              <w:t>3,634</w:t>
            </w:r>
          </w:p>
        </w:tc>
        <w:tc>
          <w:tcPr>
            <w:tcW w:w="545" w:type="pct"/>
            <w:vAlign w:val="center"/>
          </w:tcPr>
          <w:p w14:paraId="0AE42F3B"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6EF48E8C" w14:textId="77777777" w:rsidR="00865A69" w:rsidRDefault="00865A69" w:rsidP="00644B6C">
            <w:pPr>
              <w:jc w:val="right"/>
              <w:rPr>
                <w:rFonts w:cstheme="minorHAnsi"/>
                <w:color w:val="000000"/>
                <w:sz w:val="18"/>
                <w:szCs w:val="18"/>
              </w:rPr>
            </w:pPr>
            <w:r>
              <w:rPr>
                <w:rFonts w:cstheme="minorHAnsi"/>
                <w:color w:val="000000"/>
                <w:sz w:val="18"/>
                <w:szCs w:val="18"/>
              </w:rPr>
              <w:t>8,883</w:t>
            </w:r>
          </w:p>
        </w:tc>
        <w:tc>
          <w:tcPr>
            <w:tcW w:w="514" w:type="pct"/>
            <w:vAlign w:val="center"/>
          </w:tcPr>
          <w:p w14:paraId="370D7FD4" w14:textId="77777777" w:rsidR="00865A69" w:rsidRPr="00E03822" w:rsidRDefault="00865A69" w:rsidP="00644B6C">
            <w:pPr>
              <w:jc w:val="right"/>
              <w:rPr>
                <w:rFonts w:cstheme="minorHAnsi"/>
                <w:color w:val="000000"/>
                <w:sz w:val="18"/>
                <w:szCs w:val="18"/>
              </w:rPr>
            </w:pPr>
            <w:r>
              <w:rPr>
                <w:rFonts w:cstheme="minorHAnsi"/>
                <w:color w:val="000000"/>
                <w:sz w:val="18"/>
                <w:szCs w:val="18"/>
              </w:rPr>
              <w:t>20,995</w:t>
            </w:r>
          </w:p>
        </w:tc>
      </w:tr>
      <w:tr w:rsidR="00865A69" w:rsidRPr="00455150" w14:paraId="1672D9F2" w14:textId="77777777" w:rsidTr="00644B6C">
        <w:tc>
          <w:tcPr>
            <w:tcW w:w="1763" w:type="pct"/>
            <w:vAlign w:val="center"/>
          </w:tcPr>
          <w:p w14:paraId="0B43FF75" w14:textId="7DA33F8E" w:rsidR="00865A69" w:rsidRPr="00E03822" w:rsidRDefault="00865A69" w:rsidP="00644B6C">
            <w:pPr>
              <w:autoSpaceDE w:val="0"/>
              <w:autoSpaceDN w:val="0"/>
              <w:adjustRightInd w:val="0"/>
              <w:rPr>
                <w:rFonts w:cstheme="minorHAnsi"/>
                <w:color w:val="000000"/>
                <w:sz w:val="18"/>
                <w:szCs w:val="18"/>
              </w:rPr>
            </w:pPr>
            <w:r w:rsidRPr="00443B15">
              <w:rPr>
                <w:rFonts w:cstheme="minorHAnsi"/>
                <w:color w:val="000000"/>
                <w:sz w:val="18"/>
                <w:szCs w:val="18"/>
              </w:rPr>
              <w:t xml:space="preserve">Percentage of </w:t>
            </w:r>
            <w:r w:rsidR="00DA1436">
              <w:rPr>
                <w:rFonts w:cstheme="minorHAnsi"/>
                <w:color w:val="000000"/>
                <w:sz w:val="18"/>
                <w:szCs w:val="18"/>
              </w:rPr>
              <w:t>Ninth</w:t>
            </w:r>
            <w:r w:rsidRPr="00443B15">
              <w:rPr>
                <w:rFonts w:cstheme="minorHAnsi"/>
                <w:color w:val="000000"/>
                <w:sz w:val="18"/>
                <w:szCs w:val="18"/>
              </w:rPr>
              <w:t>-grade students not in base-year school or whose status is indeterminate</w:t>
            </w:r>
            <w:r>
              <w:rPr>
                <w:rFonts w:cstheme="minorHAnsi"/>
                <w:color w:val="000000"/>
                <w:sz w:val="18"/>
                <w:szCs w:val="18"/>
                <w:vertAlign w:val="superscript"/>
              </w:rPr>
              <w:t>9</w:t>
            </w:r>
            <w:r w:rsidRPr="00443B15">
              <w:rPr>
                <w:rFonts w:cstheme="minorHAnsi"/>
                <w:color w:val="000000"/>
                <w:sz w:val="18"/>
                <w:szCs w:val="18"/>
              </w:rPr>
              <w:t xml:space="preserve"> as of the first</w:t>
            </w:r>
            <w:r>
              <w:rPr>
                <w:rFonts w:cstheme="minorHAnsi"/>
                <w:color w:val="000000"/>
                <w:sz w:val="18"/>
                <w:szCs w:val="18"/>
              </w:rPr>
              <w:t xml:space="preserve"> </w:t>
            </w:r>
            <w:r w:rsidRPr="00443B15">
              <w:rPr>
                <w:rFonts w:cstheme="minorHAnsi"/>
                <w:color w:val="000000"/>
                <w:sz w:val="18"/>
                <w:szCs w:val="18"/>
              </w:rPr>
              <w:t>follow-up</w:t>
            </w:r>
          </w:p>
        </w:tc>
        <w:tc>
          <w:tcPr>
            <w:tcW w:w="544" w:type="pct"/>
            <w:vAlign w:val="center"/>
          </w:tcPr>
          <w:p w14:paraId="4AABEC2B"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408FFE18"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6F13BBB4"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6314D230"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30D0678F"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14" w:type="pct"/>
            <w:vAlign w:val="center"/>
          </w:tcPr>
          <w:p w14:paraId="4621B6E9" w14:textId="77777777" w:rsidR="00865A69" w:rsidRPr="00E03822" w:rsidRDefault="00865A69" w:rsidP="00644B6C">
            <w:pPr>
              <w:jc w:val="right"/>
              <w:rPr>
                <w:rFonts w:cstheme="minorHAnsi"/>
                <w:color w:val="000000"/>
                <w:sz w:val="18"/>
                <w:szCs w:val="18"/>
              </w:rPr>
            </w:pPr>
          </w:p>
        </w:tc>
      </w:tr>
      <w:tr w:rsidR="00865A69" w:rsidRPr="00455150" w14:paraId="63217F74" w14:textId="77777777" w:rsidTr="00644B6C">
        <w:tc>
          <w:tcPr>
            <w:tcW w:w="1763" w:type="pct"/>
            <w:vAlign w:val="center"/>
          </w:tcPr>
          <w:p w14:paraId="4F1FCF76" w14:textId="7ACA2E4E"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known to be in base-year schools</w:t>
            </w:r>
          </w:p>
        </w:tc>
        <w:tc>
          <w:tcPr>
            <w:tcW w:w="544" w:type="pct"/>
            <w:vAlign w:val="center"/>
          </w:tcPr>
          <w:p w14:paraId="1266C4B3"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0B94D0E9"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671F31DD"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32C8E678"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603E54BF"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14" w:type="pct"/>
            <w:vAlign w:val="center"/>
          </w:tcPr>
          <w:p w14:paraId="52460458" w14:textId="77777777" w:rsidR="00865A69" w:rsidRPr="00E03822" w:rsidRDefault="00865A69" w:rsidP="00644B6C">
            <w:pPr>
              <w:jc w:val="right"/>
              <w:rPr>
                <w:rFonts w:cstheme="minorHAnsi"/>
                <w:color w:val="000000"/>
                <w:sz w:val="18"/>
                <w:szCs w:val="18"/>
              </w:rPr>
            </w:pPr>
          </w:p>
        </w:tc>
      </w:tr>
      <w:tr w:rsidR="00865A69" w:rsidRPr="00455150" w14:paraId="6E344B4F" w14:textId="77777777" w:rsidTr="00644B6C">
        <w:tc>
          <w:tcPr>
            <w:tcW w:w="1763" w:type="pct"/>
            <w:vAlign w:val="center"/>
          </w:tcPr>
          <w:p w14:paraId="17237D07" w14:textId="395F7320" w:rsidR="00865A69" w:rsidRPr="00E03822" w:rsidRDefault="00DA1436" w:rsidP="00644B6C">
            <w:pPr>
              <w:rPr>
                <w:rFonts w:cstheme="minorHAnsi"/>
                <w:color w:val="000000"/>
                <w:sz w:val="18"/>
                <w:szCs w:val="18"/>
              </w:rPr>
            </w:pPr>
            <w:r>
              <w:rPr>
                <w:rFonts w:cstheme="minorHAnsi"/>
                <w:color w:val="000000"/>
                <w:sz w:val="18"/>
                <w:szCs w:val="18"/>
              </w:rPr>
              <w:t>Twelfth</w:t>
            </w:r>
            <w:r w:rsidRPr="00443B15" w:rsidDel="00DA1436">
              <w:rPr>
                <w:rFonts w:cstheme="minorHAnsi"/>
                <w:color w:val="000000"/>
                <w:sz w:val="18"/>
                <w:szCs w:val="18"/>
              </w:rPr>
              <w:t xml:space="preserve"> </w:t>
            </w:r>
            <w:r w:rsidR="00865A69" w:rsidRPr="00443B15">
              <w:rPr>
                <w:rFonts w:cstheme="minorHAnsi"/>
                <w:color w:val="000000"/>
                <w:sz w:val="18"/>
                <w:szCs w:val="18"/>
              </w:rPr>
              <w:t>-grade response rate among students not in base-year schools or whose status is indeterminate</w:t>
            </w:r>
          </w:p>
        </w:tc>
        <w:tc>
          <w:tcPr>
            <w:tcW w:w="544" w:type="pct"/>
            <w:vAlign w:val="center"/>
          </w:tcPr>
          <w:p w14:paraId="478040FF"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1E4A4D1B"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237CCFD0"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063D3196"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74A404DB"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14" w:type="pct"/>
            <w:vAlign w:val="center"/>
          </w:tcPr>
          <w:p w14:paraId="535B3CB2" w14:textId="77777777" w:rsidR="00865A69" w:rsidRPr="00E03822" w:rsidRDefault="00865A69" w:rsidP="00644B6C">
            <w:pPr>
              <w:jc w:val="right"/>
              <w:rPr>
                <w:rFonts w:cstheme="minorHAnsi"/>
                <w:color w:val="000000"/>
                <w:sz w:val="18"/>
                <w:szCs w:val="18"/>
              </w:rPr>
            </w:pPr>
          </w:p>
        </w:tc>
      </w:tr>
      <w:tr w:rsidR="00865A69" w:rsidRPr="00455150" w14:paraId="03BBD347" w14:textId="77777777" w:rsidTr="00644B6C">
        <w:tc>
          <w:tcPr>
            <w:tcW w:w="1763" w:type="pct"/>
            <w:vAlign w:val="center"/>
          </w:tcPr>
          <w:p w14:paraId="6739FCF3"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544" w:type="pct"/>
            <w:vAlign w:val="center"/>
          </w:tcPr>
          <w:p w14:paraId="36A9DBCE"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2D624C66"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2F19A160" w14:textId="77777777" w:rsidR="00865A69" w:rsidRDefault="00865A69" w:rsidP="00644B6C">
            <w:pPr>
              <w:jc w:val="right"/>
              <w:rPr>
                <w:rFonts w:cstheme="minorHAnsi"/>
                <w:color w:val="000000"/>
                <w:sz w:val="18"/>
                <w:szCs w:val="18"/>
              </w:rPr>
            </w:pPr>
            <w:r>
              <w:rPr>
                <w:rFonts w:cstheme="minorHAnsi"/>
                <w:color w:val="000000"/>
                <w:sz w:val="18"/>
                <w:szCs w:val="18"/>
              </w:rPr>
              <w:t>2,911</w:t>
            </w:r>
          </w:p>
        </w:tc>
        <w:tc>
          <w:tcPr>
            <w:tcW w:w="545" w:type="pct"/>
            <w:vAlign w:val="center"/>
          </w:tcPr>
          <w:p w14:paraId="05509BD2"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007686C2" w14:textId="77777777" w:rsidR="00865A69" w:rsidRDefault="00865A69" w:rsidP="00644B6C">
            <w:pPr>
              <w:jc w:val="right"/>
              <w:rPr>
                <w:rFonts w:cstheme="minorHAnsi"/>
                <w:color w:val="000000"/>
                <w:sz w:val="18"/>
                <w:szCs w:val="18"/>
              </w:rPr>
            </w:pPr>
            <w:r>
              <w:rPr>
                <w:rFonts w:cstheme="minorHAnsi"/>
                <w:color w:val="000000"/>
                <w:sz w:val="18"/>
                <w:szCs w:val="18"/>
              </w:rPr>
              <w:t>7,115</w:t>
            </w:r>
          </w:p>
        </w:tc>
        <w:tc>
          <w:tcPr>
            <w:tcW w:w="514" w:type="pct"/>
            <w:vAlign w:val="center"/>
          </w:tcPr>
          <w:p w14:paraId="5E1C6E2E" w14:textId="77777777" w:rsidR="00865A69" w:rsidRPr="00E03822" w:rsidRDefault="00865A69" w:rsidP="00644B6C">
            <w:pPr>
              <w:jc w:val="right"/>
              <w:rPr>
                <w:rFonts w:cstheme="minorHAnsi"/>
                <w:color w:val="000000"/>
                <w:sz w:val="18"/>
                <w:szCs w:val="18"/>
              </w:rPr>
            </w:pPr>
            <w:r>
              <w:rPr>
                <w:rFonts w:cstheme="minorHAnsi"/>
                <w:color w:val="000000"/>
                <w:sz w:val="18"/>
                <w:szCs w:val="18"/>
              </w:rPr>
              <w:t>16,818</w:t>
            </w:r>
          </w:p>
        </w:tc>
      </w:tr>
      <w:tr w:rsidR="00865A69" w:rsidRPr="00455150" w14:paraId="673A82D0" w14:textId="77777777" w:rsidTr="00644B6C">
        <w:tc>
          <w:tcPr>
            <w:tcW w:w="1763" w:type="pct"/>
            <w:vAlign w:val="center"/>
          </w:tcPr>
          <w:p w14:paraId="57A4ED55"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544" w:type="pct"/>
            <w:vAlign w:val="center"/>
          </w:tcPr>
          <w:p w14:paraId="6D31CBF7"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2A6AA6C3"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588C4D32"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197A6683"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07BB5FEC"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14" w:type="pct"/>
            <w:vAlign w:val="center"/>
          </w:tcPr>
          <w:p w14:paraId="3A5B9A48" w14:textId="77777777" w:rsidR="00865A69" w:rsidRPr="00E03822" w:rsidRDefault="00865A69" w:rsidP="00644B6C">
            <w:pPr>
              <w:jc w:val="right"/>
              <w:rPr>
                <w:rFonts w:cstheme="minorHAnsi"/>
                <w:color w:val="000000"/>
                <w:sz w:val="18"/>
                <w:szCs w:val="18"/>
              </w:rPr>
            </w:pPr>
          </w:p>
        </w:tc>
      </w:tr>
      <w:tr w:rsidR="00865A69" w:rsidRPr="00455150" w14:paraId="743E9E03" w14:textId="77777777" w:rsidTr="00644B6C">
        <w:tc>
          <w:tcPr>
            <w:tcW w:w="1763" w:type="pct"/>
            <w:vAlign w:val="center"/>
          </w:tcPr>
          <w:p w14:paraId="4AB94A6A"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544" w:type="pct"/>
            <w:vAlign w:val="center"/>
          </w:tcPr>
          <w:p w14:paraId="4168B114"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685E2DAC"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000AFE6C"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40CF2E08"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6725B69B"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14" w:type="pct"/>
            <w:vAlign w:val="center"/>
          </w:tcPr>
          <w:p w14:paraId="2CDB4DA6" w14:textId="77777777" w:rsidR="00865A69" w:rsidRPr="00E03822" w:rsidRDefault="00865A69" w:rsidP="00644B6C">
            <w:pPr>
              <w:jc w:val="right"/>
              <w:rPr>
                <w:rFonts w:cstheme="minorHAnsi"/>
                <w:color w:val="000000"/>
                <w:sz w:val="18"/>
                <w:szCs w:val="18"/>
              </w:rPr>
            </w:pPr>
          </w:p>
        </w:tc>
      </w:tr>
      <w:tr w:rsidR="00865A69" w:rsidRPr="00455150" w14:paraId="5D2B63A6" w14:textId="77777777" w:rsidTr="00644B6C">
        <w:tc>
          <w:tcPr>
            <w:tcW w:w="1763" w:type="pct"/>
            <w:vAlign w:val="center"/>
          </w:tcPr>
          <w:p w14:paraId="2140C896"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544" w:type="pct"/>
            <w:vAlign w:val="center"/>
          </w:tcPr>
          <w:p w14:paraId="4D5BE0C2"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58CA4A24"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638B34D9"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6E7746A4"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70DDEB4D"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14" w:type="pct"/>
            <w:vAlign w:val="center"/>
          </w:tcPr>
          <w:p w14:paraId="0C98CE34" w14:textId="77777777" w:rsidR="00865A69" w:rsidRPr="00E03822" w:rsidRDefault="00865A69" w:rsidP="00644B6C">
            <w:pPr>
              <w:jc w:val="right"/>
              <w:rPr>
                <w:rFonts w:cstheme="minorHAnsi"/>
                <w:color w:val="000000"/>
                <w:sz w:val="18"/>
                <w:szCs w:val="18"/>
              </w:rPr>
            </w:pPr>
          </w:p>
        </w:tc>
      </w:tr>
      <w:tr w:rsidR="00865A69" w:rsidRPr="00455150" w14:paraId="12BC1615" w14:textId="77777777" w:rsidTr="00644B6C">
        <w:tc>
          <w:tcPr>
            <w:tcW w:w="1763" w:type="pct"/>
            <w:vAlign w:val="center"/>
          </w:tcPr>
          <w:p w14:paraId="649AD170"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544" w:type="pct"/>
            <w:vAlign w:val="center"/>
          </w:tcPr>
          <w:p w14:paraId="22619260"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14393ACE"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7291A0B6" w14:textId="77777777" w:rsidR="00865A69" w:rsidRDefault="00865A69" w:rsidP="00644B6C">
            <w:pPr>
              <w:jc w:val="right"/>
              <w:rPr>
                <w:rFonts w:cstheme="minorHAnsi"/>
                <w:color w:val="000000"/>
                <w:sz w:val="18"/>
                <w:szCs w:val="18"/>
              </w:rPr>
            </w:pPr>
            <w:r>
              <w:rPr>
                <w:rFonts w:cstheme="minorHAnsi"/>
                <w:color w:val="000000"/>
                <w:sz w:val="18"/>
                <w:szCs w:val="18"/>
              </w:rPr>
              <w:t>2,375</w:t>
            </w:r>
          </w:p>
        </w:tc>
        <w:tc>
          <w:tcPr>
            <w:tcW w:w="545" w:type="pct"/>
            <w:vAlign w:val="center"/>
          </w:tcPr>
          <w:p w14:paraId="57CF68F1"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4AF9C516" w14:textId="77777777" w:rsidR="00865A69" w:rsidRDefault="00865A69" w:rsidP="00644B6C">
            <w:pPr>
              <w:jc w:val="right"/>
              <w:rPr>
                <w:rFonts w:cstheme="minorHAnsi"/>
                <w:color w:val="000000"/>
                <w:sz w:val="18"/>
                <w:szCs w:val="18"/>
              </w:rPr>
            </w:pPr>
            <w:r>
              <w:rPr>
                <w:rFonts w:cstheme="minorHAnsi"/>
                <w:color w:val="000000"/>
                <w:sz w:val="18"/>
                <w:szCs w:val="18"/>
              </w:rPr>
              <w:t>5,806</w:t>
            </w:r>
          </w:p>
        </w:tc>
        <w:tc>
          <w:tcPr>
            <w:tcW w:w="514" w:type="pct"/>
            <w:vAlign w:val="center"/>
          </w:tcPr>
          <w:p w14:paraId="6B0AA72B" w14:textId="77777777" w:rsidR="00865A69" w:rsidRPr="00E03822" w:rsidRDefault="00865A69" w:rsidP="00644B6C">
            <w:pPr>
              <w:jc w:val="right"/>
              <w:rPr>
                <w:rFonts w:cstheme="minorHAnsi"/>
                <w:color w:val="000000"/>
                <w:sz w:val="18"/>
                <w:szCs w:val="18"/>
              </w:rPr>
            </w:pPr>
            <w:r>
              <w:rPr>
                <w:rFonts w:cstheme="minorHAnsi"/>
                <w:color w:val="000000"/>
                <w:sz w:val="18"/>
                <w:szCs w:val="18"/>
              </w:rPr>
              <w:t>13,722</w:t>
            </w:r>
          </w:p>
        </w:tc>
      </w:tr>
    </w:tbl>
    <w:p w14:paraId="487D9B41" w14:textId="77777777" w:rsidR="00865A69" w:rsidRDefault="00865A69" w:rsidP="00865A69">
      <w:pPr>
        <w:widowControl w:val="0"/>
        <w:spacing w:after="120" w:line="21" w:lineRule="atLeast"/>
      </w:pPr>
    </w:p>
    <w:p w14:paraId="15B9DB5E" w14:textId="33AA19A9" w:rsidR="00865A69" w:rsidRDefault="00865A69" w:rsidP="00644B6C">
      <w:pPr>
        <w:widowControl w:val="0"/>
        <w:spacing w:after="120" w:line="240" w:lineRule="auto"/>
      </w:pPr>
      <w:r>
        <w:t>Therefore, for the BYFS the plan is to sample 28 students, on average, within each of 920 participating schools for a total of 26,000 sample students and, assuming the grade 9 eligibility and response rates shown in table 7</w:t>
      </w:r>
      <w:r w:rsidR="00CC6B7C">
        <w:t xml:space="preserve"> (a</w:t>
      </w:r>
      <w:r w:rsidR="00CC6B7C" w:rsidRPr="006F4DEC">
        <w:t xml:space="preserve">n estimated 5 percent of sampled students are </w:t>
      </w:r>
      <w:r w:rsidR="00CC6B7C">
        <w:t>expected</w:t>
      </w:r>
      <w:r w:rsidR="00CC6B7C" w:rsidRPr="006F4DEC">
        <w:t xml:space="preserve"> to be ineligible</w:t>
      </w:r>
      <w:r w:rsidR="00CC6B7C">
        <w:t>)</w:t>
      </w:r>
      <w:r>
        <w:t>, to produce approximately 20,995</w:t>
      </w:r>
      <w:r w:rsidR="00CC6B7C">
        <w:t xml:space="preserve"> participating grade 9 students</w:t>
      </w:r>
      <w:r w:rsidR="006F4DEC" w:rsidRPr="006F4DEC">
        <w:t>.</w:t>
      </w:r>
      <w:r w:rsidR="006F4DEC">
        <w:t xml:space="preserve"> </w:t>
      </w:r>
      <w:r w:rsidR="00A9193C">
        <w:t>Thus, to achieve a yield of 20,995</w:t>
      </w:r>
      <w:r w:rsidR="00A9193C" w:rsidRPr="000214E1">
        <w:t xml:space="preserve"> </w:t>
      </w:r>
      <w:r w:rsidR="00A9193C">
        <w:t xml:space="preserve">ninth-grade </w:t>
      </w:r>
      <w:r w:rsidR="00A9193C" w:rsidRPr="000214E1">
        <w:t xml:space="preserve">students, the parents of approximately </w:t>
      </w:r>
      <w:r w:rsidR="00A9193C">
        <w:t>24,700</w:t>
      </w:r>
      <w:r w:rsidR="00A9193C" w:rsidRPr="000214E1">
        <w:t xml:space="preserve"> </w:t>
      </w:r>
      <w:r w:rsidR="00A9193C">
        <w:t xml:space="preserve">ninth-grade </w:t>
      </w:r>
      <w:r w:rsidR="00A9193C" w:rsidRPr="000214E1">
        <w:t>students will need to</w:t>
      </w:r>
      <w:r w:rsidR="00A9193C">
        <w:t xml:space="preserve"> be contacted for consent (26,000*0.95=24,700).</w:t>
      </w:r>
      <w:r w:rsidR="00644B6C">
        <w:t xml:space="preserve"> </w:t>
      </w:r>
      <w:r>
        <w:t>The distribution of the grade 9 student sample and estimates of the number of participating students in the BYFS, first follow-up, and second follow-up are provided in table 7.</w:t>
      </w:r>
    </w:p>
    <w:p w14:paraId="78920A94" w14:textId="744FF14A" w:rsidR="0078194E" w:rsidRDefault="0081239F" w:rsidP="00FE3F78">
      <w:pPr>
        <w:widowControl w:val="0"/>
        <w:spacing w:after="120" w:line="240" w:lineRule="auto"/>
      </w:pPr>
      <w:r>
        <w:rPr>
          <w:b/>
        </w:rPr>
        <w:t>Roster Collection.</w:t>
      </w:r>
      <w:r w:rsidR="00F62DC4">
        <w:rPr>
          <w:b/>
        </w:rPr>
        <w:t xml:space="preserve"> </w:t>
      </w:r>
      <w:r w:rsidR="00F62DC4">
        <w:t>Beginning in the fall of 2019</w:t>
      </w:r>
      <w:r w:rsidR="00C54BCA">
        <w:t xml:space="preserve"> for the field test</w:t>
      </w:r>
      <w:r w:rsidR="00F62DC4">
        <w:t xml:space="preserve">, a roster of all ninth- and twelfth-grade students will be </w:t>
      </w:r>
      <w:r w:rsidR="00F62DC4" w:rsidRPr="00014B8B">
        <w:t>requested (appendix A</w:t>
      </w:r>
      <w:r w:rsidR="00D5255C">
        <w:t>.</w:t>
      </w:r>
      <w:r w:rsidR="00014B8B" w:rsidRPr="00014B8B">
        <w:t>10</w:t>
      </w:r>
      <w:r w:rsidR="00F62DC4" w:rsidRPr="00014B8B">
        <w:t xml:space="preserve">). </w:t>
      </w:r>
      <w:r w:rsidR="00CC6B7C">
        <w:t>BYFS</w:t>
      </w:r>
      <w:r w:rsidR="00C54BCA">
        <w:t xml:space="preserve"> rosters will be requested for ninth-grade students beginning in the fall of 2020.</w:t>
      </w:r>
    </w:p>
    <w:p w14:paraId="15ACBF09" w14:textId="77777777" w:rsidR="00416C02" w:rsidRDefault="00416C02" w:rsidP="00FE3F78">
      <w:pPr>
        <w:widowControl w:val="0"/>
        <w:spacing w:after="120" w:line="240" w:lineRule="auto"/>
      </w:pPr>
      <w:r w:rsidRPr="00014B8B">
        <w:t>The rosters</w:t>
      </w:r>
      <w:r>
        <w:t xml:space="preserve"> may be provided from the district or from the school, and it will be requested that the roster be provided once </w:t>
      </w:r>
      <w:r w:rsidR="00D5255C">
        <w:t>the enrollment</w:t>
      </w:r>
      <w:r>
        <w:t xml:space="preserve"> for the school year </w:t>
      </w:r>
      <w:r w:rsidR="00D5255C">
        <w:t xml:space="preserve">has stabilized (which is often approximately 4 weeks into the school year) </w:t>
      </w:r>
      <w:r>
        <w:t xml:space="preserve">to increase accuracy. Key information needed for student sampling will be requested, such as: </w:t>
      </w:r>
      <w:r w:rsidR="00C07C6E">
        <w:t xml:space="preserve">student </w:t>
      </w:r>
      <w:r>
        <w:t xml:space="preserve">name; school or district </w:t>
      </w:r>
      <w:r w:rsidR="00C07C6E">
        <w:t xml:space="preserve">student </w:t>
      </w:r>
      <w:r>
        <w:t xml:space="preserve">ID number; </w:t>
      </w:r>
      <w:r w:rsidR="00E119DE">
        <w:t>date</w:t>
      </w:r>
      <w:r>
        <w:t xml:space="preserve"> of birth; grade level; gender; race/ethnicity; and ELL status. Each of these characteristics is important for sampling purposes, but we will work with schools that are unable to provide all of the information to obtain the key information available. Based on this information</w:t>
      </w:r>
      <w:r w:rsidR="00D5255C">
        <w:t>,</w:t>
      </w:r>
      <w:r>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00770FED">
        <w:t>ss) and student’s math teacher</w:t>
      </w:r>
      <w:r>
        <w:t xml:space="preserve">. Schools and districts </w:t>
      </w:r>
      <w:r w:rsidR="00D5255C">
        <w:t xml:space="preserve">often </w:t>
      </w:r>
      <w:r>
        <w:t xml:space="preserve">find it </w:t>
      </w:r>
      <w:r w:rsidR="00D5255C">
        <w:t>easier</w:t>
      </w:r>
      <w:r>
        <w:t xml:space="preserve">, and therefore </w:t>
      </w:r>
      <w:r w:rsidR="00D5255C">
        <w:t xml:space="preserve">more </w:t>
      </w:r>
      <w:r>
        <w:t xml:space="preserve">efficient, to supply all of the desired information one time for all of their students. However, should it be problematic for any school or district to provide the parent and teacher information on the complete roster, the </w:t>
      </w:r>
      <w:r w:rsidR="00D5255C">
        <w:t>recruitment</w:t>
      </w:r>
      <w:r>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00BB6ACC">
        <w:t xml:space="preserve">would </w:t>
      </w:r>
      <w:r>
        <w:t>mail the required materials to parents using the contact information they have on file).</w:t>
      </w:r>
      <w:r w:rsidR="00770FED">
        <w:t xml:space="preserve"> Parent contact information is required to conduct the out-of-school student data collection.</w:t>
      </w:r>
    </w:p>
    <w:p w14:paraId="1F298C12" w14:textId="77777777" w:rsidR="005B53ED" w:rsidRDefault="00014B8B" w:rsidP="00BB6ACC">
      <w:pPr>
        <w:widowControl w:val="0"/>
        <w:spacing w:after="60" w:line="240" w:lineRule="auto"/>
      </w:pPr>
      <w:r>
        <w:t xml:space="preserve">The roster request will include </w:t>
      </w:r>
      <w:r w:rsidR="005B53ED">
        <w:t>a template and secure transfer</w:t>
      </w:r>
      <w:r>
        <w:t xml:space="preserve"> options to deliver the rosters. </w:t>
      </w:r>
      <w:r w:rsidR="005B53ED">
        <w:t xml:space="preserve">The data quality of the student rosters will then </w:t>
      </w:r>
      <w:r w:rsidR="00D5255C">
        <w:t xml:space="preserve">be </w:t>
      </w:r>
      <w:r w:rsidR="005B53ED">
        <w:t>evaluated by:</w:t>
      </w:r>
    </w:p>
    <w:p w14:paraId="17EF532D" w14:textId="77777777" w:rsidR="005B53ED" w:rsidRDefault="005B53ED" w:rsidP="00FE3F78">
      <w:pPr>
        <w:pStyle w:val="ListParagraph"/>
        <w:widowControl w:val="0"/>
        <w:numPr>
          <w:ilvl w:val="0"/>
          <w:numId w:val="6"/>
        </w:numPr>
        <w:spacing w:after="120" w:line="240" w:lineRule="auto"/>
        <w:ind w:left="360" w:hanging="274"/>
      </w:pPr>
      <w:r>
        <w:t>reviewing and assessing the quality and robustness of student and parent information available at each school, including contact information for parents;</w:t>
      </w:r>
    </w:p>
    <w:p w14:paraId="5356A782" w14:textId="77777777" w:rsidR="005B53ED" w:rsidRDefault="005B53ED" w:rsidP="00FE3F78">
      <w:pPr>
        <w:pStyle w:val="ListParagraph"/>
        <w:widowControl w:val="0"/>
        <w:numPr>
          <w:ilvl w:val="0"/>
          <w:numId w:val="6"/>
        </w:numPr>
        <w:spacing w:after="120" w:line="240" w:lineRule="auto"/>
        <w:ind w:left="360" w:hanging="274"/>
      </w:pPr>
      <w:r>
        <w:t>reviewing and assessing the quality of the data on student-teacher linkages;</w:t>
      </w:r>
    </w:p>
    <w:p w14:paraId="3E650EFA" w14:textId="77777777" w:rsidR="005B53ED" w:rsidRDefault="005B53ED" w:rsidP="00FE3F78">
      <w:pPr>
        <w:pStyle w:val="ListParagraph"/>
        <w:widowControl w:val="0"/>
        <w:numPr>
          <w:ilvl w:val="0"/>
          <w:numId w:val="6"/>
        </w:numPr>
        <w:spacing w:after="120" w:line="240" w:lineRule="auto"/>
        <w:ind w:left="360" w:hanging="274"/>
      </w:pPr>
      <w:r>
        <w:t>addressing any incompleteness or irregularities in the roster file;</w:t>
      </w:r>
    </w:p>
    <w:p w14:paraId="45FC641D" w14:textId="77777777" w:rsidR="005B53ED" w:rsidRDefault="005B53ED" w:rsidP="00FE3F78">
      <w:pPr>
        <w:pStyle w:val="ListParagraph"/>
        <w:widowControl w:val="0"/>
        <w:numPr>
          <w:ilvl w:val="0"/>
          <w:numId w:val="6"/>
        </w:numPr>
        <w:spacing w:after="120" w:line="240" w:lineRule="auto"/>
        <w:ind w:left="360" w:hanging="274"/>
      </w:pPr>
      <w:r>
        <w:t>requesting additional information as needed from the school coordinator or designated district personnel; and</w:t>
      </w:r>
    </w:p>
    <w:p w14:paraId="7E997776" w14:textId="77777777" w:rsidR="005B53ED" w:rsidRDefault="005B53ED" w:rsidP="00FE3F78">
      <w:pPr>
        <w:pStyle w:val="ListParagraph"/>
        <w:widowControl w:val="0"/>
        <w:numPr>
          <w:ilvl w:val="0"/>
          <w:numId w:val="6"/>
        </w:numPr>
        <w:spacing w:after="120" w:line="240" w:lineRule="auto"/>
        <w:ind w:left="360" w:hanging="274"/>
      </w:pPr>
      <w:r>
        <w:t>(re)verifying that the sampled students are currently in attendance in the school.</w:t>
      </w:r>
    </w:p>
    <w:p w14:paraId="4DB4F06A" w14:textId="77777777" w:rsidR="00FC1C86" w:rsidRDefault="00FD1DC5" w:rsidP="00FD1DC5">
      <w:pPr>
        <w:widowControl w:val="0"/>
        <w:spacing w:after="120" w:line="240" w:lineRule="auto"/>
      </w:pPr>
      <w:r>
        <w:t xml:space="preserve">The provider of the roster, whether from a school district or school, will receive the $50 incentive for providing the roster as described in </w:t>
      </w:r>
      <w:r w:rsidR="00F90149">
        <w:t xml:space="preserve">the Supporting Statement Part A, section </w:t>
      </w:r>
      <w:r>
        <w:t>A.9.</w:t>
      </w:r>
    </w:p>
    <w:p w14:paraId="70F862FE" w14:textId="478B7FDC" w:rsidR="009B6D70" w:rsidRDefault="009B6D70" w:rsidP="00FE3F78">
      <w:pPr>
        <w:pStyle w:val="Heading2"/>
        <w:keepLines w:val="0"/>
        <w:widowControl w:val="0"/>
        <w:spacing w:before="0" w:after="120" w:line="240" w:lineRule="auto"/>
      </w:pPr>
      <w:bookmarkStart w:id="8" w:name="_Toc3892583"/>
      <w:r>
        <w:t xml:space="preserve">B.3 </w:t>
      </w:r>
      <w:r w:rsidRPr="00C72F2F">
        <w:t>Methods to Secure Cooperation, Maximize Response Rates, and Deal with Nonresponse</w:t>
      </w:r>
      <w:bookmarkEnd w:id="8"/>
    </w:p>
    <w:p w14:paraId="6225B352" w14:textId="77777777" w:rsidR="00FC1C86" w:rsidRDefault="009B6D70" w:rsidP="00FE3F78">
      <w:pPr>
        <w:widowControl w:val="0"/>
        <w:spacing w:after="120" w:line="240" w:lineRule="auto"/>
        <w:rPr>
          <w:b/>
        </w:rPr>
      </w:pPr>
      <w:r w:rsidRPr="00EE32DD">
        <w:rPr>
          <w:b/>
        </w:rPr>
        <w:t>School Recruitment</w:t>
      </w:r>
    </w:p>
    <w:p w14:paraId="1BB0DD4C" w14:textId="3177F604" w:rsidR="0060623B" w:rsidRPr="004E0EEB" w:rsidRDefault="002D1B34" w:rsidP="00E82001">
      <w:pPr>
        <w:widowControl w:val="0"/>
        <w:spacing w:after="120" w:line="240" w:lineRule="auto"/>
      </w:pPr>
      <w:r w:rsidRPr="005A01EE">
        <w:rPr>
          <w:rFonts w:ascii="Cambria" w:hAnsi="Cambria"/>
        </w:rPr>
        <w:t>Gaining cooperation from school districts and schools is paramount to the success of this voluntary study</w:t>
      </w:r>
      <w:r w:rsidR="0047477E" w:rsidRPr="005A01EE">
        <w:rPr>
          <w:rFonts w:ascii="Cambria" w:hAnsi="Cambria"/>
        </w:rPr>
        <w:t>.</w:t>
      </w:r>
      <w:r w:rsidRPr="005A01EE">
        <w:rPr>
          <w:rFonts w:ascii="Cambria" w:hAnsi="Cambria"/>
        </w:rPr>
        <w:t xml:space="preserve"> </w:t>
      </w:r>
      <w:r w:rsidR="0047477E" w:rsidRPr="005A01EE">
        <w:rPr>
          <w:rFonts w:ascii="Cambria" w:hAnsi="Cambria"/>
        </w:rPr>
        <w:t xml:space="preserve">However, </w:t>
      </w:r>
      <w:r w:rsidR="00DC7904" w:rsidRPr="005A01EE">
        <w:rPr>
          <w:rFonts w:ascii="Cambria" w:hAnsi="Cambria"/>
        </w:rPr>
        <w:t>recruitment</w:t>
      </w:r>
      <w:r w:rsidR="0047477E" w:rsidRPr="005A01EE">
        <w:rPr>
          <w:rFonts w:ascii="Cambria" w:hAnsi="Cambria"/>
        </w:rPr>
        <w:t xml:space="preserve"> efforts </w:t>
      </w:r>
      <w:r w:rsidR="00DC7904" w:rsidRPr="005A01EE">
        <w:rPr>
          <w:rFonts w:ascii="Cambria" w:hAnsi="Cambria"/>
        </w:rPr>
        <w:t>i</w:t>
      </w:r>
      <w:r w:rsidR="0047477E" w:rsidRPr="005A01EE">
        <w:rPr>
          <w:rFonts w:ascii="Cambria" w:hAnsi="Cambria"/>
        </w:rPr>
        <w:t xml:space="preserve">n similar studies have </w:t>
      </w:r>
      <w:r w:rsidR="00DC7904" w:rsidRPr="005A01EE">
        <w:rPr>
          <w:rFonts w:ascii="Cambria" w:hAnsi="Cambria"/>
        </w:rPr>
        <w:t xml:space="preserve">been </w:t>
      </w:r>
      <w:r w:rsidRPr="005A01EE">
        <w:rPr>
          <w:rFonts w:ascii="Cambria" w:hAnsi="Cambria"/>
        </w:rPr>
        <w:t>m</w:t>
      </w:r>
      <w:r w:rsidR="00DC7904" w:rsidRPr="005A01EE">
        <w:rPr>
          <w:rFonts w:ascii="Cambria" w:hAnsi="Cambria"/>
        </w:rPr>
        <w:t>e</w:t>
      </w:r>
      <w:r w:rsidRPr="005A01EE">
        <w:rPr>
          <w:rFonts w:ascii="Cambria" w:hAnsi="Cambria"/>
        </w:rPr>
        <w:t>et</w:t>
      </w:r>
      <w:r w:rsidR="00DC7904" w:rsidRPr="005A01EE">
        <w:rPr>
          <w:rFonts w:ascii="Cambria" w:hAnsi="Cambria"/>
        </w:rPr>
        <w:t>ing</w:t>
      </w:r>
      <w:r w:rsidRPr="005A01EE">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sidRPr="005A01EE">
        <w:rPr>
          <w:rStyle w:val="FootnoteReference"/>
          <w:rFonts w:ascii="Cambria" w:hAnsi="Cambria"/>
          <w:sz w:val="22"/>
        </w:rPr>
        <w:footnoteReference w:id="15"/>
      </w:r>
      <w:r w:rsidRPr="005A01EE">
        <w:rPr>
          <w:rFonts w:ascii="Cambria" w:hAnsi="Cambria"/>
        </w:rPr>
        <w:t xml:space="preserve"> whereas 12 years later, the </w:t>
      </w:r>
      <w:r w:rsidR="0047477E" w:rsidRPr="005A01EE">
        <w:rPr>
          <w:rFonts w:ascii="Cambria" w:hAnsi="Cambria"/>
        </w:rPr>
        <w:t xml:space="preserve">successor </w:t>
      </w:r>
      <w:r w:rsidRPr="005A01EE">
        <w:rPr>
          <w:rFonts w:ascii="Cambria" w:hAnsi="Cambria"/>
        </w:rPr>
        <w:t xml:space="preserve">ECLS-K:2011 </w:t>
      </w:r>
      <w:r w:rsidR="0047477E" w:rsidRPr="005A01EE">
        <w:rPr>
          <w:rFonts w:ascii="Cambria" w:hAnsi="Cambria"/>
        </w:rPr>
        <w:t xml:space="preserve">cohort </w:t>
      </w:r>
      <w:r w:rsidRPr="005A01EE">
        <w:rPr>
          <w:rFonts w:ascii="Cambria" w:hAnsi="Cambria"/>
        </w:rPr>
        <w:t>study had a weighted school-level response rate of 63 percent.</w:t>
      </w:r>
      <w:r w:rsidRPr="005A01EE">
        <w:rPr>
          <w:rStyle w:val="FootnoteReference"/>
          <w:rFonts w:ascii="Cambria" w:hAnsi="Cambria"/>
          <w:sz w:val="22"/>
        </w:rPr>
        <w:footnoteReference w:id="16"/>
      </w:r>
      <w:r w:rsidRPr="005A01EE">
        <w:rPr>
          <w:rFonts w:ascii="Cambria" w:hAnsi="Cambria"/>
        </w:rPr>
        <w:t xml:space="preserve"> Additionally, response rates </w:t>
      </w:r>
      <w:r w:rsidR="00291BE7" w:rsidRPr="005A01EE">
        <w:rPr>
          <w:rFonts w:ascii="Cambria" w:hAnsi="Cambria"/>
        </w:rPr>
        <w:t>tend to</w:t>
      </w:r>
      <w:r w:rsidRPr="005A01EE">
        <w:rPr>
          <w:rFonts w:ascii="Cambria" w:hAnsi="Cambria"/>
        </w:rPr>
        <w:t xml:space="preserve"> be lower for schools that serve older students</w:t>
      </w:r>
      <w:r w:rsidR="003662FC" w:rsidRPr="005A01EE">
        <w:rPr>
          <w:rFonts w:ascii="Cambria" w:hAnsi="Cambria"/>
        </w:rPr>
        <w:t xml:space="preserve"> (e.g., </w:t>
      </w:r>
      <w:r w:rsidRPr="005A01EE">
        <w:rPr>
          <w:rFonts w:ascii="Cambria" w:hAnsi="Cambria"/>
        </w:rPr>
        <w:t>the High School Longitudinal Study of 2009</w:t>
      </w:r>
      <w:r w:rsidR="00291BE7" w:rsidRPr="005A01EE">
        <w:rPr>
          <w:rFonts w:ascii="Cambria" w:hAnsi="Cambria"/>
        </w:rPr>
        <w:t xml:space="preserve"> (HSLS:2009)</w:t>
      </w:r>
      <w:r w:rsidRPr="005A01EE">
        <w:rPr>
          <w:rFonts w:ascii="Cambria" w:hAnsi="Cambria"/>
        </w:rPr>
        <w:t xml:space="preserve"> had a weighted school-level response rate of 56 percent</w:t>
      </w:r>
      <w:r w:rsidR="00836147" w:rsidRPr="005A01EE">
        <w:rPr>
          <w:rFonts w:ascii="Cambria" w:hAnsi="Cambria"/>
        </w:rPr>
        <w:t>,</w:t>
      </w:r>
      <w:r w:rsidRPr="005A01EE">
        <w:rPr>
          <w:rStyle w:val="FootnoteReference"/>
          <w:rFonts w:ascii="Cambria" w:hAnsi="Cambria"/>
          <w:sz w:val="22"/>
        </w:rPr>
        <w:footnoteReference w:id="17"/>
      </w:r>
      <w:r w:rsidRPr="005A01EE">
        <w:rPr>
          <w:rFonts w:ascii="Cambria" w:hAnsi="Cambria"/>
        </w:rPr>
        <w:t xml:space="preserve"> and the Middle Grades Longitudinal Study of 2017-18</w:t>
      </w:r>
      <w:r w:rsidR="00291BE7" w:rsidRPr="005A01EE">
        <w:rPr>
          <w:rFonts w:ascii="Cambria" w:hAnsi="Cambria"/>
        </w:rPr>
        <w:t xml:space="preserve"> (MGLS:2017)</w:t>
      </w:r>
      <w:r w:rsidRPr="005A01EE">
        <w:rPr>
          <w:rFonts w:ascii="Cambria" w:hAnsi="Cambria"/>
        </w:rPr>
        <w:t xml:space="preserve"> had a</w:t>
      </w:r>
      <w:r w:rsidR="0047477E" w:rsidRPr="005A01EE">
        <w:rPr>
          <w:rFonts w:ascii="Cambria" w:hAnsi="Cambria"/>
        </w:rPr>
        <w:t>n</w:t>
      </w:r>
      <w:r w:rsidRPr="005A01EE">
        <w:rPr>
          <w:rFonts w:ascii="Cambria" w:hAnsi="Cambria"/>
        </w:rPr>
        <w:t xml:space="preserve"> </w:t>
      </w:r>
      <w:r w:rsidR="0047477E" w:rsidRPr="005A01EE">
        <w:rPr>
          <w:rFonts w:ascii="Cambria" w:hAnsi="Cambria"/>
        </w:rPr>
        <w:t>un</w:t>
      </w:r>
      <w:r w:rsidRPr="005A01EE">
        <w:rPr>
          <w:rFonts w:ascii="Cambria" w:hAnsi="Cambria"/>
        </w:rPr>
        <w:t xml:space="preserve">weighted school-level response rate of </w:t>
      </w:r>
      <w:r w:rsidR="0047477E" w:rsidRPr="005A01EE">
        <w:rPr>
          <w:rFonts w:ascii="Cambria" w:hAnsi="Cambria"/>
        </w:rPr>
        <w:t xml:space="preserve">39 </w:t>
      </w:r>
      <w:r w:rsidRPr="005A01EE">
        <w:rPr>
          <w:rFonts w:ascii="Cambria" w:hAnsi="Cambria"/>
        </w:rPr>
        <w:t>percent</w:t>
      </w:r>
      <w:r w:rsidR="003662FC" w:rsidRPr="005A01EE">
        <w:rPr>
          <w:rFonts w:ascii="Cambria" w:hAnsi="Cambria"/>
        </w:rPr>
        <w:t>)</w:t>
      </w:r>
      <w:r w:rsidRPr="005A01EE">
        <w:rPr>
          <w:rFonts w:ascii="Cambria" w:hAnsi="Cambria"/>
        </w:rPr>
        <w:t>.</w:t>
      </w:r>
      <w:r w:rsidR="00DC3FE5">
        <w:rPr>
          <w:rFonts w:ascii="Cambria" w:hAnsi="Cambria"/>
        </w:rPr>
        <w:t xml:space="preserve"> </w:t>
      </w:r>
      <w:r w:rsidR="00A5281A">
        <w:t>Methods to secure cooperation of school districts and schools, maximize response rates, and deal with nonresponse are described in this section.</w:t>
      </w:r>
    </w:p>
    <w:p w14:paraId="4BEE53E7" w14:textId="20B9E05B" w:rsidR="0073129E" w:rsidRDefault="009B6D70" w:rsidP="00FE3F78">
      <w:pPr>
        <w:widowControl w:val="0"/>
        <w:spacing w:after="120" w:line="240" w:lineRule="auto"/>
      </w:pPr>
      <w:r w:rsidRPr="00DC3867">
        <w:rPr>
          <w:b/>
          <w:i/>
        </w:rPr>
        <w:t>Maximizing School Participation</w:t>
      </w:r>
      <w:r w:rsidR="000301E2">
        <w:rPr>
          <w:b/>
          <w:i/>
        </w:rPr>
        <w:t xml:space="preserve">. </w:t>
      </w:r>
      <w:r w:rsidR="000301E2">
        <w:t>The success of HS&amp;B:20 hinges on securing the cooperation and maximizing response rates among school districts and schools, and then their students, parents, and staff. Participation among school districts and schools has been declining for voluntary school-based studies.</w:t>
      </w:r>
      <w:r w:rsidR="0060623B">
        <w:t xml:space="preserve"> </w:t>
      </w:r>
      <w:r w:rsidR="000301E2">
        <w:t xml:space="preserve">Often, district and school personnel understand the value of the research but that does not offset their reasons for not participating. Reasons cited for not participating in </w:t>
      </w:r>
      <w:r w:rsidR="00C56324">
        <w:t xml:space="preserve">voluntary school-based </w:t>
      </w:r>
      <w:r w:rsidR="000301E2">
        <w:t xml:space="preserve">studies such as </w:t>
      </w:r>
      <w:r w:rsidR="00936DE0" w:rsidRPr="005A01EE">
        <w:rPr>
          <w:rFonts w:ascii="Cambria" w:hAnsi="Cambria"/>
        </w:rPr>
        <w:t>MGLS:2017</w:t>
      </w:r>
      <w:r w:rsidR="000301E2">
        <w:t xml:space="preserve"> and </w:t>
      </w:r>
      <w:r w:rsidR="00936DE0" w:rsidRPr="005A01EE">
        <w:rPr>
          <w:rFonts w:ascii="Cambria" w:hAnsi="Cambria"/>
        </w:rPr>
        <w:t>HSLS:2009</w:t>
      </w:r>
      <w:r w:rsidR="000301E2">
        <w:t xml:space="preserve"> are the high burden associated with participating, over</w:t>
      </w:r>
      <w:r w:rsidR="00C56324">
        <w:t>-</w:t>
      </w:r>
      <w:r w:rsidR="000301E2">
        <w:t xml:space="preserve">testing of students, loss of instructional time, lack of parent and teacher support, increased demands on school staff, and a moratorium on outside research. To mitigate these concerns, HS&amp;B:20 has developed a recruitment plan to maximize school participation that is comprehensive and flexible in its approach </w:t>
      </w:r>
      <w:r w:rsidR="00B1172F">
        <w:t xml:space="preserve">and incentive structure </w:t>
      </w:r>
      <w:r w:rsidR="000301E2">
        <w:t xml:space="preserve">to effectively secure cooperation </w:t>
      </w:r>
      <w:r w:rsidR="00695C36">
        <w:t xml:space="preserve">for the study. </w:t>
      </w:r>
      <w:r w:rsidR="0073129E">
        <w:t>Strategies recommended to maximize school participation include:</w:t>
      </w:r>
    </w:p>
    <w:p w14:paraId="1115B4CA" w14:textId="77777777" w:rsidR="00C83150" w:rsidRPr="005F1C46" w:rsidRDefault="00C83150" w:rsidP="00454FC5">
      <w:pPr>
        <w:widowControl w:val="0"/>
        <w:spacing w:after="0" w:line="240" w:lineRule="auto"/>
      </w:pPr>
      <w:r>
        <w:rPr>
          <w:b/>
        </w:rPr>
        <w:t>Outreach.</w:t>
      </w:r>
      <w:r>
        <w:t xml:space="preserve"> Study </w:t>
      </w:r>
      <w:r w:rsidR="00B05103">
        <w:t xml:space="preserve">and NCES </w:t>
      </w:r>
      <w:r>
        <w:t xml:space="preserve">name recognition add validity to the study when recruiting school districts and schools. Even prior to drawing the sample, outreach activities will be conducted to announce the upcoming study and begin to </w:t>
      </w:r>
      <w:r w:rsidRPr="005F1C46">
        <w:t xml:space="preserve">garner support from states, districts, schools, and stakeholders. </w:t>
      </w:r>
      <w:r w:rsidR="006F5DDF">
        <w:t>O</w:t>
      </w:r>
      <w:r w:rsidRPr="005F1C46">
        <w:t xml:space="preserve">utreach activities </w:t>
      </w:r>
      <w:r w:rsidR="006F5DDF">
        <w:t>will</w:t>
      </w:r>
      <w:r w:rsidRPr="005F1C46">
        <w:t xml:space="preserve"> include:</w:t>
      </w:r>
    </w:p>
    <w:p w14:paraId="179F090D" w14:textId="77777777" w:rsidR="00DC3FE5" w:rsidRDefault="001E510C" w:rsidP="00DC3FE5">
      <w:pPr>
        <w:pStyle w:val="ListParagraph"/>
        <w:widowControl w:val="0"/>
        <w:numPr>
          <w:ilvl w:val="0"/>
          <w:numId w:val="23"/>
        </w:numPr>
        <w:spacing w:after="120" w:line="240" w:lineRule="auto"/>
        <w:ind w:left="360" w:hanging="180"/>
      </w:pPr>
      <w:r>
        <w:t>Contacting school districts that are typically challenging to recruit to discuss their decision</w:t>
      </w:r>
      <w:r w:rsidR="00CC7B69">
        <w:t>-</w:t>
      </w:r>
      <w:r>
        <w:t>making process about participating in research studies and the benefits they would like to see from participating. This would be done generically as an exercise to help plan the</w:t>
      </w:r>
      <w:r w:rsidR="00555AEC" w:rsidRPr="004E0EEB">
        <w:t xml:space="preserve"> recruitment effort </w:t>
      </w:r>
      <w:r w:rsidR="00DC3FE5">
        <w:t>prior to selecting the sample.</w:t>
      </w:r>
    </w:p>
    <w:p w14:paraId="4B2B0101" w14:textId="6AC67420" w:rsidR="00DC3FE5" w:rsidRPr="005F1C46" w:rsidRDefault="00DC3FE5" w:rsidP="00F6572F">
      <w:pPr>
        <w:pStyle w:val="ListParagraph"/>
        <w:widowControl w:val="0"/>
        <w:numPr>
          <w:ilvl w:val="0"/>
          <w:numId w:val="23"/>
        </w:numPr>
        <w:spacing w:after="120" w:line="240" w:lineRule="auto"/>
        <w:ind w:left="360" w:hanging="180"/>
      </w:pPr>
      <w:r w:rsidRPr="005F1C46">
        <w:t>Distribution of a brief video to stakeholders, state, school districts, and schools to explain the importance of the study (Appendix A</w:t>
      </w:r>
      <w:r>
        <w:t>.</w:t>
      </w:r>
      <w:r w:rsidRPr="005F1C46">
        <w:t>6e</w:t>
      </w:r>
      <w:r w:rsidR="00F6572F">
        <w:t xml:space="preserve">; </w:t>
      </w:r>
      <w:r w:rsidR="00F6572F" w:rsidRPr="00F6572F">
        <w:t xml:space="preserve">video </w:t>
      </w:r>
      <w:r w:rsidR="00F6572F">
        <w:t>is expected to become</w:t>
      </w:r>
      <w:r w:rsidR="00F6572F" w:rsidRPr="00F6572F">
        <w:t xml:space="preserve"> live in April 2019</w:t>
      </w:r>
      <w:r w:rsidRPr="005F1C46">
        <w:t>)</w:t>
      </w:r>
      <w:r>
        <w:t>.</w:t>
      </w:r>
    </w:p>
    <w:p w14:paraId="4BD24F91" w14:textId="77777777" w:rsidR="00DC3FE5" w:rsidRDefault="00DC3FE5" w:rsidP="00DC3FE5">
      <w:pPr>
        <w:pStyle w:val="ListParagraph"/>
        <w:widowControl w:val="0"/>
        <w:numPr>
          <w:ilvl w:val="0"/>
          <w:numId w:val="23"/>
        </w:numPr>
        <w:spacing w:after="120" w:line="240" w:lineRule="auto"/>
        <w:ind w:left="360" w:hanging="180"/>
      </w:pPr>
      <w:r w:rsidRPr="005F1C46">
        <w:t xml:space="preserve">A webinar explaining the importance of the study and the impact of the data collected. The webinar </w:t>
      </w:r>
      <w:r>
        <w:t>will</w:t>
      </w:r>
      <w:r w:rsidRPr="005F1C46">
        <w:t xml:space="preserve"> be live, but a recording </w:t>
      </w:r>
      <w:r>
        <w:t>will</w:t>
      </w:r>
      <w:r w:rsidRPr="005F1C46">
        <w:t xml:space="preserve"> be made available on the study website.</w:t>
      </w:r>
    </w:p>
    <w:p w14:paraId="5E433D19" w14:textId="77777777" w:rsidR="00DC3FE5" w:rsidRDefault="00DC3FE5" w:rsidP="00DC3FE5">
      <w:pPr>
        <w:pStyle w:val="ListParagraph"/>
        <w:widowControl w:val="0"/>
        <w:numPr>
          <w:ilvl w:val="0"/>
          <w:numId w:val="23"/>
        </w:numPr>
        <w:spacing w:after="120" w:line="240" w:lineRule="auto"/>
        <w:ind w:left="360" w:hanging="180"/>
      </w:pPr>
      <w:r>
        <w:t>Attendance at conferences attended by stakeholders to introduce and promote the study.</w:t>
      </w:r>
    </w:p>
    <w:p w14:paraId="548BD69A" w14:textId="77777777" w:rsidR="00DC3FE5" w:rsidRDefault="00DC3FE5" w:rsidP="00DC3FE5">
      <w:pPr>
        <w:widowControl w:val="0"/>
        <w:spacing w:after="120" w:line="240" w:lineRule="auto"/>
        <w:rPr>
          <w:b/>
        </w:rPr>
      </w:pPr>
      <w:r>
        <w:rPr>
          <w:b/>
        </w:rPr>
        <w:t>C</w:t>
      </w:r>
      <w:r w:rsidRPr="0073129E">
        <w:rPr>
          <w:b/>
        </w:rPr>
        <w:t>ompelling recruitment materials.</w:t>
      </w:r>
      <w:r>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HS&amp;B:20, and the data collection activities required as part of the study. A full understanding of these factors will be important both to obtain cooperation and to ensure that schools and districts accept the data collection requests that follow.</w:t>
      </w:r>
    </w:p>
    <w:p w14:paraId="20F9CB7F" w14:textId="77777777" w:rsidR="00FC1C86" w:rsidRDefault="00DC3FE5" w:rsidP="00E37CEB">
      <w:pPr>
        <w:spacing w:after="120" w:line="240" w:lineRule="auto"/>
      </w:pPr>
      <w:r>
        <w:rPr>
          <w:b/>
        </w:rPr>
        <w:t>Determining the “right” amount of time to facilitate participation.</w:t>
      </w:r>
      <w:r>
        <w:t xml:space="preserve"> One of schools’ primary concerns about participating in outside research is the loss of instructional time. In an effort to balance the need to collect information </w:t>
      </w:r>
      <w:r w:rsidR="00555AEC" w:rsidRPr="004E0EEB">
        <w:t xml:space="preserve">with the </w:t>
      </w:r>
      <w:r>
        <w:t xml:space="preserve">desire to minimize the burden on schools and students, we are testing two student session lengths. Described in section B.4, for the field test, half of the schools will be assigned at the outset to a 45-minute session and half to a 90-minute session. </w:t>
      </w:r>
      <w:r w:rsidR="00555AEC" w:rsidRPr="004E0EEB">
        <w:t xml:space="preserve">If </w:t>
      </w:r>
      <w:r>
        <w:t>a school in</w:t>
      </w:r>
      <w:r w:rsidR="00555AEC" w:rsidRPr="004E0EEB">
        <w:t xml:space="preserve"> the 90-</w:t>
      </w:r>
      <w:r>
        <w:t>minutes group is unable to accommodate the full 90-minutes, it will be offered to partake in a one-class period or 45-minute session with the remainder of the session to be completed by the student outside of school. Schools unable to provide a 45-minute session will be asked, as a refusal conversion option, to provide roster information so that students may be contacted to participate outside of school.</w:t>
      </w:r>
      <w:r w:rsidR="00FC1C86">
        <w:t xml:space="preserve"> </w:t>
      </w:r>
      <w:r>
        <w:t xml:space="preserve">For </w:t>
      </w:r>
      <w:r w:rsidR="00E37CEB">
        <w:t>BYFS</w:t>
      </w:r>
      <w:r>
        <w:t>, the 45-</w:t>
      </w:r>
      <w:r w:rsidR="00555AEC" w:rsidRPr="004E0EEB">
        <w:t xml:space="preserve">minute session will be offered </w:t>
      </w:r>
      <w:r>
        <w:t>if it results in significantly higher school participation than the 90-minute session in the field test.</w:t>
      </w:r>
      <w:r w:rsidR="00FC1C86">
        <w:t xml:space="preserve"> </w:t>
      </w:r>
      <w:r>
        <w:t xml:space="preserve">If the shorter session does not result in higher participation that is statistically significant, a 90-minute session will be offered with a </w:t>
      </w:r>
      <w:r w:rsidR="00555AEC" w:rsidRPr="004E0EEB">
        <w:t xml:space="preserve">45-minute session used as a </w:t>
      </w:r>
      <w:r w:rsidR="000B1FF2">
        <w:t xml:space="preserve">non-response and/or </w:t>
      </w:r>
      <w:r w:rsidR="00555AEC" w:rsidRPr="004E0EEB">
        <w:t>refusal conversion strategy.</w:t>
      </w:r>
      <w:r w:rsidR="00E37CEB">
        <w:t xml:space="preserve"> </w:t>
      </w:r>
      <w:r w:rsidR="00A5582D">
        <w:t>Based on the field test recruitment experience between January and August 2019, in August 2019 w</w:t>
      </w:r>
      <w:r w:rsidR="0032134E">
        <w:t xml:space="preserve">e will submit </w:t>
      </w:r>
      <w:r w:rsidR="00A5582D">
        <w:t xml:space="preserve">a change </w:t>
      </w:r>
      <w:r w:rsidR="002A0FBA">
        <w:t>request</w:t>
      </w:r>
      <w:r w:rsidR="00A5582D">
        <w:t xml:space="preserve"> </w:t>
      </w:r>
      <w:r w:rsidR="002A0FBA">
        <w:t>describing</w:t>
      </w:r>
      <w:r w:rsidR="00A5582D">
        <w:t xml:space="preserve"> </w:t>
      </w:r>
      <w:r w:rsidR="00846A1D">
        <w:t>the final plan for the BYFS student session length</w:t>
      </w:r>
      <w:r w:rsidR="00E37CEB">
        <w:t>.</w:t>
      </w:r>
    </w:p>
    <w:p w14:paraId="48C29A0C" w14:textId="5B5D2FA6" w:rsidR="0060623B" w:rsidRDefault="00C347E5" w:rsidP="007C37BC">
      <w:pPr>
        <w:widowControl w:val="0"/>
        <w:spacing w:after="120" w:line="240" w:lineRule="auto"/>
      </w:pPr>
      <w:r>
        <w:t xml:space="preserve">For teachers and parents, </w:t>
      </w:r>
      <w:r w:rsidR="00BE2389">
        <w:t xml:space="preserve">in the field test, </w:t>
      </w:r>
      <w:r>
        <w:t xml:space="preserve">we will also experiment with two survey lengths to determine which is most effective in securing participation. </w:t>
      </w:r>
      <w:r w:rsidR="00827C80">
        <w:t>T</w:t>
      </w:r>
      <w:r w:rsidR="00827C80" w:rsidRPr="00827C80">
        <w:t xml:space="preserve">eachers will be offered either the full </w:t>
      </w:r>
      <w:r w:rsidR="00A43318">
        <w:t>survey</w:t>
      </w:r>
      <w:r w:rsidR="00827C80" w:rsidRPr="00827C80">
        <w:t xml:space="preserve"> or an abbreviated </w:t>
      </w:r>
      <w:r w:rsidR="00A43318">
        <w:t>survey</w:t>
      </w:r>
      <w:r w:rsidR="00827C80" w:rsidRPr="00827C80">
        <w:t xml:space="preserve">. </w:t>
      </w:r>
      <w:r w:rsidR="008C4E7D">
        <w:rPr>
          <w:rFonts w:ascii="Cambria" w:hAnsi="Cambria"/>
        </w:rPr>
        <w:t>The mathematics teacher survey will consist of t</w:t>
      </w:r>
      <w:r w:rsidR="00A34E0B">
        <w:rPr>
          <w:rFonts w:ascii="Cambria" w:hAnsi="Cambria"/>
        </w:rPr>
        <w:t>wo</w:t>
      </w:r>
      <w:r w:rsidR="008C4E7D">
        <w:rPr>
          <w:rFonts w:ascii="Cambria" w:hAnsi="Cambria"/>
        </w:rPr>
        <w:t xml:space="preserve"> sections</w:t>
      </w:r>
      <w:r w:rsidR="00BE2389">
        <w:rPr>
          <w:rFonts w:ascii="Cambria" w:hAnsi="Cambria"/>
        </w:rPr>
        <w:t>: t</w:t>
      </w:r>
      <w:r w:rsidR="008C4E7D">
        <w:rPr>
          <w:rFonts w:ascii="Cambria" w:hAnsi="Cambria"/>
        </w:rPr>
        <w:t>he teacher-level portion of the survey</w:t>
      </w:r>
      <w:r w:rsidR="00A34E0B">
        <w:rPr>
          <w:rFonts w:ascii="Cambria" w:hAnsi="Cambria"/>
        </w:rPr>
        <w:t>, which includes classroom-level information</w:t>
      </w:r>
      <w:r w:rsidR="00A9171A">
        <w:rPr>
          <w:rFonts w:ascii="Cambria" w:hAnsi="Cambria"/>
        </w:rPr>
        <w:t xml:space="preserve"> and </w:t>
      </w:r>
      <w:r w:rsidR="008C4E7D">
        <w:rPr>
          <w:rFonts w:ascii="Cambria" w:hAnsi="Cambria"/>
        </w:rPr>
        <w:t xml:space="preserve">will take either </w:t>
      </w:r>
      <w:r w:rsidR="00F75B23">
        <w:rPr>
          <w:rFonts w:ascii="Cambria" w:hAnsi="Cambria"/>
        </w:rPr>
        <w:t>1</w:t>
      </w:r>
      <w:r w:rsidR="00A34E0B">
        <w:rPr>
          <w:rFonts w:ascii="Cambria" w:hAnsi="Cambria"/>
        </w:rPr>
        <w:t>6</w:t>
      </w:r>
      <w:r w:rsidR="008C4E7D">
        <w:rPr>
          <w:rFonts w:ascii="Cambria" w:hAnsi="Cambria"/>
        </w:rPr>
        <w:t xml:space="preserve"> or</w:t>
      </w:r>
      <w:r w:rsidR="00F75B23">
        <w:rPr>
          <w:rFonts w:ascii="Cambria" w:hAnsi="Cambria"/>
        </w:rPr>
        <w:t xml:space="preserve"> </w:t>
      </w:r>
      <w:r w:rsidR="00A34E0B">
        <w:rPr>
          <w:rFonts w:ascii="Cambria" w:hAnsi="Cambria"/>
        </w:rPr>
        <w:t>10</w:t>
      </w:r>
      <w:r w:rsidR="008C4E7D">
        <w:rPr>
          <w:rFonts w:ascii="Cambria" w:hAnsi="Cambria"/>
        </w:rPr>
        <w:t xml:space="preserve"> minutes, and the student-level report</w:t>
      </w:r>
      <w:r w:rsidR="00A9171A">
        <w:rPr>
          <w:rFonts w:ascii="Cambria" w:hAnsi="Cambria"/>
        </w:rPr>
        <w:t>, which</w:t>
      </w:r>
      <w:r w:rsidR="008C4E7D">
        <w:rPr>
          <w:rFonts w:ascii="Cambria" w:hAnsi="Cambria"/>
        </w:rPr>
        <w:t xml:space="preserve"> will </w:t>
      </w:r>
      <w:r w:rsidR="00A9171A">
        <w:rPr>
          <w:rFonts w:ascii="Cambria" w:hAnsi="Cambria"/>
        </w:rPr>
        <w:t>take</w:t>
      </w:r>
      <w:r w:rsidR="008C4E7D">
        <w:rPr>
          <w:rFonts w:ascii="Cambria" w:hAnsi="Cambria"/>
        </w:rPr>
        <w:t xml:space="preserve"> either </w:t>
      </w:r>
      <w:r w:rsidR="00F75B23">
        <w:rPr>
          <w:rFonts w:ascii="Cambria" w:hAnsi="Cambria"/>
        </w:rPr>
        <w:t>4</w:t>
      </w:r>
      <w:r w:rsidR="008C4E7D">
        <w:rPr>
          <w:rFonts w:ascii="Cambria" w:hAnsi="Cambria"/>
        </w:rPr>
        <w:t xml:space="preserve"> or </w:t>
      </w:r>
      <w:r w:rsidR="00F75B23">
        <w:rPr>
          <w:rFonts w:ascii="Cambria" w:hAnsi="Cambria"/>
        </w:rPr>
        <w:t>3</w:t>
      </w:r>
      <w:r w:rsidR="008C4E7D">
        <w:rPr>
          <w:rFonts w:ascii="Cambria" w:hAnsi="Cambria"/>
        </w:rPr>
        <w:t xml:space="preserve"> minutes</w:t>
      </w:r>
      <w:r w:rsidR="00DC3FE5">
        <w:rPr>
          <w:rFonts w:ascii="Cambria" w:hAnsi="Cambria"/>
        </w:rPr>
        <w:t xml:space="preserve"> per student</w:t>
      </w:r>
      <w:r w:rsidR="00A9171A">
        <w:rPr>
          <w:rFonts w:ascii="Cambria" w:hAnsi="Cambria"/>
        </w:rPr>
        <w:t xml:space="preserve"> to complete</w:t>
      </w:r>
      <w:r w:rsidR="00DC3FE5">
        <w:rPr>
          <w:rFonts w:ascii="Cambria" w:hAnsi="Cambria"/>
        </w:rPr>
        <w:t>.</w:t>
      </w:r>
      <w:r w:rsidR="008C4E7D">
        <w:rPr>
          <w:rFonts w:ascii="Cambria" w:hAnsi="Cambria"/>
        </w:rPr>
        <w:t xml:space="preserve"> </w:t>
      </w:r>
      <w:r>
        <w:t xml:space="preserve">Because of the small </w:t>
      </w:r>
      <w:r w:rsidR="00BA4EEA">
        <w:t xml:space="preserve">school </w:t>
      </w:r>
      <w:r>
        <w:t>sample size, no experimentation is being explored with guidance counselors or administrators</w:t>
      </w:r>
      <w:r w:rsidR="00BA4EEA">
        <w:t xml:space="preserve"> beyond the student session length</w:t>
      </w:r>
      <w:r>
        <w:t>.</w:t>
      </w:r>
    </w:p>
    <w:p w14:paraId="6C9C981F" w14:textId="77777777" w:rsidR="0060623B" w:rsidRDefault="000F3274" w:rsidP="00690C44">
      <w:pPr>
        <w:widowControl w:val="0"/>
        <w:spacing w:after="120" w:line="240" w:lineRule="auto"/>
      </w:pPr>
      <w:r w:rsidRPr="00B11A5B">
        <w:rPr>
          <w:b/>
        </w:rPr>
        <w:t>Varied communication modes</w:t>
      </w:r>
      <w:r>
        <w:t xml:space="preserve">. </w:t>
      </w:r>
      <w:r w:rsidR="00B11A5B">
        <w:t xml:space="preserve">Prior to the start of recruitment, study team members will review the sample of school districts and schools to determine the appropriate mode of communication for each. Staff who may have connections to a particular area or district may be called upon to make the first contact. That </w:t>
      </w:r>
      <w:r w:rsidR="00A527DD">
        <w:t xml:space="preserve">staff </w:t>
      </w:r>
      <w:r w:rsidR="00B11A5B">
        <w:t>person may remain the primary contact to the school district or school, or they may turn the school over to a recruiter for the collection of logistical information. Communication may be conducted via m</w:t>
      </w:r>
      <w:r>
        <w:t xml:space="preserve">ail, email, phone, </w:t>
      </w:r>
      <w:r w:rsidR="00A43318">
        <w:t xml:space="preserve">and </w:t>
      </w:r>
      <w:r>
        <w:t>in-person</w:t>
      </w:r>
      <w:r w:rsidR="00B11A5B">
        <w:t xml:space="preserve"> methods.</w:t>
      </w:r>
    </w:p>
    <w:p w14:paraId="4E84CE54" w14:textId="77777777" w:rsidR="000F3274" w:rsidRPr="00EB7CD6" w:rsidRDefault="000F3274" w:rsidP="00690C44">
      <w:pPr>
        <w:spacing w:after="120" w:line="240" w:lineRule="auto"/>
      </w:pPr>
      <w:r w:rsidRPr="00EB7CD6">
        <w:rPr>
          <w:b/>
        </w:rPr>
        <w:t>Leveraging participation in past studies.</w:t>
      </w:r>
      <w:r w:rsidR="00EB7CD6">
        <w:rPr>
          <w:b/>
        </w:rPr>
        <w:t xml:space="preserve"> </w:t>
      </w:r>
      <w:r w:rsidR="00EB7CD6" w:rsidRPr="00EB7CD6">
        <w:t xml:space="preserve">NCES has been conducting the longitudinal studies in schools since the early 1970s. </w:t>
      </w:r>
      <w:r w:rsidR="00EB7CD6">
        <w:t xml:space="preserve">HS&amp;B:20 will leverage the participation information of school districts and schools from prior studies. Information gathered will include whether or not the school district or school participated, whether a research application was required, who in the district or school made the decision about participating, and the reasons for refusal, if applicable. This information will be used only to strategize who </w:t>
      </w:r>
      <w:r w:rsidR="00A527DD">
        <w:t>to</w:t>
      </w:r>
      <w:r w:rsidR="00EB7CD6">
        <w:t xml:space="preserve"> contact and how to respond to previous concerns, if any, to encourage participation in HS&amp;B:20.</w:t>
      </w:r>
    </w:p>
    <w:p w14:paraId="57EC4A1A" w14:textId="77777777" w:rsidR="000F3274" w:rsidRPr="00C347E5" w:rsidRDefault="005A7A91" w:rsidP="00690C44">
      <w:pPr>
        <w:spacing w:after="120" w:line="240" w:lineRule="auto"/>
      </w:pPr>
      <w:r w:rsidRPr="001A2117">
        <w:rPr>
          <w:b/>
        </w:rPr>
        <w:t>Geospa</w:t>
      </w:r>
      <w:r>
        <w:rPr>
          <w:b/>
        </w:rPr>
        <w:t>t</w:t>
      </w:r>
      <w:r w:rsidRPr="001A2117">
        <w:rPr>
          <w:b/>
        </w:rPr>
        <w:t xml:space="preserve">ial </w:t>
      </w:r>
      <w:r w:rsidR="000F3274" w:rsidRPr="001A2117">
        <w:rPr>
          <w:b/>
        </w:rPr>
        <w:t>Modeling</w:t>
      </w:r>
      <w:r w:rsidR="00C347E5" w:rsidRPr="001A2117">
        <w:rPr>
          <w:b/>
        </w:rPr>
        <w:t xml:space="preserve">. </w:t>
      </w:r>
      <w:r w:rsidR="001A2117" w:rsidRPr="001A2117">
        <w:t xml:space="preserve">The use of geospatial modeling </w:t>
      </w:r>
      <w:r w:rsidR="00433B7C">
        <w:t>helps</w:t>
      </w:r>
      <w:r w:rsidR="001A2117" w:rsidRPr="001A2117">
        <w:t xml:space="preserve"> overcome</w:t>
      </w:r>
      <w:r w:rsidR="00433B7C">
        <w:t xml:space="preserve"> a serious challenge in base-</w:t>
      </w:r>
      <w:r w:rsidR="001A2117" w:rsidRPr="001A2117">
        <w:t>year studies</w:t>
      </w:r>
      <w:r w:rsidR="00433B7C">
        <w:t xml:space="preserve"> – a </w:t>
      </w:r>
      <w:r w:rsidR="001A2117" w:rsidRPr="001A2117">
        <w:t>lack of information on sample</w:t>
      </w:r>
      <w:r w:rsidR="001A2117">
        <w:t xml:space="preserve"> members to use in predicting response.</w:t>
      </w:r>
      <w:r w:rsidR="0060623B">
        <w:t xml:space="preserve"> </w:t>
      </w:r>
      <w:r w:rsidR="001A2117">
        <w:t xml:space="preserve">We </w:t>
      </w:r>
      <w:r w:rsidR="001759D7">
        <w:t>will</w:t>
      </w:r>
      <w:r w:rsidR="001A2117">
        <w:t xml:space="preserve"> use geospatial modeling with data from open-access sources (e.g., NCES’s Education Demographic and Geographic Estimates, FBI’s Uniform Crime Reporting statistics) and RTI’s Enhanced Address-based Sampling Frame (Enhanced ABS Frame) to generate a superset of covariates that may help in estimating the likelihood of participation at all levels.</w:t>
      </w:r>
      <w:r w:rsidR="0060623B">
        <w:t xml:space="preserve"> </w:t>
      </w:r>
      <w:r w:rsidR="001A2117">
        <w:t xml:space="preserve">From this covariate superset, we will identify a subset of </w:t>
      </w:r>
      <w:r w:rsidR="001A2117">
        <w:rPr>
          <w:i/>
          <w:iCs/>
        </w:rPr>
        <w:t>substantive</w:t>
      </w:r>
      <w:r w:rsidR="001A2117">
        <w:t xml:space="preserve"> covariates that are significant predictors of response.</w:t>
      </w:r>
      <w:r w:rsidR="0060623B">
        <w:t xml:space="preserve"> </w:t>
      </w:r>
      <w:r w:rsidR="001A2117">
        <w:t>Model coefficients from this geospatial model will then be used to predict, a priori, the likelihood of response for each unit in the HS&amp;B:20 sample if the model provides sufficient ability to predict nonresponse.</w:t>
      </w:r>
      <w:r w:rsidR="00D47C1E">
        <w:t xml:space="preserve"> Interventions will be implemented based on the patterns of information found in the model. If we see that certain areas are underrepresented, we will focus our outreach efforts in those areas.</w:t>
      </w:r>
    </w:p>
    <w:p w14:paraId="1EE39C44" w14:textId="77777777" w:rsidR="0060623B" w:rsidRDefault="000F3274" w:rsidP="001D393F">
      <w:pPr>
        <w:widowControl w:val="0"/>
        <w:spacing w:after="120" w:line="240" w:lineRule="auto"/>
      </w:pPr>
      <w:r w:rsidRPr="00C347E5">
        <w:rPr>
          <w:b/>
        </w:rPr>
        <w:t>Volunteer hours for students</w:t>
      </w:r>
      <w:r w:rsidR="00C347E5">
        <w:rPr>
          <w:b/>
        </w:rPr>
        <w:t>.</w:t>
      </w:r>
      <w:r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14:paraId="0AAA5D85" w14:textId="2134F9A3" w:rsidR="00DC3FE5" w:rsidRDefault="00E81101" w:rsidP="00DC3FE5">
      <w:pPr>
        <w:spacing w:after="120" w:line="240" w:lineRule="auto"/>
      </w:pPr>
      <w:r>
        <w:rPr>
          <w:b/>
        </w:rPr>
        <w:t>Flexible incentive package.</w:t>
      </w:r>
      <w:r w:rsidR="000F5B35">
        <w:t xml:space="preserve"> </w:t>
      </w:r>
      <w:r w:rsidR="00A35AFF">
        <w:t>As observed across NCES studies, s</w:t>
      </w:r>
      <w:r>
        <w:t xml:space="preserve">chools and sample members </w:t>
      </w:r>
      <w:r w:rsidR="00D76040">
        <w:t>vary in their</w:t>
      </w:r>
      <w:r>
        <w:t xml:space="preserve"> motivation to participate in voluntary research</w:t>
      </w:r>
      <w:r w:rsidR="00CB13AE">
        <w:t>, and w</w:t>
      </w:r>
      <w:r>
        <w:t xml:space="preserve">hat incentivizes some </w:t>
      </w:r>
      <w:r w:rsidR="00CB13AE">
        <w:t>does</w:t>
      </w:r>
      <w:r>
        <w:t xml:space="preserve"> not work for others. We are </w:t>
      </w:r>
      <w:r w:rsidR="00CB13AE">
        <w:t xml:space="preserve">thus </w:t>
      </w:r>
      <w:r>
        <w:t xml:space="preserve">offering incentive choices to enable schools and sample members to determine what works </w:t>
      </w:r>
      <w:r w:rsidR="00CB13AE">
        <w:t xml:space="preserve">best </w:t>
      </w:r>
      <w:r>
        <w:t>for them.</w:t>
      </w:r>
      <w:r w:rsidR="00A00486">
        <w:t xml:space="preserve"> </w:t>
      </w:r>
      <w:r>
        <w:t xml:space="preserve">The incentive structure is </w:t>
      </w:r>
      <w:r w:rsidR="002D1692">
        <w:t>provided</w:t>
      </w:r>
      <w:r>
        <w:t xml:space="preserve"> in </w:t>
      </w:r>
      <w:r w:rsidR="002B2D45">
        <w:t xml:space="preserve">section A.9 of the Supporting Statement </w:t>
      </w:r>
      <w:r>
        <w:t xml:space="preserve">Part A. </w:t>
      </w:r>
      <w:r w:rsidR="000F5B35">
        <w:t xml:space="preserve">To encourage schools to participate, we are </w:t>
      </w:r>
      <w:r w:rsidR="002B2D45">
        <w:t xml:space="preserve">also </w:t>
      </w:r>
      <w:r w:rsidR="000F5B35">
        <w:t xml:space="preserve">exploring offering </w:t>
      </w:r>
      <w:r w:rsidR="00514112">
        <w:t xml:space="preserve">school-related </w:t>
      </w:r>
      <w:r w:rsidR="000F5B35">
        <w:t xml:space="preserve">incentives </w:t>
      </w:r>
      <w:r w:rsidR="00514112">
        <w:t>to students</w:t>
      </w:r>
      <w:r>
        <w:t xml:space="preserve"> and parents</w:t>
      </w:r>
      <w:r w:rsidR="002B2D45">
        <w:t xml:space="preserve">, </w:t>
      </w:r>
      <w:r w:rsidR="000F5B35">
        <w:t xml:space="preserve">such as entry to a school event or credit towards, or an item from, the school store. Such incentives </w:t>
      </w:r>
      <w:r w:rsidR="00B03750">
        <w:t>further support the schools and can be seen as a benefit to both the school and students</w:t>
      </w:r>
      <w:r w:rsidR="000F5B35">
        <w:t xml:space="preserve">. Furthermore, increased flexibility in the items that are offered may </w:t>
      </w:r>
      <w:r w:rsidR="000F5B35" w:rsidRPr="001B4642">
        <w:t>encourage participation.</w:t>
      </w:r>
      <w:r w:rsidR="00FC1C86">
        <w:t xml:space="preserve"> </w:t>
      </w:r>
      <w:r w:rsidR="009941DE" w:rsidRPr="001B4642">
        <w:t>In</w:t>
      </w:r>
      <w:r w:rsidR="00DC3FE5" w:rsidRPr="001B4642">
        <w:t xml:space="preserve"> </w:t>
      </w:r>
      <w:r w:rsidR="009941DE" w:rsidRPr="001B4642">
        <w:t>BYFS</w:t>
      </w:r>
      <w:r w:rsidR="00DC3FE5" w:rsidRPr="001B4642">
        <w:t>, a school-level incentive boost from $200 to $400 will be offered to schools as a refusal conversion strategy</w:t>
      </w:r>
      <w:r w:rsidR="00A51DB1" w:rsidRPr="001B4642">
        <w:t xml:space="preserve"> to mitigate nonresponse both at the school-level and at the student item-level</w:t>
      </w:r>
      <w:r w:rsidR="00ED711A" w:rsidRPr="001B4642">
        <w:t xml:space="preserve">. </w:t>
      </w:r>
      <w:r w:rsidR="006936A0" w:rsidRPr="001B4642">
        <w:t xml:space="preserve">Depending on the results of the field test experiment designed to determine the “right” </w:t>
      </w:r>
      <w:r w:rsidR="001B4642" w:rsidRPr="001B4642">
        <w:t>student session length t</w:t>
      </w:r>
      <w:r w:rsidR="006936A0" w:rsidRPr="001B4642">
        <w:t xml:space="preserve">o facilitate </w:t>
      </w:r>
      <w:r w:rsidR="001B4642" w:rsidRPr="001B4642">
        <w:t xml:space="preserve">school </w:t>
      </w:r>
      <w:r w:rsidR="006936A0" w:rsidRPr="001B4642">
        <w:t>participation</w:t>
      </w:r>
      <w:r w:rsidR="001B4642" w:rsidRPr="001B4642">
        <w:t xml:space="preserve">, a shorter student session in the school may be offered </w:t>
      </w:r>
      <w:r w:rsidR="00A51DB1" w:rsidRPr="001B4642">
        <w:t>as the next refusal conversion step</w:t>
      </w:r>
      <w:r w:rsidR="00DC3FE5" w:rsidRPr="001B4642">
        <w:t>.</w:t>
      </w:r>
      <w:r w:rsidR="00A51DB1" w:rsidRPr="001B4642">
        <w:t xml:space="preserve"> This school-level</w:t>
      </w:r>
      <w:r w:rsidR="00A51DB1">
        <w:t xml:space="preserve"> incentive boost </w:t>
      </w:r>
      <w:r w:rsidR="00E12D15">
        <w:t>is</w:t>
      </w:r>
      <w:r w:rsidR="00A51DB1">
        <w:t xml:space="preserve"> not </w:t>
      </w:r>
      <w:r w:rsidR="00E12D15">
        <w:t xml:space="preserve">being </w:t>
      </w:r>
      <w:r w:rsidR="00A51DB1">
        <w:t>offered in the field test due to sample size and its potential impact on the field test session time experiment</w:t>
      </w:r>
      <w:r w:rsidR="00E12D15">
        <w:t>.</w:t>
      </w:r>
    </w:p>
    <w:p w14:paraId="44D26C71" w14:textId="77777777" w:rsidR="0060623B" w:rsidRDefault="000F3274" w:rsidP="00690C44">
      <w:pPr>
        <w:spacing w:after="120" w:line="240" w:lineRule="auto"/>
      </w:pPr>
      <w:r w:rsidRPr="00C347E5">
        <w:rPr>
          <w:b/>
        </w:rPr>
        <w:t xml:space="preserve">Continuing education </w:t>
      </w:r>
      <w:r w:rsidR="000C6818">
        <w:rPr>
          <w:b/>
        </w:rPr>
        <w:t xml:space="preserve">or professional development </w:t>
      </w:r>
      <w:r w:rsidRPr="00C347E5">
        <w:rPr>
          <w:b/>
        </w:rPr>
        <w:t>credits for teachers</w:t>
      </w:r>
      <w:r w:rsidR="00C347E5">
        <w:rPr>
          <w:b/>
        </w:rPr>
        <w:t xml:space="preserve">, </w:t>
      </w:r>
      <w:r w:rsidRPr="00C347E5">
        <w:rPr>
          <w:b/>
        </w:rPr>
        <w:t>counselors</w:t>
      </w:r>
      <w:r w:rsidR="00C347E5">
        <w:rPr>
          <w:b/>
        </w:rPr>
        <w:t>, and administrators.</w:t>
      </w:r>
      <w:r w:rsidR="00C347E5">
        <w:t xml:space="preserve"> </w:t>
      </w:r>
      <w:r w:rsidR="00D31FA7">
        <w:t>In some states, districts, and schools, the s</w:t>
      </w:r>
      <w:r w:rsidR="00C347E5">
        <w:t xml:space="preserve">chool staff </w:t>
      </w:r>
      <w:r w:rsidR="00D31FA7">
        <w:t xml:space="preserve">are required to </w:t>
      </w:r>
      <w:r w:rsidR="00C347E5">
        <w:t>complete continuing education credits</w:t>
      </w:r>
      <w:r w:rsidR="00D31FA7">
        <w:t xml:space="preserve"> or participate in documented professional development activities</w:t>
      </w:r>
      <w:r w:rsidR="00C347E5">
        <w:t xml:space="preserve">. We are exploring the requirements in each state to be able to offer continuing education </w:t>
      </w:r>
      <w:r w:rsidR="00D31FA7">
        <w:t xml:space="preserve">(or professional development) </w:t>
      </w:r>
      <w:r w:rsidR="00C347E5">
        <w:t>credits to participating school staff.</w:t>
      </w:r>
    </w:p>
    <w:p w14:paraId="5796FC92" w14:textId="77777777" w:rsidR="0078194E" w:rsidRDefault="000307DA" w:rsidP="00690C44">
      <w:pPr>
        <w:widowControl w:val="0"/>
        <w:spacing w:after="120" w:line="240" w:lineRule="auto"/>
      </w:pPr>
      <w:r>
        <w:rPr>
          <w:b/>
        </w:rPr>
        <w:t>Avoiding refusals</w:t>
      </w:r>
      <w:r>
        <w:t xml:space="preserve">. HS&amp;B:20 recruiters will </w:t>
      </w:r>
      <w:r w:rsidR="00E81101">
        <w:t xml:space="preserve">be trained </w:t>
      </w:r>
      <w:r>
        <w:t>to avoid direct refusals by focusing on 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0003292B">
        <w:t xml:space="preserve"> As described above, shortening the time for the student session is one tool that will be used for refusal avoidance.</w:t>
      </w:r>
    </w:p>
    <w:p w14:paraId="51C7AD8C" w14:textId="30FD8BE1" w:rsidR="00C808C4" w:rsidRDefault="0003292B" w:rsidP="00690C44">
      <w:pPr>
        <w:widowControl w:val="0"/>
        <w:spacing w:after="120" w:line="240" w:lineRule="auto"/>
      </w:pPr>
      <w:r>
        <w:t xml:space="preserve">When possible, </w:t>
      </w:r>
      <w:r w:rsidR="002C5D62" w:rsidRPr="002C5D62">
        <w:t xml:space="preserve">HS&amp;B:20 session facilitators will meet with students prior to the session at the school and explain the importance of participating in the study. </w:t>
      </w:r>
      <w:r w:rsidR="00DC3FE5" w:rsidRPr="002C5D62">
        <w:t xml:space="preserve">They will emphasize that participating in the study will not affect their grades, and that </w:t>
      </w:r>
      <w:r w:rsidR="00E70D3E">
        <w:t>none of their</w:t>
      </w:r>
      <w:r w:rsidR="00DC3FE5" w:rsidRPr="002C5D62">
        <w:t xml:space="preserve"> responses will be shared with their parents or teachers. Session facilitators may also meet with parents at a scheduled parent event at the school to generate excitement about the study, and answer questions parents may have about either their or their child’s participation.</w:t>
      </w:r>
      <w:r w:rsidR="002C5D62" w:rsidRP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HS&amp;B:20 session facilitators will also prompt school staff to complete the staff surveys and assist school staff with logging in to their survey or answering questions about the study.</w:t>
      </w:r>
    </w:p>
    <w:p w14:paraId="39A36427" w14:textId="05DAEF2E" w:rsidR="00394572" w:rsidRPr="00394572" w:rsidRDefault="00AE1BF3" w:rsidP="00FE3F78">
      <w:pPr>
        <w:spacing w:after="120" w:line="240" w:lineRule="auto"/>
        <w:rPr>
          <w:rFonts w:ascii="Cambria" w:hAnsi="Cambria"/>
        </w:rPr>
      </w:pPr>
      <w:r w:rsidRPr="00AE1BF3">
        <w:rPr>
          <w:rFonts w:ascii="Cambria" w:hAnsi="Cambria"/>
          <w:i/>
          <w:u w:val="single"/>
        </w:rPr>
        <w:t>General Recruiting.</w:t>
      </w:r>
      <w:r>
        <w:rPr>
          <w:rFonts w:ascii="Cambria" w:hAnsi="Cambria"/>
          <w:u w:val="single"/>
        </w:rPr>
        <w:t xml:space="preserve"> </w:t>
      </w:r>
      <w:r w:rsidR="00394572" w:rsidRPr="00394572">
        <w:rPr>
          <w:rFonts w:ascii="Cambria" w:hAnsi="Cambria"/>
        </w:rPr>
        <w:t xml:space="preserve">The following approach will be implemented to recruit school districts and schools for both the field test and </w:t>
      </w:r>
      <w:r w:rsidR="00880007">
        <w:rPr>
          <w:rFonts w:ascii="Cambria" w:hAnsi="Cambria"/>
        </w:rPr>
        <w:t>BYFS</w:t>
      </w:r>
      <w:r w:rsidR="00394572" w:rsidRPr="00394572">
        <w:rPr>
          <w:rFonts w:ascii="Cambria" w:hAnsi="Cambria"/>
        </w:rPr>
        <w:t xml:space="preserve">. </w:t>
      </w:r>
      <w:r>
        <w:rPr>
          <w:rFonts w:ascii="Cambria" w:hAnsi="Cambria"/>
        </w:rPr>
        <w:t>This ap</w:t>
      </w:r>
      <w:r w:rsidR="009C3856">
        <w:rPr>
          <w:rFonts w:ascii="Cambria" w:hAnsi="Cambria"/>
        </w:rPr>
        <w:t>proach was previously approved i</w:t>
      </w:r>
      <w:r>
        <w:rPr>
          <w:rFonts w:ascii="Cambria" w:hAnsi="Cambria"/>
        </w:rPr>
        <w:t xml:space="preserve">n December </w:t>
      </w:r>
      <w:r w:rsidR="009C3856">
        <w:rPr>
          <w:rFonts w:ascii="Cambria" w:hAnsi="Cambria"/>
        </w:rPr>
        <w:t>2018 (OMB</w:t>
      </w:r>
      <w:r>
        <w:rPr>
          <w:rFonts w:ascii="Cambria" w:hAnsi="Cambria"/>
        </w:rPr>
        <w:t>#</w:t>
      </w:r>
      <w:r w:rsidR="009C3856">
        <w:rPr>
          <w:rFonts w:ascii="Cambria" w:hAnsi="Cambria"/>
        </w:rPr>
        <w:t xml:space="preserve"> </w:t>
      </w:r>
      <w:r>
        <w:rPr>
          <w:rFonts w:ascii="Cambria" w:hAnsi="Cambria"/>
        </w:rPr>
        <w:t>1850-0944 v.1.).</w:t>
      </w:r>
    </w:p>
    <w:p w14:paraId="398EC5AF" w14:textId="3895334F" w:rsidR="0060623B" w:rsidRPr="005A01EE" w:rsidRDefault="0081239F" w:rsidP="00FE3F78">
      <w:pPr>
        <w:widowControl w:val="0"/>
        <w:spacing w:after="120" w:line="240" w:lineRule="auto"/>
        <w:rPr>
          <w:rFonts w:ascii="Cambria" w:hAnsi="Cambria"/>
        </w:rPr>
      </w:pPr>
      <w:r w:rsidRPr="005A01EE">
        <w:rPr>
          <w:rFonts w:ascii="Cambria" w:hAnsi="Cambria"/>
          <w:b/>
        </w:rPr>
        <w:t>Endorsements.</w:t>
      </w:r>
      <w:r w:rsidRPr="005A01EE">
        <w:rPr>
          <w:rFonts w:ascii="Cambria" w:hAnsi="Cambria"/>
        </w:rPr>
        <w:t xml:space="preserve"> </w:t>
      </w:r>
      <w:r w:rsidR="004122A6" w:rsidRPr="005A01EE">
        <w:rPr>
          <w:rFonts w:ascii="Cambria" w:hAnsi="Cambria"/>
        </w:rPr>
        <w:t xml:space="preserve">Support from leading education organizations can, at times, be influential to school districts’ and schools’ decision to participate. Prior to contacting sampled school districts or schools, we will request the endorsement and support from relevant organizations and key stakeholders in </w:t>
      </w:r>
      <w:r w:rsidR="005F36D0" w:rsidRPr="005A01EE">
        <w:rPr>
          <w:rFonts w:ascii="Cambria" w:hAnsi="Cambria"/>
        </w:rPr>
        <w:t>secondary education (</w:t>
      </w:r>
      <w:r w:rsidR="00C5090A" w:rsidRPr="005A01EE">
        <w:rPr>
          <w:rFonts w:ascii="Cambria" w:hAnsi="Cambria"/>
        </w:rPr>
        <w:t xml:space="preserve">see </w:t>
      </w:r>
      <w:r w:rsidR="005F36D0" w:rsidRPr="005A01EE">
        <w:rPr>
          <w:rFonts w:ascii="Cambria" w:hAnsi="Cambria"/>
        </w:rPr>
        <w:t>appendix A</w:t>
      </w:r>
      <w:r w:rsidR="00090418" w:rsidRPr="005A01EE">
        <w:rPr>
          <w:rFonts w:ascii="Cambria" w:hAnsi="Cambria"/>
        </w:rPr>
        <w:t>.</w:t>
      </w:r>
      <w:r w:rsidR="00D53C18" w:rsidRPr="005A01EE">
        <w:rPr>
          <w:rFonts w:ascii="Cambria" w:hAnsi="Cambria"/>
        </w:rPr>
        <w:t>1</w:t>
      </w:r>
      <w:r w:rsidR="005F36D0" w:rsidRPr="005A01EE">
        <w:rPr>
          <w:rFonts w:ascii="Cambria" w:hAnsi="Cambria"/>
        </w:rPr>
        <w:t xml:space="preserve">). Organizations will be able to provide a letter of support and/or electronic endorsement of the study. Logos from endorsing organizations will be included on the </w:t>
      </w:r>
      <w:r w:rsidR="005A01EE" w:rsidRPr="005A01EE">
        <w:rPr>
          <w:rFonts w:ascii="Cambria" w:hAnsi="Cambria"/>
        </w:rPr>
        <w:t xml:space="preserve">HS&amp;B:20 </w:t>
      </w:r>
      <w:r w:rsidR="005F36D0" w:rsidRPr="005A01EE">
        <w:rPr>
          <w:rFonts w:ascii="Cambria" w:hAnsi="Cambria"/>
        </w:rPr>
        <w:t>study website.</w:t>
      </w:r>
      <w:r w:rsidR="00BF4052">
        <w:rPr>
          <w:rFonts w:ascii="Cambria" w:hAnsi="Cambria"/>
        </w:rPr>
        <w:t xml:space="preserve"> E</w:t>
      </w:r>
      <w:r w:rsidR="00BF4052" w:rsidRPr="00BF4052">
        <w:rPr>
          <w:rFonts w:ascii="Cambria" w:hAnsi="Cambria"/>
        </w:rPr>
        <w:t xml:space="preserve">ndorsement collection </w:t>
      </w:r>
      <w:r w:rsidR="00BF4052">
        <w:rPr>
          <w:rFonts w:ascii="Cambria" w:hAnsi="Cambria"/>
        </w:rPr>
        <w:t>will</w:t>
      </w:r>
      <w:r w:rsidR="00BF4052" w:rsidRPr="00BF4052">
        <w:rPr>
          <w:rFonts w:ascii="Cambria" w:hAnsi="Cambria"/>
        </w:rPr>
        <w:t xml:space="preserve"> continue through spring 2019</w:t>
      </w:r>
      <w:r w:rsidR="00BF4052">
        <w:rPr>
          <w:rFonts w:ascii="Cambria" w:hAnsi="Cambria"/>
        </w:rPr>
        <w:t>.</w:t>
      </w:r>
    </w:p>
    <w:p w14:paraId="56A4DF75" w14:textId="3ADADA5C" w:rsidR="0060623B" w:rsidRDefault="0081239F" w:rsidP="00FE3F78">
      <w:pPr>
        <w:widowControl w:val="0"/>
        <w:spacing w:after="120" w:line="240" w:lineRule="auto"/>
      </w:pPr>
      <w:r>
        <w:rPr>
          <w:b/>
        </w:rPr>
        <w:t>State Endorsement.</w:t>
      </w:r>
      <w:r w:rsidR="00591E19">
        <w:rPr>
          <w:b/>
        </w:rPr>
        <w:t xml:space="preserve"> </w:t>
      </w:r>
      <w:r w:rsidR="00591E19">
        <w:t xml:space="preserve">As part of our study outreach efforts, all states will be contacted to inform them </w:t>
      </w:r>
      <w:r w:rsidR="009C5FD7">
        <w:t xml:space="preserve">that the study </w:t>
      </w:r>
      <w:r w:rsidR="004122A6">
        <w:t xml:space="preserve">will be taking place. States will be asked to provide a letter of endorsement to encourage school districts’ and schools’ participation in the study should schools in their state be selected. Letters will be sent to the state superintendent </w:t>
      </w:r>
      <w:r w:rsidR="004122A6" w:rsidRPr="00014B8B">
        <w:t xml:space="preserve">with copies to the </w:t>
      </w:r>
      <w:r w:rsidR="000B1D0B">
        <w:t>state-</w:t>
      </w:r>
      <w:r w:rsidR="000B1D0B" w:rsidRPr="00014B8B">
        <w:t xml:space="preserve">level </w:t>
      </w:r>
      <w:r w:rsidR="00014B8B" w:rsidRPr="00014B8B">
        <w:t>director of research and/or director of seco</w:t>
      </w:r>
      <w:r w:rsidR="000B1D0B">
        <w:t xml:space="preserve">ndary education, as applicable </w:t>
      </w:r>
      <w:r w:rsidR="005F36D0" w:rsidRPr="00014B8B">
        <w:t>(</w:t>
      </w:r>
      <w:r w:rsidR="00090418">
        <w:t xml:space="preserve">see </w:t>
      </w:r>
      <w:r w:rsidR="005F36D0" w:rsidRPr="00014B8B">
        <w:t>appendix A</w:t>
      </w:r>
      <w:r w:rsidR="00090418">
        <w:t>.</w:t>
      </w:r>
      <w:r w:rsidR="00D53C18" w:rsidRPr="00014B8B">
        <w:t>2</w:t>
      </w:r>
      <w:r w:rsidR="005F36D0" w:rsidRPr="00014B8B">
        <w:t>)</w:t>
      </w:r>
      <w:r w:rsidR="004122A6" w:rsidRPr="00014B8B">
        <w:t>. Once the</w:t>
      </w:r>
      <w:r w:rsidR="004122A6">
        <w:t xml:space="preserve"> sample </w:t>
      </w:r>
      <w:r w:rsidR="000B1D0B">
        <w:t>schools are</w:t>
      </w:r>
      <w:r w:rsidR="004122A6">
        <w:t xml:space="preserve"> selected, senior </w:t>
      </w:r>
      <w:r w:rsidR="006D2006" w:rsidRPr="005A01EE">
        <w:rPr>
          <w:rFonts w:ascii="Cambria" w:hAnsi="Cambria"/>
        </w:rPr>
        <w:t xml:space="preserve">HS&amp;B:20 </w:t>
      </w:r>
      <w:r w:rsidR="004122A6">
        <w:t xml:space="preserve">recruitment staff will contact </w:t>
      </w:r>
      <w:r w:rsidR="007D5322">
        <w:t xml:space="preserve">state </w:t>
      </w:r>
      <w:r w:rsidR="004122A6">
        <w:t>staff with schools in the sample to discuss the study and secure support. Endorsement letters received by the state are included in all mailings to districts and schools within the state.</w:t>
      </w:r>
      <w:r w:rsidR="00BF4052">
        <w:t xml:space="preserve"> </w:t>
      </w:r>
      <w:r w:rsidR="00BF4052">
        <w:rPr>
          <w:rFonts w:ascii="Cambria" w:hAnsi="Cambria"/>
        </w:rPr>
        <w:t>E</w:t>
      </w:r>
      <w:r w:rsidR="00BF4052" w:rsidRPr="00BF4052">
        <w:rPr>
          <w:rFonts w:ascii="Cambria" w:hAnsi="Cambria"/>
        </w:rPr>
        <w:t xml:space="preserve">ndorsement collection </w:t>
      </w:r>
      <w:r w:rsidR="00BF4052">
        <w:rPr>
          <w:rFonts w:ascii="Cambria" w:hAnsi="Cambria"/>
        </w:rPr>
        <w:t>will</w:t>
      </w:r>
      <w:r w:rsidR="00BF4052" w:rsidRPr="00BF4052">
        <w:rPr>
          <w:rFonts w:ascii="Cambria" w:hAnsi="Cambria"/>
        </w:rPr>
        <w:t xml:space="preserve"> continue through spring 2019</w:t>
      </w:r>
      <w:r w:rsidR="00BF4052">
        <w:rPr>
          <w:rFonts w:ascii="Cambria" w:hAnsi="Cambria"/>
        </w:rPr>
        <w:t>.</w:t>
      </w:r>
    </w:p>
    <w:p w14:paraId="1AA2DD2D" w14:textId="73E220EB" w:rsidR="0060623B" w:rsidRDefault="0081239F" w:rsidP="00FE3F78">
      <w:pPr>
        <w:widowControl w:val="0"/>
        <w:spacing w:after="120" w:line="240" w:lineRule="auto"/>
      </w:pPr>
      <w:r>
        <w:rPr>
          <w:b/>
        </w:rPr>
        <w:t>School District and Diocesan Notification and Recruitment.</w:t>
      </w:r>
      <w:r w:rsidR="009462B3">
        <w:rPr>
          <w:b/>
        </w:rPr>
        <w:t xml:space="preserve"> </w:t>
      </w:r>
      <w:r w:rsidR="004122A6">
        <w:t xml:space="preserve">Once states have been contacted, whether an endorsement letter was received or not, </w:t>
      </w:r>
      <w:r w:rsidR="009462B3">
        <w:t xml:space="preserve">school districts and dioceses </w:t>
      </w:r>
      <w:r w:rsidR="004122A6">
        <w:t xml:space="preserve">that do not require a research application </w:t>
      </w:r>
      <w:r w:rsidR="009462B3">
        <w:t xml:space="preserve">will be notified that schools in their district </w:t>
      </w:r>
      <w:r w:rsidR="009462B3" w:rsidRPr="00014B8B">
        <w:t xml:space="preserve">have been selected for the study. The letter to school districts will state that NCES’s contractor, RTI International, will contact the school within two weeks and </w:t>
      </w:r>
      <w:r w:rsidR="008F5A4D">
        <w:t xml:space="preserve">that </w:t>
      </w:r>
      <w:r w:rsidR="009462B3" w:rsidRPr="00014B8B">
        <w:t>they may contact RTI with questions</w:t>
      </w:r>
      <w:r w:rsidR="005F36D0" w:rsidRPr="00014B8B">
        <w:t xml:space="preserve"> (</w:t>
      </w:r>
      <w:r w:rsidR="00090418">
        <w:t xml:space="preserve">see </w:t>
      </w:r>
      <w:r w:rsidR="005F36D0" w:rsidRPr="00014B8B">
        <w:t>appendix A</w:t>
      </w:r>
      <w:r w:rsidR="00090418">
        <w:t>.</w:t>
      </w:r>
      <w:r w:rsidR="00014B8B" w:rsidRPr="00014B8B">
        <w:t>3</w:t>
      </w:r>
      <w:r w:rsidR="005F36D0" w:rsidRPr="00014B8B">
        <w:t>)</w:t>
      </w:r>
      <w:r w:rsidR="009462B3" w:rsidRPr="00014B8B">
        <w:t>.</w:t>
      </w:r>
    </w:p>
    <w:p w14:paraId="04C9C6DD" w14:textId="5FA46450" w:rsidR="0060623B" w:rsidRDefault="009462B3" w:rsidP="00FE3F78">
      <w:pPr>
        <w:widowControl w:val="0"/>
        <w:spacing w:after="120" w:line="240" w:lineRule="auto"/>
      </w:pPr>
      <w:r w:rsidRPr="00014B8B">
        <w:t>Research applications will be prepared for any school dist</w:t>
      </w:r>
      <w:r>
        <w:t xml:space="preserve">ricts that require </w:t>
      </w:r>
      <w:r w:rsidR="00090418">
        <w:t>the approval of applications in order to conduct research in schools in the</w:t>
      </w:r>
      <w:r w:rsidR="002C23BB">
        <w:t>ir jurisdiction</w:t>
      </w:r>
      <w:r>
        <w:t xml:space="preserve">. </w:t>
      </w:r>
      <w:r w:rsidR="004122A6">
        <w:t xml:space="preserve">If a school district notifies us that an application must be submitted, or some other requirement must be fulfilled, study staff </w:t>
      </w:r>
      <w:r w:rsidR="003D4170">
        <w:t>will be</w:t>
      </w:r>
      <w:r w:rsidR="004122A6">
        <w:t xml:space="preserve"> prepared to respond to such requirements.</w:t>
      </w:r>
      <w:r w:rsidR="000C574B">
        <w:t xml:space="preserve"> </w:t>
      </w:r>
      <w:r w:rsidR="004122A6">
        <w:t xml:space="preserve">If a district chooses not to participate, all reasons </w:t>
      </w:r>
      <w:r w:rsidR="003D4170">
        <w:t>will be</w:t>
      </w:r>
      <w:r w:rsidR="004122A6">
        <w:t xml:space="preserve"> documented to help formulate a strategy for refusal conversion attempts.</w:t>
      </w:r>
      <w:r w:rsidR="000C574B">
        <w:t xml:space="preserve"> </w:t>
      </w:r>
      <w:r w:rsidR="004122A6">
        <w:t xml:space="preserve">Participating districts may be asked to provide </w:t>
      </w:r>
      <w:r w:rsidR="000C574B">
        <w:t xml:space="preserve">student </w:t>
      </w:r>
      <w:r w:rsidR="004122A6">
        <w:t>roster information on the school’s behalf to reduce the burden on the school.</w:t>
      </w:r>
    </w:p>
    <w:p w14:paraId="1288CDC6" w14:textId="0536077C" w:rsidR="0081239F" w:rsidRDefault="00666DEC" w:rsidP="00FE3F78">
      <w:pPr>
        <w:widowControl w:val="0"/>
        <w:spacing w:after="120" w:line="240" w:lineRule="auto"/>
      </w:pPr>
      <w:r w:rsidRPr="005229FB">
        <w:rPr>
          <w:b/>
        </w:rPr>
        <w:t xml:space="preserve">Public and Catholic </w:t>
      </w:r>
      <w:r w:rsidR="0081239F" w:rsidRPr="005229FB">
        <w:rPr>
          <w:b/>
        </w:rPr>
        <w:t>School Recruitment</w:t>
      </w:r>
      <w:r w:rsidR="0081239F">
        <w:rPr>
          <w:b/>
        </w:rPr>
        <w:t>.</w:t>
      </w:r>
      <w:r w:rsidR="005F36D0">
        <w:rPr>
          <w:b/>
        </w:rPr>
        <w:t xml:space="preserve"> </w:t>
      </w:r>
      <w:r w:rsidR="005F36D0">
        <w:t xml:space="preserve">Two weeks after the district was notified, or after the district provides approval </w:t>
      </w:r>
      <w:r w:rsidR="00E119DE">
        <w:t>when required</w:t>
      </w:r>
      <w:r w:rsidR="005F36D0">
        <w:t>, recruitment will commence at the school-level. Schools will receive a colored folder</w:t>
      </w:r>
      <w:r w:rsidR="0060623B">
        <w:t xml:space="preserve"> </w:t>
      </w:r>
      <w:r w:rsidR="005F36D0">
        <w:t xml:space="preserve">that contains a </w:t>
      </w:r>
      <w:r w:rsidR="005F36D0" w:rsidRPr="00014B8B">
        <w:t xml:space="preserve">letter </w:t>
      </w:r>
      <w:r w:rsidR="00DD11F4" w:rsidRPr="00014B8B">
        <w:t>(appendix A</w:t>
      </w:r>
      <w:r w:rsidR="00090418">
        <w:t>.</w:t>
      </w:r>
      <w:r w:rsidR="00014B8B" w:rsidRPr="00014B8B">
        <w:t>4a</w:t>
      </w:r>
      <w:r w:rsidR="00DD11F4" w:rsidRPr="00014B8B">
        <w:t>)</w:t>
      </w:r>
      <w:r w:rsidR="005F36D0" w:rsidRPr="00014B8B">
        <w:t>,</w:t>
      </w:r>
      <w:r w:rsidR="005F36D0">
        <w:t xml:space="preserve"> </w:t>
      </w:r>
      <w:r w:rsidR="00DD11F4">
        <w:t xml:space="preserve">study information </w:t>
      </w:r>
      <w:r w:rsidR="00DD11F4" w:rsidRPr="00014B8B">
        <w:t>sheet (appendix A</w:t>
      </w:r>
      <w:r w:rsidR="00090418">
        <w:t>.</w:t>
      </w:r>
      <w:r w:rsidR="00014B8B" w:rsidRPr="00014B8B">
        <w:t>6a</w:t>
      </w:r>
      <w:r w:rsidR="00DD11F4" w:rsidRPr="00014B8B">
        <w:t>), frequently asked questions (FAQs) about the study (appendix A</w:t>
      </w:r>
      <w:r w:rsidR="00090418">
        <w:t>.</w:t>
      </w:r>
      <w:r w:rsidR="00014B8B" w:rsidRPr="00014B8B">
        <w:t>6b</w:t>
      </w:r>
      <w:r w:rsidR="00DD11F4" w:rsidRPr="00014B8B">
        <w:t>), and a study brochure (appendix A</w:t>
      </w:r>
      <w:r w:rsidR="00090418">
        <w:t>.</w:t>
      </w:r>
      <w:r w:rsidR="00014B8B" w:rsidRPr="00014B8B">
        <w:t>6c</w:t>
      </w:r>
      <w:r w:rsidR="00DD11F4" w:rsidRPr="00014B8B">
        <w:t xml:space="preserve">). Materials will be sent via overnight delivery and </w:t>
      </w:r>
      <w:r w:rsidR="00090418" w:rsidRPr="00014B8B">
        <w:t>follow</w:t>
      </w:r>
      <w:r w:rsidR="00090418">
        <w:t>-</w:t>
      </w:r>
      <w:r w:rsidR="00DD11F4" w:rsidRPr="00014B8B">
        <w:t xml:space="preserve">up will occur within three business days. The first contact will be intentionally assigned based on prior history of working with the schools </w:t>
      </w:r>
      <w:r w:rsidR="00B03750">
        <w:t>and school or district characteristics.</w:t>
      </w:r>
      <w:r w:rsidR="0060623B">
        <w:t xml:space="preserve"> </w:t>
      </w:r>
      <w:r w:rsidR="00B03750">
        <w:t xml:space="preserve">First contacts </w:t>
      </w:r>
      <w:r w:rsidR="00DD11F4" w:rsidRPr="00014B8B">
        <w:t>may include modes such</w:t>
      </w:r>
      <w:r w:rsidR="00DD11F4">
        <w:t xml:space="preserve"> as a telephone call from recruitment staff, study management </w:t>
      </w:r>
      <w:r w:rsidR="00090418">
        <w:t xml:space="preserve">staff </w:t>
      </w:r>
      <w:r w:rsidR="00DD11F4">
        <w:t xml:space="preserve">at RTI, or NCES staff; or an in-person visit to the school. </w:t>
      </w:r>
      <w:r w:rsidR="00B03750">
        <w:t>Each of these modes, as well as email communication, may be used throughout the recruitment process as needed.</w:t>
      </w:r>
    </w:p>
    <w:p w14:paraId="43C5DF1A" w14:textId="3B16633F" w:rsidR="00A00486" w:rsidRDefault="00CA3BD4" w:rsidP="00FE3F78">
      <w:pPr>
        <w:widowControl w:val="0"/>
        <w:spacing w:after="120" w:line="240" w:lineRule="auto"/>
      </w:pPr>
      <w:r>
        <w:t>Once a school agrees to participate in HS&amp;B:20, a recruiter will work with the school to name a member of the school’s staff to serve as the school coordinator for the study. The recruiter will work with the school coordinator to schedule study activities at the school, including gathering student rosters, distributing consent materials to parents of sample students, and arranging the session logistics.</w:t>
      </w:r>
      <w:r w:rsidR="009956FD">
        <w:t xml:space="preserve"> Roster instructions will be sent electronically</w:t>
      </w:r>
      <w:r w:rsidR="00D748A1">
        <w:t xml:space="preserve"> in the fall of 2019</w:t>
      </w:r>
      <w:r w:rsidR="00AE1BF3">
        <w:t xml:space="preserve"> for the field test an</w:t>
      </w:r>
      <w:r w:rsidR="00481A84">
        <w:t xml:space="preserve">d the fall of 2020 for </w:t>
      </w:r>
      <w:r w:rsidR="00874F2E" w:rsidRPr="00901554">
        <w:t>BYFS</w:t>
      </w:r>
      <w:r w:rsidR="00874F2E">
        <w:t xml:space="preserve"> </w:t>
      </w:r>
      <w:r w:rsidR="009956FD">
        <w:t>(see Appendix A</w:t>
      </w:r>
      <w:r w:rsidR="00D748A1">
        <w:t xml:space="preserve">10) and are also available on the website </w:t>
      </w:r>
      <w:r w:rsidR="00D76040">
        <w:t>(</w:t>
      </w:r>
      <w:r w:rsidR="00D748A1">
        <w:t>see Appendix A7a</w:t>
      </w:r>
      <w:r w:rsidR="00D76040">
        <w:t>)</w:t>
      </w:r>
      <w:r w:rsidR="009956FD">
        <w:t>.</w:t>
      </w:r>
      <w:r w:rsidR="00D748A1">
        <w:t xml:space="preserve"> If a school is experiencing difficulty with preparing the roster, the district may be asked to provide the roster on the school’s behalf.</w:t>
      </w:r>
    </w:p>
    <w:p w14:paraId="72225D25" w14:textId="22E98BA2" w:rsidR="00CA3BD4" w:rsidRDefault="00CA3BD4" w:rsidP="00FE3F78">
      <w:pPr>
        <w:widowControl w:val="0"/>
        <w:spacing w:after="120" w:line="240" w:lineRule="auto"/>
      </w:pPr>
      <w:r>
        <w:t xml:space="preserve">In early communications, the recruiter will also gather information about </w:t>
      </w:r>
      <w:r w:rsidR="00090418">
        <w:t xml:space="preserve">the school including: </w:t>
      </w:r>
      <w:r>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3678A0" w:rsidRPr="005A01EE">
        <w:rPr>
          <w:rFonts w:ascii="Cambria" w:hAnsi="Cambria"/>
        </w:rPr>
        <w:t xml:space="preserve">HS&amp;B:20 </w:t>
      </w:r>
      <w:r>
        <w:t>study recruitment team will meet regularly to discuss recruitment issues and develop strategies for refusal conversion on a school-by-school basis.</w:t>
      </w:r>
    </w:p>
    <w:p w14:paraId="0D350837" w14:textId="1AAF41BD" w:rsidR="00AD0885" w:rsidRDefault="00AD0885" w:rsidP="00FE3F78">
      <w:pPr>
        <w:widowControl w:val="0"/>
        <w:spacing w:after="120" w:line="240" w:lineRule="auto"/>
      </w:pPr>
      <w:r w:rsidRPr="00AD0885">
        <w:t>As mentioned, for the field test, half of the schools will be presented with a 90-minute student session. The other half will be presented with a 45-minute (one-class-period session) student session with the remainder of the session to be completed outside of school. As a refusal conversion effort, schools assigned to the 90-minute session will be asked to consider a 45-minute instead. If the school still declines, an out-of-school student session will be offered. Similarly, as a refusal conversion effort, if a school that is offered the 45-minute student session declines, that school will also be offered an out-of-school student session in which the entire battery is completed outside of school. The final plan for BYFS will depend on field test results and will be provided in August 2019 as a change request</w:t>
      </w:r>
      <w:r>
        <w:t>.</w:t>
      </w:r>
    </w:p>
    <w:p w14:paraId="49CEE650" w14:textId="4BDEC335" w:rsidR="00666DEC" w:rsidRDefault="00666DEC" w:rsidP="00FE3F78">
      <w:pPr>
        <w:pStyle w:val="ListParagraph"/>
        <w:widowControl w:val="0"/>
        <w:spacing w:after="120" w:line="240" w:lineRule="auto"/>
        <w:ind w:left="0"/>
      </w:pPr>
      <w:r>
        <w:rPr>
          <w:b/>
        </w:rPr>
        <w:t>Private and Charter School Recruitment.</w:t>
      </w:r>
      <w:r>
        <w:t xml:space="preserve"> If a private or charter school selected for </w:t>
      </w:r>
      <w:r w:rsidR="00D5255C">
        <w:t xml:space="preserve">the base-year field test </w:t>
      </w:r>
      <w:r>
        <w:t xml:space="preserve">operates under a higher-level governing body such as a diocese, a consortium of private schools, or a charter school district, we will use the district-level recruitment approach with the appropriate higher-level governing body. If a private or charter school selected for </w:t>
      </w:r>
      <w:r w:rsidR="00D5255C">
        <w:t xml:space="preserve">the field test </w:t>
      </w:r>
      <w:r>
        <w:t>does not have a higher-level governing body, the school recruitment approach outlined above will be used.</w:t>
      </w:r>
    </w:p>
    <w:p w14:paraId="332EDD6D" w14:textId="3C226FDF" w:rsidR="00CC13EE" w:rsidRPr="00CC13EE" w:rsidRDefault="007A7835" w:rsidP="007A7835">
      <w:pPr>
        <w:widowControl w:val="0"/>
        <w:spacing w:after="120" w:line="240" w:lineRule="auto"/>
      </w:pPr>
      <w:r w:rsidRPr="00CC13EE">
        <w:rPr>
          <w:b/>
        </w:rPr>
        <w:t>Out-of-School Data Collection</w:t>
      </w:r>
      <w:r w:rsidRPr="00CC13EE">
        <w:t>.</w:t>
      </w:r>
      <w:r w:rsidR="00CE58A1">
        <w:t xml:space="preserve"> </w:t>
      </w:r>
      <w:r w:rsidRPr="00CC13EE">
        <w:t xml:space="preserve">Some schools may not permit the data collection to occur in a school-based session. </w:t>
      </w:r>
      <w:r w:rsidR="00EB56F7" w:rsidRPr="00CC13EE">
        <w:t>To maximize participation and address school concerns about loss of instructional time, s</w:t>
      </w:r>
      <w:r w:rsidRPr="00CC13EE">
        <w:t xml:space="preserve">chools </w:t>
      </w:r>
      <w:r w:rsidR="00EB56F7" w:rsidRPr="00CC13EE">
        <w:t xml:space="preserve">declining to conduct an in-school group session </w:t>
      </w:r>
      <w:r w:rsidRPr="00CC13EE">
        <w:t>will be offered the possibly to have their students participate outside of school.</w:t>
      </w:r>
      <w:r w:rsidR="00EB56F7" w:rsidRPr="00CC13EE">
        <w:t xml:space="preserve"> For these schools, </w:t>
      </w:r>
      <w:r w:rsidR="00CC13EE" w:rsidRPr="00CC13EE">
        <w:t>schools will still be asked to provide the student roster, teacher information, and parent contact information. W</w:t>
      </w:r>
      <w:r w:rsidR="00EB56F7" w:rsidRPr="00CC13EE">
        <w:t xml:space="preserve">e will ask </w:t>
      </w:r>
      <w:r w:rsidR="00CC13EE" w:rsidRPr="00CC13EE">
        <w:t xml:space="preserve">out-of-school </w:t>
      </w:r>
      <w:r w:rsidR="00EB56F7" w:rsidRPr="00CC13EE">
        <w:t xml:space="preserve">schools </w:t>
      </w:r>
      <w:r w:rsidR="00CC13EE" w:rsidRPr="00CC13EE">
        <w:t xml:space="preserve">to </w:t>
      </w:r>
      <w:r w:rsidR="00EB56F7" w:rsidRPr="00CC13EE">
        <w:t xml:space="preserve">distribute materials to sampled students and parents and help to encourage participation. This could mean </w:t>
      </w:r>
      <w:r w:rsidR="00CC13EE" w:rsidRPr="00CC13EE">
        <w:t xml:space="preserve">sending materials to parents via mail, email, or distribution of materials through students; providing computer access so that students can </w:t>
      </w:r>
      <w:r w:rsidR="00FD1DC5">
        <w:t>participate</w:t>
      </w:r>
      <w:r w:rsidR="00CC13EE" w:rsidRPr="00CC13EE">
        <w:t xml:space="preserve"> at their convenience in the school; and/or following up with students and parents to encourage participation. </w:t>
      </w:r>
      <w:r w:rsidR="00EB56F7" w:rsidRPr="00CC13EE">
        <w:t xml:space="preserve">The person designated as the school coordinator for </w:t>
      </w:r>
      <w:r w:rsidR="00CD0782">
        <w:t>the school</w:t>
      </w:r>
      <w:r w:rsidR="00EB56F7" w:rsidRPr="00CC13EE">
        <w:t xml:space="preserve"> would receive the coordinator </w:t>
      </w:r>
      <w:r w:rsidR="00CD0782">
        <w:t>incentive</w:t>
      </w:r>
      <w:r w:rsidR="00EB56F7" w:rsidRPr="00CC13EE">
        <w:t xml:space="preserve"> as if the session was happening in school. </w:t>
      </w:r>
      <w:r w:rsidR="00CC13EE" w:rsidRPr="00CC13EE">
        <w:t xml:space="preserve">Parent contact information would be used to contact parents directly to secure student and parent participation. </w:t>
      </w:r>
      <w:r w:rsidR="00CC13EE">
        <w:t xml:space="preserve">Contacts outside of school would be in addition to prompting by the school coordinator, for schools willing to assist with this activity. </w:t>
      </w:r>
      <w:r w:rsidR="00CC13EE" w:rsidRPr="00CC13EE">
        <w:t>Teachers, administrators, and counselors would be asked to participate as if the session were conducted in schools.</w:t>
      </w:r>
    </w:p>
    <w:p w14:paraId="1B4C67C3" w14:textId="31BB73F4" w:rsidR="00A00486" w:rsidRDefault="009B6D70" w:rsidP="00FE3F78">
      <w:pPr>
        <w:widowControl w:val="0"/>
        <w:spacing w:after="120" w:line="240" w:lineRule="auto"/>
      </w:pPr>
      <w:r w:rsidRPr="00D44B4A">
        <w:rPr>
          <w:b/>
        </w:rPr>
        <w:t>Parent Recruitment</w:t>
      </w:r>
      <w:r>
        <w:rPr>
          <w:b/>
        </w:rPr>
        <w:t>.</w:t>
      </w:r>
      <w:r w:rsidR="00D5255C">
        <w:rPr>
          <w:b/>
        </w:rPr>
        <w:t xml:space="preserve"> </w:t>
      </w:r>
      <w:r w:rsidR="00F4598E">
        <w:t xml:space="preserve">For schools allowing in-school </w:t>
      </w:r>
      <w:r w:rsidR="00A713CF">
        <w:t xml:space="preserve">student </w:t>
      </w:r>
      <w:r w:rsidR="00F4598E">
        <w:t xml:space="preserve">sessions, schools </w:t>
      </w:r>
      <w:r w:rsidR="009462B3">
        <w:t>will be given the option of one of three types of parental permission letters: notification</w:t>
      </w:r>
      <w:r w:rsidR="00014B8B">
        <w:t xml:space="preserve"> (appendix </w:t>
      </w:r>
      <w:r w:rsidR="00014B8B" w:rsidRPr="00014B8B">
        <w:t>A</w:t>
      </w:r>
      <w:r w:rsidR="00D5255C">
        <w:t>.</w:t>
      </w:r>
      <w:r w:rsidR="00014B8B" w:rsidRPr="00014B8B">
        <w:t>5a)</w:t>
      </w:r>
      <w:r w:rsidR="009462B3" w:rsidRPr="00014B8B">
        <w:t>, impli</w:t>
      </w:r>
      <w:r w:rsidR="00394B97">
        <w:t>cit</w:t>
      </w:r>
      <w:r w:rsidR="009462B3" w:rsidRPr="00014B8B">
        <w:t xml:space="preserve"> permission (opt out)</w:t>
      </w:r>
      <w:r w:rsidR="00014B8B" w:rsidRPr="00014B8B">
        <w:t xml:space="preserve"> (appendix A</w:t>
      </w:r>
      <w:r w:rsidR="00693361">
        <w:t>.</w:t>
      </w:r>
      <w:r w:rsidR="00014B8B" w:rsidRPr="00014B8B">
        <w:t>5b)</w:t>
      </w:r>
      <w:r w:rsidR="009462B3" w:rsidRPr="00014B8B">
        <w:t>, or explicit permission (opt in)</w:t>
      </w:r>
      <w:r w:rsidR="00416C02" w:rsidRPr="00014B8B">
        <w:t xml:space="preserve"> (appendix A</w:t>
      </w:r>
      <w:r w:rsidR="00693361">
        <w:t>.</w:t>
      </w:r>
      <w:r w:rsidR="00014B8B" w:rsidRPr="00014B8B">
        <w:t>5c</w:t>
      </w:r>
      <w:r w:rsidR="00416C02" w:rsidRPr="00014B8B">
        <w:t>)</w:t>
      </w:r>
      <w:r w:rsidR="009462B3" w:rsidRPr="00014B8B">
        <w:t xml:space="preserve">. </w:t>
      </w:r>
      <w:r w:rsidR="008902C7" w:rsidRPr="00014B8B">
        <w:t xml:space="preserve">Each type of consent requires that parents be notified that their children have been selected for the study. With a notification letter, no </w:t>
      </w:r>
      <w:r w:rsidR="00D86D39">
        <w:t xml:space="preserve">permission form is sent home since no </w:t>
      </w:r>
      <w:r w:rsidR="008902C7" w:rsidRPr="00014B8B">
        <w:t>action is required on the part of the parent. For implicit consent</w:t>
      </w:r>
      <w:r w:rsidR="00394B97">
        <w:t xml:space="preserve"> (opt out)</w:t>
      </w:r>
      <w:r w:rsidR="008902C7" w:rsidRPr="00014B8B">
        <w:t>, the school does not require</w:t>
      </w:r>
      <w:r w:rsidR="008902C7">
        <w:t xml:space="preserve"> verbal or written consent for a student to participate in the study – parents are asked only to notify the appropriate person if they do not want their child to participate. With explicit consent</w:t>
      </w:r>
      <w:r w:rsidR="00394B97">
        <w:t xml:space="preserve"> (opt in)</w:t>
      </w:r>
      <w:r w:rsidR="008902C7">
        <w:t>, children may participate only if their parents provide written or oral consent for their children to do so. Proactive parent recruitment will be focused on maximizing the number of parents (1) returning signed explicit consent forms and (2) completing the parent survey. Because implicit consent does not require a verbal or written response from parents, these parents will not be contacted about consent forms.</w:t>
      </w:r>
      <w:r w:rsidR="00D748A1">
        <w:t xml:space="preserve"> The letter accompanying the parent permission form will let parents know that the students will complete a survey, the math and reading questions, and a hearing and vision assessment. Parents will be told that they will receive results from the</w:t>
      </w:r>
      <w:r w:rsidR="000506BD">
        <w:t xml:space="preserve"> hearing and vision assessments.</w:t>
      </w:r>
    </w:p>
    <w:p w14:paraId="0020C15E" w14:textId="1606153C" w:rsidR="0078194E" w:rsidRDefault="009462B3" w:rsidP="00FE3F78">
      <w:pPr>
        <w:widowControl w:val="0"/>
        <w:spacing w:after="120" w:line="240" w:lineRule="auto"/>
      </w:pPr>
      <w:r>
        <w:t xml:space="preserve">The letters will be sent to the school for distribution to </w:t>
      </w:r>
      <w:r w:rsidR="00D5255C">
        <w:t xml:space="preserve">sampled </w:t>
      </w:r>
      <w:r>
        <w:t xml:space="preserve">students. </w:t>
      </w:r>
      <w:r w:rsidR="00555AEC">
        <w:t>For the field test, s</w:t>
      </w:r>
      <w:r>
        <w:t xml:space="preserve">tudents in explicit permission schools will be offered a pizza party or equivalent </w:t>
      </w:r>
      <w:r w:rsidR="00555AEC">
        <w:t xml:space="preserve">food event </w:t>
      </w:r>
      <w:r>
        <w:t>for those who return the form</w:t>
      </w:r>
      <w:r w:rsidR="00CC3FA9">
        <w:t xml:space="preserve"> by a designated date</w:t>
      </w:r>
      <w:r>
        <w:t>, regardless of whether</w:t>
      </w:r>
      <w:r w:rsidR="00A713CF">
        <w:t xml:space="preserve"> permission is granted.</w:t>
      </w:r>
      <w:r w:rsidR="00481A84">
        <w:t xml:space="preserve"> For </w:t>
      </w:r>
      <w:r w:rsidR="00874F2E" w:rsidRPr="00901554">
        <w:t>BYFS</w:t>
      </w:r>
      <w:r w:rsidR="00555AEC">
        <w:t>, the option of a $3 voucher to the school cafeteria or a food event will be offered to students in explicit permission schools for returning a signed permission form</w:t>
      </w:r>
      <w:r w:rsidR="0055489C" w:rsidRPr="0055489C">
        <w:t xml:space="preserve"> </w:t>
      </w:r>
      <w:r w:rsidR="0055489C">
        <w:t>by a designated date</w:t>
      </w:r>
      <w:r w:rsidR="00555AEC">
        <w:t>.</w:t>
      </w:r>
      <w:r w:rsidR="002F2AAB">
        <w:t xml:space="preserve"> Also, the</w:t>
      </w:r>
      <w:r w:rsidR="002F2AAB" w:rsidRPr="002F2AAB">
        <w:t xml:space="preserve"> permission letter</w:t>
      </w:r>
      <w:r w:rsidR="002F2AAB">
        <w:t xml:space="preserve"> for p</w:t>
      </w:r>
      <w:r w:rsidR="002F2AAB" w:rsidRPr="002F2AAB">
        <w:t xml:space="preserve">arents of students in explicit permission schools </w:t>
      </w:r>
      <w:r w:rsidR="002F2AAB">
        <w:t xml:space="preserve">will </w:t>
      </w:r>
      <w:r w:rsidR="00F14512">
        <w:t>include</w:t>
      </w:r>
      <w:r w:rsidR="002F2AAB" w:rsidRPr="002F2AAB">
        <w:t xml:space="preserve"> instructions </w:t>
      </w:r>
      <w:r w:rsidR="00F14512">
        <w:t>for</w:t>
      </w:r>
      <w:r w:rsidR="002F2AAB" w:rsidRPr="002F2AAB">
        <w:t xml:space="preserve"> how to provide permission electronic</w:t>
      </w:r>
      <w:r w:rsidR="002F2AAB">
        <w:t>ally</w:t>
      </w:r>
      <w:r w:rsidR="002F2AAB" w:rsidRPr="002F2AAB">
        <w:t>. The school coordinator will be able to see electronic permission status via the</w:t>
      </w:r>
      <w:r w:rsidR="00F14512">
        <w:t>ir HS&amp;B:20</w:t>
      </w:r>
      <w:r w:rsidR="002F2AAB" w:rsidRPr="002F2AAB">
        <w:t xml:space="preserve"> website, and the session facilitator will walk the </w:t>
      </w:r>
      <w:r w:rsidR="00B70D6D" w:rsidRPr="002F2AAB">
        <w:t>school coordinator</w:t>
      </w:r>
      <w:r w:rsidR="002F2AAB" w:rsidRPr="002F2AAB">
        <w:t xml:space="preserve"> through that process if applicable.</w:t>
      </w:r>
    </w:p>
    <w:p w14:paraId="627A8F10" w14:textId="30D540B9" w:rsidR="00A00486" w:rsidRDefault="00934DCF" w:rsidP="00FE3F78">
      <w:pPr>
        <w:widowControl w:val="0"/>
        <w:spacing w:after="120" w:line="240" w:lineRule="auto"/>
      </w:pPr>
      <w:r>
        <w:t>For schools that only permit out-of-school data collection</w:t>
      </w:r>
      <w:r w:rsidR="00D96EAA">
        <w:t xml:space="preserve">, all </w:t>
      </w:r>
      <w:r w:rsidR="00CA4EBC">
        <w:t xml:space="preserve">initial </w:t>
      </w:r>
      <w:r w:rsidR="00D96EAA">
        <w:t>contacts with the student will be conducted through the parent.</w:t>
      </w:r>
      <w:r w:rsidR="007A7835">
        <w:t xml:space="preserve"> </w:t>
      </w:r>
      <w:r w:rsidR="00D96EAA">
        <w:t>The parent will receive a letter</w:t>
      </w:r>
      <w:r w:rsidR="00A713CF">
        <w:t xml:space="preserve"> and an enclosed envelope with study information and study instructions. The parent will be asked </w:t>
      </w:r>
      <w:r w:rsidR="00C64555">
        <w:t>to give</w:t>
      </w:r>
      <w:r w:rsidR="00A713CF">
        <w:t xml:space="preserve"> the student the </w:t>
      </w:r>
      <w:r w:rsidR="00D96EAA">
        <w:t xml:space="preserve">enclosed envelope </w:t>
      </w:r>
      <w:r w:rsidR="00A713CF">
        <w:t>with study information and study instructions</w:t>
      </w:r>
      <w:r w:rsidR="00D96EAA">
        <w:t xml:space="preserve">. By giving the envelope to the student, it is implied that the parent consents to the child’s participation. The </w:t>
      </w:r>
      <w:r w:rsidR="00A713CF">
        <w:t xml:space="preserve">study information and instructions will include a </w:t>
      </w:r>
      <w:r w:rsidR="00D96EAA">
        <w:t xml:space="preserve">student letter </w:t>
      </w:r>
      <w:r w:rsidR="00A713CF">
        <w:t>and</w:t>
      </w:r>
      <w:r w:rsidR="00D96EAA">
        <w:t xml:space="preserve"> the URL and login information for the student session.</w:t>
      </w:r>
      <w:r w:rsidR="00D748A1">
        <w:t xml:space="preserve"> Students participating outside of school will not complete the hearing or vision assessment.</w:t>
      </w:r>
    </w:p>
    <w:p w14:paraId="69B43EDB" w14:textId="4FD1484E" w:rsidR="0060623B" w:rsidRDefault="008902C7" w:rsidP="00FE3F78">
      <w:pPr>
        <w:widowControl w:val="0"/>
        <w:spacing w:after="120" w:line="240" w:lineRule="auto"/>
      </w:pPr>
      <w:r>
        <w:t xml:space="preserve">Parents will also receive an invitation to participate in the parent </w:t>
      </w:r>
      <w:r w:rsidRPr="00014B8B">
        <w:t>questionnaire (appendix A</w:t>
      </w:r>
      <w:r w:rsidR="00693361">
        <w:t>.</w:t>
      </w:r>
      <w:r w:rsidR="00014B8B" w:rsidRPr="00014B8B">
        <w:t>11</w:t>
      </w:r>
      <w:r w:rsidRPr="00014B8B">
        <w:t>)</w:t>
      </w:r>
      <w:r w:rsidR="00014B8B" w:rsidRPr="00014B8B">
        <w:t xml:space="preserve"> at the</w:t>
      </w:r>
      <w:r w:rsidR="00014B8B">
        <w:t xml:space="preserve"> start of data collection, with parent</w:t>
      </w:r>
      <w:r w:rsidR="00BE7DDB">
        <w:t xml:space="preserve"> case</w:t>
      </w:r>
      <w:r w:rsidR="00014B8B">
        <w:t xml:space="preserve">s being added </w:t>
      </w:r>
      <w:r w:rsidR="00BE7DDB">
        <w:t xml:space="preserve">to the data collection process on a flow basis </w:t>
      </w:r>
      <w:r w:rsidR="00014B8B">
        <w:t>as parent contact information is provided by the school</w:t>
      </w:r>
      <w:r w:rsidR="00BE7DDB">
        <w:t xml:space="preserve"> or parents provide such information on consent forms</w:t>
      </w:r>
      <w:r>
        <w:t>. Parent data collection will entail web-based self-administration with nonresponse follow-up by computer-assisted telephone interviewing</w:t>
      </w:r>
      <w:r w:rsidR="00FC21D8">
        <w:t xml:space="preserve"> (CATI)</w:t>
      </w:r>
      <w:r>
        <w:t>.</w:t>
      </w:r>
      <w:r w:rsidR="00A6311E">
        <w:t xml:space="preserve"> Letters inviting parents to participate in the study will contain a message on the envelope such as “Important, please open!”, “Your input is requested”, or “Help improve education! Open to find out how.”</w:t>
      </w:r>
    </w:p>
    <w:p w14:paraId="26B93B56" w14:textId="326BB966" w:rsidR="009B6D70" w:rsidRPr="00172662" w:rsidRDefault="009B6D70" w:rsidP="00FE3F78">
      <w:pPr>
        <w:keepNext/>
        <w:widowControl w:val="0"/>
        <w:spacing w:after="120" w:line="240" w:lineRule="auto"/>
        <w:rPr>
          <w:b/>
          <w:i/>
        </w:rPr>
      </w:pPr>
      <w:bookmarkStart w:id="9" w:name="_Toc485114094"/>
      <w:r w:rsidRPr="00172662">
        <w:rPr>
          <w:b/>
          <w:i/>
        </w:rPr>
        <w:t>Data Collection Approach</w:t>
      </w:r>
      <w:bookmarkEnd w:id="9"/>
    </w:p>
    <w:p w14:paraId="188607FB" w14:textId="79A3F581" w:rsidR="0060623B" w:rsidRDefault="00580953" w:rsidP="00FE3F78">
      <w:pPr>
        <w:widowControl w:val="0"/>
        <w:spacing w:after="120" w:line="240" w:lineRule="auto"/>
      </w:pPr>
      <w:r>
        <w:t>The HS&amp;B:20 data collection will consist of a student session (survey, math and reading assessment</w:t>
      </w:r>
      <w:r w:rsidR="00D748A1">
        <w:t xml:space="preserve">, </w:t>
      </w:r>
      <w:r w:rsidR="00FC21D8">
        <w:t xml:space="preserve">and </w:t>
      </w:r>
      <w:r w:rsidR="00D748A1">
        <w:t>hearing and vision assessment</w:t>
      </w:r>
      <w:r>
        <w:t>) as well as surveys for students’ parents, math teachers, guidance counselors, and school administrators.</w:t>
      </w:r>
    </w:p>
    <w:p w14:paraId="59E7B5AC" w14:textId="29DE617B" w:rsidR="00EC69EE" w:rsidRDefault="003167C4" w:rsidP="00FE3F78">
      <w:pPr>
        <w:widowControl w:val="0"/>
        <w:spacing w:after="120" w:line="240" w:lineRule="auto"/>
      </w:pPr>
      <w:r>
        <w:t>Once schools agree to participate, the designated school coordinator will be asked to provide a roster of all students in grades 9 and 12. The school coordinator will receive a template of the roster (see appendix B) with instructions to prepare and upload the roster electronically to the secure study website</w:t>
      </w:r>
      <w:r w:rsidR="00790874">
        <w:t xml:space="preserve"> (see appendix A10)</w:t>
      </w:r>
      <w:r>
        <w:t>.</w:t>
      </w:r>
      <w:r w:rsidR="00CE58A1">
        <w:t xml:space="preserve"> </w:t>
      </w:r>
      <w:r>
        <w:t>Upon recei</w:t>
      </w:r>
      <w:r w:rsidR="00BB5963">
        <w:t>pt</w:t>
      </w:r>
      <w:r>
        <w:t xml:space="preserve"> of the roster, RTI statisticians will randomly select about 35 students each from grade</w:t>
      </w:r>
      <w:r w:rsidR="00BB5963">
        <w:t>s</w:t>
      </w:r>
      <w:r>
        <w:t xml:space="preserve"> 9 and 12.</w:t>
      </w:r>
      <w:r w:rsidR="00CE58A1">
        <w:t xml:space="preserve"> </w:t>
      </w:r>
      <w:r>
        <w:t xml:space="preserve">About a month prior to the scheduled student session, a student tracking form listing the selected students will be sent to the school along with </w:t>
      </w:r>
      <w:r w:rsidR="00A9730E">
        <w:t xml:space="preserve">parent </w:t>
      </w:r>
      <w:r>
        <w:t>permission forms to distribute to the students</w:t>
      </w:r>
      <w:r w:rsidR="00FA2078">
        <w:t>.</w:t>
      </w:r>
    </w:p>
    <w:p w14:paraId="34747F1A" w14:textId="534E7975" w:rsidR="0078194E" w:rsidRDefault="00BD2DD6" w:rsidP="00FE3F78">
      <w:pPr>
        <w:widowControl w:val="0"/>
        <w:spacing w:after="120" w:line="240" w:lineRule="auto"/>
      </w:pPr>
      <w:r>
        <w:t xml:space="preserve">Students will be asked to complete either a 90- or 45-minute session in </w:t>
      </w:r>
      <w:r w:rsidR="00C56324">
        <w:t xml:space="preserve">a group administration in </w:t>
      </w:r>
      <w:r w:rsidR="0027017F">
        <w:t xml:space="preserve">their </w:t>
      </w:r>
      <w:r>
        <w:t>school.</w:t>
      </w:r>
      <w:r w:rsidR="00580953">
        <w:t xml:space="preserve"> The student surveys and direct assessments will take place in the school setting and be administered using Chromebooks</w:t>
      </w:r>
      <w:r w:rsidR="00C25EC5">
        <w:t xml:space="preserve"> (</w:t>
      </w:r>
      <w:r w:rsidR="00580953">
        <w:t>tablet-like computer</w:t>
      </w:r>
      <w:r w:rsidR="00C25EC5">
        <w:t>s</w:t>
      </w:r>
      <w:r w:rsidR="00580953">
        <w:t xml:space="preserve"> with touchscreen capability and an attached keyboard</w:t>
      </w:r>
      <w:r w:rsidR="00C25EC5">
        <w:t>)</w:t>
      </w:r>
      <w:r w:rsidR="00580953">
        <w:t xml:space="preserve"> brought in to the school by HS&amp;B:20 staff. </w:t>
      </w:r>
      <w:r w:rsidR="00D748A1">
        <w:t xml:space="preserve">HS&amp;B:20 staff will also bring the necessary equipment for the hearing and vision assessments. </w:t>
      </w:r>
      <w:r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001E510C">
        <w:t xml:space="preserve"> Students will be prompted on screen to use the hearing and vision equipment that is at their desk to complete that portion of the session. This component may be turned off if schools decline to have the students’ vision and hearing tested.</w:t>
      </w:r>
      <w:r w:rsidR="00CE58A1">
        <w:t xml:space="preserve"> </w:t>
      </w:r>
      <w:r w:rsidR="00B95290">
        <w:t>Students from schools completing the 45-minute student session will be asked to complete the remainder of the session outside of school.</w:t>
      </w:r>
    </w:p>
    <w:p w14:paraId="3294B9CE" w14:textId="04966C2D" w:rsidR="00A00486" w:rsidRDefault="00580953" w:rsidP="00FE3F78">
      <w:pPr>
        <w:widowControl w:val="0"/>
        <w:spacing w:after="120" w:line="240" w:lineRule="auto"/>
      </w:pPr>
      <w:r>
        <w:t xml:space="preserve">Schools that decline to participate in the in-school session will be asked to allow students to participate outside of school. </w:t>
      </w:r>
      <w:r w:rsidR="0069094A">
        <w:t>For these students, schools may be willing to distribute materials to the students to take home, send emails to parents, or mail materials directly to schools.</w:t>
      </w:r>
      <w:r w:rsidR="00CE58A1">
        <w:t xml:space="preserve"> </w:t>
      </w:r>
      <w:r w:rsidR="00555AEC">
        <w:t xml:space="preserve">Schools may also be willing to allow the student(s) to complete the session on a school computer at their convenience. </w:t>
      </w:r>
      <w:r w:rsidR="0069094A">
        <w:t xml:space="preserve">In addition, the study team will contact the family directly to obtain student and parent participation in the study. </w:t>
      </w:r>
      <w:r>
        <w:t xml:space="preserve">Students from these schools will be contacted through their parent using contact information provided by the </w:t>
      </w:r>
      <w:r w:rsidRPr="00014B8B">
        <w:t>school</w:t>
      </w:r>
      <w:r w:rsidR="00014B8B" w:rsidRPr="00014B8B">
        <w:t xml:space="preserve"> (appendix A</w:t>
      </w:r>
      <w:r w:rsidR="00693361">
        <w:t>.</w:t>
      </w:r>
      <w:r w:rsidR="00014B8B" w:rsidRPr="00014B8B">
        <w:t>8a)</w:t>
      </w:r>
      <w:r w:rsidRPr="00014B8B">
        <w:t>. The parent will be asked to give an envelope</w:t>
      </w:r>
      <w:r w:rsidR="00C64555">
        <w:t xml:space="preserve"> to</w:t>
      </w:r>
      <w:r w:rsidRPr="00014B8B">
        <w:t xml:space="preserve"> the sampled student which contains a letter including login information for the student to complete the session online</w:t>
      </w:r>
      <w:r w:rsidR="00E17239" w:rsidRPr="00014B8B">
        <w:t xml:space="preserve"> (appendix A</w:t>
      </w:r>
      <w:r w:rsidR="007D29B9">
        <w:t>.</w:t>
      </w:r>
      <w:r w:rsidR="00014B8B" w:rsidRPr="00014B8B">
        <w:t>8b</w:t>
      </w:r>
      <w:r w:rsidR="00E17239" w:rsidRPr="00014B8B">
        <w:t>)</w:t>
      </w:r>
      <w:r w:rsidRPr="00014B8B">
        <w:t>.</w:t>
      </w:r>
      <w:r w:rsidR="00D748A1">
        <w:t xml:space="preserve"> Students who participate outside of school will not be asked to </w:t>
      </w:r>
      <w:r w:rsidR="00FE5DC5">
        <w:t xml:space="preserve">complete the </w:t>
      </w:r>
      <w:r w:rsidR="00F21B38">
        <w:t xml:space="preserve">reading, </w:t>
      </w:r>
      <w:r w:rsidR="00FE5DC5">
        <w:t>hearing</w:t>
      </w:r>
      <w:r w:rsidR="00827EBD">
        <w:t>,</w:t>
      </w:r>
      <w:r w:rsidR="00FE5DC5">
        <w:t xml:space="preserve"> and vision assessments.</w:t>
      </w:r>
    </w:p>
    <w:p w14:paraId="594ABA76" w14:textId="12CF379A" w:rsidR="00580953" w:rsidRDefault="00580953" w:rsidP="00FE3F78">
      <w:pPr>
        <w:widowControl w:val="0"/>
        <w:spacing w:after="120" w:line="240" w:lineRule="auto"/>
      </w:pPr>
      <w:r>
        <w:t>The parent</w:t>
      </w:r>
      <w:r w:rsidR="00014B8B">
        <w:t xml:space="preserve"> (appendix A</w:t>
      </w:r>
      <w:r w:rsidR="007D29B9">
        <w:t>.</w:t>
      </w:r>
      <w:r w:rsidR="00014B8B">
        <w:t>11)</w:t>
      </w:r>
      <w:r w:rsidR="00E119DE">
        <w:t xml:space="preserve"> survey will have an internet option and a telephone option, while the </w:t>
      </w:r>
      <w:r>
        <w:t>mathematics teacher</w:t>
      </w:r>
      <w:r w:rsidR="00014B8B">
        <w:t xml:space="preserve"> (appendix A</w:t>
      </w:r>
      <w:r w:rsidR="007D29B9">
        <w:t>.</w:t>
      </w:r>
      <w:r w:rsidR="00014B8B">
        <w:t>12a)</w:t>
      </w:r>
      <w:r>
        <w:t xml:space="preserve">, </w:t>
      </w:r>
      <w:r w:rsidR="00014B8B">
        <w:t>school counselor (appendix A</w:t>
      </w:r>
      <w:r w:rsidR="007D29B9">
        <w:t>.</w:t>
      </w:r>
      <w:r w:rsidR="00014B8B">
        <w:t>12b)</w:t>
      </w:r>
      <w:r>
        <w:t xml:space="preserve">, and school administrator </w:t>
      </w:r>
      <w:r w:rsidR="00014B8B">
        <w:t>(appendix A</w:t>
      </w:r>
      <w:r w:rsidR="007D29B9">
        <w:t>.</w:t>
      </w:r>
      <w:r w:rsidR="00014B8B">
        <w:t xml:space="preserve">12c) </w:t>
      </w:r>
      <w:r>
        <w:t>surveys will</w:t>
      </w:r>
      <w:r w:rsidR="00E119DE">
        <w:t xml:space="preserve"> be self-administered via the Web</w:t>
      </w:r>
      <w:r>
        <w:t>.</w:t>
      </w:r>
    </w:p>
    <w:p w14:paraId="5C5A8CBC" w14:textId="746373C3" w:rsidR="009B6D70" w:rsidRPr="00024F71" w:rsidRDefault="009B6D70" w:rsidP="00C7089B">
      <w:pPr>
        <w:pStyle w:val="Heading2"/>
        <w:keepLines w:val="0"/>
        <w:widowControl w:val="0"/>
        <w:spacing w:before="0" w:after="120" w:line="240" w:lineRule="auto"/>
      </w:pPr>
      <w:bookmarkStart w:id="10" w:name="_Toc409593370"/>
      <w:bookmarkStart w:id="11" w:name="_Toc453931282"/>
      <w:bookmarkStart w:id="12" w:name="_Toc3892584"/>
      <w:r>
        <w:t>B.</w:t>
      </w:r>
      <w:r w:rsidRPr="00024F71">
        <w:t>4</w:t>
      </w:r>
      <w:r>
        <w:t xml:space="preserve"> Test</w:t>
      </w:r>
      <w:r w:rsidR="000C6D8B">
        <w:t>s</w:t>
      </w:r>
      <w:r>
        <w:t xml:space="preserve"> of Methods and Procedures</w:t>
      </w:r>
      <w:bookmarkEnd w:id="10"/>
      <w:bookmarkEnd w:id="11"/>
      <w:bookmarkEnd w:id="12"/>
    </w:p>
    <w:p w14:paraId="0A9072DD" w14:textId="54904917" w:rsidR="00E96312" w:rsidRDefault="000007F0" w:rsidP="00580682">
      <w:pPr>
        <w:widowControl w:val="0"/>
        <w:spacing w:after="120" w:line="240" w:lineRule="auto"/>
      </w:pPr>
      <w:r w:rsidRPr="00901554">
        <w:t>BYFS</w:t>
      </w:r>
      <w:r>
        <w:t xml:space="preserve"> </w:t>
      </w:r>
      <w:r w:rsidR="00E96312">
        <w:t xml:space="preserve">will collect </w:t>
      </w:r>
      <w:r w:rsidR="00651C48">
        <w:t xml:space="preserve">base-year </w:t>
      </w:r>
      <w:r w:rsidR="00E96312">
        <w:t xml:space="preserve">data from a sample of </w:t>
      </w:r>
      <w:r w:rsidR="00580353">
        <w:t>ninth-</w:t>
      </w:r>
      <w:r w:rsidR="00E96312">
        <w:t>grade students in the fall of 2020, their teachers, their parents, their guidance counselors</w:t>
      </w:r>
      <w:r w:rsidR="00651C48">
        <w:t>,</w:t>
      </w:r>
      <w:r w:rsidR="00E96312">
        <w:t xml:space="preserve"> and their school administrators. For the field test, we plan a set of experiments to refine the </w:t>
      </w:r>
      <w:r w:rsidR="00651C48">
        <w:t xml:space="preserve">full-scale </w:t>
      </w:r>
      <w:r w:rsidR="00E96312">
        <w:t>data collection procedures for the school/students, teachers, and parents.</w:t>
      </w:r>
      <w:r w:rsidR="00CA5365">
        <w:t xml:space="preserve"> </w:t>
      </w:r>
      <w:r w:rsidR="00E96312">
        <w:t xml:space="preserve">Experiments are not recommended for counselors or administrators due to the small </w:t>
      </w:r>
      <w:r w:rsidR="00C5697A">
        <w:t xml:space="preserve">school </w:t>
      </w:r>
      <w:r w:rsidR="00E96312">
        <w:t>sample size. The experiments manipulate the amount of information requested and in what setting it is collected, as well as variations on how to incentivize participation.</w:t>
      </w:r>
    </w:p>
    <w:p w14:paraId="75BCB380" w14:textId="633F3567" w:rsidR="006971D0" w:rsidRPr="006971D0" w:rsidRDefault="006971D0" w:rsidP="00580682">
      <w:pPr>
        <w:widowControl w:val="0"/>
        <w:spacing w:after="120" w:line="240" w:lineRule="auto"/>
        <w:rPr>
          <w:b/>
        </w:rPr>
      </w:pPr>
      <w:r w:rsidRPr="006971D0">
        <w:rPr>
          <w:b/>
        </w:rPr>
        <w:t>Field Test Experiments</w:t>
      </w:r>
    </w:p>
    <w:p w14:paraId="72A4E2D0" w14:textId="7D0D11E4" w:rsidR="0078194E" w:rsidRDefault="00E96312" w:rsidP="000E46C7">
      <w:pPr>
        <w:widowControl w:val="0"/>
        <w:spacing w:after="60" w:line="240" w:lineRule="auto"/>
      </w:pPr>
      <w:r>
        <w:rPr>
          <w:b/>
          <w:i/>
        </w:rPr>
        <w:t>School/</w:t>
      </w:r>
      <w:r w:rsidRPr="00DE4888">
        <w:rPr>
          <w:b/>
          <w:i/>
        </w:rPr>
        <w:t>Students.</w:t>
      </w:r>
      <w:r>
        <w:t xml:space="preserve"> Student data collection largely relies on the schools’ willingness to allow in-school data collection. A student survey that averages 90 minutes </w:t>
      </w:r>
      <w:r w:rsidR="00580353">
        <w:t xml:space="preserve">may </w:t>
      </w:r>
      <w:r>
        <w:t xml:space="preserve">require two class periods to administer. To </w:t>
      </w:r>
      <w:r w:rsidR="00540A79">
        <w:t xml:space="preserve">examine the impact of </w:t>
      </w:r>
      <w:r>
        <w:t>reduc</w:t>
      </w:r>
      <w:r w:rsidR="00540A79">
        <w:t xml:space="preserve">ing participation </w:t>
      </w:r>
      <w:r>
        <w:t xml:space="preserve">burden on the schools, an alternative design </w:t>
      </w:r>
      <w:r w:rsidR="006F5925">
        <w:t>will</w:t>
      </w:r>
      <w:r>
        <w:t xml:space="preserve"> fit the data collection within one class period</w:t>
      </w:r>
      <w:r w:rsidR="005A1113">
        <w:t xml:space="preserve"> (approximately 45 minutes)</w:t>
      </w:r>
      <w:r>
        <w:t>, potentially gaining participation from a larger proportion of sample schools.</w:t>
      </w:r>
    </w:p>
    <w:p w14:paraId="46BE8A1F" w14:textId="59608A53" w:rsidR="00E96312" w:rsidRDefault="00E96312" w:rsidP="000E46C7">
      <w:pPr>
        <w:widowControl w:val="0"/>
        <w:spacing w:after="60" w:line="240" w:lineRule="auto"/>
      </w:pPr>
      <w:r>
        <w:t>T</w:t>
      </w:r>
      <w:r w:rsidR="00540A79">
        <w:t xml:space="preserve">o </w:t>
      </w:r>
      <w:r w:rsidR="00540A79" w:rsidRPr="00540A79">
        <w:t xml:space="preserve">better understand the effect of the length of the student session </w:t>
      </w:r>
      <w:r w:rsidR="00540A79">
        <w:t>on</w:t>
      </w:r>
      <w:r w:rsidR="00540A79" w:rsidRPr="00540A79">
        <w:t xml:space="preserve"> school recruitment</w:t>
      </w:r>
      <w:r w:rsidR="00540A79">
        <w:t>, t</w:t>
      </w:r>
      <w:r>
        <w:t xml:space="preserve">he </w:t>
      </w:r>
      <w:r w:rsidR="00580353">
        <w:t>30</w:t>
      </w:r>
      <w:r w:rsidR="00E94786">
        <w:t>9</w:t>
      </w:r>
      <w:r w:rsidR="00580353">
        <w:t xml:space="preserve"> </w:t>
      </w:r>
      <w:r>
        <w:t xml:space="preserve">schools in the field test sample will be randomly assigned </w:t>
      </w:r>
      <w:r w:rsidR="00580353">
        <w:t xml:space="preserve">(after controlling for the same treatment within school district) </w:t>
      </w:r>
      <w:r>
        <w:t xml:space="preserve">to a 90-minute or a 45-minute in-school student </w:t>
      </w:r>
      <w:r w:rsidR="0093240F">
        <w:t xml:space="preserve">administration </w:t>
      </w:r>
      <w:r>
        <w:t xml:space="preserve">request. For each condition, there will be </w:t>
      </w:r>
      <w:r w:rsidR="0093240F">
        <w:t xml:space="preserve">a sequence of </w:t>
      </w:r>
      <w:r>
        <w:t xml:space="preserve">nonresponse follow-up procedures that </w:t>
      </w:r>
      <w:r w:rsidR="0093240F">
        <w:t xml:space="preserve">ultimately </w:t>
      </w:r>
      <w:r>
        <w:t>allow</w:t>
      </w:r>
      <w:r w:rsidR="0093240F">
        <w:t>s</w:t>
      </w:r>
      <w:r>
        <w:t xml:space="preserve"> for out-of-s</w:t>
      </w:r>
      <w:r w:rsidR="000E46C7">
        <w:t>chool administration</w:t>
      </w:r>
      <w:r>
        <w:t>:</w:t>
      </w:r>
    </w:p>
    <w:p w14:paraId="16C5A8F9" w14:textId="561D772E" w:rsidR="00E96312" w:rsidRDefault="00E96312" w:rsidP="000E46C7">
      <w:pPr>
        <w:pStyle w:val="ListParagraph"/>
        <w:numPr>
          <w:ilvl w:val="0"/>
          <w:numId w:val="20"/>
        </w:numPr>
        <w:spacing w:after="60" w:line="240" w:lineRule="auto"/>
        <w:ind w:left="450" w:hanging="270"/>
        <w:contextualSpacing w:val="0"/>
      </w:pPr>
      <w:r>
        <w:t xml:space="preserve">Full student </w:t>
      </w:r>
      <w:r w:rsidR="00580353">
        <w:t>session</w:t>
      </w:r>
      <w:r w:rsidR="000950EF">
        <w:t>:</w:t>
      </w:r>
      <w:r>
        <w:t xml:space="preserve"> The initial request for schools will be for a 90-minute in-school student administration. Schools and districts that refuse</w:t>
      </w:r>
      <w:r w:rsidR="00595AF1">
        <w:t>,</w:t>
      </w:r>
      <w:r>
        <w:t xml:space="preserve"> will be asked to participate with a 45-minute administration</w:t>
      </w:r>
      <w:r w:rsidR="00F32DB8">
        <w:t>.</w:t>
      </w:r>
      <w:r>
        <w:t xml:space="preserve"> For those still refusing, </w:t>
      </w:r>
      <w:r w:rsidR="00514112">
        <w:t xml:space="preserve">a 90-minute </w:t>
      </w:r>
      <w:r>
        <w:t>out-of-school student administration will be offered.</w:t>
      </w:r>
    </w:p>
    <w:p w14:paraId="37F0068A" w14:textId="5F9C5025" w:rsidR="00E96312" w:rsidRDefault="00E96312" w:rsidP="002859C8">
      <w:pPr>
        <w:pStyle w:val="ListParagraph"/>
        <w:numPr>
          <w:ilvl w:val="0"/>
          <w:numId w:val="20"/>
        </w:numPr>
        <w:spacing w:after="60" w:line="240" w:lineRule="auto"/>
        <w:ind w:left="450" w:hanging="270"/>
        <w:contextualSpacing w:val="0"/>
      </w:pPr>
      <w:r>
        <w:t xml:space="preserve">Reduced student </w:t>
      </w:r>
      <w:r w:rsidR="00580353">
        <w:t>session</w:t>
      </w:r>
      <w:r w:rsidR="000950EF">
        <w:t>:</w:t>
      </w:r>
      <w:r>
        <w:t xml:space="preserve"> In this condition, the initial request to schools and school districts will be for the reduced 45-minute </w:t>
      </w:r>
      <w:r w:rsidR="00BB549C">
        <w:t xml:space="preserve">student session </w:t>
      </w:r>
      <w:r>
        <w:t>administration</w:t>
      </w:r>
      <w:r w:rsidR="004D3527">
        <w:t xml:space="preserve">, </w:t>
      </w:r>
      <w:r w:rsidR="004D3527" w:rsidRPr="004D3527">
        <w:t>which will consist of demographic questions, the hearing and vision assessment, and the mathematics assessment</w:t>
      </w:r>
      <w:r>
        <w:t xml:space="preserve">. </w:t>
      </w:r>
      <w:r w:rsidR="00514112">
        <w:t xml:space="preserve">Students from schools that take the 45-minute session in school will </w:t>
      </w:r>
      <w:r w:rsidR="009C352D">
        <w:t>receive a postcard asking them to</w:t>
      </w:r>
      <w:r w:rsidR="0060623B">
        <w:t xml:space="preserve"> </w:t>
      </w:r>
      <w:r w:rsidR="00514112">
        <w:t>complete the remainder of the session</w:t>
      </w:r>
      <w:r w:rsidR="009C352D">
        <w:t xml:space="preserve"> outside of school</w:t>
      </w:r>
      <w:r w:rsidR="002859C8">
        <w:t xml:space="preserve">, </w:t>
      </w:r>
      <w:r w:rsidR="002859C8" w:rsidRPr="002859C8">
        <w:t>specifically the student survey and reading assessment plus any math items they did not finish at school</w:t>
      </w:r>
      <w:r w:rsidR="009C352D">
        <w:t xml:space="preserve"> (see appendix A8c)</w:t>
      </w:r>
      <w:r w:rsidR="00514112">
        <w:t xml:space="preserve">. </w:t>
      </w:r>
      <w:r w:rsidRPr="002C2370">
        <w:t xml:space="preserve">Those </w:t>
      </w:r>
      <w:r w:rsidR="00514112">
        <w:t xml:space="preserve">schools </w:t>
      </w:r>
      <w:r w:rsidRPr="002C2370">
        <w:t xml:space="preserve">refusing </w:t>
      </w:r>
      <w:r w:rsidR="00514112">
        <w:t xml:space="preserve">to participate in the shorter session </w:t>
      </w:r>
      <w:r w:rsidRPr="002C2370">
        <w:t>will be offered</w:t>
      </w:r>
      <w:r w:rsidR="00514112">
        <w:t xml:space="preserve"> a 90-minute</w:t>
      </w:r>
      <w:r w:rsidRPr="002C2370">
        <w:t xml:space="preserve"> out-of-school </w:t>
      </w:r>
      <w:r w:rsidR="00BB549C">
        <w:t xml:space="preserve">student </w:t>
      </w:r>
      <w:r w:rsidRPr="002C2370">
        <w:t>administration</w:t>
      </w:r>
      <w:r>
        <w:t>.</w:t>
      </w:r>
    </w:p>
    <w:p w14:paraId="0E37AAD0" w14:textId="56728DCB" w:rsidR="00E96312" w:rsidRDefault="00E96312" w:rsidP="00FE3F78">
      <w:pPr>
        <w:spacing w:after="120" w:line="240" w:lineRule="auto"/>
      </w:pPr>
      <w:r>
        <w:t xml:space="preserve">From the planned experiments, this one has the lowest statistical power as schools are the unit of analysis, i.e., </w:t>
      </w:r>
      <w:r w:rsidR="003415D7">
        <w:t>we will be able to</w:t>
      </w:r>
      <w:r>
        <w:t xml:space="preserve"> detect only relatively large differences in participation. At the .05 level of significance and power of .80</w:t>
      </w:r>
      <w:r w:rsidR="00580353">
        <w:t>,</w:t>
      </w:r>
      <w:r>
        <w:t xml:space="preserve"> we </w:t>
      </w:r>
      <w:r w:rsidR="00895933">
        <w:t>will</w:t>
      </w:r>
      <w:r>
        <w:t xml:space="preserve"> be able to detect an approximately </w:t>
      </w:r>
      <w:r w:rsidR="005F122C">
        <w:t xml:space="preserve">13 </w:t>
      </w:r>
      <w:r>
        <w:t>percentage point difference in school participation (e.</w:t>
      </w:r>
      <w:r w:rsidR="00580353">
        <w:t>g.</w:t>
      </w:r>
      <w:r>
        <w:t xml:space="preserve">, </w:t>
      </w:r>
      <w:r w:rsidR="005F122C">
        <w:t xml:space="preserve">24 </w:t>
      </w:r>
      <w:r w:rsidR="00580353">
        <w:t xml:space="preserve">percent </w:t>
      </w:r>
      <w:r>
        <w:t xml:space="preserve">vs. </w:t>
      </w:r>
      <w:r w:rsidR="005F122C">
        <w:t xml:space="preserve">37 </w:t>
      </w:r>
      <w:r w:rsidR="00580353">
        <w:t>percent</w:t>
      </w:r>
      <w:r>
        <w:t>)</w:t>
      </w:r>
      <w:r w:rsidR="005F122C">
        <w:t xml:space="preserve"> with a one-tailed test</w:t>
      </w:r>
      <w:r>
        <w:t xml:space="preserve">. However, </w:t>
      </w:r>
      <w:r w:rsidR="00895933">
        <w:t xml:space="preserve">despite our </w:t>
      </w:r>
      <w:r w:rsidR="00262942">
        <w:t xml:space="preserve">school </w:t>
      </w:r>
      <w:r w:rsidR="00895933">
        <w:t xml:space="preserve">sample size limitations, </w:t>
      </w:r>
      <w:r>
        <w:t>we believe that such a difference from substantially reducing the burden on schools is possible and warrants a test.</w:t>
      </w:r>
    </w:p>
    <w:p w14:paraId="2D3CFB9E" w14:textId="5469A2FC" w:rsidR="002859C8" w:rsidRDefault="00B2232E" w:rsidP="00FE3F78">
      <w:pPr>
        <w:spacing w:after="120" w:line="240" w:lineRule="auto"/>
      </w:pPr>
      <w:r w:rsidRPr="00B2232E">
        <w:t xml:space="preserve">Should the field test recruitment effort </w:t>
      </w:r>
      <w:r w:rsidR="005A640A">
        <w:t>yield</w:t>
      </w:r>
      <w:r w:rsidRPr="00B2232E">
        <w:t xml:space="preserve"> significantly higher school response rates with the 45-minute student session, we </w:t>
      </w:r>
      <w:r>
        <w:t>will</w:t>
      </w:r>
      <w:r w:rsidRPr="00B2232E">
        <w:t xml:space="preserve"> implement </w:t>
      </w:r>
      <w:r>
        <w:t>it</w:t>
      </w:r>
      <w:r w:rsidRPr="00B2232E">
        <w:t xml:space="preserve"> </w:t>
      </w:r>
      <w:r>
        <w:t>in</w:t>
      </w:r>
      <w:r w:rsidRPr="00B2232E">
        <w:t xml:space="preserve"> BYFS</w:t>
      </w:r>
      <w:r w:rsidR="005A640A">
        <w:t xml:space="preserve">. </w:t>
      </w:r>
      <w:r w:rsidR="00C5157E">
        <w:t xml:space="preserve">If the differences are not statistically significant, we can release the </w:t>
      </w:r>
      <w:r w:rsidR="00880007">
        <w:t>BYFS</w:t>
      </w:r>
      <w:r w:rsidR="000F0576">
        <w:t xml:space="preserve"> </w:t>
      </w:r>
      <w:r w:rsidR="00C5157E">
        <w:t>sample in two sample replicates, repeating the experiment in the first replicate in order to select the optimal student survey length for the second sample replicate.</w:t>
      </w:r>
      <w:r w:rsidR="000F0576">
        <w:t xml:space="preserve"> An alternative to this approach is to use the 45-minute instrument as a nonresponse follow-up strategy for school-level (and school district-level) nonresponse.</w:t>
      </w:r>
      <w:r w:rsidR="001D393F">
        <w:t xml:space="preserve"> </w:t>
      </w:r>
      <w:r w:rsidR="00DA504C">
        <w:t xml:space="preserve">If the </w:t>
      </w:r>
      <w:r w:rsidR="00DA504C" w:rsidRPr="00B2232E">
        <w:t xml:space="preserve">field test recruitment effort </w:t>
      </w:r>
      <w:r w:rsidR="00DA504C">
        <w:t>does not yield</w:t>
      </w:r>
      <w:r w:rsidR="00DA504C" w:rsidRPr="00B2232E">
        <w:t xml:space="preserve"> higher school response rates with the 45-minute student session</w:t>
      </w:r>
      <w:r w:rsidR="00DA504C">
        <w:t xml:space="preserve">, </w:t>
      </w:r>
      <w:r w:rsidR="00DA504C" w:rsidRPr="002859C8">
        <w:t xml:space="preserve">the 90-minute session will be offered </w:t>
      </w:r>
      <w:r w:rsidR="000741FB">
        <w:t xml:space="preserve">to schools during BYFS recruitment, and </w:t>
      </w:r>
      <w:r w:rsidR="00DA504C" w:rsidRPr="002859C8">
        <w:t xml:space="preserve">the 45-minute session </w:t>
      </w:r>
      <w:r w:rsidR="000741FB">
        <w:t xml:space="preserve">will be </w:t>
      </w:r>
      <w:r w:rsidR="00DA504C" w:rsidRPr="002859C8">
        <w:t>used as a refusal conversion strategy</w:t>
      </w:r>
      <w:r w:rsidR="000741FB">
        <w:t xml:space="preserve">. </w:t>
      </w:r>
      <w:r w:rsidR="000741FB" w:rsidRPr="002859C8">
        <w:t>As in the field test, students participating in the 45-minute session in school will be asked to complete the remainder of the session outside of school</w:t>
      </w:r>
      <w:r w:rsidR="000E16E5">
        <w:t xml:space="preserve"> (</w:t>
      </w:r>
      <w:r w:rsidR="00F82B18">
        <w:t xml:space="preserve">they will be asked to complete the </w:t>
      </w:r>
      <w:r w:rsidR="00F82B18" w:rsidRPr="00F82B18">
        <w:t>studen</w:t>
      </w:r>
      <w:r w:rsidR="0035280F">
        <w:t xml:space="preserve">t survey and reading assessment, but </w:t>
      </w:r>
      <w:r w:rsidR="000E16E5">
        <w:t xml:space="preserve">will not be asked to finish any math items they did not complete </w:t>
      </w:r>
      <w:r w:rsidR="0035280F">
        <w:t xml:space="preserve">at </w:t>
      </w:r>
      <w:r w:rsidR="000E16E5">
        <w:t>school)</w:t>
      </w:r>
      <w:r w:rsidR="000741FB">
        <w:t xml:space="preserve">. </w:t>
      </w:r>
      <w:r w:rsidR="009C5704" w:rsidRPr="009C5704">
        <w:t>Based on the field test recruitment experience between January and August 2019, in August 2019 we will submit a change request describing the final plan for the BYFS student session length</w:t>
      </w:r>
      <w:r w:rsidR="009C5704">
        <w:t>.</w:t>
      </w:r>
    </w:p>
    <w:p w14:paraId="13B6A0AC" w14:textId="118DD814" w:rsidR="00E96312" w:rsidRDefault="00E96312" w:rsidP="00FE3F78">
      <w:pPr>
        <w:spacing w:after="120" w:line="240" w:lineRule="auto"/>
      </w:pPr>
      <w:r w:rsidRPr="00740F6E">
        <w:rPr>
          <w:b/>
          <w:i/>
        </w:rPr>
        <w:t>Teachers.</w:t>
      </w:r>
      <w:r>
        <w:t xml:space="preserve"> Teachers have multiple job responsibilities and demands on their time. Reducing the time demand to provide survey data has the potential to be a highly effective design feature to increase participation. Teachers within each participating school will be randomly assigned to provide the full teacher background information and the full teacher-student report, or to provide a reduced version of each set of data.</w:t>
      </w:r>
    </w:p>
    <w:p w14:paraId="754E2391" w14:textId="6CD930AC" w:rsidR="005F122C" w:rsidRDefault="005F122C" w:rsidP="00B70D6D">
      <w:pPr>
        <w:widowControl w:val="0"/>
        <w:spacing w:after="120" w:line="240" w:lineRule="auto"/>
      </w:pPr>
      <w:r>
        <w:t xml:space="preserve">Assuming </w:t>
      </w:r>
      <w:r w:rsidR="00FE4A19">
        <w:t xml:space="preserve">75 participating schools, </w:t>
      </w:r>
      <w:r>
        <w:t xml:space="preserve">an average of </w:t>
      </w:r>
      <w:r w:rsidR="002211DB">
        <w:t>3.5</w:t>
      </w:r>
      <w:r>
        <w:t xml:space="preserve"> math teachers per school</w:t>
      </w:r>
      <w:r w:rsidR="00FE4A19">
        <w:t xml:space="preserve">, </w:t>
      </w:r>
      <w:r>
        <w:t xml:space="preserve">and a teacher response rate of 75%, </w:t>
      </w:r>
      <w:r w:rsidR="00235378">
        <w:t xml:space="preserve">at the .05 level of significance and power of .80, </w:t>
      </w:r>
      <w:r>
        <w:t>we expect to detect a difference of 1</w:t>
      </w:r>
      <w:r w:rsidR="009D19F9">
        <w:t>2</w:t>
      </w:r>
      <w:r>
        <w:t xml:space="preserve"> percentage points with a one-tailed test (the reduced burden is not expected to</w:t>
      </w:r>
      <w:r w:rsidR="00235378">
        <w:t xml:space="preserve"> lead to a lower response rate)</w:t>
      </w:r>
      <w:r>
        <w:t>.</w:t>
      </w:r>
    </w:p>
    <w:p w14:paraId="50AEEB61" w14:textId="3383F73C" w:rsidR="0060623B" w:rsidRDefault="00E96312" w:rsidP="0035280F">
      <w:pPr>
        <w:widowControl w:val="0"/>
        <w:spacing w:after="120" w:line="240" w:lineRule="auto"/>
      </w:pPr>
      <w:r w:rsidRPr="00882982">
        <w:rPr>
          <w:b/>
          <w:i/>
        </w:rPr>
        <w:t>Parents.</w:t>
      </w:r>
      <w:r>
        <w:t xml:space="preserve"> Although the parent survey will not be administered in an institutional setting, the length of the survey may still be an important factor in gaining participation. In addition, there are multiple ways to incentivize parent participation. We plan to offer </w:t>
      </w:r>
      <w:r w:rsidR="005A1113">
        <w:t xml:space="preserve">a total of </w:t>
      </w:r>
      <w:r>
        <w:t xml:space="preserve">$20 to each sample parent. </w:t>
      </w:r>
      <w:r w:rsidR="005A1113">
        <w:t>Part of this $20 will be o</w:t>
      </w:r>
      <w:r>
        <w:t>ffering a $5 prepaid incentive</w:t>
      </w:r>
      <w:r w:rsidR="005A1113">
        <w:t>. A prepaid incentive</w:t>
      </w:r>
      <w:r>
        <w:t xml:space="preserve"> can be an effective way to encourage </w:t>
      </w:r>
      <w:r w:rsidR="0088048A">
        <w:t>participation</w:t>
      </w:r>
      <w:r>
        <w:t xml:space="preserve">, </w:t>
      </w:r>
      <w:r w:rsidR="0088048A">
        <w:t xml:space="preserve">with </w:t>
      </w:r>
      <w:r>
        <w:t xml:space="preserve">the remainder </w:t>
      </w:r>
      <w:r w:rsidR="0088048A">
        <w:t xml:space="preserve">provided </w:t>
      </w:r>
      <w:r>
        <w:t xml:space="preserve">upon completion of the survey. However, we </w:t>
      </w:r>
      <w:r w:rsidR="0012789E">
        <w:t>will</w:t>
      </w:r>
      <w:r w:rsidR="005A1113">
        <w:t xml:space="preserve"> examine</w:t>
      </w:r>
      <w:r>
        <w:t xml:space="preserve"> the most effective way to provide the</w:t>
      </w:r>
      <w:r w:rsidR="005A1113">
        <w:t xml:space="preserve"> remaining $15 of the total $20 incentive, </w:t>
      </w:r>
      <w:r w:rsidR="003C2A5C">
        <w:t>in</w:t>
      </w:r>
      <w:r w:rsidR="005A1113">
        <w:t xml:space="preserve"> monetary or non-monetary</w:t>
      </w:r>
      <w:r w:rsidR="008E4B0A">
        <w:t xml:space="preserve"> </w:t>
      </w:r>
      <w:r w:rsidR="003C2A5C">
        <w:t>options</w:t>
      </w:r>
      <w:r w:rsidR="005A1113">
        <w:t>.</w:t>
      </w:r>
    </w:p>
    <w:p w14:paraId="2667468D" w14:textId="4B4C8513" w:rsidR="00E96312" w:rsidRDefault="00E96312" w:rsidP="00FE3F78">
      <w:pPr>
        <w:spacing w:after="120" w:line="240" w:lineRule="auto"/>
      </w:pPr>
      <w:r>
        <w:t xml:space="preserve">The parents will be the largest sample, allowing for a test with more than two conditions. We plan on a 2x2 factorial design, with a treatment on survey length and a treatment on incentive format. Sample parents will be randomly assigned to a 30-minute survey or to a 15-minute survey. </w:t>
      </w:r>
      <w:r w:rsidR="005A1113">
        <w:t xml:space="preserve">All parents will receive the $5 prepaid incentive. Then, the survey time </w:t>
      </w:r>
      <w:r>
        <w:t xml:space="preserve">treatment </w:t>
      </w:r>
      <w:r w:rsidR="005A1113">
        <w:t xml:space="preserve">(30 minutes versus 15-minutes) </w:t>
      </w:r>
      <w:r>
        <w:t xml:space="preserve">will be crossed with assignment to be offered $15 in cash (or check) upon completion, or to choose a </w:t>
      </w:r>
      <w:r w:rsidR="004617AA">
        <w:t>different</w:t>
      </w:r>
      <w:r>
        <w:t xml:space="preserve"> incentive</w:t>
      </w:r>
      <w:r w:rsidR="005A1113">
        <w:t xml:space="preserve"> with a value of approximately $15</w:t>
      </w:r>
      <w:r w:rsidR="004617AA">
        <w:t>, such as</w:t>
      </w:r>
      <w:r>
        <w:t>: school tickets to ball game, donation to the school for their participation, college preparation materials, movie tickets for family (</w:t>
      </w:r>
      <w:r w:rsidR="00CB1594">
        <w:t>2</w:t>
      </w:r>
      <w:r>
        <w:t xml:space="preserve">), a family board game, </w:t>
      </w:r>
      <w:r w:rsidR="004617AA">
        <w:t>or</w:t>
      </w:r>
      <w:r>
        <w:t xml:space="preserve"> donation to a charity.</w:t>
      </w:r>
    </w:p>
    <w:p w14:paraId="784DFDDA" w14:textId="580CC8A2" w:rsidR="00FE4A19" w:rsidRDefault="00FE4A19" w:rsidP="00FE3F78">
      <w:pPr>
        <w:spacing w:after="120" w:line="240" w:lineRule="auto"/>
      </w:pPr>
      <w:r>
        <w:t>The key interest is in the main effect of each treatment.</w:t>
      </w:r>
      <w:r w:rsidR="0002779F">
        <w:t xml:space="preserve"> Assuming 2,625 sample parents of </w:t>
      </w:r>
      <w:r w:rsidR="003F1CAC">
        <w:t>ninth-grade</w:t>
      </w:r>
      <w:r w:rsidR="0002779F">
        <w:t xml:space="preserve"> </w:t>
      </w:r>
      <w:r w:rsidR="0060584D">
        <w:t>students</w:t>
      </w:r>
      <w:r w:rsidR="001E510C">
        <w:t xml:space="preserve"> </w:t>
      </w:r>
      <w:r w:rsidR="0060584D">
        <w:t xml:space="preserve">and an expected parent response rate of </w:t>
      </w:r>
      <w:r w:rsidR="00D06C3E">
        <w:t>50</w:t>
      </w:r>
      <w:r w:rsidR="0060584D">
        <w:t>%</w:t>
      </w:r>
      <w:r w:rsidR="00D06C3E">
        <w:t xml:space="preserve"> (most conservative estimate)</w:t>
      </w:r>
      <w:r w:rsidR="0060584D">
        <w:t xml:space="preserve">, </w:t>
      </w:r>
      <w:r w:rsidR="00150112">
        <w:t>at the .05 level of significance and power of .80</w:t>
      </w:r>
      <w:r w:rsidR="00662DF4">
        <w:t>,</w:t>
      </w:r>
      <w:r w:rsidR="00150112">
        <w:t xml:space="preserve"> </w:t>
      </w:r>
      <w:r w:rsidR="0060584D">
        <w:t xml:space="preserve">we expect to detect a difference of </w:t>
      </w:r>
      <w:r w:rsidR="00D06C3E">
        <w:t>3</w:t>
      </w:r>
      <w:r w:rsidR="0060584D">
        <w:t xml:space="preserve">.5 percentage points in the </w:t>
      </w:r>
      <w:r w:rsidR="00662DF4">
        <w:t xml:space="preserve">parent </w:t>
      </w:r>
      <w:r w:rsidR="0060584D">
        <w:t>response rate.</w:t>
      </w:r>
    </w:p>
    <w:p w14:paraId="64A6B877" w14:textId="513BF570" w:rsidR="009B6D70" w:rsidRDefault="009B6D70" w:rsidP="00FE3F78">
      <w:pPr>
        <w:pStyle w:val="Heading2"/>
        <w:spacing w:before="0" w:after="120" w:line="240" w:lineRule="auto"/>
      </w:pPr>
      <w:bookmarkStart w:id="13" w:name="_Toc409593377"/>
      <w:bookmarkStart w:id="14" w:name="_Toc453931283"/>
      <w:bookmarkStart w:id="15" w:name="_Toc3892585"/>
      <w:r>
        <w:t xml:space="preserve">B.5 </w:t>
      </w:r>
      <w:r w:rsidR="000C6D8B">
        <w:t xml:space="preserve">Reviewing Statisticians and </w:t>
      </w:r>
      <w:r>
        <w:t>Individuals Responsible for Study Design</w:t>
      </w:r>
      <w:bookmarkEnd w:id="13"/>
      <w:r>
        <w:t xml:space="preserve"> and </w:t>
      </w:r>
      <w:bookmarkEnd w:id="14"/>
      <w:r w:rsidR="000C6D8B">
        <w:t>Conduct</w:t>
      </w:r>
      <w:bookmarkEnd w:id="15"/>
    </w:p>
    <w:p w14:paraId="6AFF9B26" w14:textId="34BC82FF" w:rsidR="009B6D70" w:rsidRPr="00BA0ED1" w:rsidRDefault="009B6D70" w:rsidP="00FE3F78">
      <w:pPr>
        <w:widowControl w:val="0"/>
        <w:spacing w:after="120" w:line="240" w:lineRule="auto"/>
      </w:pPr>
      <w:r w:rsidRPr="00BA0ED1">
        <w:t xml:space="preserve">The following individuals </w:t>
      </w:r>
      <w:r>
        <w:t xml:space="preserve">at the National Center for Education Statistics (NCES) </w:t>
      </w:r>
      <w:r w:rsidRPr="00BA0ED1">
        <w:t xml:space="preserve">are responsible for </w:t>
      </w:r>
      <w:r w:rsidR="00D63019">
        <w:t>HS&amp;B:20</w:t>
      </w:r>
      <w:r>
        <w:t xml:space="preserve">: Elise Christopher, Gail Mulligan, </w:t>
      </w:r>
      <w:r w:rsidRPr="00BA0ED1">
        <w:t>Chris Chapman</w:t>
      </w:r>
      <w:r>
        <w:t xml:space="preserve">, and Marilyn Seastrom. The following individuals at RTI </w:t>
      </w:r>
      <w:r w:rsidRPr="00BA0ED1">
        <w:t xml:space="preserve">are responsible for the </w:t>
      </w:r>
      <w:r w:rsidRPr="00F002DA">
        <w:t>study</w:t>
      </w:r>
      <w:r>
        <w:t>: Dan Pratt, Debbie Herget, Donna Jewell, David Wilson,</w:t>
      </w:r>
      <w:r w:rsidR="00CB1594">
        <w:t xml:space="preserve"> and Laura Fritch,</w:t>
      </w:r>
      <w:r>
        <w:t xml:space="preserve"> along with subcontractor </w:t>
      </w:r>
      <w:r w:rsidRPr="00CB1594">
        <w:t xml:space="preserve">staff Marc Berger </w:t>
      </w:r>
      <w:r w:rsidR="00CB1594" w:rsidRPr="00CB1594">
        <w:t>and Rick</w:t>
      </w:r>
      <w:r w:rsidR="00CB1594">
        <w:t xml:space="preserve"> Morgan </w:t>
      </w:r>
      <w:r>
        <w:t>(ETS).</w:t>
      </w:r>
    </w:p>
    <w:bookmarkEnd w:id="3"/>
    <w:p w14:paraId="2B417800" w14:textId="3AB400DD" w:rsidR="002F1AE1" w:rsidRPr="002F1AE1" w:rsidRDefault="002F1AE1" w:rsidP="00FE3F78">
      <w:pPr>
        <w:spacing w:after="120" w:line="240" w:lineRule="auto"/>
        <w:rPr>
          <w:b/>
        </w:rPr>
      </w:pPr>
      <w:r w:rsidRPr="002F1AE1">
        <w:rPr>
          <w:b/>
        </w:rPr>
        <w:t>References</w:t>
      </w:r>
    </w:p>
    <w:p w14:paraId="2691F581" w14:textId="20AE53CA" w:rsidR="002F1AE1" w:rsidRPr="00580682" w:rsidRDefault="00E54354" w:rsidP="00FE3F78">
      <w:pPr>
        <w:spacing w:after="120" w:line="240" w:lineRule="auto"/>
        <w:rPr>
          <w:rFonts w:ascii="Calibri" w:hAnsi="Calibri"/>
        </w:rPr>
      </w:pPr>
      <w:r>
        <w:t>Folsom, R.E.,</w:t>
      </w:r>
      <w:r w:rsidR="0079045D">
        <w:t xml:space="preserve"> </w:t>
      </w:r>
      <w:r>
        <w:t>Potter, F.J.</w:t>
      </w:r>
      <w:r w:rsidR="0079045D">
        <w:t xml:space="preserve">, </w:t>
      </w:r>
      <w:r>
        <w:t>Williams, S.R. (1987) Notes on a Composite Size Measure for Self-Weighting Samples in Multiple Domains, Research Triangle Institute.</w:t>
      </w:r>
      <w:r w:rsidR="0079045D">
        <w:t xml:space="preserve"> </w:t>
      </w:r>
      <w:hyperlink r:id="rId9" w:history="1">
        <w:r w:rsidR="0079045D">
          <w:rPr>
            <w:rStyle w:val="Hyperlink"/>
          </w:rPr>
          <w:t>http://ww2.amstat.org/sections/srms/Proceedings/papers/1987_141.pdf</w:t>
        </w:r>
      </w:hyperlink>
    </w:p>
    <w:sectPr w:rsidR="002F1AE1" w:rsidRPr="00580682" w:rsidSect="00615185">
      <w:footerReference w:type="default" r:id="rId10"/>
      <w:pgSz w:w="12240" w:h="15840" w:code="1"/>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DFD1C" w14:textId="77777777" w:rsidR="00FC5F83" w:rsidRDefault="00FC5F83" w:rsidP="000370C1">
      <w:pPr>
        <w:spacing w:after="0" w:line="240" w:lineRule="auto"/>
      </w:pPr>
      <w:r>
        <w:separator/>
      </w:r>
    </w:p>
  </w:endnote>
  <w:endnote w:type="continuationSeparator" w:id="0">
    <w:p w14:paraId="473C2AD0" w14:textId="77777777" w:rsidR="00FC5F83" w:rsidRDefault="00FC5F83" w:rsidP="000370C1">
      <w:pPr>
        <w:spacing w:after="0" w:line="240" w:lineRule="auto"/>
      </w:pPr>
      <w:r>
        <w:continuationSeparator/>
      </w:r>
    </w:p>
  </w:endnote>
  <w:endnote w:type="continuationNotice" w:id="1">
    <w:p w14:paraId="331570AF" w14:textId="77777777" w:rsidR="00FC5F83" w:rsidRDefault="00FC5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 w:name="ArialNarrow">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97026"/>
      <w:docPartObj>
        <w:docPartGallery w:val="Page Numbers (Bottom of Page)"/>
        <w:docPartUnique/>
      </w:docPartObj>
    </w:sdtPr>
    <w:sdtEndPr>
      <w:rPr>
        <w:noProof/>
      </w:rPr>
    </w:sdtEndPr>
    <w:sdtContent>
      <w:p w14:paraId="2223F13F" w14:textId="666A7E66" w:rsidR="002F2AAB" w:rsidRDefault="002F2AAB" w:rsidP="00615185">
        <w:pPr>
          <w:pStyle w:val="Footer"/>
          <w:jc w:val="center"/>
        </w:pPr>
        <w:r>
          <w:fldChar w:fldCharType="begin"/>
        </w:r>
        <w:r>
          <w:instrText xml:space="preserve"> PAGE   \* MERGEFORMAT </w:instrText>
        </w:r>
        <w:r>
          <w:fldChar w:fldCharType="separate"/>
        </w:r>
        <w:r w:rsidR="00B70D6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5B013" w14:textId="77777777" w:rsidR="00FC5F83" w:rsidRDefault="00FC5F83" w:rsidP="000370C1">
      <w:pPr>
        <w:spacing w:after="0" w:line="240" w:lineRule="auto"/>
      </w:pPr>
      <w:r>
        <w:separator/>
      </w:r>
    </w:p>
  </w:footnote>
  <w:footnote w:type="continuationSeparator" w:id="0">
    <w:p w14:paraId="2860EBDE" w14:textId="77777777" w:rsidR="00FC5F83" w:rsidRDefault="00FC5F83" w:rsidP="000370C1">
      <w:pPr>
        <w:spacing w:after="0" w:line="240" w:lineRule="auto"/>
      </w:pPr>
      <w:r>
        <w:continuationSeparator/>
      </w:r>
    </w:p>
  </w:footnote>
  <w:footnote w:type="continuationNotice" w:id="1">
    <w:p w14:paraId="695F1C6B" w14:textId="77777777" w:rsidR="00FC5F83" w:rsidRDefault="00FC5F83">
      <w:pPr>
        <w:spacing w:after="0" w:line="240" w:lineRule="auto"/>
      </w:pPr>
    </w:p>
  </w:footnote>
  <w:footnote w:id="2">
    <w:p w14:paraId="7A898051" w14:textId="6BB3E7E8" w:rsidR="002F2AAB" w:rsidRPr="009A42FA" w:rsidRDefault="002F2AAB" w:rsidP="003D4170">
      <w:pPr>
        <w:autoSpaceDE w:val="0"/>
        <w:autoSpaceDN w:val="0"/>
        <w:adjustRightInd w:val="0"/>
        <w:spacing w:after="0" w:line="240" w:lineRule="auto"/>
        <w:rPr>
          <w:rFonts w:cs="TimesNewRomanPSMT"/>
          <w:sz w:val="18"/>
          <w:szCs w:val="18"/>
        </w:rPr>
      </w:pPr>
      <w:r w:rsidRPr="009A42FA">
        <w:rPr>
          <w:rStyle w:val="FootnoteReference"/>
          <w:rFonts w:asciiTheme="majorHAnsi" w:hAnsiTheme="majorHAnsi"/>
          <w:sz w:val="18"/>
          <w:szCs w:val="18"/>
        </w:rPr>
        <w:footnoteRef/>
      </w:r>
      <w:r w:rsidRPr="009A42FA">
        <w:rPr>
          <w:sz w:val="18"/>
          <w:szCs w:val="18"/>
        </w:rPr>
        <w:t xml:space="preserve"> </w:t>
      </w:r>
      <w:r w:rsidRPr="009A42FA">
        <w:rPr>
          <w:rFonts w:cs="TimesNewRomanPSMT"/>
          <w:sz w:val="18"/>
          <w:szCs w:val="18"/>
        </w:rPr>
        <w:t xml:space="preserve">While the </w:t>
      </w:r>
      <w:r w:rsidRPr="000007F0">
        <w:rPr>
          <w:rFonts w:cs="TimesNewRomanPSMT"/>
          <w:sz w:val="18"/>
          <w:szCs w:val="18"/>
        </w:rPr>
        <w:t xml:space="preserve">BYFS </w:t>
      </w:r>
      <w:r w:rsidRPr="009A42FA">
        <w:rPr>
          <w:rFonts w:cs="TimesNewRomanPSMT"/>
          <w:sz w:val="18"/>
          <w:szCs w:val="18"/>
        </w:rPr>
        <w:t xml:space="preserve">sample will include only </w:t>
      </w:r>
      <w:r>
        <w:rPr>
          <w:rFonts w:cs="TimesNewRomanPSMT"/>
          <w:sz w:val="18"/>
          <w:szCs w:val="18"/>
        </w:rPr>
        <w:t>ninth-</w:t>
      </w:r>
      <w:r w:rsidRPr="009A42FA">
        <w:rPr>
          <w:rFonts w:cs="TimesNewRomanPSMT"/>
          <w:sz w:val="18"/>
          <w:szCs w:val="18"/>
        </w:rPr>
        <w:t xml:space="preserve">grade students, the base-year field test sample will include both </w:t>
      </w:r>
      <w:r>
        <w:rPr>
          <w:rFonts w:cs="TimesNewRomanPSMT"/>
          <w:sz w:val="18"/>
          <w:szCs w:val="18"/>
        </w:rPr>
        <w:t>ninth-</w:t>
      </w:r>
      <w:r w:rsidRPr="009A42FA">
        <w:rPr>
          <w:rFonts w:cs="TimesNewRomanPSMT"/>
          <w:sz w:val="18"/>
          <w:szCs w:val="18"/>
        </w:rPr>
        <w:t xml:space="preserve"> and </w:t>
      </w:r>
      <w:r>
        <w:rPr>
          <w:rFonts w:cs="TimesNewRomanPSMT"/>
          <w:sz w:val="18"/>
          <w:szCs w:val="18"/>
        </w:rPr>
        <w:t>twelfth-</w:t>
      </w:r>
      <w:r w:rsidRPr="009A42FA">
        <w:rPr>
          <w:rFonts w:cs="TimesNewRomanPSMT"/>
          <w:sz w:val="18"/>
          <w:szCs w:val="18"/>
        </w:rPr>
        <w:t xml:space="preserve">grade students to prognosticate the progression that will be observed when reassessing the sample </w:t>
      </w:r>
      <w:r>
        <w:rPr>
          <w:rFonts w:cs="TimesNewRomanPSMT"/>
          <w:sz w:val="18"/>
          <w:szCs w:val="18"/>
        </w:rPr>
        <w:t>ninth-</w:t>
      </w:r>
      <w:r w:rsidRPr="009A42FA">
        <w:rPr>
          <w:rFonts w:cs="TimesNewRomanPSMT"/>
          <w:sz w:val="18"/>
          <w:szCs w:val="18"/>
        </w:rPr>
        <w:t>grade students three years later, when most will be in 12th grade.</w:t>
      </w:r>
    </w:p>
  </w:footnote>
  <w:footnote w:id="3">
    <w:p w14:paraId="463DF632" w14:textId="7A572490" w:rsidR="002F2AAB" w:rsidRPr="009A42FA" w:rsidRDefault="002F2AAB" w:rsidP="00F93BAF">
      <w:pPr>
        <w:pStyle w:val="FootnoteText"/>
        <w:spacing w:after="60"/>
        <w:rPr>
          <w:rFonts w:asciiTheme="majorHAnsi" w:hAnsiTheme="majorHAnsi"/>
          <w:sz w:val="18"/>
          <w:szCs w:val="18"/>
        </w:rPr>
      </w:pPr>
      <w:r w:rsidRPr="009A42FA">
        <w:rPr>
          <w:rStyle w:val="FootnoteReference"/>
          <w:rFonts w:asciiTheme="majorHAnsi" w:hAnsiTheme="majorHAnsi"/>
          <w:sz w:val="18"/>
          <w:szCs w:val="18"/>
        </w:rPr>
        <w:footnoteRef/>
      </w:r>
      <w:r>
        <w:rPr>
          <w:rFonts w:asciiTheme="majorHAnsi" w:hAnsiTheme="majorHAnsi"/>
          <w:sz w:val="18"/>
          <w:szCs w:val="18"/>
        </w:rPr>
        <w:t xml:space="preserve"> A special education school</w:t>
      </w:r>
      <w:r w:rsidRPr="009A42FA">
        <w:rPr>
          <w:rFonts w:asciiTheme="majorHAnsi" w:hAnsiTheme="majorHAnsi"/>
          <w:sz w:val="18"/>
          <w:szCs w:val="18"/>
        </w:rPr>
        <w:t xml:space="preserve"> is a public elementary/secondary school that focuses on educating students with disabilities and adapts curriculum, materials, or instruction for the students served.</w:t>
      </w:r>
    </w:p>
  </w:footnote>
  <w:footnote w:id="4">
    <w:p w14:paraId="521AADD6" w14:textId="77777777" w:rsidR="002F2AAB" w:rsidRPr="009A42FA" w:rsidRDefault="002F2AAB" w:rsidP="00F93BAF">
      <w:pPr>
        <w:pStyle w:val="FootnoteText"/>
        <w:rPr>
          <w:rFonts w:asciiTheme="majorHAnsi" w:hAnsiTheme="majorHAnsi"/>
          <w:sz w:val="18"/>
          <w:szCs w:val="18"/>
        </w:rPr>
      </w:pPr>
      <w:r w:rsidRPr="009A42FA">
        <w:rPr>
          <w:rStyle w:val="FootnoteReference"/>
          <w:rFonts w:asciiTheme="majorHAnsi" w:hAnsiTheme="majorHAnsi"/>
          <w:sz w:val="18"/>
          <w:szCs w:val="18"/>
        </w:rPr>
        <w:footnoteRef/>
      </w:r>
      <w:r w:rsidRPr="009A42FA">
        <w:rPr>
          <w:rFonts w:asciiTheme="majorHAnsi" w:hAnsiTheme="majorHAnsi"/>
          <w:sz w:val="18"/>
          <w:szCs w:val="18"/>
        </w:rPr>
        <w:t xml:space="preserve"> The school sampling strata will be defined by a subset of the possible combinations of the characteristics.</w:t>
      </w:r>
    </w:p>
  </w:footnote>
  <w:footnote w:id="5">
    <w:p w14:paraId="74E57FF2" w14:textId="4578647B" w:rsidR="002F2AAB" w:rsidRPr="00F26BF3" w:rsidRDefault="002F2AAB" w:rsidP="00406EC8">
      <w:pPr>
        <w:pStyle w:val="FootnoteText"/>
        <w:rPr>
          <w:rFonts w:asciiTheme="majorHAnsi" w:hAnsiTheme="majorHAnsi"/>
          <w:sz w:val="18"/>
          <w:szCs w:val="18"/>
        </w:rPr>
      </w:pPr>
      <w:r w:rsidRPr="00F26BF3">
        <w:rPr>
          <w:rStyle w:val="FootnoteReference"/>
          <w:rFonts w:asciiTheme="majorHAnsi" w:hAnsiTheme="majorHAnsi"/>
          <w:sz w:val="18"/>
          <w:szCs w:val="18"/>
        </w:rPr>
        <w:footnoteRef/>
      </w:r>
      <w:r w:rsidRPr="00F26BF3">
        <w:rPr>
          <w:rFonts w:asciiTheme="majorHAnsi" w:hAnsiTheme="majorHAnsi"/>
          <w:sz w:val="18"/>
          <w:szCs w:val="18"/>
        </w:rPr>
        <w:t xml:space="preserve"> One of the 1,092 schools is a Bureau of Indian Education (BIE) school and, though no enrollment counts are provided by BIE schools to the CCD, BIE schools were included in the sampling frame as long as they reported offering instruction in grade 9 and grade 12.</w:t>
      </w:r>
    </w:p>
  </w:footnote>
  <w:footnote w:id="6">
    <w:p w14:paraId="57845231" w14:textId="77777777" w:rsidR="002F2AAB" w:rsidRPr="00857B14" w:rsidRDefault="002F2AAB" w:rsidP="00865A69">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See, for example, Kish (1965.) Survey Sampling, John Wiley &amp; Sons, Inc. p.56.</w:t>
      </w:r>
    </w:p>
  </w:footnote>
  <w:footnote w:id="7">
    <w:p w14:paraId="2B13B7EF" w14:textId="1FE8DCA0" w:rsidR="002F2AAB" w:rsidRDefault="002F2AAB">
      <w:pPr>
        <w:pStyle w:val="FootnoteText"/>
      </w:pPr>
      <w:r>
        <w:rPr>
          <w:rStyle w:val="FootnoteReference"/>
        </w:rPr>
        <w:footnoteRef/>
      </w:r>
      <w:r>
        <w:t xml:space="preserve"> I</w:t>
      </w:r>
      <w:r w:rsidRPr="0099109D">
        <w:t xml:space="preserve">f needed, </w:t>
      </w:r>
      <w:r>
        <w:t>the reserve sample</w:t>
      </w:r>
      <w:r w:rsidRPr="0099109D">
        <w:t xml:space="preserve"> will be released after the start of BYFS data collection. Should we expect to need to release any reserve sample schools, we will </w:t>
      </w:r>
      <w:r>
        <w:t>update</w:t>
      </w:r>
      <w:r w:rsidRPr="0099109D">
        <w:t xml:space="preserve"> our burden estimated </w:t>
      </w:r>
      <w:r>
        <w:t xml:space="preserve">in Part A </w:t>
      </w:r>
      <w:r w:rsidRPr="0099109D">
        <w:t>in the next</w:t>
      </w:r>
      <w:r>
        <w:t>,</w:t>
      </w:r>
      <w:r w:rsidRPr="0099109D">
        <w:t xml:space="preserve"> </w:t>
      </w:r>
      <w:r>
        <w:t>BYFS data collection,</w:t>
      </w:r>
      <w:r w:rsidRPr="0099109D">
        <w:t xml:space="preserve"> submission</w:t>
      </w:r>
      <w:r>
        <w:t>.</w:t>
      </w:r>
    </w:p>
  </w:footnote>
  <w:footnote w:id="8">
    <w:p w14:paraId="27DDD0C8" w14:textId="77777777" w:rsidR="002F2AAB" w:rsidRPr="00857B14" w:rsidRDefault="002F2AAB" w:rsidP="00644B6C">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08435C54" w14:textId="77777777" w:rsidR="002F2AAB" w:rsidRPr="001D6700" w:rsidRDefault="002F2AAB" w:rsidP="00865A69">
      <w:pPr>
        <w:pStyle w:val="FootnoteText"/>
        <w:spacing w:after="60"/>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five student domains are as follows: AIAN, non-Hispanic; Asian, non-Hispanic; Hispanic; Black, non-Hispanic; and Other race, non-Hispanic.</w:t>
      </w:r>
    </w:p>
  </w:footnote>
  <w:footnote w:id="10">
    <w:p w14:paraId="198123B9" w14:textId="18FAB53F" w:rsidR="002F2AAB" w:rsidRPr="001D6700" w:rsidRDefault="002F2AAB">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twelfth-grade cohort includes those ninth-grade students sampled in the base year who are enrolled in </w:t>
      </w:r>
      <w:r w:rsidRPr="001D6700">
        <w:rPr>
          <w:rFonts w:asciiTheme="majorHAnsi" w:hAnsiTheme="majorHAnsi" w:cstheme="minorHAnsi"/>
          <w:color w:val="000000"/>
          <w:sz w:val="18"/>
          <w:szCs w:val="18"/>
        </w:rPr>
        <w:t>twelfth</w:t>
      </w:r>
      <w:r w:rsidRPr="001D6700">
        <w:rPr>
          <w:rFonts w:asciiTheme="majorHAnsi" w:hAnsiTheme="majorHAnsi"/>
          <w:sz w:val="18"/>
          <w:szCs w:val="18"/>
        </w:rPr>
        <w:t xml:space="preserve"> grade in the first follow-up. These students alone, however, are not representative of all students enrolled in twelfth grade in spring 2024. There will be students who enroll in U.S. schools after ninth grade, as well as students in twelfth grade in the spring of 2024 who were not in ninth </w:t>
      </w:r>
      <w:r>
        <w:t xml:space="preserve">grade in the fall </w:t>
      </w:r>
      <w:r w:rsidRPr="001D6700">
        <w:rPr>
          <w:rFonts w:asciiTheme="majorHAnsi" w:hAnsiTheme="majorHAnsi"/>
          <w:sz w:val="18"/>
          <w:szCs w:val="18"/>
        </w:rPr>
        <w:t>of 2020. Additional students enrolled in twelfth grade will be added to the student sample in the first follow-up through sample freshening to produce a sample of students that is representative of all students enrolled in twelfth-grade in spring 2024. Because the number of students to be added via sample freshening is uncontrollable and estimation is imprecise, base-year students sample sizes were established assuming no students would be added via sample freshening.</w:t>
      </w:r>
    </w:p>
  </w:footnote>
  <w:footnote w:id="11">
    <w:p w14:paraId="10B13B51" w14:textId="73F8D654" w:rsidR="002F2AAB" w:rsidRPr="001D6700" w:rsidRDefault="002F2AAB" w:rsidP="00865A69">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Some of the students sampled in the ninth grade will be in the twelfth grade as of the first follow-up but some will not. Students sampled in ninth grade will be included in the first follow-up data collection regardless of the grade they are in, but those who are not in twelfth grade will not be pa</w:t>
      </w:r>
      <w:r>
        <w:rPr>
          <w:rFonts w:asciiTheme="majorHAnsi" w:hAnsiTheme="majorHAnsi"/>
          <w:sz w:val="18"/>
          <w:szCs w:val="18"/>
        </w:rPr>
        <w:t>rt of the twelfth-grade cohort.</w:t>
      </w:r>
    </w:p>
  </w:footnote>
  <w:footnote w:id="12">
    <w:p w14:paraId="7A3D5ED9" w14:textId="77777777" w:rsidR="002F2AAB" w:rsidRPr="00857B14" w:rsidRDefault="002F2AAB" w:rsidP="00865A69">
      <w:pPr>
        <w:autoSpaceDE w:val="0"/>
        <w:autoSpaceDN w:val="0"/>
        <w:adjustRightInd w:val="0"/>
        <w:spacing w:after="0" w:line="240" w:lineRule="auto"/>
        <w:rPr>
          <w:rFonts w:ascii="Times New Roman" w:eastAsia="Times New Roman" w:hAnsi="Times New Roman" w:cs="Arial"/>
          <w:sz w:val="18"/>
          <w:szCs w:val="18"/>
        </w:rPr>
      </w:pPr>
      <w:r w:rsidRPr="001D6700">
        <w:rPr>
          <w:rStyle w:val="FootnoteReference"/>
          <w:rFonts w:asciiTheme="majorHAnsi" w:hAnsiTheme="majorHAnsi"/>
          <w:sz w:val="18"/>
          <w:szCs w:val="18"/>
        </w:rPr>
        <w:footnoteRef/>
      </w:r>
      <w:r w:rsidRPr="001D6700">
        <w:rPr>
          <w:sz w:val="18"/>
          <w:szCs w:val="18"/>
        </w:rPr>
        <w:t xml:space="preserve"> </w:t>
      </w:r>
      <w:r w:rsidRPr="001D6700">
        <w:rPr>
          <w:rFonts w:eastAsia="Times New Roman" w:cs="Arial"/>
          <w:sz w:val="18"/>
          <w:szCs w:val="18"/>
        </w:rPr>
        <w:t>SAS Institute Inc. 2008. SAS/STAT</w:t>
      </w:r>
      <w:r w:rsidRPr="001D6700">
        <w:rPr>
          <w:rFonts w:cs="NimbusSanL-ReguItal"/>
          <w:sz w:val="18"/>
          <w:szCs w:val="18"/>
        </w:rPr>
        <w:t xml:space="preserve">® </w:t>
      </w:r>
      <w:r w:rsidRPr="001D6700">
        <w:rPr>
          <w:rFonts w:eastAsia="Times New Roman" w:cs="Arial"/>
          <w:sz w:val="18"/>
          <w:szCs w:val="18"/>
        </w:rPr>
        <w:t>9.2 User’s Guide. Cary, NC: SAS Institute Inc.</w:t>
      </w:r>
    </w:p>
  </w:footnote>
  <w:footnote w:id="13">
    <w:p w14:paraId="287CB7EA" w14:textId="77777777" w:rsidR="002F2AAB" w:rsidRPr="00857B14" w:rsidRDefault="002F2AAB" w:rsidP="00865A69">
      <w:pPr>
        <w:pStyle w:val="FootnoteText"/>
        <w:spacing w:after="60"/>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AIAN, non-Hispanic; Asian, non-Hispanic; Hispanic; Black, non-Hispani</w:t>
      </w:r>
      <w:r>
        <w:rPr>
          <w:rFonts w:asciiTheme="majorHAnsi" w:hAnsiTheme="majorHAnsi"/>
          <w:sz w:val="18"/>
          <w:szCs w:val="18"/>
        </w:rPr>
        <w:t>c; and Other race, non-Hispanic.</w:t>
      </w:r>
    </w:p>
  </w:footnote>
  <w:footnote w:id="14">
    <w:p w14:paraId="53A84481" w14:textId="77777777" w:rsidR="002F2AAB" w:rsidRPr="00857B14" w:rsidRDefault="002F2AAB" w:rsidP="00865A69">
      <w:pPr>
        <w:autoSpaceDE w:val="0"/>
        <w:autoSpaceDN w:val="0"/>
        <w:adjustRightInd w:val="0"/>
        <w:spacing w:after="0" w:line="240" w:lineRule="auto"/>
        <w:rPr>
          <w:rFonts w:cs="ArialNarrow"/>
          <w:sz w:val="18"/>
          <w:szCs w:val="18"/>
        </w:rPr>
      </w:pPr>
      <w:r w:rsidRPr="00857B14">
        <w:rPr>
          <w:rStyle w:val="FootnoteReference"/>
          <w:rFonts w:asciiTheme="majorHAnsi" w:hAnsiTheme="majorHAnsi"/>
          <w:sz w:val="18"/>
          <w:szCs w:val="18"/>
        </w:rPr>
        <w:footnoteRef/>
      </w:r>
      <w:r w:rsidRPr="00857B14">
        <w:rPr>
          <w:sz w:val="18"/>
          <w:szCs w:val="18"/>
        </w:rPr>
        <w:t xml:space="preserve"> </w:t>
      </w:r>
      <w:r w:rsidRPr="00857B14">
        <w:rPr>
          <w:rFonts w:cs="ArialNarrow"/>
          <w:sz w:val="18"/>
          <w:szCs w:val="18"/>
        </w:rPr>
        <w:t>Students of indeterminate status include those whose whereabouts are not known by their base-year schools. Such students include those who may be transfer students, early graduates, or dropouts.</w:t>
      </w:r>
    </w:p>
  </w:footnote>
  <w:footnote w:id="15">
    <w:p w14:paraId="23ECAE9B" w14:textId="77777777" w:rsidR="002F2AAB" w:rsidRDefault="002F2AAB"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16">
    <w:p w14:paraId="49F32FEC" w14:textId="77777777" w:rsidR="002F2AAB" w:rsidRDefault="002F2AAB"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17">
    <w:p w14:paraId="118252BE" w14:textId="77777777" w:rsidR="002F2AAB" w:rsidRDefault="002F2AAB" w:rsidP="002F18CC">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14678"/>
    <w:multiLevelType w:val="hybridMultilevel"/>
    <w:tmpl w:val="517C9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B5404"/>
    <w:multiLevelType w:val="hybridMultilevel"/>
    <w:tmpl w:val="B2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62A3B"/>
    <w:multiLevelType w:val="hybridMultilevel"/>
    <w:tmpl w:val="BC98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55C9B"/>
    <w:multiLevelType w:val="hybridMultilevel"/>
    <w:tmpl w:val="CA5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62757"/>
    <w:multiLevelType w:val="hybridMultilevel"/>
    <w:tmpl w:val="CBC4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676BEA"/>
    <w:multiLevelType w:val="hybridMultilevel"/>
    <w:tmpl w:val="324C0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C75715"/>
    <w:multiLevelType w:val="hybridMultilevel"/>
    <w:tmpl w:val="F44E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nsid w:val="5C114192"/>
    <w:multiLevelType w:val="hybridMultilevel"/>
    <w:tmpl w:val="5E206394"/>
    <w:lvl w:ilvl="0" w:tplc="83689400">
      <w:numFmt w:val="bullet"/>
      <w:lvlText w:val="•"/>
      <w:lvlJc w:val="left"/>
      <w:pPr>
        <w:ind w:left="720" w:hanging="360"/>
      </w:pPr>
      <w:rPr>
        <w:rFonts w:ascii="SymbolMT" w:eastAsia="SymbolMT" w:hAnsi="TimesNewRomanPSMT" w:cs="SymbolMT"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A47A1"/>
    <w:multiLevelType w:val="hybridMultilevel"/>
    <w:tmpl w:val="FCDAE47A"/>
    <w:lvl w:ilvl="0" w:tplc="6D5490B6">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3">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43917"/>
    <w:multiLevelType w:val="hybridMultilevel"/>
    <w:tmpl w:val="F1B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35"/>
  </w:num>
  <w:num w:numId="3">
    <w:abstractNumId w:val="1"/>
  </w:num>
  <w:num w:numId="4">
    <w:abstractNumId w:val="25"/>
  </w:num>
  <w:num w:numId="5">
    <w:abstractNumId w:val="8"/>
  </w:num>
  <w:num w:numId="6">
    <w:abstractNumId w:val="23"/>
  </w:num>
  <w:num w:numId="7">
    <w:abstractNumId w:val="39"/>
  </w:num>
  <w:num w:numId="8">
    <w:abstractNumId w:val="3"/>
  </w:num>
  <w:num w:numId="9">
    <w:abstractNumId w:val="29"/>
  </w:num>
  <w:num w:numId="10">
    <w:abstractNumId w:val="40"/>
  </w:num>
  <w:num w:numId="11">
    <w:abstractNumId w:val="36"/>
  </w:num>
  <w:num w:numId="12">
    <w:abstractNumId w:val="15"/>
  </w:num>
  <w:num w:numId="13">
    <w:abstractNumId w:val="11"/>
  </w:num>
  <w:num w:numId="14">
    <w:abstractNumId w:val="31"/>
  </w:num>
  <w:num w:numId="15">
    <w:abstractNumId w:val="45"/>
  </w:num>
  <w:num w:numId="16">
    <w:abstractNumId w:val="13"/>
  </w:num>
  <w:num w:numId="17">
    <w:abstractNumId w:val="27"/>
  </w:num>
  <w:num w:numId="18">
    <w:abstractNumId w:val="42"/>
  </w:num>
  <w:num w:numId="19">
    <w:abstractNumId w:val="28"/>
  </w:num>
  <w:num w:numId="20">
    <w:abstractNumId w:val="24"/>
  </w:num>
  <w:num w:numId="21">
    <w:abstractNumId w:val="18"/>
  </w:num>
  <w:num w:numId="22">
    <w:abstractNumId w:val="23"/>
  </w:num>
  <w:num w:numId="23">
    <w:abstractNumId w:val="30"/>
  </w:num>
  <w:num w:numId="24">
    <w:abstractNumId w:val="26"/>
  </w:num>
  <w:num w:numId="25">
    <w:abstractNumId w:val="19"/>
  </w:num>
  <w:num w:numId="26">
    <w:abstractNumId w:val="4"/>
  </w:num>
  <w:num w:numId="27">
    <w:abstractNumId w:val="34"/>
  </w:num>
  <w:num w:numId="28">
    <w:abstractNumId w:val="2"/>
  </w:num>
  <w:num w:numId="29">
    <w:abstractNumId w:val="21"/>
  </w:num>
  <w:num w:numId="30">
    <w:abstractNumId w:val="38"/>
  </w:num>
  <w:num w:numId="31">
    <w:abstractNumId w:val="5"/>
  </w:num>
  <w:num w:numId="32">
    <w:abstractNumId w:val="37"/>
  </w:num>
  <w:num w:numId="33">
    <w:abstractNumId w:val="33"/>
  </w:num>
  <w:num w:numId="34">
    <w:abstractNumId w:val="14"/>
  </w:num>
  <w:num w:numId="35">
    <w:abstractNumId w:val="0"/>
  </w:num>
  <w:num w:numId="36">
    <w:abstractNumId w:val="32"/>
  </w:num>
  <w:num w:numId="37">
    <w:abstractNumId w:val="20"/>
  </w:num>
  <w:num w:numId="38">
    <w:abstractNumId w:val="7"/>
  </w:num>
  <w:num w:numId="39">
    <w:abstractNumId w:val="22"/>
  </w:num>
  <w:num w:numId="40">
    <w:abstractNumId w:val="6"/>
  </w:num>
  <w:num w:numId="41">
    <w:abstractNumId w:val="17"/>
  </w:num>
  <w:num w:numId="42">
    <w:abstractNumId w:val="10"/>
  </w:num>
  <w:num w:numId="43">
    <w:abstractNumId w:val="16"/>
  </w:num>
  <w:num w:numId="44">
    <w:abstractNumId w:val="12"/>
  </w:num>
  <w:num w:numId="45">
    <w:abstractNumId w:val="41"/>
  </w:num>
  <w:num w:numId="46">
    <w:abstractNumId w:val="4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7F0"/>
    <w:rsid w:val="00001906"/>
    <w:rsid w:val="000035F9"/>
    <w:rsid w:val="00004210"/>
    <w:rsid w:val="00010215"/>
    <w:rsid w:val="00014B8B"/>
    <w:rsid w:val="00016128"/>
    <w:rsid w:val="0001635C"/>
    <w:rsid w:val="00016E3C"/>
    <w:rsid w:val="00017321"/>
    <w:rsid w:val="00022514"/>
    <w:rsid w:val="00023A9D"/>
    <w:rsid w:val="000240AB"/>
    <w:rsid w:val="0002447C"/>
    <w:rsid w:val="00024C88"/>
    <w:rsid w:val="00024F71"/>
    <w:rsid w:val="00027346"/>
    <w:rsid w:val="0002779F"/>
    <w:rsid w:val="000301E2"/>
    <w:rsid w:val="0003052F"/>
    <w:rsid w:val="000307DA"/>
    <w:rsid w:val="00030847"/>
    <w:rsid w:val="00031D8C"/>
    <w:rsid w:val="0003212F"/>
    <w:rsid w:val="0003292B"/>
    <w:rsid w:val="000335D3"/>
    <w:rsid w:val="000338F4"/>
    <w:rsid w:val="000350EA"/>
    <w:rsid w:val="000370C1"/>
    <w:rsid w:val="00043D9D"/>
    <w:rsid w:val="00044C00"/>
    <w:rsid w:val="000451B9"/>
    <w:rsid w:val="00045658"/>
    <w:rsid w:val="0004672D"/>
    <w:rsid w:val="00047999"/>
    <w:rsid w:val="00050469"/>
    <w:rsid w:val="000506BD"/>
    <w:rsid w:val="00050F84"/>
    <w:rsid w:val="00054C2E"/>
    <w:rsid w:val="00056059"/>
    <w:rsid w:val="000570D9"/>
    <w:rsid w:val="00060446"/>
    <w:rsid w:val="0006108C"/>
    <w:rsid w:val="00063C5A"/>
    <w:rsid w:val="00063ED0"/>
    <w:rsid w:val="000641CC"/>
    <w:rsid w:val="00064E84"/>
    <w:rsid w:val="000668AD"/>
    <w:rsid w:val="000671B9"/>
    <w:rsid w:val="0007019A"/>
    <w:rsid w:val="000731D9"/>
    <w:rsid w:val="000734D8"/>
    <w:rsid w:val="00074090"/>
    <w:rsid w:val="000741FB"/>
    <w:rsid w:val="00075D59"/>
    <w:rsid w:val="00077167"/>
    <w:rsid w:val="000772C1"/>
    <w:rsid w:val="00080F86"/>
    <w:rsid w:val="000818DA"/>
    <w:rsid w:val="000822FC"/>
    <w:rsid w:val="00083388"/>
    <w:rsid w:val="00083EED"/>
    <w:rsid w:val="00086F3B"/>
    <w:rsid w:val="00087C68"/>
    <w:rsid w:val="00090418"/>
    <w:rsid w:val="000950EF"/>
    <w:rsid w:val="00095174"/>
    <w:rsid w:val="00097705"/>
    <w:rsid w:val="000A113A"/>
    <w:rsid w:val="000A182A"/>
    <w:rsid w:val="000A4B28"/>
    <w:rsid w:val="000A5814"/>
    <w:rsid w:val="000A59AE"/>
    <w:rsid w:val="000B03F9"/>
    <w:rsid w:val="000B1D0B"/>
    <w:rsid w:val="000B1FF2"/>
    <w:rsid w:val="000B21C3"/>
    <w:rsid w:val="000B4D0B"/>
    <w:rsid w:val="000B513A"/>
    <w:rsid w:val="000B6722"/>
    <w:rsid w:val="000B6914"/>
    <w:rsid w:val="000C294C"/>
    <w:rsid w:val="000C2EA2"/>
    <w:rsid w:val="000C574B"/>
    <w:rsid w:val="000C5C76"/>
    <w:rsid w:val="000C6818"/>
    <w:rsid w:val="000C6D8B"/>
    <w:rsid w:val="000C74FF"/>
    <w:rsid w:val="000C7BCA"/>
    <w:rsid w:val="000D1DC0"/>
    <w:rsid w:val="000D3A01"/>
    <w:rsid w:val="000D4B13"/>
    <w:rsid w:val="000D53B0"/>
    <w:rsid w:val="000D5575"/>
    <w:rsid w:val="000D5DD9"/>
    <w:rsid w:val="000E013D"/>
    <w:rsid w:val="000E16E5"/>
    <w:rsid w:val="000E46C7"/>
    <w:rsid w:val="000E4C18"/>
    <w:rsid w:val="000E6D6F"/>
    <w:rsid w:val="000F0576"/>
    <w:rsid w:val="000F251F"/>
    <w:rsid w:val="000F2EB1"/>
    <w:rsid w:val="000F3274"/>
    <w:rsid w:val="000F4D8D"/>
    <w:rsid w:val="000F4F52"/>
    <w:rsid w:val="000F55D7"/>
    <w:rsid w:val="000F5B35"/>
    <w:rsid w:val="000F652B"/>
    <w:rsid w:val="001006C1"/>
    <w:rsid w:val="001014FE"/>
    <w:rsid w:val="001019A5"/>
    <w:rsid w:val="00102D48"/>
    <w:rsid w:val="0010494B"/>
    <w:rsid w:val="00106140"/>
    <w:rsid w:val="0011119C"/>
    <w:rsid w:val="00111E09"/>
    <w:rsid w:val="00113D4A"/>
    <w:rsid w:val="00114B3B"/>
    <w:rsid w:val="00117062"/>
    <w:rsid w:val="001202E7"/>
    <w:rsid w:val="00120B7F"/>
    <w:rsid w:val="00121BE6"/>
    <w:rsid w:val="0012265C"/>
    <w:rsid w:val="00123A9E"/>
    <w:rsid w:val="001245C4"/>
    <w:rsid w:val="00125A9F"/>
    <w:rsid w:val="0012789E"/>
    <w:rsid w:val="001301D4"/>
    <w:rsid w:val="00131DEB"/>
    <w:rsid w:val="00132984"/>
    <w:rsid w:val="00133B3F"/>
    <w:rsid w:val="00133EB3"/>
    <w:rsid w:val="00135691"/>
    <w:rsid w:val="001416CA"/>
    <w:rsid w:val="001428ED"/>
    <w:rsid w:val="001429F0"/>
    <w:rsid w:val="0014675C"/>
    <w:rsid w:val="001470DD"/>
    <w:rsid w:val="001473C8"/>
    <w:rsid w:val="00150112"/>
    <w:rsid w:val="001512B7"/>
    <w:rsid w:val="00151BB7"/>
    <w:rsid w:val="00154564"/>
    <w:rsid w:val="00154B79"/>
    <w:rsid w:val="00155240"/>
    <w:rsid w:val="001552D9"/>
    <w:rsid w:val="00156B4F"/>
    <w:rsid w:val="0016325B"/>
    <w:rsid w:val="00163F24"/>
    <w:rsid w:val="00164B01"/>
    <w:rsid w:val="00165E84"/>
    <w:rsid w:val="00166072"/>
    <w:rsid w:val="00170351"/>
    <w:rsid w:val="001714B6"/>
    <w:rsid w:val="00173BB9"/>
    <w:rsid w:val="00174E35"/>
    <w:rsid w:val="001759D7"/>
    <w:rsid w:val="0017769D"/>
    <w:rsid w:val="00180BDB"/>
    <w:rsid w:val="00181BC5"/>
    <w:rsid w:val="00182DA5"/>
    <w:rsid w:val="001844AF"/>
    <w:rsid w:val="00185021"/>
    <w:rsid w:val="00191808"/>
    <w:rsid w:val="00193035"/>
    <w:rsid w:val="001950F8"/>
    <w:rsid w:val="00197A68"/>
    <w:rsid w:val="00197F34"/>
    <w:rsid w:val="001A0912"/>
    <w:rsid w:val="001A1DA9"/>
    <w:rsid w:val="001A2117"/>
    <w:rsid w:val="001A2AA6"/>
    <w:rsid w:val="001A2DC3"/>
    <w:rsid w:val="001A3053"/>
    <w:rsid w:val="001A7B4A"/>
    <w:rsid w:val="001A7C22"/>
    <w:rsid w:val="001B0B20"/>
    <w:rsid w:val="001B13C6"/>
    <w:rsid w:val="001B2842"/>
    <w:rsid w:val="001B3673"/>
    <w:rsid w:val="001B3D1A"/>
    <w:rsid w:val="001B4642"/>
    <w:rsid w:val="001B6AD0"/>
    <w:rsid w:val="001D0374"/>
    <w:rsid w:val="001D393F"/>
    <w:rsid w:val="001D6700"/>
    <w:rsid w:val="001E37C4"/>
    <w:rsid w:val="001E3906"/>
    <w:rsid w:val="001E4D18"/>
    <w:rsid w:val="001E510C"/>
    <w:rsid w:val="001F1C80"/>
    <w:rsid w:val="001F27C3"/>
    <w:rsid w:val="001F583A"/>
    <w:rsid w:val="001F74FB"/>
    <w:rsid w:val="0020305C"/>
    <w:rsid w:val="002111AA"/>
    <w:rsid w:val="0021170D"/>
    <w:rsid w:val="00211794"/>
    <w:rsid w:val="00212BB0"/>
    <w:rsid w:val="00212D17"/>
    <w:rsid w:val="00214E84"/>
    <w:rsid w:val="0021665B"/>
    <w:rsid w:val="00220142"/>
    <w:rsid w:val="002211DB"/>
    <w:rsid w:val="00222B62"/>
    <w:rsid w:val="002237D7"/>
    <w:rsid w:val="002237F7"/>
    <w:rsid w:val="002242F5"/>
    <w:rsid w:val="002323FD"/>
    <w:rsid w:val="00232F2B"/>
    <w:rsid w:val="00234711"/>
    <w:rsid w:val="00234EFB"/>
    <w:rsid w:val="00235378"/>
    <w:rsid w:val="002367E1"/>
    <w:rsid w:val="00236C96"/>
    <w:rsid w:val="00237642"/>
    <w:rsid w:val="00240D08"/>
    <w:rsid w:val="00241A9C"/>
    <w:rsid w:val="0024369C"/>
    <w:rsid w:val="00246343"/>
    <w:rsid w:val="0024704B"/>
    <w:rsid w:val="002478BE"/>
    <w:rsid w:val="002511DD"/>
    <w:rsid w:val="002513B7"/>
    <w:rsid w:val="00256201"/>
    <w:rsid w:val="00256337"/>
    <w:rsid w:val="00256E55"/>
    <w:rsid w:val="002577EE"/>
    <w:rsid w:val="00262942"/>
    <w:rsid w:val="00262A69"/>
    <w:rsid w:val="00263482"/>
    <w:rsid w:val="002635F3"/>
    <w:rsid w:val="00264F2A"/>
    <w:rsid w:val="0027017F"/>
    <w:rsid w:val="00270C11"/>
    <w:rsid w:val="00277BE4"/>
    <w:rsid w:val="00284B50"/>
    <w:rsid w:val="002855B4"/>
    <w:rsid w:val="002859C8"/>
    <w:rsid w:val="00286668"/>
    <w:rsid w:val="00286884"/>
    <w:rsid w:val="002876D3"/>
    <w:rsid w:val="00291BE7"/>
    <w:rsid w:val="0029522F"/>
    <w:rsid w:val="002A026B"/>
    <w:rsid w:val="002A0C3B"/>
    <w:rsid w:val="002A0D40"/>
    <w:rsid w:val="002A0FBA"/>
    <w:rsid w:val="002A2AB8"/>
    <w:rsid w:val="002A321F"/>
    <w:rsid w:val="002A3B34"/>
    <w:rsid w:val="002A4E0E"/>
    <w:rsid w:val="002A579B"/>
    <w:rsid w:val="002A57FD"/>
    <w:rsid w:val="002A5E80"/>
    <w:rsid w:val="002A6876"/>
    <w:rsid w:val="002A6F58"/>
    <w:rsid w:val="002B0D3A"/>
    <w:rsid w:val="002B1F4C"/>
    <w:rsid w:val="002B2D45"/>
    <w:rsid w:val="002B62A0"/>
    <w:rsid w:val="002B6E8C"/>
    <w:rsid w:val="002B7D3A"/>
    <w:rsid w:val="002C0C86"/>
    <w:rsid w:val="002C188E"/>
    <w:rsid w:val="002C2370"/>
    <w:rsid w:val="002C23BB"/>
    <w:rsid w:val="002C47E2"/>
    <w:rsid w:val="002C5A92"/>
    <w:rsid w:val="002C5D62"/>
    <w:rsid w:val="002D0AE6"/>
    <w:rsid w:val="002D1692"/>
    <w:rsid w:val="002D191D"/>
    <w:rsid w:val="002D1B34"/>
    <w:rsid w:val="002D3982"/>
    <w:rsid w:val="002D39C1"/>
    <w:rsid w:val="002D4641"/>
    <w:rsid w:val="002E1B3D"/>
    <w:rsid w:val="002E2CF2"/>
    <w:rsid w:val="002E30F1"/>
    <w:rsid w:val="002E4053"/>
    <w:rsid w:val="002E618A"/>
    <w:rsid w:val="002E76B4"/>
    <w:rsid w:val="002F0094"/>
    <w:rsid w:val="002F0157"/>
    <w:rsid w:val="002F0687"/>
    <w:rsid w:val="002F18CC"/>
    <w:rsid w:val="002F1AE1"/>
    <w:rsid w:val="002F220A"/>
    <w:rsid w:val="002F28D6"/>
    <w:rsid w:val="002F2AAB"/>
    <w:rsid w:val="002F332E"/>
    <w:rsid w:val="002F471A"/>
    <w:rsid w:val="003010D7"/>
    <w:rsid w:val="003026DD"/>
    <w:rsid w:val="00304972"/>
    <w:rsid w:val="003063F9"/>
    <w:rsid w:val="003106B9"/>
    <w:rsid w:val="00310D08"/>
    <w:rsid w:val="00314294"/>
    <w:rsid w:val="00314D67"/>
    <w:rsid w:val="00316379"/>
    <w:rsid w:val="003164BE"/>
    <w:rsid w:val="003167C4"/>
    <w:rsid w:val="0032134E"/>
    <w:rsid w:val="00322945"/>
    <w:rsid w:val="003253B8"/>
    <w:rsid w:val="00326542"/>
    <w:rsid w:val="003336A7"/>
    <w:rsid w:val="00333780"/>
    <w:rsid w:val="003349D4"/>
    <w:rsid w:val="0033612C"/>
    <w:rsid w:val="00340849"/>
    <w:rsid w:val="00340B64"/>
    <w:rsid w:val="003415D7"/>
    <w:rsid w:val="003433EE"/>
    <w:rsid w:val="00343D7F"/>
    <w:rsid w:val="00343FB8"/>
    <w:rsid w:val="003462AF"/>
    <w:rsid w:val="0035051C"/>
    <w:rsid w:val="0035176D"/>
    <w:rsid w:val="0035280F"/>
    <w:rsid w:val="00355033"/>
    <w:rsid w:val="0035553D"/>
    <w:rsid w:val="0035614E"/>
    <w:rsid w:val="00356B3D"/>
    <w:rsid w:val="00361DEF"/>
    <w:rsid w:val="003662FC"/>
    <w:rsid w:val="003678A0"/>
    <w:rsid w:val="00367EE4"/>
    <w:rsid w:val="003714B8"/>
    <w:rsid w:val="00371AF6"/>
    <w:rsid w:val="00374A51"/>
    <w:rsid w:val="00375C24"/>
    <w:rsid w:val="00376F5D"/>
    <w:rsid w:val="00377949"/>
    <w:rsid w:val="003858BB"/>
    <w:rsid w:val="00386822"/>
    <w:rsid w:val="00387661"/>
    <w:rsid w:val="003903B4"/>
    <w:rsid w:val="00391D8B"/>
    <w:rsid w:val="0039368C"/>
    <w:rsid w:val="00394572"/>
    <w:rsid w:val="00394B97"/>
    <w:rsid w:val="003A653E"/>
    <w:rsid w:val="003B057B"/>
    <w:rsid w:val="003B1571"/>
    <w:rsid w:val="003B42F5"/>
    <w:rsid w:val="003B620A"/>
    <w:rsid w:val="003B7348"/>
    <w:rsid w:val="003C061B"/>
    <w:rsid w:val="003C0FD8"/>
    <w:rsid w:val="003C1106"/>
    <w:rsid w:val="003C1679"/>
    <w:rsid w:val="003C2A5C"/>
    <w:rsid w:val="003C4C1C"/>
    <w:rsid w:val="003C5C7E"/>
    <w:rsid w:val="003D3654"/>
    <w:rsid w:val="003D4170"/>
    <w:rsid w:val="003D43C1"/>
    <w:rsid w:val="003D4E19"/>
    <w:rsid w:val="003D5120"/>
    <w:rsid w:val="003D623D"/>
    <w:rsid w:val="003D6D5F"/>
    <w:rsid w:val="003E1BEA"/>
    <w:rsid w:val="003E2E96"/>
    <w:rsid w:val="003E306C"/>
    <w:rsid w:val="003E58CA"/>
    <w:rsid w:val="003E6E2D"/>
    <w:rsid w:val="003F0FA0"/>
    <w:rsid w:val="003F1AE0"/>
    <w:rsid w:val="003F1CAC"/>
    <w:rsid w:val="003F3F24"/>
    <w:rsid w:val="003F5076"/>
    <w:rsid w:val="003F50A1"/>
    <w:rsid w:val="003F7B93"/>
    <w:rsid w:val="00400AD7"/>
    <w:rsid w:val="00401CA0"/>
    <w:rsid w:val="00401FD1"/>
    <w:rsid w:val="00402384"/>
    <w:rsid w:val="00402F75"/>
    <w:rsid w:val="00402FF1"/>
    <w:rsid w:val="00405E15"/>
    <w:rsid w:val="00405E4A"/>
    <w:rsid w:val="00406EC8"/>
    <w:rsid w:val="00411122"/>
    <w:rsid w:val="004122A6"/>
    <w:rsid w:val="00412F93"/>
    <w:rsid w:val="00415DDB"/>
    <w:rsid w:val="00416C02"/>
    <w:rsid w:val="00416D98"/>
    <w:rsid w:val="00423B81"/>
    <w:rsid w:val="00423CF5"/>
    <w:rsid w:val="00424CC5"/>
    <w:rsid w:val="00425487"/>
    <w:rsid w:val="004266BA"/>
    <w:rsid w:val="004308F1"/>
    <w:rsid w:val="00433B7C"/>
    <w:rsid w:val="00435971"/>
    <w:rsid w:val="00436ACA"/>
    <w:rsid w:val="00437689"/>
    <w:rsid w:val="00437D9A"/>
    <w:rsid w:val="00440154"/>
    <w:rsid w:val="0044103A"/>
    <w:rsid w:val="004416DA"/>
    <w:rsid w:val="004427B0"/>
    <w:rsid w:val="004435C6"/>
    <w:rsid w:val="0044434C"/>
    <w:rsid w:val="00446AC2"/>
    <w:rsid w:val="00447011"/>
    <w:rsid w:val="00447263"/>
    <w:rsid w:val="004473E1"/>
    <w:rsid w:val="00451186"/>
    <w:rsid w:val="0045294F"/>
    <w:rsid w:val="00452F8F"/>
    <w:rsid w:val="00453839"/>
    <w:rsid w:val="00454FC5"/>
    <w:rsid w:val="00455EE2"/>
    <w:rsid w:val="004569F8"/>
    <w:rsid w:val="004575C8"/>
    <w:rsid w:val="00460589"/>
    <w:rsid w:val="00460BAB"/>
    <w:rsid w:val="00461301"/>
    <w:rsid w:val="004617AA"/>
    <w:rsid w:val="00461E50"/>
    <w:rsid w:val="004621DA"/>
    <w:rsid w:val="004645A2"/>
    <w:rsid w:val="00464C76"/>
    <w:rsid w:val="00465B18"/>
    <w:rsid w:val="004662F9"/>
    <w:rsid w:val="00471B6B"/>
    <w:rsid w:val="00472FDC"/>
    <w:rsid w:val="0047477E"/>
    <w:rsid w:val="00476A6C"/>
    <w:rsid w:val="00481A84"/>
    <w:rsid w:val="00485C16"/>
    <w:rsid w:val="00493CF2"/>
    <w:rsid w:val="00494A9F"/>
    <w:rsid w:val="00495AA4"/>
    <w:rsid w:val="00497DB8"/>
    <w:rsid w:val="004A098C"/>
    <w:rsid w:val="004A0FF1"/>
    <w:rsid w:val="004A1230"/>
    <w:rsid w:val="004A1757"/>
    <w:rsid w:val="004A61E6"/>
    <w:rsid w:val="004A73CD"/>
    <w:rsid w:val="004A7744"/>
    <w:rsid w:val="004B1455"/>
    <w:rsid w:val="004B152A"/>
    <w:rsid w:val="004B1899"/>
    <w:rsid w:val="004B22D7"/>
    <w:rsid w:val="004B2626"/>
    <w:rsid w:val="004B4340"/>
    <w:rsid w:val="004B46E0"/>
    <w:rsid w:val="004C269A"/>
    <w:rsid w:val="004C26E2"/>
    <w:rsid w:val="004C69ED"/>
    <w:rsid w:val="004C7B4C"/>
    <w:rsid w:val="004D247C"/>
    <w:rsid w:val="004D2818"/>
    <w:rsid w:val="004D2BDF"/>
    <w:rsid w:val="004D3527"/>
    <w:rsid w:val="004D46E0"/>
    <w:rsid w:val="004D7275"/>
    <w:rsid w:val="004E0EEB"/>
    <w:rsid w:val="004E3054"/>
    <w:rsid w:val="004E4D4C"/>
    <w:rsid w:val="004E6C87"/>
    <w:rsid w:val="004E6EBB"/>
    <w:rsid w:val="004E726E"/>
    <w:rsid w:val="004F0079"/>
    <w:rsid w:val="004F16D1"/>
    <w:rsid w:val="004F273C"/>
    <w:rsid w:val="004F2945"/>
    <w:rsid w:val="004F2B35"/>
    <w:rsid w:val="004F3750"/>
    <w:rsid w:val="004F6CC7"/>
    <w:rsid w:val="004F7434"/>
    <w:rsid w:val="00501B7D"/>
    <w:rsid w:val="00501DE7"/>
    <w:rsid w:val="00501FDE"/>
    <w:rsid w:val="0050357A"/>
    <w:rsid w:val="00503E4A"/>
    <w:rsid w:val="0050792B"/>
    <w:rsid w:val="00507B58"/>
    <w:rsid w:val="00511260"/>
    <w:rsid w:val="00511E52"/>
    <w:rsid w:val="00511E83"/>
    <w:rsid w:val="00514112"/>
    <w:rsid w:val="00514B83"/>
    <w:rsid w:val="005168A8"/>
    <w:rsid w:val="005229FB"/>
    <w:rsid w:val="00524098"/>
    <w:rsid w:val="005244A5"/>
    <w:rsid w:val="00533D15"/>
    <w:rsid w:val="00535905"/>
    <w:rsid w:val="005409EB"/>
    <w:rsid w:val="00540A79"/>
    <w:rsid w:val="00541B28"/>
    <w:rsid w:val="00542759"/>
    <w:rsid w:val="005446D3"/>
    <w:rsid w:val="0055226F"/>
    <w:rsid w:val="0055434F"/>
    <w:rsid w:val="0055489C"/>
    <w:rsid w:val="00555AEC"/>
    <w:rsid w:val="00555CBC"/>
    <w:rsid w:val="00556091"/>
    <w:rsid w:val="00557465"/>
    <w:rsid w:val="00563468"/>
    <w:rsid w:val="005643BE"/>
    <w:rsid w:val="00565202"/>
    <w:rsid w:val="005653A0"/>
    <w:rsid w:val="005676E6"/>
    <w:rsid w:val="005708FD"/>
    <w:rsid w:val="00570BBF"/>
    <w:rsid w:val="00570EBE"/>
    <w:rsid w:val="00572031"/>
    <w:rsid w:val="00572D10"/>
    <w:rsid w:val="00573DC2"/>
    <w:rsid w:val="00575BA8"/>
    <w:rsid w:val="00580353"/>
    <w:rsid w:val="00580682"/>
    <w:rsid w:val="00580953"/>
    <w:rsid w:val="00583C23"/>
    <w:rsid w:val="0058424A"/>
    <w:rsid w:val="00586186"/>
    <w:rsid w:val="00587ADA"/>
    <w:rsid w:val="00590248"/>
    <w:rsid w:val="00591E19"/>
    <w:rsid w:val="0059294A"/>
    <w:rsid w:val="00595AF1"/>
    <w:rsid w:val="0059630D"/>
    <w:rsid w:val="00597E07"/>
    <w:rsid w:val="005A01EE"/>
    <w:rsid w:val="005A1113"/>
    <w:rsid w:val="005A1E9B"/>
    <w:rsid w:val="005A22DF"/>
    <w:rsid w:val="005A42B5"/>
    <w:rsid w:val="005A454A"/>
    <w:rsid w:val="005A4EA0"/>
    <w:rsid w:val="005A52B2"/>
    <w:rsid w:val="005A5F99"/>
    <w:rsid w:val="005A628F"/>
    <w:rsid w:val="005A640A"/>
    <w:rsid w:val="005A7A91"/>
    <w:rsid w:val="005B0D9A"/>
    <w:rsid w:val="005B1ACF"/>
    <w:rsid w:val="005B1F09"/>
    <w:rsid w:val="005B53ED"/>
    <w:rsid w:val="005C0629"/>
    <w:rsid w:val="005C1626"/>
    <w:rsid w:val="005C4621"/>
    <w:rsid w:val="005C7629"/>
    <w:rsid w:val="005D0209"/>
    <w:rsid w:val="005D22E7"/>
    <w:rsid w:val="005D2F45"/>
    <w:rsid w:val="005D35AB"/>
    <w:rsid w:val="005D3A1E"/>
    <w:rsid w:val="005D5544"/>
    <w:rsid w:val="005E1630"/>
    <w:rsid w:val="005E1AA0"/>
    <w:rsid w:val="005E357E"/>
    <w:rsid w:val="005E4AA2"/>
    <w:rsid w:val="005E624B"/>
    <w:rsid w:val="005E6325"/>
    <w:rsid w:val="005F122C"/>
    <w:rsid w:val="005F1C46"/>
    <w:rsid w:val="005F25BF"/>
    <w:rsid w:val="005F36D0"/>
    <w:rsid w:val="005F3A82"/>
    <w:rsid w:val="005F5C97"/>
    <w:rsid w:val="005F629B"/>
    <w:rsid w:val="00603055"/>
    <w:rsid w:val="0060584D"/>
    <w:rsid w:val="0060597A"/>
    <w:rsid w:val="0060623B"/>
    <w:rsid w:val="00606F25"/>
    <w:rsid w:val="00607D6B"/>
    <w:rsid w:val="0061092E"/>
    <w:rsid w:val="006113CE"/>
    <w:rsid w:val="00613105"/>
    <w:rsid w:val="00613179"/>
    <w:rsid w:val="006132AE"/>
    <w:rsid w:val="00613EAD"/>
    <w:rsid w:val="00615185"/>
    <w:rsid w:val="00617327"/>
    <w:rsid w:val="0061736A"/>
    <w:rsid w:val="006179AF"/>
    <w:rsid w:val="0062021D"/>
    <w:rsid w:val="00620418"/>
    <w:rsid w:val="0062426F"/>
    <w:rsid w:val="00626027"/>
    <w:rsid w:val="00627323"/>
    <w:rsid w:val="0062756C"/>
    <w:rsid w:val="00627FCB"/>
    <w:rsid w:val="0063239F"/>
    <w:rsid w:val="006328BE"/>
    <w:rsid w:val="00632C3B"/>
    <w:rsid w:val="0063581C"/>
    <w:rsid w:val="00636F35"/>
    <w:rsid w:val="00637209"/>
    <w:rsid w:val="00637A8D"/>
    <w:rsid w:val="00644B6C"/>
    <w:rsid w:val="006455FB"/>
    <w:rsid w:val="006462B3"/>
    <w:rsid w:val="0064793B"/>
    <w:rsid w:val="00651C48"/>
    <w:rsid w:val="00651F51"/>
    <w:rsid w:val="00652172"/>
    <w:rsid w:val="00653A1C"/>
    <w:rsid w:val="00655D99"/>
    <w:rsid w:val="006566BC"/>
    <w:rsid w:val="00657C35"/>
    <w:rsid w:val="006602CC"/>
    <w:rsid w:val="00661E03"/>
    <w:rsid w:val="00662384"/>
    <w:rsid w:val="00662A34"/>
    <w:rsid w:val="00662DF4"/>
    <w:rsid w:val="006640A7"/>
    <w:rsid w:val="00664787"/>
    <w:rsid w:val="0066566C"/>
    <w:rsid w:val="00666DEC"/>
    <w:rsid w:val="00667AE2"/>
    <w:rsid w:val="00671255"/>
    <w:rsid w:val="00671F34"/>
    <w:rsid w:val="006726BB"/>
    <w:rsid w:val="0067277A"/>
    <w:rsid w:val="006736A7"/>
    <w:rsid w:val="006764A7"/>
    <w:rsid w:val="00676713"/>
    <w:rsid w:val="0067694F"/>
    <w:rsid w:val="00682AA0"/>
    <w:rsid w:val="0068352C"/>
    <w:rsid w:val="00683B91"/>
    <w:rsid w:val="00687805"/>
    <w:rsid w:val="00690048"/>
    <w:rsid w:val="00690615"/>
    <w:rsid w:val="0069094A"/>
    <w:rsid w:val="00690C44"/>
    <w:rsid w:val="00690F87"/>
    <w:rsid w:val="00692346"/>
    <w:rsid w:val="0069276C"/>
    <w:rsid w:val="00693361"/>
    <w:rsid w:val="006936A0"/>
    <w:rsid w:val="0069426F"/>
    <w:rsid w:val="00694593"/>
    <w:rsid w:val="006947AD"/>
    <w:rsid w:val="00695C36"/>
    <w:rsid w:val="00696D2E"/>
    <w:rsid w:val="006971D0"/>
    <w:rsid w:val="006A175F"/>
    <w:rsid w:val="006A1799"/>
    <w:rsid w:val="006A282C"/>
    <w:rsid w:val="006A31F4"/>
    <w:rsid w:val="006A3CCA"/>
    <w:rsid w:val="006A4C4D"/>
    <w:rsid w:val="006A68BE"/>
    <w:rsid w:val="006B1092"/>
    <w:rsid w:val="006B25FC"/>
    <w:rsid w:val="006B343E"/>
    <w:rsid w:val="006B4F2C"/>
    <w:rsid w:val="006B51AD"/>
    <w:rsid w:val="006B5A4E"/>
    <w:rsid w:val="006B5B64"/>
    <w:rsid w:val="006B693D"/>
    <w:rsid w:val="006B7709"/>
    <w:rsid w:val="006C0F16"/>
    <w:rsid w:val="006C3145"/>
    <w:rsid w:val="006C4F8F"/>
    <w:rsid w:val="006C50DE"/>
    <w:rsid w:val="006D1792"/>
    <w:rsid w:val="006D2006"/>
    <w:rsid w:val="006D274F"/>
    <w:rsid w:val="006D3B92"/>
    <w:rsid w:val="006D7CCF"/>
    <w:rsid w:val="006E02AB"/>
    <w:rsid w:val="006E25F8"/>
    <w:rsid w:val="006E3F3F"/>
    <w:rsid w:val="006E763C"/>
    <w:rsid w:val="006F00AF"/>
    <w:rsid w:val="006F086D"/>
    <w:rsid w:val="006F0BE9"/>
    <w:rsid w:val="006F10EC"/>
    <w:rsid w:val="006F2862"/>
    <w:rsid w:val="006F4DEC"/>
    <w:rsid w:val="006F50EB"/>
    <w:rsid w:val="006F5925"/>
    <w:rsid w:val="006F5CBE"/>
    <w:rsid w:val="006F5CFF"/>
    <w:rsid w:val="006F5DDF"/>
    <w:rsid w:val="006F7667"/>
    <w:rsid w:val="006F76C4"/>
    <w:rsid w:val="006F7E4E"/>
    <w:rsid w:val="0070014A"/>
    <w:rsid w:val="00702455"/>
    <w:rsid w:val="0070344F"/>
    <w:rsid w:val="0070400C"/>
    <w:rsid w:val="00704282"/>
    <w:rsid w:val="00704A4F"/>
    <w:rsid w:val="00705186"/>
    <w:rsid w:val="007101DD"/>
    <w:rsid w:val="00715026"/>
    <w:rsid w:val="00720A6F"/>
    <w:rsid w:val="00722168"/>
    <w:rsid w:val="00722FA6"/>
    <w:rsid w:val="00724B97"/>
    <w:rsid w:val="0072633C"/>
    <w:rsid w:val="007279DB"/>
    <w:rsid w:val="0073129E"/>
    <w:rsid w:val="00731ACB"/>
    <w:rsid w:val="00733316"/>
    <w:rsid w:val="007339A6"/>
    <w:rsid w:val="007341BC"/>
    <w:rsid w:val="00734B92"/>
    <w:rsid w:val="007362B8"/>
    <w:rsid w:val="007373C6"/>
    <w:rsid w:val="00737811"/>
    <w:rsid w:val="0074240C"/>
    <w:rsid w:val="00742FDC"/>
    <w:rsid w:val="00744568"/>
    <w:rsid w:val="00744BD7"/>
    <w:rsid w:val="00745300"/>
    <w:rsid w:val="00745542"/>
    <w:rsid w:val="00746CAD"/>
    <w:rsid w:val="007473D0"/>
    <w:rsid w:val="007502BF"/>
    <w:rsid w:val="00750589"/>
    <w:rsid w:val="007528C3"/>
    <w:rsid w:val="0075441E"/>
    <w:rsid w:val="00756D36"/>
    <w:rsid w:val="00757795"/>
    <w:rsid w:val="00761A26"/>
    <w:rsid w:val="00761E2F"/>
    <w:rsid w:val="00765D93"/>
    <w:rsid w:val="00767794"/>
    <w:rsid w:val="007678CD"/>
    <w:rsid w:val="00770FED"/>
    <w:rsid w:val="00771AC7"/>
    <w:rsid w:val="0077268B"/>
    <w:rsid w:val="007778CA"/>
    <w:rsid w:val="0078194E"/>
    <w:rsid w:val="0079045D"/>
    <w:rsid w:val="00790874"/>
    <w:rsid w:val="00790A64"/>
    <w:rsid w:val="00790F96"/>
    <w:rsid w:val="0079156B"/>
    <w:rsid w:val="007915A4"/>
    <w:rsid w:val="00793652"/>
    <w:rsid w:val="007953FB"/>
    <w:rsid w:val="00795CB2"/>
    <w:rsid w:val="007A54DA"/>
    <w:rsid w:val="007A7835"/>
    <w:rsid w:val="007B06A2"/>
    <w:rsid w:val="007B08AA"/>
    <w:rsid w:val="007B3239"/>
    <w:rsid w:val="007B5C51"/>
    <w:rsid w:val="007B7253"/>
    <w:rsid w:val="007C29EF"/>
    <w:rsid w:val="007C37BC"/>
    <w:rsid w:val="007C4A76"/>
    <w:rsid w:val="007C4AAD"/>
    <w:rsid w:val="007C7E98"/>
    <w:rsid w:val="007D0773"/>
    <w:rsid w:val="007D0E60"/>
    <w:rsid w:val="007D17CF"/>
    <w:rsid w:val="007D29B9"/>
    <w:rsid w:val="007D47BE"/>
    <w:rsid w:val="007D5165"/>
    <w:rsid w:val="007D5322"/>
    <w:rsid w:val="007D5FAB"/>
    <w:rsid w:val="007D6280"/>
    <w:rsid w:val="007D65E0"/>
    <w:rsid w:val="007D71C4"/>
    <w:rsid w:val="007E31E3"/>
    <w:rsid w:val="007E5A72"/>
    <w:rsid w:val="007E5AAB"/>
    <w:rsid w:val="007F0973"/>
    <w:rsid w:val="007F231A"/>
    <w:rsid w:val="007F362E"/>
    <w:rsid w:val="007F3E6B"/>
    <w:rsid w:val="00803FCC"/>
    <w:rsid w:val="00810205"/>
    <w:rsid w:val="00810FC5"/>
    <w:rsid w:val="00811529"/>
    <w:rsid w:val="0081239F"/>
    <w:rsid w:val="00812457"/>
    <w:rsid w:val="008125B5"/>
    <w:rsid w:val="00813AA7"/>
    <w:rsid w:val="008156A8"/>
    <w:rsid w:val="00815BCE"/>
    <w:rsid w:val="00815E89"/>
    <w:rsid w:val="00817D8C"/>
    <w:rsid w:val="00817EBF"/>
    <w:rsid w:val="008200EC"/>
    <w:rsid w:val="008262D2"/>
    <w:rsid w:val="00827C80"/>
    <w:rsid w:val="00827EBD"/>
    <w:rsid w:val="0083220C"/>
    <w:rsid w:val="00836147"/>
    <w:rsid w:val="00837A69"/>
    <w:rsid w:val="00840E7F"/>
    <w:rsid w:val="008461A8"/>
    <w:rsid w:val="00846A1D"/>
    <w:rsid w:val="008473C1"/>
    <w:rsid w:val="00847BB3"/>
    <w:rsid w:val="00847F90"/>
    <w:rsid w:val="00850E89"/>
    <w:rsid w:val="008510BE"/>
    <w:rsid w:val="008529F7"/>
    <w:rsid w:val="0085612B"/>
    <w:rsid w:val="00857968"/>
    <w:rsid w:val="00857B14"/>
    <w:rsid w:val="00857BA6"/>
    <w:rsid w:val="0086165E"/>
    <w:rsid w:val="008616CA"/>
    <w:rsid w:val="00862331"/>
    <w:rsid w:val="008644D1"/>
    <w:rsid w:val="008648C3"/>
    <w:rsid w:val="00865A69"/>
    <w:rsid w:val="00865C23"/>
    <w:rsid w:val="00872932"/>
    <w:rsid w:val="00872EC0"/>
    <w:rsid w:val="008734AA"/>
    <w:rsid w:val="0087399A"/>
    <w:rsid w:val="00874F2E"/>
    <w:rsid w:val="00875435"/>
    <w:rsid w:val="0087709C"/>
    <w:rsid w:val="008779AE"/>
    <w:rsid w:val="00880007"/>
    <w:rsid w:val="0088048A"/>
    <w:rsid w:val="0088288D"/>
    <w:rsid w:val="00883E82"/>
    <w:rsid w:val="00884CDE"/>
    <w:rsid w:val="0088759F"/>
    <w:rsid w:val="008902C7"/>
    <w:rsid w:val="008935FC"/>
    <w:rsid w:val="00894BE2"/>
    <w:rsid w:val="00895933"/>
    <w:rsid w:val="00896483"/>
    <w:rsid w:val="00897299"/>
    <w:rsid w:val="008A16F7"/>
    <w:rsid w:val="008A2DF9"/>
    <w:rsid w:val="008A3FAE"/>
    <w:rsid w:val="008A48E7"/>
    <w:rsid w:val="008A553B"/>
    <w:rsid w:val="008A6504"/>
    <w:rsid w:val="008B0DAD"/>
    <w:rsid w:val="008B13CF"/>
    <w:rsid w:val="008B1BA9"/>
    <w:rsid w:val="008B1CF5"/>
    <w:rsid w:val="008B3932"/>
    <w:rsid w:val="008B3E88"/>
    <w:rsid w:val="008B4E4F"/>
    <w:rsid w:val="008B518A"/>
    <w:rsid w:val="008B550E"/>
    <w:rsid w:val="008C0879"/>
    <w:rsid w:val="008C3337"/>
    <w:rsid w:val="008C4E7D"/>
    <w:rsid w:val="008C4F9B"/>
    <w:rsid w:val="008D16E1"/>
    <w:rsid w:val="008D5633"/>
    <w:rsid w:val="008D5701"/>
    <w:rsid w:val="008D5ED4"/>
    <w:rsid w:val="008E1C6C"/>
    <w:rsid w:val="008E4194"/>
    <w:rsid w:val="008E4B0A"/>
    <w:rsid w:val="008E5245"/>
    <w:rsid w:val="008E55E6"/>
    <w:rsid w:val="008E59D4"/>
    <w:rsid w:val="008F5A4D"/>
    <w:rsid w:val="008F689F"/>
    <w:rsid w:val="008F7EB1"/>
    <w:rsid w:val="00901554"/>
    <w:rsid w:val="00903550"/>
    <w:rsid w:val="009052C0"/>
    <w:rsid w:val="00905FCD"/>
    <w:rsid w:val="009076B3"/>
    <w:rsid w:val="009100F2"/>
    <w:rsid w:val="00910294"/>
    <w:rsid w:val="00911A7B"/>
    <w:rsid w:val="00911DC6"/>
    <w:rsid w:val="00913084"/>
    <w:rsid w:val="00913461"/>
    <w:rsid w:val="009212B7"/>
    <w:rsid w:val="0092193A"/>
    <w:rsid w:val="00922161"/>
    <w:rsid w:val="009272F9"/>
    <w:rsid w:val="0093240F"/>
    <w:rsid w:val="0093272F"/>
    <w:rsid w:val="00934DCF"/>
    <w:rsid w:val="0093548A"/>
    <w:rsid w:val="00936DE0"/>
    <w:rsid w:val="00940D9A"/>
    <w:rsid w:val="00944CC8"/>
    <w:rsid w:val="0094566B"/>
    <w:rsid w:val="009462B3"/>
    <w:rsid w:val="00950DA8"/>
    <w:rsid w:val="00951B0F"/>
    <w:rsid w:val="0095265A"/>
    <w:rsid w:val="00952D32"/>
    <w:rsid w:val="00954B32"/>
    <w:rsid w:val="00954D3A"/>
    <w:rsid w:val="00955E03"/>
    <w:rsid w:val="00955FD7"/>
    <w:rsid w:val="009579A1"/>
    <w:rsid w:val="0096063F"/>
    <w:rsid w:val="00960892"/>
    <w:rsid w:val="009623B0"/>
    <w:rsid w:val="00966C04"/>
    <w:rsid w:val="00971510"/>
    <w:rsid w:val="009717D1"/>
    <w:rsid w:val="0097339F"/>
    <w:rsid w:val="00975B94"/>
    <w:rsid w:val="00980DBE"/>
    <w:rsid w:val="00981167"/>
    <w:rsid w:val="00981FF4"/>
    <w:rsid w:val="009825F3"/>
    <w:rsid w:val="00983437"/>
    <w:rsid w:val="009835D2"/>
    <w:rsid w:val="00983A10"/>
    <w:rsid w:val="00984AF6"/>
    <w:rsid w:val="00985130"/>
    <w:rsid w:val="00985D7C"/>
    <w:rsid w:val="0098627E"/>
    <w:rsid w:val="0099109D"/>
    <w:rsid w:val="00991899"/>
    <w:rsid w:val="00993435"/>
    <w:rsid w:val="009937B3"/>
    <w:rsid w:val="009941DE"/>
    <w:rsid w:val="0099471A"/>
    <w:rsid w:val="00994BF4"/>
    <w:rsid w:val="009950AE"/>
    <w:rsid w:val="009956FD"/>
    <w:rsid w:val="00996251"/>
    <w:rsid w:val="009964FF"/>
    <w:rsid w:val="0099651D"/>
    <w:rsid w:val="00996FB0"/>
    <w:rsid w:val="00997D86"/>
    <w:rsid w:val="009A291C"/>
    <w:rsid w:val="009A42FA"/>
    <w:rsid w:val="009A5E1A"/>
    <w:rsid w:val="009A612E"/>
    <w:rsid w:val="009A6B6B"/>
    <w:rsid w:val="009B00DE"/>
    <w:rsid w:val="009B1112"/>
    <w:rsid w:val="009B23C5"/>
    <w:rsid w:val="009B5B9E"/>
    <w:rsid w:val="009B6D70"/>
    <w:rsid w:val="009C329F"/>
    <w:rsid w:val="009C352D"/>
    <w:rsid w:val="009C3856"/>
    <w:rsid w:val="009C5704"/>
    <w:rsid w:val="009C5FD7"/>
    <w:rsid w:val="009D19F9"/>
    <w:rsid w:val="009D1A2A"/>
    <w:rsid w:val="009D37C3"/>
    <w:rsid w:val="009D3A96"/>
    <w:rsid w:val="009D4141"/>
    <w:rsid w:val="009D4546"/>
    <w:rsid w:val="009D4864"/>
    <w:rsid w:val="009D5E84"/>
    <w:rsid w:val="009D64B0"/>
    <w:rsid w:val="009D75D6"/>
    <w:rsid w:val="009D7725"/>
    <w:rsid w:val="009E0E88"/>
    <w:rsid w:val="009E2E7E"/>
    <w:rsid w:val="009E5AA4"/>
    <w:rsid w:val="009E7EAC"/>
    <w:rsid w:val="009F1604"/>
    <w:rsid w:val="009F39B0"/>
    <w:rsid w:val="009F73EF"/>
    <w:rsid w:val="009F762F"/>
    <w:rsid w:val="00A00486"/>
    <w:rsid w:val="00A0152F"/>
    <w:rsid w:val="00A01A1F"/>
    <w:rsid w:val="00A057FA"/>
    <w:rsid w:val="00A068EE"/>
    <w:rsid w:val="00A11558"/>
    <w:rsid w:val="00A12882"/>
    <w:rsid w:val="00A138FA"/>
    <w:rsid w:val="00A14700"/>
    <w:rsid w:val="00A16D76"/>
    <w:rsid w:val="00A1703B"/>
    <w:rsid w:val="00A235F1"/>
    <w:rsid w:val="00A2472B"/>
    <w:rsid w:val="00A252F3"/>
    <w:rsid w:val="00A27366"/>
    <w:rsid w:val="00A27C00"/>
    <w:rsid w:val="00A3143C"/>
    <w:rsid w:val="00A34E0B"/>
    <w:rsid w:val="00A35AFF"/>
    <w:rsid w:val="00A36DA5"/>
    <w:rsid w:val="00A4033A"/>
    <w:rsid w:val="00A40A71"/>
    <w:rsid w:val="00A420E3"/>
    <w:rsid w:val="00A42225"/>
    <w:rsid w:val="00A43318"/>
    <w:rsid w:val="00A43409"/>
    <w:rsid w:val="00A442E6"/>
    <w:rsid w:val="00A47DB7"/>
    <w:rsid w:val="00A51DB1"/>
    <w:rsid w:val="00A527DD"/>
    <w:rsid w:val="00A5281A"/>
    <w:rsid w:val="00A5582D"/>
    <w:rsid w:val="00A60DE5"/>
    <w:rsid w:val="00A6311E"/>
    <w:rsid w:val="00A63653"/>
    <w:rsid w:val="00A66F83"/>
    <w:rsid w:val="00A712FF"/>
    <w:rsid w:val="00A713CF"/>
    <w:rsid w:val="00A71817"/>
    <w:rsid w:val="00A7335B"/>
    <w:rsid w:val="00A733CC"/>
    <w:rsid w:val="00A73490"/>
    <w:rsid w:val="00A747E2"/>
    <w:rsid w:val="00A74E40"/>
    <w:rsid w:val="00A74E51"/>
    <w:rsid w:val="00A76D1A"/>
    <w:rsid w:val="00A7709A"/>
    <w:rsid w:val="00A7755B"/>
    <w:rsid w:val="00A878D5"/>
    <w:rsid w:val="00A91682"/>
    <w:rsid w:val="00A9171A"/>
    <w:rsid w:val="00A9193C"/>
    <w:rsid w:val="00A93A6B"/>
    <w:rsid w:val="00A945A2"/>
    <w:rsid w:val="00A9656C"/>
    <w:rsid w:val="00A9730E"/>
    <w:rsid w:val="00A97921"/>
    <w:rsid w:val="00A97AAD"/>
    <w:rsid w:val="00AA182D"/>
    <w:rsid w:val="00AA5355"/>
    <w:rsid w:val="00AA68F2"/>
    <w:rsid w:val="00AA7D73"/>
    <w:rsid w:val="00AB1148"/>
    <w:rsid w:val="00AB1504"/>
    <w:rsid w:val="00AB560A"/>
    <w:rsid w:val="00AB7175"/>
    <w:rsid w:val="00AB7C19"/>
    <w:rsid w:val="00AC1D44"/>
    <w:rsid w:val="00AC295C"/>
    <w:rsid w:val="00AC40A1"/>
    <w:rsid w:val="00AC4CF5"/>
    <w:rsid w:val="00AC58AE"/>
    <w:rsid w:val="00AC6133"/>
    <w:rsid w:val="00AD0885"/>
    <w:rsid w:val="00AD21C9"/>
    <w:rsid w:val="00AD541F"/>
    <w:rsid w:val="00AD6547"/>
    <w:rsid w:val="00AD6709"/>
    <w:rsid w:val="00AD7256"/>
    <w:rsid w:val="00AE1B90"/>
    <w:rsid w:val="00AE1BF2"/>
    <w:rsid w:val="00AE1BF3"/>
    <w:rsid w:val="00AE3B45"/>
    <w:rsid w:val="00AE3F01"/>
    <w:rsid w:val="00AE55BE"/>
    <w:rsid w:val="00AE6C15"/>
    <w:rsid w:val="00AE7A3D"/>
    <w:rsid w:val="00AF0285"/>
    <w:rsid w:val="00AF2602"/>
    <w:rsid w:val="00AF3088"/>
    <w:rsid w:val="00AF41AD"/>
    <w:rsid w:val="00AF4F70"/>
    <w:rsid w:val="00AF4F8A"/>
    <w:rsid w:val="00AF618B"/>
    <w:rsid w:val="00B01F2C"/>
    <w:rsid w:val="00B03750"/>
    <w:rsid w:val="00B039BD"/>
    <w:rsid w:val="00B04DF7"/>
    <w:rsid w:val="00B05103"/>
    <w:rsid w:val="00B1026E"/>
    <w:rsid w:val="00B114F6"/>
    <w:rsid w:val="00B1172F"/>
    <w:rsid w:val="00B11A5B"/>
    <w:rsid w:val="00B11AB0"/>
    <w:rsid w:val="00B1242B"/>
    <w:rsid w:val="00B1379E"/>
    <w:rsid w:val="00B14E86"/>
    <w:rsid w:val="00B153B3"/>
    <w:rsid w:val="00B15936"/>
    <w:rsid w:val="00B16BB7"/>
    <w:rsid w:val="00B16F35"/>
    <w:rsid w:val="00B2105D"/>
    <w:rsid w:val="00B2232E"/>
    <w:rsid w:val="00B22502"/>
    <w:rsid w:val="00B244DC"/>
    <w:rsid w:val="00B2634B"/>
    <w:rsid w:val="00B27295"/>
    <w:rsid w:val="00B3051A"/>
    <w:rsid w:val="00B310EB"/>
    <w:rsid w:val="00B32759"/>
    <w:rsid w:val="00B36A75"/>
    <w:rsid w:val="00B426B0"/>
    <w:rsid w:val="00B42ED0"/>
    <w:rsid w:val="00B43154"/>
    <w:rsid w:val="00B434B2"/>
    <w:rsid w:val="00B453BD"/>
    <w:rsid w:val="00B45B0A"/>
    <w:rsid w:val="00B468AC"/>
    <w:rsid w:val="00B47D3B"/>
    <w:rsid w:val="00B50190"/>
    <w:rsid w:val="00B50B25"/>
    <w:rsid w:val="00B5120A"/>
    <w:rsid w:val="00B51D23"/>
    <w:rsid w:val="00B52E9E"/>
    <w:rsid w:val="00B546BE"/>
    <w:rsid w:val="00B56B88"/>
    <w:rsid w:val="00B60282"/>
    <w:rsid w:val="00B67BF7"/>
    <w:rsid w:val="00B67D6D"/>
    <w:rsid w:val="00B70812"/>
    <w:rsid w:val="00B70D6D"/>
    <w:rsid w:val="00B71BB8"/>
    <w:rsid w:val="00B71DDC"/>
    <w:rsid w:val="00B745A7"/>
    <w:rsid w:val="00B80004"/>
    <w:rsid w:val="00B800F3"/>
    <w:rsid w:val="00B80ED7"/>
    <w:rsid w:val="00B84A62"/>
    <w:rsid w:val="00B8760D"/>
    <w:rsid w:val="00B91CE9"/>
    <w:rsid w:val="00B92DF1"/>
    <w:rsid w:val="00B94D6B"/>
    <w:rsid w:val="00B95290"/>
    <w:rsid w:val="00B95E4A"/>
    <w:rsid w:val="00B979D2"/>
    <w:rsid w:val="00BA0992"/>
    <w:rsid w:val="00BA0ED1"/>
    <w:rsid w:val="00BA1857"/>
    <w:rsid w:val="00BA2E63"/>
    <w:rsid w:val="00BA499A"/>
    <w:rsid w:val="00BA4EEA"/>
    <w:rsid w:val="00BA5C9C"/>
    <w:rsid w:val="00BA6D14"/>
    <w:rsid w:val="00BB26C6"/>
    <w:rsid w:val="00BB3169"/>
    <w:rsid w:val="00BB45B5"/>
    <w:rsid w:val="00BB549C"/>
    <w:rsid w:val="00BB5963"/>
    <w:rsid w:val="00BB6042"/>
    <w:rsid w:val="00BB6ACC"/>
    <w:rsid w:val="00BB7739"/>
    <w:rsid w:val="00BC1AF4"/>
    <w:rsid w:val="00BC5581"/>
    <w:rsid w:val="00BC6F23"/>
    <w:rsid w:val="00BC7213"/>
    <w:rsid w:val="00BC7254"/>
    <w:rsid w:val="00BD1B68"/>
    <w:rsid w:val="00BD1FF4"/>
    <w:rsid w:val="00BD2DD6"/>
    <w:rsid w:val="00BD4BBA"/>
    <w:rsid w:val="00BD568C"/>
    <w:rsid w:val="00BD6573"/>
    <w:rsid w:val="00BE03CE"/>
    <w:rsid w:val="00BE1002"/>
    <w:rsid w:val="00BE2389"/>
    <w:rsid w:val="00BE3121"/>
    <w:rsid w:val="00BE3AF9"/>
    <w:rsid w:val="00BE59AE"/>
    <w:rsid w:val="00BE6C19"/>
    <w:rsid w:val="00BE7DDB"/>
    <w:rsid w:val="00BF120D"/>
    <w:rsid w:val="00BF143E"/>
    <w:rsid w:val="00BF2CB6"/>
    <w:rsid w:val="00BF3002"/>
    <w:rsid w:val="00BF4052"/>
    <w:rsid w:val="00BF5B0C"/>
    <w:rsid w:val="00BF6BD6"/>
    <w:rsid w:val="00C013FD"/>
    <w:rsid w:val="00C016BB"/>
    <w:rsid w:val="00C0368A"/>
    <w:rsid w:val="00C053DA"/>
    <w:rsid w:val="00C06A13"/>
    <w:rsid w:val="00C07C6E"/>
    <w:rsid w:val="00C105C6"/>
    <w:rsid w:val="00C12D01"/>
    <w:rsid w:val="00C1324D"/>
    <w:rsid w:val="00C1351D"/>
    <w:rsid w:val="00C174DB"/>
    <w:rsid w:val="00C176A5"/>
    <w:rsid w:val="00C21FA1"/>
    <w:rsid w:val="00C22796"/>
    <w:rsid w:val="00C2599E"/>
    <w:rsid w:val="00C25BDE"/>
    <w:rsid w:val="00C25DA0"/>
    <w:rsid w:val="00C25EC5"/>
    <w:rsid w:val="00C27097"/>
    <w:rsid w:val="00C304A0"/>
    <w:rsid w:val="00C332E1"/>
    <w:rsid w:val="00C335C9"/>
    <w:rsid w:val="00C347E5"/>
    <w:rsid w:val="00C35D66"/>
    <w:rsid w:val="00C410AC"/>
    <w:rsid w:val="00C45504"/>
    <w:rsid w:val="00C50844"/>
    <w:rsid w:val="00C5090A"/>
    <w:rsid w:val="00C50FC2"/>
    <w:rsid w:val="00C5157E"/>
    <w:rsid w:val="00C51FC0"/>
    <w:rsid w:val="00C5335A"/>
    <w:rsid w:val="00C53B3D"/>
    <w:rsid w:val="00C54BCA"/>
    <w:rsid w:val="00C54F64"/>
    <w:rsid w:val="00C5571B"/>
    <w:rsid w:val="00C56324"/>
    <w:rsid w:val="00C56368"/>
    <w:rsid w:val="00C5697A"/>
    <w:rsid w:val="00C60675"/>
    <w:rsid w:val="00C60B7C"/>
    <w:rsid w:val="00C61593"/>
    <w:rsid w:val="00C64555"/>
    <w:rsid w:val="00C65643"/>
    <w:rsid w:val="00C7089B"/>
    <w:rsid w:val="00C75EAF"/>
    <w:rsid w:val="00C76BF0"/>
    <w:rsid w:val="00C808C4"/>
    <w:rsid w:val="00C81760"/>
    <w:rsid w:val="00C81B13"/>
    <w:rsid w:val="00C8218A"/>
    <w:rsid w:val="00C83150"/>
    <w:rsid w:val="00C845A4"/>
    <w:rsid w:val="00C84F04"/>
    <w:rsid w:val="00C85BCF"/>
    <w:rsid w:val="00C86A20"/>
    <w:rsid w:val="00C8770F"/>
    <w:rsid w:val="00C87A45"/>
    <w:rsid w:val="00C90D69"/>
    <w:rsid w:val="00C92077"/>
    <w:rsid w:val="00C927CA"/>
    <w:rsid w:val="00C92C18"/>
    <w:rsid w:val="00C94DF7"/>
    <w:rsid w:val="00C97231"/>
    <w:rsid w:val="00C9725C"/>
    <w:rsid w:val="00CA095D"/>
    <w:rsid w:val="00CA1E26"/>
    <w:rsid w:val="00CA25C0"/>
    <w:rsid w:val="00CA3BD4"/>
    <w:rsid w:val="00CA4870"/>
    <w:rsid w:val="00CA4EBC"/>
    <w:rsid w:val="00CA5365"/>
    <w:rsid w:val="00CA589F"/>
    <w:rsid w:val="00CA7A4B"/>
    <w:rsid w:val="00CB1265"/>
    <w:rsid w:val="00CB13AE"/>
    <w:rsid w:val="00CB1594"/>
    <w:rsid w:val="00CB3F46"/>
    <w:rsid w:val="00CB3F53"/>
    <w:rsid w:val="00CB631C"/>
    <w:rsid w:val="00CC13EE"/>
    <w:rsid w:val="00CC2927"/>
    <w:rsid w:val="00CC3D8B"/>
    <w:rsid w:val="00CC3FA9"/>
    <w:rsid w:val="00CC4BCC"/>
    <w:rsid w:val="00CC507B"/>
    <w:rsid w:val="00CC6845"/>
    <w:rsid w:val="00CC6B7C"/>
    <w:rsid w:val="00CC78D1"/>
    <w:rsid w:val="00CC7B69"/>
    <w:rsid w:val="00CC7F23"/>
    <w:rsid w:val="00CD0782"/>
    <w:rsid w:val="00CD1A9F"/>
    <w:rsid w:val="00CD275D"/>
    <w:rsid w:val="00CD28FF"/>
    <w:rsid w:val="00CD2EB2"/>
    <w:rsid w:val="00CD3F83"/>
    <w:rsid w:val="00CD73E1"/>
    <w:rsid w:val="00CE06B3"/>
    <w:rsid w:val="00CE0EE0"/>
    <w:rsid w:val="00CE58A1"/>
    <w:rsid w:val="00CF007C"/>
    <w:rsid w:val="00CF1673"/>
    <w:rsid w:val="00CF1E5E"/>
    <w:rsid w:val="00CF2B99"/>
    <w:rsid w:val="00CF5906"/>
    <w:rsid w:val="00D03B13"/>
    <w:rsid w:val="00D03B51"/>
    <w:rsid w:val="00D04033"/>
    <w:rsid w:val="00D04836"/>
    <w:rsid w:val="00D05F73"/>
    <w:rsid w:val="00D06C3E"/>
    <w:rsid w:val="00D07020"/>
    <w:rsid w:val="00D07507"/>
    <w:rsid w:val="00D0766E"/>
    <w:rsid w:val="00D07EAC"/>
    <w:rsid w:val="00D1522E"/>
    <w:rsid w:val="00D15414"/>
    <w:rsid w:val="00D16C6D"/>
    <w:rsid w:val="00D16C79"/>
    <w:rsid w:val="00D16DD7"/>
    <w:rsid w:val="00D210DB"/>
    <w:rsid w:val="00D2276C"/>
    <w:rsid w:val="00D22867"/>
    <w:rsid w:val="00D2657A"/>
    <w:rsid w:val="00D270DC"/>
    <w:rsid w:val="00D3040B"/>
    <w:rsid w:val="00D3132F"/>
    <w:rsid w:val="00D31FA7"/>
    <w:rsid w:val="00D32095"/>
    <w:rsid w:val="00D32B7F"/>
    <w:rsid w:val="00D33FAA"/>
    <w:rsid w:val="00D345D7"/>
    <w:rsid w:val="00D34D33"/>
    <w:rsid w:val="00D37AB0"/>
    <w:rsid w:val="00D40C38"/>
    <w:rsid w:val="00D42D52"/>
    <w:rsid w:val="00D446F0"/>
    <w:rsid w:val="00D47C1E"/>
    <w:rsid w:val="00D5087A"/>
    <w:rsid w:val="00D511B9"/>
    <w:rsid w:val="00D5255C"/>
    <w:rsid w:val="00D52F47"/>
    <w:rsid w:val="00D53072"/>
    <w:rsid w:val="00D53C18"/>
    <w:rsid w:val="00D544D8"/>
    <w:rsid w:val="00D54C22"/>
    <w:rsid w:val="00D5701A"/>
    <w:rsid w:val="00D60657"/>
    <w:rsid w:val="00D6092B"/>
    <w:rsid w:val="00D612B5"/>
    <w:rsid w:val="00D63019"/>
    <w:rsid w:val="00D63085"/>
    <w:rsid w:val="00D63A00"/>
    <w:rsid w:val="00D657A6"/>
    <w:rsid w:val="00D65967"/>
    <w:rsid w:val="00D707F0"/>
    <w:rsid w:val="00D7254A"/>
    <w:rsid w:val="00D748A1"/>
    <w:rsid w:val="00D75461"/>
    <w:rsid w:val="00D75ED6"/>
    <w:rsid w:val="00D76040"/>
    <w:rsid w:val="00D762D3"/>
    <w:rsid w:val="00D779A7"/>
    <w:rsid w:val="00D77A79"/>
    <w:rsid w:val="00D81ED8"/>
    <w:rsid w:val="00D82EAB"/>
    <w:rsid w:val="00D84157"/>
    <w:rsid w:val="00D86C50"/>
    <w:rsid w:val="00D86D39"/>
    <w:rsid w:val="00D91C72"/>
    <w:rsid w:val="00D92A55"/>
    <w:rsid w:val="00D92C88"/>
    <w:rsid w:val="00D93211"/>
    <w:rsid w:val="00D93546"/>
    <w:rsid w:val="00D9540A"/>
    <w:rsid w:val="00D96242"/>
    <w:rsid w:val="00D9657D"/>
    <w:rsid w:val="00D96EAA"/>
    <w:rsid w:val="00DA1436"/>
    <w:rsid w:val="00DA2861"/>
    <w:rsid w:val="00DA49F5"/>
    <w:rsid w:val="00DA504C"/>
    <w:rsid w:val="00DA7C63"/>
    <w:rsid w:val="00DB29B5"/>
    <w:rsid w:val="00DB2F6D"/>
    <w:rsid w:val="00DB5183"/>
    <w:rsid w:val="00DB5432"/>
    <w:rsid w:val="00DC3A34"/>
    <w:rsid w:val="00DC3FE5"/>
    <w:rsid w:val="00DC4E08"/>
    <w:rsid w:val="00DC5358"/>
    <w:rsid w:val="00DC57E8"/>
    <w:rsid w:val="00DC5C28"/>
    <w:rsid w:val="00DC75CC"/>
    <w:rsid w:val="00DC7904"/>
    <w:rsid w:val="00DD0329"/>
    <w:rsid w:val="00DD0D61"/>
    <w:rsid w:val="00DD11F4"/>
    <w:rsid w:val="00DD1CF6"/>
    <w:rsid w:val="00DD2C46"/>
    <w:rsid w:val="00DD31DC"/>
    <w:rsid w:val="00DD59D8"/>
    <w:rsid w:val="00DD65C6"/>
    <w:rsid w:val="00DD6E4B"/>
    <w:rsid w:val="00DE03C0"/>
    <w:rsid w:val="00DE1F69"/>
    <w:rsid w:val="00DE2253"/>
    <w:rsid w:val="00DE2B51"/>
    <w:rsid w:val="00DE3867"/>
    <w:rsid w:val="00DE3A4E"/>
    <w:rsid w:val="00DE6301"/>
    <w:rsid w:val="00DF0C1E"/>
    <w:rsid w:val="00DF0CD8"/>
    <w:rsid w:val="00DF3584"/>
    <w:rsid w:val="00DF4B94"/>
    <w:rsid w:val="00DF52BC"/>
    <w:rsid w:val="00DF69BB"/>
    <w:rsid w:val="00DF73CA"/>
    <w:rsid w:val="00E01A36"/>
    <w:rsid w:val="00E01EC1"/>
    <w:rsid w:val="00E06E09"/>
    <w:rsid w:val="00E100AF"/>
    <w:rsid w:val="00E119DE"/>
    <w:rsid w:val="00E11D7C"/>
    <w:rsid w:val="00E12D15"/>
    <w:rsid w:val="00E1698E"/>
    <w:rsid w:val="00E17239"/>
    <w:rsid w:val="00E20B08"/>
    <w:rsid w:val="00E21E3F"/>
    <w:rsid w:val="00E24857"/>
    <w:rsid w:val="00E24869"/>
    <w:rsid w:val="00E24DDD"/>
    <w:rsid w:val="00E24FA7"/>
    <w:rsid w:val="00E268A5"/>
    <w:rsid w:val="00E2714F"/>
    <w:rsid w:val="00E3213B"/>
    <w:rsid w:val="00E35F84"/>
    <w:rsid w:val="00E3763F"/>
    <w:rsid w:val="00E37CEB"/>
    <w:rsid w:val="00E41424"/>
    <w:rsid w:val="00E4356A"/>
    <w:rsid w:val="00E43B48"/>
    <w:rsid w:val="00E506C6"/>
    <w:rsid w:val="00E513B2"/>
    <w:rsid w:val="00E54354"/>
    <w:rsid w:val="00E55132"/>
    <w:rsid w:val="00E55B4E"/>
    <w:rsid w:val="00E561F8"/>
    <w:rsid w:val="00E616A0"/>
    <w:rsid w:val="00E63121"/>
    <w:rsid w:val="00E639B8"/>
    <w:rsid w:val="00E70A15"/>
    <w:rsid w:val="00E70D3E"/>
    <w:rsid w:val="00E73A6D"/>
    <w:rsid w:val="00E767B1"/>
    <w:rsid w:val="00E77387"/>
    <w:rsid w:val="00E81101"/>
    <w:rsid w:val="00E81A7E"/>
    <w:rsid w:val="00E82001"/>
    <w:rsid w:val="00E83359"/>
    <w:rsid w:val="00E8426C"/>
    <w:rsid w:val="00E85963"/>
    <w:rsid w:val="00E8684A"/>
    <w:rsid w:val="00E90370"/>
    <w:rsid w:val="00E92428"/>
    <w:rsid w:val="00E93177"/>
    <w:rsid w:val="00E94786"/>
    <w:rsid w:val="00E9511B"/>
    <w:rsid w:val="00E95A28"/>
    <w:rsid w:val="00E96312"/>
    <w:rsid w:val="00E9697B"/>
    <w:rsid w:val="00EA12B6"/>
    <w:rsid w:val="00EA16EB"/>
    <w:rsid w:val="00EA2C7A"/>
    <w:rsid w:val="00EA3BFF"/>
    <w:rsid w:val="00EA4DFE"/>
    <w:rsid w:val="00EB1821"/>
    <w:rsid w:val="00EB1A21"/>
    <w:rsid w:val="00EB379F"/>
    <w:rsid w:val="00EB56F7"/>
    <w:rsid w:val="00EB5714"/>
    <w:rsid w:val="00EB7BE0"/>
    <w:rsid w:val="00EB7CD6"/>
    <w:rsid w:val="00EC2101"/>
    <w:rsid w:val="00EC3AC7"/>
    <w:rsid w:val="00EC5FBC"/>
    <w:rsid w:val="00EC6757"/>
    <w:rsid w:val="00EC69EE"/>
    <w:rsid w:val="00EC6AE2"/>
    <w:rsid w:val="00ED13BA"/>
    <w:rsid w:val="00ED1BB0"/>
    <w:rsid w:val="00ED1BFB"/>
    <w:rsid w:val="00ED215E"/>
    <w:rsid w:val="00ED711A"/>
    <w:rsid w:val="00ED764C"/>
    <w:rsid w:val="00EE0475"/>
    <w:rsid w:val="00EE2EFE"/>
    <w:rsid w:val="00EE4E7A"/>
    <w:rsid w:val="00EE5B8A"/>
    <w:rsid w:val="00EE643C"/>
    <w:rsid w:val="00EE6C65"/>
    <w:rsid w:val="00EE6CFA"/>
    <w:rsid w:val="00EE75CA"/>
    <w:rsid w:val="00EE761E"/>
    <w:rsid w:val="00EF2ACC"/>
    <w:rsid w:val="00F02487"/>
    <w:rsid w:val="00F05E18"/>
    <w:rsid w:val="00F105BF"/>
    <w:rsid w:val="00F12EA6"/>
    <w:rsid w:val="00F13A51"/>
    <w:rsid w:val="00F14512"/>
    <w:rsid w:val="00F15BF6"/>
    <w:rsid w:val="00F21B38"/>
    <w:rsid w:val="00F229FE"/>
    <w:rsid w:val="00F2598D"/>
    <w:rsid w:val="00F261C2"/>
    <w:rsid w:val="00F26227"/>
    <w:rsid w:val="00F265C7"/>
    <w:rsid w:val="00F26A5C"/>
    <w:rsid w:val="00F26BF3"/>
    <w:rsid w:val="00F27E47"/>
    <w:rsid w:val="00F30437"/>
    <w:rsid w:val="00F30C2F"/>
    <w:rsid w:val="00F32DB8"/>
    <w:rsid w:val="00F355FE"/>
    <w:rsid w:val="00F42613"/>
    <w:rsid w:val="00F45540"/>
    <w:rsid w:val="00F4598E"/>
    <w:rsid w:val="00F469BC"/>
    <w:rsid w:val="00F503D2"/>
    <w:rsid w:val="00F50DAB"/>
    <w:rsid w:val="00F56AA7"/>
    <w:rsid w:val="00F60635"/>
    <w:rsid w:val="00F62DC4"/>
    <w:rsid w:val="00F6572F"/>
    <w:rsid w:val="00F66285"/>
    <w:rsid w:val="00F71C45"/>
    <w:rsid w:val="00F72478"/>
    <w:rsid w:val="00F736C9"/>
    <w:rsid w:val="00F743AA"/>
    <w:rsid w:val="00F75B23"/>
    <w:rsid w:val="00F76E1C"/>
    <w:rsid w:val="00F81517"/>
    <w:rsid w:val="00F81B49"/>
    <w:rsid w:val="00F82B18"/>
    <w:rsid w:val="00F830AA"/>
    <w:rsid w:val="00F8398F"/>
    <w:rsid w:val="00F83A77"/>
    <w:rsid w:val="00F83E28"/>
    <w:rsid w:val="00F83E3F"/>
    <w:rsid w:val="00F83EA4"/>
    <w:rsid w:val="00F856FF"/>
    <w:rsid w:val="00F85FAC"/>
    <w:rsid w:val="00F86463"/>
    <w:rsid w:val="00F86DD5"/>
    <w:rsid w:val="00F90149"/>
    <w:rsid w:val="00F91795"/>
    <w:rsid w:val="00F93BAF"/>
    <w:rsid w:val="00F94CB3"/>
    <w:rsid w:val="00F965E1"/>
    <w:rsid w:val="00F9679C"/>
    <w:rsid w:val="00FA2078"/>
    <w:rsid w:val="00FA27DC"/>
    <w:rsid w:val="00FA359F"/>
    <w:rsid w:val="00FA367A"/>
    <w:rsid w:val="00FA4758"/>
    <w:rsid w:val="00FB1F90"/>
    <w:rsid w:val="00FB3DBC"/>
    <w:rsid w:val="00FB5B45"/>
    <w:rsid w:val="00FB65EF"/>
    <w:rsid w:val="00FB76B8"/>
    <w:rsid w:val="00FC1C86"/>
    <w:rsid w:val="00FC21D8"/>
    <w:rsid w:val="00FC43C4"/>
    <w:rsid w:val="00FC5F83"/>
    <w:rsid w:val="00FC624C"/>
    <w:rsid w:val="00FC76CA"/>
    <w:rsid w:val="00FD0BF4"/>
    <w:rsid w:val="00FD1519"/>
    <w:rsid w:val="00FD1DC5"/>
    <w:rsid w:val="00FD2229"/>
    <w:rsid w:val="00FD2DBE"/>
    <w:rsid w:val="00FD34CC"/>
    <w:rsid w:val="00FD3E35"/>
    <w:rsid w:val="00FD44D7"/>
    <w:rsid w:val="00FD4BFA"/>
    <w:rsid w:val="00FD6AF7"/>
    <w:rsid w:val="00FD773D"/>
    <w:rsid w:val="00FE38EA"/>
    <w:rsid w:val="00FE3F78"/>
    <w:rsid w:val="00FE4125"/>
    <w:rsid w:val="00FE4A19"/>
    <w:rsid w:val="00FE5DC5"/>
    <w:rsid w:val="00FF26D1"/>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433">
      <w:bodyDiv w:val="1"/>
      <w:marLeft w:val="0"/>
      <w:marRight w:val="0"/>
      <w:marTop w:val="0"/>
      <w:marBottom w:val="0"/>
      <w:divBdr>
        <w:top w:val="none" w:sz="0" w:space="0" w:color="auto"/>
        <w:left w:val="none" w:sz="0" w:space="0" w:color="auto"/>
        <w:bottom w:val="none" w:sz="0" w:space="0" w:color="auto"/>
        <w:right w:val="none" w:sz="0" w:space="0" w:color="auto"/>
      </w:divBdr>
    </w:div>
    <w:div w:id="99374114">
      <w:bodyDiv w:val="1"/>
      <w:marLeft w:val="0"/>
      <w:marRight w:val="0"/>
      <w:marTop w:val="0"/>
      <w:marBottom w:val="0"/>
      <w:divBdr>
        <w:top w:val="none" w:sz="0" w:space="0" w:color="auto"/>
        <w:left w:val="none" w:sz="0" w:space="0" w:color="auto"/>
        <w:bottom w:val="none" w:sz="0" w:space="0" w:color="auto"/>
        <w:right w:val="none" w:sz="0" w:space="0" w:color="auto"/>
      </w:divBdr>
    </w:div>
    <w:div w:id="274286986">
      <w:bodyDiv w:val="1"/>
      <w:marLeft w:val="0"/>
      <w:marRight w:val="0"/>
      <w:marTop w:val="0"/>
      <w:marBottom w:val="0"/>
      <w:divBdr>
        <w:top w:val="none" w:sz="0" w:space="0" w:color="auto"/>
        <w:left w:val="none" w:sz="0" w:space="0" w:color="auto"/>
        <w:bottom w:val="none" w:sz="0" w:space="0" w:color="auto"/>
        <w:right w:val="none" w:sz="0" w:space="0" w:color="auto"/>
      </w:divBdr>
    </w:div>
    <w:div w:id="432167280">
      <w:bodyDiv w:val="1"/>
      <w:marLeft w:val="0"/>
      <w:marRight w:val="0"/>
      <w:marTop w:val="0"/>
      <w:marBottom w:val="0"/>
      <w:divBdr>
        <w:top w:val="none" w:sz="0" w:space="0" w:color="auto"/>
        <w:left w:val="none" w:sz="0" w:space="0" w:color="auto"/>
        <w:bottom w:val="none" w:sz="0" w:space="0" w:color="auto"/>
        <w:right w:val="none" w:sz="0" w:space="0" w:color="auto"/>
      </w:divBdr>
    </w:div>
    <w:div w:id="579216352">
      <w:bodyDiv w:val="1"/>
      <w:marLeft w:val="0"/>
      <w:marRight w:val="0"/>
      <w:marTop w:val="0"/>
      <w:marBottom w:val="0"/>
      <w:divBdr>
        <w:top w:val="none" w:sz="0" w:space="0" w:color="auto"/>
        <w:left w:val="none" w:sz="0" w:space="0" w:color="auto"/>
        <w:bottom w:val="none" w:sz="0" w:space="0" w:color="auto"/>
        <w:right w:val="none" w:sz="0" w:space="0" w:color="auto"/>
      </w:divBdr>
    </w:div>
    <w:div w:id="676886865">
      <w:bodyDiv w:val="1"/>
      <w:marLeft w:val="0"/>
      <w:marRight w:val="0"/>
      <w:marTop w:val="0"/>
      <w:marBottom w:val="0"/>
      <w:divBdr>
        <w:top w:val="none" w:sz="0" w:space="0" w:color="auto"/>
        <w:left w:val="none" w:sz="0" w:space="0" w:color="auto"/>
        <w:bottom w:val="none" w:sz="0" w:space="0" w:color="auto"/>
        <w:right w:val="none" w:sz="0" w:space="0" w:color="auto"/>
      </w:divBdr>
    </w:div>
    <w:div w:id="821508673">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299336095">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 w:id="1678576029">
      <w:bodyDiv w:val="1"/>
      <w:marLeft w:val="0"/>
      <w:marRight w:val="0"/>
      <w:marTop w:val="0"/>
      <w:marBottom w:val="0"/>
      <w:divBdr>
        <w:top w:val="none" w:sz="0" w:space="0" w:color="auto"/>
        <w:left w:val="none" w:sz="0" w:space="0" w:color="auto"/>
        <w:bottom w:val="none" w:sz="0" w:space="0" w:color="auto"/>
        <w:right w:val="none" w:sz="0" w:space="0" w:color="auto"/>
      </w:divBdr>
    </w:div>
    <w:div w:id="1717123844">
      <w:bodyDiv w:val="1"/>
      <w:marLeft w:val="0"/>
      <w:marRight w:val="0"/>
      <w:marTop w:val="0"/>
      <w:marBottom w:val="0"/>
      <w:divBdr>
        <w:top w:val="none" w:sz="0" w:space="0" w:color="auto"/>
        <w:left w:val="none" w:sz="0" w:space="0" w:color="auto"/>
        <w:bottom w:val="none" w:sz="0" w:space="0" w:color="auto"/>
        <w:right w:val="none" w:sz="0" w:space="0" w:color="auto"/>
      </w:divBdr>
    </w:div>
    <w:div w:id="1729918070">
      <w:bodyDiv w:val="1"/>
      <w:marLeft w:val="0"/>
      <w:marRight w:val="0"/>
      <w:marTop w:val="0"/>
      <w:marBottom w:val="0"/>
      <w:divBdr>
        <w:top w:val="none" w:sz="0" w:space="0" w:color="auto"/>
        <w:left w:val="none" w:sz="0" w:space="0" w:color="auto"/>
        <w:bottom w:val="none" w:sz="0" w:space="0" w:color="auto"/>
        <w:right w:val="none" w:sz="0" w:space="0" w:color="auto"/>
      </w:divBdr>
    </w:div>
    <w:div w:id="1797530719">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60800450">
      <w:bodyDiv w:val="1"/>
      <w:marLeft w:val="0"/>
      <w:marRight w:val="0"/>
      <w:marTop w:val="0"/>
      <w:marBottom w:val="0"/>
      <w:divBdr>
        <w:top w:val="none" w:sz="0" w:space="0" w:color="auto"/>
        <w:left w:val="none" w:sz="0" w:space="0" w:color="auto"/>
        <w:bottom w:val="none" w:sz="0" w:space="0" w:color="auto"/>
        <w:right w:val="none" w:sz="0" w:space="0" w:color="auto"/>
      </w:divBdr>
    </w:div>
    <w:div w:id="2030445945">
      <w:bodyDiv w:val="1"/>
      <w:marLeft w:val="0"/>
      <w:marRight w:val="0"/>
      <w:marTop w:val="0"/>
      <w:marBottom w:val="0"/>
      <w:divBdr>
        <w:top w:val="none" w:sz="0" w:space="0" w:color="auto"/>
        <w:left w:val="none" w:sz="0" w:space="0" w:color="auto"/>
        <w:bottom w:val="none" w:sz="0" w:space="0" w:color="auto"/>
        <w:right w:val="none" w:sz="0" w:space="0" w:color="auto"/>
      </w:divBdr>
    </w:div>
    <w:div w:id="2045474223">
      <w:bodyDiv w:val="1"/>
      <w:marLeft w:val="0"/>
      <w:marRight w:val="0"/>
      <w:marTop w:val="0"/>
      <w:marBottom w:val="0"/>
      <w:divBdr>
        <w:top w:val="none" w:sz="0" w:space="0" w:color="auto"/>
        <w:left w:val="none" w:sz="0" w:space="0" w:color="auto"/>
        <w:bottom w:val="none" w:sz="0" w:space="0" w:color="auto"/>
        <w:right w:val="none" w:sz="0" w:space="0" w:color="auto"/>
      </w:divBdr>
    </w:div>
    <w:div w:id="21275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2.amstat.org/sections/srms/Proceedings/papers/1987_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CE5C-06BD-4721-92B0-BC250D27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10917</Words>
  <Characters>62227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2019-03-26T13:48:00Z</dcterms:created>
  <dcterms:modified xsi:type="dcterms:W3CDTF">2019-03-26T13:48:00Z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-1120696494</vt:i4>
  </property>
  <property fmtid="{D5CDD505-2E9C-101B-9397-08002B2CF9AE}" pid="4" name="_ReviewingToolsShownOnce">
    <vt:lpwstr/>
  </property>
</Properties>
</file>