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5F35" w14:textId="2918C226" w:rsidR="007D6399" w:rsidRPr="00973742" w:rsidRDefault="007D6399" w:rsidP="007D6399">
      <w:pPr>
        <w:tabs>
          <w:tab w:val="right" w:pos="10080"/>
        </w:tabs>
        <w:rPr>
          <w:b/>
        </w:rPr>
      </w:pPr>
      <w:bookmarkStart w:id="0" w:name="_GoBack"/>
      <w:bookmarkEnd w:id="0"/>
      <w:r w:rsidRPr="00973742">
        <w:rPr>
          <w:b/>
        </w:rPr>
        <w:t>MEMORANDUM</w:t>
      </w:r>
      <w:r w:rsidRPr="00973742">
        <w:rPr>
          <w:b/>
        </w:rPr>
        <w:tab/>
        <w:t xml:space="preserve">OMB # </w:t>
      </w:r>
      <w:r w:rsidR="00374809">
        <w:rPr>
          <w:b/>
        </w:rPr>
        <w:t>1850-0582 v.</w:t>
      </w:r>
      <w:r w:rsidR="00800D7B">
        <w:rPr>
          <w:b/>
        </w:rPr>
        <w:t>24</w:t>
      </w:r>
    </w:p>
    <w:p w14:paraId="75D45F36" w14:textId="77777777" w:rsidR="007D6399" w:rsidRPr="00973742" w:rsidRDefault="007D6399" w:rsidP="007D6399">
      <w:pPr>
        <w:rPr>
          <w:b/>
        </w:rPr>
      </w:pPr>
    </w:p>
    <w:p w14:paraId="75D45F37" w14:textId="050F28A3" w:rsidR="007D6399" w:rsidRPr="00CB7434" w:rsidRDefault="007D6399" w:rsidP="007D6399">
      <w:pPr>
        <w:tabs>
          <w:tab w:val="left" w:pos="1440"/>
        </w:tabs>
        <w:rPr>
          <w:sz w:val="22"/>
          <w:szCs w:val="22"/>
        </w:rPr>
      </w:pPr>
      <w:r w:rsidRPr="00CB7434">
        <w:rPr>
          <w:sz w:val="22"/>
          <w:szCs w:val="22"/>
        </w:rPr>
        <w:t>DATE:</w:t>
      </w:r>
      <w:r w:rsidRPr="00CB7434">
        <w:rPr>
          <w:sz w:val="22"/>
          <w:szCs w:val="22"/>
        </w:rPr>
        <w:tab/>
      </w:r>
      <w:r w:rsidR="00CC34DD" w:rsidRPr="00CB7434">
        <w:rPr>
          <w:sz w:val="22"/>
          <w:szCs w:val="22"/>
        </w:rPr>
        <w:t>July 23</w:t>
      </w:r>
      <w:r w:rsidR="00800D7B" w:rsidRPr="00CB7434">
        <w:rPr>
          <w:sz w:val="22"/>
          <w:szCs w:val="22"/>
        </w:rPr>
        <w:t>, 2019</w:t>
      </w:r>
    </w:p>
    <w:p w14:paraId="75D45F38" w14:textId="77777777" w:rsidR="007D6399" w:rsidRPr="00CB7434" w:rsidRDefault="007D6399" w:rsidP="007D6399">
      <w:pPr>
        <w:tabs>
          <w:tab w:val="left" w:pos="1440"/>
        </w:tabs>
        <w:rPr>
          <w:sz w:val="12"/>
          <w:szCs w:val="12"/>
        </w:rPr>
      </w:pPr>
    </w:p>
    <w:p w14:paraId="75D45F39" w14:textId="77777777" w:rsidR="007D6399" w:rsidRPr="00CB7434" w:rsidRDefault="007D6399" w:rsidP="007D6399">
      <w:pPr>
        <w:tabs>
          <w:tab w:val="left" w:pos="1440"/>
        </w:tabs>
        <w:rPr>
          <w:sz w:val="22"/>
          <w:szCs w:val="22"/>
        </w:rPr>
      </w:pPr>
      <w:r w:rsidRPr="00CB7434">
        <w:rPr>
          <w:sz w:val="22"/>
          <w:szCs w:val="22"/>
        </w:rPr>
        <w:t>TO:</w:t>
      </w:r>
      <w:r w:rsidRPr="00CB7434">
        <w:rPr>
          <w:sz w:val="22"/>
          <w:szCs w:val="22"/>
        </w:rPr>
        <w:tab/>
      </w:r>
      <w:r w:rsidRPr="00CB7434">
        <w:rPr>
          <w:bCs/>
          <w:sz w:val="22"/>
          <w:szCs w:val="22"/>
        </w:rPr>
        <w:t>Robert G. Sivinski</w:t>
      </w:r>
    </w:p>
    <w:p w14:paraId="75D45F3A" w14:textId="72FE3DB7" w:rsidR="007D6399" w:rsidRPr="00CB7434" w:rsidRDefault="007D6399" w:rsidP="007D6399">
      <w:pPr>
        <w:tabs>
          <w:tab w:val="left" w:pos="1440"/>
        </w:tabs>
        <w:rPr>
          <w:sz w:val="22"/>
          <w:szCs w:val="22"/>
        </w:rPr>
      </w:pPr>
      <w:r w:rsidRPr="00CB7434">
        <w:rPr>
          <w:sz w:val="22"/>
          <w:szCs w:val="22"/>
        </w:rPr>
        <w:tab/>
        <w:t>Office of Information and Regulatory Affairs, Office of Management and Budget</w:t>
      </w:r>
      <w:r w:rsidR="007F48B9" w:rsidRPr="00CB7434">
        <w:rPr>
          <w:sz w:val="22"/>
          <w:szCs w:val="22"/>
        </w:rPr>
        <w:t xml:space="preserve"> (OMB)</w:t>
      </w:r>
    </w:p>
    <w:p w14:paraId="75D45F3B" w14:textId="77777777" w:rsidR="007D6399" w:rsidRPr="00CB7434" w:rsidRDefault="007D6399" w:rsidP="007D6399">
      <w:pPr>
        <w:tabs>
          <w:tab w:val="left" w:pos="1440"/>
        </w:tabs>
        <w:rPr>
          <w:sz w:val="12"/>
          <w:szCs w:val="12"/>
        </w:rPr>
      </w:pPr>
    </w:p>
    <w:p w14:paraId="75D45F3C" w14:textId="4FBFE961" w:rsidR="007D6399" w:rsidRPr="00CB7434" w:rsidRDefault="007D6399" w:rsidP="007D6399">
      <w:pPr>
        <w:tabs>
          <w:tab w:val="left" w:pos="1440"/>
        </w:tabs>
        <w:rPr>
          <w:sz w:val="22"/>
          <w:szCs w:val="22"/>
        </w:rPr>
      </w:pPr>
      <w:r w:rsidRPr="00CB7434">
        <w:rPr>
          <w:sz w:val="22"/>
          <w:szCs w:val="22"/>
        </w:rPr>
        <w:t>FROM:</w:t>
      </w:r>
      <w:r w:rsidRPr="00CB7434">
        <w:rPr>
          <w:sz w:val="22"/>
          <w:szCs w:val="22"/>
        </w:rPr>
        <w:tab/>
      </w:r>
      <w:r w:rsidR="00CC34DD" w:rsidRPr="00CB7434">
        <w:rPr>
          <w:sz w:val="22"/>
          <w:szCs w:val="22"/>
        </w:rPr>
        <w:t>Tara B. Lawley</w:t>
      </w:r>
      <w:r w:rsidRPr="00CB7434">
        <w:rPr>
          <w:sz w:val="22"/>
          <w:szCs w:val="22"/>
        </w:rPr>
        <w:tab/>
      </w:r>
    </w:p>
    <w:p w14:paraId="75D45F3D" w14:textId="53CEEFD7" w:rsidR="007D6399" w:rsidRPr="00CB7434" w:rsidRDefault="007D6399" w:rsidP="00CC34DD">
      <w:pPr>
        <w:tabs>
          <w:tab w:val="left" w:pos="1440"/>
        </w:tabs>
        <w:ind w:left="1440"/>
        <w:rPr>
          <w:sz w:val="22"/>
          <w:szCs w:val="22"/>
        </w:rPr>
      </w:pPr>
      <w:r w:rsidRPr="00CB7434">
        <w:rPr>
          <w:sz w:val="22"/>
          <w:szCs w:val="22"/>
        </w:rPr>
        <w:t>Postsecondary Branch Chief, Administrative Division, National Center for Education Statistics</w:t>
      </w:r>
      <w:r w:rsidR="007F48B9" w:rsidRPr="00CB7434">
        <w:rPr>
          <w:sz w:val="22"/>
          <w:szCs w:val="22"/>
        </w:rPr>
        <w:t xml:space="preserve"> (NCES)</w:t>
      </w:r>
    </w:p>
    <w:p w14:paraId="75D45F3E" w14:textId="77777777" w:rsidR="007D6399" w:rsidRPr="00CB7434" w:rsidRDefault="007D6399" w:rsidP="007D6399">
      <w:pPr>
        <w:tabs>
          <w:tab w:val="left" w:pos="1440"/>
        </w:tabs>
        <w:rPr>
          <w:sz w:val="12"/>
          <w:szCs w:val="12"/>
        </w:rPr>
      </w:pPr>
    </w:p>
    <w:p w14:paraId="75D45F3F" w14:textId="77777777" w:rsidR="007D6399" w:rsidRPr="00CB7434" w:rsidRDefault="007D6399" w:rsidP="007D6399">
      <w:pPr>
        <w:tabs>
          <w:tab w:val="left" w:pos="1440"/>
        </w:tabs>
        <w:rPr>
          <w:sz w:val="22"/>
          <w:szCs w:val="22"/>
        </w:rPr>
      </w:pPr>
      <w:r w:rsidRPr="00CB7434">
        <w:rPr>
          <w:sz w:val="22"/>
          <w:szCs w:val="22"/>
        </w:rPr>
        <w:t>THROUGH:</w:t>
      </w:r>
      <w:r w:rsidRPr="00CB7434">
        <w:rPr>
          <w:sz w:val="22"/>
          <w:szCs w:val="22"/>
        </w:rPr>
        <w:tab/>
        <w:t>Kashka Kubzdela</w:t>
      </w:r>
    </w:p>
    <w:p w14:paraId="75D45F40" w14:textId="628793A2" w:rsidR="007D6399" w:rsidRPr="00CB7434" w:rsidRDefault="007D6399" w:rsidP="007D6399">
      <w:pPr>
        <w:tabs>
          <w:tab w:val="left" w:pos="1440"/>
        </w:tabs>
        <w:rPr>
          <w:sz w:val="22"/>
          <w:szCs w:val="22"/>
        </w:rPr>
      </w:pPr>
      <w:r w:rsidRPr="00CB7434">
        <w:rPr>
          <w:sz w:val="22"/>
          <w:szCs w:val="22"/>
        </w:rPr>
        <w:tab/>
        <w:t>OMB Liaison, National Center for Education Statistics</w:t>
      </w:r>
      <w:r w:rsidR="007F48B9" w:rsidRPr="00CB7434">
        <w:rPr>
          <w:sz w:val="22"/>
          <w:szCs w:val="22"/>
        </w:rPr>
        <w:t xml:space="preserve"> (NCES)</w:t>
      </w:r>
    </w:p>
    <w:p w14:paraId="75D45F41" w14:textId="77777777" w:rsidR="007D6399" w:rsidRPr="00CB7434" w:rsidRDefault="007D6399" w:rsidP="007D6399">
      <w:pPr>
        <w:tabs>
          <w:tab w:val="left" w:pos="1440"/>
        </w:tabs>
        <w:rPr>
          <w:sz w:val="12"/>
          <w:szCs w:val="12"/>
        </w:rPr>
      </w:pPr>
      <w:r w:rsidRPr="00CB7434">
        <w:rPr>
          <w:sz w:val="12"/>
          <w:szCs w:val="12"/>
        </w:rPr>
        <w:tab/>
      </w:r>
    </w:p>
    <w:p w14:paraId="75D45F42" w14:textId="3385F8BB" w:rsidR="007D6399" w:rsidRPr="00CB7434" w:rsidRDefault="007D6399" w:rsidP="007D6399">
      <w:pPr>
        <w:tabs>
          <w:tab w:val="left" w:pos="1440"/>
        </w:tabs>
        <w:ind w:left="1440" w:hanging="1440"/>
        <w:rPr>
          <w:sz w:val="22"/>
          <w:szCs w:val="22"/>
        </w:rPr>
      </w:pPr>
      <w:r w:rsidRPr="00CB7434">
        <w:rPr>
          <w:sz w:val="22"/>
          <w:szCs w:val="22"/>
        </w:rPr>
        <w:t>SUBJECT:</w:t>
      </w:r>
      <w:r w:rsidRPr="00CB7434">
        <w:rPr>
          <w:sz w:val="22"/>
          <w:szCs w:val="22"/>
        </w:rPr>
        <w:tab/>
      </w:r>
      <w:r w:rsidR="007F48B9" w:rsidRPr="00CB7434">
        <w:rPr>
          <w:sz w:val="22"/>
          <w:szCs w:val="22"/>
        </w:rPr>
        <w:t>Integrated Postsecondary Education Data System (IPEDS) 2019-20 through 2021-22 – Revisions made to the clearance documents based on comments received during the 30-day public comment period</w:t>
      </w:r>
    </w:p>
    <w:p w14:paraId="75D45F44" w14:textId="0625F2FB" w:rsidR="007D6399" w:rsidRDefault="007D6399" w:rsidP="007D6399">
      <w:pPr>
        <w:pStyle w:val="Title"/>
        <w:ind w:right="-360"/>
        <w:jc w:val="left"/>
        <w:rPr>
          <w:sz w:val="22"/>
          <w:szCs w:val="22"/>
        </w:rPr>
      </w:pPr>
    </w:p>
    <w:p w14:paraId="61D97C4D" w14:textId="335F99AD" w:rsidR="0006134D" w:rsidRPr="0006134D" w:rsidRDefault="0006134D" w:rsidP="007D6399">
      <w:pPr>
        <w:pStyle w:val="Title"/>
        <w:ind w:right="-360"/>
        <w:jc w:val="left"/>
        <w:rPr>
          <w:b w:val="0"/>
          <w:bCs/>
          <w:sz w:val="22"/>
          <w:szCs w:val="22"/>
        </w:rPr>
      </w:pPr>
      <w:r w:rsidRPr="0006134D">
        <w:rPr>
          <w:b w:val="0"/>
          <w:bCs/>
          <w:sz w:val="22"/>
          <w:szCs w:val="22"/>
        </w:rPr>
        <w:t>Added two new documents to this submission:</w:t>
      </w:r>
    </w:p>
    <w:p w14:paraId="7C97B2BF" w14:textId="4A9DCB4B" w:rsidR="0006134D" w:rsidRPr="0006134D" w:rsidRDefault="0006134D" w:rsidP="0006134D">
      <w:pPr>
        <w:pStyle w:val="Title"/>
        <w:numPr>
          <w:ilvl w:val="0"/>
          <w:numId w:val="5"/>
        </w:numPr>
        <w:ind w:right="-360"/>
        <w:jc w:val="left"/>
        <w:rPr>
          <w:b w:val="0"/>
          <w:bCs/>
          <w:sz w:val="22"/>
          <w:szCs w:val="22"/>
        </w:rPr>
      </w:pPr>
      <w:r w:rsidRPr="0006134D">
        <w:rPr>
          <w:b w:val="0"/>
          <w:bCs/>
          <w:sz w:val="22"/>
          <w:szCs w:val="22"/>
        </w:rPr>
        <w:t>IPEDS 2019-20 through 2021-22 Response to 30-day Public Comments</w:t>
      </w:r>
    </w:p>
    <w:p w14:paraId="3813222A" w14:textId="6987E91E" w:rsidR="0006134D" w:rsidRPr="0006134D" w:rsidRDefault="0006134D" w:rsidP="0006134D">
      <w:pPr>
        <w:pStyle w:val="Title"/>
        <w:numPr>
          <w:ilvl w:val="0"/>
          <w:numId w:val="5"/>
        </w:numPr>
        <w:spacing w:after="120"/>
        <w:ind w:right="-360"/>
        <w:jc w:val="left"/>
        <w:rPr>
          <w:b w:val="0"/>
          <w:bCs/>
          <w:sz w:val="22"/>
          <w:szCs w:val="22"/>
        </w:rPr>
      </w:pPr>
      <w:r w:rsidRPr="0006134D">
        <w:rPr>
          <w:b w:val="0"/>
          <w:bCs/>
          <w:sz w:val="22"/>
          <w:szCs w:val="22"/>
        </w:rPr>
        <w:t>IPEDS 2019-2022 Changes Since 30-day Public Comment Period</w:t>
      </w:r>
    </w:p>
    <w:p w14:paraId="17CA4245" w14:textId="6F4C5B32" w:rsidR="0006134D" w:rsidRPr="0006134D" w:rsidRDefault="0006134D" w:rsidP="0006134D">
      <w:pPr>
        <w:pStyle w:val="Title"/>
        <w:spacing w:after="120"/>
        <w:ind w:right="-36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Furthermore, made the following revisions:</w:t>
      </w:r>
    </w:p>
    <w:p w14:paraId="5CF9866F" w14:textId="77777777" w:rsidR="00900E13" w:rsidRPr="00CB7434" w:rsidRDefault="00374809" w:rsidP="00223ABA">
      <w:pPr>
        <w:pStyle w:val="ListParagraph"/>
        <w:numPr>
          <w:ilvl w:val="0"/>
          <w:numId w:val="4"/>
        </w:numPr>
        <w:spacing w:after="120" w:line="23" w:lineRule="atLeast"/>
        <w:rPr>
          <w:sz w:val="22"/>
          <w:szCs w:val="22"/>
        </w:rPr>
      </w:pPr>
      <w:r w:rsidRPr="00CB7434">
        <w:rPr>
          <w:sz w:val="22"/>
          <w:szCs w:val="22"/>
        </w:rPr>
        <w:t xml:space="preserve">Based on comments received during the </w:t>
      </w:r>
      <w:r w:rsidR="00CC34DD" w:rsidRPr="00CB7434">
        <w:rPr>
          <w:sz w:val="22"/>
          <w:szCs w:val="22"/>
        </w:rPr>
        <w:t>30</w:t>
      </w:r>
      <w:r w:rsidR="007F48B9" w:rsidRPr="00CB7434">
        <w:rPr>
          <w:sz w:val="22"/>
          <w:szCs w:val="22"/>
        </w:rPr>
        <w:t>-</w:t>
      </w:r>
      <w:r w:rsidRPr="00CB7434">
        <w:rPr>
          <w:sz w:val="22"/>
          <w:szCs w:val="22"/>
        </w:rPr>
        <w:t xml:space="preserve">day public comment period, the </w:t>
      </w:r>
      <w:r w:rsidR="00CC34DD" w:rsidRPr="00CB7434">
        <w:rPr>
          <w:sz w:val="22"/>
          <w:szCs w:val="22"/>
        </w:rPr>
        <w:t>Financial Health Ratios have been removed</w:t>
      </w:r>
      <w:r w:rsidR="00DD318E" w:rsidRPr="00CB7434">
        <w:rPr>
          <w:sz w:val="22"/>
          <w:szCs w:val="22"/>
        </w:rPr>
        <w:t xml:space="preserve">, </w:t>
      </w:r>
      <w:r w:rsidR="00CA57F8" w:rsidRPr="00CB7434">
        <w:rPr>
          <w:sz w:val="22"/>
          <w:szCs w:val="22"/>
        </w:rPr>
        <w:t>resulting in the following changes in these</w:t>
      </w:r>
      <w:r w:rsidR="00DD318E" w:rsidRPr="00CB7434">
        <w:rPr>
          <w:sz w:val="22"/>
          <w:szCs w:val="22"/>
        </w:rPr>
        <w:t xml:space="preserve"> documents:</w:t>
      </w:r>
    </w:p>
    <w:p w14:paraId="084B5073" w14:textId="4B5C33B3" w:rsidR="00900E13" w:rsidRPr="00CB7434" w:rsidRDefault="00374809" w:rsidP="0006134D">
      <w:pPr>
        <w:spacing w:after="120" w:line="23" w:lineRule="atLeast"/>
        <w:ind w:left="360"/>
        <w:rPr>
          <w:sz w:val="22"/>
          <w:szCs w:val="22"/>
        </w:rPr>
      </w:pPr>
      <w:r w:rsidRPr="00CB7434">
        <w:rPr>
          <w:sz w:val="22"/>
          <w:szCs w:val="22"/>
        </w:rPr>
        <w:t>In the “</w:t>
      </w:r>
      <w:r w:rsidR="001266AA" w:rsidRPr="001266AA">
        <w:rPr>
          <w:i/>
          <w:sz w:val="22"/>
          <w:szCs w:val="22"/>
        </w:rPr>
        <w:t>Part A IPEDS 2019-20 through 2021-22</w:t>
      </w:r>
      <w:r w:rsidRPr="00CB7434">
        <w:rPr>
          <w:sz w:val="22"/>
          <w:szCs w:val="22"/>
        </w:rPr>
        <w:t>” document:</w:t>
      </w:r>
    </w:p>
    <w:p w14:paraId="75D45F47" w14:textId="6BA7328E" w:rsidR="00374809" w:rsidRPr="00CB7434" w:rsidRDefault="00671E64" w:rsidP="0006134D">
      <w:pPr>
        <w:numPr>
          <w:ilvl w:val="0"/>
          <w:numId w:val="3"/>
        </w:numPr>
        <w:spacing w:after="120" w:line="23" w:lineRule="atLeast"/>
        <w:ind w:hanging="180"/>
        <w:rPr>
          <w:sz w:val="22"/>
          <w:szCs w:val="22"/>
        </w:rPr>
      </w:pPr>
      <w:r w:rsidRPr="00CB7434">
        <w:rPr>
          <w:sz w:val="22"/>
          <w:szCs w:val="22"/>
        </w:rPr>
        <w:t>In Table 1, a</w:t>
      </w:r>
      <w:r w:rsidR="00CC34DD" w:rsidRPr="00CB7434">
        <w:rPr>
          <w:sz w:val="22"/>
          <w:szCs w:val="22"/>
        </w:rPr>
        <w:t>dded a note</w:t>
      </w:r>
      <w:r w:rsidR="00AA6FC9" w:rsidRPr="00CB7434">
        <w:rPr>
          <w:sz w:val="22"/>
          <w:szCs w:val="22"/>
        </w:rPr>
        <w:t>: “Degree-granting institutions only: Added new screen to collect numerator and denominator for calculating financial health ratios</w:t>
      </w:r>
      <w:r w:rsidR="00AA6FC9" w:rsidRPr="00CB7434">
        <w:rPr>
          <w:color w:val="FF0000"/>
          <w:sz w:val="22"/>
          <w:szCs w:val="22"/>
        </w:rPr>
        <w:t xml:space="preserve"> – note that NCES will not calculate or report any ratios</w:t>
      </w:r>
      <w:r w:rsidRPr="00CB7434">
        <w:rPr>
          <w:sz w:val="22"/>
          <w:szCs w:val="22"/>
        </w:rPr>
        <w:t>.</w:t>
      </w:r>
      <w:r w:rsidR="00AA6FC9" w:rsidRPr="00CB7434">
        <w:rPr>
          <w:sz w:val="22"/>
          <w:szCs w:val="22"/>
        </w:rPr>
        <w:t>”</w:t>
      </w:r>
    </w:p>
    <w:p w14:paraId="75D45F4B" w14:textId="05618168" w:rsidR="00374809" w:rsidRPr="00CB7434" w:rsidRDefault="00374809" w:rsidP="0006134D">
      <w:pPr>
        <w:spacing w:after="120" w:line="23" w:lineRule="atLeast"/>
        <w:ind w:left="360"/>
        <w:rPr>
          <w:sz w:val="22"/>
          <w:szCs w:val="22"/>
        </w:rPr>
      </w:pPr>
      <w:r w:rsidRPr="00CB7434">
        <w:rPr>
          <w:sz w:val="22"/>
          <w:szCs w:val="22"/>
        </w:rPr>
        <w:t>In the “</w:t>
      </w:r>
      <w:r w:rsidR="001266AA" w:rsidRPr="001266AA">
        <w:rPr>
          <w:i/>
          <w:sz w:val="22"/>
          <w:szCs w:val="22"/>
        </w:rPr>
        <w:t>Appendix A - IPEDS 2019-20 through 2021-22 Proposed Changes</w:t>
      </w:r>
      <w:r w:rsidRPr="00CB7434">
        <w:rPr>
          <w:sz w:val="22"/>
          <w:szCs w:val="22"/>
        </w:rPr>
        <w:t>” documen</w:t>
      </w:r>
      <w:r w:rsidR="00053B64" w:rsidRPr="00CB7434">
        <w:rPr>
          <w:sz w:val="22"/>
          <w:szCs w:val="22"/>
        </w:rPr>
        <w:t>t:</w:t>
      </w:r>
    </w:p>
    <w:p w14:paraId="3CC4730A" w14:textId="483A0B56" w:rsidR="00671E64" w:rsidRPr="00CB7434" w:rsidRDefault="00671E64" w:rsidP="0006134D">
      <w:pPr>
        <w:numPr>
          <w:ilvl w:val="0"/>
          <w:numId w:val="3"/>
        </w:numPr>
        <w:spacing w:after="120" w:line="23" w:lineRule="atLeast"/>
        <w:ind w:hanging="180"/>
        <w:rPr>
          <w:sz w:val="22"/>
          <w:szCs w:val="22"/>
        </w:rPr>
      </w:pPr>
      <w:r w:rsidRPr="00CB7434">
        <w:rPr>
          <w:sz w:val="22"/>
          <w:szCs w:val="22"/>
        </w:rPr>
        <w:t xml:space="preserve">In Table A6, </w:t>
      </w:r>
      <w:r w:rsidR="00324904" w:rsidRPr="00CB7434">
        <w:rPr>
          <w:sz w:val="22"/>
          <w:szCs w:val="22"/>
        </w:rPr>
        <w:t xml:space="preserve">revised text as follows to (a) reflect that </w:t>
      </w:r>
      <w:r w:rsidRPr="00CB7434">
        <w:rPr>
          <w:sz w:val="22"/>
          <w:szCs w:val="22"/>
        </w:rPr>
        <w:t>while NCES will collect the numerators and denominators, at this time the ratios will not be calculated</w:t>
      </w:r>
      <w:r w:rsidR="00324904" w:rsidRPr="00CB7434">
        <w:rPr>
          <w:sz w:val="22"/>
          <w:szCs w:val="22"/>
        </w:rPr>
        <w:t>,</w:t>
      </w:r>
      <w:r w:rsidRPr="00CB7434">
        <w:rPr>
          <w:sz w:val="22"/>
          <w:szCs w:val="22"/>
        </w:rPr>
        <w:t xml:space="preserve"> </w:t>
      </w:r>
      <w:r w:rsidR="00324904" w:rsidRPr="00CB7434">
        <w:rPr>
          <w:sz w:val="22"/>
          <w:szCs w:val="22"/>
        </w:rPr>
        <w:t>(b)</w:t>
      </w:r>
      <w:r w:rsidRPr="00CB7434">
        <w:rPr>
          <w:sz w:val="22"/>
          <w:szCs w:val="22"/>
        </w:rPr>
        <w:t xml:space="preserve"> to more accurately reflect existing standards/data reported for</w:t>
      </w:r>
      <w:r w:rsidR="00CB7434" w:rsidRPr="00CB7434">
        <w:rPr>
          <w:sz w:val="22"/>
          <w:szCs w:val="22"/>
        </w:rPr>
        <w:t>:</w:t>
      </w:r>
      <w:r w:rsidRPr="00CB7434">
        <w:rPr>
          <w:sz w:val="22"/>
          <w:szCs w:val="22"/>
        </w:rPr>
        <w:t xml:space="preserve"> FASB and </w:t>
      </w:r>
      <w:r w:rsidR="00CB7434" w:rsidRPr="00CB7434">
        <w:rPr>
          <w:sz w:val="22"/>
          <w:szCs w:val="22"/>
        </w:rPr>
        <w:t xml:space="preserve">For Profit </w:t>
      </w:r>
      <w:r w:rsidRPr="00CB7434">
        <w:rPr>
          <w:sz w:val="22"/>
          <w:szCs w:val="22"/>
        </w:rPr>
        <w:t>institutions.</w:t>
      </w:r>
    </w:p>
    <w:p w14:paraId="6A3D13AE" w14:textId="7906B67D" w:rsidR="00D652F9" w:rsidRPr="00324904" w:rsidRDefault="00D652F9" w:rsidP="00D652F9">
      <w:pPr>
        <w:pStyle w:val="TableText"/>
        <w:spacing w:after="0"/>
        <w:ind w:left="720"/>
        <w:jc w:val="left"/>
        <w:rPr>
          <w:b/>
          <w:i/>
        </w:rPr>
      </w:pPr>
      <w:r w:rsidRPr="00324904">
        <w:rPr>
          <w:b/>
          <w:i/>
        </w:rPr>
        <w:t>Original</w:t>
      </w:r>
      <w:r w:rsidR="00324904" w:rsidRPr="00324904">
        <w:rPr>
          <w:bCs/>
          <w:i/>
          <w:color w:val="FF0000"/>
        </w:rPr>
        <w:t xml:space="preserve"> (crossed out text shows deletions)</w:t>
      </w:r>
      <w:r w:rsidRPr="00324904">
        <w:rPr>
          <w:b/>
          <w:i/>
        </w:rPr>
        <w:t>:</w:t>
      </w:r>
    </w:p>
    <w:p w14:paraId="1C88708B" w14:textId="3A79B5B7" w:rsidR="00D652F9" w:rsidRDefault="00D652F9" w:rsidP="00324904">
      <w:pPr>
        <w:pStyle w:val="TableText"/>
        <w:spacing w:after="0"/>
        <w:ind w:left="900"/>
        <w:jc w:val="left"/>
        <w:rPr>
          <w:bCs/>
          <w:i/>
        </w:rPr>
      </w:pPr>
      <w:r w:rsidRPr="00DE0F5F">
        <w:rPr>
          <w:bCs/>
          <w:i/>
        </w:rPr>
        <w:t>Degree-granting institutions</w:t>
      </w:r>
      <w:r>
        <w:rPr>
          <w:bCs/>
          <w:i/>
        </w:rPr>
        <w:t xml:space="preserve"> only</w:t>
      </w:r>
      <w:r w:rsidRPr="00DE0F5F">
        <w:rPr>
          <w:bCs/>
          <w:i/>
        </w:rPr>
        <w:t>: Add new screen</w:t>
      </w:r>
      <w:r>
        <w:rPr>
          <w:bCs/>
          <w:i/>
        </w:rPr>
        <w:t xml:space="preserve"> </w:t>
      </w:r>
      <w:r w:rsidRPr="00DE0F5F">
        <w:rPr>
          <w:bCs/>
          <w:i/>
        </w:rPr>
        <w:t>to collect numerator and denominator for calculating financial health ratios</w:t>
      </w:r>
    </w:p>
    <w:p w14:paraId="39523846" w14:textId="77777777" w:rsidR="00D652F9" w:rsidRDefault="00D652F9" w:rsidP="00D652F9">
      <w:pPr>
        <w:pStyle w:val="TableText"/>
        <w:spacing w:after="0"/>
        <w:ind w:left="1170"/>
        <w:jc w:val="left"/>
        <w:rPr>
          <w:bCs/>
        </w:rPr>
      </w:pPr>
      <w:r>
        <w:rPr>
          <w:bCs/>
        </w:rPr>
        <w:t>01</w:t>
      </w:r>
      <w:r w:rsidRPr="00D652F9">
        <w:rPr>
          <w:bCs/>
          <w:strike/>
          <w:color w:val="FF0000"/>
        </w:rPr>
        <w:t>a</w:t>
      </w:r>
      <w:r>
        <w:rPr>
          <w:bCs/>
        </w:rPr>
        <w:t xml:space="preserve"> Operating income (loss) + net nonoperating revenues (expenses)</w:t>
      </w:r>
    </w:p>
    <w:p w14:paraId="22459C9D" w14:textId="77777777" w:rsidR="00D652F9" w:rsidRDefault="00D652F9" w:rsidP="00D652F9">
      <w:pPr>
        <w:pStyle w:val="TableText"/>
        <w:spacing w:after="0"/>
        <w:ind w:left="1170"/>
        <w:jc w:val="left"/>
        <w:rPr>
          <w:bCs/>
        </w:rPr>
      </w:pPr>
      <w:r>
        <w:rPr>
          <w:bCs/>
        </w:rPr>
        <w:t>01</w:t>
      </w:r>
      <w:r w:rsidRPr="00D652F9">
        <w:rPr>
          <w:bCs/>
          <w:strike/>
          <w:color w:val="FF0000"/>
        </w:rPr>
        <w:t>b</w:t>
      </w:r>
      <w:r>
        <w:rPr>
          <w:bCs/>
        </w:rPr>
        <w:t xml:space="preserve"> Operating revenues + nonoperating revenues</w:t>
      </w:r>
    </w:p>
    <w:p w14:paraId="6395FBF0" w14:textId="77777777" w:rsidR="00D652F9" w:rsidRPr="00324904" w:rsidRDefault="00D652F9" w:rsidP="00D652F9">
      <w:pPr>
        <w:pStyle w:val="TableText"/>
        <w:spacing w:after="0"/>
        <w:ind w:left="1170"/>
        <w:jc w:val="left"/>
        <w:rPr>
          <w:bCs/>
          <w:strike/>
          <w:color w:val="FF0000"/>
        </w:rPr>
      </w:pPr>
      <w:r w:rsidRPr="00324904">
        <w:rPr>
          <w:bCs/>
          <w:strike/>
          <w:color w:val="FF0000"/>
        </w:rPr>
        <w:t>01 Net operating revenue/margin (new calculated value = 01a/01b)</w:t>
      </w:r>
    </w:p>
    <w:p w14:paraId="0BEF1C47" w14:textId="77777777" w:rsidR="00D652F9" w:rsidRDefault="00D652F9" w:rsidP="00D652F9">
      <w:pPr>
        <w:pStyle w:val="TableText"/>
        <w:spacing w:after="0"/>
        <w:ind w:left="1170"/>
        <w:jc w:val="left"/>
        <w:rPr>
          <w:bCs/>
        </w:rPr>
      </w:pPr>
      <w:r>
        <w:rPr>
          <w:bCs/>
        </w:rPr>
        <w:t>02</w:t>
      </w:r>
      <w:r w:rsidRPr="00324904">
        <w:rPr>
          <w:bCs/>
          <w:strike/>
          <w:color w:val="FF0000"/>
        </w:rPr>
        <w:t>a</w:t>
      </w:r>
      <w:r>
        <w:rPr>
          <w:bCs/>
        </w:rPr>
        <w:t xml:space="preserve"> Change in net assets </w:t>
      </w:r>
      <w:r w:rsidRPr="00324904">
        <w:rPr>
          <w:bCs/>
          <w:strike/>
          <w:color w:val="FF0000"/>
        </w:rPr>
        <w:t>(currently collected, preloaded into new screen)</w:t>
      </w:r>
    </w:p>
    <w:p w14:paraId="6F1C8D75" w14:textId="77777777" w:rsidR="00D652F9" w:rsidRDefault="00D652F9" w:rsidP="00D652F9">
      <w:pPr>
        <w:pStyle w:val="TableText"/>
        <w:spacing w:after="0"/>
        <w:ind w:left="1170"/>
        <w:jc w:val="left"/>
        <w:rPr>
          <w:bCs/>
        </w:rPr>
      </w:pPr>
      <w:r>
        <w:rPr>
          <w:bCs/>
        </w:rPr>
        <w:t>02</w:t>
      </w:r>
      <w:r w:rsidRPr="00324904">
        <w:rPr>
          <w:bCs/>
          <w:strike/>
          <w:color w:val="FF0000"/>
        </w:rPr>
        <w:t>b</w:t>
      </w:r>
      <w:r>
        <w:rPr>
          <w:bCs/>
        </w:rPr>
        <w:t xml:space="preserve"> Total net assets </w:t>
      </w:r>
      <w:r w:rsidRPr="00324904">
        <w:rPr>
          <w:bCs/>
          <w:strike/>
          <w:color w:val="FF0000"/>
        </w:rPr>
        <w:t>(currently collected, preloaded into new screen)</w:t>
      </w:r>
    </w:p>
    <w:p w14:paraId="356BAE27" w14:textId="77777777" w:rsidR="00D652F9" w:rsidRPr="00324904" w:rsidRDefault="00D652F9" w:rsidP="00D652F9">
      <w:pPr>
        <w:pStyle w:val="TableText"/>
        <w:spacing w:after="0"/>
        <w:ind w:left="1170"/>
        <w:jc w:val="left"/>
        <w:rPr>
          <w:bCs/>
          <w:strike/>
          <w:color w:val="FF0000"/>
        </w:rPr>
      </w:pPr>
      <w:r w:rsidRPr="00324904">
        <w:rPr>
          <w:bCs/>
          <w:strike/>
          <w:color w:val="FF0000"/>
        </w:rPr>
        <w:t>02 Return on net assets ratio (e.g., equity ratio; new calculated value = 02a/02b)</w:t>
      </w:r>
    </w:p>
    <w:p w14:paraId="7F04D053" w14:textId="77777777" w:rsidR="00D652F9" w:rsidRDefault="00D652F9" w:rsidP="00D652F9">
      <w:pPr>
        <w:pStyle w:val="TableText"/>
        <w:spacing w:after="0"/>
        <w:ind w:left="1170"/>
        <w:jc w:val="left"/>
        <w:rPr>
          <w:bCs/>
        </w:rPr>
      </w:pPr>
      <w:r>
        <w:rPr>
          <w:bCs/>
        </w:rPr>
        <w:t>03</w:t>
      </w:r>
      <w:r w:rsidRPr="00324904">
        <w:rPr>
          <w:bCs/>
          <w:strike/>
          <w:color w:val="FF0000"/>
        </w:rPr>
        <w:t>a</w:t>
      </w:r>
      <w:r>
        <w:rPr>
          <w:bCs/>
        </w:rPr>
        <w:t xml:space="preserve"> Expendable net assets </w:t>
      </w:r>
      <w:r w:rsidRPr="00324904">
        <w:rPr>
          <w:bCs/>
          <w:strike/>
          <w:color w:val="FF0000"/>
        </w:rPr>
        <w:t>(new collection)</w:t>
      </w:r>
    </w:p>
    <w:p w14:paraId="76B90F43" w14:textId="77777777" w:rsidR="00D652F9" w:rsidRPr="00324904" w:rsidRDefault="00D652F9" w:rsidP="00D652F9">
      <w:pPr>
        <w:pStyle w:val="TableText"/>
        <w:spacing w:after="0"/>
        <w:ind w:left="1170"/>
        <w:jc w:val="left"/>
        <w:rPr>
          <w:bCs/>
          <w:strike/>
          <w:color w:val="FF0000"/>
        </w:rPr>
      </w:pPr>
      <w:r>
        <w:rPr>
          <w:bCs/>
        </w:rPr>
        <w:t>03</w:t>
      </w:r>
      <w:r w:rsidRPr="00324904">
        <w:rPr>
          <w:bCs/>
          <w:strike/>
          <w:color w:val="FF0000"/>
        </w:rPr>
        <w:t>b</w:t>
      </w:r>
      <w:r>
        <w:rPr>
          <w:bCs/>
        </w:rPr>
        <w:t xml:space="preserve"> Plant-related debt </w:t>
      </w:r>
      <w:r w:rsidRPr="00324904">
        <w:rPr>
          <w:bCs/>
          <w:strike/>
          <w:color w:val="FF0000"/>
        </w:rPr>
        <w:t>(currently collected, preloaded into new screen)</w:t>
      </w:r>
    </w:p>
    <w:p w14:paraId="348B7B25" w14:textId="77777777" w:rsidR="00D652F9" w:rsidRPr="00324904" w:rsidRDefault="00D652F9" w:rsidP="00D652F9">
      <w:pPr>
        <w:pStyle w:val="TableText"/>
        <w:spacing w:after="0"/>
        <w:ind w:left="1170"/>
        <w:jc w:val="left"/>
        <w:rPr>
          <w:bCs/>
          <w:strike/>
          <w:color w:val="FF0000"/>
        </w:rPr>
      </w:pPr>
      <w:r w:rsidRPr="00324904">
        <w:rPr>
          <w:bCs/>
          <w:strike/>
          <w:color w:val="FF0000"/>
        </w:rPr>
        <w:t>03 Viability ratio (new calculated value = 03a/03b)</w:t>
      </w:r>
    </w:p>
    <w:p w14:paraId="66001361" w14:textId="77777777" w:rsidR="00D652F9" w:rsidRPr="00324904" w:rsidRDefault="00D652F9" w:rsidP="00D652F9">
      <w:pPr>
        <w:pStyle w:val="TableText"/>
        <w:spacing w:after="0"/>
        <w:ind w:left="1170"/>
        <w:jc w:val="left"/>
        <w:rPr>
          <w:bCs/>
          <w:strike/>
          <w:color w:val="FF0000"/>
        </w:rPr>
      </w:pPr>
      <w:r w:rsidRPr="00324904">
        <w:rPr>
          <w:bCs/>
          <w:strike/>
          <w:color w:val="FF0000"/>
        </w:rPr>
        <w:t>04a Expendable net assets (new collection)</w:t>
      </w:r>
    </w:p>
    <w:p w14:paraId="2BF46162" w14:textId="77777777" w:rsidR="00D652F9" w:rsidRPr="00324904" w:rsidRDefault="00D652F9" w:rsidP="00D652F9">
      <w:pPr>
        <w:pStyle w:val="TableText"/>
        <w:spacing w:after="0"/>
        <w:ind w:left="1170"/>
        <w:jc w:val="left"/>
        <w:rPr>
          <w:bCs/>
          <w:strike/>
          <w:color w:val="FF0000"/>
        </w:rPr>
      </w:pPr>
      <w:r>
        <w:rPr>
          <w:bCs/>
        </w:rPr>
        <w:t>04</w:t>
      </w:r>
      <w:r w:rsidRPr="00324904">
        <w:rPr>
          <w:bCs/>
          <w:strike/>
          <w:color w:val="FF0000"/>
        </w:rPr>
        <w:t>b</w:t>
      </w:r>
      <w:r>
        <w:rPr>
          <w:bCs/>
        </w:rPr>
        <w:t xml:space="preserve"> Total expenses </w:t>
      </w:r>
      <w:r w:rsidRPr="00324904">
        <w:rPr>
          <w:bCs/>
          <w:strike/>
          <w:color w:val="FF0000"/>
        </w:rPr>
        <w:t>(currently collected, preloaded into new screen)</w:t>
      </w:r>
    </w:p>
    <w:p w14:paraId="124EA531" w14:textId="7243C84B" w:rsidR="00D652F9" w:rsidRPr="00324904" w:rsidRDefault="00D652F9" w:rsidP="00D652F9">
      <w:pPr>
        <w:pStyle w:val="TableText"/>
        <w:ind w:left="1170"/>
        <w:jc w:val="left"/>
        <w:rPr>
          <w:bCs/>
          <w:strike/>
          <w:color w:val="FF0000"/>
        </w:rPr>
      </w:pPr>
      <w:r w:rsidRPr="00324904">
        <w:rPr>
          <w:bCs/>
          <w:strike/>
          <w:color w:val="FF0000"/>
        </w:rPr>
        <w:t>04 Primary reserve ratio (new calculated value = 04a/04b)</w:t>
      </w:r>
    </w:p>
    <w:p w14:paraId="7F35ADCA" w14:textId="062587B1" w:rsidR="00324904" w:rsidRPr="00324904" w:rsidRDefault="00324904" w:rsidP="00D652F9">
      <w:pPr>
        <w:pStyle w:val="TableText"/>
        <w:spacing w:after="0"/>
        <w:ind w:left="720"/>
        <w:jc w:val="left"/>
        <w:rPr>
          <w:b/>
          <w:i/>
          <w:color w:val="auto"/>
        </w:rPr>
      </w:pPr>
      <w:r w:rsidRPr="00324904">
        <w:rPr>
          <w:b/>
          <w:i/>
          <w:color w:val="auto"/>
        </w:rPr>
        <w:t>Revised</w:t>
      </w:r>
      <w:r w:rsidRPr="00324904">
        <w:rPr>
          <w:bCs/>
          <w:i/>
          <w:color w:val="FF0000"/>
        </w:rPr>
        <w:t xml:space="preserve"> (text in red font shows additions)</w:t>
      </w:r>
      <w:r w:rsidRPr="00324904">
        <w:rPr>
          <w:b/>
          <w:i/>
          <w:color w:val="auto"/>
        </w:rPr>
        <w:t>:</w:t>
      </w:r>
    </w:p>
    <w:p w14:paraId="142A6F89" w14:textId="55497C62" w:rsidR="00D652F9" w:rsidRPr="00D652F9" w:rsidRDefault="00D652F9" w:rsidP="00324904">
      <w:pPr>
        <w:pStyle w:val="TableText"/>
        <w:spacing w:after="0"/>
        <w:ind w:left="900"/>
        <w:jc w:val="left"/>
        <w:rPr>
          <w:bCs/>
          <w:i/>
          <w:color w:val="FF0000"/>
        </w:rPr>
      </w:pPr>
      <w:r w:rsidRPr="00C96B96">
        <w:rPr>
          <w:bCs/>
          <w:i/>
          <w:color w:val="auto"/>
        </w:rPr>
        <w:t xml:space="preserve">Degree-granting institutions only: Add new screen to collect numerator and denominator for calculating financial health ratios </w:t>
      </w:r>
      <w:r w:rsidRPr="00D652F9">
        <w:rPr>
          <w:bCs/>
          <w:i/>
          <w:color w:val="FF0000"/>
        </w:rPr>
        <w:t>(note: ratios will not be calculated; terminology changed to more accurately reflect existing standards for FASB and for-profit institutions)</w:t>
      </w:r>
    </w:p>
    <w:p w14:paraId="3B058554" w14:textId="77777777" w:rsidR="00D652F9" w:rsidRPr="00D652F9" w:rsidRDefault="00D652F9" w:rsidP="00D652F9">
      <w:pPr>
        <w:pStyle w:val="TableText"/>
        <w:spacing w:after="0"/>
        <w:ind w:left="1170"/>
        <w:jc w:val="left"/>
        <w:rPr>
          <w:bCs/>
          <w:i/>
          <w:color w:val="FF0000"/>
        </w:rPr>
      </w:pPr>
      <w:r w:rsidRPr="00D652F9">
        <w:rPr>
          <w:bCs/>
          <w:i/>
          <w:color w:val="FF0000"/>
        </w:rPr>
        <w:t>GASB /FASB/ For profit</w:t>
      </w:r>
    </w:p>
    <w:p w14:paraId="5DD8C7F2" w14:textId="77777777" w:rsidR="00D652F9" w:rsidRPr="00C96B96" w:rsidRDefault="00D652F9" w:rsidP="00324904">
      <w:pPr>
        <w:pStyle w:val="TableText"/>
        <w:spacing w:after="0"/>
        <w:ind w:left="1530" w:hanging="360"/>
        <w:jc w:val="left"/>
        <w:rPr>
          <w:bCs/>
          <w:color w:val="auto"/>
        </w:rPr>
      </w:pPr>
      <w:r w:rsidRPr="00C96B96">
        <w:rPr>
          <w:bCs/>
          <w:color w:val="auto"/>
        </w:rPr>
        <w:t>01 Operating income (loss) + net nonoperating revenues (expenses)</w:t>
      </w:r>
      <w:r w:rsidRPr="00D652F9">
        <w:rPr>
          <w:bCs/>
          <w:color w:val="FF0000"/>
        </w:rPr>
        <w:t>/ Changes in unrestricted net assets/ Pretax income</w:t>
      </w:r>
    </w:p>
    <w:p w14:paraId="607B8659" w14:textId="77777777" w:rsidR="00D652F9" w:rsidRPr="00C96B96" w:rsidRDefault="00D652F9" w:rsidP="00324904">
      <w:pPr>
        <w:pStyle w:val="TableText"/>
        <w:spacing w:after="0"/>
        <w:ind w:left="1530" w:hanging="360"/>
        <w:jc w:val="left"/>
        <w:rPr>
          <w:bCs/>
          <w:color w:val="auto"/>
        </w:rPr>
      </w:pPr>
      <w:r w:rsidRPr="00C96B96">
        <w:rPr>
          <w:bCs/>
          <w:color w:val="auto"/>
        </w:rPr>
        <w:t>02 Operating revenues + nonoperating revenues</w:t>
      </w:r>
      <w:r w:rsidRPr="00D652F9">
        <w:rPr>
          <w:bCs/>
          <w:color w:val="FF0000"/>
        </w:rPr>
        <w:t>/ Total unrestricted operating revenues/ Total revenues (preloaded)</w:t>
      </w:r>
    </w:p>
    <w:p w14:paraId="7DDDF2B3" w14:textId="77777777" w:rsidR="00D652F9" w:rsidRPr="00D652F9" w:rsidRDefault="00D652F9" w:rsidP="00324904">
      <w:pPr>
        <w:pStyle w:val="TableText"/>
        <w:spacing w:after="0"/>
        <w:ind w:left="1530" w:hanging="360"/>
        <w:jc w:val="left"/>
        <w:rPr>
          <w:bCs/>
          <w:color w:val="FF0000"/>
        </w:rPr>
      </w:pPr>
      <w:r w:rsidRPr="00324904">
        <w:rPr>
          <w:bCs/>
          <w:color w:val="auto"/>
        </w:rPr>
        <w:t xml:space="preserve">03 </w:t>
      </w:r>
      <w:r w:rsidRPr="00D652F9">
        <w:rPr>
          <w:bCs/>
          <w:color w:val="FF0000"/>
        </w:rPr>
        <w:t xml:space="preserve">Change in net position/ </w:t>
      </w:r>
      <w:r w:rsidRPr="00324904">
        <w:rPr>
          <w:bCs/>
          <w:color w:val="auto"/>
        </w:rPr>
        <w:t>Change in net assets</w:t>
      </w:r>
      <w:r w:rsidRPr="00D652F9">
        <w:rPr>
          <w:bCs/>
          <w:color w:val="FF0000"/>
        </w:rPr>
        <w:t xml:space="preserve"> (preloaded)/ Total equity (preloaded)</w:t>
      </w:r>
    </w:p>
    <w:p w14:paraId="46B4AC39" w14:textId="77777777" w:rsidR="00D652F9" w:rsidRPr="00C96B96" w:rsidRDefault="00D652F9" w:rsidP="00324904">
      <w:pPr>
        <w:pStyle w:val="TableText"/>
        <w:spacing w:after="0"/>
        <w:ind w:left="1530" w:hanging="360"/>
        <w:jc w:val="left"/>
        <w:rPr>
          <w:bCs/>
          <w:color w:val="auto"/>
        </w:rPr>
      </w:pPr>
      <w:r w:rsidRPr="00C96B96">
        <w:rPr>
          <w:bCs/>
          <w:color w:val="auto"/>
        </w:rPr>
        <w:t xml:space="preserve">04 </w:t>
      </w:r>
      <w:r w:rsidRPr="00324904">
        <w:rPr>
          <w:bCs/>
          <w:color w:val="FF0000"/>
        </w:rPr>
        <w:t>Net position/</w:t>
      </w:r>
      <w:r w:rsidRPr="00C96B96">
        <w:rPr>
          <w:bCs/>
          <w:color w:val="auto"/>
        </w:rPr>
        <w:t xml:space="preserve">Total net assets </w:t>
      </w:r>
      <w:r w:rsidRPr="00324904">
        <w:rPr>
          <w:bCs/>
          <w:color w:val="FF0000"/>
        </w:rPr>
        <w:t>(preloaded)/ Total assets (preloaded)</w:t>
      </w:r>
    </w:p>
    <w:p w14:paraId="1C3FCF77" w14:textId="77777777" w:rsidR="00D652F9" w:rsidRPr="00324904" w:rsidRDefault="00D652F9" w:rsidP="00324904">
      <w:pPr>
        <w:pStyle w:val="TableText"/>
        <w:spacing w:after="0"/>
        <w:ind w:left="1530" w:hanging="360"/>
        <w:jc w:val="left"/>
        <w:rPr>
          <w:bCs/>
          <w:color w:val="FF0000"/>
        </w:rPr>
      </w:pPr>
      <w:r w:rsidRPr="00C96B96">
        <w:rPr>
          <w:bCs/>
          <w:color w:val="auto"/>
        </w:rPr>
        <w:t>05 Expendable net assets</w:t>
      </w:r>
      <w:r w:rsidRPr="00324904">
        <w:rPr>
          <w:bCs/>
          <w:color w:val="auto"/>
        </w:rPr>
        <w:t>/ Expendable net assets</w:t>
      </w:r>
      <w:r w:rsidRPr="00324904">
        <w:rPr>
          <w:bCs/>
          <w:color w:val="FF0000"/>
        </w:rPr>
        <w:t>/ Adjusted equity</w:t>
      </w:r>
    </w:p>
    <w:p w14:paraId="5706CA04" w14:textId="77777777" w:rsidR="00D652F9" w:rsidRPr="00C96B96" w:rsidRDefault="00D652F9" w:rsidP="00324904">
      <w:pPr>
        <w:pStyle w:val="TableText"/>
        <w:spacing w:after="0"/>
        <w:ind w:left="1530" w:hanging="360"/>
        <w:jc w:val="left"/>
        <w:rPr>
          <w:bCs/>
          <w:color w:val="auto"/>
        </w:rPr>
      </w:pPr>
      <w:r w:rsidRPr="00C96B96">
        <w:rPr>
          <w:bCs/>
          <w:color w:val="auto"/>
        </w:rPr>
        <w:t xml:space="preserve">06 Plant-related debt/ Plant-related debt </w:t>
      </w:r>
      <w:r w:rsidRPr="00324904">
        <w:rPr>
          <w:bCs/>
          <w:color w:val="FF0000"/>
        </w:rPr>
        <w:t>(preloaded)</w:t>
      </w:r>
      <w:r w:rsidRPr="00C96B96">
        <w:rPr>
          <w:bCs/>
          <w:color w:val="auto"/>
        </w:rPr>
        <w:t xml:space="preserve">/ Plant-related debt </w:t>
      </w:r>
      <w:r w:rsidRPr="00324904">
        <w:rPr>
          <w:bCs/>
          <w:color w:val="FF0000"/>
        </w:rPr>
        <w:t>(preloaded)</w:t>
      </w:r>
    </w:p>
    <w:p w14:paraId="2D67CA07" w14:textId="3A80E7BA" w:rsidR="00D652F9" w:rsidRPr="00D652F9" w:rsidRDefault="00D652F9" w:rsidP="00324904">
      <w:pPr>
        <w:pStyle w:val="TableText"/>
        <w:ind w:left="1530" w:hanging="360"/>
        <w:jc w:val="left"/>
        <w:rPr>
          <w:bCs/>
        </w:rPr>
      </w:pPr>
      <w:r w:rsidRPr="00C96B96">
        <w:rPr>
          <w:bCs/>
          <w:color w:val="auto"/>
        </w:rPr>
        <w:t xml:space="preserve">07 Total expenses/ Total expenses </w:t>
      </w:r>
      <w:r w:rsidRPr="00324904">
        <w:rPr>
          <w:bCs/>
          <w:color w:val="FF0000"/>
        </w:rPr>
        <w:t>(preloaded)</w:t>
      </w:r>
      <w:r w:rsidRPr="00C96B96">
        <w:rPr>
          <w:bCs/>
          <w:color w:val="auto"/>
        </w:rPr>
        <w:t xml:space="preserve">/ Total expenses </w:t>
      </w:r>
      <w:r w:rsidRPr="00324904">
        <w:rPr>
          <w:bCs/>
          <w:color w:val="FF0000"/>
        </w:rPr>
        <w:t>(preloaded)</w:t>
      </w:r>
    </w:p>
    <w:p w14:paraId="75D45F50" w14:textId="36BA078D" w:rsidR="00374809" w:rsidRPr="0006134D" w:rsidRDefault="00374809" w:rsidP="0006134D">
      <w:pPr>
        <w:spacing w:after="120" w:line="23" w:lineRule="atLeast"/>
        <w:ind w:left="360"/>
        <w:rPr>
          <w:sz w:val="22"/>
          <w:szCs w:val="22"/>
        </w:rPr>
      </w:pPr>
      <w:r w:rsidRPr="0006134D">
        <w:rPr>
          <w:sz w:val="22"/>
          <w:szCs w:val="22"/>
        </w:rPr>
        <w:lastRenderedPageBreak/>
        <w:t>In the “</w:t>
      </w:r>
      <w:r w:rsidR="001266AA" w:rsidRPr="0006134D">
        <w:rPr>
          <w:i/>
          <w:sz w:val="22"/>
          <w:szCs w:val="22"/>
        </w:rPr>
        <w:t>IPEDS 2019-20 through 2021-22 F Finance</w:t>
      </w:r>
      <w:r w:rsidRPr="0006134D">
        <w:rPr>
          <w:sz w:val="22"/>
          <w:szCs w:val="22"/>
        </w:rPr>
        <w:t>” document</w:t>
      </w:r>
      <w:r w:rsidR="00E1382F" w:rsidRPr="0006134D">
        <w:rPr>
          <w:sz w:val="22"/>
          <w:szCs w:val="22"/>
        </w:rPr>
        <w:t>:</w:t>
      </w:r>
    </w:p>
    <w:p w14:paraId="75D45F51" w14:textId="03A148C6" w:rsidR="00374809" w:rsidRPr="0006134D" w:rsidRDefault="00671E64" w:rsidP="0006134D">
      <w:pPr>
        <w:numPr>
          <w:ilvl w:val="0"/>
          <w:numId w:val="3"/>
        </w:numPr>
        <w:spacing w:after="240" w:line="23" w:lineRule="atLeast"/>
        <w:ind w:hanging="180"/>
        <w:rPr>
          <w:sz w:val="22"/>
          <w:szCs w:val="22"/>
        </w:rPr>
      </w:pPr>
      <w:r w:rsidRPr="0006134D">
        <w:rPr>
          <w:sz w:val="22"/>
          <w:szCs w:val="22"/>
        </w:rPr>
        <w:t>Updated the screens and instructions for the new collection of Financial Health variables (versus Financial Health Ratios)</w:t>
      </w:r>
      <w:r w:rsidR="00595187" w:rsidRPr="0006134D">
        <w:rPr>
          <w:sz w:val="22"/>
          <w:szCs w:val="22"/>
        </w:rPr>
        <w:t xml:space="preserve">. This impacts the overview with screens on pages 4-6, and the specific instructions on pages 45 (GASB), </w:t>
      </w:r>
      <w:r w:rsidR="009D6EDC" w:rsidRPr="0006134D">
        <w:rPr>
          <w:sz w:val="22"/>
          <w:szCs w:val="22"/>
        </w:rPr>
        <w:t>83 (FASB public and private not-for-profit), and 118 (FASB for profit)</w:t>
      </w:r>
      <w:r w:rsidR="0006134D" w:rsidRPr="0006134D">
        <w:rPr>
          <w:sz w:val="22"/>
          <w:szCs w:val="22"/>
        </w:rPr>
        <w:t>.</w:t>
      </w:r>
    </w:p>
    <w:p w14:paraId="0D0FA702" w14:textId="4D8B9043" w:rsidR="004F644B" w:rsidRPr="0006134D" w:rsidRDefault="004F644B" w:rsidP="00223ABA">
      <w:pPr>
        <w:pStyle w:val="ListParagraph"/>
        <w:numPr>
          <w:ilvl w:val="0"/>
          <w:numId w:val="4"/>
        </w:numPr>
        <w:spacing w:after="120" w:line="23" w:lineRule="atLeast"/>
        <w:rPr>
          <w:sz w:val="22"/>
          <w:szCs w:val="22"/>
        </w:rPr>
      </w:pPr>
      <w:r w:rsidRPr="0006134D">
        <w:rPr>
          <w:sz w:val="22"/>
          <w:szCs w:val="22"/>
        </w:rPr>
        <w:t xml:space="preserve">Based on comments received during the </w:t>
      </w:r>
      <w:r w:rsidR="003F508D" w:rsidRPr="0006134D">
        <w:rPr>
          <w:sz w:val="22"/>
          <w:szCs w:val="22"/>
        </w:rPr>
        <w:t>3</w:t>
      </w:r>
      <w:r w:rsidRPr="0006134D">
        <w:rPr>
          <w:sz w:val="22"/>
          <w:szCs w:val="22"/>
        </w:rPr>
        <w:t>0</w:t>
      </w:r>
      <w:r w:rsidR="00477E39" w:rsidRPr="0006134D">
        <w:rPr>
          <w:sz w:val="22"/>
          <w:szCs w:val="22"/>
        </w:rPr>
        <w:t>-</w:t>
      </w:r>
      <w:r w:rsidRPr="0006134D">
        <w:rPr>
          <w:sz w:val="22"/>
          <w:szCs w:val="22"/>
        </w:rPr>
        <w:t xml:space="preserve">day public comment period, NCES is making slight changes to the distance education question in the Completions component, </w:t>
      </w:r>
      <w:r w:rsidR="00EF36E3" w:rsidRPr="0006134D">
        <w:rPr>
          <w:sz w:val="22"/>
          <w:szCs w:val="22"/>
        </w:rPr>
        <w:t>resulting in the following changes in these documents</w:t>
      </w:r>
      <w:r w:rsidRPr="0006134D">
        <w:rPr>
          <w:sz w:val="22"/>
          <w:szCs w:val="22"/>
        </w:rPr>
        <w:t>:</w:t>
      </w:r>
    </w:p>
    <w:p w14:paraId="454D8E5D" w14:textId="78901C37" w:rsidR="004F644B" w:rsidRPr="0006134D" w:rsidRDefault="004F644B" w:rsidP="0006134D">
      <w:pPr>
        <w:spacing w:after="120" w:line="23" w:lineRule="atLeast"/>
        <w:ind w:left="360"/>
        <w:rPr>
          <w:sz w:val="22"/>
          <w:szCs w:val="22"/>
        </w:rPr>
      </w:pPr>
      <w:r w:rsidRPr="0006134D">
        <w:rPr>
          <w:sz w:val="22"/>
          <w:szCs w:val="22"/>
        </w:rPr>
        <w:t>In the “</w:t>
      </w:r>
      <w:r w:rsidR="001266AA" w:rsidRPr="0006134D">
        <w:rPr>
          <w:i/>
          <w:sz w:val="22"/>
          <w:szCs w:val="22"/>
        </w:rPr>
        <w:t>Appendix A - IPEDS 2019-20 through 2021-22 Proposed Changes</w:t>
      </w:r>
      <w:r w:rsidRPr="0006134D">
        <w:rPr>
          <w:sz w:val="22"/>
          <w:szCs w:val="22"/>
        </w:rPr>
        <w:t>” document:</w:t>
      </w:r>
    </w:p>
    <w:p w14:paraId="57C09263" w14:textId="45C16403" w:rsidR="00562507" w:rsidRPr="0006134D" w:rsidRDefault="00562507" w:rsidP="0006134D">
      <w:pPr>
        <w:pStyle w:val="ListParagraph"/>
        <w:numPr>
          <w:ilvl w:val="0"/>
          <w:numId w:val="3"/>
        </w:numPr>
        <w:spacing w:after="120" w:line="23" w:lineRule="atLeast"/>
        <w:ind w:hanging="180"/>
        <w:rPr>
          <w:sz w:val="22"/>
          <w:szCs w:val="22"/>
        </w:rPr>
      </w:pPr>
      <w:r w:rsidRPr="0006134D">
        <w:rPr>
          <w:sz w:val="22"/>
          <w:szCs w:val="22"/>
        </w:rPr>
        <w:t>Revised</w:t>
      </w:r>
      <w:r w:rsidR="004F644B" w:rsidRPr="0006134D">
        <w:rPr>
          <w:sz w:val="22"/>
          <w:szCs w:val="22"/>
        </w:rPr>
        <w:t xml:space="preserve"> wording</w:t>
      </w:r>
      <w:r w:rsidRPr="0006134D">
        <w:rPr>
          <w:sz w:val="22"/>
          <w:szCs w:val="22"/>
        </w:rPr>
        <w:t xml:space="preserve"> as follows: </w:t>
      </w:r>
      <w:r w:rsidRPr="0006134D">
        <w:rPr>
          <w:i/>
          <w:strike/>
          <w:color w:val="FF0000"/>
          <w:sz w:val="22"/>
          <w:szCs w:val="22"/>
        </w:rPr>
        <w:t>For</w:t>
      </w:r>
      <w:r w:rsidRPr="0006134D">
        <w:rPr>
          <w:i/>
          <w:color w:val="FF0000"/>
          <w:sz w:val="22"/>
          <w:szCs w:val="22"/>
        </w:rPr>
        <w:t xml:space="preserve"> Update </w:t>
      </w:r>
      <w:r w:rsidRPr="0006134D">
        <w:rPr>
          <w:i/>
          <w:sz w:val="22"/>
          <w:szCs w:val="22"/>
        </w:rPr>
        <w:t xml:space="preserve">the question, “Is this program offered as a distance education program?” </w:t>
      </w:r>
      <w:r w:rsidRPr="0006134D">
        <w:rPr>
          <w:i/>
          <w:color w:val="FF0000"/>
          <w:sz w:val="22"/>
          <w:szCs w:val="22"/>
        </w:rPr>
        <w:t xml:space="preserve">to “Is at least one program within this CIP code offered as a distance education program?”, and </w:t>
      </w:r>
      <w:r w:rsidRPr="0006134D">
        <w:rPr>
          <w:i/>
          <w:sz w:val="22"/>
          <w:szCs w:val="22"/>
        </w:rPr>
        <w:t>change answer options from “yes” or “no” to:</w:t>
      </w:r>
    </w:p>
    <w:p w14:paraId="66FE5496" w14:textId="2657F45A" w:rsidR="0050024B" w:rsidRPr="0006134D" w:rsidRDefault="0050024B" w:rsidP="0006134D">
      <w:pPr>
        <w:spacing w:after="120" w:line="23" w:lineRule="atLeast"/>
        <w:ind w:left="360"/>
        <w:rPr>
          <w:sz w:val="22"/>
          <w:szCs w:val="22"/>
        </w:rPr>
      </w:pPr>
      <w:r w:rsidRPr="0006134D">
        <w:rPr>
          <w:sz w:val="22"/>
          <w:szCs w:val="22"/>
        </w:rPr>
        <w:t>In the “</w:t>
      </w:r>
      <w:r w:rsidRPr="0006134D">
        <w:rPr>
          <w:i/>
          <w:sz w:val="22"/>
          <w:szCs w:val="22"/>
        </w:rPr>
        <w:t>IPEDS 2019-20 through 2021-22 C Completions</w:t>
      </w:r>
      <w:r w:rsidRPr="0006134D">
        <w:rPr>
          <w:sz w:val="22"/>
          <w:szCs w:val="22"/>
        </w:rPr>
        <w:t>” document:</w:t>
      </w:r>
    </w:p>
    <w:p w14:paraId="54A16781" w14:textId="1D01F3C7" w:rsidR="00617AE2" w:rsidRPr="0006134D" w:rsidRDefault="00CB419B" w:rsidP="0006134D">
      <w:pPr>
        <w:pStyle w:val="ListParagraph"/>
        <w:numPr>
          <w:ilvl w:val="0"/>
          <w:numId w:val="3"/>
        </w:numPr>
        <w:spacing w:after="120" w:line="23" w:lineRule="atLeast"/>
        <w:ind w:hanging="180"/>
        <w:rPr>
          <w:sz w:val="22"/>
          <w:szCs w:val="22"/>
        </w:rPr>
      </w:pPr>
      <w:r w:rsidRPr="0006134D">
        <w:rPr>
          <w:sz w:val="22"/>
          <w:szCs w:val="22"/>
        </w:rPr>
        <w:t>Update</w:t>
      </w:r>
      <w:r w:rsidR="00CA57F8" w:rsidRPr="0006134D">
        <w:rPr>
          <w:sz w:val="22"/>
          <w:szCs w:val="22"/>
        </w:rPr>
        <w:t>d</w:t>
      </w:r>
      <w:r w:rsidRPr="0006134D">
        <w:rPr>
          <w:sz w:val="22"/>
          <w:szCs w:val="22"/>
        </w:rPr>
        <w:t xml:space="preserve"> the wording/layout to the mock-up for the distance education </w:t>
      </w:r>
      <w:r w:rsidR="003F508D" w:rsidRPr="0006134D">
        <w:rPr>
          <w:sz w:val="22"/>
          <w:szCs w:val="22"/>
        </w:rPr>
        <w:t xml:space="preserve">question </w:t>
      </w:r>
      <w:r w:rsidRPr="0006134D">
        <w:rPr>
          <w:sz w:val="22"/>
          <w:szCs w:val="22"/>
        </w:rPr>
        <w:t>on page 4.</w:t>
      </w:r>
    </w:p>
    <w:sectPr w:rsidR="00617AE2" w:rsidRPr="0006134D" w:rsidSect="00CB7434"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F306" w14:textId="77777777" w:rsidR="00A92943" w:rsidRDefault="00A92943" w:rsidP="00B34381">
      <w:r>
        <w:separator/>
      </w:r>
    </w:p>
  </w:endnote>
  <w:endnote w:type="continuationSeparator" w:id="0">
    <w:p w14:paraId="5FE9726A" w14:textId="77777777" w:rsidR="00A92943" w:rsidRDefault="00A92943" w:rsidP="00B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33619" w14:textId="77777777" w:rsidR="00A92943" w:rsidRDefault="00A92943" w:rsidP="00B34381">
      <w:r>
        <w:separator/>
      </w:r>
    </w:p>
  </w:footnote>
  <w:footnote w:type="continuationSeparator" w:id="0">
    <w:p w14:paraId="5C2688F4" w14:textId="77777777" w:rsidR="00A92943" w:rsidRDefault="00A92943" w:rsidP="00B3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E18"/>
    <w:multiLevelType w:val="hybridMultilevel"/>
    <w:tmpl w:val="C492B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0531"/>
    <w:multiLevelType w:val="hybridMultilevel"/>
    <w:tmpl w:val="9FDC3EFA"/>
    <w:lvl w:ilvl="0" w:tplc="C13A67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E490D"/>
    <w:multiLevelType w:val="hybridMultilevel"/>
    <w:tmpl w:val="7AD25A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2027F"/>
    <w:multiLevelType w:val="hybridMultilevel"/>
    <w:tmpl w:val="C7DE25B6"/>
    <w:lvl w:ilvl="0" w:tplc="593E0DC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832981"/>
    <w:multiLevelType w:val="hybridMultilevel"/>
    <w:tmpl w:val="6428AD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9"/>
    <w:rsid w:val="00007376"/>
    <w:rsid w:val="00053B64"/>
    <w:rsid w:val="0006134D"/>
    <w:rsid w:val="0009477D"/>
    <w:rsid w:val="000A76E2"/>
    <w:rsid w:val="001266AA"/>
    <w:rsid w:val="001867DF"/>
    <w:rsid w:val="00223ABA"/>
    <w:rsid w:val="0024231F"/>
    <w:rsid w:val="0026116B"/>
    <w:rsid w:val="00285539"/>
    <w:rsid w:val="00294D70"/>
    <w:rsid w:val="00296904"/>
    <w:rsid w:val="002A576B"/>
    <w:rsid w:val="002C1A03"/>
    <w:rsid w:val="00301143"/>
    <w:rsid w:val="00324904"/>
    <w:rsid w:val="0036375D"/>
    <w:rsid w:val="00374809"/>
    <w:rsid w:val="003F1AC0"/>
    <w:rsid w:val="003F508D"/>
    <w:rsid w:val="004166C4"/>
    <w:rsid w:val="00453F0F"/>
    <w:rsid w:val="004666F3"/>
    <w:rsid w:val="00477E39"/>
    <w:rsid w:val="0049412C"/>
    <w:rsid w:val="004F644B"/>
    <w:rsid w:val="0050024B"/>
    <w:rsid w:val="00562507"/>
    <w:rsid w:val="005715B0"/>
    <w:rsid w:val="00590767"/>
    <w:rsid w:val="00595187"/>
    <w:rsid w:val="00617AE2"/>
    <w:rsid w:val="0065156E"/>
    <w:rsid w:val="00671E64"/>
    <w:rsid w:val="0069322A"/>
    <w:rsid w:val="00697C03"/>
    <w:rsid w:val="00701B75"/>
    <w:rsid w:val="00786E72"/>
    <w:rsid w:val="007D0727"/>
    <w:rsid w:val="007D6399"/>
    <w:rsid w:val="007F48B9"/>
    <w:rsid w:val="00800D7B"/>
    <w:rsid w:val="00900E13"/>
    <w:rsid w:val="00901C90"/>
    <w:rsid w:val="00942A16"/>
    <w:rsid w:val="00964205"/>
    <w:rsid w:val="009D6EDC"/>
    <w:rsid w:val="00A73238"/>
    <w:rsid w:val="00A92943"/>
    <w:rsid w:val="00AA6FC9"/>
    <w:rsid w:val="00AB5C77"/>
    <w:rsid w:val="00AD7418"/>
    <w:rsid w:val="00B120C7"/>
    <w:rsid w:val="00B34381"/>
    <w:rsid w:val="00BE09F3"/>
    <w:rsid w:val="00C15B1F"/>
    <w:rsid w:val="00C90F91"/>
    <w:rsid w:val="00C96CCF"/>
    <w:rsid w:val="00CA57F8"/>
    <w:rsid w:val="00CB419B"/>
    <w:rsid w:val="00CB7434"/>
    <w:rsid w:val="00CC34DD"/>
    <w:rsid w:val="00D14F3D"/>
    <w:rsid w:val="00D32B6B"/>
    <w:rsid w:val="00D37609"/>
    <w:rsid w:val="00D545A6"/>
    <w:rsid w:val="00D652F9"/>
    <w:rsid w:val="00D87863"/>
    <w:rsid w:val="00DD318E"/>
    <w:rsid w:val="00E1382F"/>
    <w:rsid w:val="00E43E7E"/>
    <w:rsid w:val="00E51E2B"/>
    <w:rsid w:val="00E96F0A"/>
    <w:rsid w:val="00EA0484"/>
    <w:rsid w:val="00EB072A"/>
    <w:rsid w:val="00EC6CDB"/>
    <w:rsid w:val="00EE2F8E"/>
    <w:rsid w:val="00EF36E3"/>
    <w:rsid w:val="00F02C59"/>
    <w:rsid w:val="00F10813"/>
    <w:rsid w:val="00F64B44"/>
    <w:rsid w:val="00F77F79"/>
    <w:rsid w:val="00F97C0B"/>
    <w:rsid w:val="00FB4B80"/>
    <w:rsid w:val="00FB649D"/>
    <w:rsid w:val="00F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5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C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1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A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A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C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D639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D63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3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Text"/>
    <w:basedOn w:val="Normal"/>
    <w:qFormat/>
    <w:rsid w:val="00D652F9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6ed4f710-a888-49b6-a3ba-a65a938483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5E9B17257344A422F0EB5D5A7C38" ma:contentTypeVersion="12" ma:contentTypeDescription="Create a new document." ma:contentTypeScope="" ma:versionID="d840be99b0811e11a3f893a3cb0eb371">
  <xsd:schema xmlns:xsd="http://www.w3.org/2001/XMLSchema" xmlns:xs="http://www.w3.org/2001/XMLSchema" xmlns:p="http://schemas.microsoft.com/office/2006/metadata/properties" xmlns:ns2="6ed4f710-a888-49b6-a3ba-a65a9384835f" xmlns:ns3="ffcb171c-5eb6-4b7e-bff7-850b4441ed9e" targetNamespace="http://schemas.microsoft.com/office/2006/metadata/properties" ma:root="true" ma:fieldsID="cfdb94a4269573f993598e58cfcc413d" ns2:_="" ns3:_="">
    <xsd:import namespace="6ed4f710-a888-49b6-a3ba-a65a9384835f"/>
    <xsd:import namespace="ffcb171c-5eb6-4b7e-bff7-850b4441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f710-a888-49b6-a3ba-a65a93848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scription="Determine if this is a file to Keep, Update, Archive, or Delete" ma:format="Dropdown" ma:internalName="Reviewed">
      <xsd:simpleType>
        <xsd:restriction base="dms:Choice">
          <xsd:enumeration value="Active (Keep)"/>
          <xsd:enumeration value="Inactive (Keep)"/>
          <xsd:enumeration value="Update"/>
          <xsd:enumeration value="Archive"/>
          <xsd:enumeration value="De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2F11F-BC00-47E8-A5B2-D06B69415B62}">
  <ds:schemaRefs>
    <ds:schemaRef ds:uri="http://schemas.microsoft.com/office/2006/metadata/properties"/>
    <ds:schemaRef ds:uri="http://schemas.microsoft.com/office/infopath/2007/PartnerControls"/>
    <ds:schemaRef ds:uri="6ed4f710-a888-49b6-a3ba-a65a9384835f"/>
  </ds:schemaRefs>
</ds:datastoreItem>
</file>

<file path=customXml/itemProps2.xml><?xml version="1.0" encoding="utf-8"?>
<ds:datastoreItem xmlns:ds="http://schemas.openxmlformats.org/officeDocument/2006/customXml" ds:itemID="{A87041DE-FB3E-4889-89DC-620439834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4f710-a888-49b6-a3ba-a65a9384835f"/>
    <ds:schemaRef ds:uri="ffcb171c-5eb6-4b7e-bff7-850b4441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14F93-A9F8-478E-B438-047130831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Reeves</dc:creator>
  <cp:lastModifiedBy>SYSTEM</cp:lastModifiedBy>
  <cp:revision>2</cp:revision>
  <cp:lastPrinted>2019-05-17T20:06:00Z</cp:lastPrinted>
  <dcterms:created xsi:type="dcterms:W3CDTF">2019-07-25T20:20:00Z</dcterms:created>
  <dcterms:modified xsi:type="dcterms:W3CDTF">2019-07-25T20:20:00Z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0x01010045905E9B17257344A422F0EB5D5A7C38</vt:lpwstr>
  </property>
  <property fmtid="{D5CDD505-2E9C-101B-9397-08002B2CF9AE}" pid="3" name="Order">
    <vt:r8>100</vt:r8>
  </property>
</Properties>
</file>