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B5279" w14:textId="77777777" w:rsidR="00F35F05" w:rsidRDefault="00F35F05" w:rsidP="00F35F05">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677B66F" w14:textId="77777777" w:rsidR="00F35F05" w:rsidRDefault="00F35F05" w:rsidP="00F35F05">
      <w:pPr>
        <w:jc w:val="center"/>
      </w:pPr>
      <w:r>
        <w:t>FEDERAL ENERGY REGULATORY COMMISSION</w:t>
      </w:r>
    </w:p>
    <w:p w14:paraId="699EAF4A" w14:textId="77777777" w:rsidR="00F35F05" w:rsidRDefault="00F35F05" w:rsidP="00F35F05"/>
    <w:p w14:paraId="07B7AA8A" w14:textId="285C6745" w:rsidR="00F35F05" w:rsidRDefault="00F35F05" w:rsidP="00F35F05">
      <w:pPr>
        <w:jc w:val="center"/>
      </w:pPr>
      <w:r w:rsidRPr="008D3934">
        <w:t>[Docket No. IC19-</w:t>
      </w:r>
      <w:r w:rsidR="008D3934" w:rsidRPr="008D3934">
        <w:t>19</w:t>
      </w:r>
      <w:r w:rsidRPr="008D3934">
        <w:t>-000]</w:t>
      </w:r>
    </w:p>
    <w:p w14:paraId="2C161EE4" w14:textId="77777777" w:rsidR="00F35F05" w:rsidRDefault="00F35F05" w:rsidP="00F35F05"/>
    <w:p w14:paraId="67ABD17D" w14:textId="77777777" w:rsidR="00F35F05" w:rsidRDefault="00F35F05" w:rsidP="00F35F05">
      <w:pPr>
        <w:jc w:val="center"/>
      </w:pPr>
      <w:r>
        <w:t>COMMISSION INFORMATION COLLECTION ACTIVITIES (FERC-542);</w:t>
      </w:r>
    </w:p>
    <w:p w14:paraId="45909F3F" w14:textId="5FB2EC08" w:rsidR="00F35F05" w:rsidRDefault="00F35F05" w:rsidP="00F35F05">
      <w:pPr>
        <w:jc w:val="center"/>
      </w:pPr>
      <w:r>
        <w:t>COMMENT REQUEST; EXTENSION</w:t>
      </w:r>
    </w:p>
    <w:p w14:paraId="583A10DF" w14:textId="77777777" w:rsidR="00F35F05" w:rsidRDefault="00F35F05" w:rsidP="00F35F05"/>
    <w:p w14:paraId="6EDF0551" w14:textId="0442CA0B" w:rsidR="00F35F05" w:rsidRDefault="00492ABA" w:rsidP="00492ABA">
      <w:pPr>
        <w:jc w:val="center"/>
      </w:pPr>
      <w:r w:rsidRPr="00492ABA">
        <w:t>(April 3, 2019)</w:t>
      </w:r>
    </w:p>
    <w:p w14:paraId="114DB22F" w14:textId="77777777" w:rsidR="00492ABA" w:rsidRPr="00492ABA" w:rsidRDefault="00492ABA" w:rsidP="00492ABA"/>
    <w:p w14:paraId="7CDBF8BF" w14:textId="77777777" w:rsidR="00F35F05" w:rsidRDefault="00F35F05" w:rsidP="00F35F05">
      <w:r w:rsidRPr="00AB4DBF">
        <w:rPr>
          <w:b/>
        </w:rPr>
        <w:t>AGENCY:</w:t>
      </w:r>
      <w:r w:rsidRPr="00AB4DBF">
        <w:t xml:space="preserve">  Federal Energy Regulatory Commission.</w:t>
      </w:r>
    </w:p>
    <w:p w14:paraId="1DE2AF33" w14:textId="77777777" w:rsidR="00F35F05" w:rsidRPr="00AB4DBF" w:rsidRDefault="00F35F05" w:rsidP="00F35F05"/>
    <w:p w14:paraId="1C67FC17" w14:textId="77777777" w:rsidR="00F35F05" w:rsidRDefault="00F35F05" w:rsidP="00F35F05">
      <w:pPr>
        <w:spacing w:line="480" w:lineRule="auto"/>
      </w:pPr>
      <w:r w:rsidRPr="00CE64F2">
        <w:rPr>
          <w:b/>
        </w:rPr>
        <w:t>ACTION:</w:t>
      </w:r>
      <w:r>
        <w:t xml:space="preserve">  Notice of information collection and request for comments.</w:t>
      </w:r>
    </w:p>
    <w:p w14:paraId="5C3EB98C" w14:textId="77777777" w:rsidR="00F35F05" w:rsidRDefault="00F35F05" w:rsidP="00F35F05">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FERC-542</w:t>
      </w:r>
      <w:r w:rsidRPr="00D36594">
        <w:t xml:space="preserve"> (</w:t>
      </w:r>
      <w:r>
        <w:t>Gas Pipeline Rates: Rate Tracking).</w:t>
      </w:r>
    </w:p>
    <w:p w14:paraId="6D611CBA" w14:textId="483E0DCF" w:rsidR="00F35F05" w:rsidRPr="00AA3599" w:rsidRDefault="00F35F05" w:rsidP="00F35F05">
      <w:pPr>
        <w:spacing w:line="480" w:lineRule="auto"/>
      </w:pPr>
      <w:r w:rsidRPr="00CE64F2">
        <w:rPr>
          <w:b/>
        </w:rPr>
        <w:t>DATES:</w:t>
      </w:r>
      <w:r>
        <w:t xml:space="preserve">  Comments on the collection of information are due </w:t>
      </w:r>
      <w:r w:rsidRPr="00492ABA">
        <w:rPr>
          <w:b/>
        </w:rPr>
        <w:t>[</w:t>
      </w:r>
      <w:r>
        <w:rPr>
          <w:b/>
        </w:rPr>
        <w:t>I</w:t>
      </w:r>
      <w:r w:rsidRPr="006825C4">
        <w:rPr>
          <w:b/>
        </w:rPr>
        <w:t xml:space="preserve">nsert date 60 days after </w:t>
      </w:r>
      <w:r w:rsidR="00492ABA">
        <w:rPr>
          <w:b/>
        </w:rPr>
        <w:t xml:space="preserve">date of </w:t>
      </w:r>
      <w:r w:rsidRPr="006825C4">
        <w:rPr>
          <w:b/>
        </w:rPr>
        <w:t xml:space="preserve">publication in the </w:t>
      </w:r>
      <w:r w:rsidRPr="00AA3599">
        <w:rPr>
          <w:b/>
        </w:rPr>
        <w:t>Federal Register</w:t>
      </w:r>
      <w:r w:rsidRPr="00492ABA">
        <w:rPr>
          <w:b/>
        </w:rPr>
        <w:t>]</w:t>
      </w:r>
      <w:r w:rsidRPr="00AA3599">
        <w:t xml:space="preserve">. </w:t>
      </w:r>
    </w:p>
    <w:p w14:paraId="419808DA" w14:textId="61ECFB2D" w:rsidR="00F35F05" w:rsidRDefault="00F35F05" w:rsidP="00F35F05">
      <w:pPr>
        <w:spacing w:line="480" w:lineRule="auto"/>
      </w:pPr>
      <w:r w:rsidRPr="00AA3599">
        <w:rPr>
          <w:b/>
        </w:rPr>
        <w:t>ADDRESSES:</w:t>
      </w:r>
      <w:r w:rsidRPr="00AA3599">
        <w:t xml:space="preserve">  You may submit comments (identified by </w:t>
      </w:r>
      <w:r w:rsidRPr="008D3934">
        <w:t>Docket No. IC19-</w:t>
      </w:r>
      <w:r w:rsidR="008D3934" w:rsidRPr="008D3934">
        <w:t>19</w:t>
      </w:r>
      <w:r w:rsidRPr="008D3934">
        <w:t>-000</w:t>
      </w:r>
      <w:r w:rsidRPr="00AA3599">
        <w:t>) by either of the following</w:t>
      </w:r>
      <w:r>
        <w:t xml:space="preserve"> methods:</w:t>
      </w:r>
    </w:p>
    <w:p w14:paraId="009861A6" w14:textId="77777777" w:rsidR="00F35F05" w:rsidRDefault="00F35F05" w:rsidP="00F35F05">
      <w:pPr>
        <w:numPr>
          <w:ilvl w:val="0"/>
          <w:numId w:val="1"/>
        </w:numPr>
        <w:tabs>
          <w:tab w:val="clear" w:pos="1500"/>
          <w:tab w:val="num" w:pos="1080"/>
        </w:tabs>
        <w:spacing w:line="480" w:lineRule="auto"/>
        <w:ind w:left="720" w:firstLine="0"/>
      </w:pPr>
      <w:bookmarkStart w:id="1" w:name="OLE_LINK1"/>
      <w:r>
        <w:t xml:space="preserve">eFiling at Commission’s Web Site: </w:t>
      </w:r>
      <w:hyperlink r:id="rId12" w:history="1">
        <w:r w:rsidRPr="00EC7068">
          <w:rPr>
            <w:rStyle w:val="Hyperlink"/>
          </w:rPr>
          <w:t>http://www.ferc.gov/docs-filing/efiling.asp</w:t>
        </w:r>
      </w:hyperlink>
    </w:p>
    <w:p w14:paraId="70E6D799" w14:textId="77777777" w:rsidR="00F35F05" w:rsidRDefault="00F35F05" w:rsidP="00F35F05">
      <w:pPr>
        <w:numPr>
          <w:ilvl w:val="0"/>
          <w:numId w:val="1"/>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62E9EE8F" w14:textId="77777777" w:rsidR="00F35F05" w:rsidRDefault="00F35F05" w:rsidP="00F35F05">
      <w:pPr>
        <w:spacing w:line="480" w:lineRule="auto"/>
      </w:pPr>
      <w:r>
        <w:rPr>
          <w:i/>
        </w:rPr>
        <w:t xml:space="preserve">Instructions: </w:t>
      </w:r>
      <w:r>
        <w:t xml:space="preserve">All submissions must be formatted and filed in accordance with submission guidelines at: </w:t>
      </w:r>
      <w:hyperlink r:id="rId13"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4371D192" w14:textId="77777777" w:rsidR="00F35F05" w:rsidRPr="00241BFD" w:rsidRDefault="00F35F05" w:rsidP="00F35F05">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hyperlink r:id="rId14" w:history="1">
        <w:r w:rsidRPr="0057675D">
          <w:rPr>
            <w:rStyle w:val="Hyperlink"/>
          </w:rPr>
          <w:t>http://www.ferc.gov/docs-filing/docs-filing.asp</w:t>
        </w:r>
      </w:hyperlink>
      <w:r>
        <w:t xml:space="preserve">. </w:t>
      </w:r>
    </w:p>
    <w:bookmarkEnd w:id="1"/>
    <w:p w14:paraId="00819DEB" w14:textId="77777777" w:rsidR="00F35F05" w:rsidRDefault="00F35F05" w:rsidP="00F35F05">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5" w:history="1">
        <w:r w:rsidRPr="00006D4B">
          <w:rPr>
            <w:rStyle w:val="Hyperlink"/>
          </w:rPr>
          <w:t>DataClearance@FERC.gov</w:t>
        </w:r>
      </w:hyperlink>
      <w:r>
        <w:t>, telephone at (202) 502-8663, and fax at (202) 273-0873.</w:t>
      </w:r>
    </w:p>
    <w:p w14:paraId="0793E59D" w14:textId="77777777" w:rsidR="00F35F05" w:rsidRPr="00853ABC" w:rsidRDefault="00F35F05" w:rsidP="00F35F05">
      <w:pPr>
        <w:tabs>
          <w:tab w:val="left" w:pos="7880"/>
        </w:tabs>
        <w:spacing w:line="480" w:lineRule="auto"/>
      </w:pPr>
      <w:r>
        <w:t xml:space="preserve"> </w:t>
      </w:r>
      <w:r w:rsidRPr="00236304">
        <w:rPr>
          <w:b/>
        </w:rPr>
        <w:t>SUPPLEMENTARY INFORMATION</w:t>
      </w:r>
      <w:r w:rsidRPr="001C3703">
        <w:rPr>
          <w:b/>
        </w:rPr>
        <w:t>:</w:t>
      </w:r>
      <w:r>
        <w:t xml:space="preserve">  </w:t>
      </w:r>
    </w:p>
    <w:p w14:paraId="4FDC7614" w14:textId="593A5578" w:rsidR="0066112D" w:rsidRPr="00F35F05" w:rsidRDefault="00F35F05" w:rsidP="00F35F05">
      <w:pPr>
        <w:spacing w:line="480" w:lineRule="auto"/>
      </w:pPr>
      <w:r w:rsidRPr="00F35F05">
        <w:rPr>
          <w:i/>
        </w:rPr>
        <w:t>Title:</w:t>
      </w:r>
      <w:r>
        <w:t xml:space="preserve"> </w:t>
      </w:r>
      <w:r w:rsidR="00E6315F">
        <w:t xml:space="preserve">FERC-542, </w:t>
      </w:r>
      <w:r w:rsidR="00842285">
        <w:t>Gas Pipelines Rates:  Rate Tracking</w:t>
      </w:r>
    </w:p>
    <w:p w14:paraId="57AAAB87" w14:textId="77777777" w:rsidR="00F35F05" w:rsidRPr="00842285" w:rsidRDefault="00F35F05" w:rsidP="00F35F05">
      <w:pPr>
        <w:spacing w:line="480" w:lineRule="auto"/>
      </w:pPr>
      <w:r w:rsidRPr="00F35F05">
        <w:rPr>
          <w:i/>
        </w:rPr>
        <w:t>OMB Control No.:</w:t>
      </w:r>
      <w:r w:rsidR="00842285">
        <w:t>1902-0070</w:t>
      </w:r>
    </w:p>
    <w:p w14:paraId="49833C80" w14:textId="77777777" w:rsidR="00F35F05" w:rsidRPr="00842285" w:rsidRDefault="00F35F05" w:rsidP="00F35F05">
      <w:pPr>
        <w:spacing w:line="480" w:lineRule="auto"/>
      </w:pPr>
      <w:r w:rsidRPr="0000704C">
        <w:rPr>
          <w:i/>
        </w:rPr>
        <w:t>Type of Request</w:t>
      </w:r>
      <w:r w:rsidRPr="00F35F05">
        <w:rPr>
          <w:i/>
        </w:rPr>
        <w:t>:</w:t>
      </w:r>
      <w:r w:rsidR="00842285">
        <w:rPr>
          <w:i/>
        </w:rPr>
        <w:t xml:space="preserve"> </w:t>
      </w:r>
      <w:r w:rsidR="0000704C" w:rsidRPr="0000704C">
        <w:t>Three</w:t>
      </w:r>
      <w:r w:rsidR="0000704C">
        <w:rPr>
          <w:i/>
        </w:rPr>
        <w:t>-</w:t>
      </w:r>
      <w:r w:rsidR="0000704C">
        <w:t>year extension of the FERC-542 information collection requirements with no changes to the current reporting requirements.</w:t>
      </w:r>
    </w:p>
    <w:p w14:paraId="4AB4C7E7" w14:textId="07CFC572" w:rsidR="00842285" w:rsidRPr="00842285" w:rsidRDefault="00F35F05" w:rsidP="00842285">
      <w:pPr>
        <w:spacing w:line="480" w:lineRule="auto"/>
      </w:pPr>
      <w:r w:rsidRPr="00F35F05">
        <w:rPr>
          <w:i/>
        </w:rPr>
        <w:t>Abstract:</w:t>
      </w:r>
      <w:r w:rsidR="00842285">
        <w:rPr>
          <w:i/>
        </w:rPr>
        <w:t xml:space="preserve"> </w:t>
      </w:r>
      <w:r w:rsidR="00842285" w:rsidRPr="00842285">
        <w:t xml:space="preserve">The information collected </w:t>
      </w:r>
      <w:r w:rsidR="0000704C">
        <w:t>by FERC-542</w:t>
      </w:r>
      <w:r w:rsidR="00842285" w:rsidRPr="00842285">
        <w:t xml:space="preserve"> is used by the Commission to implement the statutory provisions of Title IV of the Natural Gas Policy Act (NGPA), 15 USC 3301-3432, and </w:t>
      </w:r>
      <w:r w:rsidR="00085170">
        <w:t>s</w:t>
      </w:r>
      <w:r w:rsidR="00842285" w:rsidRPr="00842285">
        <w:t xml:space="preserve">ections 4, 5 and 16 of the Natural Gas Act (NGA) (P.L.75-688) (15 USC 717-717w).  These statutes </w:t>
      </w:r>
      <w:r w:rsidR="00085170">
        <w:t>allow</w:t>
      </w:r>
      <w:r w:rsidR="00085170" w:rsidRPr="00842285">
        <w:t xml:space="preserve"> </w:t>
      </w:r>
      <w:r w:rsidR="00842285" w:rsidRPr="00842285">
        <w:t xml:space="preserve">the Commission to collect natural gas transmission cost information from interstate natural gas </w:t>
      </w:r>
      <w:r w:rsidR="00085170">
        <w:t>pipelines</w:t>
      </w:r>
      <w:r w:rsidR="00085170" w:rsidRPr="00842285">
        <w:t xml:space="preserve"> </w:t>
      </w:r>
      <w:r w:rsidR="00842285" w:rsidRPr="00842285">
        <w:t xml:space="preserve">for the purpose of verifying that these costs, which are passed on to customers, are just and reasonable.  </w:t>
      </w:r>
    </w:p>
    <w:p w14:paraId="1465B4C0" w14:textId="06754631" w:rsidR="00842285" w:rsidRPr="00842285" w:rsidRDefault="00842285" w:rsidP="00842285">
      <w:pPr>
        <w:spacing w:line="480" w:lineRule="auto"/>
      </w:pPr>
      <w:r w:rsidRPr="00842285">
        <w:tab/>
      </w:r>
      <w:r w:rsidR="005F59B0">
        <w:t>N</w:t>
      </w:r>
      <w:r w:rsidRPr="00842285">
        <w:t>atural gas pipeline</w:t>
      </w:r>
      <w:r w:rsidR="005F59B0">
        <w:t>s</w:t>
      </w:r>
      <w:r w:rsidRPr="00842285">
        <w:t xml:space="preserve"> are required by the Commission to track their transportation costs to allow for the Commission’s review and, where appropriate, approve the pass-through of these costs to pipeline customers.  FERC-542 accounts </w:t>
      </w:r>
      <w:r w:rsidR="008655A6">
        <w:t xml:space="preserve">for </w:t>
      </w:r>
      <w:r w:rsidRPr="00842285">
        <w:t>cost</w:t>
      </w:r>
      <w:r w:rsidR="008655A6">
        <w:t>s involving:</w:t>
      </w:r>
      <w:r w:rsidRPr="00842285">
        <w:t xml:space="preserve"> (1) </w:t>
      </w:r>
      <w:r w:rsidR="00D26903">
        <w:t>r</w:t>
      </w:r>
      <w:r w:rsidRPr="00842285">
        <w:t>esearch, development, and deployment expenditures; (2) annual charge adjustments</w:t>
      </w:r>
      <w:r w:rsidR="00315F1D">
        <w:t>;</w:t>
      </w:r>
      <w:r w:rsidRPr="00842285">
        <w:t xml:space="preserve"> and (3) periodic rate adjustments.</w:t>
      </w:r>
    </w:p>
    <w:p w14:paraId="1CD3D656" w14:textId="0C636D47" w:rsidR="00842285" w:rsidRPr="00842285" w:rsidRDefault="00842285" w:rsidP="00842285">
      <w:pPr>
        <w:spacing w:line="480" w:lineRule="auto"/>
      </w:pPr>
      <w:r w:rsidRPr="00842285">
        <w:lastRenderedPageBreak/>
        <w:tab/>
      </w:r>
      <w:r w:rsidR="00B120D6">
        <w:t>FERC-</w:t>
      </w:r>
      <w:r w:rsidR="00A941C3">
        <w:t>542</w:t>
      </w:r>
      <w:r w:rsidRPr="00842285">
        <w:t xml:space="preserve"> filings may be submitted at any time or on a regularly scheduled basis in accordance with the pipeline company’s tariff.  Filings may be either: (1) accepted; (2) suspended and set for hearing; (3) </w:t>
      </w:r>
      <w:r w:rsidR="00A941C3">
        <w:t>minimal suspension</w:t>
      </w:r>
      <w:r w:rsidRPr="00842285">
        <w:t>; or (4) suspended for further review, such as technical conference or some other type of Commission action.</w:t>
      </w:r>
    </w:p>
    <w:p w14:paraId="05D257A5" w14:textId="67547823" w:rsidR="00842285" w:rsidRPr="00842285" w:rsidRDefault="00842285" w:rsidP="00842285">
      <w:pPr>
        <w:spacing w:line="480" w:lineRule="auto"/>
      </w:pPr>
      <w:r w:rsidRPr="00842285">
        <w:t xml:space="preserve">The Commission implements these filing requirements in the Code of Federal Regulations (CFR) under 18 CFR Part 154, </w:t>
      </w:r>
      <w:r w:rsidR="001651B0">
        <w:t xml:space="preserve">154.107, </w:t>
      </w:r>
      <w:r w:rsidRPr="00842285">
        <w:t>154.4, 154.7, 154.201, and 154.401-154.403.</w:t>
      </w:r>
    </w:p>
    <w:p w14:paraId="71790378" w14:textId="533D1653" w:rsidR="00F35F05" w:rsidRPr="00236304" w:rsidRDefault="00F35F05" w:rsidP="00F35F05">
      <w:pPr>
        <w:spacing w:line="480" w:lineRule="auto"/>
      </w:pPr>
      <w:r w:rsidRPr="00236304">
        <w:rPr>
          <w:i/>
        </w:rPr>
        <w:t>Type of Respondents:</w:t>
      </w:r>
      <w:r w:rsidR="00C365F0" w:rsidRPr="00236304">
        <w:t xml:space="preserve">  </w:t>
      </w:r>
      <w:r w:rsidR="00C57360" w:rsidRPr="00236304">
        <w:t xml:space="preserve">Jurisdictional </w:t>
      </w:r>
      <w:r w:rsidR="00C365F0" w:rsidRPr="00236304">
        <w:t>Natural Gas Pipelines</w:t>
      </w:r>
    </w:p>
    <w:p w14:paraId="4A870B14" w14:textId="4981A476" w:rsidR="00F35F05" w:rsidRPr="0000704C" w:rsidRDefault="00F35F05" w:rsidP="00F35F05">
      <w:pPr>
        <w:spacing w:line="480" w:lineRule="auto"/>
      </w:pPr>
      <w:r w:rsidRPr="00236304">
        <w:rPr>
          <w:i/>
        </w:rPr>
        <w:t>Estimate of Annual Burden</w:t>
      </w:r>
      <w:r w:rsidRPr="00F35F05">
        <w:rPr>
          <w:i/>
        </w:rPr>
        <w:t>:</w:t>
      </w:r>
      <w:r w:rsidRPr="00F35F05">
        <w:rPr>
          <w:b/>
          <w:i/>
          <w:szCs w:val="26"/>
          <w:vertAlign w:val="superscript"/>
        </w:rPr>
        <w:footnoteReference w:id="2"/>
      </w:r>
      <w:r w:rsidR="00E45A17">
        <w:rPr>
          <w:i/>
        </w:rPr>
        <w:t xml:space="preserve"> </w:t>
      </w:r>
      <w:r w:rsidR="0000704C">
        <w:rPr>
          <w:i/>
        </w:rPr>
        <w:t xml:space="preserve"> </w:t>
      </w:r>
      <w:r w:rsidR="0000704C" w:rsidRPr="0000704C">
        <w:t>The Commission estimates the</w:t>
      </w:r>
      <w:r w:rsidR="00E6315F">
        <w:t xml:space="preserve"> total </w:t>
      </w:r>
      <w:r w:rsidR="00D26903">
        <w:t>b</w:t>
      </w:r>
      <w:r w:rsidR="00E6315F">
        <w:t>urden</w:t>
      </w:r>
      <w:r w:rsidR="00236304">
        <w:t xml:space="preserve"> </w:t>
      </w:r>
      <w:r w:rsidR="0000704C" w:rsidRPr="0000704C">
        <w:t>and cost for this information collection as follows:</w:t>
      </w:r>
    </w:p>
    <w:tbl>
      <w:tblPr>
        <w:tblW w:w="543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231"/>
        <w:gridCol w:w="1352"/>
        <w:gridCol w:w="1169"/>
        <w:gridCol w:w="1408"/>
        <w:gridCol w:w="1660"/>
        <w:gridCol w:w="2202"/>
      </w:tblGrid>
      <w:tr w:rsidR="00E45A17" w:rsidRPr="00E45A17" w14:paraId="36A2504F" w14:textId="77777777" w:rsidTr="00F124A6">
        <w:trPr>
          <w:cantSplit/>
        </w:trPr>
        <w:tc>
          <w:tcPr>
            <w:tcW w:w="5000" w:type="pct"/>
            <w:gridSpan w:val="7"/>
            <w:tcBorders>
              <w:bottom w:val="single" w:sz="4" w:space="0" w:color="auto"/>
            </w:tcBorders>
            <w:shd w:val="clear" w:color="auto" w:fill="D9D9D9"/>
          </w:tcPr>
          <w:p w14:paraId="39C0DB1A" w14:textId="77777777" w:rsidR="00E45A17" w:rsidRPr="00E45A17" w:rsidRDefault="00E45A17" w:rsidP="00E45A17">
            <w:pPr>
              <w:tabs>
                <w:tab w:val="left" w:pos="7880"/>
              </w:tabs>
              <w:jc w:val="center"/>
              <w:rPr>
                <w:b/>
              </w:rPr>
            </w:pPr>
            <w:r w:rsidRPr="00E45A17">
              <w:rPr>
                <w:b/>
              </w:rPr>
              <w:t>FERC-</w:t>
            </w:r>
            <w:r>
              <w:rPr>
                <w:b/>
              </w:rPr>
              <w:t>542 (Gas Pipeline Rates:  Rate Tracking)</w:t>
            </w:r>
          </w:p>
        </w:tc>
      </w:tr>
      <w:tr w:rsidR="00E45A17" w:rsidRPr="00E45A17" w14:paraId="5351FB6F" w14:textId="77777777" w:rsidTr="0000704C">
        <w:trPr>
          <w:cantSplit/>
        </w:trPr>
        <w:tc>
          <w:tcPr>
            <w:tcW w:w="669" w:type="pct"/>
            <w:shd w:val="clear" w:color="auto" w:fill="D9D9D9"/>
            <w:vAlign w:val="bottom"/>
          </w:tcPr>
          <w:p w14:paraId="0BEFB4B4" w14:textId="77777777" w:rsidR="00E45A17" w:rsidRPr="00E45A17" w:rsidRDefault="00E45A17" w:rsidP="00E45A17">
            <w:pPr>
              <w:jc w:val="center"/>
              <w:rPr>
                <w:rFonts w:eastAsia="Calibri"/>
                <w:b/>
                <w:sz w:val="20"/>
                <w:szCs w:val="20"/>
              </w:rPr>
            </w:pPr>
            <w:r>
              <w:rPr>
                <w:rFonts w:eastAsia="Calibri"/>
                <w:b/>
                <w:sz w:val="20"/>
                <w:szCs w:val="20"/>
              </w:rPr>
              <w:t>FERC Data Collection</w:t>
            </w:r>
          </w:p>
        </w:tc>
        <w:tc>
          <w:tcPr>
            <w:tcW w:w="591" w:type="pct"/>
            <w:shd w:val="clear" w:color="auto" w:fill="D9D9D9"/>
            <w:vAlign w:val="bottom"/>
          </w:tcPr>
          <w:p w14:paraId="05F4143E" w14:textId="77777777" w:rsidR="00E45A17" w:rsidRPr="00E45A17" w:rsidRDefault="00E45A17" w:rsidP="00E45A17">
            <w:pPr>
              <w:jc w:val="center"/>
              <w:rPr>
                <w:rFonts w:eastAsia="Calibri"/>
                <w:b/>
                <w:sz w:val="20"/>
                <w:szCs w:val="20"/>
              </w:rPr>
            </w:pPr>
            <w:r w:rsidRPr="00E45A17">
              <w:rPr>
                <w:rFonts w:eastAsia="Calibri"/>
                <w:b/>
                <w:sz w:val="20"/>
                <w:szCs w:val="20"/>
              </w:rPr>
              <w:t>Number of Respondents</w:t>
            </w:r>
            <w:r w:rsidRPr="00E45A17">
              <w:rPr>
                <w:rFonts w:eastAsia="Calibri"/>
                <w:b/>
                <w:sz w:val="20"/>
                <w:szCs w:val="20"/>
              </w:rPr>
              <w:br/>
              <w:t>(1)</w:t>
            </w:r>
          </w:p>
        </w:tc>
        <w:tc>
          <w:tcPr>
            <w:tcW w:w="649" w:type="pct"/>
            <w:shd w:val="clear" w:color="auto" w:fill="D9D9D9"/>
            <w:vAlign w:val="bottom"/>
          </w:tcPr>
          <w:p w14:paraId="7FB9407F" w14:textId="77777777" w:rsidR="00E45A17" w:rsidRPr="00E45A17" w:rsidRDefault="00E45A17" w:rsidP="00E45A17">
            <w:pPr>
              <w:jc w:val="center"/>
              <w:rPr>
                <w:rFonts w:eastAsia="Calibri"/>
                <w:b/>
                <w:sz w:val="20"/>
                <w:szCs w:val="20"/>
              </w:rPr>
            </w:pPr>
            <w:r w:rsidRPr="00E45A17">
              <w:rPr>
                <w:rFonts w:eastAsia="Calibri"/>
                <w:b/>
                <w:sz w:val="20"/>
                <w:szCs w:val="20"/>
              </w:rPr>
              <w:t>Annual Number of Responses per Respondent</w:t>
            </w:r>
          </w:p>
          <w:p w14:paraId="00EC4E43" w14:textId="77777777" w:rsidR="00E45A17" w:rsidRPr="00E45A17" w:rsidRDefault="00E45A17" w:rsidP="00E45A17">
            <w:pPr>
              <w:jc w:val="center"/>
              <w:rPr>
                <w:rFonts w:eastAsia="Calibri"/>
                <w:b/>
                <w:sz w:val="20"/>
                <w:szCs w:val="20"/>
              </w:rPr>
            </w:pPr>
            <w:r w:rsidRPr="00E45A17">
              <w:rPr>
                <w:rFonts w:eastAsia="Calibri"/>
                <w:b/>
                <w:sz w:val="20"/>
                <w:szCs w:val="20"/>
              </w:rPr>
              <w:t>(2)</w:t>
            </w:r>
          </w:p>
        </w:tc>
        <w:tc>
          <w:tcPr>
            <w:tcW w:w="561" w:type="pct"/>
            <w:shd w:val="clear" w:color="auto" w:fill="D9D9D9"/>
            <w:vAlign w:val="bottom"/>
          </w:tcPr>
          <w:p w14:paraId="04831937" w14:textId="77777777" w:rsidR="00E45A17" w:rsidRPr="00E45A17" w:rsidRDefault="00E45A17" w:rsidP="00E45A17">
            <w:pPr>
              <w:jc w:val="center"/>
              <w:rPr>
                <w:rFonts w:eastAsia="Calibri"/>
                <w:b/>
                <w:sz w:val="20"/>
                <w:szCs w:val="20"/>
              </w:rPr>
            </w:pPr>
            <w:r w:rsidRPr="00E45A17">
              <w:rPr>
                <w:rFonts w:eastAsia="Calibri"/>
                <w:b/>
                <w:sz w:val="20"/>
                <w:szCs w:val="20"/>
              </w:rPr>
              <w:t>Total Number of Responses (1)*(2)=(3)</w:t>
            </w:r>
          </w:p>
        </w:tc>
        <w:tc>
          <w:tcPr>
            <w:tcW w:w="676" w:type="pct"/>
            <w:shd w:val="clear" w:color="auto" w:fill="D9D9D9"/>
            <w:vAlign w:val="bottom"/>
          </w:tcPr>
          <w:p w14:paraId="346B014A" w14:textId="36101CDA" w:rsidR="00E45A17" w:rsidRPr="00E45A17" w:rsidRDefault="00E45A17" w:rsidP="00E45A17">
            <w:pPr>
              <w:jc w:val="center"/>
              <w:rPr>
                <w:rFonts w:eastAsia="Calibri"/>
                <w:b/>
                <w:sz w:val="20"/>
                <w:szCs w:val="20"/>
              </w:rPr>
            </w:pPr>
            <w:r w:rsidRPr="00E45A17">
              <w:rPr>
                <w:rFonts w:eastAsia="Calibri"/>
                <w:b/>
                <w:sz w:val="20"/>
                <w:szCs w:val="20"/>
              </w:rPr>
              <w:t>Average Burden Hours &amp; Cost Per Respon</w:t>
            </w:r>
            <w:r w:rsidR="00DA79C0">
              <w:rPr>
                <w:rFonts w:eastAsia="Calibri"/>
                <w:b/>
                <w:sz w:val="20"/>
                <w:szCs w:val="20"/>
              </w:rPr>
              <w:t>dent</w:t>
            </w:r>
          </w:p>
          <w:p w14:paraId="72857381" w14:textId="005F86D3" w:rsidR="00E6315F" w:rsidRPr="00E6315F" w:rsidRDefault="00E45A17" w:rsidP="00E6315F">
            <w:pPr>
              <w:jc w:val="center"/>
              <w:rPr>
                <w:rFonts w:eastAsia="Calibri"/>
                <w:b/>
                <w:sz w:val="20"/>
                <w:szCs w:val="20"/>
              </w:rPr>
            </w:pPr>
            <w:r w:rsidRPr="00E45A17">
              <w:rPr>
                <w:rFonts w:eastAsia="Calibri"/>
                <w:b/>
                <w:sz w:val="20"/>
                <w:szCs w:val="20"/>
              </w:rPr>
              <w:t>(4)</w:t>
            </w:r>
            <w:r w:rsidR="00E6315F" w:rsidRPr="00E6315F">
              <w:rPr>
                <w:rFonts w:eastAsia="Calibri"/>
                <w:szCs w:val="26"/>
                <w:vertAlign w:val="superscript"/>
              </w:rPr>
              <w:t xml:space="preserve"> </w:t>
            </w:r>
            <w:r w:rsidR="00E6315F" w:rsidRPr="00E6315F">
              <w:rPr>
                <w:rFonts w:eastAsia="Calibri"/>
                <w:b/>
                <w:sz w:val="20"/>
                <w:szCs w:val="20"/>
                <w:vertAlign w:val="superscript"/>
              </w:rPr>
              <w:footnoteReference w:id="3"/>
            </w:r>
            <w:r w:rsidR="00E6315F" w:rsidRPr="00E6315F">
              <w:rPr>
                <w:rFonts w:eastAsia="Calibri"/>
                <w:b/>
                <w:sz w:val="20"/>
                <w:szCs w:val="20"/>
              </w:rPr>
              <w:t xml:space="preserve"> </w:t>
            </w:r>
          </w:p>
          <w:p w14:paraId="081D3C9A" w14:textId="77777777" w:rsidR="00E45A17" w:rsidRPr="00E45A17" w:rsidRDefault="00E45A17" w:rsidP="00E45A17">
            <w:pPr>
              <w:jc w:val="center"/>
              <w:rPr>
                <w:rFonts w:eastAsia="Calibri"/>
                <w:b/>
                <w:sz w:val="20"/>
                <w:szCs w:val="20"/>
              </w:rPr>
            </w:pPr>
          </w:p>
        </w:tc>
        <w:tc>
          <w:tcPr>
            <w:tcW w:w="797" w:type="pct"/>
            <w:shd w:val="clear" w:color="auto" w:fill="D9D9D9"/>
            <w:vAlign w:val="bottom"/>
          </w:tcPr>
          <w:p w14:paraId="64AA836C" w14:textId="77777777" w:rsidR="00E45A17" w:rsidRPr="00E45A17" w:rsidRDefault="00E45A17" w:rsidP="00E45A17">
            <w:pPr>
              <w:jc w:val="center"/>
              <w:rPr>
                <w:rFonts w:eastAsia="Calibri"/>
                <w:b/>
                <w:sz w:val="20"/>
                <w:szCs w:val="20"/>
              </w:rPr>
            </w:pPr>
            <w:r w:rsidRPr="00E45A17">
              <w:rPr>
                <w:rFonts w:eastAsia="Calibri"/>
                <w:b/>
                <w:sz w:val="20"/>
                <w:szCs w:val="20"/>
              </w:rPr>
              <w:t>Total Annual Burden Hours &amp; Total Annual Cost (rounded)</w:t>
            </w:r>
          </w:p>
          <w:p w14:paraId="7C80B384" w14:textId="77777777" w:rsidR="00E45A17" w:rsidRPr="00E45A17" w:rsidRDefault="00E45A17" w:rsidP="00E45A17">
            <w:pPr>
              <w:jc w:val="center"/>
              <w:rPr>
                <w:rFonts w:eastAsia="Calibri"/>
                <w:b/>
                <w:sz w:val="20"/>
                <w:szCs w:val="20"/>
              </w:rPr>
            </w:pPr>
            <w:r w:rsidRPr="00E45A17">
              <w:rPr>
                <w:rFonts w:eastAsia="Calibri"/>
                <w:b/>
                <w:sz w:val="20"/>
                <w:szCs w:val="20"/>
              </w:rPr>
              <w:t>(3)*(4)=(5)</w:t>
            </w:r>
          </w:p>
        </w:tc>
        <w:tc>
          <w:tcPr>
            <w:tcW w:w="1058" w:type="pct"/>
            <w:shd w:val="clear" w:color="auto" w:fill="D9D9D9"/>
            <w:vAlign w:val="bottom"/>
          </w:tcPr>
          <w:p w14:paraId="7073B90D" w14:textId="2D07818F" w:rsidR="00E45A17" w:rsidRPr="00E45A17" w:rsidRDefault="00E45A17" w:rsidP="00E45A17">
            <w:pPr>
              <w:jc w:val="center"/>
              <w:rPr>
                <w:rFonts w:eastAsia="Calibri"/>
                <w:b/>
                <w:sz w:val="20"/>
                <w:szCs w:val="20"/>
              </w:rPr>
            </w:pPr>
            <w:r w:rsidRPr="00E45A17">
              <w:rPr>
                <w:rFonts w:eastAsia="Calibri"/>
                <w:b/>
                <w:sz w:val="20"/>
                <w:szCs w:val="20"/>
              </w:rPr>
              <w:t xml:space="preserve">Cost </w:t>
            </w:r>
            <w:r w:rsidR="00B81DB5" w:rsidRPr="00E45A17">
              <w:rPr>
                <w:rFonts w:eastAsia="Calibri"/>
                <w:b/>
                <w:sz w:val="20"/>
                <w:szCs w:val="20"/>
              </w:rPr>
              <w:t xml:space="preserve"> ($) </w:t>
            </w:r>
            <w:r w:rsidRPr="00E45A17">
              <w:rPr>
                <w:rFonts w:eastAsia="Calibri"/>
                <w:b/>
                <w:sz w:val="20"/>
                <w:szCs w:val="20"/>
              </w:rPr>
              <w:t>per Respondent</w:t>
            </w:r>
          </w:p>
          <w:p w14:paraId="228F095B" w14:textId="53162F8B" w:rsidR="00E45A17" w:rsidRPr="00E45A17" w:rsidRDefault="00E45A17" w:rsidP="00E45A17">
            <w:pPr>
              <w:jc w:val="center"/>
              <w:rPr>
                <w:rFonts w:eastAsia="Calibri"/>
                <w:b/>
                <w:sz w:val="20"/>
                <w:szCs w:val="20"/>
              </w:rPr>
            </w:pPr>
            <w:r w:rsidRPr="00E45A17">
              <w:rPr>
                <w:rFonts w:eastAsia="Calibri"/>
                <w:b/>
                <w:sz w:val="20"/>
                <w:szCs w:val="20"/>
              </w:rPr>
              <w:t xml:space="preserve"> (rounded)</w:t>
            </w:r>
          </w:p>
          <w:p w14:paraId="6466B59C" w14:textId="77777777" w:rsidR="00E45A17" w:rsidRPr="00E45A17" w:rsidRDefault="00E45A17" w:rsidP="00E45A17">
            <w:pPr>
              <w:jc w:val="center"/>
              <w:rPr>
                <w:rFonts w:eastAsia="Calibri"/>
                <w:b/>
                <w:sz w:val="20"/>
                <w:szCs w:val="20"/>
              </w:rPr>
            </w:pPr>
            <w:r w:rsidRPr="00E45A17">
              <w:rPr>
                <w:rFonts w:eastAsia="Calibri"/>
                <w:b/>
                <w:sz w:val="20"/>
                <w:szCs w:val="20"/>
              </w:rPr>
              <w:t>(5)÷(1)</w:t>
            </w:r>
          </w:p>
        </w:tc>
      </w:tr>
      <w:tr w:rsidR="00E45A17" w:rsidRPr="00E45A17" w14:paraId="2FF4F57B" w14:textId="77777777" w:rsidTr="00FF632F">
        <w:trPr>
          <w:cantSplit/>
        </w:trPr>
        <w:tc>
          <w:tcPr>
            <w:tcW w:w="669" w:type="pct"/>
            <w:vAlign w:val="bottom"/>
          </w:tcPr>
          <w:p w14:paraId="0B27C265" w14:textId="77777777" w:rsidR="00E45A17" w:rsidRPr="00236304" w:rsidRDefault="00E45A17" w:rsidP="00E45A17">
            <w:pPr>
              <w:rPr>
                <w:rFonts w:eastAsia="Calibri"/>
                <w:sz w:val="20"/>
                <w:szCs w:val="20"/>
              </w:rPr>
            </w:pPr>
            <w:r w:rsidRPr="00236304">
              <w:rPr>
                <w:rFonts w:eastAsia="Calibri"/>
                <w:sz w:val="20"/>
                <w:szCs w:val="20"/>
              </w:rPr>
              <w:t>FERC-542</w:t>
            </w:r>
          </w:p>
        </w:tc>
        <w:tc>
          <w:tcPr>
            <w:tcW w:w="591" w:type="pct"/>
            <w:vAlign w:val="bottom"/>
          </w:tcPr>
          <w:p w14:paraId="0F5953D8" w14:textId="14362AD1" w:rsidR="00E45A17" w:rsidRPr="00236304" w:rsidRDefault="006353CE" w:rsidP="00E45A17">
            <w:pPr>
              <w:jc w:val="right"/>
              <w:rPr>
                <w:rFonts w:eastAsia="Calibri"/>
                <w:sz w:val="20"/>
                <w:szCs w:val="20"/>
              </w:rPr>
            </w:pPr>
            <w:r w:rsidRPr="00236304">
              <w:rPr>
                <w:rFonts w:eastAsia="Calibri"/>
                <w:sz w:val="20"/>
                <w:szCs w:val="20"/>
              </w:rPr>
              <w:t>90</w:t>
            </w:r>
          </w:p>
        </w:tc>
        <w:tc>
          <w:tcPr>
            <w:tcW w:w="649" w:type="pct"/>
            <w:vAlign w:val="bottom"/>
          </w:tcPr>
          <w:p w14:paraId="70F22CF4" w14:textId="7D155316" w:rsidR="00E45A17" w:rsidRPr="00236304" w:rsidRDefault="00C365F0" w:rsidP="00C365F0">
            <w:pPr>
              <w:jc w:val="right"/>
              <w:rPr>
                <w:rFonts w:eastAsia="Calibri"/>
                <w:sz w:val="20"/>
                <w:szCs w:val="20"/>
              </w:rPr>
            </w:pPr>
            <w:r w:rsidRPr="00236304">
              <w:rPr>
                <w:rFonts w:eastAsia="Calibri"/>
                <w:sz w:val="20"/>
                <w:szCs w:val="20"/>
              </w:rPr>
              <w:t>2</w:t>
            </w:r>
          </w:p>
        </w:tc>
        <w:tc>
          <w:tcPr>
            <w:tcW w:w="561" w:type="pct"/>
            <w:vAlign w:val="bottom"/>
          </w:tcPr>
          <w:p w14:paraId="15B38248" w14:textId="538CFBE1" w:rsidR="00E45A17" w:rsidRPr="00236304" w:rsidRDefault="006353CE" w:rsidP="00E45A17">
            <w:pPr>
              <w:jc w:val="right"/>
              <w:rPr>
                <w:rFonts w:eastAsia="Calibri"/>
                <w:sz w:val="20"/>
                <w:szCs w:val="20"/>
              </w:rPr>
            </w:pPr>
            <w:r w:rsidRPr="00236304">
              <w:rPr>
                <w:rFonts w:eastAsia="Calibri"/>
                <w:sz w:val="20"/>
                <w:szCs w:val="20"/>
              </w:rPr>
              <w:t>18</w:t>
            </w:r>
            <w:r w:rsidR="00C365F0" w:rsidRPr="00236304">
              <w:rPr>
                <w:rFonts w:eastAsia="Calibri"/>
                <w:sz w:val="20"/>
                <w:szCs w:val="20"/>
              </w:rPr>
              <w:t>0</w:t>
            </w:r>
          </w:p>
        </w:tc>
        <w:tc>
          <w:tcPr>
            <w:tcW w:w="676" w:type="pct"/>
            <w:vAlign w:val="bottom"/>
          </w:tcPr>
          <w:p w14:paraId="2299BE87" w14:textId="4FCE3E8C" w:rsidR="00E45A17" w:rsidRPr="00FF632F" w:rsidRDefault="00E45A17" w:rsidP="00E45A17">
            <w:pPr>
              <w:jc w:val="right"/>
              <w:rPr>
                <w:rFonts w:eastAsia="Calibri"/>
                <w:sz w:val="20"/>
                <w:szCs w:val="20"/>
              </w:rPr>
            </w:pPr>
            <w:r w:rsidRPr="00FF632F">
              <w:rPr>
                <w:rFonts w:eastAsia="Calibri"/>
                <w:sz w:val="20"/>
                <w:szCs w:val="20"/>
              </w:rPr>
              <w:t xml:space="preserve"> </w:t>
            </w:r>
            <w:r w:rsidR="00C365F0" w:rsidRPr="00FF632F">
              <w:rPr>
                <w:rFonts w:eastAsia="Calibri"/>
                <w:sz w:val="20"/>
                <w:szCs w:val="20"/>
              </w:rPr>
              <w:t>2</w:t>
            </w:r>
            <w:r w:rsidR="00B81DB5" w:rsidRPr="00FF632F">
              <w:rPr>
                <w:rFonts w:eastAsia="Calibri"/>
                <w:sz w:val="20"/>
                <w:szCs w:val="20"/>
              </w:rPr>
              <w:t xml:space="preserve"> </w:t>
            </w:r>
            <w:r w:rsidRPr="00FF632F">
              <w:rPr>
                <w:rFonts w:eastAsia="Calibri"/>
                <w:sz w:val="20"/>
                <w:szCs w:val="20"/>
              </w:rPr>
              <w:t xml:space="preserve">hrs; </w:t>
            </w:r>
          </w:p>
          <w:p w14:paraId="7F2F079F" w14:textId="331D3E49" w:rsidR="00E45A17" w:rsidRPr="00FF632F" w:rsidRDefault="00E45A17" w:rsidP="00FF632F">
            <w:pPr>
              <w:jc w:val="right"/>
              <w:rPr>
                <w:rFonts w:eastAsia="Calibri"/>
                <w:sz w:val="20"/>
                <w:szCs w:val="20"/>
              </w:rPr>
            </w:pPr>
            <w:r w:rsidRPr="00FF632F">
              <w:rPr>
                <w:rFonts w:eastAsia="Calibri"/>
                <w:sz w:val="20"/>
                <w:szCs w:val="20"/>
              </w:rPr>
              <w:t>$</w:t>
            </w:r>
            <w:r w:rsidR="00236304" w:rsidRPr="00FF632F">
              <w:rPr>
                <w:rFonts w:eastAsia="Calibri"/>
                <w:sz w:val="20"/>
                <w:szCs w:val="20"/>
              </w:rPr>
              <w:t>1</w:t>
            </w:r>
            <w:r w:rsidR="00FF632F" w:rsidRPr="00FF632F">
              <w:rPr>
                <w:rFonts w:eastAsia="Calibri"/>
                <w:sz w:val="20"/>
                <w:szCs w:val="20"/>
              </w:rPr>
              <w:t>58</w:t>
            </w:r>
          </w:p>
        </w:tc>
        <w:tc>
          <w:tcPr>
            <w:tcW w:w="797" w:type="pct"/>
            <w:vAlign w:val="bottom"/>
          </w:tcPr>
          <w:p w14:paraId="4A446303" w14:textId="12695E52" w:rsidR="00E45A17" w:rsidRPr="00FF632F" w:rsidRDefault="00E6315F" w:rsidP="00E45A17">
            <w:pPr>
              <w:jc w:val="right"/>
              <w:rPr>
                <w:rFonts w:eastAsia="Calibri"/>
                <w:sz w:val="20"/>
                <w:szCs w:val="20"/>
              </w:rPr>
            </w:pPr>
            <w:r w:rsidRPr="00FF632F">
              <w:rPr>
                <w:rFonts w:eastAsia="Calibri"/>
                <w:sz w:val="20"/>
                <w:szCs w:val="20"/>
              </w:rPr>
              <w:t xml:space="preserve">360 </w:t>
            </w:r>
            <w:r w:rsidR="00E45A17" w:rsidRPr="00FF632F">
              <w:rPr>
                <w:rFonts w:eastAsia="Calibri"/>
                <w:sz w:val="20"/>
                <w:szCs w:val="20"/>
              </w:rPr>
              <w:t xml:space="preserve">hrs; </w:t>
            </w:r>
          </w:p>
          <w:p w14:paraId="3C97347F" w14:textId="57B2467C" w:rsidR="00E45A17" w:rsidRPr="00FF632F" w:rsidRDefault="00E45A17" w:rsidP="00FF632F">
            <w:pPr>
              <w:jc w:val="right"/>
              <w:rPr>
                <w:rFonts w:eastAsia="Calibri"/>
                <w:sz w:val="20"/>
                <w:szCs w:val="20"/>
              </w:rPr>
            </w:pPr>
            <w:r w:rsidRPr="00FF632F">
              <w:rPr>
                <w:rFonts w:eastAsia="Calibri"/>
                <w:sz w:val="20"/>
                <w:szCs w:val="20"/>
              </w:rPr>
              <w:t>$</w:t>
            </w:r>
            <w:r w:rsidR="00236304" w:rsidRPr="00FF632F">
              <w:rPr>
                <w:rFonts w:eastAsia="Calibri"/>
                <w:sz w:val="20"/>
                <w:szCs w:val="20"/>
              </w:rPr>
              <w:t>2</w:t>
            </w:r>
            <w:r w:rsidR="00FF632F" w:rsidRPr="00FF632F">
              <w:rPr>
                <w:rFonts w:eastAsia="Calibri"/>
                <w:sz w:val="20"/>
                <w:szCs w:val="20"/>
              </w:rPr>
              <w:t>8,440</w:t>
            </w:r>
          </w:p>
        </w:tc>
        <w:tc>
          <w:tcPr>
            <w:tcW w:w="1058" w:type="pct"/>
            <w:vAlign w:val="bottom"/>
          </w:tcPr>
          <w:p w14:paraId="2DA86344" w14:textId="529D61BF" w:rsidR="00E45A17" w:rsidRPr="00FF632F" w:rsidRDefault="00E45A17" w:rsidP="00E45A17">
            <w:pPr>
              <w:jc w:val="right"/>
              <w:rPr>
                <w:rFonts w:eastAsia="Calibri"/>
                <w:sz w:val="20"/>
                <w:szCs w:val="20"/>
              </w:rPr>
            </w:pPr>
            <w:r w:rsidRPr="00FF632F">
              <w:rPr>
                <w:rFonts w:eastAsia="Calibri"/>
                <w:sz w:val="20"/>
                <w:szCs w:val="20"/>
              </w:rPr>
              <w:t>$</w:t>
            </w:r>
            <w:r w:rsidR="00236304" w:rsidRPr="00FF632F">
              <w:rPr>
                <w:rFonts w:eastAsia="Calibri"/>
                <w:sz w:val="20"/>
                <w:szCs w:val="20"/>
              </w:rPr>
              <w:t>1</w:t>
            </w:r>
            <w:r w:rsidR="00FF632F" w:rsidRPr="00FF632F">
              <w:rPr>
                <w:rFonts w:eastAsia="Calibri"/>
                <w:sz w:val="20"/>
                <w:szCs w:val="20"/>
              </w:rPr>
              <w:t>58</w:t>
            </w:r>
          </w:p>
        </w:tc>
      </w:tr>
      <w:tr w:rsidR="00E45A17" w:rsidRPr="00E45A17" w14:paraId="30A80502" w14:textId="77777777" w:rsidTr="00FF632F">
        <w:trPr>
          <w:cantSplit/>
        </w:trPr>
        <w:tc>
          <w:tcPr>
            <w:tcW w:w="669" w:type="pct"/>
            <w:vAlign w:val="bottom"/>
          </w:tcPr>
          <w:p w14:paraId="637A37FD" w14:textId="77777777" w:rsidR="00E45A17" w:rsidRPr="00236304" w:rsidRDefault="00E45A17" w:rsidP="00E45A17">
            <w:pPr>
              <w:rPr>
                <w:rFonts w:eastAsia="Calibri"/>
                <w:b/>
                <w:sz w:val="20"/>
                <w:szCs w:val="20"/>
              </w:rPr>
            </w:pPr>
            <w:r w:rsidRPr="00236304">
              <w:rPr>
                <w:rFonts w:eastAsia="Calibri"/>
                <w:b/>
                <w:sz w:val="20"/>
                <w:szCs w:val="20"/>
              </w:rPr>
              <w:t>TOTAL</w:t>
            </w:r>
          </w:p>
        </w:tc>
        <w:tc>
          <w:tcPr>
            <w:tcW w:w="591" w:type="pct"/>
            <w:vAlign w:val="bottom"/>
          </w:tcPr>
          <w:p w14:paraId="62C2C99D" w14:textId="77777777" w:rsidR="00E45A17" w:rsidRPr="00236304" w:rsidRDefault="00E45A17" w:rsidP="00E45A17">
            <w:pPr>
              <w:jc w:val="right"/>
              <w:rPr>
                <w:rFonts w:eastAsia="Calibri"/>
                <w:b/>
                <w:sz w:val="20"/>
                <w:szCs w:val="20"/>
              </w:rPr>
            </w:pPr>
          </w:p>
        </w:tc>
        <w:tc>
          <w:tcPr>
            <w:tcW w:w="649" w:type="pct"/>
            <w:shd w:val="clear" w:color="auto" w:fill="BFBFBF"/>
            <w:vAlign w:val="bottom"/>
          </w:tcPr>
          <w:p w14:paraId="65BD6AAB" w14:textId="77777777" w:rsidR="00E45A17" w:rsidRPr="00236304" w:rsidRDefault="00E45A17" w:rsidP="00E45A17">
            <w:pPr>
              <w:jc w:val="right"/>
              <w:rPr>
                <w:rFonts w:eastAsia="Calibri"/>
                <w:b/>
                <w:sz w:val="20"/>
                <w:szCs w:val="20"/>
              </w:rPr>
            </w:pPr>
          </w:p>
        </w:tc>
        <w:tc>
          <w:tcPr>
            <w:tcW w:w="561" w:type="pct"/>
            <w:vAlign w:val="bottom"/>
          </w:tcPr>
          <w:p w14:paraId="2EB20BC5" w14:textId="77777777" w:rsidR="00E45A17" w:rsidRPr="00236304" w:rsidRDefault="00E45A17" w:rsidP="00E45A17">
            <w:pPr>
              <w:jc w:val="right"/>
              <w:rPr>
                <w:rFonts w:eastAsia="Calibri"/>
                <w:b/>
                <w:sz w:val="20"/>
                <w:szCs w:val="20"/>
              </w:rPr>
            </w:pPr>
          </w:p>
        </w:tc>
        <w:tc>
          <w:tcPr>
            <w:tcW w:w="676" w:type="pct"/>
            <w:shd w:val="clear" w:color="auto" w:fill="BFBFBF"/>
            <w:vAlign w:val="bottom"/>
          </w:tcPr>
          <w:p w14:paraId="7F7A62BF" w14:textId="77777777" w:rsidR="00E45A17" w:rsidRPr="00FF632F" w:rsidRDefault="00E45A17" w:rsidP="00E45A17">
            <w:pPr>
              <w:jc w:val="right"/>
              <w:rPr>
                <w:rFonts w:eastAsia="Calibri"/>
                <w:b/>
                <w:sz w:val="20"/>
                <w:szCs w:val="20"/>
              </w:rPr>
            </w:pPr>
          </w:p>
        </w:tc>
        <w:tc>
          <w:tcPr>
            <w:tcW w:w="797" w:type="pct"/>
            <w:vAlign w:val="bottom"/>
          </w:tcPr>
          <w:p w14:paraId="152B45F5" w14:textId="17CBB7FD" w:rsidR="00E45A17" w:rsidRPr="00FF632F" w:rsidRDefault="00236304" w:rsidP="00E45A17">
            <w:pPr>
              <w:jc w:val="right"/>
              <w:rPr>
                <w:rFonts w:eastAsia="Calibri"/>
                <w:b/>
                <w:sz w:val="20"/>
                <w:szCs w:val="20"/>
              </w:rPr>
            </w:pPr>
            <w:r w:rsidRPr="00FF632F">
              <w:rPr>
                <w:rFonts w:eastAsia="Calibri"/>
                <w:b/>
                <w:sz w:val="20"/>
                <w:szCs w:val="20"/>
              </w:rPr>
              <w:t xml:space="preserve">360 </w:t>
            </w:r>
            <w:r w:rsidR="00E45A17" w:rsidRPr="00FF632F">
              <w:rPr>
                <w:rFonts w:eastAsia="Calibri"/>
                <w:b/>
                <w:sz w:val="20"/>
                <w:szCs w:val="20"/>
              </w:rPr>
              <w:t xml:space="preserve">hrs; </w:t>
            </w:r>
          </w:p>
          <w:p w14:paraId="38277230" w14:textId="3216E905" w:rsidR="00E45A17" w:rsidRPr="00FF632F" w:rsidRDefault="00E45A17" w:rsidP="00FF632F">
            <w:pPr>
              <w:jc w:val="right"/>
              <w:rPr>
                <w:rFonts w:eastAsia="Calibri"/>
                <w:b/>
                <w:sz w:val="20"/>
                <w:szCs w:val="20"/>
              </w:rPr>
            </w:pPr>
            <w:r w:rsidRPr="00FF632F">
              <w:rPr>
                <w:rFonts w:eastAsia="Calibri"/>
                <w:b/>
                <w:sz w:val="20"/>
                <w:szCs w:val="20"/>
              </w:rPr>
              <w:t>$</w:t>
            </w:r>
            <w:r w:rsidR="00236304" w:rsidRPr="00FF632F">
              <w:rPr>
                <w:rFonts w:eastAsia="Calibri"/>
                <w:b/>
                <w:sz w:val="20"/>
                <w:szCs w:val="20"/>
              </w:rPr>
              <w:t>2</w:t>
            </w:r>
            <w:r w:rsidR="00FF632F" w:rsidRPr="00FF632F">
              <w:rPr>
                <w:rFonts w:eastAsia="Calibri"/>
                <w:b/>
                <w:sz w:val="20"/>
                <w:szCs w:val="20"/>
              </w:rPr>
              <w:t>8,440</w:t>
            </w:r>
          </w:p>
        </w:tc>
        <w:tc>
          <w:tcPr>
            <w:tcW w:w="1058" w:type="pct"/>
            <w:shd w:val="clear" w:color="auto" w:fill="BFBFBF"/>
            <w:vAlign w:val="bottom"/>
          </w:tcPr>
          <w:p w14:paraId="5C547F64" w14:textId="77777777" w:rsidR="00E45A17" w:rsidRPr="00FF632F" w:rsidRDefault="00E45A17" w:rsidP="00E45A17">
            <w:pPr>
              <w:jc w:val="right"/>
              <w:rPr>
                <w:rFonts w:eastAsia="Calibri"/>
                <w:sz w:val="20"/>
                <w:szCs w:val="20"/>
              </w:rPr>
            </w:pPr>
          </w:p>
        </w:tc>
      </w:tr>
    </w:tbl>
    <w:p w14:paraId="1D750D98" w14:textId="77777777" w:rsidR="006815FF" w:rsidRDefault="006815FF" w:rsidP="0000704C">
      <w:pPr>
        <w:spacing w:line="480" w:lineRule="auto"/>
        <w:rPr>
          <w:i/>
        </w:rPr>
      </w:pPr>
    </w:p>
    <w:p w14:paraId="38D4E3DC" w14:textId="77777777" w:rsidR="0000704C" w:rsidRDefault="0000704C" w:rsidP="0000704C">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7B037E" w14:textId="77777777" w:rsidR="00236304" w:rsidRDefault="00236304" w:rsidP="0000704C">
      <w:pPr>
        <w:spacing w:line="480" w:lineRule="auto"/>
      </w:pPr>
    </w:p>
    <w:p w14:paraId="5FF55A60" w14:textId="77777777" w:rsidR="00D245C7" w:rsidRPr="0000704C" w:rsidRDefault="00D245C7" w:rsidP="0000704C">
      <w:pPr>
        <w:spacing w:line="480" w:lineRule="auto"/>
      </w:pPr>
    </w:p>
    <w:p w14:paraId="28FFE987" w14:textId="77777777" w:rsidR="006815FF" w:rsidRPr="00C21A13" w:rsidRDefault="006815FF" w:rsidP="006815FF">
      <w:pPr>
        <w:ind w:firstLine="2174"/>
        <w:jc w:val="center"/>
      </w:pPr>
      <w:r w:rsidRPr="00C21A13">
        <w:t>Kimberly D. Bose,</w:t>
      </w:r>
    </w:p>
    <w:p w14:paraId="7CAEB861" w14:textId="77777777" w:rsidR="006815FF" w:rsidRPr="00C21A13" w:rsidRDefault="006815FF" w:rsidP="006815FF">
      <w:pPr>
        <w:ind w:firstLine="2174"/>
        <w:jc w:val="center"/>
      </w:pPr>
      <w:r w:rsidRPr="00C21A13">
        <w:t>Secretary.</w:t>
      </w:r>
    </w:p>
    <w:p w14:paraId="5A36495C" w14:textId="77777777" w:rsidR="00F35F05" w:rsidRDefault="00F35F05"/>
    <w:sectPr w:rsidR="00F35F05" w:rsidSect="00A3774F">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6A408" w14:textId="77777777" w:rsidR="006641A1" w:rsidRDefault="006641A1" w:rsidP="00F35F05">
      <w:r>
        <w:separator/>
      </w:r>
    </w:p>
  </w:endnote>
  <w:endnote w:type="continuationSeparator" w:id="0">
    <w:p w14:paraId="68E560A3" w14:textId="77777777" w:rsidR="006641A1" w:rsidRDefault="006641A1" w:rsidP="00F35F05">
      <w:r>
        <w:continuationSeparator/>
      </w:r>
    </w:p>
  </w:endnote>
  <w:endnote w:type="continuationNotice" w:id="1">
    <w:p w14:paraId="5691996F" w14:textId="77777777" w:rsidR="006641A1" w:rsidRDefault="00664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FD7F9" w14:textId="4A532BE0" w:rsidR="00FF632F" w:rsidRDefault="00FF632F">
    <w:pPr>
      <w:pStyle w:val="Footer"/>
      <w:jc w:val="right"/>
    </w:pPr>
  </w:p>
  <w:p w14:paraId="155EC413" w14:textId="77777777" w:rsidR="00FF632F" w:rsidRDefault="00FF6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3474E" w14:textId="77777777" w:rsidR="006641A1" w:rsidRDefault="006641A1" w:rsidP="00F35F05">
      <w:r>
        <w:separator/>
      </w:r>
    </w:p>
  </w:footnote>
  <w:footnote w:type="continuationSeparator" w:id="0">
    <w:p w14:paraId="13CA7667" w14:textId="77777777" w:rsidR="006641A1" w:rsidRDefault="006641A1" w:rsidP="00F35F05">
      <w:r>
        <w:continuationSeparator/>
      </w:r>
    </w:p>
  </w:footnote>
  <w:footnote w:type="continuationNotice" w:id="1">
    <w:p w14:paraId="2F31BB3C" w14:textId="77777777" w:rsidR="006641A1" w:rsidRDefault="006641A1"/>
  </w:footnote>
  <w:footnote w:id="2">
    <w:p w14:paraId="57330B0A" w14:textId="77777777" w:rsidR="00F124A6" w:rsidRPr="006536D8" w:rsidRDefault="00F124A6" w:rsidP="00F35F05">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3">
    <w:p w14:paraId="04AD1DDE" w14:textId="0CE18285" w:rsidR="00E6315F" w:rsidRDefault="00E6315F" w:rsidP="00E6315F">
      <w:pPr>
        <w:pStyle w:val="FootnoteText"/>
        <w:rPr>
          <w:sz w:val="26"/>
          <w:szCs w:val="26"/>
        </w:rPr>
      </w:pPr>
      <w:r w:rsidRPr="00FF632F">
        <w:rPr>
          <w:rStyle w:val="FootnoteReference"/>
        </w:rPr>
        <w:footnoteRef/>
      </w:r>
      <w:r w:rsidRPr="00FF632F">
        <w:rPr>
          <w:sz w:val="26"/>
          <w:szCs w:val="26"/>
        </w:rPr>
        <w:t xml:space="preserve"> </w:t>
      </w:r>
      <w:r w:rsidR="00227167" w:rsidRPr="00227167">
        <w:rPr>
          <w:sz w:val="26"/>
          <w:szCs w:val="26"/>
        </w:rPr>
        <w:t xml:space="preserve">FERC staff estimates that industry costs for salary plus benefits are similar to Commission costs.  The cost figure is the FY2018 FERC average annual salary plus benefits ($164,820/year or $79/hour).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874AD" w14:textId="7D4AE8E7" w:rsidR="00A3774F" w:rsidRDefault="00D26903">
    <w:pPr>
      <w:pStyle w:val="Header"/>
    </w:pPr>
    <w:r w:rsidRPr="008D3934">
      <w:t xml:space="preserve">Docket No. </w:t>
    </w:r>
    <w:r w:rsidR="00A3774F" w:rsidRPr="008D3934">
      <w:t>IC19-</w:t>
    </w:r>
    <w:r w:rsidR="008D3934" w:rsidRPr="008D3934">
      <w:t>19</w:t>
    </w:r>
    <w:r w:rsidR="00A3774F" w:rsidRPr="008D3934">
      <w:t>-000</w:t>
    </w:r>
    <w:r w:rsidR="00067C5E">
      <w:tab/>
    </w:r>
    <w:r w:rsidR="00067C5E">
      <w:tab/>
    </w:r>
    <w:r w:rsidR="00067C5E">
      <w:fldChar w:fldCharType="begin"/>
    </w:r>
    <w:r w:rsidR="00067C5E">
      <w:instrText xml:space="preserve"> PAGE  \* ArabicDash  \* MERGEFORMAT </w:instrText>
    </w:r>
    <w:r w:rsidR="00067C5E">
      <w:fldChar w:fldCharType="separate"/>
    </w:r>
    <w:r w:rsidR="00D842DA">
      <w:rPr>
        <w:noProof/>
      </w:rPr>
      <w:t>- 2 -</w:t>
    </w:r>
    <w:r w:rsidR="00067C5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05"/>
    <w:rsid w:val="00006471"/>
    <w:rsid w:val="0000704C"/>
    <w:rsid w:val="000247BB"/>
    <w:rsid w:val="00067C5E"/>
    <w:rsid w:val="00085170"/>
    <w:rsid w:val="00163C9B"/>
    <w:rsid w:val="001651B0"/>
    <w:rsid w:val="001E7072"/>
    <w:rsid w:val="00227167"/>
    <w:rsid w:val="00236304"/>
    <w:rsid w:val="00315F1D"/>
    <w:rsid w:val="00380223"/>
    <w:rsid w:val="00492ABA"/>
    <w:rsid w:val="004A0581"/>
    <w:rsid w:val="005F59B0"/>
    <w:rsid w:val="006353CE"/>
    <w:rsid w:val="0066112D"/>
    <w:rsid w:val="006641A1"/>
    <w:rsid w:val="006815FF"/>
    <w:rsid w:val="007D1891"/>
    <w:rsid w:val="008337DA"/>
    <w:rsid w:val="00842285"/>
    <w:rsid w:val="008655A6"/>
    <w:rsid w:val="008D3934"/>
    <w:rsid w:val="008D3E6B"/>
    <w:rsid w:val="00912ED2"/>
    <w:rsid w:val="00A3774F"/>
    <w:rsid w:val="00A54F52"/>
    <w:rsid w:val="00A941C3"/>
    <w:rsid w:val="00B120D6"/>
    <w:rsid w:val="00B81DB5"/>
    <w:rsid w:val="00C365F0"/>
    <w:rsid w:val="00C57360"/>
    <w:rsid w:val="00C66BBA"/>
    <w:rsid w:val="00D24422"/>
    <w:rsid w:val="00D245C7"/>
    <w:rsid w:val="00D26903"/>
    <w:rsid w:val="00D3626C"/>
    <w:rsid w:val="00D55D3C"/>
    <w:rsid w:val="00D842DA"/>
    <w:rsid w:val="00DA79C0"/>
    <w:rsid w:val="00E45A17"/>
    <w:rsid w:val="00E6315F"/>
    <w:rsid w:val="00F01F78"/>
    <w:rsid w:val="00F054D5"/>
    <w:rsid w:val="00F124A6"/>
    <w:rsid w:val="00F35F05"/>
    <w:rsid w:val="00F45AE4"/>
    <w:rsid w:val="00FB287B"/>
    <w:rsid w:val="00FF6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44B8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05"/>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5F05"/>
    <w:rPr>
      <w:color w:val="0000FF"/>
      <w:u w:val="single"/>
    </w:rPr>
  </w:style>
  <w:style w:type="paragraph" w:styleId="FootnoteText">
    <w:name w:val="footnote text"/>
    <w:basedOn w:val="Normal"/>
    <w:link w:val="FootnoteTextChar"/>
    <w:uiPriority w:val="99"/>
    <w:semiHidden/>
    <w:unhideWhenUsed/>
    <w:rsid w:val="00F35F05"/>
    <w:rPr>
      <w:sz w:val="20"/>
      <w:szCs w:val="20"/>
    </w:rPr>
  </w:style>
  <w:style w:type="character" w:customStyle="1" w:styleId="FootnoteTextChar">
    <w:name w:val="Footnote Text Char"/>
    <w:basedOn w:val="DefaultParagraphFont"/>
    <w:link w:val="FootnoteText"/>
    <w:uiPriority w:val="99"/>
    <w:semiHidden/>
    <w:rsid w:val="00F35F05"/>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F35F05"/>
    <w:rPr>
      <w:rFonts w:ascii="Times New Roman" w:hAnsi="Times New Roman"/>
      <w:b/>
      <w:sz w:val="26"/>
      <w:szCs w:val="26"/>
      <w:vertAlign w:val="superscript"/>
    </w:rPr>
  </w:style>
  <w:style w:type="paragraph" w:styleId="Header">
    <w:name w:val="header"/>
    <w:basedOn w:val="Normal"/>
    <w:link w:val="HeaderChar"/>
    <w:uiPriority w:val="99"/>
    <w:unhideWhenUsed/>
    <w:rsid w:val="00842285"/>
    <w:pPr>
      <w:tabs>
        <w:tab w:val="center" w:pos="4680"/>
        <w:tab w:val="right" w:pos="9360"/>
      </w:tabs>
    </w:pPr>
  </w:style>
  <w:style w:type="character" w:customStyle="1" w:styleId="HeaderChar">
    <w:name w:val="Header Char"/>
    <w:basedOn w:val="DefaultParagraphFont"/>
    <w:link w:val="Header"/>
    <w:uiPriority w:val="99"/>
    <w:rsid w:val="00842285"/>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42285"/>
    <w:pPr>
      <w:tabs>
        <w:tab w:val="center" w:pos="4680"/>
        <w:tab w:val="right" w:pos="9360"/>
      </w:tabs>
    </w:pPr>
  </w:style>
  <w:style w:type="character" w:customStyle="1" w:styleId="FooterChar">
    <w:name w:val="Footer Char"/>
    <w:basedOn w:val="DefaultParagraphFont"/>
    <w:link w:val="Footer"/>
    <w:uiPriority w:val="99"/>
    <w:rsid w:val="00842285"/>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E45A17"/>
    <w:rPr>
      <w:sz w:val="16"/>
      <w:szCs w:val="16"/>
    </w:rPr>
  </w:style>
  <w:style w:type="paragraph" w:styleId="CommentText">
    <w:name w:val="annotation text"/>
    <w:basedOn w:val="Normal"/>
    <w:link w:val="CommentTextChar"/>
    <w:uiPriority w:val="99"/>
    <w:semiHidden/>
    <w:unhideWhenUsed/>
    <w:rsid w:val="00E45A1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45A17"/>
    <w:rPr>
      <w:sz w:val="20"/>
      <w:szCs w:val="20"/>
    </w:rPr>
  </w:style>
  <w:style w:type="paragraph" w:styleId="BalloonText">
    <w:name w:val="Balloon Text"/>
    <w:basedOn w:val="Normal"/>
    <w:link w:val="BalloonTextChar"/>
    <w:uiPriority w:val="99"/>
    <w:semiHidden/>
    <w:unhideWhenUsed/>
    <w:rsid w:val="00E45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A1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070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0704C"/>
    <w:rPr>
      <w:rFonts w:ascii="Times New Roman" w:eastAsia="Times New Roman" w:hAnsi="Times New Roman" w:cs="Times New Roman"/>
      <w:b/>
      <w:bCs/>
      <w:sz w:val="20"/>
      <w:szCs w:val="20"/>
    </w:rPr>
  </w:style>
  <w:style w:type="paragraph" w:styleId="Revision">
    <w:name w:val="Revision"/>
    <w:hidden/>
    <w:uiPriority w:val="99"/>
    <w:semiHidden/>
    <w:rsid w:val="00085170"/>
    <w:pPr>
      <w:spacing w:after="0" w:line="240" w:lineRule="auto"/>
    </w:pPr>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05"/>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5F05"/>
    <w:rPr>
      <w:color w:val="0000FF"/>
      <w:u w:val="single"/>
    </w:rPr>
  </w:style>
  <w:style w:type="paragraph" w:styleId="FootnoteText">
    <w:name w:val="footnote text"/>
    <w:basedOn w:val="Normal"/>
    <w:link w:val="FootnoteTextChar"/>
    <w:uiPriority w:val="99"/>
    <w:semiHidden/>
    <w:unhideWhenUsed/>
    <w:rsid w:val="00F35F05"/>
    <w:rPr>
      <w:sz w:val="20"/>
      <w:szCs w:val="20"/>
    </w:rPr>
  </w:style>
  <w:style w:type="character" w:customStyle="1" w:styleId="FootnoteTextChar">
    <w:name w:val="Footnote Text Char"/>
    <w:basedOn w:val="DefaultParagraphFont"/>
    <w:link w:val="FootnoteText"/>
    <w:uiPriority w:val="99"/>
    <w:semiHidden/>
    <w:rsid w:val="00F35F05"/>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F35F05"/>
    <w:rPr>
      <w:rFonts w:ascii="Times New Roman" w:hAnsi="Times New Roman"/>
      <w:b/>
      <w:sz w:val="26"/>
      <w:szCs w:val="26"/>
      <w:vertAlign w:val="superscript"/>
    </w:rPr>
  </w:style>
  <w:style w:type="paragraph" w:styleId="Header">
    <w:name w:val="header"/>
    <w:basedOn w:val="Normal"/>
    <w:link w:val="HeaderChar"/>
    <w:uiPriority w:val="99"/>
    <w:unhideWhenUsed/>
    <w:rsid w:val="00842285"/>
    <w:pPr>
      <w:tabs>
        <w:tab w:val="center" w:pos="4680"/>
        <w:tab w:val="right" w:pos="9360"/>
      </w:tabs>
    </w:pPr>
  </w:style>
  <w:style w:type="character" w:customStyle="1" w:styleId="HeaderChar">
    <w:name w:val="Header Char"/>
    <w:basedOn w:val="DefaultParagraphFont"/>
    <w:link w:val="Header"/>
    <w:uiPriority w:val="99"/>
    <w:rsid w:val="00842285"/>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42285"/>
    <w:pPr>
      <w:tabs>
        <w:tab w:val="center" w:pos="4680"/>
        <w:tab w:val="right" w:pos="9360"/>
      </w:tabs>
    </w:pPr>
  </w:style>
  <w:style w:type="character" w:customStyle="1" w:styleId="FooterChar">
    <w:name w:val="Footer Char"/>
    <w:basedOn w:val="DefaultParagraphFont"/>
    <w:link w:val="Footer"/>
    <w:uiPriority w:val="99"/>
    <w:rsid w:val="00842285"/>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E45A17"/>
    <w:rPr>
      <w:sz w:val="16"/>
      <w:szCs w:val="16"/>
    </w:rPr>
  </w:style>
  <w:style w:type="paragraph" w:styleId="CommentText">
    <w:name w:val="annotation text"/>
    <w:basedOn w:val="Normal"/>
    <w:link w:val="CommentTextChar"/>
    <w:uiPriority w:val="99"/>
    <w:semiHidden/>
    <w:unhideWhenUsed/>
    <w:rsid w:val="00E45A1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45A17"/>
    <w:rPr>
      <w:sz w:val="20"/>
      <w:szCs w:val="20"/>
    </w:rPr>
  </w:style>
  <w:style w:type="paragraph" w:styleId="BalloonText">
    <w:name w:val="Balloon Text"/>
    <w:basedOn w:val="Normal"/>
    <w:link w:val="BalloonTextChar"/>
    <w:uiPriority w:val="99"/>
    <w:semiHidden/>
    <w:unhideWhenUsed/>
    <w:rsid w:val="00E45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A1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070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0704C"/>
    <w:rPr>
      <w:rFonts w:ascii="Times New Roman" w:eastAsia="Times New Roman" w:hAnsi="Times New Roman" w:cs="Times New Roman"/>
      <w:b/>
      <w:bCs/>
      <w:sz w:val="20"/>
      <w:szCs w:val="20"/>
    </w:rPr>
  </w:style>
  <w:style w:type="paragraph" w:styleId="Revision">
    <w:name w:val="Revision"/>
    <w:hidden/>
    <w:uiPriority w:val="99"/>
    <w:semiHidden/>
    <w:rsid w:val="00085170"/>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17E6EAE7-83C1-4D3C-90C0-E65094FA2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5F3BC-FFA4-447B-AF74-776354F864B5}">
  <ds:schemaRefs>
    <ds:schemaRef ds:uri="Microsoft.SharePoint.Taxonomy.ContentTypeSync"/>
  </ds:schemaRefs>
</ds:datastoreItem>
</file>

<file path=customXml/itemProps3.xml><?xml version="1.0" encoding="utf-8"?>
<ds:datastoreItem xmlns:ds="http://schemas.openxmlformats.org/officeDocument/2006/customXml" ds:itemID="{23EF5B49-6E4E-48BF-BEA0-E5657325AB08}">
  <ds:schemaRefs>
    <ds:schemaRef ds:uri="http://schemas.microsoft.com/sharepoint/v3/contenttype/forms"/>
  </ds:schemaRefs>
</ds:datastoreItem>
</file>

<file path=customXml/itemProps4.xml><?xml version="1.0" encoding="utf-8"?>
<ds:datastoreItem xmlns:ds="http://schemas.openxmlformats.org/officeDocument/2006/customXml" ds:itemID="{4F09F05A-3F90-494A-86D1-947193E08CD6}">
  <ds:schemaRefs>
    <ds:schemaRef ds:uri="5e8733a2-e908-454b-85cf-c9d17e1d0943"/>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2019-06-18T11:26:00Z</dcterms:created>
  <dcterms:modified xsi:type="dcterms:W3CDTF">2019-06-18T11:26:00Z</dcterms:modified>
  <cp:category/>
  <dc:identifier/>
  <cp:contentStatus/>
  <cp:version/>
</cp:coreProperties>
</file>