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14EF8" w14:textId="77777777" w:rsidR="00A2604E" w:rsidRDefault="00A2604E" w:rsidP="00A2604E">
      <w:pPr>
        <w:jc w:val="center"/>
      </w:pPr>
      <w:bookmarkStart w:id="0" w:name="_GoBack"/>
      <w:bookmarkEnd w:id="0"/>
      <w:smartTag w:uri="urn:schemas-microsoft-com:office:smarttags" w:element="place">
        <w:smartTag w:uri="urn:schemas-microsoft-com:office:smarttags" w:element="country-region">
          <w:r>
            <w:t>UNITED STATES OF AMERICA</w:t>
          </w:r>
        </w:smartTag>
      </w:smartTag>
    </w:p>
    <w:p w14:paraId="796F63BF" w14:textId="77777777" w:rsidR="00A2604E" w:rsidRDefault="00A2604E" w:rsidP="00A2604E">
      <w:pPr>
        <w:jc w:val="center"/>
      </w:pPr>
      <w:r>
        <w:t>FEDERAL ENERGY REGULATORY COMMISSION</w:t>
      </w:r>
    </w:p>
    <w:p w14:paraId="4152868E" w14:textId="77777777" w:rsidR="00A2604E" w:rsidRDefault="00A2604E" w:rsidP="00A2604E"/>
    <w:p w14:paraId="1600CC48" w14:textId="07F7897D" w:rsidR="00A2604E" w:rsidRDefault="00A2604E" w:rsidP="00A2604E">
      <w:pPr>
        <w:jc w:val="center"/>
      </w:pPr>
      <w:r w:rsidRPr="00AC750B">
        <w:t xml:space="preserve">[Docket No. </w:t>
      </w:r>
      <w:r w:rsidR="00AD74A9">
        <w:t>IC19-13-000</w:t>
      </w:r>
      <w:r w:rsidRPr="00AC750B">
        <w:t>]</w:t>
      </w:r>
    </w:p>
    <w:p w14:paraId="37A99FB4" w14:textId="77777777" w:rsidR="00A2604E" w:rsidRDefault="00A2604E" w:rsidP="00A2604E"/>
    <w:p w14:paraId="0160830D" w14:textId="3E623A41" w:rsidR="00A2604E" w:rsidRDefault="00A2604E" w:rsidP="00A2604E">
      <w:pPr>
        <w:jc w:val="center"/>
      </w:pPr>
      <w:r>
        <w:t>COMMISSION INFORMATION COLLECTION ACTIVITIES (</w:t>
      </w:r>
      <w:r w:rsidR="00AD74A9">
        <w:t>FERC-715</w:t>
      </w:r>
      <w:r>
        <w:t>);</w:t>
      </w:r>
    </w:p>
    <w:p w14:paraId="6E904836" w14:textId="77777777" w:rsidR="00A2604E" w:rsidRDefault="00A2604E" w:rsidP="00A2604E">
      <w:pPr>
        <w:jc w:val="center"/>
      </w:pPr>
      <w:r>
        <w:t>COMMENT REQUEST; EXTENSION</w:t>
      </w:r>
    </w:p>
    <w:p w14:paraId="6FC67CE5" w14:textId="1157AFF8" w:rsidR="00810D18" w:rsidRDefault="00810D18" w:rsidP="00810D18"/>
    <w:p w14:paraId="08DA33D0" w14:textId="615CEEE7" w:rsidR="00F11631" w:rsidRDefault="006E10F4" w:rsidP="006E10F4">
      <w:pPr>
        <w:jc w:val="center"/>
      </w:pPr>
      <w:r w:rsidRPr="006E10F4">
        <w:t>(</w:t>
      </w:r>
      <w:r w:rsidR="00EB1060">
        <w:t>March 12, 2019</w:t>
      </w:r>
      <w:r w:rsidRPr="006E10F4">
        <w:t>)</w:t>
      </w:r>
    </w:p>
    <w:p w14:paraId="05CFF23D" w14:textId="77777777" w:rsidR="006E10F4" w:rsidRPr="006E10F4" w:rsidRDefault="006E10F4" w:rsidP="006E10F4"/>
    <w:p w14:paraId="2B06BEDA" w14:textId="77777777" w:rsidR="00A2604E" w:rsidRDefault="00A2604E" w:rsidP="00A2604E">
      <w:r w:rsidRPr="00AB4DBF">
        <w:rPr>
          <w:b/>
        </w:rPr>
        <w:t>AGENCY:</w:t>
      </w:r>
      <w:r w:rsidRPr="00AB4DBF">
        <w:t xml:space="preserve">  Federal Energy Regulatory Commission.</w:t>
      </w:r>
    </w:p>
    <w:p w14:paraId="3CD46B7D" w14:textId="77777777" w:rsidR="00A2604E" w:rsidRPr="00AB4DBF" w:rsidRDefault="00A2604E" w:rsidP="00A2604E"/>
    <w:p w14:paraId="3C2C8063" w14:textId="77777777" w:rsidR="00A2604E" w:rsidRDefault="00A2604E" w:rsidP="00A2604E">
      <w:pPr>
        <w:spacing w:line="480" w:lineRule="auto"/>
      </w:pPr>
      <w:r w:rsidRPr="00CE64F2">
        <w:rPr>
          <w:b/>
        </w:rPr>
        <w:t>ACTION:</w:t>
      </w:r>
      <w:r>
        <w:t xml:space="preserve">  Notice of information collection and request for comments.</w:t>
      </w:r>
    </w:p>
    <w:p w14:paraId="124637F9" w14:textId="5225D94D" w:rsidR="00A2604E" w:rsidRDefault="00A2604E" w:rsidP="00F8646E">
      <w:pPr>
        <w:spacing w:line="480" w:lineRule="auto"/>
      </w:pPr>
      <w:r w:rsidRPr="00CE64F2">
        <w:rPr>
          <w:b/>
        </w:rPr>
        <w:t>SUMMARY:</w:t>
      </w:r>
      <w:r>
        <w:t xml:space="preserve">  In compliance with the requirements of the Paperwork Reduction Act of 1995, the Federal Energy Regulatory Commission (Commission or FERC) is soliciting public comment on the currently approved information collection </w:t>
      </w:r>
      <w:r w:rsidR="00AD74A9">
        <w:t>FERC-715</w:t>
      </w:r>
      <w:r w:rsidR="002E0351" w:rsidRPr="00A713D0">
        <w:t xml:space="preserve"> </w:t>
      </w:r>
      <w:r w:rsidR="00A713D0">
        <w:t>(</w:t>
      </w:r>
      <w:r w:rsidR="00AD74A9" w:rsidRPr="00AD74A9">
        <w:t>Annual Transmission Planning and Evaluation Report</w:t>
      </w:r>
      <w:r w:rsidR="00F8646E">
        <w:t>)</w:t>
      </w:r>
      <w:r w:rsidR="00642602" w:rsidRPr="00642602">
        <w:t xml:space="preserve"> and submitting the information collection to the Office of Management and Budget (OMB) for review.  Any interested person may file comments directly with OMB and should address a copy of those comments to the Commission as </w:t>
      </w:r>
      <w:r w:rsidR="00642602" w:rsidRPr="00C81A97">
        <w:t xml:space="preserve">explained below. </w:t>
      </w:r>
      <w:r w:rsidR="00BA0FBC" w:rsidRPr="00C81A97">
        <w:t xml:space="preserve">On </w:t>
      </w:r>
      <w:r w:rsidR="005F2427">
        <w:t>Dec</w:t>
      </w:r>
      <w:r w:rsidR="005F2427" w:rsidRPr="00C81A97">
        <w:t xml:space="preserve">ember </w:t>
      </w:r>
      <w:r w:rsidR="0095311D" w:rsidRPr="00C81A97">
        <w:t>27, 2018</w:t>
      </w:r>
      <w:r w:rsidR="005F2427">
        <w:t xml:space="preserve"> (83 FR 66697)</w:t>
      </w:r>
      <w:r w:rsidR="00BA0FBC" w:rsidRPr="00C81A97">
        <w:t>, t</w:t>
      </w:r>
      <w:r w:rsidR="00642602" w:rsidRPr="00C81A97">
        <w:t xml:space="preserve">he Commission published a Notice in the Federal Register in Docket No. </w:t>
      </w:r>
      <w:r w:rsidR="00AD74A9">
        <w:t>IC19-13-000</w:t>
      </w:r>
      <w:r w:rsidR="00642602" w:rsidRPr="00C81A97">
        <w:t xml:space="preserve"> requesting public comments.  </w:t>
      </w:r>
      <w:r w:rsidR="00485A51" w:rsidRPr="00C81A97">
        <w:t xml:space="preserve">The </w:t>
      </w:r>
      <w:r w:rsidR="00485A51" w:rsidRPr="00A86D9E">
        <w:t xml:space="preserve">Commission received </w:t>
      </w:r>
      <w:r w:rsidR="00AC328D">
        <w:t>one</w:t>
      </w:r>
      <w:r w:rsidR="005F2427">
        <w:t xml:space="preserve"> comment</w:t>
      </w:r>
      <w:r w:rsidR="00AC328D">
        <w:t>, which is addressed in this Notice and will be included in the submittal to OMB</w:t>
      </w:r>
      <w:r w:rsidR="007C6AC2" w:rsidRPr="00A86D9E">
        <w:t>.</w:t>
      </w:r>
    </w:p>
    <w:p w14:paraId="442CCE36" w14:textId="040640C5" w:rsidR="007C1916" w:rsidRPr="007C1916" w:rsidRDefault="00A2604E" w:rsidP="007C1916">
      <w:pPr>
        <w:spacing w:line="480" w:lineRule="auto"/>
      </w:pPr>
      <w:r w:rsidRPr="00CE64F2">
        <w:rPr>
          <w:b/>
        </w:rPr>
        <w:t>DATES:</w:t>
      </w:r>
      <w:r>
        <w:t xml:space="preserve">  Comments on the collection of information are due </w:t>
      </w:r>
      <w:bookmarkStart w:id="1" w:name="OLE_LINK1"/>
      <w:r w:rsidR="007C1916" w:rsidRPr="007C1916">
        <w:rPr>
          <w:b/>
        </w:rPr>
        <w:t>[</w:t>
      </w:r>
      <w:r w:rsidR="007C1916" w:rsidRPr="00F11631">
        <w:rPr>
          <w:b/>
          <w:caps/>
        </w:rPr>
        <w:t>Insert Date 30 days after publication in the Federal Register]</w:t>
      </w:r>
      <w:r w:rsidR="00B65A09" w:rsidRPr="00F11631">
        <w:rPr>
          <w:b/>
          <w:caps/>
        </w:rPr>
        <w:t>.</w:t>
      </w:r>
      <w:r w:rsidR="00B65A09" w:rsidRPr="00F11631">
        <w:rPr>
          <w:caps/>
        </w:rPr>
        <w:t xml:space="preserve">  </w:t>
      </w:r>
    </w:p>
    <w:p w14:paraId="05EFC9C8" w14:textId="3C5BE8ED" w:rsidR="007C1916" w:rsidRPr="007C1916" w:rsidRDefault="007C1916" w:rsidP="007C1916">
      <w:pPr>
        <w:spacing w:line="480" w:lineRule="auto"/>
      </w:pPr>
      <w:r w:rsidRPr="007C1916">
        <w:rPr>
          <w:b/>
        </w:rPr>
        <w:t>ADDRESSES:</w:t>
      </w:r>
      <w:r w:rsidRPr="007C1916">
        <w:t xml:space="preserve">  Comments filed with OMB, identified by OMB Control No. </w:t>
      </w:r>
      <w:r w:rsidR="00AD74A9" w:rsidRPr="00AD74A9">
        <w:t>1902-0171</w:t>
      </w:r>
      <w:r w:rsidRPr="007C1916">
        <w:t xml:space="preserve">, </w:t>
      </w:r>
      <w:r w:rsidR="001E6510">
        <w:t xml:space="preserve">should be sent via email to the </w:t>
      </w:r>
      <w:r w:rsidRPr="007C1916">
        <w:t xml:space="preserve">Office of Information and Regulatory Affairs: </w:t>
      </w:r>
      <w:hyperlink r:id="rId14" w:history="1">
        <w:r w:rsidRPr="007C1916">
          <w:rPr>
            <w:rStyle w:val="Hyperlink"/>
          </w:rPr>
          <w:t>oira_submission@omb.gov</w:t>
        </w:r>
      </w:hyperlink>
      <w:r w:rsidRPr="007C1916">
        <w:t xml:space="preserve">.  Attention: Federal Energy Regulatory Commission Desk Officer.  </w:t>
      </w:r>
    </w:p>
    <w:p w14:paraId="5B1CC12A" w14:textId="2D039647" w:rsidR="007C1916" w:rsidRPr="007C1916" w:rsidRDefault="007C1916" w:rsidP="007C1916">
      <w:pPr>
        <w:spacing w:line="480" w:lineRule="auto"/>
      </w:pPr>
      <w:r w:rsidRPr="007C1916">
        <w:t xml:space="preserve">A copy of the comments should also be sent to the Commission, in Docket No. </w:t>
      </w:r>
      <w:r w:rsidR="00AD74A9">
        <w:t>IC19-13-000</w:t>
      </w:r>
      <w:r w:rsidRPr="007C1916">
        <w:t>, by either of the following methods:</w:t>
      </w:r>
    </w:p>
    <w:p w14:paraId="792B5B58" w14:textId="77777777" w:rsidR="007C1916" w:rsidRPr="007C1916" w:rsidRDefault="007C1916" w:rsidP="007C1916">
      <w:pPr>
        <w:numPr>
          <w:ilvl w:val="0"/>
          <w:numId w:val="2"/>
        </w:numPr>
        <w:tabs>
          <w:tab w:val="num" w:pos="1080"/>
        </w:tabs>
        <w:spacing w:line="480" w:lineRule="auto"/>
      </w:pPr>
      <w:r w:rsidRPr="007C1916">
        <w:t xml:space="preserve">eFiling at Commission’s Web Site: </w:t>
      </w:r>
      <w:hyperlink r:id="rId15" w:history="1">
        <w:r w:rsidRPr="007C1916">
          <w:rPr>
            <w:rStyle w:val="Hyperlink"/>
          </w:rPr>
          <w:t>http://www.ferc.gov/docs-filing/efiling.asp</w:t>
        </w:r>
      </w:hyperlink>
    </w:p>
    <w:p w14:paraId="0F5C3F2D" w14:textId="77777777" w:rsidR="007C1916" w:rsidRPr="007C1916" w:rsidRDefault="007C1916" w:rsidP="007C1916">
      <w:pPr>
        <w:numPr>
          <w:ilvl w:val="0"/>
          <w:numId w:val="2"/>
        </w:numPr>
        <w:tabs>
          <w:tab w:val="num" w:pos="1080"/>
        </w:tabs>
        <w:spacing w:line="480" w:lineRule="auto"/>
      </w:pPr>
      <w:r w:rsidRPr="007C1916">
        <w:t>Mail/Hand Delivery/Courier: Federal Energy Regulatory Commission, Secretary of the Commission, 888 First Street, NE, Washington, DC 20426.</w:t>
      </w:r>
    </w:p>
    <w:p w14:paraId="72FFFB84" w14:textId="40F9A49C" w:rsidR="00A2604E" w:rsidRDefault="00A2604E" w:rsidP="007C1916">
      <w:pPr>
        <w:spacing w:line="480" w:lineRule="auto"/>
      </w:pPr>
      <w:r>
        <w:rPr>
          <w:i/>
        </w:rPr>
        <w:t xml:space="preserve">Instructions: </w:t>
      </w:r>
      <w:r>
        <w:t xml:space="preserve">All submissions must be formatted and filed in accordance with submission guidelines at: </w:t>
      </w:r>
      <w:hyperlink r:id="rId16" w:history="1">
        <w:r w:rsidRPr="00866BB4">
          <w:rPr>
            <w:rStyle w:val="Hyperlink"/>
          </w:rPr>
          <w:t>http://www.ferc.gov/help/submission-guide.asp</w:t>
        </w:r>
      </w:hyperlink>
      <w:r>
        <w:t>.  For user assistance</w:t>
      </w:r>
      <w:r w:rsidR="00BF2D74">
        <w:t>,</w:t>
      </w:r>
      <w:r>
        <w:t xml:space="preserve"> contact FERC Online Support by e-mail at ferconlinesupport@ferc.gov, or by phone at:  (866) 208-3676 (toll-free), or (202) 502-8659 for TTY.</w:t>
      </w:r>
    </w:p>
    <w:p w14:paraId="6160E432" w14:textId="77777777" w:rsidR="00A2604E" w:rsidRPr="00241BFD" w:rsidRDefault="00A2604E" w:rsidP="00A2604E">
      <w:pPr>
        <w:spacing w:line="480" w:lineRule="auto"/>
      </w:pPr>
      <w:r>
        <w:rPr>
          <w:i/>
        </w:rPr>
        <w:t>Docket:</w:t>
      </w:r>
      <w:r>
        <w:t xml:space="preserve"> Users interested in receiving automatic notification of activity in this docket or in viewing/downloading comments and issuances in this docket may do so at </w:t>
      </w:r>
      <w:hyperlink r:id="rId17" w:history="1">
        <w:r w:rsidRPr="0057675D">
          <w:rPr>
            <w:rStyle w:val="Hyperlink"/>
          </w:rPr>
          <w:t>http://www.ferc.gov/docs-filing/docs-filing.asp</w:t>
        </w:r>
      </w:hyperlink>
      <w:r>
        <w:t xml:space="preserve">. </w:t>
      </w:r>
    </w:p>
    <w:bookmarkEnd w:id="1"/>
    <w:p w14:paraId="5D1F4BEC" w14:textId="1BF6A34E" w:rsidR="00A2604E" w:rsidRDefault="00A2604E" w:rsidP="00A2604E">
      <w:pPr>
        <w:spacing w:line="480" w:lineRule="auto"/>
      </w:pPr>
      <w:r w:rsidRPr="00656DF0">
        <w:rPr>
          <w:b/>
        </w:rPr>
        <w:t>FOR FURTHER INFORMATION</w:t>
      </w:r>
      <w:r w:rsidR="00B56882">
        <w:rPr>
          <w:b/>
        </w:rPr>
        <w:t xml:space="preserve"> CONTACT</w:t>
      </w:r>
      <w:r w:rsidRPr="00656DF0">
        <w:rPr>
          <w:b/>
        </w:rPr>
        <w:t>:</w:t>
      </w:r>
      <w:r>
        <w:t xml:space="preserve">  </w:t>
      </w:r>
      <w:r w:rsidRPr="007731D6">
        <w:t>Ellen Brown</w:t>
      </w:r>
      <w:r>
        <w:t xml:space="preserve"> may be reached by e-mail at </w:t>
      </w:r>
      <w:hyperlink r:id="rId18" w:history="1">
        <w:r w:rsidRPr="00006D4B">
          <w:rPr>
            <w:rStyle w:val="Hyperlink"/>
          </w:rPr>
          <w:t>DataClearance@FERC.gov</w:t>
        </w:r>
      </w:hyperlink>
      <w:r>
        <w:t>, telephone at (202) 502-8663, and fax at (202) 273-0873.</w:t>
      </w:r>
    </w:p>
    <w:p w14:paraId="6614759F" w14:textId="34FA9396" w:rsidR="00A2604E" w:rsidRPr="00853ABC" w:rsidRDefault="00A2604E" w:rsidP="00C1124F">
      <w:pPr>
        <w:tabs>
          <w:tab w:val="left" w:pos="7880"/>
        </w:tabs>
        <w:spacing w:line="480" w:lineRule="auto"/>
      </w:pPr>
      <w:r>
        <w:t xml:space="preserve"> </w:t>
      </w:r>
      <w:r w:rsidRPr="001C3703">
        <w:rPr>
          <w:b/>
        </w:rPr>
        <w:t>SUPPLEMENTARY INFORMATION:</w:t>
      </w:r>
      <w:r>
        <w:t xml:space="preserve">  </w:t>
      </w:r>
    </w:p>
    <w:p w14:paraId="1828F029" w14:textId="4BA5AD2A" w:rsidR="00AA4050" w:rsidRDefault="00AA4050" w:rsidP="009E5557">
      <w:pPr>
        <w:spacing w:line="480" w:lineRule="auto"/>
        <w:rPr>
          <w:i/>
        </w:rPr>
      </w:pPr>
      <w:r>
        <w:rPr>
          <w:i/>
        </w:rPr>
        <w:t xml:space="preserve">Title: </w:t>
      </w:r>
      <w:r w:rsidR="00AD74A9">
        <w:t>FERC-715</w:t>
      </w:r>
      <w:r w:rsidR="009E5557">
        <w:t xml:space="preserve">, </w:t>
      </w:r>
      <w:r w:rsidR="00AD74A9" w:rsidRPr="00AD74A9">
        <w:t>Annual Transmission Planning and Evaluation Report</w:t>
      </w:r>
      <w:r w:rsidR="00A8690F">
        <w:t>.</w:t>
      </w:r>
    </w:p>
    <w:p w14:paraId="75921495" w14:textId="2DF1049F" w:rsidR="00AA4050" w:rsidRDefault="00AA4050" w:rsidP="00AA4050">
      <w:pPr>
        <w:spacing w:line="480" w:lineRule="auto"/>
      </w:pPr>
      <w:r>
        <w:rPr>
          <w:i/>
        </w:rPr>
        <w:t>OMB Control No.:</w:t>
      </w:r>
      <w:r w:rsidRPr="00F50EDA">
        <w:t xml:space="preserve"> </w:t>
      </w:r>
      <w:r w:rsidR="00AD74A9" w:rsidRPr="00AD74A9">
        <w:t>1902-0171</w:t>
      </w:r>
    </w:p>
    <w:p w14:paraId="002C811C" w14:textId="124B0282" w:rsidR="00AA4050" w:rsidRPr="00B5364C" w:rsidRDefault="00AA4050" w:rsidP="00AA4050">
      <w:pPr>
        <w:spacing w:line="480" w:lineRule="auto"/>
      </w:pPr>
      <w:r>
        <w:rPr>
          <w:i/>
        </w:rPr>
        <w:lastRenderedPageBreak/>
        <w:t>Type of Request:</w:t>
      </w:r>
      <w:r>
        <w:t xml:space="preserve"> Three-year extension of the </w:t>
      </w:r>
      <w:r w:rsidR="00AD74A9">
        <w:t>FERC-715</w:t>
      </w:r>
      <w:r>
        <w:t xml:space="preserve"> information collection requirements with no changes to the current reporting </w:t>
      </w:r>
      <w:r w:rsidR="002F24E8">
        <w:t xml:space="preserve">and recordkeeping </w:t>
      </w:r>
      <w:r>
        <w:t xml:space="preserve">requirements. </w:t>
      </w:r>
    </w:p>
    <w:p w14:paraId="07269B48" w14:textId="4B45F68C" w:rsidR="00747A2B" w:rsidRPr="00494016" w:rsidRDefault="00B01B16" w:rsidP="00747A2B">
      <w:pPr>
        <w:spacing w:line="480" w:lineRule="auto"/>
        <w:rPr>
          <w:szCs w:val="26"/>
        </w:rPr>
      </w:pPr>
      <w:r>
        <w:rPr>
          <w:i/>
        </w:rPr>
        <w:t xml:space="preserve">Abstract: </w:t>
      </w:r>
      <w:r w:rsidR="001E6510">
        <w:rPr>
          <w:i/>
        </w:rPr>
        <w:t xml:space="preserve"> </w:t>
      </w:r>
      <w:r w:rsidR="00747A2B" w:rsidRPr="00494016">
        <w:rPr>
          <w:szCs w:val="26"/>
        </w:rPr>
        <w:t>Acting under FPA section 213</w:t>
      </w:r>
      <w:r w:rsidR="00747A2B" w:rsidRPr="00494016">
        <w:rPr>
          <w:b/>
          <w:szCs w:val="26"/>
          <w:vertAlign w:val="superscript"/>
        </w:rPr>
        <w:footnoteReference w:id="1"/>
      </w:r>
      <w:r w:rsidR="00747A2B" w:rsidRPr="00494016">
        <w:rPr>
          <w:szCs w:val="26"/>
        </w:rPr>
        <w:t>, FERC requires each transmitting utility that operates integrated transmission system facilities rated above 100 kilovolts (kV) to submit annually:</w:t>
      </w:r>
    </w:p>
    <w:p w14:paraId="6F1FBDCB" w14:textId="77777777" w:rsidR="00747A2B" w:rsidRPr="00494016" w:rsidRDefault="00747A2B" w:rsidP="00747A2B">
      <w:pPr>
        <w:spacing w:line="480" w:lineRule="auto"/>
        <w:rPr>
          <w:szCs w:val="26"/>
        </w:rPr>
      </w:pPr>
      <w:r w:rsidRPr="00494016">
        <w:rPr>
          <w:szCs w:val="26"/>
        </w:rPr>
        <w:t>•</w:t>
      </w:r>
      <w:r w:rsidRPr="00494016">
        <w:rPr>
          <w:szCs w:val="26"/>
        </w:rPr>
        <w:tab/>
        <w:t>Contact information for the FERC-715;</w:t>
      </w:r>
    </w:p>
    <w:p w14:paraId="2FC10E22" w14:textId="77777777" w:rsidR="00747A2B" w:rsidRPr="00494016" w:rsidRDefault="00747A2B" w:rsidP="00747A2B">
      <w:pPr>
        <w:spacing w:line="480" w:lineRule="auto"/>
        <w:ind w:left="720" w:hanging="720"/>
        <w:rPr>
          <w:szCs w:val="26"/>
        </w:rPr>
      </w:pPr>
      <w:r w:rsidRPr="00494016">
        <w:rPr>
          <w:szCs w:val="26"/>
        </w:rPr>
        <w:t>•</w:t>
      </w:r>
      <w:r w:rsidRPr="00494016">
        <w:rPr>
          <w:szCs w:val="26"/>
        </w:rPr>
        <w:tab/>
        <w:t>Base case power flow data (if it does not participate in the development and use of regional power flow data);</w:t>
      </w:r>
    </w:p>
    <w:p w14:paraId="1C47EBB8" w14:textId="77777777" w:rsidR="00747A2B" w:rsidRPr="00494016" w:rsidRDefault="00747A2B" w:rsidP="00747A2B">
      <w:pPr>
        <w:spacing w:line="480" w:lineRule="auto"/>
        <w:ind w:left="720" w:hanging="720"/>
        <w:rPr>
          <w:szCs w:val="26"/>
        </w:rPr>
      </w:pPr>
      <w:r w:rsidRPr="00494016">
        <w:rPr>
          <w:szCs w:val="26"/>
        </w:rPr>
        <w:t>•</w:t>
      </w:r>
      <w:r w:rsidRPr="00494016">
        <w:rPr>
          <w:szCs w:val="26"/>
        </w:rPr>
        <w:tab/>
        <w:t>Transmission system maps and diagrams used by the respondent for transmission planning;</w:t>
      </w:r>
    </w:p>
    <w:p w14:paraId="0E2AC29F" w14:textId="77777777" w:rsidR="00747A2B" w:rsidRPr="00494016" w:rsidRDefault="00747A2B" w:rsidP="00747A2B">
      <w:pPr>
        <w:spacing w:line="480" w:lineRule="auto"/>
        <w:ind w:left="720" w:hanging="720"/>
        <w:rPr>
          <w:szCs w:val="26"/>
        </w:rPr>
      </w:pPr>
      <w:r w:rsidRPr="00494016">
        <w:rPr>
          <w:szCs w:val="26"/>
        </w:rPr>
        <w:t>•</w:t>
      </w:r>
      <w:r w:rsidRPr="00494016">
        <w:rPr>
          <w:szCs w:val="26"/>
        </w:rPr>
        <w:tab/>
        <w:t>A detailed description of the transmission planning reliability criteria used to evaluate system performance for time frames and planning horizons used in regional and corporate planning;</w:t>
      </w:r>
    </w:p>
    <w:p w14:paraId="1978F9E6" w14:textId="77777777" w:rsidR="00747A2B" w:rsidRPr="00494016" w:rsidRDefault="00747A2B" w:rsidP="00747A2B">
      <w:pPr>
        <w:spacing w:line="480" w:lineRule="auto"/>
        <w:ind w:left="720" w:hanging="720"/>
        <w:rPr>
          <w:szCs w:val="26"/>
        </w:rPr>
      </w:pPr>
      <w:r w:rsidRPr="00494016">
        <w:rPr>
          <w:szCs w:val="26"/>
        </w:rPr>
        <w:t>•</w:t>
      </w:r>
      <w:r w:rsidRPr="00494016">
        <w:rPr>
          <w:szCs w:val="26"/>
        </w:rPr>
        <w:tab/>
        <w:t>A detailed description of the respondent’s transmission planning assessment practices (including, but not limited to, how reliability criteria are applied and the steps taken in performing transmission planning studies); and</w:t>
      </w:r>
    </w:p>
    <w:p w14:paraId="51179F81" w14:textId="77777777" w:rsidR="00747A2B" w:rsidRPr="00494016" w:rsidRDefault="00747A2B" w:rsidP="00747A2B">
      <w:pPr>
        <w:spacing w:line="480" w:lineRule="auto"/>
        <w:ind w:left="720" w:hanging="720"/>
        <w:rPr>
          <w:szCs w:val="26"/>
        </w:rPr>
      </w:pPr>
      <w:r w:rsidRPr="00494016">
        <w:rPr>
          <w:szCs w:val="26"/>
        </w:rPr>
        <w:t>•</w:t>
      </w:r>
      <w:r w:rsidRPr="00494016">
        <w:rPr>
          <w:szCs w:val="26"/>
        </w:rPr>
        <w:tab/>
        <w:t>A detailed evaluation of the respondent’s anticipated system performance as measured against its stated reliability criteria using its stated assessment practices.</w:t>
      </w:r>
    </w:p>
    <w:p w14:paraId="124F057D" w14:textId="216B439E" w:rsidR="00747A2B" w:rsidRPr="00494016" w:rsidRDefault="00747A2B" w:rsidP="00747A2B">
      <w:pPr>
        <w:spacing w:line="480" w:lineRule="auto"/>
        <w:ind w:firstLine="720"/>
        <w:rPr>
          <w:szCs w:val="26"/>
        </w:rPr>
      </w:pPr>
      <w:r w:rsidRPr="00494016">
        <w:rPr>
          <w:szCs w:val="26"/>
        </w:rPr>
        <w:t>The FERC-715 enables the Commission to use the information as part of their regulatory oversight functions which include:</w:t>
      </w:r>
    </w:p>
    <w:p w14:paraId="7C9235EB" w14:textId="77777777" w:rsidR="00747A2B" w:rsidRPr="00494016" w:rsidRDefault="00747A2B" w:rsidP="00747A2B">
      <w:pPr>
        <w:spacing w:line="480" w:lineRule="auto"/>
        <w:rPr>
          <w:szCs w:val="26"/>
        </w:rPr>
      </w:pPr>
      <w:r w:rsidRPr="00494016">
        <w:rPr>
          <w:szCs w:val="26"/>
        </w:rPr>
        <w:t>•</w:t>
      </w:r>
      <w:r w:rsidRPr="00494016">
        <w:rPr>
          <w:szCs w:val="26"/>
        </w:rPr>
        <w:tab/>
        <w:t>The review of rates and charges;</w:t>
      </w:r>
    </w:p>
    <w:p w14:paraId="102B6A57" w14:textId="77777777" w:rsidR="00747A2B" w:rsidRPr="00494016" w:rsidRDefault="00747A2B" w:rsidP="00747A2B">
      <w:pPr>
        <w:spacing w:line="480" w:lineRule="auto"/>
        <w:rPr>
          <w:szCs w:val="26"/>
        </w:rPr>
      </w:pPr>
      <w:r w:rsidRPr="00494016">
        <w:rPr>
          <w:szCs w:val="26"/>
        </w:rPr>
        <w:t>•</w:t>
      </w:r>
      <w:r w:rsidRPr="00494016">
        <w:rPr>
          <w:szCs w:val="26"/>
        </w:rPr>
        <w:tab/>
        <w:t>The disposition of jurisdictional facilities;</w:t>
      </w:r>
    </w:p>
    <w:p w14:paraId="6C9B49B8" w14:textId="77777777" w:rsidR="00747A2B" w:rsidRPr="00494016" w:rsidRDefault="00747A2B" w:rsidP="00747A2B">
      <w:pPr>
        <w:spacing w:line="480" w:lineRule="auto"/>
        <w:rPr>
          <w:szCs w:val="26"/>
        </w:rPr>
      </w:pPr>
      <w:r w:rsidRPr="00494016">
        <w:rPr>
          <w:szCs w:val="26"/>
        </w:rPr>
        <w:t>•</w:t>
      </w:r>
      <w:r w:rsidRPr="00494016">
        <w:rPr>
          <w:szCs w:val="26"/>
        </w:rPr>
        <w:tab/>
        <w:t>The consolidation and mergers;</w:t>
      </w:r>
    </w:p>
    <w:p w14:paraId="1C6807F0" w14:textId="77777777" w:rsidR="00747A2B" w:rsidRPr="00494016" w:rsidRDefault="00747A2B" w:rsidP="00747A2B">
      <w:pPr>
        <w:spacing w:line="480" w:lineRule="auto"/>
        <w:rPr>
          <w:szCs w:val="26"/>
        </w:rPr>
      </w:pPr>
      <w:r w:rsidRPr="00494016">
        <w:rPr>
          <w:szCs w:val="26"/>
        </w:rPr>
        <w:t>•</w:t>
      </w:r>
      <w:r w:rsidRPr="00494016">
        <w:rPr>
          <w:szCs w:val="26"/>
        </w:rPr>
        <w:tab/>
        <w:t>The adequacy of supply and;</w:t>
      </w:r>
    </w:p>
    <w:p w14:paraId="5E0551D6" w14:textId="77777777" w:rsidR="00747A2B" w:rsidRPr="00494016" w:rsidRDefault="00747A2B" w:rsidP="00747A2B">
      <w:pPr>
        <w:spacing w:line="480" w:lineRule="auto"/>
        <w:rPr>
          <w:szCs w:val="26"/>
        </w:rPr>
      </w:pPr>
      <w:r w:rsidRPr="00494016">
        <w:rPr>
          <w:szCs w:val="26"/>
        </w:rPr>
        <w:t>•</w:t>
      </w:r>
      <w:r w:rsidRPr="00494016">
        <w:rPr>
          <w:szCs w:val="26"/>
        </w:rPr>
        <w:tab/>
        <w:t xml:space="preserve">Reliability of </w:t>
      </w:r>
      <w:r>
        <w:rPr>
          <w:szCs w:val="26"/>
        </w:rPr>
        <w:t>the n</w:t>
      </w:r>
      <w:r w:rsidRPr="00494016">
        <w:rPr>
          <w:szCs w:val="26"/>
        </w:rPr>
        <w:t>ation’s transmission grid</w:t>
      </w:r>
      <w:r>
        <w:rPr>
          <w:szCs w:val="26"/>
        </w:rPr>
        <w:t>.</w:t>
      </w:r>
    </w:p>
    <w:p w14:paraId="0D215BCE" w14:textId="77777777" w:rsidR="00747A2B" w:rsidRPr="00494016" w:rsidRDefault="00747A2B" w:rsidP="00747A2B">
      <w:pPr>
        <w:spacing w:line="480" w:lineRule="auto"/>
        <w:ind w:firstLine="720"/>
        <w:rPr>
          <w:szCs w:val="26"/>
        </w:rPr>
      </w:pPr>
      <w:r w:rsidRPr="00494016">
        <w:rPr>
          <w:szCs w:val="26"/>
        </w:rPr>
        <w:t xml:space="preserve">The FERC-715 enables the Commission to facilitate and resolve transmission disputes.  Additionally, the Office of Electric Reliability (OER) uses the FERC-715 data to help protect and improve the reliability and security of the nation’s bulk power system. OER oversees the development and review of mandatory reliability and security standards and ensures compliance with the approved standards by the users, owners, and operators of the bulk power system. </w:t>
      </w:r>
      <w:r>
        <w:rPr>
          <w:szCs w:val="26"/>
        </w:rPr>
        <w:t xml:space="preserve"> </w:t>
      </w:r>
      <w:r w:rsidRPr="00494016">
        <w:rPr>
          <w:szCs w:val="26"/>
        </w:rPr>
        <w:t xml:space="preserve">OER also monitors and addresses issues concerning the nation’s bulk power system including assessments of resource adequacy and reliability.  </w:t>
      </w:r>
    </w:p>
    <w:p w14:paraId="53CBB83D" w14:textId="77777777" w:rsidR="00747A2B" w:rsidRDefault="00747A2B" w:rsidP="00747A2B">
      <w:pPr>
        <w:spacing w:line="480" w:lineRule="auto"/>
        <w:ind w:firstLine="720"/>
        <w:rPr>
          <w:szCs w:val="26"/>
        </w:rPr>
      </w:pPr>
      <w:r w:rsidRPr="00494016">
        <w:rPr>
          <w:szCs w:val="26"/>
        </w:rPr>
        <w:t>Without the FERC-715 data, the Commission would be unable to evaluate planned projects or requests related to transmission.</w:t>
      </w:r>
    </w:p>
    <w:p w14:paraId="3E2A6AA0" w14:textId="556861E1" w:rsidR="00CE4CE8" w:rsidRDefault="00CE4CE8" w:rsidP="00CE4CE8">
      <w:pPr>
        <w:spacing w:line="480" w:lineRule="auto"/>
        <w:rPr>
          <w:szCs w:val="26"/>
        </w:rPr>
      </w:pPr>
      <w:r>
        <w:rPr>
          <w:i/>
          <w:szCs w:val="26"/>
        </w:rPr>
        <w:t>Summary and Response to Public Comment:</w:t>
      </w:r>
      <w:r>
        <w:rPr>
          <w:szCs w:val="26"/>
        </w:rPr>
        <w:t xml:space="preserve">  </w:t>
      </w:r>
      <w:r w:rsidRPr="00CE4CE8">
        <w:rPr>
          <w:szCs w:val="26"/>
        </w:rPr>
        <w:t xml:space="preserve">In response to the Notice of Information Collection and Request for Comments published in the Federal Register on December 27, 2018, the Commission received one comment from the American Public Power Association (APPA).  The comment recommended enhancing the current FERC Form No. 715 collection process to have each of the six submission parts better segregated from each other to allow for more granular responses to data requests and limit the release of components of </w:t>
      </w:r>
      <w:r>
        <w:rPr>
          <w:szCs w:val="26"/>
        </w:rPr>
        <w:t xml:space="preserve">the </w:t>
      </w:r>
      <w:r w:rsidRPr="00CE4CE8">
        <w:rPr>
          <w:szCs w:val="26"/>
        </w:rPr>
        <w:t xml:space="preserve">report </w:t>
      </w:r>
      <w:r>
        <w:rPr>
          <w:szCs w:val="26"/>
        </w:rPr>
        <w:t xml:space="preserve">which are </w:t>
      </w:r>
      <w:r w:rsidRPr="00CE4CE8">
        <w:rPr>
          <w:szCs w:val="26"/>
        </w:rPr>
        <w:t xml:space="preserve">Critical Energy/Electric Infrastructure Information (CEII).  </w:t>
      </w:r>
    </w:p>
    <w:p w14:paraId="241C8F9E" w14:textId="7C49542A" w:rsidR="00CE4CE8" w:rsidRPr="00494016" w:rsidRDefault="00CE4CE8" w:rsidP="00CE4CE8">
      <w:pPr>
        <w:spacing w:line="480" w:lineRule="auto"/>
        <w:rPr>
          <w:szCs w:val="26"/>
        </w:rPr>
      </w:pPr>
      <w:r w:rsidRPr="00CE4CE8">
        <w:rPr>
          <w:szCs w:val="26"/>
        </w:rPr>
        <w:t>These recommendations will be taken under consideration in the event of potential future revisions of the FERC Form No. 715 process.</w:t>
      </w:r>
    </w:p>
    <w:p w14:paraId="2A6D757B" w14:textId="44140655" w:rsidR="00C728C5" w:rsidRDefault="002F24E8" w:rsidP="002F24E8">
      <w:pPr>
        <w:spacing w:line="480" w:lineRule="auto"/>
        <w:rPr>
          <w:bCs/>
        </w:rPr>
      </w:pPr>
      <w:r w:rsidRPr="003D25C9">
        <w:rPr>
          <w:bCs/>
          <w:i/>
        </w:rPr>
        <w:t xml:space="preserve">Type of Respondent: </w:t>
      </w:r>
      <w:r w:rsidR="00747A2B" w:rsidRPr="00747A2B">
        <w:rPr>
          <w:bCs/>
        </w:rPr>
        <w:t>Integrated transmission system facilities rated at or above 100 kilovolts (kV).</w:t>
      </w:r>
    </w:p>
    <w:p w14:paraId="2DAA25AC" w14:textId="41BA72D9" w:rsidR="00747A2B" w:rsidRDefault="00D42209" w:rsidP="00747A2B">
      <w:pPr>
        <w:spacing w:line="480" w:lineRule="auto"/>
      </w:pPr>
      <w:r w:rsidRPr="004E2C78">
        <w:rPr>
          <w:i/>
        </w:rPr>
        <w:t>Estimate of Annual Burden</w:t>
      </w:r>
      <w:r w:rsidRPr="003D25C9">
        <w:rPr>
          <w:rStyle w:val="FootnoteReference"/>
          <w:i/>
        </w:rPr>
        <w:footnoteReference w:id="2"/>
      </w:r>
      <w:r w:rsidRPr="003D25C9">
        <w:t xml:space="preserve">: </w:t>
      </w:r>
      <w:r w:rsidR="00301312">
        <w:t xml:space="preserve"> </w:t>
      </w:r>
      <w:r w:rsidR="00747A2B">
        <w:t>The Commission estimates the total annual burden and cost</w:t>
      </w:r>
      <w:r w:rsidR="00747A2B">
        <w:rPr>
          <w:rStyle w:val="FootnoteReference"/>
        </w:rPr>
        <w:footnoteReference w:id="3"/>
      </w:r>
      <w:r w:rsidR="00747A2B">
        <w:t xml:space="preserve"> for this information collection as follows.</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1526"/>
        <w:gridCol w:w="1526"/>
        <w:gridCol w:w="1438"/>
        <w:gridCol w:w="1337"/>
        <w:gridCol w:w="1366"/>
        <w:gridCol w:w="1257"/>
      </w:tblGrid>
      <w:tr w:rsidR="00747A2B" w:rsidRPr="00494016" w14:paraId="43AA52C7" w14:textId="77777777" w:rsidTr="004A5648">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14:paraId="7373FC7E" w14:textId="77777777" w:rsidR="00747A2B" w:rsidRPr="00494016" w:rsidRDefault="00747A2B" w:rsidP="004A5648">
            <w:pPr>
              <w:jc w:val="center"/>
              <w:rPr>
                <w:rFonts w:eastAsia="Calibri"/>
                <w:b/>
                <w:sz w:val="20"/>
                <w:szCs w:val="20"/>
              </w:rPr>
            </w:pPr>
            <w:r w:rsidRPr="00494016">
              <w:rPr>
                <w:b/>
                <w:sz w:val="20"/>
                <w:szCs w:val="20"/>
              </w:rPr>
              <w:t>FERC-715</w:t>
            </w:r>
            <w:r>
              <w:rPr>
                <w:b/>
                <w:sz w:val="20"/>
                <w:szCs w:val="20"/>
              </w:rPr>
              <w:t>,</w:t>
            </w:r>
            <w:r w:rsidRPr="00494016">
              <w:rPr>
                <w:sz w:val="20"/>
                <w:szCs w:val="20"/>
              </w:rPr>
              <w:t xml:space="preserve"> </w:t>
            </w:r>
            <w:r w:rsidRPr="00494016">
              <w:rPr>
                <w:b/>
                <w:sz w:val="20"/>
                <w:szCs w:val="20"/>
              </w:rPr>
              <w:t>Annual Transmission Planning and Evaluation Report</w:t>
            </w:r>
          </w:p>
        </w:tc>
      </w:tr>
      <w:tr w:rsidR="00747A2B" w:rsidRPr="00494016" w14:paraId="14ABF067" w14:textId="77777777" w:rsidTr="004A5648">
        <w:trPr>
          <w:cantSplit/>
        </w:trPr>
        <w:tc>
          <w:tcPr>
            <w:tcW w:w="878" w:type="pct"/>
            <w:tcBorders>
              <w:top w:val="single" w:sz="4" w:space="0" w:color="auto"/>
              <w:left w:val="single" w:sz="4" w:space="0" w:color="auto"/>
              <w:bottom w:val="single" w:sz="4" w:space="0" w:color="auto"/>
              <w:right w:val="single" w:sz="4" w:space="0" w:color="auto"/>
            </w:tcBorders>
            <w:shd w:val="clear" w:color="auto" w:fill="D9D9D9"/>
          </w:tcPr>
          <w:p w14:paraId="7836706F" w14:textId="77777777" w:rsidR="00747A2B" w:rsidRPr="00494016" w:rsidRDefault="00747A2B" w:rsidP="004A5648">
            <w:pPr>
              <w:jc w:val="center"/>
              <w:rPr>
                <w:rFonts w:eastAsia="Calibri"/>
                <w:b/>
                <w:sz w:val="20"/>
                <w:szCs w:val="20"/>
              </w:rPr>
            </w:pP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B8451DA" w14:textId="77777777" w:rsidR="00747A2B" w:rsidRPr="00494016" w:rsidRDefault="00747A2B" w:rsidP="004A5648">
            <w:pPr>
              <w:jc w:val="center"/>
              <w:rPr>
                <w:rFonts w:eastAsia="Calibri"/>
                <w:b/>
                <w:sz w:val="20"/>
                <w:szCs w:val="20"/>
              </w:rPr>
            </w:pPr>
            <w:r w:rsidRPr="00494016">
              <w:rPr>
                <w:rFonts w:eastAsia="Calibri"/>
                <w:b/>
                <w:sz w:val="20"/>
                <w:szCs w:val="20"/>
              </w:rPr>
              <w:t>Number of Respondents</w:t>
            </w:r>
            <w:r w:rsidRPr="00494016">
              <w:rPr>
                <w:rFonts w:eastAsia="Calibri"/>
                <w:b/>
                <w:sz w:val="20"/>
                <w:szCs w:val="20"/>
              </w:rPr>
              <w:br/>
              <w:t>(1)</w:t>
            </w:r>
          </w:p>
        </w:tc>
        <w:tc>
          <w:tcPr>
            <w:tcW w:w="74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E44F806" w14:textId="77777777" w:rsidR="00747A2B" w:rsidRPr="00494016" w:rsidRDefault="00747A2B" w:rsidP="004A5648">
            <w:pPr>
              <w:jc w:val="center"/>
              <w:rPr>
                <w:rFonts w:eastAsia="Calibri"/>
                <w:b/>
                <w:sz w:val="20"/>
                <w:szCs w:val="20"/>
              </w:rPr>
            </w:pPr>
            <w:r w:rsidRPr="00494016">
              <w:rPr>
                <w:rFonts w:eastAsia="Calibri"/>
                <w:b/>
                <w:sz w:val="20"/>
                <w:szCs w:val="20"/>
              </w:rPr>
              <w:t>Annual Number of Responses per Respondent</w:t>
            </w:r>
          </w:p>
          <w:p w14:paraId="36EC0A99" w14:textId="77777777" w:rsidR="00747A2B" w:rsidRPr="00494016" w:rsidRDefault="00747A2B" w:rsidP="004A5648">
            <w:pPr>
              <w:jc w:val="center"/>
              <w:rPr>
                <w:rFonts w:eastAsia="Calibri"/>
                <w:b/>
                <w:sz w:val="20"/>
                <w:szCs w:val="20"/>
              </w:rPr>
            </w:pPr>
            <w:r w:rsidRPr="00494016">
              <w:rPr>
                <w:rFonts w:eastAsia="Calibri"/>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85F5259" w14:textId="77777777" w:rsidR="00747A2B" w:rsidRPr="00494016" w:rsidRDefault="00747A2B" w:rsidP="004A5648">
            <w:pPr>
              <w:jc w:val="center"/>
              <w:rPr>
                <w:rFonts w:eastAsia="Calibri"/>
                <w:b/>
                <w:sz w:val="20"/>
                <w:szCs w:val="20"/>
              </w:rPr>
            </w:pPr>
            <w:r w:rsidRPr="00494016">
              <w:rPr>
                <w:rFonts w:eastAsia="Calibri"/>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BE6CDBE" w14:textId="77777777" w:rsidR="00747A2B" w:rsidRPr="00494016" w:rsidRDefault="00747A2B" w:rsidP="004A5648">
            <w:pPr>
              <w:jc w:val="center"/>
              <w:rPr>
                <w:rFonts w:eastAsia="Calibri"/>
                <w:b/>
                <w:sz w:val="20"/>
                <w:szCs w:val="20"/>
                <w:vertAlign w:val="superscript"/>
              </w:rPr>
            </w:pPr>
            <w:r w:rsidRPr="00494016">
              <w:rPr>
                <w:rFonts w:eastAsia="Calibri"/>
                <w:b/>
                <w:sz w:val="20"/>
                <w:szCs w:val="20"/>
              </w:rPr>
              <w:t>Average Burden &amp; Cost Per Response</w:t>
            </w:r>
          </w:p>
          <w:p w14:paraId="006FA85A" w14:textId="77777777" w:rsidR="00747A2B" w:rsidRPr="00494016" w:rsidRDefault="00747A2B" w:rsidP="004A5648">
            <w:pPr>
              <w:jc w:val="center"/>
              <w:rPr>
                <w:rFonts w:eastAsia="Calibri"/>
                <w:b/>
                <w:sz w:val="20"/>
                <w:szCs w:val="20"/>
              </w:rPr>
            </w:pPr>
            <w:r w:rsidRPr="00494016">
              <w:rPr>
                <w:rFonts w:eastAsia="Calibri"/>
                <w:b/>
                <w:sz w:val="20"/>
                <w:szCs w:val="20"/>
              </w:rPr>
              <w:t>(4)</w:t>
            </w:r>
          </w:p>
        </w:tc>
        <w:tc>
          <w:tcPr>
            <w:tcW w:w="65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9A2C42" w14:textId="77777777" w:rsidR="00747A2B" w:rsidRPr="00494016" w:rsidRDefault="00747A2B" w:rsidP="004A5648">
            <w:pPr>
              <w:jc w:val="center"/>
              <w:rPr>
                <w:rFonts w:eastAsia="Calibri"/>
                <w:b/>
                <w:sz w:val="20"/>
                <w:szCs w:val="20"/>
              </w:rPr>
            </w:pPr>
            <w:r w:rsidRPr="00494016">
              <w:rPr>
                <w:rFonts w:eastAsia="Calibri"/>
                <w:b/>
                <w:sz w:val="20"/>
                <w:szCs w:val="20"/>
              </w:rPr>
              <w:t>Total Annual Burden Hours &amp; Total Annual Cost</w:t>
            </w:r>
          </w:p>
          <w:p w14:paraId="73A0B638" w14:textId="77777777" w:rsidR="00747A2B" w:rsidRPr="00494016" w:rsidRDefault="00747A2B" w:rsidP="004A5648">
            <w:pPr>
              <w:jc w:val="center"/>
              <w:rPr>
                <w:rFonts w:eastAsia="Calibri"/>
                <w:b/>
                <w:sz w:val="20"/>
                <w:szCs w:val="20"/>
              </w:rPr>
            </w:pPr>
            <w:r w:rsidRPr="00494016">
              <w:rPr>
                <w:rFonts w:eastAsia="Calibri"/>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77B6A44" w14:textId="77777777" w:rsidR="00747A2B" w:rsidRPr="00494016" w:rsidRDefault="00747A2B" w:rsidP="004A5648">
            <w:pPr>
              <w:jc w:val="center"/>
              <w:rPr>
                <w:rFonts w:eastAsia="Calibri"/>
                <w:b/>
                <w:sz w:val="20"/>
                <w:szCs w:val="20"/>
              </w:rPr>
            </w:pPr>
            <w:r w:rsidRPr="00494016">
              <w:rPr>
                <w:rFonts w:eastAsia="Calibri"/>
                <w:b/>
                <w:sz w:val="20"/>
                <w:szCs w:val="20"/>
              </w:rPr>
              <w:t>Cost per Respondent</w:t>
            </w:r>
          </w:p>
          <w:p w14:paraId="54A8B082" w14:textId="77777777" w:rsidR="00747A2B" w:rsidRPr="00494016" w:rsidRDefault="00747A2B" w:rsidP="004A5648">
            <w:pPr>
              <w:jc w:val="center"/>
              <w:rPr>
                <w:rFonts w:eastAsia="Calibri"/>
                <w:b/>
                <w:sz w:val="20"/>
                <w:szCs w:val="20"/>
              </w:rPr>
            </w:pPr>
            <w:r w:rsidRPr="00494016">
              <w:rPr>
                <w:rFonts w:eastAsia="Calibri"/>
                <w:b/>
                <w:sz w:val="20"/>
                <w:szCs w:val="20"/>
              </w:rPr>
              <w:t xml:space="preserve"> ($)</w:t>
            </w:r>
          </w:p>
          <w:p w14:paraId="6688442A" w14:textId="77777777" w:rsidR="00747A2B" w:rsidRPr="00494016" w:rsidRDefault="00747A2B" w:rsidP="004A5648">
            <w:pPr>
              <w:jc w:val="center"/>
              <w:rPr>
                <w:rFonts w:eastAsia="Calibri"/>
                <w:b/>
                <w:sz w:val="20"/>
                <w:szCs w:val="20"/>
              </w:rPr>
            </w:pPr>
            <w:r w:rsidRPr="00494016">
              <w:rPr>
                <w:rFonts w:eastAsia="Calibri"/>
                <w:b/>
                <w:sz w:val="20"/>
                <w:szCs w:val="20"/>
              </w:rPr>
              <w:t>(5)÷(1)</w:t>
            </w:r>
          </w:p>
        </w:tc>
      </w:tr>
      <w:tr w:rsidR="00747A2B" w:rsidRPr="00494016" w14:paraId="5B6B3200" w14:textId="77777777" w:rsidTr="004A5648">
        <w:trPr>
          <w:cantSplit/>
        </w:trPr>
        <w:tc>
          <w:tcPr>
            <w:tcW w:w="878" w:type="pct"/>
            <w:tcBorders>
              <w:top w:val="single" w:sz="4" w:space="0" w:color="auto"/>
              <w:left w:val="single" w:sz="4" w:space="0" w:color="auto"/>
              <w:bottom w:val="single" w:sz="4" w:space="0" w:color="auto"/>
              <w:right w:val="single" w:sz="4" w:space="0" w:color="auto"/>
            </w:tcBorders>
            <w:hideMark/>
          </w:tcPr>
          <w:p w14:paraId="23325D89" w14:textId="77777777" w:rsidR="00747A2B" w:rsidRPr="00494016" w:rsidRDefault="00747A2B" w:rsidP="004A5648">
            <w:pPr>
              <w:rPr>
                <w:rFonts w:eastAsia="Calibri"/>
                <w:sz w:val="20"/>
                <w:szCs w:val="20"/>
              </w:rPr>
            </w:pPr>
            <w:r w:rsidRPr="00494016">
              <w:rPr>
                <w:rFonts w:eastAsia="Calibri"/>
                <w:sz w:val="20"/>
                <w:szCs w:val="20"/>
              </w:rPr>
              <w:t>Annual Transmission Planning and Evaluation Report</w:t>
            </w:r>
            <w:r>
              <w:rPr>
                <w:rStyle w:val="FootnoteReference"/>
                <w:rFonts w:eastAsia="Calibri"/>
              </w:rPr>
              <w:footnoteReference w:id="4"/>
            </w:r>
          </w:p>
        </w:tc>
        <w:tc>
          <w:tcPr>
            <w:tcW w:w="746" w:type="pct"/>
            <w:tcBorders>
              <w:top w:val="single" w:sz="4" w:space="0" w:color="auto"/>
              <w:left w:val="single" w:sz="4" w:space="0" w:color="auto"/>
              <w:bottom w:val="single" w:sz="4" w:space="0" w:color="auto"/>
              <w:right w:val="single" w:sz="4" w:space="0" w:color="auto"/>
            </w:tcBorders>
            <w:hideMark/>
          </w:tcPr>
          <w:p w14:paraId="5E3B1A7F" w14:textId="77777777" w:rsidR="00747A2B" w:rsidRPr="00494016" w:rsidRDefault="00747A2B" w:rsidP="004A5648">
            <w:pPr>
              <w:jc w:val="right"/>
              <w:rPr>
                <w:rFonts w:eastAsia="Calibri"/>
                <w:sz w:val="20"/>
                <w:szCs w:val="20"/>
              </w:rPr>
            </w:pPr>
            <w:r>
              <w:rPr>
                <w:rFonts w:eastAsia="Calibri"/>
                <w:sz w:val="20"/>
                <w:szCs w:val="20"/>
              </w:rPr>
              <w:t>111</w:t>
            </w:r>
          </w:p>
        </w:tc>
        <w:tc>
          <w:tcPr>
            <w:tcW w:w="746" w:type="pct"/>
            <w:tcBorders>
              <w:top w:val="single" w:sz="4" w:space="0" w:color="auto"/>
              <w:left w:val="single" w:sz="4" w:space="0" w:color="auto"/>
              <w:bottom w:val="single" w:sz="4" w:space="0" w:color="auto"/>
              <w:right w:val="single" w:sz="4" w:space="0" w:color="auto"/>
            </w:tcBorders>
            <w:hideMark/>
          </w:tcPr>
          <w:p w14:paraId="1C747027" w14:textId="77777777" w:rsidR="00747A2B" w:rsidRPr="00494016" w:rsidRDefault="00747A2B" w:rsidP="004A5648">
            <w:pPr>
              <w:jc w:val="right"/>
              <w:rPr>
                <w:rFonts w:eastAsia="Calibri"/>
                <w:sz w:val="20"/>
                <w:szCs w:val="20"/>
              </w:rPr>
            </w:pPr>
            <w:r w:rsidRPr="00494016">
              <w:rPr>
                <w:rFonts w:eastAsia="Calibri"/>
                <w:sz w:val="20"/>
                <w:szCs w:val="20"/>
              </w:rPr>
              <w:t>1</w:t>
            </w:r>
          </w:p>
        </w:tc>
        <w:tc>
          <w:tcPr>
            <w:tcW w:w="703" w:type="pct"/>
            <w:tcBorders>
              <w:top w:val="single" w:sz="4" w:space="0" w:color="auto"/>
              <w:left w:val="single" w:sz="4" w:space="0" w:color="auto"/>
              <w:bottom w:val="single" w:sz="4" w:space="0" w:color="auto"/>
              <w:right w:val="single" w:sz="4" w:space="0" w:color="auto"/>
            </w:tcBorders>
            <w:hideMark/>
          </w:tcPr>
          <w:p w14:paraId="39FF3EDE" w14:textId="77777777" w:rsidR="00747A2B" w:rsidRPr="00494016" w:rsidRDefault="00747A2B" w:rsidP="004A5648">
            <w:pPr>
              <w:jc w:val="right"/>
              <w:rPr>
                <w:rFonts w:eastAsia="Calibri"/>
                <w:sz w:val="20"/>
                <w:szCs w:val="20"/>
              </w:rPr>
            </w:pPr>
            <w:r>
              <w:rPr>
                <w:rFonts w:eastAsia="Calibri"/>
                <w:sz w:val="20"/>
                <w:szCs w:val="20"/>
              </w:rPr>
              <w:t>111</w:t>
            </w:r>
          </w:p>
        </w:tc>
        <w:tc>
          <w:tcPr>
            <w:tcW w:w="654" w:type="pct"/>
            <w:tcBorders>
              <w:top w:val="single" w:sz="4" w:space="0" w:color="auto"/>
              <w:left w:val="single" w:sz="4" w:space="0" w:color="auto"/>
              <w:bottom w:val="single" w:sz="4" w:space="0" w:color="auto"/>
              <w:right w:val="single" w:sz="4" w:space="0" w:color="auto"/>
            </w:tcBorders>
            <w:hideMark/>
          </w:tcPr>
          <w:p w14:paraId="101B950E" w14:textId="77777777" w:rsidR="00747A2B" w:rsidRPr="0086181D" w:rsidRDefault="00747A2B" w:rsidP="004A5648">
            <w:pPr>
              <w:jc w:val="right"/>
              <w:rPr>
                <w:rFonts w:eastAsia="Calibri"/>
                <w:sz w:val="20"/>
                <w:szCs w:val="20"/>
              </w:rPr>
            </w:pPr>
            <w:r w:rsidRPr="0086181D">
              <w:rPr>
                <w:rFonts w:eastAsia="Calibri"/>
                <w:sz w:val="20"/>
                <w:szCs w:val="20"/>
              </w:rPr>
              <w:t>160 hrs.;</w:t>
            </w:r>
          </w:p>
          <w:p w14:paraId="0D31FBBA" w14:textId="77777777" w:rsidR="00747A2B" w:rsidRPr="0086181D" w:rsidRDefault="00747A2B" w:rsidP="004A5648">
            <w:pPr>
              <w:jc w:val="right"/>
              <w:rPr>
                <w:rFonts w:eastAsia="Calibri"/>
                <w:sz w:val="20"/>
                <w:szCs w:val="20"/>
              </w:rPr>
            </w:pPr>
            <w:r w:rsidRPr="0086181D">
              <w:rPr>
                <w:rFonts w:eastAsia="Calibri"/>
                <w:sz w:val="20"/>
                <w:szCs w:val="20"/>
              </w:rPr>
              <w:t>$11,897.60</w:t>
            </w:r>
          </w:p>
        </w:tc>
        <w:tc>
          <w:tcPr>
            <w:tcW w:w="658" w:type="pct"/>
            <w:tcBorders>
              <w:top w:val="single" w:sz="4" w:space="0" w:color="auto"/>
              <w:left w:val="single" w:sz="4" w:space="0" w:color="auto"/>
              <w:bottom w:val="single" w:sz="4" w:space="0" w:color="auto"/>
              <w:right w:val="single" w:sz="4" w:space="0" w:color="auto"/>
            </w:tcBorders>
            <w:hideMark/>
          </w:tcPr>
          <w:p w14:paraId="5192C68A" w14:textId="77777777" w:rsidR="00747A2B" w:rsidRPr="0086181D" w:rsidRDefault="00747A2B" w:rsidP="004A5648">
            <w:pPr>
              <w:jc w:val="right"/>
              <w:rPr>
                <w:rFonts w:eastAsia="Calibri"/>
                <w:sz w:val="20"/>
                <w:szCs w:val="20"/>
              </w:rPr>
            </w:pPr>
            <w:r w:rsidRPr="0086181D">
              <w:rPr>
                <w:rFonts w:eastAsia="Calibri"/>
                <w:sz w:val="20"/>
                <w:szCs w:val="20"/>
              </w:rPr>
              <w:t>17,760 hrs.;</w:t>
            </w:r>
          </w:p>
          <w:p w14:paraId="06D79047" w14:textId="77777777" w:rsidR="00747A2B" w:rsidRPr="0086181D" w:rsidRDefault="00747A2B" w:rsidP="004A5648">
            <w:pPr>
              <w:jc w:val="right"/>
              <w:rPr>
                <w:rFonts w:eastAsia="Calibri"/>
                <w:sz w:val="20"/>
                <w:szCs w:val="20"/>
              </w:rPr>
            </w:pPr>
            <w:r w:rsidRPr="0086181D">
              <w:rPr>
                <w:rFonts w:eastAsia="Calibri"/>
                <w:sz w:val="20"/>
                <w:szCs w:val="20"/>
              </w:rPr>
              <w:t>$1,320,633.60</w:t>
            </w:r>
          </w:p>
        </w:tc>
        <w:tc>
          <w:tcPr>
            <w:tcW w:w="616" w:type="pct"/>
            <w:tcBorders>
              <w:top w:val="single" w:sz="4" w:space="0" w:color="auto"/>
              <w:left w:val="single" w:sz="4" w:space="0" w:color="auto"/>
              <w:bottom w:val="single" w:sz="4" w:space="0" w:color="auto"/>
              <w:right w:val="single" w:sz="4" w:space="0" w:color="auto"/>
            </w:tcBorders>
            <w:hideMark/>
          </w:tcPr>
          <w:p w14:paraId="16C695BD" w14:textId="77777777" w:rsidR="00747A2B" w:rsidRPr="0086181D" w:rsidRDefault="00747A2B" w:rsidP="004A5648">
            <w:pPr>
              <w:jc w:val="right"/>
              <w:rPr>
                <w:rFonts w:eastAsia="Calibri"/>
                <w:sz w:val="20"/>
                <w:szCs w:val="20"/>
              </w:rPr>
            </w:pPr>
            <w:r w:rsidRPr="0086181D">
              <w:rPr>
                <w:rFonts w:eastAsia="Calibri"/>
                <w:sz w:val="20"/>
                <w:szCs w:val="20"/>
              </w:rPr>
              <w:t>$11,897.60</w:t>
            </w:r>
          </w:p>
        </w:tc>
      </w:tr>
    </w:tbl>
    <w:p w14:paraId="3A6A08A3" w14:textId="77777777" w:rsidR="00747A2B" w:rsidRDefault="00747A2B" w:rsidP="00747A2B">
      <w:pPr>
        <w:spacing w:line="480" w:lineRule="auto"/>
      </w:pPr>
    </w:p>
    <w:p w14:paraId="6ED19215" w14:textId="4743B603" w:rsidR="00AE1F12" w:rsidRDefault="00AE1F12" w:rsidP="00AE1F12">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04CF2E0" w14:textId="2140C280" w:rsidR="00F11631" w:rsidRDefault="00F11631" w:rsidP="00F11631"/>
    <w:p w14:paraId="4C726916" w14:textId="1A9A703B" w:rsidR="00F11631" w:rsidRDefault="00F11631" w:rsidP="00F11631"/>
    <w:p w14:paraId="31D03E6F" w14:textId="3773D723" w:rsidR="00F11631" w:rsidRPr="00F11631" w:rsidRDefault="00F11631" w:rsidP="00F11631">
      <w:pPr>
        <w:ind w:firstLine="2174"/>
        <w:jc w:val="center"/>
      </w:pPr>
      <w:r w:rsidRPr="00F11631">
        <w:t>Kimberly D. Bose,</w:t>
      </w:r>
    </w:p>
    <w:p w14:paraId="279D1D3C" w14:textId="72111C19" w:rsidR="00F11631" w:rsidRPr="00F11631" w:rsidRDefault="00F11631" w:rsidP="00F11631">
      <w:pPr>
        <w:ind w:firstLine="2174"/>
        <w:jc w:val="center"/>
      </w:pPr>
      <w:r w:rsidRPr="00F11631">
        <w:t>Secretary.</w:t>
      </w:r>
    </w:p>
    <w:p w14:paraId="647D348B" w14:textId="77777777" w:rsidR="00F11631" w:rsidRDefault="00F11631" w:rsidP="00F11631"/>
    <w:sectPr w:rsidR="00F11631" w:rsidSect="00BF2D74">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2736C4" w14:textId="77777777" w:rsidR="005F726F" w:rsidRDefault="005F726F" w:rsidP="00B01B16">
      <w:r>
        <w:separator/>
      </w:r>
    </w:p>
  </w:endnote>
  <w:endnote w:type="continuationSeparator" w:id="0">
    <w:p w14:paraId="3293A662" w14:textId="77777777" w:rsidR="005F726F" w:rsidRDefault="005F726F"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E7BC5" w14:textId="77777777" w:rsidR="005F726F" w:rsidRDefault="005F726F" w:rsidP="00B01B16">
      <w:r>
        <w:separator/>
      </w:r>
    </w:p>
  </w:footnote>
  <w:footnote w:type="continuationSeparator" w:id="0">
    <w:p w14:paraId="78E6B14B" w14:textId="77777777" w:rsidR="005F726F" w:rsidRDefault="005F726F" w:rsidP="00B01B16">
      <w:r>
        <w:continuationSeparator/>
      </w:r>
    </w:p>
  </w:footnote>
  <w:footnote w:id="1">
    <w:p w14:paraId="4967E429" w14:textId="77777777" w:rsidR="00747A2B" w:rsidRPr="0086181D" w:rsidRDefault="00747A2B" w:rsidP="00747A2B">
      <w:pPr>
        <w:pStyle w:val="FootnoteText"/>
        <w:rPr>
          <w:sz w:val="26"/>
          <w:szCs w:val="26"/>
        </w:rPr>
      </w:pPr>
      <w:r w:rsidRPr="0086181D">
        <w:rPr>
          <w:rStyle w:val="FootnoteReference"/>
        </w:rPr>
        <w:footnoteRef/>
      </w:r>
      <w:r w:rsidRPr="0086181D">
        <w:rPr>
          <w:sz w:val="26"/>
          <w:szCs w:val="26"/>
        </w:rPr>
        <w:t xml:space="preserve"> 16 USC 824l</w:t>
      </w:r>
    </w:p>
  </w:footnote>
  <w:footnote w:id="2">
    <w:p w14:paraId="490F12D6" w14:textId="77777777" w:rsidR="00D42209" w:rsidRPr="008E145A" w:rsidRDefault="00D42209" w:rsidP="00D42209">
      <w:pPr>
        <w:pStyle w:val="FootnoteText"/>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or disclose or provide information to or for a Federal agency. For further explanation of what is included in the information collection burden, refer to Title 5 Code of Feder</w:t>
      </w:r>
      <w:r w:rsidRPr="008E145A">
        <w:rPr>
          <w:sz w:val="26"/>
          <w:szCs w:val="26"/>
        </w:rPr>
        <w:t>al Regulations 1320.3.</w:t>
      </w:r>
    </w:p>
  </w:footnote>
  <w:footnote w:id="3">
    <w:p w14:paraId="10DA1881" w14:textId="48B2F887" w:rsidR="00747A2B" w:rsidRPr="00A75CA1" w:rsidRDefault="00747A2B" w:rsidP="00747A2B">
      <w:pPr>
        <w:pStyle w:val="FootnoteText"/>
        <w:rPr>
          <w:sz w:val="26"/>
          <w:szCs w:val="26"/>
        </w:rPr>
      </w:pPr>
      <w:r w:rsidRPr="0086181D">
        <w:rPr>
          <w:rStyle w:val="FootnoteReference"/>
        </w:rPr>
        <w:footnoteRef/>
      </w:r>
      <w:r w:rsidRPr="0086181D">
        <w:rPr>
          <w:sz w:val="26"/>
          <w:szCs w:val="26"/>
        </w:rPr>
        <w:t xml:space="preserve"> The</w:t>
      </w:r>
      <w:r w:rsidRPr="00A75CA1">
        <w:rPr>
          <w:sz w:val="26"/>
          <w:szCs w:val="26"/>
        </w:rPr>
        <w:t xml:space="preserve"> hourly cost (for salary plus benefits) uses the figures from the Bureau of L</w:t>
      </w:r>
      <w:r w:rsidR="00301312">
        <w:rPr>
          <w:sz w:val="26"/>
          <w:szCs w:val="26"/>
        </w:rPr>
        <w:t>abor Statistics, May 2017</w:t>
      </w:r>
      <w:r w:rsidRPr="00A75CA1">
        <w:rPr>
          <w:sz w:val="26"/>
          <w:szCs w:val="26"/>
        </w:rPr>
        <w:t xml:space="preserve">.  These figures include salary (https://www.bls.gov/oes/current/naics2_22.htm ) and benefits </w:t>
      </w:r>
      <w:r>
        <w:rPr>
          <w:sz w:val="26"/>
          <w:szCs w:val="26"/>
        </w:rPr>
        <w:t>(</w:t>
      </w:r>
      <w:r w:rsidRPr="00A75CA1">
        <w:rPr>
          <w:sz w:val="26"/>
          <w:szCs w:val="26"/>
        </w:rPr>
        <w:t xml:space="preserve">http://www.bls.gov/news.release/ecec.nr0.htm) and are:  </w:t>
      </w:r>
    </w:p>
    <w:p w14:paraId="19EAC4B0" w14:textId="77777777" w:rsidR="00747A2B" w:rsidRPr="00A75CA1" w:rsidRDefault="00747A2B" w:rsidP="00747A2B">
      <w:pPr>
        <w:pStyle w:val="FootnoteText"/>
        <w:rPr>
          <w:sz w:val="26"/>
          <w:szCs w:val="26"/>
        </w:rPr>
      </w:pPr>
      <w:r>
        <w:rPr>
          <w:sz w:val="26"/>
          <w:szCs w:val="26"/>
        </w:rPr>
        <w:t>-</w:t>
      </w:r>
      <w:r w:rsidRPr="00A75CA1">
        <w:rPr>
          <w:sz w:val="26"/>
          <w:szCs w:val="26"/>
        </w:rPr>
        <w:t>Management (Code 11-0000), $94.28/hr.</w:t>
      </w:r>
    </w:p>
    <w:p w14:paraId="5E8853C6" w14:textId="77777777" w:rsidR="00747A2B" w:rsidRPr="00A75CA1" w:rsidRDefault="00747A2B" w:rsidP="00747A2B">
      <w:pPr>
        <w:pStyle w:val="FootnoteText"/>
        <w:rPr>
          <w:sz w:val="26"/>
          <w:szCs w:val="26"/>
        </w:rPr>
      </w:pPr>
      <w:r>
        <w:rPr>
          <w:sz w:val="26"/>
          <w:szCs w:val="26"/>
        </w:rPr>
        <w:t>-</w:t>
      </w:r>
      <w:r w:rsidRPr="00A75CA1">
        <w:rPr>
          <w:sz w:val="26"/>
          <w:szCs w:val="26"/>
        </w:rPr>
        <w:t>Computer and mathematical (Code 15-0000), $63.25/hr.</w:t>
      </w:r>
    </w:p>
    <w:p w14:paraId="2F02C9D8" w14:textId="77777777" w:rsidR="00747A2B" w:rsidRPr="00A75CA1" w:rsidRDefault="00747A2B" w:rsidP="00747A2B">
      <w:pPr>
        <w:pStyle w:val="FootnoteText"/>
        <w:rPr>
          <w:sz w:val="26"/>
          <w:szCs w:val="26"/>
        </w:rPr>
      </w:pPr>
      <w:r>
        <w:rPr>
          <w:sz w:val="26"/>
          <w:szCs w:val="26"/>
        </w:rPr>
        <w:t>-</w:t>
      </w:r>
      <w:r w:rsidRPr="00A75CA1">
        <w:rPr>
          <w:sz w:val="26"/>
          <w:szCs w:val="26"/>
        </w:rPr>
        <w:t>Electrical Engineer</w:t>
      </w:r>
      <w:r>
        <w:rPr>
          <w:sz w:val="26"/>
          <w:szCs w:val="26"/>
        </w:rPr>
        <w:t>s</w:t>
      </w:r>
      <w:r w:rsidRPr="00A75CA1">
        <w:rPr>
          <w:sz w:val="26"/>
          <w:szCs w:val="26"/>
        </w:rPr>
        <w:t xml:space="preserve"> (Code 17-2071), $66.90/hr.</w:t>
      </w:r>
    </w:p>
    <w:p w14:paraId="19062110" w14:textId="77777777" w:rsidR="00747A2B" w:rsidRPr="00A75CA1" w:rsidRDefault="00747A2B" w:rsidP="00747A2B">
      <w:pPr>
        <w:pStyle w:val="FootnoteText"/>
        <w:rPr>
          <w:sz w:val="26"/>
          <w:szCs w:val="26"/>
        </w:rPr>
      </w:pPr>
      <w:r>
        <w:rPr>
          <w:sz w:val="26"/>
          <w:szCs w:val="26"/>
        </w:rPr>
        <w:t>-</w:t>
      </w:r>
      <w:r w:rsidRPr="00A75CA1">
        <w:rPr>
          <w:sz w:val="26"/>
          <w:szCs w:val="26"/>
        </w:rPr>
        <w:t>Economist (Code 19-3011), $71.98/hr.</w:t>
      </w:r>
    </w:p>
    <w:p w14:paraId="1B2F2221" w14:textId="77777777" w:rsidR="00747A2B" w:rsidRPr="00A75CA1" w:rsidRDefault="00747A2B" w:rsidP="00747A2B">
      <w:pPr>
        <w:pStyle w:val="FootnoteText"/>
        <w:rPr>
          <w:sz w:val="26"/>
          <w:szCs w:val="26"/>
        </w:rPr>
      </w:pPr>
      <w:r>
        <w:rPr>
          <w:sz w:val="26"/>
          <w:szCs w:val="26"/>
        </w:rPr>
        <w:t>-</w:t>
      </w:r>
      <w:r w:rsidRPr="00A75CA1">
        <w:rPr>
          <w:sz w:val="26"/>
          <w:szCs w:val="26"/>
        </w:rPr>
        <w:t>Computer and Information Systems Managers (Code 11-3021), $96.51/hr.</w:t>
      </w:r>
    </w:p>
    <w:p w14:paraId="7A3D121E" w14:textId="77777777" w:rsidR="00747A2B" w:rsidRPr="00A75CA1" w:rsidRDefault="00747A2B" w:rsidP="00747A2B">
      <w:pPr>
        <w:pStyle w:val="FootnoteText"/>
        <w:rPr>
          <w:sz w:val="26"/>
          <w:szCs w:val="26"/>
        </w:rPr>
      </w:pPr>
      <w:r>
        <w:rPr>
          <w:sz w:val="26"/>
          <w:szCs w:val="26"/>
        </w:rPr>
        <w:t>-</w:t>
      </w:r>
      <w:r w:rsidRPr="00A75CA1">
        <w:rPr>
          <w:sz w:val="26"/>
          <w:szCs w:val="26"/>
        </w:rPr>
        <w:t xml:space="preserve">Accountants and Auditors (Code 13-2011), $56.59/hr. </w:t>
      </w:r>
    </w:p>
    <w:p w14:paraId="13ED09B4" w14:textId="77777777" w:rsidR="00747A2B" w:rsidRPr="00A75CA1" w:rsidRDefault="00747A2B" w:rsidP="00747A2B">
      <w:pPr>
        <w:pStyle w:val="FootnoteText"/>
        <w:rPr>
          <w:sz w:val="26"/>
          <w:szCs w:val="26"/>
        </w:rPr>
      </w:pPr>
      <w:r>
        <w:rPr>
          <w:sz w:val="26"/>
          <w:szCs w:val="26"/>
        </w:rPr>
        <w:t>-</w:t>
      </w:r>
      <w:r w:rsidRPr="00A75CA1">
        <w:rPr>
          <w:sz w:val="26"/>
          <w:szCs w:val="26"/>
        </w:rPr>
        <w:t>Transportation, Storage, and Distribution Managers (Code 11-3071), $</w:t>
      </w:r>
      <w:r>
        <w:rPr>
          <w:sz w:val="26"/>
          <w:szCs w:val="26"/>
        </w:rPr>
        <w:t>88.61</w:t>
      </w:r>
      <w:r w:rsidRPr="00A75CA1">
        <w:rPr>
          <w:sz w:val="26"/>
          <w:szCs w:val="26"/>
        </w:rPr>
        <w:t>/hr.</w:t>
      </w:r>
    </w:p>
    <w:p w14:paraId="0799FB29" w14:textId="77777777" w:rsidR="00747A2B" w:rsidRDefault="00747A2B" w:rsidP="00747A2B">
      <w:pPr>
        <w:pStyle w:val="FootnoteText"/>
        <w:rPr>
          <w:sz w:val="26"/>
          <w:szCs w:val="26"/>
        </w:rPr>
      </w:pPr>
      <w:r>
        <w:rPr>
          <w:sz w:val="26"/>
          <w:szCs w:val="26"/>
        </w:rPr>
        <w:t>-</w:t>
      </w:r>
      <w:r w:rsidRPr="00A75CA1">
        <w:rPr>
          <w:sz w:val="26"/>
          <w:szCs w:val="26"/>
        </w:rPr>
        <w:t>Power Distributors and Dispatchers (Code 51-8012), $</w:t>
      </w:r>
      <w:r>
        <w:rPr>
          <w:sz w:val="26"/>
          <w:szCs w:val="26"/>
        </w:rPr>
        <w:t>56.74</w:t>
      </w:r>
      <w:r w:rsidRPr="00A75CA1">
        <w:rPr>
          <w:sz w:val="26"/>
          <w:szCs w:val="26"/>
        </w:rPr>
        <w:t>/hr.</w:t>
      </w:r>
      <w:r w:rsidRPr="00D104F5">
        <w:rPr>
          <w:sz w:val="26"/>
          <w:szCs w:val="26"/>
        </w:rPr>
        <w:t xml:space="preserve"> </w:t>
      </w:r>
      <w:r>
        <w:rPr>
          <w:sz w:val="26"/>
          <w:szCs w:val="26"/>
        </w:rPr>
        <w:t xml:space="preserve"> </w:t>
      </w:r>
    </w:p>
    <w:p w14:paraId="39451349" w14:textId="77777777" w:rsidR="00747A2B" w:rsidRPr="00494016" w:rsidRDefault="00747A2B" w:rsidP="00747A2B">
      <w:pPr>
        <w:pStyle w:val="FootnoteText"/>
        <w:rPr>
          <w:sz w:val="26"/>
          <w:szCs w:val="26"/>
        </w:rPr>
      </w:pPr>
      <w:r>
        <w:rPr>
          <w:sz w:val="26"/>
          <w:szCs w:val="26"/>
        </w:rPr>
        <w:t>We are using t</w:t>
      </w:r>
      <w:r w:rsidRPr="00A75CA1">
        <w:rPr>
          <w:sz w:val="26"/>
          <w:szCs w:val="26"/>
        </w:rPr>
        <w:t>he average hourly cost (</w:t>
      </w:r>
      <w:r>
        <w:rPr>
          <w:sz w:val="26"/>
          <w:szCs w:val="26"/>
        </w:rPr>
        <w:t xml:space="preserve">for </w:t>
      </w:r>
      <w:r w:rsidRPr="00A75CA1">
        <w:rPr>
          <w:sz w:val="26"/>
          <w:szCs w:val="26"/>
        </w:rPr>
        <w:t>wages plus benefits</w:t>
      </w:r>
      <w:r>
        <w:rPr>
          <w:sz w:val="26"/>
          <w:szCs w:val="26"/>
        </w:rPr>
        <w:t>,</w:t>
      </w:r>
      <w:r w:rsidRPr="00A75CA1">
        <w:rPr>
          <w:sz w:val="26"/>
          <w:szCs w:val="26"/>
        </w:rPr>
        <w:t xml:space="preserve"> </w:t>
      </w:r>
      <w:r>
        <w:rPr>
          <w:sz w:val="26"/>
          <w:szCs w:val="26"/>
        </w:rPr>
        <w:t xml:space="preserve">for these categories) </w:t>
      </w:r>
      <w:r w:rsidRPr="00A75CA1">
        <w:rPr>
          <w:sz w:val="26"/>
          <w:szCs w:val="26"/>
        </w:rPr>
        <w:t>of $</w:t>
      </w:r>
      <w:r>
        <w:rPr>
          <w:sz w:val="26"/>
          <w:szCs w:val="26"/>
        </w:rPr>
        <w:t>74.36</w:t>
      </w:r>
      <w:r w:rsidRPr="00A75CA1">
        <w:rPr>
          <w:sz w:val="26"/>
          <w:szCs w:val="26"/>
        </w:rPr>
        <w:t>/hour</w:t>
      </w:r>
      <w:r>
        <w:rPr>
          <w:sz w:val="26"/>
          <w:szCs w:val="26"/>
        </w:rPr>
        <w:t>.</w:t>
      </w:r>
      <w:r w:rsidRPr="00A75CA1">
        <w:rPr>
          <w:sz w:val="26"/>
          <w:szCs w:val="26"/>
        </w:rPr>
        <w:t xml:space="preserve"> </w:t>
      </w:r>
    </w:p>
  </w:footnote>
  <w:footnote w:id="4">
    <w:p w14:paraId="2A01A49F" w14:textId="77777777" w:rsidR="00747A2B" w:rsidRPr="0086181D" w:rsidRDefault="00747A2B" w:rsidP="00747A2B">
      <w:pPr>
        <w:pStyle w:val="FootnoteText"/>
        <w:rPr>
          <w:sz w:val="26"/>
          <w:szCs w:val="26"/>
        </w:rPr>
      </w:pPr>
      <w:r w:rsidRPr="00AC1A88">
        <w:rPr>
          <w:rStyle w:val="FootnoteReference"/>
        </w:rPr>
        <w:footnoteRef/>
      </w:r>
      <w:r w:rsidRPr="0086181D">
        <w:rPr>
          <w:sz w:val="26"/>
          <w:szCs w:val="26"/>
        </w:rPr>
        <w:t xml:space="preserve"> In 2018, FERC had 111 direct filings (responses) from entities.  However there were 239 total respondents if Transmitting Utilities that have their filing submitted by a designated reporting agent, such as a regional entity, are counted independently.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0597F" w14:textId="36B275E4" w:rsidR="00810D18" w:rsidRDefault="00810D18" w:rsidP="00810D18">
    <w:pPr>
      <w:pStyle w:val="Header"/>
    </w:pPr>
    <w:r>
      <w:t xml:space="preserve">Docket No. </w:t>
    </w:r>
    <w:r w:rsidR="00AD74A9">
      <w:t>IC19-13-000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16C5E">
          <w:rPr>
            <w:noProof/>
          </w:rPr>
          <w:t>2</w:t>
        </w:r>
        <w:r>
          <w:rPr>
            <w:noProof/>
          </w:rPr>
          <w:fldChar w:fldCharType="end"/>
        </w:r>
      </w:sdtContent>
    </w:sdt>
  </w:p>
  <w:p w14:paraId="10170C13" w14:textId="76D2DB34" w:rsidR="00BF2D74" w:rsidRDefault="00BF2D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6"/>
    <w:rsid w:val="00004631"/>
    <w:rsid w:val="000122E1"/>
    <w:rsid w:val="00016A10"/>
    <w:rsid w:val="00023EA9"/>
    <w:rsid w:val="000241AE"/>
    <w:rsid w:val="000356D0"/>
    <w:rsid w:val="000459B6"/>
    <w:rsid w:val="00056C5D"/>
    <w:rsid w:val="00062427"/>
    <w:rsid w:val="000A0250"/>
    <w:rsid w:val="000A7E68"/>
    <w:rsid w:val="000E2568"/>
    <w:rsid w:val="0015578A"/>
    <w:rsid w:val="00156BBB"/>
    <w:rsid w:val="001600DF"/>
    <w:rsid w:val="00171725"/>
    <w:rsid w:val="00181BF7"/>
    <w:rsid w:val="001A6AD6"/>
    <w:rsid w:val="001B78B8"/>
    <w:rsid w:val="001E6510"/>
    <w:rsid w:val="00224BF2"/>
    <w:rsid w:val="0027452E"/>
    <w:rsid w:val="00293D56"/>
    <w:rsid w:val="002B7AA8"/>
    <w:rsid w:val="002D5237"/>
    <w:rsid w:val="002E0351"/>
    <w:rsid w:val="002F24E8"/>
    <w:rsid w:val="002F697A"/>
    <w:rsid w:val="00301312"/>
    <w:rsid w:val="003060F0"/>
    <w:rsid w:val="00311D90"/>
    <w:rsid w:val="003149BC"/>
    <w:rsid w:val="0034195C"/>
    <w:rsid w:val="00347056"/>
    <w:rsid w:val="00361371"/>
    <w:rsid w:val="00363638"/>
    <w:rsid w:val="003673EC"/>
    <w:rsid w:val="00376525"/>
    <w:rsid w:val="003960E0"/>
    <w:rsid w:val="003A1A72"/>
    <w:rsid w:val="003A3189"/>
    <w:rsid w:val="003C3E7A"/>
    <w:rsid w:val="003C7BC3"/>
    <w:rsid w:val="003E44AD"/>
    <w:rsid w:val="0040718A"/>
    <w:rsid w:val="00414B90"/>
    <w:rsid w:val="00443282"/>
    <w:rsid w:val="0045734B"/>
    <w:rsid w:val="004759C4"/>
    <w:rsid w:val="00485A51"/>
    <w:rsid w:val="0049480F"/>
    <w:rsid w:val="004C70C8"/>
    <w:rsid w:val="004C77EF"/>
    <w:rsid w:val="004D27A2"/>
    <w:rsid w:val="004F26DA"/>
    <w:rsid w:val="005003A4"/>
    <w:rsid w:val="00513DA8"/>
    <w:rsid w:val="00514B50"/>
    <w:rsid w:val="00516493"/>
    <w:rsid w:val="00516C03"/>
    <w:rsid w:val="0054073B"/>
    <w:rsid w:val="0054746C"/>
    <w:rsid w:val="00585F73"/>
    <w:rsid w:val="005A0148"/>
    <w:rsid w:val="005A2F24"/>
    <w:rsid w:val="005A3F56"/>
    <w:rsid w:val="005B4DA4"/>
    <w:rsid w:val="005C6D4E"/>
    <w:rsid w:val="005D16A1"/>
    <w:rsid w:val="005E6D8A"/>
    <w:rsid w:val="005F2427"/>
    <w:rsid w:val="005F3DAA"/>
    <w:rsid w:val="005F726F"/>
    <w:rsid w:val="006128A5"/>
    <w:rsid w:val="006144F3"/>
    <w:rsid w:val="00634374"/>
    <w:rsid w:val="00637F43"/>
    <w:rsid w:val="00642602"/>
    <w:rsid w:val="00644A1B"/>
    <w:rsid w:val="00650FA1"/>
    <w:rsid w:val="006536D8"/>
    <w:rsid w:val="00654BA4"/>
    <w:rsid w:val="00680D78"/>
    <w:rsid w:val="00695E65"/>
    <w:rsid w:val="006963BC"/>
    <w:rsid w:val="006A34AE"/>
    <w:rsid w:val="006A423E"/>
    <w:rsid w:val="006C6B0C"/>
    <w:rsid w:val="006E10F4"/>
    <w:rsid w:val="006E75AA"/>
    <w:rsid w:val="006E7CBB"/>
    <w:rsid w:val="00714F57"/>
    <w:rsid w:val="00727C5E"/>
    <w:rsid w:val="00741C80"/>
    <w:rsid w:val="00747A2B"/>
    <w:rsid w:val="0075009F"/>
    <w:rsid w:val="00782ACA"/>
    <w:rsid w:val="007B588C"/>
    <w:rsid w:val="007C1916"/>
    <w:rsid w:val="007C6AC2"/>
    <w:rsid w:val="007C729C"/>
    <w:rsid w:val="00803CA2"/>
    <w:rsid w:val="008074A6"/>
    <w:rsid w:val="00807CAC"/>
    <w:rsid w:val="00810D18"/>
    <w:rsid w:val="008115BF"/>
    <w:rsid w:val="00812B30"/>
    <w:rsid w:val="00824D81"/>
    <w:rsid w:val="00836DF9"/>
    <w:rsid w:val="00853ABC"/>
    <w:rsid w:val="00881405"/>
    <w:rsid w:val="0089069F"/>
    <w:rsid w:val="00895DA2"/>
    <w:rsid w:val="00897359"/>
    <w:rsid w:val="008A020E"/>
    <w:rsid w:val="008B6E06"/>
    <w:rsid w:val="008C572B"/>
    <w:rsid w:val="008D25B7"/>
    <w:rsid w:val="008D300A"/>
    <w:rsid w:val="008D5479"/>
    <w:rsid w:val="008E0DF5"/>
    <w:rsid w:val="008E3273"/>
    <w:rsid w:val="009179E9"/>
    <w:rsid w:val="00937284"/>
    <w:rsid w:val="00940C0F"/>
    <w:rsid w:val="0095311D"/>
    <w:rsid w:val="00954CCB"/>
    <w:rsid w:val="009744C8"/>
    <w:rsid w:val="00981886"/>
    <w:rsid w:val="00990FEC"/>
    <w:rsid w:val="009A1B08"/>
    <w:rsid w:val="009A6E91"/>
    <w:rsid w:val="009B4450"/>
    <w:rsid w:val="009C25C4"/>
    <w:rsid w:val="009C4A13"/>
    <w:rsid w:val="009E5557"/>
    <w:rsid w:val="009E66F8"/>
    <w:rsid w:val="009F7DE3"/>
    <w:rsid w:val="00A038F9"/>
    <w:rsid w:val="00A2604E"/>
    <w:rsid w:val="00A43A4A"/>
    <w:rsid w:val="00A507F0"/>
    <w:rsid w:val="00A664DF"/>
    <w:rsid w:val="00A713D0"/>
    <w:rsid w:val="00A72814"/>
    <w:rsid w:val="00A759B3"/>
    <w:rsid w:val="00A82A29"/>
    <w:rsid w:val="00A8690F"/>
    <w:rsid w:val="00A86D9E"/>
    <w:rsid w:val="00AA4050"/>
    <w:rsid w:val="00AA4DB7"/>
    <w:rsid w:val="00AA516A"/>
    <w:rsid w:val="00AA5B0E"/>
    <w:rsid w:val="00AC328D"/>
    <w:rsid w:val="00AC750B"/>
    <w:rsid w:val="00AC77B8"/>
    <w:rsid w:val="00AD4128"/>
    <w:rsid w:val="00AD74A9"/>
    <w:rsid w:val="00AE1F12"/>
    <w:rsid w:val="00AE3A78"/>
    <w:rsid w:val="00AE4155"/>
    <w:rsid w:val="00AE4B7C"/>
    <w:rsid w:val="00AF349B"/>
    <w:rsid w:val="00B01B16"/>
    <w:rsid w:val="00B22DCB"/>
    <w:rsid w:val="00B447D7"/>
    <w:rsid w:val="00B46F03"/>
    <w:rsid w:val="00B5066A"/>
    <w:rsid w:val="00B56882"/>
    <w:rsid w:val="00B65A09"/>
    <w:rsid w:val="00B76A1F"/>
    <w:rsid w:val="00B82F8C"/>
    <w:rsid w:val="00BA0FBC"/>
    <w:rsid w:val="00BA5479"/>
    <w:rsid w:val="00BB7D82"/>
    <w:rsid w:val="00BC200B"/>
    <w:rsid w:val="00BD74AE"/>
    <w:rsid w:val="00BE3FE7"/>
    <w:rsid w:val="00BF29D8"/>
    <w:rsid w:val="00BF2D74"/>
    <w:rsid w:val="00BF38BC"/>
    <w:rsid w:val="00BF4CC8"/>
    <w:rsid w:val="00C1124F"/>
    <w:rsid w:val="00C16C5E"/>
    <w:rsid w:val="00C37BFF"/>
    <w:rsid w:val="00C51458"/>
    <w:rsid w:val="00C53580"/>
    <w:rsid w:val="00C55838"/>
    <w:rsid w:val="00C728C5"/>
    <w:rsid w:val="00C77EF7"/>
    <w:rsid w:val="00C81A97"/>
    <w:rsid w:val="00C820F1"/>
    <w:rsid w:val="00C91512"/>
    <w:rsid w:val="00CA6636"/>
    <w:rsid w:val="00CA6D76"/>
    <w:rsid w:val="00CD37C7"/>
    <w:rsid w:val="00CD57EB"/>
    <w:rsid w:val="00CD5C97"/>
    <w:rsid w:val="00CD786C"/>
    <w:rsid w:val="00CE3598"/>
    <w:rsid w:val="00CE4CE8"/>
    <w:rsid w:val="00CF4753"/>
    <w:rsid w:val="00CF71E0"/>
    <w:rsid w:val="00D0083B"/>
    <w:rsid w:val="00D16650"/>
    <w:rsid w:val="00D42209"/>
    <w:rsid w:val="00D44183"/>
    <w:rsid w:val="00D838E6"/>
    <w:rsid w:val="00D9761F"/>
    <w:rsid w:val="00DA529F"/>
    <w:rsid w:val="00DC5017"/>
    <w:rsid w:val="00DD2ED3"/>
    <w:rsid w:val="00DD7F1B"/>
    <w:rsid w:val="00E024B6"/>
    <w:rsid w:val="00E03A25"/>
    <w:rsid w:val="00E13A02"/>
    <w:rsid w:val="00E34382"/>
    <w:rsid w:val="00E41DB9"/>
    <w:rsid w:val="00E4614B"/>
    <w:rsid w:val="00E762BB"/>
    <w:rsid w:val="00E77B33"/>
    <w:rsid w:val="00E8661B"/>
    <w:rsid w:val="00EA689F"/>
    <w:rsid w:val="00EB1060"/>
    <w:rsid w:val="00EF2866"/>
    <w:rsid w:val="00EF33BE"/>
    <w:rsid w:val="00F0383C"/>
    <w:rsid w:val="00F11631"/>
    <w:rsid w:val="00F24AB0"/>
    <w:rsid w:val="00F309CB"/>
    <w:rsid w:val="00F44A0E"/>
    <w:rsid w:val="00F8646E"/>
    <w:rsid w:val="00F9675E"/>
    <w:rsid w:val="00FC3F00"/>
    <w:rsid w:val="00FE4B8E"/>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4:docId w14:val="7C239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ataClearance@FER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erc.gov/docs-filing/docs-filing.asp" TargetMode="External"/><Relationship Id="rId2" Type="http://schemas.openxmlformats.org/officeDocument/2006/relationships/customXml" Target="../customXml/item2.xml"/><Relationship Id="rId16" Type="http://schemas.openxmlformats.org/officeDocument/2006/relationships/hyperlink" Target="http://www.ferc.gov/help/submission-guide.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efiling.asp" TargetMode="Externa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oira_submission@om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30-Day Notice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715</_x0031__x002e__x0020_Collection_x0020_Number>
    <Date xmlns="d6eefc7d-9817-4fa6-84d5-3bc009be21b8">2019-03-12T00:00:00-04:00</Date>
    <Status xmlns="d6eefc7d-9817-4fa6-84d5-3bc009be21b8">Issued</Status>
    <_x0032__x002e__x0020_Docket_x0020_Number xmlns="d6eefc7d-9817-4fa6-84d5-3bc009be21b8" xsi:nil="true"/>
    <_x0032__x002e__x0020_Collection_x0020_Number xmlns="d6eefc7d-9817-4fa6-84d5-3bc009be21b8" xsi:nil="true"/>
    <_x0031__x002e__x0020_Docket_x0020_Number xmlns="d6eefc7d-9817-4fa6-84d5-3bc009be21b8">IC19-13</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www.w3.org/XML/1998/namespace"/>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6eefc7d-9817-4fa6-84d5-3bc009be21b8"/>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4.xml><?xml version="1.0" encoding="utf-8"?>
<ds:datastoreItem xmlns:ds="http://schemas.openxmlformats.org/officeDocument/2006/customXml" ds:itemID="{32C42E87-4EB6-443D-8465-EE89FCB9142B}">
  <ds:schemaRefs>
    <ds:schemaRef ds:uri="http://schemas.microsoft.com/office/2006/metadata/customXsn"/>
  </ds:schemaRefs>
</ds:datastoreItem>
</file>

<file path=customXml/itemProps5.xml><?xml version="1.0" encoding="utf-8"?>
<ds:datastoreItem xmlns:ds="http://schemas.openxmlformats.org/officeDocument/2006/customXml" ds:itemID="{3AD3D8D6-BB5C-4D7E-B81C-961537F2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877468-0A9E-41A2-8B1D-62FC1BDE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7189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cp:lastPrinted>2016-12-20T13:40:00Z</cp:lastPrinted>
  <dcterms:created xsi:type="dcterms:W3CDTF">2019-03-12T16:11:00Z</dcterms:created>
  <dcterms:modified xsi:type="dcterms:W3CDTF">2019-03-12T16:11:00Z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