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769D3" w:rsidR="00077ABC" w:rsidP="00F46122" w:rsidRDefault="002B24D2" w14:paraId="24D800FC" w14:textId="77777777">
      <w:pPr>
        <w:pStyle w:val="DocumentTitle"/>
      </w:pPr>
      <w:r w:rsidRPr="009769D3">
        <w:fldChar w:fldCharType="begin"/>
      </w:r>
      <w:r w:rsidRPr="009769D3" w:rsidR="00077ABC">
        <w:instrText>tc \l2 "SF</w:instrText>
      </w:r>
      <w:r w:rsidRPr="009769D3">
        <w:fldChar w:fldCharType="end"/>
      </w:r>
      <w:r w:rsidRPr="009769D3" w:rsidR="00077ABC">
        <w:t>SUPPORTING STATEMENT</w:t>
      </w:r>
    </w:p>
    <w:p w:rsidRPr="009769D3" w:rsidR="00077ABC" w:rsidP="00F46122" w:rsidRDefault="00077ABC" w14:paraId="0DAA784D" w14:textId="77777777">
      <w:pPr>
        <w:pStyle w:val="DocumentTitle"/>
      </w:pPr>
      <w:r w:rsidRPr="009769D3">
        <w:t>ENVIRONMENTAL PROTECTION AGENCY</w:t>
      </w:r>
    </w:p>
    <w:p w:rsidRPr="00626756" w:rsidR="00077ABC" w:rsidP="00F46122" w:rsidRDefault="00C14140" w14:paraId="5FD5D0A7" w14:textId="77777777">
      <w:pPr>
        <w:pStyle w:val="DocumentTitle"/>
      </w:pPr>
      <w:r>
        <w:t xml:space="preserve">NESHAP </w:t>
      </w:r>
      <w:r w:rsidR="00E102B8">
        <w:t>FOR HAZARDOUS AIR POLLUTANTS FROM PETROLEUM REFINERIES</w:t>
      </w:r>
    </w:p>
    <w:p w:rsidR="00626756" w:rsidP="00F46122" w:rsidRDefault="00626756" w14:paraId="28B276BA" w14:textId="77777777">
      <w:pPr>
        <w:pStyle w:val="DocumentTitle"/>
      </w:pPr>
      <w:r>
        <w:t>40 CFR PART 63</w:t>
      </w:r>
      <w:r w:rsidR="00205C04">
        <w:t>,</w:t>
      </w:r>
      <w:r>
        <w:t xml:space="preserve"> SUBPART CC</w:t>
      </w:r>
    </w:p>
    <w:p w:rsidRPr="009769D3" w:rsidR="00626756" w:rsidP="00A70531" w:rsidRDefault="0032316D" w14:paraId="6181922A" w14:textId="402B263E">
      <w:pPr>
        <w:pStyle w:val="DocumentTitle"/>
      </w:pPr>
      <w:r>
        <w:t>MARCH</w:t>
      </w:r>
      <w:r w:rsidR="00ED4539">
        <w:t xml:space="preserve"> 201</w:t>
      </w:r>
      <w:r>
        <w:t>8</w:t>
      </w:r>
    </w:p>
    <w:p w:rsidRPr="009769D3" w:rsidR="00077ABC" w:rsidP="00F46122" w:rsidRDefault="00077ABC" w14:paraId="42D131DF" w14:textId="77777777">
      <w:pPr>
        <w:pStyle w:val="DocumentTitle"/>
      </w:pPr>
    </w:p>
    <w:p w:rsidRPr="00B54DC3" w:rsidR="004D5F2C" w:rsidP="004D5F2C" w:rsidRDefault="004D5F2C" w14:paraId="6E72FEF7" w14:textId="77777777">
      <w:pPr>
        <w:pStyle w:val="SectionHeading"/>
      </w:pPr>
      <w:r w:rsidRPr="00B54DC3">
        <w:t>1.</w:t>
      </w:r>
      <w:r>
        <w:t xml:space="preserve"> </w:t>
      </w:r>
      <w:r w:rsidRPr="00B54DC3">
        <w:t>Identificatio</w:t>
      </w:r>
      <w:r w:rsidR="00B50B26">
        <w:t>n of the Information Collection</w:t>
      </w:r>
    </w:p>
    <w:p w:rsidRPr="00B54DC3" w:rsidR="004D5F2C" w:rsidP="004D5F2C" w:rsidRDefault="004D5F2C" w14:paraId="4CAC4A75" w14:textId="77777777">
      <w:pPr>
        <w:pStyle w:val="SectionSubheading"/>
      </w:pPr>
      <w:r w:rsidRPr="00B54DC3">
        <w:t>1(a)</w:t>
      </w:r>
      <w:r>
        <w:t xml:space="preserve"> </w:t>
      </w:r>
      <w:r w:rsidRPr="00B54DC3">
        <w:t>Title of the Information</w:t>
      </w:r>
      <w:r w:rsidR="00B50B26">
        <w:t xml:space="preserve"> collection</w:t>
      </w:r>
    </w:p>
    <w:p w:rsidR="00227CF8" w:rsidP="00ED4539" w:rsidRDefault="00227CF8" w14:paraId="08B146BF" w14:textId="6519A343">
      <w:pPr>
        <w:pStyle w:val="BodyFirstline05After12pt"/>
      </w:pPr>
      <w:r w:rsidRPr="00D52B0E">
        <w:t>“National Emission Standards for Petroleum Refineries” (40 CFR Part 63, Subpart CC).</w:t>
      </w:r>
      <w:r w:rsidR="00F47C05">
        <w:t xml:space="preserve"> </w:t>
      </w:r>
      <w:r w:rsidRPr="00D52B0E">
        <w:t xml:space="preserve">This is a </w:t>
      </w:r>
      <w:r w:rsidRPr="00B54DC3" w:rsidR="00ED4539">
        <w:t>revision of an existing</w:t>
      </w:r>
      <w:r w:rsidRPr="00D52B0E">
        <w:t xml:space="preserve"> information collection request (ICR); the OMB Control Number is </w:t>
      </w:r>
      <w:r w:rsidRPr="00D52B0E" w:rsidR="00D52B0E">
        <w:t>2060-0340</w:t>
      </w:r>
      <w:r w:rsidRPr="00D52B0E">
        <w:t xml:space="preserve"> and the EPA tracking number is </w:t>
      </w:r>
      <w:r w:rsidRPr="00C50D63" w:rsidR="00D52B0E">
        <w:t>1692.</w:t>
      </w:r>
      <w:r w:rsidR="00F400A2">
        <w:t>11</w:t>
      </w:r>
      <w:r w:rsidRPr="00D52B0E">
        <w:t>.</w:t>
      </w:r>
    </w:p>
    <w:p w:rsidR="004D5F2C" w:rsidP="004D5F2C" w:rsidRDefault="004D5F2C" w14:paraId="13F3B181" w14:textId="77777777">
      <w:pPr>
        <w:pStyle w:val="SectionSubheading"/>
      </w:pPr>
      <w:r>
        <w:t>1(b) Short Characterization/Abstract</w:t>
      </w:r>
    </w:p>
    <w:p w:rsidR="00152122" w:rsidP="00020056" w:rsidRDefault="00932301" w14:paraId="66DC7598" w14:textId="441EB60C">
      <w:pPr>
        <w:pStyle w:val="BodyFirstline05After12pt"/>
      </w:pPr>
      <w:r w:rsidRPr="00B54DC3">
        <w:t xml:space="preserve">The EPA is </w:t>
      </w:r>
      <w:r w:rsidR="00F400A2">
        <w:t xml:space="preserve">proposing </w:t>
      </w:r>
      <w:r w:rsidR="00CA13E9">
        <w:t>revisions to</w:t>
      </w:r>
      <w:r>
        <w:t xml:space="preserve"> </w:t>
      </w:r>
      <w:r w:rsidRPr="00B54DC3">
        <w:t xml:space="preserve">40 CFR </w:t>
      </w:r>
      <w:r>
        <w:t>part 63</w:t>
      </w:r>
      <w:r w:rsidRPr="00B54DC3">
        <w:t xml:space="preserve">, </w:t>
      </w:r>
      <w:r>
        <w:t>subpart CC</w:t>
      </w:r>
      <w:r w:rsidRPr="00B54DC3">
        <w:t xml:space="preserve"> as it applies to </w:t>
      </w:r>
      <w:r>
        <w:t>existing and new petroleum refining process units and emission points located at refineries that are major sources of hazardous</w:t>
      </w:r>
      <w:r w:rsidR="005518B8">
        <w:t xml:space="preserve"> air pollutants (HAP) emissions.</w:t>
      </w:r>
      <w:r w:rsidR="00F47C05">
        <w:t xml:space="preserve"> </w:t>
      </w:r>
      <w:r w:rsidR="00F400A2">
        <w:t xml:space="preserve">Many of the proposed revisions are technical corrections to the December 2015 amendments to </w:t>
      </w:r>
      <w:r w:rsidRPr="00B54DC3" w:rsidR="00F400A2">
        <w:t xml:space="preserve">40 CFR </w:t>
      </w:r>
      <w:r w:rsidR="00F400A2">
        <w:t>part 63</w:t>
      </w:r>
      <w:r w:rsidRPr="00B54DC3" w:rsidR="00F400A2">
        <w:t xml:space="preserve">, </w:t>
      </w:r>
      <w:r w:rsidR="00F400A2">
        <w:t xml:space="preserve">subpart CC </w:t>
      </w:r>
      <w:r w:rsidR="004F37F9">
        <w:t xml:space="preserve">to </w:t>
      </w:r>
      <w:r w:rsidR="00F400A2">
        <w:t>correct typographical errors or incorrect cross-references</w:t>
      </w:r>
      <w:r w:rsidR="00152122">
        <w:t xml:space="preserve"> and do not involve additional information collection or burden</w:t>
      </w:r>
      <w:r w:rsidR="00F400A2">
        <w:t xml:space="preserve">. </w:t>
      </w:r>
      <w:r w:rsidR="0019771C">
        <w:t>There</w:t>
      </w:r>
      <w:r w:rsidR="00152122">
        <w:t xml:space="preserve"> is, however,</w:t>
      </w:r>
      <w:r w:rsidR="0019771C">
        <w:t xml:space="preserve"> </w:t>
      </w:r>
      <w:r w:rsidR="00152122">
        <w:t>a</w:t>
      </w:r>
      <w:r w:rsidR="00F400A2">
        <w:t xml:space="preserve"> proposed technical amendment that impact</w:t>
      </w:r>
      <w:r w:rsidR="00152122">
        <w:t>s</w:t>
      </w:r>
      <w:r w:rsidR="00F400A2">
        <w:t xml:space="preserve"> the</w:t>
      </w:r>
      <w:r w:rsidRPr="00F400A2" w:rsidR="00F400A2">
        <w:t xml:space="preserve"> </w:t>
      </w:r>
      <w:r w:rsidR="00F400A2">
        <w:t xml:space="preserve">recordkeeping requirements in </w:t>
      </w:r>
      <w:r w:rsidRPr="00B54DC3" w:rsidR="00F400A2">
        <w:t xml:space="preserve">40 CFR </w:t>
      </w:r>
      <w:r w:rsidR="00F400A2">
        <w:t>part 63</w:t>
      </w:r>
      <w:r w:rsidRPr="00B54DC3" w:rsidR="00F400A2">
        <w:t xml:space="preserve">, </w:t>
      </w:r>
      <w:r w:rsidR="00F400A2">
        <w:t>subpart CC</w:t>
      </w:r>
      <w:r w:rsidR="00152122">
        <w:t xml:space="preserve"> for</w:t>
      </w:r>
      <w:r w:rsidR="00F400A2">
        <w:t xml:space="preserve"> </w:t>
      </w:r>
      <w:r w:rsidR="00254A52">
        <w:t xml:space="preserve">certain </w:t>
      </w:r>
      <w:r w:rsidR="00304CFC">
        <w:t>maintenance vents</w:t>
      </w:r>
      <w:r w:rsidR="00254A52">
        <w:t xml:space="preserve"> associated with </w:t>
      </w:r>
      <w:r w:rsidR="00397BBD">
        <w:t>equipment containing less than 72 lbs VOC</w:t>
      </w:r>
      <w:r w:rsidR="000B7C3D">
        <w:t xml:space="preserve"> as found at §63.655(i)(12)(iv). </w:t>
      </w:r>
    </w:p>
    <w:p w:rsidRPr="00B54DC3" w:rsidR="00932301" w:rsidP="00020056" w:rsidRDefault="000B7C3D" w14:paraId="5D1A57CE" w14:textId="46D772C0">
      <w:pPr>
        <w:pStyle w:val="BodyFirstline05After12pt"/>
      </w:pPr>
      <w:r>
        <w:t xml:space="preserve">The new recordkeeping requirement requires records used to estimate the total quantity of VOC in the equipment and the type and size limits of equipment that contain less than 72 lb of VOC at the time of the maintenance vent opening. As specified in §63.655(i)(12)(iv), additional records are required if the deinventory procedures were not followed for each maintenance vent opening or if the equipment opened exceeded the type and size limits (i.e., 72 lb VOC). These additional records include </w:t>
      </w:r>
      <w:r w:rsidRPr="000B7C3D">
        <w:t>identification of the maintenance vent, the process units or equipment associated with the maintenance vent, the date of maintenance vent opening, and records used to estimate the total quantity of VOC in the equipment at the time the maintenance vent was opened to the atmosphere</w:t>
      </w:r>
      <w:r>
        <w:t>.</w:t>
      </w:r>
      <w:r w:rsidR="00152122">
        <w:t xml:space="preserve"> These records will assist the EPA with determining compliance with the standards set forth in §63.643(c)(iv). They are expected to result in </w:t>
      </w:r>
      <w:r w:rsidR="009C5209">
        <w:t>1</w:t>
      </w:r>
      <w:r w:rsidR="00AA2BE0">
        <w:t>6</w:t>
      </w:r>
      <w:r w:rsidR="00152122">
        <w:t xml:space="preserve"> hours and $</w:t>
      </w:r>
      <w:r w:rsidR="009C5209">
        <w:t>1,640</w:t>
      </w:r>
      <w:r w:rsidR="00152122">
        <w:t xml:space="preserve"> of additional burden to respondents, and </w:t>
      </w:r>
      <w:r w:rsidR="009C5209">
        <w:t>8</w:t>
      </w:r>
      <w:r w:rsidR="00152122">
        <w:t xml:space="preserve"> hour</w:t>
      </w:r>
      <w:r w:rsidR="00A913AA">
        <w:t>s</w:t>
      </w:r>
      <w:r w:rsidR="00152122">
        <w:t xml:space="preserve"> and $</w:t>
      </w:r>
      <w:r w:rsidR="009C5209">
        <w:t>379</w:t>
      </w:r>
      <w:r w:rsidR="00152122">
        <w:t xml:space="preserve"> additional burden to the EPA.</w:t>
      </w:r>
    </w:p>
    <w:p w:rsidR="00BB0FD0" w:rsidP="00BB0FD0" w:rsidRDefault="00BB0FD0" w14:paraId="56A76E59" w14:textId="77777777">
      <w:pPr>
        <w:pStyle w:val="SectionHeading"/>
      </w:pPr>
      <w:r>
        <w:t>2. Need for and Use of the Collection</w:t>
      </w:r>
    </w:p>
    <w:p w:rsidR="00BB0FD0" w:rsidP="00BB0FD0" w:rsidRDefault="00BB0FD0" w14:paraId="7041377A" w14:textId="77777777">
      <w:pPr>
        <w:pStyle w:val="SectionSubheading"/>
      </w:pPr>
      <w:r>
        <w:t>2(a) Need/Authority for the Collection</w:t>
      </w:r>
    </w:p>
    <w:p w:rsidR="00396056" w:rsidP="00ED4539" w:rsidRDefault="00396056" w14:paraId="10FA39C9" w14:textId="0FA8E110">
      <w:pPr>
        <w:pStyle w:val="BodyFirstline05After12pt"/>
      </w:pPr>
      <w:r>
        <w:t>The EPA is charged under section 112 of the Clean Air Act, as amended, to establish standards</w:t>
      </w:r>
      <w:r w:rsidR="00F47C05">
        <w:t xml:space="preserve"> </w:t>
      </w:r>
      <w:r>
        <w:t>of performance for each category or subcategory of major sources and area sources of hazardous air pollutants.</w:t>
      </w:r>
      <w:r w:rsidR="00F47C05">
        <w:t xml:space="preserve"> </w:t>
      </w:r>
      <w:r w:rsidR="00206337">
        <w:t>S</w:t>
      </w:r>
      <w:r>
        <w:t xml:space="preserve">ection 114(a) states that the Administrator may require any owner or operator subject to </w:t>
      </w:r>
      <w:r w:rsidR="00B50B26">
        <w:t>any requirement of this Act to:</w:t>
      </w:r>
    </w:p>
    <w:p w:rsidR="00BB0FD0" w:rsidP="00BB0FD0" w:rsidRDefault="00BB0FD0" w14:paraId="6A878E3D" w14:textId="77777777">
      <w:pPr>
        <w:pStyle w:val="QuoteOffset"/>
      </w:pPr>
      <w:r>
        <w:t xml:space="preserve">(A) Establish and maintain such records; (B) make such reports; (C) install, use, and maintain such monitoring equipment, and use such </w:t>
      </w:r>
      <w:r>
        <w:lastRenderedPageBreak/>
        <w:t>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B38EF" w:rsidP="00BB0FD0" w:rsidRDefault="00141832" w14:paraId="6D68992B" w14:textId="77777777">
      <w:pPr>
        <w:pStyle w:val="BodyFirstline05After12pt"/>
      </w:pPr>
      <w:r w:rsidRPr="007C40B4">
        <w:t>Certain records and reports are necessary for the Administrator to confirm the compliance status of sources</w:t>
      </w:r>
      <w:r>
        <w:t xml:space="preserve"> subject to NESHAP</w:t>
      </w:r>
      <w:r w:rsidRPr="007C40B4">
        <w:t>, identify any new or reconstructed sources subject to the standards, and confirm that the standards are being achieved on a continuous basis.</w:t>
      </w:r>
      <w:r w:rsidR="00F47C05">
        <w:t xml:space="preserve"> </w:t>
      </w:r>
      <w:r w:rsidRPr="007C40B4">
        <w:t>These recordkeeping and reporting requirements are specifically authorized by section 114 of the Clean Air Act (42 U.S.C. 7414) and set out in the part 63 NESHAP General Provisions.</w:t>
      </w:r>
      <w:r w:rsidR="00F47C05">
        <w:t xml:space="preserve"> </w:t>
      </w:r>
      <w:r w:rsidRPr="007C40B4">
        <w:t>The recordkeeping and reporting requirements for title V permits are contained in 40 CFR 70.6 and 40 CFR 71.6.</w:t>
      </w:r>
      <w:r w:rsidR="00F47C05">
        <w:t xml:space="preserve"> </w:t>
      </w:r>
      <w:r w:rsidRPr="007C40B4">
        <w:t>Under parts 63 and 70 or 71, the owner or operator must keep each record for 5</w:t>
      </w:r>
      <w:r>
        <w:t> </w:t>
      </w:r>
      <w:r w:rsidRPr="007C40B4">
        <w:t>years following the date of each occurrence, measurement, maintenance, corrective action, report, or record</w:t>
      </w:r>
      <w:r w:rsidR="00BB0FD0">
        <w:t>.</w:t>
      </w:r>
    </w:p>
    <w:p w:rsidR="00BB0FD0" w:rsidP="00BB0FD0" w:rsidRDefault="00BB0FD0" w14:paraId="60C8ECBF" w14:textId="77777777">
      <w:pPr>
        <w:pStyle w:val="SectionSubheading"/>
      </w:pPr>
      <w:r>
        <w:t xml:space="preserve">2(b) </w:t>
      </w:r>
      <w:r w:rsidRPr="00330F8F">
        <w:t>Practical Utility/Users of the Data</w:t>
      </w:r>
    </w:p>
    <w:p w:rsidRPr="008E7FA6" w:rsidR="000B0764" w:rsidP="00BB0FD0" w:rsidRDefault="00F644F8" w14:paraId="0C6C9D77" w14:textId="286987BC">
      <w:pPr>
        <w:pStyle w:val="BodyFirstline05After12pt"/>
      </w:pPr>
      <w:r>
        <w:t>E</w:t>
      </w:r>
      <w:r w:rsidR="00CB38EF">
        <w:t xml:space="preserve">missions of HAP from petroleum refineries </w:t>
      </w:r>
      <w:r>
        <w:t>result from maintenance vent openings</w:t>
      </w:r>
      <w:r w:rsidR="00CB38EF">
        <w:t>.</w:t>
      </w:r>
      <w:r w:rsidR="00F47C05">
        <w:t xml:space="preserve"> </w:t>
      </w:r>
      <w:r w:rsidR="00CB38EF">
        <w:t>The subject standards are achieved</w:t>
      </w:r>
      <w:r>
        <w:t xml:space="preserve"> in part by</w:t>
      </w:r>
      <w:r w:rsidR="00CB38EF">
        <w:t xml:space="preserve"> the reduction of emissions </w:t>
      </w:r>
      <w:r>
        <w:t>from these sources through adherence</w:t>
      </w:r>
      <w:r w:rsidR="00662C81">
        <w:t xml:space="preserve"> to</w:t>
      </w:r>
      <w:r>
        <w:t xml:space="preserve"> th</w:t>
      </w:r>
      <w:r w:rsidR="00B65BF6">
        <w:t xml:space="preserve">e maintenance vent </w:t>
      </w:r>
      <w:r w:rsidR="00277971">
        <w:t xml:space="preserve">opening </w:t>
      </w:r>
      <w:r w:rsidR="00B65BF6">
        <w:t xml:space="preserve">provisions </w:t>
      </w:r>
      <w:r w:rsidR="00662C81">
        <w:t xml:space="preserve">found in </w:t>
      </w:r>
      <w:r w:rsidR="00B65BF6">
        <w:t>63.643(c)</w:t>
      </w:r>
      <w:r w:rsidR="00CB38EF">
        <w:t>.</w:t>
      </w:r>
      <w:r w:rsidR="00F47C05">
        <w:t xml:space="preserve"> </w:t>
      </w:r>
      <w:r w:rsidR="00B65BF6">
        <w:t xml:space="preserve">The </w:t>
      </w:r>
      <w:r w:rsidR="00277971">
        <w:t xml:space="preserve">new </w:t>
      </w:r>
      <w:r w:rsidR="00B65BF6">
        <w:t>recordkeeping requirements included in the proposed technical amendments will be</w:t>
      </w:r>
      <w:r w:rsidRPr="008E7FA6" w:rsidR="00CB38EF">
        <w:t xml:space="preserve"> </w:t>
      </w:r>
      <w:r w:rsidRPr="000B0764" w:rsidR="00B65BF6">
        <w:t xml:space="preserve">used by the Agency to ensure that sources affected </w:t>
      </w:r>
      <w:r w:rsidR="00277971">
        <w:t>follow</w:t>
      </w:r>
      <w:r w:rsidRPr="000B0764" w:rsidR="00B65BF6">
        <w:t xml:space="preserve"> the regulation, as required by the Clean Air Act.</w:t>
      </w:r>
      <w:r w:rsidR="00B65BF6">
        <w:t xml:space="preserve"> </w:t>
      </w:r>
      <w:r w:rsidRPr="000B0764" w:rsidR="00B65BF6">
        <w:t xml:space="preserve">The information collected from recordkeeping requirements is also used for targeting inspections and is of sufficient quality </w:t>
      </w:r>
      <w:r w:rsidR="00B65BF6">
        <w:t>to be used as evidence in court</w:t>
      </w:r>
      <w:r w:rsidRPr="008E7FA6" w:rsidR="00CB38EF">
        <w:t>.</w:t>
      </w:r>
    </w:p>
    <w:p w:rsidR="00BB0FD0" w:rsidRDefault="00BB0FD0" w14:paraId="12B951C1" w14:textId="77777777">
      <w:pPr>
        <w:pStyle w:val="SectionHeading"/>
      </w:pPr>
      <w:r>
        <w:t>3. Non-duplication, Consultations, and Other Collection Criteria</w:t>
      </w:r>
    </w:p>
    <w:p w:rsidR="00FE7777" w:rsidP="00BB0FD0" w:rsidRDefault="00FE7777" w14:paraId="6A821E45" w14:textId="77777777">
      <w:pPr>
        <w:pStyle w:val="BodyFirstline05After12pt"/>
      </w:pPr>
      <w:r>
        <w:t>The requested recordkeeping and reporting are required under 40 CFR part 63, subpart</w:t>
      </w:r>
      <w:r w:rsidR="00F47C05">
        <w:t> </w:t>
      </w:r>
      <w:r>
        <w:t>CC.</w:t>
      </w:r>
    </w:p>
    <w:p w:rsidR="00BB0FD0" w:rsidP="00BB0FD0" w:rsidRDefault="00BB0FD0" w14:paraId="1CD03002" w14:textId="77777777">
      <w:pPr>
        <w:pStyle w:val="SectionSubheading"/>
      </w:pPr>
      <w:r>
        <w:t>3(a) Non-duplication</w:t>
      </w:r>
    </w:p>
    <w:p w:rsidR="00FE7777" w:rsidP="00ED4539" w:rsidRDefault="00FE7777" w14:paraId="035C6268" w14:textId="77777777">
      <w:pPr>
        <w:pStyle w:val="BodyFirstline05After12pt"/>
      </w:pPr>
      <w:r w:rsidRPr="00B37009">
        <w:t xml:space="preserve">Some of the petroleum refinery </w:t>
      </w:r>
      <w:r w:rsidR="008E7FA6">
        <w:t xml:space="preserve">facilities </w:t>
      </w:r>
      <w:r w:rsidRPr="00B37009">
        <w:t xml:space="preserve">subject to subpart CC will also be subject to requirements under the following regulations: New Source Performance Standards (NSPS) subparts J, </w:t>
      </w:r>
      <w:r w:rsidR="008E7FA6">
        <w:t xml:space="preserve">Ja, </w:t>
      </w:r>
      <w:r w:rsidRPr="00B37009">
        <w:t>K, Ka, Kb, VV, and QQQ, NESHAP (part 61) subpart FF, and NESHAP (part 63) subparts G, H, J, R, Y</w:t>
      </w:r>
      <w:r w:rsidR="007D5243">
        <w:t>, and UUU.</w:t>
      </w:r>
      <w:r w:rsidR="00F47C05">
        <w:t xml:space="preserve"> </w:t>
      </w:r>
      <w:r w:rsidRPr="00B37009">
        <w:t xml:space="preserve">The burden requested in this NESHAP does not </w:t>
      </w:r>
      <w:r w:rsidRPr="007D5243">
        <w:t>duplicate any of the industry burden accounted for under those regulations.</w:t>
      </w:r>
      <w:r w:rsidR="00F47C05">
        <w:t xml:space="preserve"> </w:t>
      </w:r>
      <w:r w:rsidRPr="007D5243">
        <w:t>The applicability section of this NESHAP delineates requirements where there are overlapping rules.</w:t>
      </w:r>
    </w:p>
    <w:p w:rsidR="00575954" w:rsidP="00BB0FD0" w:rsidRDefault="00BB0FD0" w14:paraId="719E4F97" w14:textId="074113C7">
      <w:pPr>
        <w:pStyle w:val="SectionSubheading"/>
      </w:pPr>
      <w:bookmarkStart w:name="_GoBack" w:id="0"/>
      <w:bookmarkEnd w:id="0"/>
      <w:r>
        <w:lastRenderedPageBreak/>
        <w:t xml:space="preserve">3(b) </w:t>
      </w:r>
      <w:r w:rsidRPr="0059518A">
        <w:t>Public Notice Required Prior to ICR Submission to OMB</w:t>
      </w:r>
      <w:r w:rsidR="00575954">
        <w:t xml:space="preserve"> </w:t>
      </w:r>
    </w:p>
    <w:p w:rsidR="003A4F1E" w:rsidP="00CA5CD5" w:rsidRDefault="003A4F1E" w14:paraId="12551772" w14:textId="77777777">
      <w:pPr>
        <w:pStyle w:val="SectionSubheading"/>
      </w:pPr>
      <w:r w:rsidRPr="00575954">
        <w:rPr>
          <w:b w:val="0"/>
        </w:rPr>
        <w:t>This section is not applicable because this is a rule-related ICR.</w:t>
      </w:r>
    </w:p>
    <w:p w:rsidR="00BB0FD0" w:rsidP="00BB0FD0" w:rsidRDefault="00BB0FD0" w14:paraId="657138A5" w14:textId="77777777">
      <w:pPr>
        <w:pStyle w:val="SectionSubheading"/>
      </w:pPr>
      <w:r>
        <w:t xml:space="preserve">3(c) </w:t>
      </w:r>
      <w:r w:rsidRPr="00832738">
        <w:t>Consultations</w:t>
      </w:r>
    </w:p>
    <w:p w:rsidR="00706DE0" w:rsidP="00680451" w:rsidRDefault="00141832" w14:paraId="4396EFAD" w14:textId="5E42438A">
      <w:pPr>
        <w:pStyle w:val="BodyFirstline05After12pt"/>
      </w:pPr>
      <w:r>
        <w:t xml:space="preserve">The </w:t>
      </w:r>
      <w:r w:rsidR="00BB73BD">
        <w:t xml:space="preserve">proposed </w:t>
      </w:r>
      <w:r>
        <w:t xml:space="preserve">amendments were developed in consultation with trade associations, including </w:t>
      </w:r>
      <w:r w:rsidR="00BB0FD0">
        <w:t xml:space="preserve">Matt Todd of </w:t>
      </w:r>
      <w:r>
        <w:t xml:space="preserve">the </w:t>
      </w:r>
      <w:r w:rsidRPr="00BB0FD0">
        <w:t>American</w:t>
      </w:r>
      <w:r>
        <w:t xml:space="preserve"> Petroleum Institute (API) and </w:t>
      </w:r>
      <w:r w:rsidR="00BB0FD0">
        <w:t xml:space="preserve">David Freidman of </w:t>
      </w:r>
      <w:r>
        <w:t xml:space="preserve">the </w:t>
      </w:r>
      <w:r w:rsidRPr="00D80D5B">
        <w:t xml:space="preserve">American Fuel and Petrochemical Manufacturers </w:t>
      </w:r>
      <w:r>
        <w:t>(AFPM).</w:t>
      </w:r>
      <w:r w:rsidR="00F47C05">
        <w:t xml:space="preserve"> </w:t>
      </w:r>
      <w:r>
        <w:t>The assumptions made in the development of this ICR, including the estimate o</w:t>
      </w:r>
      <w:r w:rsidR="00496A30">
        <w:t>f</w:t>
      </w:r>
      <w:r>
        <w:t xml:space="preserve"> the number of petroleum refineries subject to the standard, were updated by reviewing the</w:t>
      </w:r>
      <w:r w:rsidR="00F47C05">
        <w:t xml:space="preserve"> </w:t>
      </w:r>
      <w:r>
        <w:t xml:space="preserve">EPA’s Petroleum Refinery Database, </w:t>
      </w:r>
      <w:r w:rsidR="00BB0FD0">
        <w:t>as well as</w:t>
      </w:r>
      <w:r w:rsidR="00F47C05">
        <w:t xml:space="preserve"> </w:t>
      </w:r>
      <w:r>
        <w:t xml:space="preserve">the Agency’s internal data sources, </w:t>
      </w:r>
      <w:r w:rsidR="00BB0FD0">
        <w:t>such as</w:t>
      </w:r>
      <w:r>
        <w:t xml:space="preserve"> our own industry experts and the Air Facility System (AFS), which is the EPA database for the collection, maintenance, and retrieval of all compliance data.</w:t>
      </w:r>
      <w:r w:rsidR="00F47C05">
        <w:t xml:space="preserve"> </w:t>
      </w:r>
      <w:r>
        <w:t>The information in AFS is reported by industry as required in the recordkeeping and reporting provisions of the standard.</w:t>
      </w:r>
      <w:r w:rsidR="00F47C05">
        <w:t xml:space="preserve"> </w:t>
      </w:r>
      <w:r>
        <w:t>AFS is operated and maintained by the EPA Office of Compliance.</w:t>
      </w:r>
      <w:r w:rsidR="00F47C05">
        <w:t xml:space="preserve"> </w:t>
      </w:r>
      <w:r>
        <w:t>We have estimated that there are approximately 14</w:t>
      </w:r>
      <w:r w:rsidR="00ED4539">
        <w:t>2</w:t>
      </w:r>
      <w:r>
        <w:t xml:space="preserve"> existing respondents subject to the standard, and no new sources will become subject to the standard over the </w:t>
      </w:r>
      <w:r w:rsidR="00ED4539">
        <w:t>3</w:t>
      </w:r>
      <w:r>
        <w:t>-year period covered by this ICR.</w:t>
      </w:r>
      <w:r w:rsidR="00F47C05">
        <w:t xml:space="preserve"> </w:t>
      </w:r>
      <w:r w:rsidR="00CB6009">
        <w:t xml:space="preserve">The </w:t>
      </w:r>
      <w:r w:rsidR="00BB0FD0">
        <w:t>Petroleum Refinery Database</w:t>
      </w:r>
      <w:r w:rsidDel="00BB0FD0" w:rsidR="00BB0FD0">
        <w:t xml:space="preserve"> </w:t>
      </w:r>
      <w:r w:rsidR="00CB6009">
        <w:t>also provided information on process unit counts</w:t>
      </w:r>
      <w:r w:rsidR="00252A35">
        <w:t xml:space="preserve"> and equipment counts</w:t>
      </w:r>
      <w:r w:rsidR="00CB6009">
        <w:t>.</w:t>
      </w:r>
    </w:p>
    <w:p w:rsidR="00510ED3" w:rsidP="00510ED3" w:rsidRDefault="00510ED3" w14:paraId="1075A29B" w14:textId="1DD7B638">
      <w:pPr>
        <w:pStyle w:val="BodyFirstline05After12pt"/>
      </w:pPr>
      <w:r w:rsidRPr="00DE2FBA">
        <w:t>The EPA</w:t>
      </w:r>
      <w:r w:rsidRPr="00B0380C">
        <w:t xml:space="preserve"> </w:t>
      </w:r>
      <w:r w:rsidR="00BB73BD">
        <w:t>will</w:t>
      </w:r>
      <w:r w:rsidRPr="00B0380C" w:rsidR="00BB73BD">
        <w:t xml:space="preserve"> </w:t>
      </w:r>
      <w:r w:rsidRPr="00B0380C">
        <w:t xml:space="preserve">provide a </w:t>
      </w:r>
      <w:r w:rsidR="005A5715">
        <w:t>45</w:t>
      </w:r>
      <w:r w:rsidRPr="00B0380C">
        <w:t xml:space="preserve">-day public comment period after proposal of the amendments to </w:t>
      </w:r>
      <w:r w:rsidR="004F37F9">
        <w:t xml:space="preserve">40 CFR part 63 </w:t>
      </w:r>
      <w:r>
        <w:t>subpart CC</w:t>
      </w:r>
      <w:r w:rsidRPr="00B0380C">
        <w:t>.</w:t>
      </w:r>
      <w:r>
        <w:t xml:space="preserve"> </w:t>
      </w:r>
      <w:r w:rsidRPr="00B0380C">
        <w:t xml:space="preserve">All affected parties </w:t>
      </w:r>
      <w:r w:rsidR="00A27C94">
        <w:t>will be</w:t>
      </w:r>
      <w:r w:rsidRPr="00B0380C" w:rsidR="00A27C94">
        <w:t xml:space="preserve"> </w:t>
      </w:r>
      <w:r w:rsidRPr="00B0380C">
        <w:t>given the opportunity to comment on the proposed amendments during this period.</w:t>
      </w:r>
      <w:r>
        <w:t xml:space="preserve"> </w:t>
      </w:r>
      <w:r w:rsidRPr="00B0380C">
        <w:t>The EPA</w:t>
      </w:r>
      <w:r w:rsidR="00A27C94">
        <w:t xml:space="preserve"> will</w:t>
      </w:r>
      <w:r w:rsidRPr="00B0380C">
        <w:t xml:space="preserve"> consider all of the comments received and </w:t>
      </w:r>
      <w:r w:rsidR="00A27C94">
        <w:t xml:space="preserve">may </w:t>
      </w:r>
      <w:r w:rsidRPr="00B0380C">
        <w:t xml:space="preserve">incorporate them </w:t>
      </w:r>
      <w:r w:rsidR="00CA13E9">
        <w:t xml:space="preserve">as appropriate </w:t>
      </w:r>
      <w:r w:rsidRPr="00B0380C">
        <w:t>in</w:t>
      </w:r>
      <w:r w:rsidR="00CA13E9">
        <w:t xml:space="preserve"> </w:t>
      </w:r>
      <w:r w:rsidR="00A27C94">
        <w:t xml:space="preserve">developing </w:t>
      </w:r>
      <w:r w:rsidRPr="00B0380C">
        <w:t>the final amendments.</w:t>
      </w:r>
    </w:p>
    <w:p w:rsidR="000A19D3" w:rsidP="000A19D3" w:rsidRDefault="000A19D3" w14:paraId="0BEBD739" w14:textId="77777777">
      <w:pPr>
        <w:pStyle w:val="SectionSubheading"/>
      </w:pPr>
      <w:r>
        <w:t>3(d) Effects of Less Frequent Collection</w:t>
      </w:r>
    </w:p>
    <w:p w:rsidR="00FE7777" w:rsidP="000A19D3" w:rsidRDefault="00FE7777" w14:paraId="71AC610C" w14:textId="77777777">
      <w:pPr>
        <w:pStyle w:val="BodyFirstline05After12pt"/>
      </w:pPr>
      <w:r>
        <w:t>Less frequent information collection would decrease the margin of assurance that facilities are continuing to meet the standards.</w:t>
      </w:r>
      <w:r w:rsidR="00F47C05">
        <w:t xml:space="preserve"> </w:t>
      </w:r>
      <w:r>
        <w:t>Requirements for information gathering and recordkeeping are useful techniques to ensure that good operation and maintenance practices are applied and emission limitations are met.</w:t>
      </w:r>
      <w:r w:rsidR="00F47C05">
        <w:t xml:space="preserve"> </w:t>
      </w:r>
      <w:r>
        <w:t>If the information required by these standards was collected less frequently, the likelihood of detecting poor operation and maintenance of control equipment and noncompliance would decrease.</w:t>
      </w:r>
    </w:p>
    <w:p w:rsidR="000A19D3" w:rsidP="000A19D3" w:rsidRDefault="000A19D3" w14:paraId="7D14042A" w14:textId="77777777">
      <w:pPr>
        <w:pStyle w:val="SectionSubheading"/>
      </w:pPr>
      <w:r>
        <w:t>3(e) General Guidelines</w:t>
      </w:r>
    </w:p>
    <w:p w:rsidR="00FE7777" w:rsidP="000A19D3" w:rsidRDefault="00FE7777" w14:paraId="03F0B460" w14:textId="77777777">
      <w:pPr>
        <w:pStyle w:val="BodyFirstline05After12pt"/>
      </w:pPr>
      <w:r>
        <w:t>None of these reporting or recordkeeping requirements violate any of the regulations established by OMB at 5 CFR 1320.5.</w:t>
      </w:r>
    </w:p>
    <w:p w:rsidR="00FE7777" w:rsidP="00ED4539" w:rsidRDefault="00FE7777" w14:paraId="444476C1" w14:textId="77764567">
      <w:pPr>
        <w:pStyle w:val="BodyFirstline05After12pt"/>
      </w:pPr>
      <w:r>
        <w:t>These standards require respondents to maintain all records</w:t>
      </w:r>
      <w:r w:rsidR="00277971">
        <w:t xml:space="preserve"> </w:t>
      </w:r>
      <w:r>
        <w:t xml:space="preserve">for at least </w:t>
      </w:r>
      <w:r w:rsidR="00ED4539">
        <w:t>5</w:t>
      </w:r>
      <w:r w:rsidRPr="00462E8C">
        <w:t xml:space="preserve"> years.</w:t>
      </w:r>
      <w:r w:rsidR="00F47C05">
        <w:t xml:space="preserve"> </w:t>
      </w:r>
      <w:r w:rsidR="00462E8C">
        <w:t>This is consistent with the General Provisions in 40 CFR part 63 subpart A as applied to the standards.</w:t>
      </w:r>
      <w:r w:rsidR="00F47C05">
        <w:t xml:space="preserve"> </w:t>
      </w:r>
      <w:r w:rsidR="000A19D3">
        <w:t xml:space="preserve">The </w:t>
      </w:r>
      <w:r>
        <w:t xml:space="preserve">EPA believes that the </w:t>
      </w:r>
      <w:r w:rsidR="00ED4539">
        <w:t>5</w:t>
      </w:r>
      <w:r>
        <w:t xml:space="preserve">-year records retention requirement is consistent </w:t>
      </w:r>
      <w:r w:rsidR="00363070">
        <w:t xml:space="preserve">with </w:t>
      </w:r>
      <w:r>
        <w:t xml:space="preserve">the Part 70 permit program and the </w:t>
      </w:r>
      <w:r w:rsidR="00ED4539">
        <w:t>5</w:t>
      </w:r>
      <w:r>
        <w:t>-year statute of limitations on which the permit program is based.</w:t>
      </w:r>
      <w:r w:rsidR="00F47C05">
        <w:t xml:space="preserve"> </w:t>
      </w:r>
      <w:r>
        <w:t xml:space="preserve">Also, the retention of records for </w:t>
      </w:r>
      <w:r w:rsidR="00ED4539">
        <w:t>5</w:t>
      </w:r>
      <w:r>
        <w:t xml:space="preserve"> years would allow </w:t>
      </w:r>
      <w:r w:rsidR="000A19D3">
        <w:t xml:space="preserve">the </w:t>
      </w:r>
      <w:r>
        <w:t>EPA to establish the compliance history of a source and any pattern of compliance for purposes of determining the appropriate level of enforcement action.</w:t>
      </w:r>
      <w:r w:rsidR="00F47C05">
        <w:t xml:space="preserve"> </w:t>
      </w:r>
      <w:r>
        <w:t xml:space="preserve">Historically, </w:t>
      </w:r>
      <w:r w:rsidR="000A19D3">
        <w:t xml:space="preserve">the </w:t>
      </w:r>
      <w:r>
        <w:t xml:space="preserve">EPA has found that the most flagrant violators frequently have violations extending beyond the </w:t>
      </w:r>
      <w:r w:rsidR="00ED4539">
        <w:t>5</w:t>
      </w:r>
      <w:r>
        <w:t xml:space="preserve"> years.</w:t>
      </w:r>
      <w:r w:rsidR="00F47C05">
        <w:t xml:space="preserve"> </w:t>
      </w:r>
      <w:r w:rsidR="000A19D3">
        <w:t xml:space="preserve">The </w:t>
      </w:r>
      <w:r>
        <w:t xml:space="preserve">EPA would be prevented from pursuing the </w:t>
      </w:r>
      <w:r>
        <w:lastRenderedPageBreak/>
        <w:t xml:space="preserve">worst violators due to the destruction or nonexistence of records if records were retained for less than </w:t>
      </w:r>
      <w:r w:rsidR="00ED4539">
        <w:t>5</w:t>
      </w:r>
      <w:r>
        <w:t xml:space="preserve"> years.</w:t>
      </w:r>
    </w:p>
    <w:p w:rsidR="000A19D3" w:rsidP="000A19D3" w:rsidRDefault="000A19D3" w14:paraId="118CA694" w14:textId="77777777">
      <w:pPr>
        <w:pStyle w:val="SectionSubheading"/>
      </w:pPr>
      <w:r>
        <w:t>3(f) Confidentiality</w:t>
      </w:r>
    </w:p>
    <w:p w:rsidR="00BB0FD0" w:rsidP="000A19D3" w:rsidRDefault="00141832" w14:paraId="5BDF34C9" w14:textId="77777777">
      <w:pPr>
        <w:pStyle w:val="BodyFirstline05After12pt"/>
      </w:pPr>
      <w:r>
        <w:t xml:space="preserve">All information submitted to the Agency for which a claim of confidentiality is made will be safeguarded according to the Agency policies set forth in title 40, chapter 1, part 2, subpart B - Confidentiality of Business Information (CBI) (see 40 CFR 2; 41 </w:t>
      </w:r>
      <w:r w:rsidRPr="00F46122">
        <w:rPr>
          <w:rStyle w:val="Underline"/>
        </w:rPr>
        <w:t>FR</w:t>
      </w:r>
      <w:r>
        <w:t xml:space="preserve"> 36902, September 1, </w:t>
      </w:r>
      <w:r w:rsidRPr="00C249BB">
        <w:t xml:space="preserve">1976; amended by 43 </w:t>
      </w:r>
      <w:r w:rsidRPr="00C249BB">
        <w:rPr>
          <w:rStyle w:val="Underline"/>
        </w:rPr>
        <w:t>FR</w:t>
      </w:r>
      <w:r w:rsidRPr="00C249BB">
        <w:t xml:space="preserve"> </w:t>
      </w:r>
      <w:r w:rsidRPr="00D769E2" w:rsidR="00D769E2">
        <w:t>39999</w:t>
      </w:r>
      <w:r w:rsidRPr="00C249BB">
        <w:t xml:space="preserve">, September 8, 1978; 43 </w:t>
      </w:r>
      <w:r w:rsidRPr="00C249BB">
        <w:rPr>
          <w:rStyle w:val="Underline"/>
        </w:rPr>
        <w:t>FR</w:t>
      </w:r>
      <w:r w:rsidRPr="00C249BB">
        <w:t xml:space="preserve"> 42251, </w:t>
      </w:r>
      <w:r w:rsidRPr="00D769E2" w:rsidR="00D769E2">
        <w:t>September 28</w:t>
      </w:r>
      <w:r w:rsidRPr="00C249BB">
        <w:t xml:space="preserve">, 1978; 44 </w:t>
      </w:r>
      <w:r w:rsidRPr="00C249BB">
        <w:rPr>
          <w:rStyle w:val="Underline"/>
        </w:rPr>
        <w:t>FR</w:t>
      </w:r>
      <w:r>
        <w:t xml:space="preserve"> 17674, March 23, 1979).</w:t>
      </w:r>
    </w:p>
    <w:p w:rsidR="000A19D3" w:rsidP="000A19D3" w:rsidRDefault="000A19D3" w14:paraId="1CF8E5A1" w14:textId="77777777">
      <w:pPr>
        <w:pStyle w:val="SectionSubheading"/>
      </w:pPr>
      <w:r>
        <w:t>3(g) Sensitive Questions</w:t>
      </w:r>
    </w:p>
    <w:p w:rsidRPr="00F46122" w:rsidR="00141832" w:rsidP="000A19D3" w:rsidRDefault="00141832" w14:paraId="138E0677" w14:textId="77777777">
      <w:pPr>
        <w:pStyle w:val="BodyFirstline05After12pt"/>
      </w:pPr>
      <w:r w:rsidRPr="007C40B4">
        <w:t>This section is not applicable because this ICR does not involve matters of a sensitive nature.</w:t>
      </w:r>
    </w:p>
    <w:p w:rsidR="000A19D3" w:rsidP="000A19D3" w:rsidRDefault="000A19D3" w14:paraId="4A9AC6D1" w14:textId="77777777">
      <w:pPr>
        <w:pStyle w:val="SectionHeading"/>
      </w:pPr>
      <w:r>
        <w:t>4. The Respondents and the Information Requested</w:t>
      </w:r>
    </w:p>
    <w:p w:rsidRPr="009769D3" w:rsidR="00F47C05" w:rsidP="000A19D3" w:rsidRDefault="00F47C05" w14:paraId="2ECA139F" w14:textId="77777777">
      <w:pPr>
        <w:pStyle w:val="SectionSubheading"/>
      </w:pPr>
      <w:r>
        <w:t>4(a) Respondents/NAICS Codes</w:t>
      </w:r>
    </w:p>
    <w:p w:rsidRPr="00F46122" w:rsidR="003A4F1E" w:rsidP="000A19D3" w:rsidRDefault="003A4F1E" w14:paraId="195F907B" w14:textId="4244E22A">
      <w:pPr>
        <w:pStyle w:val="BodyFirstline05After12pt"/>
      </w:pPr>
      <w:r>
        <w:t>The potential respondents to the recordkeeping requirement</w:t>
      </w:r>
      <w:r w:rsidR="00277971">
        <w:t xml:space="preserve"> for maintenance vents associated with equipment containing less than 72 lb VOC</w:t>
      </w:r>
      <w:r>
        <w:t xml:space="preserve"> under subpart CC are owners or operators of existing or new major source petroleum refineries that are major sources of HAP emissions.</w:t>
      </w:r>
      <w:r w:rsidR="00F47C05">
        <w:t xml:space="preserve"> </w:t>
      </w:r>
      <w:r>
        <w:t>The North American Industry Classification System (NAICS) code is 324110 for petroleum refineries.</w:t>
      </w:r>
    </w:p>
    <w:p w:rsidR="000A19D3" w:rsidP="000A19D3" w:rsidRDefault="00B50B26" w14:paraId="023690BC" w14:textId="77777777">
      <w:pPr>
        <w:pStyle w:val="SectionSubheading"/>
      </w:pPr>
      <w:r>
        <w:t>4(b) Information Requested</w:t>
      </w:r>
    </w:p>
    <w:p w:rsidRPr="00B54DC3" w:rsidR="000A19D3" w:rsidP="000A19D3" w:rsidRDefault="000A19D3" w14:paraId="025B2BCE" w14:textId="77777777">
      <w:pPr>
        <w:pStyle w:val="SectionLevel3Heading"/>
      </w:pPr>
      <w:r w:rsidRPr="00B54DC3">
        <w:t>(i)</w:t>
      </w:r>
      <w:r>
        <w:t xml:space="preserve"> </w:t>
      </w:r>
      <w:r w:rsidRPr="00B54DC3">
        <w:rPr>
          <w:rStyle w:val="Underline"/>
        </w:rPr>
        <w:t>Data Items</w:t>
      </w:r>
    </w:p>
    <w:p w:rsidR="00C37C81" w:rsidP="000A19D3" w:rsidRDefault="00C37C81" w14:paraId="7EAC3774" w14:textId="49F98DAD">
      <w:pPr>
        <w:pStyle w:val="BodyFirstline05After12pt"/>
      </w:pPr>
      <w:r>
        <w:t xml:space="preserve">All data in this ICR that are recorded are required by </w:t>
      </w:r>
      <w:r w:rsidR="00B10896">
        <w:t xml:space="preserve">the </w:t>
      </w:r>
      <w:r w:rsidR="00A05720">
        <w:t xml:space="preserve">proposed </w:t>
      </w:r>
      <w:r w:rsidR="00B10896">
        <w:t xml:space="preserve">amendments to </w:t>
      </w:r>
      <w:r>
        <w:t>40 CFR part 63, subpart CC - National Emission Standards for Hazardous Air Pollutants for Petroleum Refineries.</w:t>
      </w:r>
    </w:p>
    <w:p w:rsidR="000A19D3" w:rsidP="000A19D3" w:rsidRDefault="000A19D3" w14:paraId="6CF4A1CE" w14:textId="77777777">
      <w:pPr>
        <w:pStyle w:val="BodyFirstline05After12pt"/>
        <w:keepNext/>
      </w:pPr>
      <w:r>
        <w:t>A source must keep the following records:</w:t>
      </w:r>
    </w:p>
    <w:tbl>
      <w:tblPr>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20" w:type="dxa"/>
          <w:right w:w="120" w:type="dxa"/>
        </w:tblCellMar>
        <w:tblLook w:val="0000" w:firstRow="0" w:lastRow="0" w:firstColumn="0" w:lastColumn="0" w:noHBand="0" w:noVBand="0"/>
      </w:tblPr>
      <w:tblGrid>
        <w:gridCol w:w="7110"/>
        <w:gridCol w:w="2250"/>
      </w:tblGrid>
      <w:tr w:rsidR="00C37C81" w:rsidTr="00C61FD3" w14:paraId="411673D4" w14:textId="77777777">
        <w:trPr>
          <w:cantSplit/>
          <w:tblHeader/>
          <w:jc w:val="center"/>
        </w:trPr>
        <w:tc>
          <w:tcPr>
            <w:tcW w:w="9360" w:type="dxa"/>
            <w:gridSpan w:val="2"/>
            <w:shd w:val="clear" w:color="auto" w:fill="auto"/>
            <w:vAlign w:val="center"/>
          </w:tcPr>
          <w:p w:rsidRPr="000A19D3" w:rsidR="00C37C81" w:rsidP="000A19D3" w:rsidRDefault="00C37C81" w14:paraId="7FF04F12" w14:textId="77777777">
            <w:pPr>
              <w:pStyle w:val="TableColumnHeading"/>
              <w:rPr>
                <w:rStyle w:val="Bold"/>
              </w:rPr>
            </w:pPr>
            <w:r w:rsidRPr="000A19D3">
              <w:rPr>
                <w:rStyle w:val="Bold"/>
              </w:rPr>
              <w:t>Recordkeeping</w:t>
            </w:r>
          </w:p>
        </w:tc>
      </w:tr>
      <w:tr w:rsidR="00680451" w:rsidTr="00C61FD3" w14:paraId="3904F853" w14:textId="77777777">
        <w:trPr>
          <w:cantSplit/>
          <w:jc w:val="center"/>
        </w:trPr>
        <w:tc>
          <w:tcPr>
            <w:tcW w:w="7110" w:type="dxa"/>
            <w:shd w:val="clear" w:color="auto" w:fill="auto"/>
            <w:vAlign w:val="center"/>
          </w:tcPr>
          <w:p w:rsidR="00680451" w:rsidP="00F46122" w:rsidRDefault="00680451" w14:paraId="15666376" w14:textId="77777777">
            <w:pPr>
              <w:pStyle w:val="TableTextLeft"/>
            </w:pPr>
            <w:r>
              <w:t>Records of information in semiannual reports.</w:t>
            </w:r>
          </w:p>
        </w:tc>
        <w:tc>
          <w:tcPr>
            <w:tcW w:w="2250" w:type="dxa"/>
            <w:shd w:val="clear" w:color="auto" w:fill="auto"/>
            <w:vAlign w:val="center"/>
          </w:tcPr>
          <w:p w:rsidR="00680451" w:rsidP="00680451" w:rsidRDefault="00680451" w14:paraId="1402585F" w14:textId="77777777">
            <w:pPr>
              <w:pStyle w:val="TableTextLeft"/>
            </w:pPr>
            <w:r>
              <w:t>63.655(i)</w:t>
            </w:r>
          </w:p>
        </w:tc>
      </w:tr>
      <w:tr w:rsidR="00C37C81" w:rsidTr="00C61FD3" w14:paraId="2906B7BF" w14:textId="77777777">
        <w:trPr>
          <w:cantSplit/>
          <w:jc w:val="center"/>
        </w:trPr>
        <w:tc>
          <w:tcPr>
            <w:tcW w:w="7110" w:type="dxa"/>
            <w:shd w:val="clear" w:color="auto" w:fill="auto"/>
            <w:vAlign w:val="center"/>
          </w:tcPr>
          <w:p w:rsidR="00C37C81" w:rsidP="00680451" w:rsidRDefault="00C37C81" w14:paraId="0EB74A64" w14:textId="1F52D788">
            <w:pPr>
              <w:pStyle w:val="TableTextLeft"/>
            </w:pPr>
            <w:r>
              <w:t xml:space="preserve">Records for </w:t>
            </w:r>
            <w:r w:rsidR="003951D5">
              <w:t>maintenance vents</w:t>
            </w:r>
            <w:r>
              <w:t>.</w:t>
            </w:r>
          </w:p>
        </w:tc>
        <w:tc>
          <w:tcPr>
            <w:tcW w:w="2250" w:type="dxa"/>
            <w:shd w:val="clear" w:color="auto" w:fill="auto"/>
            <w:vAlign w:val="center"/>
          </w:tcPr>
          <w:p w:rsidR="003951D5" w:rsidP="003951D5" w:rsidRDefault="003951D5" w14:paraId="28ADA7AF" w14:textId="481077C9">
            <w:pPr>
              <w:pStyle w:val="TableTextLeft"/>
            </w:pPr>
            <w:r>
              <w:t>63.655(i)(12)</w:t>
            </w:r>
          </w:p>
        </w:tc>
      </w:tr>
    </w:tbl>
    <w:p w:rsidR="000A19D3" w:rsidP="00F46122" w:rsidRDefault="000A19D3" w14:paraId="57519245" w14:textId="77777777">
      <w:pPr>
        <w:pStyle w:val="TableTextLeft"/>
      </w:pPr>
    </w:p>
    <w:p w:rsidR="000A19D3" w:rsidP="000A19D3" w:rsidRDefault="00277971" w14:paraId="1904D9C2" w14:textId="23C94A47">
      <w:pPr>
        <w:pStyle w:val="SectionLevel3Heading"/>
      </w:pPr>
      <w:r w:rsidRPr="000A19D3" w:rsidDel="00277971">
        <w:rPr>
          <w:rStyle w:val="Underline"/>
        </w:rPr>
        <w:t xml:space="preserve"> </w:t>
      </w:r>
      <w:r w:rsidR="000A19D3">
        <w:t xml:space="preserve">(ii) </w:t>
      </w:r>
      <w:r w:rsidRPr="00FE67FB" w:rsidR="000A19D3">
        <w:rPr>
          <w:rStyle w:val="Underline"/>
        </w:rPr>
        <w:t>Respondent Activities</w:t>
      </w:r>
    </w:p>
    <w:p w:rsidRPr="00F46122" w:rsidR="00C37C81" w:rsidP="000A19D3" w:rsidRDefault="005D2013" w14:paraId="6A229CC0" w14:textId="578736F0">
      <w:pPr>
        <w:pStyle w:val="BodyFirstline05After12pt"/>
      </w:pPr>
      <w:r w:rsidRPr="00C7625A">
        <w:t xml:space="preserve">The respondent activities that will be required by the </w:t>
      </w:r>
      <w:r w:rsidR="000850BE">
        <w:t>proposed</w:t>
      </w:r>
      <w:r w:rsidRPr="00C7625A" w:rsidR="000850BE">
        <w:t xml:space="preserve"> </w:t>
      </w:r>
      <w:r>
        <w:t xml:space="preserve">amendments to </w:t>
      </w:r>
      <w:r w:rsidR="00823B37">
        <w:t xml:space="preserve">40 CFR part 63 </w:t>
      </w:r>
      <w:r>
        <w:t xml:space="preserve">subpart </w:t>
      </w:r>
      <w:r w:rsidR="008C212B">
        <w:t>CC</w:t>
      </w:r>
      <w:r>
        <w:t xml:space="preserve"> include the following activities:</w:t>
      </w:r>
    </w:p>
    <w:tbl>
      <w:tblPr>
        <w:tblW w:w="936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20" w:type="dxa"/>
          <w:right w:w="120" w:type="dxa"/>
        </w:tblCellMar>
        <w:tblLook w:val="0000" w:firstRow="0" w:lastRow="0" w:firstColumn="0" w:lastColumn="0" w:noHBand="0" w:noVBand="0"/>
      </w:tblPr>
      <w:tblGrid>
        <w:gridCol w:w="9360"/>
      </w:tblGrid>
      <w:tr w:rsidR="00C37C81" w:rsidTr="00CA5CD5" w14:paraId="6E0C47D3" w14:textId="77777777">
        <w:trPr>
          <w:cantSplit/>
          <w:tblHeader/>
          <w:jc w:val="center"/>
        </w:trPr>
        <w:tc>
          <w:tcPr>
            <w:tcW w:w="9360" w:type="dxa"/>
            <w:shd w:val="clear" w:color="auto" w:fill="auto"/>
            <w:vAlign w:val="center"/>
          </w:tcPr>
          <w:p w:rsidRPr="000A19D3" w:rsidR="00BB0FD0" w:rsidP="000A19D3" w:rsidRDefault="00C37C81" w14:paraId="4CE45135" w14:textId="77777777">
            <w:pPr>
              <w:pStyle w:val="TableColumnHeading"/>
              <w:rPr>
                <w:rStyle w:val="Bold"/>
              </w:rPr>
            </w:pPr>
            <w:r w:rsidRPr="000A19D3">
              <w:rPr>
                <w:rStyle w:val="Bold"/>
              </w:rPr>
              <w:lastRenderedPageBreak/>
              <w:t>Respondent Activities</w:t>
            </w:r>
          </w:p>
        </w:tc>
      </w:tr>
      <w:tr w:rsidR="00C37C81" w:rsidTr="00CA5CD5" w14:paraId="0A812CC3" w14:textId="77777777">
        <w:trPr>
          <w:cantSplit/>
          <w:jc w:val="center"/>
        </w:trPr>
        <w:tc>
          <w:tcPr>
            <w:tcW w:w="9360" w:type="dxa"/>
            <w:shd w:val="clear" w:color="auto" w:fill="auto"/>
          </w:tcPr>
          <w:p w:rsidR="00BB0FD0" w:rsidP="000A19D3" w:rsidRDefault="00C37C81" w14:paraId="682C673B" w14:textId="77777777">
            <w:pPr>
              <w:pStyle w:val="TableTextLeft"/>
            </w:pPr>
            <w:r>
              <w:t>Read instructions.</w:t>
            </w:r>
          </w:p>
        </w:tc>
      </w:tr>
      <w:tr w:rsidR="00C37C81" w:rsidTr="00CA5CD5" w14:paraId="579ACD10" w14:textId="77777777">
        <w:trPr>
          <w:cantSplit/>
          <w:jc w:val="center"/>
        </w:trPr>
        <w:tc>
          <w:tcPr>
            <w:tcW w:w="9360" w:type="dxa"/>
            <w:shd w:val="clear" w:color="auto" w:fill="auto"/>
          </w:tcPr>
          <w:p w:rsidR="00C37C81" w:rsidP="000A19D3" w:rsidRDefault="00C37C81" w14:paraId="1D1C093B" w14:textId="77777777">
            <w:pPr>
              <w:pStyle w:val="TableTextLeft"/>
            </w:pPr>
            <w:r>
              <w:t>Enter information required to be recorded above.</w:t>
            </w:r>
          </w:p>
        </w:tc>
      </w:tr>
      <w:tr w:rsidR="00C37C81" w:rsidTr="00CA5CD5" w14:paraId="3D1ED2E6" w14:textId="77777777">
        <w:trPr>
          <w:cantSplit/>
          <w:jc w:val="center"/>
        </w:trPr>
        <w:tc>
          <w:tcPr>
            <w:tcW w:w="9360" w:type="dxa"/>
            <w:shd w:val="clear" w:color="auto" w:fill="auto"/>
          </w:tcPr>
          <w:p w:rsidR="00C37C81" w:rsidP="000A19D3" w:rsidRDefault="00C37C81" w14:paraId="4A586B72" w14:textId="77777777">
            <w:pPr>
              <w:pStyle w:val="TableTextLeft"/>
            </w:pPr>
            <w:r>
              <w:t>Develop, acquire, install, and utilize technology and systems for the purpose of processing and maintaining information.</w:t>
            </w:r>
          </w:p>
        </w:tc>
      </w:tr>
      <w:tr w:rsidR="00C37C81" w:rsidTr="00CA5CD5" w14:paraId="6DD72021" w14:textId="77777777">
        <w:trPr>
          <w:cantSplit/>
          <w:jc w:val="center"/>
        </w:trPr>
        <w:tc>
          <w:tcPr>
            <w:tcW w:w="9360" w:type="dxa"/>
            <w:shd w:val="clear" w:color="auto" w:fill="auto"/>
          </w:tcPr>
          <w:p w:rsidR="00C37C81" w:rsidP="000A19D3" w:rsidRDefault="00C37C81" w14:paraId="628D9D44" w14:textId="77777777">
            <w:pPr>
              <w:pStyle w:val="TableTextLeft"/>
            </w:pPr>
            <w:r>
              <w:t>Develop, acquire, install, and utilize technology and systems for the purpose of disclosing and providing information.</w:t>
            </w:r>
          </w:p>
        </w:tc>
      </w:tr>
      <w:tr w:rsidR="00C37C81" w:rsidTr="00CA5CD5" w14:paraId="070B01CC" w14:textId="77777777">
        <w:trPr>
          <w:cantSplit/>
          <w:jc w:val="center"/>
        </w:trPr>
        <w:tc>
          <w:tcPr>
            <w:tcW w:w="9360" w:type="dxa"/>
            <w:shd w:val="clear" w:color="auto" w:fill="auto"/>
          </w:tcPr>
          <w:p w:rsidR="00C37C81" w:rsidP="000A19D3" w:rsidRDefault="00C37C81" w14:paraId="70F87770" w14:textId="77777777">
            <w:pPr>
              <w:pStyle w:val="TableTextLeft"/>
            </w:pPr>
            <w:r>
              <w:t>Train personnel to be able to respond to a collection of information.</w:t>
            </w:r>
          </w:p>
        </w:tc>
      </w:tr>
      <w:tr w:rsidR="00C37C81" w:rsidTr="00CA5CD5" w14:paraId="4AC539D2" w14:textId="77777777">
        <w:trPr>
          <w:cantSplit/>
          <w:jc w:val="center"/>
        </w:trPr>
        <w:tc>
          <w:tcPr>
            <w:tcW w:w="9360" w:type="dxa"/>
            <w:shd w:val="clear" w:color="auto" w:fill="auto"/>
          </w:tcPr>
          <w:p w:rsidR="00C37C81" w:rsidP="000A19D3" w:rsidRDefault="00C37C81" w14:paraId="4C509732" w14:textId="77777777">
            <w:pPr>
              <w:pStyle w:val="TableTextLeft"/>
            </w:pPr>
            <w:r>
              <w:t>Transmit, or otherwise disclose the information.</w:t>
            </w:r>
          </w:p>
        </w:tc>
      </w:tr>
    </w:tbl>
    <w:p w:rsidR="000A19D3" w:rsidP="000A19D3" w:rsidRDefault="000A19D3" w14:paraId="0B481345" w14:textId="77777777">
      <w:pPr>
        <w:pStyle w:val="AfterTable"/>
      </w:pPr>
    </w:p>
    <w:p w:rsidR="000A19D3" w:rsidP="000A19D3" w:rsidRDefault="000A19D3" w14:paraId="6717F9B5" w14:textId="77777777">
      <w:pPr>
        <w:pStyle w:val="SectionHeading"/>
      </w:pPr>
      <w:r>
        <w:t>5. The Information Collected: Agency Activities, Collection Methodology, and Information Management</w:t>
      </w:r>
    </w:p>
    <w:p w:rsidR="000A19D3" w:rsidP="000A19D3" w:rsidRDefault="00B50B26" w14:paraId="1DD38513" w14:textId="77777777">
      <w:pPr>
        <w:pStyle w:val="SectionSubheading"/>
      </w:pPr>
      <w:r>
        <w:t>5(a) Agency Activities</w:t>
      </w:r>
    </w:p>
    <w:p w:rsidR="00BB0FD0" w:rsidP="000A19D3" w:rsidRDefault="00AF79C7" w14:paraId="56A4E817" w14:textId="77777777">
      <w:pPr>
        <w:pStyle w:val="BodyFirstline05After12pt"/>
        <w:keepNext/>
      </w:pPr>
      <w:r>
        <w:t xml:space="preserve">The </w:t>
      </w:r>
      <w:r w:rsidRPr="00B54DC3">
        <w:t xml:space="preserve">EPA conducts the </w:t>
      </w:r>
      <w:r w:rsidRPr="000A19D3">
        <w:t>following</w:t>
      </w:r>
      <w:r w:rsidRPr="00B54DC3">
        <w:t xml:space="preserve"> activities in connection with the acquisition, analysis, storage, and distributi</w:t>
      </w:r>
      <w:r w:rsidR="00B50B26">
        <w:t>on of the required information.</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1E0" w:firstRow="1" w:lastRow="1" w:firstColumn="1" w:lastColumn="1" w:noHBand="0" w:noVBand="0"/>
      </w:tblPr>
      <w:tblGrid>
        <w:gridCol w:w="9360"/>
      </w:tblGrid>
      <w:tr w:rsidR="00AA606A" w:rsidTr="000A19D3" w14:paraId="3E6B2166" w14:textId="77777777">
        <w:tc>
          <w:tcPr>
            <w:tcW w:w="9360" w:type="dxa"/>
            <w:tcBorders>
              <w:top w:val="single" w:color="auto" w:sz="4" w:space="0"/>
              <w:left w:val="single" w:color="auto" w:sz="4" w:space="0"/>
              <w:bottom w:val="single" w:color="auto" w:sz="4" w:space="0"/>
              <w:right w:val="single" w:color="auto" w:sz="4" w:space="0"/>
            </w:tcBorders>
          </w:tcPr>
          <w:p w:rsidRPr="000A19D3" w:rsidR="00AA606A" w:rsidP="000A19D3" w:rsidRDefault="005F6B94" w14:paraId="0F68B16B" w14:textId="77777777">
            <w:pPr>
              <w:pStyle w:val="TableColumnHeading"/>
              <w:rPr>
                <w:rStyle w:val="Bold"/>
              </w:rPr>
            </w:pPr>
            <w:r w:rsidRPr="000A19D3">
              <w:rPr>
                <w:rStyle w:val="Bold"/>
              </w:rPr>
              <w:t>Agency Activities</w:t>
            </w:r>
          </w:p>
        </w:tc>
      </w:tr>
      <w:tr w:rsidR="00AA606A" w:rsidTr="000A19D3" w14:paraId="25C7CCCF" w14:textId="77777777">
        <w:tc>
          <w:tcPr>
            <w:tcW w:w="9360" w:type="dxa"/>
            <w:tcBorders>
              <w:top w:val="single" w:color="auto" w:sz="4" w:space="0"/>
              <w:left w:val="single" w:color="auto" w:sz="4" w:space="0"/>
              <w:bottom w:val="single" w:color="auto" w:sz="4" w:space="0"/>
              <w:right w:val="single" w:color="auto" w:sz="4" w:space="0"/>
            </w:tcBorders>
          </w:tcPr>
          <w:p w:rsidRPr="00F47C05" w:rsidR="00AA606A" w:rsidP="000A19D3" w:rsidRDefault="00D769E2" w14:paraId="309D836D" w14:textId="77777777">
            <w:pPr>
              <w:pStyle w:val="TableTextLeft"/>
            </w:pPr>
            <w:r w:rsidRPr="00D769E2">
              <w:t>Audit facility records.</w:t>
            </w:r>
          </w:p>
        </w:tc>
      </w:tr>
    </w:tbl>
    <w:p w:rsidR="000A19D3" w:rsidP="000A19D3" w:rsidRDefault="000A19D3" w14:paraId="43A9F585" w14:textId="77777777">
      <w:pPr>
        <w:pStyle w:val="AfterTable"/>
      </w:pPr>
    </w:p>
    <w:p w:rsidR="000A19D3" w:rsidP="000A19D3" w:rsidRDefault="000A19D3" w14:paraId="6A3CD6B7" w14:textId="77777777">
      <w:pPr>
        <w:pStyle w:val="SectionSubheading"/>
      </w:pPr>
      <w:r>
        <w:t>5(b) Collection Methodology and Management</w:t>
      </w:r>
    </w:p>
    <w:p w:rsidR="00BB0FD0" w:rsidRDefault="00AF79C7" w14:paraId="799BE637" w14:textId="43D94926">
      <w:pPr>
        <w:pStyle w:val="BodyFirstline05After12pt"/>
      </w:pPr>
      <w:r w:rsidRPr="00B54DC3">
        <w:t>Data obtained during periodic visits by Agency personnel from records maintained by the respondents are tabulated and published for internal Agency use in compliance and enforcement programs.</w:t>
      </w:r>
      <w:r>
        <w:t xml:space="preserve"> </w:t>
      </w:r>
      <w:r w:rsidR="00AC2805">
        <w:t xml:space="preserve">The records required by this regulation must be retained by the owner or operator for </w:t>
      </w:r>
      <w:r w:rsidR="00ED4539">
        <w:t>5 </w:t>
      </w:r>
      <w:r w:rsidR="00AC2805">
        <w:t>years.</w:t>
      </w:r>
    </w:p>
    <w:p w:rsidR="000A19D3" w:rsidP="000A19D3" w:rsidRDefault="000A19D3" w14:paraId="6CDBBCF8" w14:textId="77777777">
      <w:pPr>
        <w:pStyle w:val="SectionSubheading"/>
      </w:pPr>
      <w:r>
        <w:t>5(c) Small Entity Flexibility</w:t>
      </w:r>
    </w:p>
    <w:p w:rsidRPr="00B54DC3" w:rsidR="00AF79C7" w:rsidP="00BB0FD0" w:rsidRDefault="00AC2805" w14:paraId="44ED7300" w14:textId="31BF65EE">
      <w:pPr>
        <w:pStyle w:val="BodyFirstline05After12pt"/>
      </w:pPr>
      <w:r w:rsidRPr="00F46122">
        <w:t>A majority of the respondents are large entities (</w:t>
      </w:r>
      <w:r w:rsidRPr="00BB0FD0">
        <w:rPr>
          <w:rStyle w:val="Italic"/>
        </w:rPr>
        <w:t>i.e.</w:t>
      </w:r>
      <w:r w:rsidRPr="00F46122">
        <w:t>, large businesses).</w:t>
      </w:r>
      <w:r w:rsidRPr="00F46122" w:rsidR="00F47C05">
        <w:t xml:space="preserve"> </w:t>
      </w:r>
      <w:r w:rsidRPr="00F46122">
        <w:t>However, the impact on small entities (</w:t>
      </w:r>
      <w:r w:rsidRPr="00BB0FD0">
        <w:rPr>
          <w:rStyle w:val="Italic"/>
        </w:rPr>
        <w:t>i.e.</w:t>
      </w:r>
      <w:r w:rsidRPr="00F46122">
        <w:t>, small businesses) was taken into consideration during the development of the regulation.</w:t>
      </w:r>
      <w:r w:rsidRPr="00F46122" w:rsidR="00F47C05">
        <w:t xml:space="preserve"> </w:t>
      </w:r>
      <w:r>
        <w:t>A small entity for petroleum refineries is defined as a firm having no more than 1,500 employees</w:t>
      </w:r>
      <w:r w:rsidR="00927413">
        <w:t>.</w:t>
      </w:r>
      <w:r w:rsidR="00F47C05">
        <w:t xml:space="preserve"> </w:t>
      </w:r>
      <w:r w:rsidRPr="00B54DC3" w:rsidR="006B12C5">
        <w:t>Due to technical considerations involving the process operations, the</w:t>
      </w:r>
      <w:r w:rsidR="0013524F">
        <w:t xml:space="preserve"> proposed amendments to the</w:t>
      </w:r>
      <w:r w:rsidRPr="00B54DC3" w:rsidR="006B12C5">
        <w:t xml:space="preserve"> recordkeeping requirements are the same for both small and large entities.</w:t>
      </w:r>
      <w:r w:rsidR="00131DAE">
        <w:t xml:space="preserve"> </w:t>
      </w:r>
      <w:r w:rsidRPr="00B54DC3" w:rsidR="00927413">
        <w:t xml:space="preserve">The </w:t>
      </w:r>
      <w:r w:rsidR="00927413">
        <w:t>EPA</w:t>
      </w:r>
      <w:r w:rsidRPr="00B54DC3" w:rsidR="00927413">
        <w:t xml:space="preserve"> considers these requirements the minimum needed to ensure compliance and, therefore, cannot reduce them further for small entities.</w:t>
      </w:r>
      <w:r w:rsidR="00927413">
        <w:t xml:space="preserve"> </w:t>
      </w:r>
      <w:r w:rsidRPr="00B54DC3" w:rsidR="00927413">
        <w:t>To the extent that larger businesses can use economies of scale to reduce their burden, the overall burden will be reduced.</w:t>
      </w:r>
    </w:p>
    <w:p w:rsidR="000A19D3" w:rsidP="000A19D3" w:rsidRDefault="000A19D3" w14:paraId="6461990B" w14:textId="77777777">
      <w:pPr>
        <w:pStyle w:val="SectionSubheading"/>
      </w:pPr>
      <w:r>
        <w:lastRenderedPageBreak/>
        <w:t>5(d) Collection Schedule</w:t>
      </w:r>
    </w:p>
    <w:p w:rsidR="00E72401" w:rsidP="000A19D3" w:rsidRDefault="00927413" w14:paraId="0F39373B" w14:textId="673EB29C">
      <w:pPr>
        <w:pStyle w:val="BodyFirstline05After12pt"/>
      </w:pPr>
      <w:r w:rsidRPr="00F46122">
        <w:t xml:space="preserve">The specific frequency for each information collection activity within this request is shown below in </w:t>
      </w:r>
      <w:r w:rsidRPr="00E8169A" w:rsidR="00AF79C7">
        <w:t xml:space="preserve">Table </w:t>
      </w:r>
      <w:r w:rsidR="00976C8F">
        <w:t>1</w:t>
      </w:r>
      <w:r w:rsidRPr="00E8169A" w:rsidR="00AF79C7">
        <w:t xml:space="preserve">: </w:t>
      </w:r>
      <w:r w:rsidRPr="00E72401" w:rsidR="00E72401">
        <w:t xml:space="preserve">Annual Respondent Burden and Cost: </w:t>
      </w:r>
      <w:r w:rsidR="00823B37">
        <w:t>Proposed</w:t>
      </w:r>
      <w:r w:rsidRPr="00E72401" w:rsidR="00823B37">
        <w:t xml:space="preserve"> </w:t>
      </w:r>
      <w:r w:rsidRPr="00E72401" w:rsidR="00E72401">
        <w:t>Amendments to NESHAP for Petroleum Refineries</w:t>
      </w:r>
      <w:r w:rsidR="00E72401">
        <w:t xml:space="preserve"> (40 CFR Part 63, Subpart CC</w:t>
      </w:r>
      <w:r w:rsidRPr="00E72401" w:rsidR="00E72401">
        <w:t>)</w:t>
      </w:r>
      <w:r w:rsidR="00E72401">
        <w:t>.</w:t>
      </w:r>
    </w:p>
    <w:p w:rsidR="000A19D3" w:rsidP="000A19D3" w:rsidRDefault="000A19D3" w14:paraId="21088C0E" w14:textId="77777777">
      <w:pPr>
        <w:pStyle w:val="SectionHeading"/>
      </w:pPr>
      <w:r>
        <w:t>6. Estimating the Burden and Cost of the Collection</w:t>
      </w:r>
    </w:p>
    <w:p w:rsidRPr="009769D3" w:rsidR="00077ABC" w:rsidP="000A19D3" w:rsidRDefault="00077ABC" w14:paraId="5FF1C2B6" w14:textId="6B5706C0">
      <w:pPr>
        <w:pStyle w:val="BodyFirstline05After12pt"/>
      </w:pPr>
      <w:r w:rsidRPr="00E8169A">
        <w:t xml:space="preserve">Table </w:t>
      </w:r>
      <w:r w:rsidR="00E72401">
        <w:t>1</w:t>
      </w:r>
      <w:r w:rsidRPr="00E8169A">
        <w:t xml:space="preserve"> document</w:t>
      </w:r>
      <w:r w:rsidR="00E72401">
        <w:t>s</w:t>
      </w:r>
      <w:r w:rsidRPr="009769D3">
        <w:t xml:space="preserve"> the computation of individual burdens for the recordkeeping requirements applicable to the industry for each year for the subpart included in this ICR.</w:t>
      </w:r>
      <w:r w:rsidR="00F47C05">
        <w:t xml:space="preserve"> </w:t>
      </w:r>
      <w:r w:rsidRPr="009769D3">
        <w:t>The individual burdens are expressed under standardized headings believed to be consistent with the concept of burden under the Paperwork Reduction Act.</w:t>
      </w:r>
      <w:r w:rsidR="00F47C05">
        <w:t xml:space="preserve"> </w:t>
      </w:r>
      <w:r w:rsidRPr="009769D3">
        <w:t>Where appropriate, specific tasks and major assumptions have been identified.</w:t>
      </w:r>
      <w:r w:rsidR="00F47C05">
        <w:t xml:space="preserve"> </w:t>
      </w:r>
      <w:r w:rsidRPr="009769D3">
        <w:t>Responses to this information collection are mandatory.</w:t>
      </w:r>
    </w:p>
    <w:p w:rsidRPr="009769D3" w:rsidR="00077ABC" w:rsidP="000A19D3" w:rsidRDefault="00077ABC" w14:paraId="58C7A0D9" w14:textId="77777777">
      <w:pPr>
        <w:pStyle w:val="BodyFirstline05After12pt"/>
      </w:pPr>
      <w:r w:rsidRPr="009769D3">
        <w:t>The Agency may not conduct or sponsor, and a person is not required to respond to, a collection of information unless it displays a currently valid OMB Control Number.</w:t>
      </w:r>
    </w:p>
    <w:p w:rsidR="000A19D3" w:rsidP="000A19D3" w:rsidRDefault="000A19D3" w14:paraId="7D7291C6" w14:textId="77777777">
      <w:pPr>
        <w:pStyle w:val="SectionSubheading"/>
      </w:pPr>
      <w:r>
        <w:t>6(a) Estimating Respondent Burden</w:t>
      </w:r>
    </w:p>
    <w:p w:rsidR="00AA606A" w:rsidP="000A21EE" w:rsidRDefault="00AA606A" w14:paraId="2F4F5D2E" w14:textId="30C8112A">
      <w:pPr>
        <w:pStyle w:val="BodyFirstline05After12pt"/>
      </w:pPr>
      <w:r>
        <w:t xml:space="preserve">The average </w:t>
      </w:r>
      <w:r w:rsidRPr="00D96404">
        <w:t xml:space="preserve">annual burden to industry over the next </w:t>
      </w:r>
      <w:r w:rsidR="00ED4539">
        <w:t>3</w:t>
      </w:r>
      <w:r w:rsidRPr="00D96404">
        <w:t xml:space="preserve"> years from the recordkeeping requirements is estimated to be </w:t>
      </w:r>
      <w:r w:rsidR="00AA2BE0">
        <w:t>16</w:t>
      </w:r>
      <w:r w:rsidR="000C2907">
        <w:t xml:space="preserve"> </w:t>
      </w:r>
      <w:r w:rsidRPr="00D96404" w:rsidR="00433BF1">
        <w:t xml:space="preserve">(Total Labor Hours from Table </w:t>
      </w:r>
      <w:r w:rsidRPr="00D96404" w:rsidR="00E72401">
        <w:t>1</w:t>
      </w:r>
      <w:r w:rsidRPr="00D96404">
        <w:t>).</w:t>
      </w:r>
      <w:r w:rsidR="00F47C05">
        <w:t xml:space="preserve"> </w:t>
      </w:r>
      <w:r w:rsidRPr="00D96404">
        <w:t>These hours are based on Agency studies and background documents from the development of the regulation and Agency knowledge and expe</w:t>
      </w:r>
      <w:r w:rsidR="00A55D06">
        <w:t>rience with the NESHAP program, the previously approved ICR for this subpart, and any comments received on previous ICRs and regulations.</w:t>
      </w:r>
      <w:r w:rsidR="00F47C05">
        <w:t xml:space="preserve"> </w:t>
      </w:r>
      <w:r w:rsidRPr="00020056" w:rsidR="00020056">
        <w:t xml:space="preserve">The average annual burden over the 3-year period of this ICR is estimated assuming that </w:t>
      </w:r>
      <w:r w:rsidR="00020056">
        <w:t>each refinery (142) will</w:t>
      </w:r>
      <w:r w:rsidR="00B26147">
        <w:t xml:space="preserve"> have one maintenance vent opening per year requiring additional recordkeeping </w:t>
      </w:r>
      <w:r w:rsidR="003344E3">
        <w:t xml:space="preserve">as </w:t>
      </w:r>
      <w:r w:rsidR="00B26147">
        <w:t>specified in §63.655(i)(12)(iv)</w:t>
      </w:r>
      <w:r w:rsidRPr="00020056" w:rsidR="00020056">
        <w:t>.</w:t>
      </w:r>
    </w:p>
    <w:p w:rsidR="000A19D3" w:rsidP="000A19D3" w:rsidRDefault="000A19D3" w14:paraId="12B6781E" w14:textId="77777777">
      <w:pPr>
        <w:pStyle w:val="SectionSubheading"/>
      </w:pPr>
      <w:r>
        <w:t>6(b) Estimating Respondent Costs</w:t>
      </w:r>
    </w:p>
    <w:p w:rsidR="000A19D3" w:rsidP="000A19D3" w:rsidRDefault="000A19D3" w14:paraId="7D2AD888" w14:textId="77777777">
      <w:pPr>
        <w:pStyle w:val="SectionLevel3Heading"/>
      </w:pPr>
      <w:r>
        <w:t xml:space="preserve">(i) </w:t>
      </w:r>
      <w:r w:rsidRPr="00FE67FB">
        <w:rPr>
          <w:rStyle w:val="Underline"/>
        </w:rPr>
        <w:t>Estimating Labor Costs</w:t>
      </w:r>
    </w:p>
    <w:p w:rsidR="000A19D3" w:rsidP="00680451" w:rsidRDefault="000A19D3" w14:paraId="6FC1DE1A" w14:textId="77777777">
      <w:pPr>
        <w:pStyle w:val="BodyFirstline05After12pt"/>
        <w:keepNext/>
      </w:pPr>
      <w:r>
        <w:t xml:space="preserve">This ICR </w:t>
      </w:r>
      <w:r w:rsidR="00B50B26">
        <w:t>uses the following labor rates:</w:t>
      </w:r>
    </w:p>
    <w:tbl>
      <w:tblPr>
        <w:tblStyle w:val="TableGrid"/>
        <w:tblW w:w="0" w:type="auto"/>
        <w:tblInd w:w="12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2"/>
        <w:gridCol w:w="1170"/>
        <w:gridCol w:w="2160"/>
      </w:tblGrid>
      <w:tr w:rsidR="000A19D3" w:rsidTr="000A19D3" w14:paraId="7CECCF3C" w14:textId="77777777">
        <w:tc>
          <w:tcPr>
            <w:tcW w:w="1512" w:type="dxa"/>
          </w:tcPr>
          <w:p w:rsidRPr="00AD5F72" w:rsidR="000A19D3" w:rsidP="000A19D3" w:rsidRDefault="000A19D3" w14:paraId="7B727FA8" w14:textId="77777777">
            <w:pPr>
              <w:pStyle w:val="LaborRateTable"/>
            </w:pPr>
            <w:r w:rsidRPr="00AD5F72">
              <w:t>Managerial</w:t>
            </w:r>
          </w:p>
        </w:tc>
        <w:tc>
          <w:tcPr>
            <w:tcW w:w="1170" w:type="dxa"/>
          </w:tcPr>
          <w:p w:rsidRPr="00AD5F72" w:rsidR="000A19D3" w:rsidP="000A19D3" w:rsidRDefault="000A19D3" w14:paraId="729845BE" w14:textId="06473DB8">
            <w:pPr>
              <w:pStyle w:val="LaborRateTableCenterColumn"/>
            </w:pPr>
            <w:r w:rsidRPr="00AD5F72">
              <w:t>$13</w:t>
            </w:r>
            <w:r w:rsidR="00C166C3">
              <w:t>7.49</w:t>
            </w:r>
          </w:p>
        </w:tc>
        <w:tc>
          <w:tcPr>
            <w:tcW w:w="2160" w:type="dxa"/>
          </w:tcPr>
          <w:p w:rsidR="000A19D3" w:rsidP="000A19D3" w:rsidRDefault="000A19D3" w14:paraId="56B871A6" w14:textId="76177DED">
            <w:pPr>
              <w:pStyle w:val="LaborRateTable"/>
            </w:pPr>
            <w:r>
              <w:t>($</w:t>
            </w:r>
            <w:r w:rsidR="00F82C4D">
              <w:t>65.47</w:t>
            </w:r>
            <w:r>
              <w:t xml:space="preserve"> + 110%)</w:t>
            </w:r>
          </w:p>
        </w:tc>
      </w:tr>
      <w:tr w:rsidR="000A19D3" w:rsidTr="000A19D3" w14:paraId="794A7689" w14:textId="77777777">
        <w:tc>
          <w:tcPr>
            <w:tcW w:w="1512" w:type="dxa"/>
          </w:tcPr>
          <w:p w:rsidRPr="00AD5F72" w:rsidR="000A19D3" w:rsidP="000A19D3" w:rsidRDefault="000A19D3" w14:paraId="23D71A26" w14:textId="77777777">
            <w:pPr>
              <w:pStyle w:val="LaborRateTable"/>
            </w:pPr>
            <w:r w:rsidRPr="00AD5F72">
              <w:t>Technical</w:t>
            </w:r>
          </w:p>
        </w:tc>
        <w:tc>
          <w:tcPr>
            <w:tcW w:w="1170" w:type="dxa"/>
          </w:tcPr>
          <w:p w:rsidRPr="00AD5F72" w:rsidR="000A19D3" w:rsidP="000A19D3" w:rsidRDefault="000A19D3" w14:paraId="0E12E645" w14:textId="033B2704">
            <w:pPr>
              <w:pStyle w:val="LaborRateTableCenterColumn"/>
            </w:pPr>
            <w:r w:rsidRPr="00AD5F72">
              <w:t>$</w:t>
            </w:r>
            <w:r w:rsidR="00C166C3">
              <w:t>103.99</w:t>
            </w:r>
          </w:p>
        </w:tc>
        <w:tc>
          <w:tcPr>
            <w:tcW w:w="2160" w:type="dxa"/>
          </w:tcPr>
          <w:p w:rsidR="000A19D3" w:rsidP="000A19D3" w:rsidRDefault="000A19D3" w14:paraId="06189CF7" w14:textId="0F546FB1">
            <w:pPr>
              <w:pStyle w:val="LaborRateTable"/>
            </w:pPr>
            <w:r>
              <w:t>($</w:t>
            </w:r>
            <w:r w:rsidR="00C166C3">
              <w:t>49.52</w:t>
            </w:r>
            <w:r>
              <w:t xml:space="preserve"> + 110%)</w:t>
            </w:r>
          </w:p>
        </w:tc>
      </w:tr>
      <w:tr w:rsidR="000A19D3" w:rsidTr="000A19D3" w14:paraId="3B32AD2B" w14:textId="77777777">
        <w:tc>
          <w:tcPr>
            <w:tcW w:w="1512" w:type="dxa"/>
          </w:tcPr>
          <w:p w:rsidRPr="00AD5F72" w:rsidR="000A19D3" w:rsidP="000A19D3" w:rsidRDefault="000A19D3" w14:paraId="38B2588F" w14:textId="77777777">
            <w:pPr>
              <w:pStyle w:val="LaborRateTable"/>
            </w:pPr>
            <w:r w:rsidRPr="00AD5F72">
              <w:t>Clerical</w:t>
            </w:r>
          </w:p>
        </w:tc>
        <w:tc>
          <w:tcPr>
            <w:tcW w:w="1170" w:type="dxa"/>
          </w:tcPr>
          <w:p w:rsidRPr="00AD5F72" w:rsidR="000A19D3" w:rsidP="000A19D3" w:rsidRDefault="000A19D3" w14:paraId="2CFC4A48" w14:textId="7A0203C5">
            <w:pPr>
              <w:pStyle w:val="LaborRateTableCenterColumn"/>
            </w:pPr>
            <w:r w:rsidRPr="00AD5F72">
              <w:t>$4</w:t>
            </w:r>
            <w:r w:rsidR="00C166C3">
              <w:t>6</w:t>
            </w:r>
            <w:r w:rsidRPr="00AD5F72">
              <w:t>.</w:t>
            </w:r>
            <w:r w:rsidR="00C166C3">
              <w:t>26</w:t>
            </w:r>
          </w:p>
        </w:tc>
        <w:tc>
          <w:tcPr>
            <w:tcW w:w="2160" w:type="dxa"/>
          </w:tcPr>
          <w:p w:rsidR="000A19D3" w:rsidP="000A19D3" w:rsidRDefault="000A19D3" w14:paraId="65BA67F2" w14:textId="3A57853E">
            <w:pPr>
              <w:pStyle w:val="LaborRateTable"/>
            </w:pPr>
            <w:r w:rsidRPr="00FE67FB">
              <w:t>($</w:t>
            </w:r>
            <w:r w:rsidR="00C166C3">
              <w:t>22.03</w:t>
            </w:r>
            <w:r w:rsidRPr="00FE67FB">
              <w:t xml:space="preserve"> + 110%)</w:t>
            </w:r>
          </w:p>
        </w:tc>
      </w:tr>
    </w:tbl>
    <w:p w:rsidR="000A19D3" w:rsidP="000A19D3" w:rsidRDefault="000A19D3" w14:paraId="222A26EF" w14:textId="77777777"/>
    <w:p w:rsidR="00BB0FD0" w:rsidP="00CA5CD5" w:rsidRDefault="00B45A0D" w14:paraId="46247045" w14:textId="41683DAC">
      <w:pPr>
        <w:pStyle w:val="BodyFirstline0After12pt"/>
        <w:ind w:firstLine="720"/>
      </w:pPr>
      <w:r w:rsidRPr="00DF0C4A">
        <w:t>Labor rates</w:t>
      </w:r>
      <w:r>
        <w:t xml:space="preserve"> and associated costs</w:t>
      </w:r>
      <w:r w:rsidRPr="00DF0C4A">
        <w:t xml:space="preserve"> are</w:t>
      </w:r>
      <w:r>
        <w:t xml:space="preserve"> based on </w:t>
      </w:r>
      <w:r w:rsidRPr="00DF0C4A">
        <w:t>the Bureau of Labor Statistics</w:t>
      </w:r>
      <w:r>
        <w:t xml:space="preserve"> (BLS) data.</w:t>
      </w:r>
      <w:r w:rsidR="00F47C05">
        <w:t xml:space="preserve"> </w:t>
      </w:r>
      <w:r>
        <w:t>Technical, management, and clerical average hourly rates for private industry workers were taken from the</w:t>
      </w:r>
      <w:r w:rsidRPr="00DF0C4A">
        <w:t xml:space="preserve"> Occupational Employment Statistics: NAICS 324 (Petroleum and Coal Products Manufacturing),</w:t>
      </w:r>
      <w:r>
        <w:t xml:space="preserve"> </w:t>
      </w:r>
      <w:r w:rsidRPr="00DF0C4A">
        <w:t xml:space="preserve">May </w:t>
      </w:r>
      <w:r w:rsidRPr="00DF0C4A" w:rsidR="00C166C3">
        <w:t>20</w:t>
      </w:r>
      <w:r w:rsidR="00C166C3">
        <w:t>16</w:t>
      </w:r>
      <w:r w:rsidRPr="00DF0C4A" w:rsidR="00C166C3">
        <w:t xml:space="preserve"> </w:t>
      </w:r>
      <w:r w:rsidRPr="00DF0C4A">
        <w:t>Employment and Wage Estimates</w:t>
      </w:r>
      <w:r>
        <w:t>.</w:t>
      </w:r>
      <w:r w:rsidR="00F47C05">
        <w:t xml:space="preserve"> </w:t>
      </w:r>
      <w:r>
        <w:t>These BLS rates represent salaries plus fringe benefits and do not include the cost of overhead.</w:t>
      </w:r>
      <w:r w:rsidR="00F47C05">
        <w:t xml:space="preserve"> </w:t>
      </w:r>
      <w:r>
        <w:t>The rates have been increased by 110 percent to account for the benefit packages available to those employed by private industry.</w:t>
      </w:r>
    </w:p>
    <w:p w:rsidR="000A19D3" w:rsidP="000A19D3" w:rsidRDefault="000A19D3" w14:paraId="7EF3F1E9" w14:textId="77777777">
      <w:pPr>
        <w:pStyle w:val="SectionLevel3Heading"/>
      </w:pPr>
      <w:r>
        <w:lastRenderedPageBreak/>
        <w:t xml:space="preserve">(ii) </w:t>
      </w:r>
      <w:r w:rsidRPr="00FE67FB">
        <w:rPr>
          <w:rStyle w:val="Underline"/>
        </w:rPr>
        <w:t>Estimating Capital and Operation and Maintenance Costs</w:t>
      </w:r>
    </w:p>
    <w:p w:rsidR="00F656A7" w:rsidP="00CA5CD5" w:rsidRDefault="0055536A" w14:paraId="7B421078" w14:textId="35AB09E3">
      <w:pPr>
        <w:pStyle w:val="BodyFirstline05After12pt"/>
      </w:pPr>
      <w:r w:rsidRPr="00B54DC3">
        <w:t>The</w:t>
      </w:r>
      <w:r w:rsidR="00C166C3">
        <w:t>re are no</w:t>
      </w:r>
      <w:r w:rsidRPr="00B54DC3">
        <w:t xml:space="preserve"> capital</w:t>
      </w:r>
      <w:r w:rsidR="00C166C3">
        <w:t xml:space="preserve"> or operation and maintenance costs associated with the information collection requirements of the proposed amendments to 40 CFR part 63 subpart CC.  </w:t>
      </w:r>
    </w:p>
    <w:p w:rsidR="000A19D3" w:rsidP="00CA5CD5" w:rsidRDefault="000A19D3" w14:paraId="4E52860C" w14:textId="390B22C7">
      <w:pPr>
        <w:pStyle w:val="BodyFirstline05After12pt"/>
        <w:ind w:left="720"/>
      </w:pPr>
      <w:r w:rsidRPr="00894651">
        <w:t xml:space="preserve">(iii) </w:t>
      </w:r>
      <w:r w:rsidRPr="00894651">
        <w:rPr>
          <w:rStyle w:val="Underline"/>
        </w:rPr>
        <w:t>Annualizing Capital Costs</w:t>
      </w:r>
    </w:p>
    <w:p w:rsidR="00B84A5C" w:rsidP="00863928" w:rsidRDefault="00C166C3" w14:paraId="4EED4B35" w14:textId="6015DBCB">
      <w:pPr>
        <w:pStyle w:val="BodyFirstline05After12pt"/>
      </w:pPr>
      <w:r w:rsidRPr="00B54DC3">
        <w:t>The</w:t>
      </w:r>
      <w:r>
        <w:t>re are no</w:t>
      </w:r>
      <w:r w:rsidRPr="00B54DC3">
        <w:t xml:space="preserve"> capital</w:t>
      </w:r>
      <w:r>
        <w:t xml:space="preserve"> costs associated with the proposed amendments to 40 CFR part 63 subpart CC; therefore, there are no</w:t>
      </w:r>
      <w:r w:rsidR="00B84A5C">
        <w:t xml:space="preserve"> annualized capital costs associated with the information collection requirements of the </w:t>
      </w:r>
      <w:r>
        <w:t xml:space="preserve">these proposed </w:t>
      </w:r>
      <w:r w:rsidRPr="005E5DCF" w:rsidR="00B84A5C">
        <w:t>amendments</w:t>
      </w:r>
      <w:r>
        <w:t>.</w:t>
      </w:r>
    </w:p>
    <w:p w:rsidR="00B50B26" w:rsidP="0055536A" w:rsidRDefault="0055536A" w14:paraId="006B09B9" w14:textId="77777777">
      <w:pPr>
        <w:pStyle w:val="SectionSubheading"/>
      </w:pPr>
      <w:r w:rsidRPr="00B54DC3">
        <w:t>6(c)</w:t>
      </w:r>
      <w:r>
        <w:t xml:space="preserve"> </w:t>
      </w:r>
      <w:r w:rsidRPr="00B54DC3">
        <w:t>Estimating Agency Burden and Cost</w:t>
      </w:r>
    </w:p>
    <w:p w:rsidR="00B50B26" w:rsidP="000A19D3" w:rsidRDefault="00030D15" w14:paraId="2560AD0A" w14:textId="0AA7FF2E">
      <w:pPr>
        <w:pStyle w:val="BodyFirstline05After12pt"/>
      </w:pPr>
      <w:r>
        <w:t>The only costs to the Agency are those costs associated with the examination of records maintained by the respondents; periodic inspection of sources of emissions; and the publication and distribution of collected information</w:t>
      </w:r>
      <w:r w:rsidR="000A21EE">
        <w:t>, as needed</w:t>
      </w:r>
      <w:r>
        <w:t>.</w:t>
      </w:r>
      <w:r w:rsidR="003344E3">
        <w:t xml:space="preserve"> It has been assumed that 25% of refineries would be audited </w:t>
      </w:r>
      <w:r w:rsidR="00F656A7">
        <w:t>over the 3-year period covered by this ICR</w:t>
      </w:r>
      <w:r w:rsidR="003344E3">
        <w:t>.</w:t>
      </w:r>
    </w:p>
    <w:p w:rsidR="00030D15" w:rsidP="00D95C01" w:rsidRDefault="00030D15" w14:paraId="08DB2045" w14:textId="16A23CB9">
      <w:pPr>
        <w:pStyle w:val="BodyFirstline05After12pt"/>
      </w:pPr>
      <w:r>
        <w:t xml:space="preserve">The average annual Agency cost during the </w:t>
      </w:r>
      <w:r w:rsidR="00ED4539">
        <w:t>3</w:t>
      </w:r>
      <w:r>
        <w:t xml:space="preserve"> years of the ICR is estimated to be </w:t>
      </w:r>
      <w:r w:rsidRPr="00105CDD" w:rsidR="00E8169A">
        <w:t>$</w:t>
      </w:r>
      <w:r w:rsidR="003344E3">
        <w:t>379</w:t>
      </w:r>
      <w:r w:rsidR="009360EB">
        <w:t xml:space="preserve"> </w:t>
      </w:r>
      <w:r w:rsidRPr="00105CDD">
        <w:t>(</w:t>
      </w:r>
      <w:r w:rsidRPr="00E8169A">
        <w:t xml:space="preserve">see Table </w:t>
      </w:r>
      <w:r w:rsidR="00E72401">
        <w:t>2</w:t>
      </w:r>
      <w:r w:rsidRPr="00E8169A">
        <w:t xml:space="preserve"> below.)</w:t>
      </w:r>
    </w:p>
    <w:p w:rsidR="00030D15" w:rsidP="000A19D3" w:rsidRDefault="00030D15" w14:paraId="5971A88E" w14:textId="77777777">
      <w:pPr>
        <w:pStyle w:val="BodyFirstline05After12pt"/>
      </w:pPr>
      <w:r>
        <w:t>This cost is based on the average hourly labor rate as follows:</w:t>
      </w:r>
    </w:p>
    <w:tbl>
      <w:tblPr>
        <w:tblStyle w:val="TableGrid"/>
        <w:tblW w:w="0" w:type="auto"/>
        <w:tblInd w:w="12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2"/>
        <w:gridCol w:w="1170"/>
        <w:gridCol w:w="3510"/>
      </w:tblGrid>
      <w:tr w:rsidR="000A19D3" w:rsidTr="000A19D3" w14:paraId="19DAB6B3" w14:textId="77777777">
        <w:tc>
          <w:tcPr>
            <w:tcW w:w="1512" w:type="dxa"/>
          </w:tcPr>
          <w:p w:rsidR="000A19D3" w:rsidP="000A19D3" w:rsidRDefault="000A19D3" w14:paraId="785C3B98" w14:textId="77777777">
            <w:pPr>
              <w:pStyle w:val="LaborRateTable"/>
            </w:pPr>
            <w:r>
              <w:t>Managerial</w:t>
            </w:r>
          </w:p>
        </w:tc>
        <w:tc>
          <w:tcPr>
            <w:tcW w:w="1170" w:type="dxa"/>
          </w:tcPr>
          <w:p w:rsidRPr="00AD5F72" w:rsidR="000A19D3" w:rsidP="000A19D3" w:rsidRDefault="000A19D3" w14:paraId="05671CE0" w14:textId="482C8783">
            <w:pPr>
              <w:pStyle w:val="LaborRateTableCenterColumn"/>
            </w:pPr>
            <w:r w:rsidRPr="00AD5F72">
              <w:t>$6</w:t>
            </w:r>
            <w:r w:rsidR="00AC3D84">
              <w:t>4</w:t>
            </w:r>
            <w:r w:rsidRPr="00AD5F72">
              <w:t>.</w:t>
            </w:r>
            <w:r w:rsidR="00AC3D84">
              <w:t>1</w:t>
            </w:r>
            <w:r w:rsidRPr="00AD5F72">
              <w:t>6</w:t>
            </w:r>
          </w:p>
        </w:tc>
        <w:tc>
          <w:tcPr>
            <w:tcW w:w="3510" w:type="dxa"/>
          </w:tcPr>
          <w:p w:rsidR="000A19D3" w:rsidP="000A19D3" w:rsidRDefault="000A19D3" w14:paraId="5FCB6B28" w14:textId="6F579AE2">
            <w:pPr>
              <w:pStyle w:val="LaborRateTable"/>
            </w:pPr>
            <w:r>
              <w:t>(GS-13, Step 5, $</w:t>
            </w:r>
            <w:r w:rsidR="004D1F2F">
              <w:t>40.10</w:t>
            </w:r>
            <w:r>
              <w:t xml:space="preserve"> + 60%)</w:t>
            </w:r>
          </w:p>
        </w:tc>
      </w:tr>
      <w:tr w:rsidR="000A19D3" w:rsidTr="000A19D3" w14:paraId="0363A9F1" w14:textId="77777777">
        <w:tc>
          <w:tcPr>
            <w:tcW w:w="1512" w:type="dxa"/>
          </w:tcPr>
          <w:p w:rsidR="000A19D3" w:rsidP="000A19D3" w:rsidRDefault="000A19D3" w14:paraId="769FAA58" w14:textId="77777777">
            <w:pPr>
              <w:pStyle w:val="LaborRateTable"/>
            </w:pPr>
            <w:r>
              <w:t>Technical</w:t>
            </w:r>
          </w:p>
        </w:tc>
        <w:tc>
          <w:tcPr>
            <w:tcW w:w="1170" w:type="dxa"/>
          </w:tcPr>
          <w:p w:rsidRPr="00AD5F72" w:rsidR="000A19D3" w:rsidP="000A19D3" w:rsidRDefault="000A19D3" w14:paraId="6656F072" w14:textId="6AF53B77">
            <w:pPr>
              <w:pStyle w:val="LaborRateTableCenterColumn"/>
            </w:pPr>
            <w:r w:rsidRPr="00AD5F72">
              <w:t>$4</w:t>
            </w:r>
            <w:r w:rsidR="00AC3D84">
              <w:t>7</w:t>
            </w:r>
            <w:r w:rsidRPr="00AD5F72">
              <w:t>.</w:t>
            </w:r>
            <w:r w:rsidR="00AC3D84">
              <w:t>6</w:t>
            </w:r>
            <w:r w:rsidRPr="00AD5F72">
              <w:t>2</w:t>
            </w:r>
          </w:p>
        </w:tc>
        <w:tc>
          <w:tcPr>
            <w:tcW w:w="3510" w:type="dxa"/>
          </w:tcPr>
          <w:p w:rsidR="000A19D3" w:rsidP="000A19D3" w:rsidRDefault="000A19D3" w14:paraId="305336A2" w14:textId="5CF732F9">
            <w:pPr>
              <w:pStyle w:val="LaborRateTable"/>
            </w:pPr>
            <w:r>
              <w:t>(GS-12, Step 1, $2</w:t>
            </w:r>
            <w:r w:rsidR="004D1F2F">
              <w:t>9.76</w:t>
            </w:r>
            <w:r>
              <w:t xml:space="preserve"> + 60%)</w:t>
            </w:r>
          </w:p>
        </w:tc>
      </w:tr>
      <w:tr w:rsidR="000A19D3" w:rsidTr="000A19D3" w14:paraId="21132AFE" w14:textId="77777777">
        <w:tc>
          <w:tcPr>
            <w:tcW w:w="1512" w:type="dxa"/>
          </w:tcPr>
          <w:p w:rsidR="000A19D3" w:rsidP="000A19D3" w:rsidRDefault="000A19D3" w14:paraId="217B21CC" w14:textId="77777777">
            <w:pPr>
              <w:pStyle w:val="LaborRateTable"/>
            </w:pPr>
            <w:r w:rsidRPr="00FE67FB">
              <w:t>Clerical</w:t>
            </w:r>
          </w:p>
        </w:tc>
        <w:tc>
          <w:tcPr>
            <w:tcW w:w="1170" w:type="dxa"/>
          </w:tcPr>
          <w:p w:rsidRPr="00AD5F72" w:rsidR="000A19D3" w:rsidP="000A19D3" w:rsidRDefault="000A19D3" w14:paraId="0BCC5F23" w14:textId="3D3F9A3E">
            <w:pPr>
              <w:pStyle w:val="LaborRateTableCenterColumn"/>
            </w:pPr>
            <w:r w:rsidRPr="00AD5F72">
              <w:t>$2</w:t>
            </w:r>
            <w:r w:rsidR="00AC3D84">
              <w:t>5</w:t>
            </w:r>
            <w:r w:rsidRPr="00AD5F72">
              <w:t>.</w:t>
            </w:r>
            <w:r w:rsidR="00AC3D84">
              <w:t>7</w:t>
            </w:r>
            <w:r w:rsidRPr="00AD5F72">
              <w:t>6</w:t>
            </w:r>
          </w:p>
        </w:tc>
        <w:tc>
          <w:tcPr>
            <w:tcW w:w="3510" w:type="dxa"/>
          </w:tcPr>
          <w:p w:rsidR="000A19D3" w:rsidP="000A19D3" w:rsidRDefault="000A19D3" w14:paraId="3A6A74E4" w14:textId="2E5071C0">
            <w:pPr>
              <w:pStyle w:val="LaborRateTable"/>
            </w:pPr>
            <w:r>
              <w:t>(GS-6, Step 3, $1</w:t>
            </w:r>
            <w:r w:rsidR="004D1F2F">
              <w:t>6</w:t>
            </w:r>
            <w:r>
              <w:t>.</w:t>
            </w:r>
            <w:r w:rsidR="004D1F2F">
              <w:t>1</w:t>
            </w:r>
            <w:r>
              <w:t>0 + 60%)</w:t>
            </w:r>
          </w:p>
        </w:tc>
      </w:tr>
    </w:tbl>
    <w:p w:rsidRPr="00446CA1" w:rsidR="00030D15" w:rsidP="00446CA1" w:rsidRDefault="00030D15" w14:paraId="776515C8" w14:textId="77777777"/>
    <w:p w:rsidRPr="00F46122" w:rsidR="00E72401" w:rsidP="00CA5CD5" w:rsidRDefault="00030D15" w14:paraId="7C018CBE" w14:textId="6C2E57B3">
      <w:pPr>
        <w:pStyle w:val="BodyFirstline0After12pt"/>
        <w:ind w:firstLine="720"/>
      </w:pPr>
      <w:r>
        <w:t xml:space="preserve">These rates are from the Office of Personnel Management (OPM) </w:t>
      </w:r>
      <w:r w:rsidR="004D1F2F">
        <w:t xml:space="preserve">2016 </w:t>
      </w:r>
      <w:r>
        <w:t>General Schedule, which excludes locality rates of pay.</w:t>
      </w:r>
      <w:r w:rsidR="00F47C05">
        <w:t xml:space="preserve"> </w:t>
      </w:r>
      <w:r>
        <w:t>The rates have been increased by 60 percent to account for the benefit packages available to government employees.</w:t>
      </w:r>
      <w:r w:rsidR="00F47C05">
        <w:t xml:space="preserve"> </w:t>
      </w:r>
      <w:r>
        <w:t xml:space="preserve">Details upon which </w:t>
      </w:r>
      <w:r w:rsidR="00C255FB">
        <w:t xml:space="preserve">the Agency cost </w:t>
      </w:r>
      <w:r>
        <w:t xml:space="preserve">is based appear </w:t>
      </w:r>
      <w:r w:rsidRPr="00E8169A">
        <w:t xml:space="preserve">below in </w:t>
      </w:r>
      <w:r w:rsidRPr="00EC0F16">
        <w:t>Table 2</w:t>
      </w:r>
      <w:r w:rsidRPr="00E8169A">
        <w:t xml:space="preserve">: </w:t>
      </w:r>
      <w:r w:rsidRPr="00F46122" w:rsidR="00E72401">
        <w:t xml:space="preserve">Annual Burden and Cost to the Federal/State Government: </w:t>
      </w:r>
      <w:r w:rsidR="00E50CDB">
        <w:t>Proposed</w:t>
      </w:r>
      <w:r w:rsidRPr="00F46122" w:rsidR="00E50CDB">
        <w:t xml:space="preserve"> </w:t>
      </w:r>
      <w:r w:rsidRPr="00F46122" w:rsidR="00E72401">
        <w:t>Amendments to NESHAP for Petroleum Refineries (40 CFR Part 63, Subpart CC).</w:t>
      </w:r>
    </w:p>
    <w:p w:rsidR="00077ABC" w:rsidP="00446CA1" w:rsidRDefault="00077ABC" w14:paraId="62815539" w14:textId="77777777">
      <w:pPr>
        <w:pStyle w:val="SectionSubheading"/>
      </w:pPr>
      <w:r w:rsidRPr="009769D3">
        <w:t>6(d)</w:t>
      </w:r>
      <w:r w:rsidR="00F47C05">
        <w:t xml:space="preserve"> </w:t>
      </w:r>
      <w:r w:rsidRPr="009769D3">
        <w:t>Estimating the Respondent Universe and Total Burden and Costs</w:t>
      </w:r>
    </w:p>
    <w:p w:rsidR="00C255FB" w:rsidP="00680451" w:rsidRDefault="00C255FB" w14:paraId="16AF63D2" w14:textId="6DAF9530">
      <w:pPr>
        <w:pStyle w:val="BodyFirstline05After12pt"/>
      </w:pPr>
      <w:r>
        <w:t>There are currently 14</w:t>
      </w:r>
      <w:r w:rsidR="00ED4539">
        <w:t>2</w:t>
      </w:r>
      <w:r>
        <w:t xml:space="preserve"> </w:t>
      </w:r>
      <w:r w:rsidR="00ED4539">
        <w:t xml:space="preserve">major source </w:t>
      </w:r>
      <w:r>
        <w:t xml:space="preserve">refineries in the United States and no new refineries are expected to be built during the next </w:t>
      </w:r>
      <w:r w:rsidR="00ED4539">
        <w:t>3-</w:t>
      </w:r>
      <w:r>
        <w:t>year period.</w:t>
      </w:r>
      <w:r w:rsidR="00F47C05">
        <w:t xml:space="preserve"> </w:t>
      </w:r>
      <w:r w:rsidR="005933BF">
        <w:t xml:space="preserve">As all provisions in the December 2015 amendments to </w:t>
      </w:r>
      <w:r w:rsidRPr="00B54DC3" w:rsidR="005933BF">
        <w:t xml:space="preserve">40 CFR </w:t>
      </w:r>
      <w:r w:rsidR="005933BF">
        <w:t>part 63</w:t>
      </w:r>
      <w:r w:rsidRPr="00B54DC3" w:rsidR="005933BF">
        <w:t xml:space="preserve">, </w:t>
      </w:r>
      <w:r w:rsidR="005933BF">
        <w:t xml:space="preserve">subpart CC are effective no later than January 2019, we expect </w:t>
      </w:r>
      <w:r w:rsidR="00D85328">
        <w:t xml:space="preserve"> </w:t>
      </w:r>
      <w:r>
        <w:t>all 14</w:t>
      </w:r>
      <w:r w:rsidR="00ED4539">
        <w:t>2</w:t>
      </w:r>
      <w:r>
        <w:t xml:space="preserve"> refineries would be in compliance with the </w:t>
      </w:r>
      <w:r w:rsidR="005933BF">
        <w:t>proposed revisions each year</w:t>
      </w:r>
      <w:r w:rsidR="00C249BB">
        <w:t xml:space="preserve"> </w:t>
      </w:r>
      <w:r w:rsidR="005933BF">
        <w:t>o</w:t>
      </w:r>
      <w:r w:rsidR="0084637E">
        <w:t xml:space="preserve">ver the </w:t>
      </w:r>
      <w:r w:rsidR="00ED4539">
        <w:t>3-</w:t>
      </w:r>
      <w:r w:rsidR="0084637E">
        <w:t>year period</w:t>
      </w:r>
      <w:r w:rsidR="005933BF">
        <w:t xml:space="preserve"> covered by this ICR</w:t>
      </w:r>
      <w:r w:rsidR="002B543B">
        <w:t>, therefore the total number of expected respondents is 142. We expect 1 maintenance vent opening requiring the additional recordkeeping as specified in §63.655(i)(12)(iv) at each of the 142 respondents sites, therefore we expect 142 annual responses over the 3-year period covered by the ICR.</w:t>
      </w:r>
      <w:r w:rsidR="005933BF">
        <w:t xml:space="preserve"> </w:t>
      </w:r>
    </w:p>
    <w:p w:rsidRPr="00F46122" w:rsidR="002D1346" w:rsidP="00CA5CD5" w:rsidRDefault="002B543B" w14:paraId="7E7CD8D8" w14:textId="28CBBD98">
      <w:pPr>
        <w:pStyle w:val="BodyFirstline05After12pt"/>
        <w:ind w:firstLine="0"/>
      </w:pPr>
      <w:r>
        <w:rPr>
          <w:rStyle w:val="Superscript"/>
        </w:rPr>
        <w:tab/>
      </w:r>
      <w:r w:rsidR="00A823E7">
        <w:t>The total annual la</w:t>
      </w:r>
      <w:r w:rsidR="002D1346">
        <w:t xml:space="preserve">bor costs are </w:t>
      </w:r>
      <w:r w:rsidRPr="00AF7C42" w:rsidR="002D1346">
        <w:t>$</w:t>
      </w:r>
      <w:r w:rsidR="003344E3">
        <w:t>1,640</w:t>
      </w:r>
      <w:r w:rsidRPr="00AF7C42" w:rsidR="00A823E7">
        <w:t>.</w:t>
      </w:r>
      <w:r w:rsidR="00F47C05">
        <w:t xml:space="preserve"> </w:t>
      </w:r>
      <w:r w:rsidRPr="00AF7C42" w:rsidR="00A823E7">
        <w:t xml:space="preserve">Details regarding these estimates may be found below in Table 1: </w:t>
      </w:r>
      <w:r w:rsidRPr="00AF7C42" w:rsidR="00E72401">
        <w:t xml:space="preserve">Annual Respondent Burden and Cost: </w:t>
      </w:r>
      <w:r w:rsidR="006B4F78">
        <w:t>Proposed</w:t>
      </w:r>
      <w:r w:rsidRPr="00AF7C42" w:rsidR="006B4F78">
        <w:t xml:space="preserve"> </w:t>
      </w:r>
      <w:r w:rsidRPr="00AF7C42" w:rsidR="00E72401">
        <w:t>Amendments to NESHAP for Petroleum Refineries</w:t>
      </w:r>
      <w:r w:rsidRPr="00F46122" w:rsidR="00E72401">
        <w:t xml:space="preserve"> </w:t>
      </w:r>
      <w:r w:rsidRPr="00AF7C42" w:rsidR="00E72401">
        <w:t>(40 CFR Part 63, Subpart CC).</w:t>
      </w:r>
    </w:p>
    <w:p w:rsidR="00446CA1" w:rsidP="00446CA1" w:rsidRDefault="00446CA1" w14:paraId="1697D147" w14:textId="77777777">
      <w:pPr>
        <w:pStyle w:val="SectionSubheading"/>
      </w:pPr>
      <w:r w:rsidRPr="00E05C40">
        <w:lastRenderedPageBreak/>
        <w:t>6(e) Bottom Line Burden Hours Burden Hours and Cost Tables</w:t>
      </w:r>
    </w:p>
    <w:p w:rsidR="00B50B26" w:rsidP="00CA5CD5" w:rsidRDefault="002D1346" w14:paraId="59445F8B" w14:textId="77777777">
      <w:pPr>
        <w:pStyle w:val="BodyFirstline0After12pt"/>
        <w:ind w:firstLine="720"/>
      </w:pPr>
      <w:r>
        <w:t>The detailed bottom line burden hours and cost calculations for the respondents and the Agency are shown in Tables 1 and 2, respectively, and summarized below.</w:t>
      </w:r>
    </w:p>
    <w:p w:rsidR="00446CA1" w:rsidP="00446CA1" w:rsidRDefault="00446CA1" w14:paraId="2F122DAA" w14:textId="77777777">
      <w:pPr>
        <w:pStyle w:val="SectionLevel3Heading"/>
      </w:pPr>
      <w:r>
        <w:t xml:space="preserve">(i) </w:t>
      </w:r>
      <w:r w:rsidRPr="00F672CC">
        <w:rPr>
          <w:rStyle w:val="Underline"/>
        </w:rPr>
        <w:t>Respondent Tally</w:t>
      </w:r>
    </w:p>
    <w:p w:rsidR="00B50B26" w:rsidP="0064288A" w:rsidRDefault="002D1346" w14:paraId="676EA840" w14:textId="6DB3069C">
      <w:pPr>
        <w:pStyle w:val="BodyFirstline05After12pt"/>
      </w:pPr>
      <w:r w:rsidRPr="00457BE5">
        <w:t>The bottom line respondent burden hours and costs, presented in Table 1, are calculated by adding person-hours per year down each column for technical, managerial, and</w:t>
      </w:r>
      <w:r w:rsidR="00A55D06">
        <w:t xml:space="preserve"> clerical staff, and by adding down the cost column.</w:t>
      </w:r>
      <w:r w:rsidR="00F47C05">
        <w:t xml:space="preserve"> </w:t>
      </w:r>
      <w:r w:rsidR="00A55D06">
        <w:t xml:space="preserve">The average annual for the recordkeeping requirements in the </w:t>
      </w:r>
      <w:r w:rsidR="006B4F78">
        <w:t xml:space="preserve">proposed </w:t>
      </w:r>
      <w:r w:rsidR="00A55D06">
        <w:t>amendments to subpart CC for the 14</w:t>
      </w:r>
      <w:r w:rsidR="00ED4539">
        <w:t>2</w:t>
      </w:r>
      <w:r w:rsidR="006F2054">
        <w:t> </w:t>
      </w:r>
      <w:r w:rsidR="00A55D06">
        <w:t xml:space="preserve">facilities that are subject is </w:t>
      </w:r>
      <w:r w:rsidR="00D51D1D">
        <w:t>16</w:t>
      </w:r>
      <w:r w:rsidR="009B35A7">
        <w:t xml:space="preserve"> </w:t>
      </w:r>
      <w:r w:rsidRPr="00457BE5">
        <w:t xml:space="preserve">person-hours, with an annual average cost of </w:t>
      </w:r>
      <w:r w:rsidR="00AE06D7">
        <w:t xml:space="preserve">approximately </w:t>
      </w:r>
      <w:r w:rsidRPr="00457BE5" w:rsidR="006E318C">
        <w:t>$</w:t>
      </w:r>
      <w:r w:rsidR="00D51D1D">
        <w:t>1,640</w:t>
      </w:r>
      <w:r w:rsidR="00AE06D7">
        <w:t>.</w:t>
      </w:r>
      <w:r w:rsidR="00F47C05">
        <w:t xml:space="preserve"> </w:t>
      </w:r>
      <w:r w:rsidRPr="00457BE5">
        <w:t xml:space="preserve">Details regarding these estimates may be found below in Table 1: </w:t>
      </w:r>
      <w:r w:rsidRPr="00457BE5" w:rsidR="00E72401">
        <w:t xml:space="preserve">Annual Respondent Burden and Cost: </w:t>
      </w:r>
      <w:r w:rsidR="003F2C67">
        <w:t>Proposed</w:t>
      </w:r>
      <w:r w:rsidRPr="00457BE5" w:rsidR="003F2C67">
        <w:t xml:space="preserve"> </w:t>
      </w:r>
      <w:r w:rsidRPr="00457BE5" w:rsidR="00E72401">
        <w:t>Amendments to NESHAP for Petroleum Refineries</w:t>
      </w:r>
      <w:r w:rsidRPr="00F46122" w:rsidR="00E72401">
        <w:t xml:space="preserve"> </w:t>
      </w:r>
      <w:r w:rsidRPr="00457BE5" w:rsidR="00E72401">
        <w:t>(40</w:t>
      </w:r>
      <w:r w:rsidR="00CF66A5">
        <w:t> </w:t>
      </w:r>
      <w:r w:rsidRPr="00457BE5" w:rsidR="00E72401">
        <w:t>CFR Part 63, Subpart CC).</w:t>
      </w:r>
    </w:p>
    <w:p w:rsidR="002D1346" w:rsidP="00863928" w:rsidRDefault="00A55D06" w14:paraId="1B3982C2" w14:textId="56382031">
      <w:pPr>
        <w:pStyle w:val="BodyFirstline05After12pt"/>
      </w:pPr>
      <w:r>
        <w:t xml:space="preserve">The </w:t>
      </w:r>
      <w:r w:rsidR="00EA493A">
        <w:t xml:space="preserve">are no </w:t>
      </w:r>
      <w:r>
        <w:t xml:space="preserve">annualized capital costs associated with the </w:t>
      </w:r>
      <w:r w:rsidR="00EA493A">
        <w:t xml:space="preserve">proposed </w:t>
      </w:r>
      <w:r>
        <w:t>amendments.</w:t>
      </w:r>
    </w:p>
    <w:p w:rsidR="00446CA1" w:rsidP="00446CA1" w:rsidRDefault="00446CA1" w14:paraId="085A0859" w14:textId="77777777">
      <w:pPr>
        <w:pStyle w:val="SectionLevel3Heading"/>
      </w:pPr>
      <w:r>
        <w:t xml:space="preserve">(ii) </w:t>
      </w:r>
      <w:r w:rsidRPr="003A67DB">
        <w:rPr>
          <w:rStyle w:val="Underline"/>
        </w:rPr>
        <w:t>The Agency Tally</w:t>
      </w:r>
    </w:p>
    <w:p w:rsidR="0025407B" w:rsidP="00D95C01" w:rsidRDefault="0025407B" w14:paraId="00FEF6D5" w14:textId="03F57280">
      <w:pPr>
        <w:pStyle w:val="BodyFirstline05After12pt"/>
      </w:pPr>
      <w:r w:rsidRPr="008373FD">
        <w:t xml:space="preserve">The average annual Agency burden and cost </w:t>
      </w:r>
      <w:r w:rsidR="00EA493A">
        <w:t xml:space="preserve">associated with the proposed amendments </w:t>
      </w:r>
      <w:r w:rsidRPr="008373FD">
        <w:t xml:space="preserve">over next </w:t>
      </w:r>
      <w:r w:rsidR="00ED4539">
        <w:t>3</w:t>
      </w:r>
      <w:r w:rsidRPr="008373FD">
        <w:t xml:space="preserve"> years is estimated to be </w:t>
      </w:r>
      <w:r w:rsidR="00D51D1D">
        <w:t>8</w:t>
      </w:r>
      <w:r w:rsidR="009B35A7">
        <w:t> </w:t>
      </w:r>
      <w:r w:rsidRPr="008373FD">
        <w:t xml:space="preserve">labor hours at a cost of </w:t>
      </w:r>
      <w:r w:rsidR="00AE06D7">
        <w:t xml:space="preserve">approximately </w:t>
      </w:r>
      <w:r w:rsidRPr="008373FD">
        <w:t>$</w:t>
      </w:r>
      <w:r w:rsidR="00D51D1D">
        <w:t>379</w:t>
      </w:r>
      <w:r w:rsidRPr="008373FD">
        <w:t>.</w:t>
      </w:r>
      <w:r w:rsidR="00F47C05">
        <w:t xml:space="preserve"> </w:t>
      </w:r>
      <w:r w:rsidRPr="008373FD">
        <w:t xml:space="preserve">See below Table 2: </w:t>
      </w:r>
      <w:r w:rsidRPr="00F46122" w:rsidR="00E72401">
        <w:t xml:space="preserve">Annual Burden and Cost to the Federal/State Government: </w:t>
      </w:r>
      <w:r w:rsidR="003F2C67">
        <w:t>Proposed</w:t>
      </w:r>
      <w:r w:rsidRPr="00F46122" w:rsidR="003F2C67">
        <w:t xml:space="preserve"> </w:t>
      </w:r>
      <w:r w:rsidRPr="00446CA1" w:rsidR="00E72401">
        <w:t>Amendments</w:t>
      </w:r>
      <w:r w:rsidRPr="00F46122" w:rsidR="00E72401">
        <w:t xml:space="preserve"> to NES</w:t>
      </w:r>
      <w:r w:rsidRPr="00F46122" w:rsidR="00A55D06">
        <w:t>HAP for Petroleum Refineries (40</w:t>
      </w:r>
      <w:r w:rsidR="00CF66A5">
        <w:t> </w:t>
      </w:r>
      <w:r w:rsidRPr="00F46122" w:rsidR="00A55D06">
        <w:t>CFR Part 63, Subpart CC).</w:t>
      </w:r>
    </w:p>
    <w:p w:rsidR="00446CA1" w:rsidP="00446CA1" w:rsidRDefault="00446CA1" w14:paraId="504FFB35" w14:textId="77777777">
      <w:pPr>
        <w:pStyle w:val="SectionSubheading"/>
      </w:pPr>
      <w:r>
        <w:t>6(f) Reasons for Change in Burden</w:t>
      </w:r>
    </w:p>
    <w:p w:rsidRPr="00F46122" w:rsidR="0025407B" w:rsidP="00F839DE" w:rsidRDefault="00F839DE" w14:paraId="2764F214" w14:textId="0D44A792">
      <w:pPr>
        <w:pStyle w:val="BodyFirstline05After12pt"/>
      </w:pPr>
      <w:r>
        <w:t>The change in burden estimate reflects the additional requirements of the</w:t>
      </w:r>
      <w:r w:rsidRPr="009D0C20">
        <w:t xml:space="preserve"> </w:t>
      </w:r>
      <w:r w:rsidR="00EA493A">
        <w:t xml:space="preserve">proposed </w:t>
      </w:r>
      <w:r>
        <w:t>amendments to 40 CFR part 63, subpart CC</w:t>
      </w:r>
      <w:r w:rsidRPr="00F46122" w:rsidR="0025407B">
        <w:t>.</w:t>
      </w:r>
    </w:p>
    <w:p w:rsidR="00446CA1" w:rsidP="00446CA1" w:rsidRDefault="00446CA1" w14:paraId="66A7B5B1" w14:textId="77777777">
      <w:pPr>
        <w:pStyle w:val="SectionSubheading"/>
      </w:pPr>
      <w:r>
        <w:t>6(g) Burden Statement</w:t>
      </w:r>
    </w:p>
    <w:p w:rsidR="0025407B" w:rsidP="0064288A" w:rsidRDefault="0025407B" w14:paraId="4AF22BA1" w14:textId="02738FCD">
      <w:pPr>
        <w:pStyle w:val="BodyFirstline05After12pt"/>
      </w:pPr>
      <w:r w:rsidRPr="008373FD">
        <w:t>The average annual re</w:t>
      </w:r>
      <w:r w:rsidR="00255421">
        <w:t xml:space="preserve">spondent burden for the </w:t>
      </w:r>
      <w:r w:rsidR="00EA493A">
        <w:t>proposed</w:t>
      </w:r>
      <w:r w:rsidRPr="008373FD" w:rsidR="00EA493A">
        <w:t xml:space="preserve"> </w:t>
      </w:r>
      <w:r w:rsidRPr="008373FD">
        <w:t xml:space="preserve">amendments for subpart CC is estimated at </w:t>
      </w:r>
      <w:r w:rsidR="00D51D1D">
        <w:t>16</w:t>
      </w:r>
      <w:r w:rsidR="009B35A7">
        <w:t xml:space="preserve"> </w:t>
      </w:r>
      <w:r w:rsidRPr="008373FD">
        <w:t>hours.</w:t>
      </w:r>
      <w:r w:rsidR="00F47C05">
        <w:t xml:space="preserve"> </w:t>
      </w:r>
      <w:r>
        <w:t>Burden means the total time, effort, or financial resources expended by persons to generate, maintain, retain, or disclose or provide information to or for a Federal agency.</w:t>
      </w:r>
      <w:r w:rsidR="00F47C05">
        <w:t xml:space="preserve"> </w:t>
      </w:r>
      <w: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EA493A" w:rsidP="00CA5CD5" w:rsidRDefault="00EA493A" w14:paraId="7ED401F8" w14:textId="365FDF2C">
      <w:pPr>
        <w:pStyle w:val="After12pt"/>
        <w:ind w:firstLine="720"/>
      </w:pPr>
      <w:r>
        <w:t>Although this ICR shows a net burden increase incremental to the burden included in the</w:t>
      </w:r>
      <w:r w:rsidRPr="00EA493A">
        <w:t xml:space="preserve"> </w:t>
      </w:r>
      <w:r w:rsidRPr="00EE0E27">
        <w:t xml:space="preserve">previous </w:t>
      </w:r>
      <w:r w:rsidRPr="00BB0FD0">
        <w:t>approved I</w:t>
      </w:r>
      <w:r w:rsidRPr="00EE0E27">
        <w:t>CR for this subpart (1692.</w:t>
      </w:r>
      <w:r w:rsidR="000A21EE">
        <w:t>10</w:t>
      </w:r>
      <w:r w:rsidRPr="00EE0E27">
        <w:t>)</w:t>
      </w:r>
      <w:r>
        <w:t>, the proposed amendments are actually projected to reduce respondent burden</w:t>
      </w:r>
      <w:r w:rsidR="008F78D9">
        <w:t xml:space="preserve"> by approximately $1</w:t>
      </w:r>
      <w:r w:rsidR="000A21EE">
        <w:t>1.5</w:t>
      </w:r>
      <w:r w:rsidR="008F78D9">
        <w:t>-million</w:t>
      </w:r>
      <w:r w:rsidR="009E59ED">
        <w:t xml:space="preserve"> per year</w:t>
      </w:r>
      <w:r>
        <w:t xml:space="preserve">. </w:t>
      </w:r>
      <w:r w:rsidR="008F78D9">
        <w:t xml:space="preserve">Most of the cost reduction is attributable </w:t>
      </w:r>
      <w:r w:rsidR="003D70F9">
        <w:t xml:space="preserve">to </w:t>
      </w:r>
      <w:r w:rsidRPr="00D20E11" w:rsidR="000A21EE">
        <w:t>revisions of the maintenance vent provisions related to the availability of a pure hydrogen supply for equipment containing pyrophoric catalyst, inclusion of specific provisions for pilot-operated and balanced bellows PRDs, and inclusion of specific provisions related to steam tube air entrainment for flares.</w:t>
      </w:r>
      <w:r w:rsidR="008F78D9">
        <w:t xml:space="preserve"> </w:t>
      </w:r>
      <w:r w:rsidRPr="00D20E11" w:rsidR="000A21EE">
        <w:t xml:space="preserve">A detailed memorandum documenting the </w:t>
      </w:r>
      <w:r w:rsidRPr="00D20E11" w:rsidR="000A21EE">
        <w:lastRenderedPageBreak/>
        <w:t>estimated burden reduction has been included in the docket for this rulemaking (see memorandum titled, “Impact Estimates for the 2017 Proposed Revisions to Refinery MACT 1,” in Docket ID No. EPA-HQ-OAR</w:t>
      </w:r>
      <w:r w:rsidRPr="00977FBC" w:rsidR="000A21EE">
        <w:t>-</w:t>
      </w:r>
      <w:r w:rsidRPr="00D20E11" w:rsidR="000A21EE">
        <w:t>2010-0682).</w:t>
      </w:r>
    </w:p>
    <w:p w:rsidR="0025407B" w:rsidP="00446CA1" w:rsidRDefault="0025407B" w14:paraId="4780A1A5" w14:textId="6AEC1AFB">
      <w:pPr>
        <w:pStyle w:val="BodyFirstline05After12pt"/>
      </w:pPr>
      <w:r>
        <w:t>An agency may not conduct or sponsor, and a person is not required to respond to, a collection of information unless it displays a valid OMB Control Number.</w:t>
      </w:r>
      <w:r w:rsidR="00F47C05">
        <w:t xml:space="preserve"> </w:t>
      </w:r>
      <w:r>
        <w:t xml:space="preserve">The OMB Control Numbers for EPA regulations are listed at 40 CFR part 9 </w:t>
      </w:r>
      <w:r w:rsidRPr="003A53EF">
        <w:t xml:space="preserve">and </w:t>
      </w:r>
      <w:r w:rsidRPr="00D769E2" w:rsidR="00D769E2">
        <w:t>48 CFR chapter 15</w:t>
      </w:r>
      <w:r w:rsidRPr="003A53EF">
        <w:t>.</w:t>
      </w:r>
    </w:p>
    <w:p w:rsidR="0025407B" w:rsidP="00446CA1" w:rsidRDefault="0025407B" w14:paraId="2CC60ED5" w14:textId="77777777">
      <w:pPr>
        <w:pStyle w:val="BodyFirstline05After12pt"/>
      </w:pPr>
      <w:r>
        <w:t xml:space="preserve">To comment on the Agency's need for this information, the accuracy of the provided burden estimates, and any suggested methods for minimizing respondent burden, including the use of automated collection techniques, </w:t>
      </w:r>
      <w:r w:rsidR="000A19D3">
        <w:t xml:space="preserve">the </w:t>
      </w:r>
      <w:r>
        <w:t xml:space="preserve">EPA has established a public docket for this ICR under Docket ID </w:t>
      </w:r>
      <w:r w:rsidRPr="003A53EF">
        <w:t xml:space="preserve">Number </w:t>
      </w:r>
      <w:r w:rsidRPr="00D769E2" w:rsidR="00D769E2">
        <w:t>EPA-HQ-OAR-2010-0682</w:t>
      </w:r>
      <w:r w:rsidRPr="003A53EF">
        <w:t>, which is</w:t>
      </w:r>
      <w:r>
        <w:t xml:space="preserve"> available for on-line viewing at </w:t>
      </w:r>
      <w:r w:rsidRPr="00F46122">
        <w:rPr>
          <w:rStyle w:val="Underline"/>
        </w:rPr>
        <w:t>www.regulations.gov</w:t>
      </w:r>
      <w:r w:rsidRPr="00F46122">
        <w:t>, or i</w:t>
      </w:r>
      <w:r w:rsidRPr="007C7E34">
        <w:t>n person viewing at the Air and Radiation Docket and Information Center in the EPA Docket Center (EPA/DC), EPA West, Room B102, 1301 Constitution Avenue, NW, Washington, D.C. The EPA Docket Center Public Reading Room is open from 8:30 a.m. to 4:30 p.m., Monday through Friday, excluding legal holidays</w:t>
      </w:r>
      <w:r>
        <w:t xml:space="preserve">. </w:t>
      </w:r>
      <w:r w:rsidRPr="007C7E34">
        <w:t>The telephone number for the Reading Room is (202) 566-1744, and the telephone number for the Air and Radiation Docket and Information Center is (202) 566-1742</w:t>
      </w:r>
      <w:r>
        <w:t xml:space="preserve">. </w:t>
      </w:r>
      <w:r w:rsidRPr="007C7E34">
        <w:t>An electronic version of the public docket is available at www.regulations.gov</w:t>
      </w:r>
      <w:r>
        <w:t xml:space="preserve">. </w:t>
      </w:r>
      <w:r w:rsidRPr="007C7E34">
        <w:t>This site can be used to submit or view public comments, access the index listing of the contents of the public docket, and to access those documents in the public docket that are available electronically</w:t>
      </w:r>
      <w:r>
        <w:t xml:space="preserve">. </w:t>
      </w:r>
      <w:r w:rsidRPr="007C7E34">
        <w:t>When in the system, select “search,” then key in the Docket ID Number identified above</w:t>
      </w:r>
      <w:r>
        <w:t xml:space="preserve">. </w:t>
      </w:r>
      <w:r w:rsidRPr="007C7E34">
        <w:t>Also, you can send comments to the Office of Information and Regulatory Affairs, Office of Management and Budget, 725 17th Street, NW, Washington, D.C. 20503, Attention: Desk Officer for EPA</w:t>
      </w:r>
      <w:r>
        <w:t xml:space="preserve">. </w:t>
      </w:r>
      <w:r w:rsidRPr="007C7E34">
        <w:t>Please include the EPA Docket ID Number EPA-HQ-OAR-</w:t>
      </w:r>
      <w:r w:rsidRPr="00F543E7">
        <w:t>2010-0682</w:t>
      </w:r>
      <w:r>
        <w:t xml:space="preserve"> </w:t>
      </w:r>
      <w:r w:rsidRPr="007C7E34">
        <w:t>in any correspondence.</w:t>
      </w:r>
    </w:p>
    <w:p w:rsidRPr="009769D3" w:rsidR="00077ABC" w:rsidP="00446CA1" w:rsidRDefault="00077ABC" w14:paraId="4533DDB1" w14:textId="77777777">
      <w:pPr>
        <w:pStyle w:val="SectionHeading"/>
      </w:pPr>
      <w:r w:rsidRPr="009769D3">
        <w:t>Part B of the Supporting Statement</w:t>
      </w:r>
    </w:p>
    <w:p w:rsidR="00077ABC" w:rsidP="00446CA1" w:rsidRDefault="00077ABC" w14:paraId="71CCA0BF" w14:textId="77777777">
      <w:pPr>
        <w:pStyle w:val="BodyFirstline05After12pt"/>
      </w:pPr>
      <w:r w:rsidRPr="009769D3">
        <w:t>This part is not applicable because no statistical methods were used in collecting this information.</w:t>
      </w:r>
    </w:p>
    <w:p w:rsidR="00F85C65" w:rsidP="00446CA1" w:rsidRDefault="00F85C65" w14:paraId="523FAA3C" w14:textId="77777777">
      <w:pPr>
        <w:pStyle w:val="BodyFirstline05After12pt"/>
      </w:pPr>
    </w:p>
    <w:p w:rsidRPr="00F46122" w:rsidR="00B4246B" w:rsidP="00F46122" w:rsidRDefault="00B4246B" w14:paraId="6F729A88" w14:textId="77777777">
      <w:pPr>
        <w:sectPr w:rsidRPr="00F46122" w:rsidR="00B4246B" w:rsidSect="004D5F2C">
          <w:headerReference w:type="default" r:id="rId12"/>
          <w:type w:val="continuous"/>
          <w:pgSz w:w="12240" w:h="15840" w:code="1"/>
          <w:pgMar w:top="1440" w:right="1440" w:bottom="1440" w:left="1440" w:header="864" w:footer="1440" w:gutter="0"/>
          <w:cols w:space="720"/>
          <w:noEndnote/>
          <w:titlePg/>
        </w:sectPr>
      </w:pPr>
    </w:p>
    <w:p w:rsidRPr="007523FA" w:rsidR="0087236F" w:rsidP="00446CA1" w:rsidRDefault="0087236F" w14:paraId="1A9F5256" w14:textId="5D20522F">
      <w:pPr>
        <w:pStyle w:val="TableTitle"/>
      </w:pPr>
      <w:r w:rsidRPr="00D01699">
        <w:lastRenderedPageBreak/>
        <w:t>Table 1.</w:t>
      </w:r>
      <w:r w:rsidRPr="00D01699" w:rsidR="00F47C05">
        <w:t xml:space="preserve"> </w:t>
      </w:r>
      <w:r w:rsidRPr="00D01699">
        <w:t xml:space="preserve">Annual Respondent Burden and Cost: </w:t>
      </w:r>
      <w:r w:rsidR="004611E9">
        <w:t>Proposed</w:t>
      </w:r>
      <w:r w:rsidRPr="00D01699" w:rsidR="004611E9">
        <w:t xml:space="preserve"> </w:t>
      </w:r>
      <w:r w:rsidRPr="00D01699">
        <w:t>Amendments to NESHAP for Petroleum Refineries (40 CFR Part 63, Subpart CC).</w:t>
      </w:r>
    </w:p>
    <w:tbl>
      <w:tblPr>
        <w:tblW w:w="5000" w:type="pct"/>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34" w:type="dxa"/>
          <w:right w:w="134" w:type="dxa"/>
        </w:tblCellMar>
        <w:tblLook w:val="0000" w:firstRow="0" w:lastRow="0" w:firstColumn="0" w:lastColumn="0" w:noHBand="0" w:noVBand="0"/>
      </w:tblPr>
      <w:tblGrid>
        <w:gridCol w:w="3346"/>
        <w:gridCol w:w="1151"/>
        <w:gridCol w:w="1350"/>
        <w:gridCol w:w="1170"/>
        <w:gridCol w:w="1350"/>
        <w:gridCol w:w="1102"/>
        <w:gridCol w:w="1328"/>
        <w:gridCol w:w="1080"/>
        <w:gridCol w:w="1167"/>
      </w:tblGrid>
      <w:tr w:rsidR="00446CA1" w:rsidTr="00CA5CD5" w14:paraId="78BE2267" w14:textId="77777777">
        <w:trPr>
          <w:cantSplit/>
          <w:tblHeader/>
        </w:trPr>
        <w:tc>
          <w:tcPr>
            <w:tcW w:w="3346" w:type="dxa"/>
            <w:vMerge w:val="restart"/>
            <w:tcBorders>
              <w:top w:val="single" w:color="000000" w:sz="2" w:space="0"/>
              <w:left w:val="single" w:color="000000" w:sz="2" w:space="0"/>
              <w:right w:val="single" w:color="000000" w:sz="2" w:space="0"/>
            </w:tcBorders>
            <w:vAlign w:val="center"/>
          </w:tcPr>
          <w:p w:rsidR="00446CA1" w:rsidP="00205C04" w:rsidRDefault="00446CA1" w14:paraId="6D267BB1" w14:textId="77777777">
            <w:pPr>
              <w:pStyle w:val="TableTextCenter10pt"/>
            </w:pPr>
            <w:r>
              <w:t>Burden item</w:t>
            </w:r>
          </w:p>
        </w:tc>
        <w:tc>
          <w:tcPr>
            <w:tcW w:w="1151" w:type="dxa"/>
            <w:tcBorders>
              <w:top w:val="single" w:color="000000" w:sz="2" w:space="0"/>
              <w:left w:val="single" w:color="000000" w:sz="2" w:space="0"/>
              <w:bottom w:val="nil"/>
              <w:right w:val="single" w:color="000000" w:sz="2" w:space="0"/>
            </w:tcBorders>
            <w:vAlign w:val="bottom"/>
          </w:tcPr>
          <w:p w:rsidRPr="004B7307" w:rsidR="00446CA1" w:rsidP="00205C04" w:rsidRDefault="00446CA1" w14:paraId="786415F5" w14:textId="77777777">
            <w:pPr>
              <w:pStyle w:val="TableTextCenter10pt"/>
            </w:pPr>
            <w:r w:rsidRPr="004B7307">
              <w:t>(A)</w:t>
            </w:r>
          </w:p>
        </w:tc>
        <w:tc>
          <w:tcPr>
            <w:tcW w:w="1350" w:type="dxa"/>
            <w:tcBorders>
              <w:top w:val="single" w:color="000000" w:sz="2" w:space="0"/>
              <w:left w:val="single" w:color="000000" w:sz="2" w:space="0"/>
              <w:bottom w:val="nil"/>
              <w:right w:val="single" w:color="000000" w:sz="2" w:space="0"/>
            </w:tcBorders>
            <w:vAlign w:val="bottom"/>
          </w:tcPr>
          <w:p w:rsidRPr="004B7307" w:rsidR="00446CA1" w:rsidP="00205C04" w:rsidRDefault="00446CA1" w14:paraId="32AB3E22" w14:textId="77777777">
            <w:pPr>
              <w:pStyle w:val="TableTextCenter10pt"/>
            </w:pPr>
            <w:r w:rsidRPr="004B7307">
              <w:t>(B)</w:t>
            </w:r>
          </w:p>
        </w:tc>
        <w:tc>
          <w:tcPr>
            <w:tcW w:w="1170" w:type="dxa"/>
            <w:tcBorders>
              <w:top w:val="single" w:color="000000" w:sz="2" w:space="0"/>
              <w:left w:val="single" w:color="000000" w:sz="2" w:space="0"/>
              <w:bottom w:val="nil"/>
              <w:right w:val="single" w:color="000000" w:sz="2" w:space="0"/>
            </w:tcBorders>
            <w:vAlign w:val="bottom"/>
          </w:tcPr>
          <w:p w:rsidRPr="004B7307" w:rsidR="00446CA1" w:rsidP="00205C04" w:rsidRDefault="00446CA1" w14:paraId="6E7B6801" w14:textId="77777777">
            <w:pPr>
              <w:pStyle w:val="TableTextCenter10pt"/>
            </w:pPr>
            <w:r w:rsidRPr="004B7307">
              <w:t>(C)</w:t>
            </w:r>
          </w:p>
        </w:tc>
        <w:tc>
          <w:tcPr>
            <w:tcW w:w="1350" w:type="dxa"/>
            <w:tcBorders>
              <w:top w:val="single" w:color="000000" w:sz="2" w:space="0"/>
              <w:left w:val="single" w:color="000000" w:sz="2" w:space="0"/>
              <w:bottom w:val="nil"/>
              <w:right w:val="single" w:color="000000" w:sz="2" w:space="0"/>
            </w:tcBorders>
            <w:vAlign w:val="bottom"/>
          </w:tcPr>
          <w:p w:rsidRPr="004B7307" w:rsidR="00446CA1" w:rsidP="00205C04" w:rsidRDefault="00446CA1" w14:paraId="0F51DD69" w14:textId="77777777">
            <w:pPr>
              <w:pStyle w:val="TableTextCenter10pt"/>
            </w:pPr>
            <w:r w:rsidRPr="004B7307">
              <w:t>(D)</w:t>
            </w:r>
          </w:p>
        </w:tc>
        <w:tc>
          <w:tcPr>
            <w:tcW w:w="1102" w:type="dxa"/>
            <w:tcBorders>
              <w:top w:val="single" w:color="000000" w:sz="2" w:space="0"/>
              <w:left w:val="single" w:color="000000" w:sz="2" w:space="0"/>
              <w:bottom w:val="nil"/>
              <w:right w:val="single" w:color="000000" w:sz="2" w:space="0"/>
            </w:tcBorders>
            <w:vAlign w:val="bottom"/>
          </w:tcPr>
          <w:p w:rsidRPr="004B7307" w:rsidR="00446CA1" w:rsidP="00205C04" w:rsidRDefault="00446CA1" w14:paraId="52A7C01D" w14:textId="77777777">
            <w:pPr>
              <w:pStyle w:val="TableTextCenter10pt"/>
            </w:pPr>
            <w:r w:rsidRPr="004B7307">
              <w:t>(E)</w:t>
            </w:r>
          </w:p>
        </w:tc>
        <w:tc>
          <w:tcPr>
            <w:tcW w:w="1328" w:type="dxa"/>
            <w:tcBorders>
              <w:top w:val="single" w:color="000000" w:sz="2" w:space="0"/>
              <w:left w:val="single" w:color="000000" w:sz="2" w:space="0"/>
              <w:bottom w:val="nil"/>
              <w:right w:val="single" w:color="000000" w:sz="2" w:space="0"/>
            </w:tcBorders>
            <w:vAlign w:val="bottom"/>
          </w:tcPr>
          <w:p w:rsidRPr="004B7307" w:rsidR="00446CA1" w:rsidP="00205C04" w:rsidRDefault="00446CA1" w14:paraId="0881F081" w14:textId="77777777">
            <w:pPr>
              <w:pStyle w:val="TableTextCenter10pt"/>
            </w:pPr>
            <w:r w:rsidRPr="004B7307">
              <w:t>(F)</w:t>
            </w:r>
          </w:p>
        </w:tc>
        <w:tc>
          <w:tcPr>
            <w:tcW w:w="1080" w:type="dxa"/>
            <w:tcBorders>
              <w:top w:val="single" w:color="000000" w:sz="2" w:space="0"/>
              <w:left w:val="single" w:color="000000" w:sz="2" w:space="0"/>
              <w:bottom w:val="nil"/>
              <w:right w:val="single" w:color="000000" w:sz="2" w:space="0"/>
            </w:tcBorders>
            <w:vAlign w:val="bottom"/>
          </w:tcPr>
          <w:p w:rsidRPr="004B7307" w:rsidR="00446CA1" w:rsidP="00205C04" w:rsidRDefault="00446CA1" w14:paraId="7BF441C7" w14:textId="77777777">
            <w:pPr>
              <w:pStyle w:val="TableTextCenter10pt"/>
            </w:pPr>
            <w:r w:rsidRPr="004B7307">
              <w:t>(G)</w:t>
            </w:r>
          </w:p>
        </w:tc>
        <w:tc>
          <w:tcPr>
            <w:tcW w:w="1167" w:type="dxa"/>
            <w:tcBorders>
              <w:top w:val="single" w:color="000000" w:sz="2" w:space="0"/>
              <w:left w:val="single" w:color="000000" w:sz="2" w:space="0"/>
              <w:bottom w:val="nil"/>
              <w:right w:val="single" w:color="000000" w:sz="2" w:space="0"/>
            </w:tcBorders>
            <w:vAlign w:val="bottom"/>
          </w:tcPr>
          <w:p w:rsidRPr="004B7307" w:rsidR="00446CA1" w:rsidP="00205C04" w:rsidRDefault="00446CA1" w14:paraId="648C62FB" w14:textId="77777777">
            <w:pPr>
              <w:pStyle w:val="TableTextCenter10pt"/>
            </w:pPr>
            <w:r w:rsidRPr="004B7307">
              <w:t>(H)</w:t>
            </w:r>
          </w:p>
        </w:tc>
      </w:tr>
      <w:tr w:rsidR="00446CA1" w:rsidTr="00CA5CD5" w14:paraId="31F9B04D" w14:textId="77777777">
        <w:trPr>
          <w:cantSplit/>
          <w:tblHeader/>
        </w:trPr>
        <w:tc>
          <w:tcPr>
            <w:tcW w:w="3346" w:type="dxa"/>
            <w:vMerge/>
            <w:tcBorders>
              <w:left w:val="single" w:color="000000" w:sz="2" w:space="0"/>
              <w:right w:val="single" w:color="000000" w:sz="2" w:space="0"/>
            </w:tcBorders>
            <w:vAlign w:val="center"/>
          </w:tcPr>
          <w:p w:rsidR="00446CA1" w:rsidP="00205C04" w:rsidRDefault="00446CA1" w14:paraId="313AC6D9" w14:textId="77777777">
            <w:pPr>
              <w:pStyle w:val="TableTextCenter10pt"/>
              <w:rPr>
                <w:rFonts w:cs="Arial"/>
                <w:szCs w:val="16"/>
              </w:rPr>
            </w:pPr>
          </w:p>
        </w:tc>
        <w:tc>
          <w:tcPr>
            <w:tcW w:w="1151" w:type="dxa"/>
            <w:tcBorders>
              <w:top w:val="nil"/>
              <w:left w:val="single" w:color="000000" w:sz="2" w:space="0"/>
              <w:bottom w:val="nil"/>
              <w:right w:val="single" w:color="000000" w:sz="2" w:space="0"/>
            </w:tcBorders>
            <w:vAlign w:val="bottom"/>
          </w:tcPr>
          <w:p w:rsidRPr="004B7307" w:rsidR="00446CA1" w:rsidP="00205C04" w:rsidRDefault="00446CA1" w14:paraId="36EB4F5F" w14:textId="77777777">
            <w:pPr>
              <w:pStyle w:val="TableTextCenter10pt"/>
            </w:pPr>
            <w:r w:rsidRPr="004B7307">
              <w:t>Person-hours per occurrence</w:t>
            </w:r>
          </w:p>
        </w:tc>
        <w:tc>
          <w:tcPr>
            <w:tcW w:w="1350" w:type="dxa"/>
            <w:tcBorders>
              <w:top w:val="nil"/>
              <w:left w:val="single" w:color="000000" w:sz="2" w:space="0"/>
              <w:bottom w:val="nil"/>
              <w:right w:val="single" w:color="000000" w:sz="2" w:space="0"/>
            </w:tcBorders>
            <w:vAlign w:val="bottom"/>
          </w:tcPr>
          <w:p w:rsidRPr="004B7307" w:rsidR="00446CA1" w:rsidP="00205C04" w:rsidRDefault="00446CA1" w14:paraId="7C50AF7F" w14:textId="77777777">
            <w:pPr>
              <w:pStyle w:val="TableTextCenter10pt"/>
            </w:pPr>
            <w:r w:rsidRPr="004B7307">
              <w:t>No. of occurrences per respondent per year</w:t>
            </w:r>
          </w:p>
        </w:tc>
        <w:tc>
          <w:tcPr>
            <w:tcW w:w="1170" w:type="dxa"/>
            <w:tcBorders>
              <w:top w:val="nil"/>
              <w:left w:val="single" w:color="000000" w:sz="2" w:space="0"/>
              <w:bottom w:val="nil"/>
              <w:right w:val="single" w:color="000000" w:sz="2" w:space="0"/>
            </w:tcBorders>
            <w:vAlign w:val="bottom"/>
          </w:tcPr>
          <w:p w:rsidRPr="004B7307" w:rsidR="00446CA1" w:rsidP="00205C04" w:rsidRDefault="00446CA1" w14:paraId="3E699FFC" w14:textId="77777777">
            <w:pPr>
              <w:pStyle w:val="TableTextCenter10pt"/>
            </w:pPr>
            <w:r w:rsidRPr="004B7307">
              <w:t>Person-hours per respondent per year</w:t>
            </w:r>
          </w:p>
        </w:tc>
        <w:tc>
          <w:tcPr>
            <w:tcW w:w="1350" w:type="dxa"/>
            <w:tcBorders>
              <w:top w:val="nil"/>
              <w:left w:val="single" w:color="000000" w:sz="2" w:space="0"/>
              <w:bottom w:val="nil"/>
              <w:right w:val="single" w:color="000000" w:sz="2" w:space="0"/>
            </w:tcBorders>
            <w:vAlign w:val="bottom"/>
          </w:tcPr>
          <w:p w:rsidRPr="004B7307" w:rsidR="00446CA1" w:rsidP="00205C04" w:rsidRDefault="00446CA1" w14:paraId="752B6255" w14:textId="77777777">
            <w:pPr>
              <w:pStyle w:val="TableTextCenter10pt"/>
            </w:pPr>
            <w:r w:rsidRPr="00205C04">
              <w:t>Respondents</w:t>
            </w:r>
            <w:r w:rsidRPr="004B7307">
              <w:t xml:space="preserve"> per year</w:t>
            </w:r>
            <w:r w:rsidRPr="00F33C16">
              <w:rPr>
                <w:rStyle w:val="Superscript"/>
              </w:rPr>
              <w:t>a</w:t>
            </w:r>
          </w:p>
        </w:tc>
        <w:tc>
          <w:tcPr>
            <w:tcW w:w="1102" w:type="dxa"/>
            <w:tcBorders>
              <w:top w:val="nil"/>
              <w:left w:val="single" w:color="000000" w:sz="2" w:space="0"/>
              <w:bottom w:val="nil"/>
              <w:right w:val="single" w:color="000000" w:sz="2" w:space="0"/>
            </w:tcBorders>
            <w:vAlign w:val="bottom"/>
          </w:tcPr>
          <w:p w:rsidRPr="004B7307" w:rsidR="00446CA1" w:rsidP="00205C04" w:rsidRDefault="00446CA1" w14:paraId="1C684447" w14:textId="77777777">
            <w:pPr>
              <w:pStyle w:val="TableTextCenter10pt"/>
            </w:pPr>
            <w:r w:rsidRPr="004B7307">
              <w:t>Technical person-hours per year</w:t>
            </w:r>
          </w:p>
        </w:tc>
        <w:tc>
          <w:tcPr>
            <w:tcW w:w="1328" w:type="dxa"/>
            <w:tcBorders>
              <w:top w:val="nil"/>
              <w:left w:val="single" w:color="000000" w:sz="2" w:space="0"/>
              <w:bottom w:val="nil"/>
              <w:right w:val="single" w:color="000000" w:sz="2" w:space="0"/>
            </w:tcBorders>
            <w:vAlign w:val="bottom"/>
          </w:tcPr>
          <w:p w:rsidRPr="004B7307" w:rsidR="00446CA1" w:rsidP="00205C04" w:rsidRDefault="00446CA1" w14:paraId="671012C2" w14:textId="77777777">
            <w:pPr>
              <w:pStyle w:val="TableTextCenter10pt"/>
            </w:pPr>
            <w:r w:rsidRPr="004B7307">
              <w:t>Management person-hours per year</w:t>
            </w:r>
          </w:p>
        </w:tc>
        <w:tc>
          <w:tcPr>
            <w:tcW w:w="1080" w:type="dxa"/>
            <w:tcBorders>
              <w:top w:val="nil"/>
              <w:left w:val="single" w:color="000000" w:sz="2" w:space="0"/>
              <w:bottom w:val="nil"/>
              <w:right w:val="single" w:color="000000" w:sz="2" w:space="0"/>
            </w:tcBorders>
            <w:vAlign w:val="bottom"/>
          </w:tcPr>
          <w:p w:rsidRPr="004B7307" w:rsidR="00446CA1" w:rsidP="00205C04" w:rsidRDefault="00446CA1" w14:paraId="6EAC9ACE" w14:textId="77777777">
            <w:pPr>
              <w:pStyle w:val="TableTextCenter10pt"/>
            </w:pPr>
            <w:r w:rsidRPr="004B7307">
              <w:t>Clerical person- hours per year</w:t>
            </w:r>
          </w:p>
        </w:tc>
        <w:tc>
          <w:tcPr>
            <w:tcW w:w="1167" w:type="dxa"/>
            <w:tcBorders>
              <w:top w:val="nil"/>
              <w:left w:val="single" w:color="000000" w:sz="2" w:space="0"/>
              <w:bottom w:val="nil"/>
              <w:right w:val="single" w:color="000000" w:sz="2" w:space="0"/>
            </w:tcBorders>
            <w:vAlign w:val="bottom"/>
          </w:tcPr>
          <w:p w:rsidRPr="004B7307" w:rsidR="00446CA1" w:rsidP="00205C04" w:rsidRDefault="00446CA1" w14:paraId="6EBBB41D" w14:textId="77777777">
            <w:pPr>
              <w:pStyle w:val="TableTextCenter10pt"/>
            </w:pPr>
            <w:r w:rsidRPr="004B7307">
              <w:t>Cost,$</w:t>
            </w:r>
            <w:r w:rsidRPr="00F33C16">
              <w:rPr>
                <w:rStyle w:val="Superscript"/>
              </w:rPr>
              <w:t>b</w:t>
            </w:r>
          </w:p>
        </w:tc>
      </w:tr>
      <w:tr w:rsidR="00446CA1" w:rsidTr="00CA5CD5" w14:paraId="4918D0D6" w14:textId="77777777">
        <w:trPr>
          <w:cantSplit/>
          <w:tblHeader/>
        </w:trPr>
        <w:tc>
          <w:tcPr>
            <w:tcW w:w="3346" w:type="dxa"/>
            <w:vMerge/>
            <w:tcBorders>
              <w:left w:val="single" w:color="000000" w:sz="2" w:space="0"/>
              <w:bottom w:val="single" w:color="000000" w:sz="2" w:space="0"/>
              <w:right w:val="single" w:color="000000" w:sz="2" w:space="0"/>
            </w:tcBorders>
            <w:vAlign w:val="center"/>
          </w:tcPr>
          <w:p w:rsidR="00446CA1" w:rsidP="00205C04" w:rsidRDefault="00446CA1" w14:paraId="52ED45E0" w14:textId="77777777">
            <w:pPr>
              <w:pStyle w:val="TableTextCenter10pt"/>
              <w:rPr>
                <w:rFonts w:cs="Arial"/>
                <w:szCs w:val="16"/>
              </w:rPr>
            </w:pPr>
          </w:p>
        </w:tc>
        <w:tc>
          <w:tcPr>
            <w:tcW w:w="1151" w:type="dxa"/>
            <w:tcBorders>
              <w:top w:val="nil"/>
              <w:left w:val="single" w:color="000000" w:sz="2" w:space="0"/>
              <w:bottom w:val="single" w:color="000000" w:sz="2" w:space="0"/>
              <w:right w:val="single" w:color="000000" w:sz="2" w:space="0"/>
            </w:tcBorders>
            <w:vAlign w:val="bottom"/>
          </w:tcPr>
          <w:p w:rsidRPr="00F46122" w:rsidR="00446CA1" w:rsidP="00205C04" w:rsidRDefault="00446CA1" w14:paraId="739E7C49" w14:textId="77777777">
            <w:pPr>
              <w:pStyle w:val="TableTextCenter10pt"/>
            </w:pPr>
          </w:p>
        </w:tc>
        <w:tc>
          <w:tcPr>
            <w:tcW w:w="1350" w:type="dxa"/>
            <w:tcBorders>
              <w:top w:val="nil"/>
              <w:left w:val="single" w:color="000000" w:sz="2" w:space="0"/>
              <w:bottom w:val="single" w:color="000000" w:sz="2" w:space="0"/>
              <w:right w:val="single" w:color="000000" w:sz="2" w:space="0"/>
            </w:tcBorders>
            <w:vAlign w:val="bottom"/>
          </w:tcPr>
          <w:p w:rsidRPr="00F46122" w:rsidR="00446CA1" w:rsidP="00205C04" w:rsidRDefault="00446CA1" w14:paraId="2212FB86" w14:textId="77777777">
            <w:pPr>
              <w:pStyle w:val="TableTextCenter10pt"/>
              <w:rPr>
                <w:szCs w:val="22"/>
              </w:rPr>
            </w:pPr>
          </w:p>
        </w:tc>
        <w:tc>
          <w:tcPr>
            <w:tcW w:w="1170" w:type="dxa"/>
            <w:tcBorders>
              <w:top w:val="nil"/>
              <w:left w:val="single" w:color="000000" w:sz="2" w:space="0"/>
              <w:bottom w:val="single" w:color="000000" w:sz="2" w:space="0"/>
              <w:right w:val="single" w:color="000000" w:sz="2" w:space="0"/>
            </w:tcBorders>
            <w:vAlign w:val="bottom"/>
          </w:tcPr>
          <w:p w:rsidRPr="004B7307" w:rsidR="00446CA1" w:rsidP="00205C04" w:rsidRDefault="00446CA1" w14:paraId="4D481906" w14:textId="77777777">
            <w:pPr>
              <w:pStyle w:val="TableTextCenter10pt"/>
            </w:pPr>
            <w:r w:rsidRPr="004B7307">
              <w:t>(C=A</w:t>
            </w:r>
            <w:r>
              <w:t>×</w:t>
            </w:r>
            <w:r w:rsidRPr="004B7307">
              <w:t>B)</w:t>
            </w:r>
          </w:p>
        </w:tc>
        <w:tc>
          <w:tcPr>
            <w:tcW w:w="1350" w:type="dxa"/>
            <w:tcBorders>
              <w:top w:val="nil"/>
              <w:left w:val="single" w:color="000000" w:sz="2" w:space="0"/>
              <w:bottom w:val="single" w:color="000000" w:sz="2" w:space="0"/>
              <w:right w:val="single" w:color="000000" w:sz="2" w:space="0"/>
            </w:tcBorders>
            <w:vAlign w:val="bottom"/>
          </w:tcPr>
          <w:p w:rsidRPr="00F46122" w:rsidR="00446CA1" w:rsidP="00205C04" w:rsidRDefault="00446CA1" w14:paraId="61F4D0BF" w14:textId="77777777">
            <w:pPr>
              <w:pStyle w:val="TableTextCenter10pt"/>
            </w:pPr>
          </w:p>
        </w:tc>
        <w:tc>
          <w:tcPr>
            <w:tcW w:w="1102" w:type="dxa"/>
            <w:tcBorders>
              <w:top w:val="nil"/>
              <w:left w:val="single" w:color="000000" w:sz="2" w:space="0"/>
              <w:bottom w:val="single" w:color="000000" w:sz="2" w:space="0"/>
              <w:right w:val="single" w:color="000000" w:sz="2" w:space="0"/>
            </w:tcBorders>
            <w:vAlign w:val="bottom"/>
          </w:tcPr>
          <w:p w:rsidRPr="004B7307" w:rsidR="00446CA1" w:rsidP="00205C04" w:rsidRDefault="00446CA1" w14:paraId="07F919DD" w14:textId="77777777">
            <w:pPr>
              <w:pStyle w:val="TableTextCenter10pt"/>
            </w:pPr>
            <w:r w:rsidRPr="004B7307">
              <w:t>(E=C</w:t>
            </w:r>
            <w:r>
              <w:t>×</w:t>
            </w:r>
            <w:r w:rsidRPr="004B7307">
              <w:t>D)</w:t>
            </w:r>
          </w:p>
        </w:tc>
        <w:tc>
          <w:tcPr>
            <w:tcW w:w="1328" w:type="dxa"/>
            <w:tcBorders>
              <w:top w:val="nil"/>
              <w:left w:val="single" w:color="000000" w:sz="2" w:space="0"/>
              <w:bottom w:val="single" w:color="000000" w:sz="2" w:space="0"/>
              <w:right w:val="single" w:color="000000" w:sz="2" w:space="0"/>
            </w:tcBorders>
            <w:vAlign w:val="bottom"/>
          </w:tcPr>
          <w:p w:rsidRPr="004B7307" w:rsidR="00446CA1" w:rsidP="00205C04" w:rsidRDefault="00446CA1" w14:paraId="7A61EB07" w14:textId="77777777">
            <w:pPr>
              <w:pStyle w:val="TableTextCenter10pt"/>
            </w:pPr>
            <w:r w:rsidRPr="004B7307">
              <w:t>(E</w:t>
            </w:r>
            <w:r>
              <w:t>×</w:t>
            </w:r>
            <w:r w:rsidRPr="004B7307">
              <w:t>0.05)</w:t>
            </w:r>
          </w:p>
        </w:tc>
        <w:tc>
          <w:tcPr>
            <w:tcW w:w="1080" w:type="dxa"/>
            <w:tcBorders>
              <w:top w:val="nil"/>
              <w:left w:val="single" w:color="000000" w:sz="2" w:space="0"/>
              <w:bottom w:val="single" w:color="000000" w:sz="2" w:space="0"/>
              <w:right w:val="single" w:color="000000" w:sz="2" w:space="0"/>
            </w:tcBorders>
            <w:vAlign w:val="bottom"/>
          </w:tcPr>
          <w:p w:rsidRPr="004B7307" w:rsidR="00446CA1" w:rsidP="00205C04" w:rsidRDefault="00446CA1" w14:paraId="19827125" w14:textId="77777777">
            <w:pPr>
              <w:pStyle w:val="TableTextCenter10pt"/>
            </w:pPr>
            <w:r w:rsidRPr="004B7307">
              <w:t>(E</w:t>
            </w:r>
            <w:r>
              <w:t>×</w:t>
            </w:r>
            <w:r w:rsidRPr="004B7307">
              <w:t>0.1)</w:t>
            </w:r>
          </w:p>
        </w:tc>
        <w:tc>
          <w:tcPr>
            <w:tcW w:w="1167" w:type="dxa"/>
            <w:tcBorders>
              <w:top w:val="nil"/>
              <w:left w:val="single" w:color="000000" w:sz="2" w:space="0"/>
              <w:bottom w:val="single" w:color="000000" w:sz="2" w:space="0"/>
              <w:right w:val="single" w:color="000000" w:sz="2" w:space="0"/>
            </w:tcBorders>
            <w:vAlign w:val="bottom"/>
          </w:tcPr>
          <w:p w:rsidRPr="00F46122" w:rsidR="00446CA1" w:rsidP="00205C04" w:rsidRDefault="00446CA1" w14:paraId="3C3B46D3" w14:textId="77777777">
            <w:pPr>
              <w:pStyle w:val="TableTextCenter10pt"/>
            </w:pPr>
          </w:p>
        </w:tc>
      </w:tr>
      <w:tr w:rsidR="0087236F" w:rsidTr="00CA5CD5" w14:paraId="267BF3BE" w14:textId="77777777">
        <w:trPr>
          <w:cantSplit/>
        </w:trPr>
        <w:tc>
          <w:tcPr>
            <w:tcW w:w="3346" w:type="dxa"/>
            <w:tcBorders>
              <w:top w:val="single" w:color="000000" w:sz="2" w:space="0"/>
              <w:left w:val="single" w:color="000000" w:sz="2" w:space="0"/>
              <w:bottom w:val="single" w:color="000000" w:sz="2" w:space="0"/>
              <w:right w:val="single" w:color="000000" w:sz="2" w:space="0"/>
            </w:tcBorders>
          </w:tcPr>
          <w:p w:rsidR="0087236F" w:rsidP="00F46122" w:rsidRDefault="0087236F" w14:paraId="581086D2" w14:textId="77777777">
            <w:pPr>
              <w:pStyle w:val="TableTextLeft10pt"/>
            </w:pPr>
            <w:r>
              <w:t>1. Applications</w:t>
            </w:r>
          </w:p>
        </w:tc>
        <w:tc>
          <w:tcPr>
            <w:tcW w:w="1151" w:type="dxa"/>
            <w:tcBorders>
              <w:top w:val="single" w:color="000000" w:sz="2" w:space="0"/>
              <w:left w:val="single" w:color="000000" w:sz="2" w:space="0"/>
              <w:bottom w:val="single" w:color="000000" w:sz="2" w:space="0"/>
              <w:right w:val="single" w:color="000000" w:sz="2" w:space="0"/>
            </w:tcBorders>
          </w:tcPr>
          <w:p w:rsidR="0087236F" w:rsidP="00F46122" w:rsidRDefault="0087236F" w14:paraId="0D110168" w14:textId="77777777">
            <w:pPr>
              <w:pStyle w:val="TableTextCenter10pt"/>
            </w:pPr>
            <w:r>
              <w:t>N/A</w:t>
            </w:r>
          </w:p>
        </w:tc>
        <w:tc>
          <w:tcPr>
            <w:tcW w:w="1350" w:type="dxa"/>
            <w:tcBorders>
              <w:top w:val="single" w:color="000000" w:sz="2" w:space="0"/>
              <w:left w:val="single" w:color="000000" w:sz="2" w:space="0"/>
              <w:bottom w:val="single" w:color="000000" w:sz="2" w:space="0"/>
              <w:right w:val="single" w:color="000000" w:sz="2" w:space="0"/>
            </w:tcBorders>
          </w:tcPr>
          <w:p w:rsidR="0087236F" w:rsidP="00F46122" w:rsidRDefault="0087236F" w14:paraId="606FA176" w14:textId="77777777">
            <w:pPr>
              <w:pStyle w:val="TableTextCenter10pt"/>
            </w:pPr>
          </w:p>
        </w:tc>
        <w:tc>
          <w:tcPr>
            <w:tcW w:w="1170" w:type="dxa"/>
            <w:tcBorders>
              <w:top w:val="single" w:color="000000" w:sz="2" w:space="0"/>
              <w:left w:val="single" w:color="000000" w:sz="2" w:space="0"/>
              <w:bottom w:val="single" w:color="000000" w:sz="2" w:space="0"/>
              <w:right w:val="single" w:color="000000" w:sz="2" w:space="0"/>
            </w:tcBorders>
          </w:tcPr>
          <w:p w:rsidR="0087236F" w:rsidP="00F46122" w:rsidRDefault="0087236F" w14:paraId="35920BED" w14:textId="77777777">
            <w:pPr>
              <w:pStyle w:val="TableTextCenter10pt"/>
            </w:pPr>
          </w:p>
        </w:tc>
        <w:tc>
          <w:tcPr>
            <w:tcW w:w="1350" w:type="dxa"/>
            <w:tcBorders>
              <w:top w:val="single" w:color="000000" w:sz="2" w:space="0"/>
              <w:left w:val="single" w:color="000000" w:sz="2" w:space="0"/>
              <w:bottom w:val="single" w:color="000000" w:sz="2" w:space="0"/>
              <w:right w:val="single" w:color="000000" w:sz="2" w:space="0"/>
            </w:tcBorders>
          </w:tcPr>
          <w:p w:rsidR="0087236F" w:rsidP="00F46122" w:rsidRDefault="0087236F" w14:paraId="3EE057B1" w14:textId="77777777">
            <w:pPr>
              <w:pStyle w:val="TableTextCenter10pt"/>
            </w:pPr>
          </w:p>
        </w:tc>
        <w:tc>
          <w:tcPr>
            <w:tcW w:w="1102" w:type="dxa"/>
            <w:tcBorders>
              <w:top w:val="single" w:color="000000" w:sz="2" w:space="0"/>
              <w:left w:val="single" w:color="000000" w:sz="2" w:space="0"/>
              <w:bottom w:val="single" w:color="000000" w:sz="2" w:space="0"/>
              <w:right w:val="single" w:color="000000" w:sz="2" w:space="0"/>
            </w:tcBorders>
          </w:tcPr>
          <w:p w:rsidR="0087236F" w:rsidP="00F46122" w:rsidRDefault="0087236F" w14:paraId="3F90FDEA" w14:textId="77777777">
            <w:pPr>
              <w:pStyle w:val="TableTextCenter10pt"/>
            </w:pPr>
          </w:p>
        </w:tc>
        <w:tc>
          <w:tcPr>
            <w:tcW w:w="1328" w:type="dxa"/>
            <w:tcBorders>
              <w:top w:val="single" w:color="000000" w:sz="2" w:space="0"/>
              <w:left w:val="single" w:color="000000" w:sz="2" w:space="0"/>
              <w:bottom w:val="single" w:color="000000" w:sz="2" w:space="0"/>
              <w:right w:val="single" w:color="000000" w:sz="2" w:space="0"/>
            </w:tcBorders>
          </w:tcPr>
          <w:p w:rsidR="0087236F" w:rsidP="00F46122" w:rsidRDefault="0087236F" w14:paraId="3869C0F7" w14:textId="77777777">
            <w:pPr>
              <w:pStyle w:val="TableTextCenter10pt"/>
            </w:pPr>
          </w:p>
        </w:tc>
        <w:tc>
          <w:tcPr>
            <w:tcW w:w="1080" w:type="dxa"/>
            <w:tcBorders>
              <w:top w:val="single" w:color="000000" w:sz="2" w:space="0"/>
              <w:left w:val="single" w:color="000000" w:sz="2" w:space="0"/>
              <w:bottom w:val="single" w:color="000000" w:sz="2" w:space="0"/>
              <w:right w:val="single" w:color="000000" w:sz="2" w:space="0"/>
            </w:tcBorders>
          </w:tcPr>
          <w:p w:rsidR="0087236F" w:rsidP="00F46122" w:rsidRDefault="0087236F" w14:paraId="4C1C9E18" w14:textId="77777777">
            <w:pPr>
              <w:pStyle w:val="TableTextCenter10pt"/>
            </w:pPr>
          </w:p>
        </w:tc>
        <w:tc>
          <w:tcPr>
            <w:tcW w:w="1167" w:type="dxa"/>
            <w:tcBorders>
              <w:top w:val="single" w:color="000000" w:sz="2" w:space="0"/>
              <w:left w:val="single" w:color="000000" w:sz="2" w:space="0"/>
              <w:bottom w:val="single" w:color="000000" w:sz="2" w:space="0"/>
              <w:right w:val="single" w:color="000000" w:sz="2" w:space="0"/>
            </w:tcBorders>
          </w:tcPr>
          <w:p w:rsidR="0087236F" w:rsidP="00F46122" w:rsidRDefault="0087236F" w14:paraId="00E9DACF" w14:textId="77777777">
            <w:pPr>
              <w:pStyle w:val="TableTextRight10pt"/>
            </w:pPr>
          </w:p>
        </w:tc>
      </w:tr>
      <w:tr w:rsidR="0087236F" w:rsidTr="00CA5CD5" w14:paraId="4F7174F7" w14:textId="77777777">
        <w:trPr>
          <w:cantSplit/>
        </w:trPr>
        <w:tc>
          <w:tcPr>
            <w:tcW w:w="3346" w:type="dxa"/>
            <w:tcBorders>
              <w:top w:val="single" w:color="000000" w:sz="2" w:space="0"/>
              <w:left w:val="single" w:color="000000" w:sz="2" w:space="0"/>
              <w:bottom w:val="single" w:color="000000" w:sz="2" w:space="0"/>
              <w:right w:val="single" w:color="000000" w:sz="2" w:space="0"/>
            </w:tcBorders>
          </w:tcPr>
          <w:p w:rsidR="0087236F" w:rsidP="00F46122" w:rsidRDefault="0087236F" w14:paraId="7C4290DE" w14:textId="77777777">
            <w:pPr>
              <w:pStyle w:val="TableTextLeft10pt"/>
            </w:pPr>
            <w:r>
              <w:t>2. Survey and Studies</w:t>
            </w:r>
          </w:p>
        </w:tc>
        <w:tc>
          <w:tcPr>
            <w:tcW w:w="1151" w:type="dxa"/>
            <w:tcBorders>
              <w:top w:val="single" w:color="000000" w:sz="2" w:space="0"/>
              <w:left w:val="single" w:color="000000" w:sz="2" w:space="0"/>
              <w:bottom w:val="single" w:color="000000" w:sz="2" w:space="0"/>
              <w:right w:val="single" w:color="000000" w:sz="2" w:space="0"/>
            </w:tcBorders>
          </w:tcPr>
          <w:p w:rsidR="0087236F" w:rsidP="00F46122" w:rsidRDefault="0087236F" w14:paraId="20BC9FFB" w14:textId="77777777">
            <w:pPr>
              <w:pStyle w:val="TableTextCenter10pt"/>
            </w:pPr>
            <w:r>
              <w:t>N/A</w:t>
            </w:r>
          </w:p>
        </w:tc>
        <w:tc>
          <w:tcPr>
            <w:tcW w:w="1350" w:type="dxa"/>
            <w:tcBorders>
              <w:top w:val="single" w:color="000000" w:sz="2" w:space="0"/>
              <w:left w:val="single" w:color="000000" w:sz="2" w:space="0"/>
              <w:bottom w:val="single" w:color="000000" w:sz="2" w:space="0"/>
              <w:right w:val="single" w:color="000000" w:sz="2" w:space="0"/>
            </w:tcBorders>
          </w:tcPr>
          <w:p w:rsidR="0087236F" w:rsidP="00F46122" w:rsidRDefault="0087236F" w14:paraId="7F521DB2" w14:textId="77777777">
            <w:pPr>
              <w:pStyle w:val="TableTextCenter10pt"/>
            </w:pPr>
          </w:p>
        </w:tc>
        <w:tc>
          <w:tcPr>
            <w:tcW w:w="1170" w:type="dxa"/>
            <w:tcBorders>
              <w:top w:val="single" w:color="000000" w:sz="2" w:space="0"/>
              <w:left w:val="single" w:color="000000" w:sz="2" w:space="0"/>
              <w:bottom w:val="single" w:color="000000" w:sz="2" w:space="0"/>
              <w:right w:val="single" w:color="000000" w:sz="2" w:space="0"/>
            </w:tcBorders>
          </w:tcPr>
          <w:p w:rsidR="0087236F" w:rsidP="00F46122" w:rsidRDefault="0087236F" w14:paraId="0C4A3ABD" w14:textId="77777777">
            <w:pPr>
              <w:pStyle w:val="TableTextCenter10pt"/>
            </w:pPr>
          </w:p>
        </w:tc>
        <w:tc>
          <w:tcPr>
            <w:tcW w:w="1350" w:type="dxa"/>
            <w:tcBorders>
              <w:top w:val="single" w:color="000000" w:sz="2" w:space="0"/>
              <w:left w:val="single" w:color="000000" w:sz="2" w:space="0"/>
              <w:bottom w:val="single" w:color="000000" w:sz="2" w:space="0"/>
              <w:right w:val="single" w:color="000000" w:sz="2" w:space="0"/>
            </w:tcBorders>
          </w:tcPr>
          <w:p w:rsidR="0087236F" w:rsidP="00F46122" w:rsidRDefault="0087236F" w14:paraId="16BC2EEB" w14:textId="77777777">
            <w:pPr>
              <w:pStyle w:val="TableTextCenter10pt"/>
            </w:pPr>
          </w:p>
        </w:tc>
        <w:tc>
          <w:tcPr>
            <w:tcW w:w="1102" w:type="dxa"/>
            <w:tcBorders>
              <w:top w:val="single" w:color="000000" w:sz="2" w:space="0"/>
              <w:left w:val="single" w:color="000000" w:sz="2" w:space="0"/>
              <w:bottom w:val="single" w:color="000000" w:sz="2" w:space="0"/>
              <w:right w:val="single" w:color="000000" w:sz="2" w:space="0"/>
            </w:tcBorders>
          </w:tcPr>
          <w:p w:rsidR="0087236F" w:rsidP="00F46122" w:rsidRDefault="0087236F" w14:paraId="4C60A112" w14:textId="77777777">
            <w:pPr>
              <w:pStyle w:val="TableTextCenter10pt"/>
            </w:pPr>
          </w:p>
        </w:tc>
        <w:tc>
          <w:tcPr>
            <w:tcW w:w="1328" w:type="dxa"/>
            <w:tcBorders>
              <w:top w:val="single" w:color="000000" w:sz="2" w:space="0"/>
              <w:left w:val="single" w:color="000000" w:sz="2" w:space="0"/>
              <w:bottom w:val="single" w:color="000000" w:sz="2" w:space="0"/>
              <w:right w:val="single" w:color="000000" w:sz="2" w:space="0"/>
            </w:tcBorders>
          </w:tcPr>
          <w:p w:rsidR="0087236F" w:rsidP="00F46122" w:rsidRDefault="0087236F" w14:paraId="3210161E" w14:textId="77777777">
            <w:pPr>
              <w:pStyle w:val="TableTextCenter10pt"/>
            </w:pPr>
          </w:p>
        </w:tc>
        <w:tc>
          <w:tcPr>
            <w:tcW w:w="1080" w:type="dxa"/>
            <w:tcBorders>
              <w:top w:val="single" w:color="000000" w:sz="2" w:space="0"/>
              <w:left w:val="single" w:color="000000" w:sz="2" w:space="0"/>
              <w:bottom w:val="single" w:color="000000" w:sz="2" w:space="0"/>
              <w:right w:val="single" w:color="000000" w:sz="2" w:space="0"/>
            </w:tcBorders>
          </w:tcPr>
          <w:p w:rsidR="0087236F" w:rsidP="00F46122" w:rsidRDefault="0087236F" w14:paraId="2E2D49ED" w14:textId="77777777">
            <w:pPr>
              <w:pStyle w:val="TableTextCenter10pt"/>
            </w:pPr>
          </w:p>
        </w:tc>
        <w:tc>
          <w:tcPr>
            <w:tcW w:w="1167" w:type="dxa"/>
            <w:tcBorders>
              <w:top w:val="single" w:color="000000" w:sz="2" w:space="0"/>
              <w:left w:val="single" w:color="000000" w:sz="2" w:space="0"/>
              <w:bottom w:val="single" w:color="000000" w:sz="2" w:space="0"/>
              <w:right w:val="single" w:color="000000" w:sz="2" w:space="0"/>
            </w:tcBorders>
          </w:tcPr>
          <w:p w:rsidR="0087236F" w:rsidP="00F46122" w:rsidRDefault="0087236F" w14:paraId="1A79D873" w14:textId="77777777">
            <w:pPr>
              <w:pStyle w:val="TableTextRight10pt"/>
            </w:pPr>
          </w:p>
        </w:tc>
      </w:tr>
      <w:tr w:rsidR="0087236F" w:rsidTr="00CA5CD5" w14:paraId="56730874" w14:textId="77777777">
        <w:trPr>
          <w:cantSplit/>
        </w:trPr>
        <w:tc>
          <w:tcPr>
            <w:tcW w:w="3346" w:type="dxa"/>
            <w:tcBorders>
              <w:top w:val="single" w:color="000000" w:sz="2" w:space="0"/>
              <w:left w:val="single" w:color="000000" w:sz="2" w:space="0"/>
              <w:bottom w:val="single" w:color="000000" w:sz="2" w:space="0"/>
              <w:right w:val="single" w:color="000000" w:sz="2" w:space="0"/>
            </w:tcBorders>
          </w:tcPr>
          <w:p w:rsidR="0087236F" w:rsidP="00C249BB" w:rsidRDefault="0087236F" w14:paraId="4EA1029E" w14:textId="77777777">
            <w:pPr>
              <w:pStyle w:val="TableTextLeft10pt"/>
            </w:pPr>
            <w:r>
              <w:t>3. Acquisition, Installation, and</w:t>
            </w:r>
            <w:r w:rsidR="00C249BB">
              <w:t xml:space="preserve"> </w:t>
            </w:r>
            <w:r>
              <w:t>Utilization of Technology and</w:t>
            </w:r>
            <w:r w:rsidR="00C249BB">
              <w:t xml:space="preserve"> </w:t>
            </w:r>
            <w:r>
              <w:t>Systems</w:t>
            </w:r>
            <w:r w:rsidR="00F47C05">
              <w:t xml:space="preserve"> </w:t>
            </w:r>
          </w:p>
        </w:tc>
        <w:tc>
          <w:tcPr>
            <w:tcW w:w="1151" w:type="dxa"/>
            <w:tcBorders>
              <w:top w:val="single" w:color="000000" w:sz="2" w:space="0"/>
              <w:left w:val="single" w:color="000000" w:sz="2" w:space="0"/>
              <w:bottom w:val="single" w:color="000000" w:sz="2" w:space="0"/>
              <w:right w:val="single" w:color="000000" w:sz="2" w:space="0"/>
            </w:tcBorders>
            <w:vAlign w:val="center"/>
          </w:tcPr>
          <w:p w:rsidR="0087236F" w:rsidP="00F46122" w:rsidRDefault="0087236F" w14:paraId="11EE4DE7" w14:textId="77777777">
            <w:pPr>
              <w:pStyle w:val="TableTextCenter10pt"/>
            </w:pPr>
            <w:r>
              <w:t>N/A</w:t>
            </w:r>
          </w:p>
        </w:tc>
        <w:tc>
          <w:tcPr>
            <w:tcW w:w="1350" w:type="dxa"/>
            <w:tcBorders>
              <w:top w:val="single" w:color="000000" w:sz="2" w:space="0"/>
              <w:left w:val="single" w:color="000000" w:sz="2" w:space="0"/>
              <w:bottom w:val="single" w:color="000000" w:sz="2" w:space="0"/>
              <w:right w:val="single" w:color="000000" w:sz="2" w:space="0"/>
            </w:tcBorders>
            <w:vAlign w:val="center"/>
          </w:tcPr>
          <w:p w:rsidR="0087236F" w:rsidP="00F46122" w:rsidRDefault="0087236F" w14:paraId="7E2F5CF9" w14:textId="77777777">
            <w:pPr>
              <w:pStyle w:val="TableTextCenter10pt"/>
            </w:pPr>
          </w:p>
        </w:tc>
        <w:tc>
          <w:tcPr>
            <w:tcW w:w="1170" w:type="dxa"/>
            <w:tcBorders>
              <w:top w:val="single" w:color="000000" w:sz="2" w:space="0"/>
              <w:left w:val="single" w:color="000000" w:sz="2" w:space="0"/>
              <w:bottom w:val="single" w:color="000000" w:sz="2" w:space="0"/>
              <w:right w:val="single" w:color="000000" w:sz="2" w:space="0"/>
            </w:tcBorders>
            <w:vAlign w:val="center"/>
          </w:tcPr>
          <w:p w:rsidR="0087236F" w:rsidP="00F46122" w:rsidRDefault="0087236F" w14:paraId="7A0EB64A" w14:textId="77777777">
            <w:pPr>
              <w:pStyle w:val="TableTextCenter10pt"/>
            </w:pPr>
          </w:p>
        </w:tc>
        <w:tc>
          <w:tcPr>
            <w:tcW w:w="1350" w:type="dxa"/>
            <w:tcBorders>
              <w:top w:val="single" w:color="000000" w:sz="2" w:space="0"/>
              <w:left w:val="single" w:color="000000" w:sz="2" w:space="0"/>
              <w:bottom w:val="single" w:color="000000" w:sz="2" w:space="0"/>
              <w:right w:val="single" w:color="000000" w:sz="2" w:space="0"/>
            </w:tcBorders>
            <w:vAlign w:val="center"/>
          </w:tcPr>
          <w:p w:rsidR="0087236F" w:rsidP="00F46122" w:rsidRDefault="0087236F" w14:paraId="21741C36" w14:textId="77777777">
            <w:pPr>
              <w:pStyle w:val="TableTextCenter10pt"/>
            </w:pPr>
          </w:p>
        </w:tc>
        <w:tc>
          <w:tcPr>
            <w:tcW w:w="1102" w:type="dxa"/>
            <w:tcBorders>
              <w:top w:val="single" w:color="000000" w:sz="2" w:space="0"/>
              <w:left w:val="single" w:color="000000" w:sz="2" w:space="0"/>
              <w:bottom w:val="single" w:color="000000" w:sz="2" w:space="0"/>
              <w:right w:val="single" w:color="000000" w:sz="2" w:space="0"/>
            </w:tcBorders>
            <w:vAlign w:val="center"/>
          </w:tcPr>
          <w:p w:rsidR="0087236F" w:rsidP="00F46122" w:rsidRDefault="0087236F" w14:paraId="7E6B09AC" w14:textId="77777777">
            <w:pPr>
              <w:pStyle w:val="TableTextCenter10pt"/>
            </w:pPr>
          </w:p>
        </w:tc>
        <w:tc>
          <w:tcPr>
            <w:tcW w:w="1328" w:type="dxa"/>
            <w:tcBorders>
              <w:top w:val="single" w:color="000000" w:sz="2" w:space="0"/>
              <w:left w:val="single" w:color="000000" w:sz="2" w:space="0"/>
              <w:bottom w:val="single" w:color="000000" w:sz="2" w:space="0"/>
              <w:right w:val="single" w:color="000000" w:sz="2" w:space="0"/>
            </w:tcBorders>
            <w:vAlign w:val="center"/>
          </w:tcPr>
          <w:p w:rsidR="0087236F" w:rsidP="00F46122" w:rsidRDefault="0087236F" w14:paraId="6B5F0551" w14:textId="77777777">
            <w:pPr>
              <w:pStyle w:val="TableTextCenter10pt"/>
            </w:pPr>
          </w:p>
        </w:tc>
        <w:tc>
          <w:tcPr>
            <w:tcW w:w="1080" w:type="dxa"/>
            <w:tcBorders>
              <w:top w:val="single" w:color="000000" w:sz="2" w:space="0"/>
              <w:left w:val="single" w:color="000000" w:sz="2" w:space="0"/>
              <w:bottom w:val="single" w:color="000000" w:sz="2" w:space="0"/>
              <w:right w:val="single" w:color="000000" w:sz="2" w:space="0"/>
            </w:tcBorders>
            <w:vAlign w:val="center"/>
          </w:tcPr>
          <w:p w:rsidR="0087236F" w:rsidP="00F46122" w:rsidRDefault="0087236F" w14:paraId="375BDBC1" w14:textId="77777777">
            <w:pPr>
              <w:pStyle w:val="TableTextCenter10pt"/>
            </w:pPr>
          </w:p>
        </w:tc>
        <w:tc>
          <w:tcPr>
            <w:tcW w:w="1167" w:type="dxa"/>
            <w:tcBorders>
              <w:top w:val="single" w:color="000000" w:sz="2" w:space="0"/>
              <w:left w:val="single" w:color="000000" w:sz="2" w:space="0"/>
              <w:bottom w:val="single" w:color="000000" w:sz="2" w:space="0"/>
              <w:right w:val="single" w:color="000000" w:sz="2" w:space="0"/>
            </w:tcBorders>
            <w:vAlign w:val="center"/>
          </w:tcPr>
          <w:p w:rsidR="0087236F" w:rsidP="00F46122" w:rsidRDefault="0087236F" w14:paraId="5A0A412C" w14:textId="77777777">
            <w:pPr>
              <w:pStyle w:val="TableTextRight10pt"/>
            </w:pPr>
          </w:p>
        </w:tc>
      </w:tr>
      <w:tr w:rsidR="0087236F" w:rsidTr="00CA5CD5" w14:paraId="57271EE3" w14:textId="77777777">
        <w:trPr>
          <w:cantSplit/>
        </w:trPr>
        <w:tc>
          <w:tcPr>
            <w:tcW w:w="3346" w:type="dxa"/>
            <w:tcBorders>
              <w:top w:val="single" w:color="000000" w:sz="2" w:space="0"/>
              <w:left w:val="single" w:color="000000" w:sz="2" w:space="0"/>
              <w:bottom w:val="single" w:color="000000" w:sz="2" w:space="0"/>
              <w:right w:val="single" w:color="000000" w:sz="2" w:space="0"/>
            </w:tcBorders>
          </w:tcPr>
          <w:p w:rsidR="0087236F" w:rsidP="00F46122" w:rsidRDefault="0087236F" w14:paraId="16183152" w14:textId="77777777">
            <w:pPr>
              <w:pStyle w:val="TableTextLeft10pt"/>
            </w:pPr>
            <w:r>
              <w:t>4. Reporting Requirements</w:t>
            </w:r>
          </w:p>
        </w:tc>
        <w:tc>
          <w:tcPr>
            <w:tcW w:w="1151" w:type="dxa"/>
            <w:tcBorders>
              <w:top w:val="single" w:color="000000" w:sz="2" w:space="0"/>
              <w:left w:val="single" w:color="000000" w:sz="2" w:space="0"/>
              <w:bottom w:val="single" w:color="000000" w:sz="2" w:space="0"/>
              <w:right w:val="single" w:color="000000" w:sz="2" w:space="0"/>
            </w:tcBorders>
          </w:tcPr>
          <w:p w:rsidR="0087236F" w:rsidP="00F46122" w:rsidRDefault="00330C81" w14:paraId="3928CED6" w14:textId="03578328">
            <w:pPr>
              <w:pStyle w:val="TableTextCenter10pt"/>
            </w:pPr>
            <w:r>
              <w:t>N/A</w:t>
            </w:r>
          </w:p>
        </w:tc>
        <w:tc>
          <w:tcPr>
            <w:tcW w:w="1350" w:type="dxa"/>
            <w:tcBorders>
              <w:top w:val="single" w:color="000000" w:sz="2" w:space="0"/>
              <w:left w:val="single" w:color="000000" w:sz="2" w:space="0"/>
              <w:bottom w:val="single" w:color="000000" w:sz="2" w:space="0"/>
              <w:right w:val="single" w:color="000000" w:sz="2" w:space="0"/>
            </w:tcBorders>
          </w:tcPr>
          <w:p w:rsidR="0087236F" w:rsidP="00F46122" w:rsidRDefault="0087236F" w14:paraId="6D93BC7C" w14:textId="77777777">
            <w:pPr>
              <w:pStyle w:val="TableTextCenter10pt"/>
            </w:pPr>
          </w:p>
        </w:tc>
        <w:tc>
          <w:tcPr>
            <w:tcW w:w="1170" w:type="dxa"/>
            <w:tcBorders>
              <w:top w:val="single" w:color="000000" w:sz="2" w:space="0"/>
              <w:left w:val="single" w:color="000000" w:sz="2" w:space="0"/>
              <w:bottom w:val="single" w:color="000000" w:sz="2" w:space="0"/>
              <w:right w:val="single" w:color="000000" w:sz="2" w:space="0"/>
            </w:tcBorders>
          </w:tcPr>
          <w:p w:rsidR="0087236F" w:rsidP="00F46122" w:rsidRDefault="0087236F" w14:paraId="57B2CB98" w14:textId="77777777">
            <w:pPr>
              <w:pStyle w:val="TableTextCenter10pt"/>
            </w:pPr>
          </w:p>
        </w:tc>
        <w:tc>
          <w:tcPr>
            <w:tcW w:w="1350" w:type="dxa"/>
            <w:tcBorders>
              <w:top w:val="single" w:color="000000" w:sz="2" w:space="0"/>
              <w:left w:val="single" w:color="000000" w:sz="2" w:space="0"/>
              <w:bottom w:val="single" w:color="000000" w:sz="2" w:space="0"/>
              <w:right w:val="single" w:color="000000" w:sz="2" w:space="0"/>
            </w:tcBorders>
          </w:tcPr>
          <w:p w:rsidR="0087236F" w:rsidP="00F46122" w:rsidRDefault="0087236F" w14:paraId="01396B73" w14:textId="77777777">
            <w:pPr>
              <w:pStyle w:val="TableTextCenter10pt"/>
            </w:pPr>
          </w:p>
        </w:tc>
        <w:tc>
          <w:tcPr>
            <w:tcW w:w="1102" w:type="dxa"/>
            <w:tcBorders>
              <w:top w:val="single" w:color="000000" w:sz="2" w:space="0"/>
              <w:left w:val="single" w:color="000000" w:sz="2" w:space="0"/>
              <w:bottom w:val="single" w:color="000000" w:sz="2" w:space="0"/>
              <w:right w:val="single" w:color="000000" w:sz="2" w:space="0"/>
            </w:tcBorders>
          </w:tcPr>
          <w:p w:rsidR="0087236F" w:rsidP="00F46122" w:rsidRDefault="0087236F" w14:paraId="12DBDD77" w14:textId="77777777">
            <w:pPr>
              <w:pStyle w:val="TableTextCenter10pt"/>
            </w:pPr>
          </w:p>
        </w:tc>
        <w:tc>
          <w:tcPr>
            <w:tcW w:w="1328" w:type="dxa"/>
            <w:tcBorders>
              <w:top w:val="single" w:color="000000" w:sz="2" w:space="0"/>
              <w:left w:val="single" w:color="000000" w:sz="2" w:space="0"/>
              <w:bottom w:val="single" w:color="000000" w:sz="2" w:space="0"/>
              <w:right w:val="single" w:color="000000" w:sz="2" w:space="0"/>
            </w:tcBorders>
          </w:tcPr>
          <w:p w:rsidR="0087236F" w:rsidP="00F46122" w:rsidRDefault="0087236F" w14:paraId="17CBEB09" w14:textId="77777777">
            <w:pPr>
              <w:pStyle w:val="TableTextCenter10pt"/>
            </w:pPr>
          </w:p>
        </w:tc>
        <w:tc>
          <w:tcPr>
            <w:tcW w:w="1080" w:type="dxa"/>
            <w:tcBorders>
              <w:top w:val="single" w:color="000000" w:sz="2" w:space="0"/>
              <w:left w:val="single" w:color="000000" w:sz="2" w:space="0"/>
              <w:bottom w:val="single" w:color="000000" w:sz="2" w:space="0"/>
              <w:right w:val="single" w:color="000000" w:sz="2" w:space="0"/>
            </w:tcBorders>
          </w:tcPr>
          <w:p w:rsidR="0087236F" w:rsidP="00F46122" w:rsidRDefault="0087236F" w14:paraId="05047E38" w14:textId="77777777">
            <w:pPr>
              <w:pStyle w:val="TableTextCenter10pt"/>
            </w:pPr>
          </w:p>
        </w:tc>
        <w:tc>
          <w:tcPr>
            <w:tcW w:w="1167" w:type="dxa"/>
            <w:tcBorders>
              <w:top w:val="single" w:color="000000" w:sz="2" w:space="0"/>
              <w:left w:val="single" w:color="000000" w:sz="2" w:space="0"/>
              <w:bottom w:val="single" w:color="000000" w:sz="2" w:space="0"/>
              <w:right w:val="single" w:color="000000" w:sz="2" w:space="0"/>
            </w:tcBorders>
          </w:tcPr>
          <w:p w:rsidR="0087236F" w:rsidP="00F46122" w:rsidRDefault="0087236F" w14:paraId="186AE02F" w14:textId="77777777">
            <w:pPr>
              <w:pStyle w:val="TableTextRight10pt"/>
            </w:pPr>
          </w:p>
        </w:tc>
      </w:tr>
      <w:tr w:rsidR="005361DE" w:rsidTr="00CA5CD5" w14:paraId="431A4250" w14:textId="77777777">
        <w:trPr>
          <w:cantSplit/>
        </w:trPr>
        <w:tc>
          <w:tcPr>
            <w:tcW w:w="3346" w:type="dxa"/>
            <w:tcBorders>
              <w:top w:val="single" w:color="000000" w:sz="2" w:space="0"/>
              <w:left w:val="single" w:color="000000" w:sz="2" w:space="0"/>
              <w:bottom w:val="single" w:color="000000" w:sz="2" w:space="0"/>
              <w:right w:val="single" w:color="000000" w:sz="2" w:space="0"/>
            </w:tcBorders>
          </w:tcPr>
          <w:p w:rsidRPr="00F46122" w:rsidR="005361DE" w:rsidP="005361DE" w:rsidRDefault="005361DE" w14:paraId="50252993" w14:textId="77777777">
            <w:pPr>
              <w:pStyle w:val="TableTextLeft10pt"/>
            </w:pPr>
            <w:r w:rsidRPr="00F46122">
              <w:t>5. Recordkeeping Requirements</w:t>
            </w:r>
          </w:p>
        </w:tc>
        <w:tc>
          <w:tcPr>
            <w:tcW w:w="1151" w:type="dxa"/>
            <w:tcBorders>
              <w:top w:val="single" w:color="000000" w:sz="2" w:space="0"/>
              <w:left w:val="single" w:color="000000" w:sz="2" w:space="0"/>
              <w:bottom w:val="single" w:color="000000" w:sz="2" w:space="0"/>
              <w:right w:val="single" w:color="000000" w:sz="2" w:space="0"/>
            </w:tcBorders>
          </w:tcPr>
          <w:p w:rsidR="005361DE" w:rsidP="005361DE" w:rsidRDefault="00330C81" w14:paraId="3CB8C2F2" w14:textId="74A87D8F">
            <w:pPr>
              <w:pStyle w:val="TableTextCenter10pt"/>
              <w:rPr>
                <w:rFonts w:cs="Arial"/>
                <w:szCs w:val="16"/>
              </w:rPr>
            </w:pPr>
            <w:r>
              <w:t>N/A</w:t>
            </w:r>
          </w:p>
        </w:tc>
        <w:tc>
          <w:tcPr>
            <w:tcW w:w="1350" w:type="dxa"/>
            <w:tcBorders>
              <w:top w:val="single" w:color="000000" w:sz="2" w:space="0"/>
              <w:left w:val="single" w:color="000000" w:sz="2" w:space="0"/>
              <w:bottom w:val="single" w:color="000000" w:sz="2" w:space="0"/>
              <w:right w:val="single" w:color="000000" w:sz="2" w:space="0"/>
            </w:tcBorders>
          </w:tcPr>
          <w:p w:rsidR="005361DE" w:rsidP="005361DE" w:rsidRDefault="005361DE" w14:paraId="171B8FE3" w14:textId="77777777">
            <w:pPr>
              <w:pStyle w:val="TableTextCenter10pt"/>
              <w:rPr>
                <w:rFonts w:cs="Arial"/>
                <w:szCs w:val="16"/>
              </w:rPr>
            </w:pPr>
          </w:p>
        </w:tc>
        <w:tc>
          <w:tcPr>
            <w:tcW w:w="1170" w:type="dxa"/>
            <w:tcBorders>
              <w:top w:val="single" w:color="000000" w:sz="2" w:space="0"/>
              <w:left w:val="single" w:color="000000" w:sz="2" w:space="0"/>
              <w:bottom w:val="single" w:color="000000" w:sz="2" w:space="0"/>
              <w:right w:val="single" w:color="000000" w:sz="2" w:space="0"/>
            </w:tcBorders>
          </w:tcPr>
          <w:p w:rsidR="005361DE" w:rsidP="005361DE" w:rsidRDefault="005361DE" w14:paraId="176BC65E" w14:textId="77777777">
            <w:pPr>
              <w:pStyle w:val="TableTextCenter10pt"/>
              <w:rPr>
                <w:rFonts w:cs="Arial"/>
                <w:szCs w:val="16"/>
              </w:rPr>
            </w:pPr>
          </w:p>
        </w:tc>
        <w:tc>
          <w:tcPr>
            <w:tcW w:w="1350" w:type="dxa"/>
            <w:tcBorders>
              <w:top w:val="single" w:color="000000" w:sz="2" w:space="0"/>
              <w:left w:val="single" w:color="000000" w:sz="2" w:space="0"/>
              <w:bottom w:val="single" w:color="000000" w:sz="2" w:space="0"/>
              <w:right w:val="single" w:color="000000" w:sz="2" w:space="0"/>
            </w:tcBorders>
          </w:tcPr>
          <w:p w:rsidR="005361DE" w:rsidP="005361DE" w:rsidRDefault="005361DE" w14:paraId="1CA5C1E4" w14:textId="77777777">
            <w:pPr>
              <w:pStyle w:val="TableTextCenter10pt"/>
              <w:rPr>
                <w:rFonts w:cs="Arial"/>
                <w:szCs w:val="16"/>
              </w:rPr>
            </w:pPr>
          </w:p>
        </w:tc>
        <w:tc>
          <w:tcPr>
            <w:tcW w:w="1102" w:type="dxa"/>
            <w:tcBorders>
              <w:top w:val="single" w:color="000000" w:sz="2" w:space="0"/>
              <w:left w:val="single" w:color="000000" w:sz="2" w:space="0"/>
              <w:bottom w:val="single" w:color="000000" w:sz="2" w:space="0"/>
              <w:right w:val="single" w:color="000000" w:sz="2" w:space="0"/>
            </w:tcBorders>
          </w:tcPr>
          <w:p w:rsidR="005361DE" w:rsidP="005361DE" w:rsidRDefault="005361DE" w14:paraId="1E0C1515" w14:textId="77777777">
            <w:pPr>
              <w:pStyle w:val="TableTextCenter10pt"/>
              <w:rPr>
                <w:rFonts w:cs="Arial"/>
                <w:szCs w:val="16"/>
              </w:rPr>
            </w:pPr>
          </w:p>
        </w:tc>
        <w:tc>
          <w:tcPr>
            <w:tcW w:w="1328" w:type="dxa"/>
            <w:tcBorders>
              <w:top w:val="single" w:color="000000" w:sz="2" w:space="0"/>
              <w:left w:val="single" w:color="000000" w:sz="2" w:space="0"/>
              <w:bottom w:val="single" w:color="000000" w:sz="2" w:space="0"/>
              <w:right w:val="single" w:color="000000" w:sz="2" w:space="0"/>
            </w:tcBorders>
          </w:tcPr>
          <w:p w:rsidR="005361DE" w:rsidP="005361DE" w:rsidRDefault="005361DE" w14:paraId="50918485" w14:textId="77777777">
            <w:pPr>
              <w:pStyle w:val="TableTextCenter10pt"/>
              <w:rPr>
                <w:rFonts w:cs="Arial"/>
                <w:szCs w:val="16"/>
              </w:rPr>
            </w:pPr>
          </w:p>
        </w:tc>
        <w:tc>
          <w:tcPr>
            <w:tcW w:w="1080" w:type="dxa"/>
            <w:tcBorders>
              <w:top w:val="single" w:color="000000" w:sz="2" w:space="0"/>
              <w:left w:val="single" w:color="000000" w:sz="2" w:space="0"/>
              <w:bottom w:val="single" w:color="000000" w:sz="2" w:space="0"/>
              <w:right w:val="single" w:color="000000" w:sz="2" w:space="0"/>
            </w:tcBorders>
          </w:tcPr>
          <w:p w:rsidR="005361DE" w:rsidP="005361DE" w:rsidRDefault="005361DE" w14:paraId="7995BD80" w14:textId="77777777">
            <w:pPr>
              <w:pStyle w:val="TableTextCenter10pt"/>
              <w:rPr>
                <w:rFonts w:cs="Arial"/>
                <w:szCs w:val="16"/>
              </w:rPr>
            </w:pPr>
          </w:p>
        </w:tc>
        <w:tc>
          <w:tcPr>
            <w:tcW w:w="1167" w:type="dxa"/>
            <w:tcBorders>
              <w:top w:val="single" w:color="000000" w:sz="2" w:space="0"/>
              <w:left w:val="single" w:color="000000" w:sz="2" w:space="0"/>
              <w:bottom w:val="single" w:color="000000" w:sz="2" w:space="0"/>
              <w:right w:val="single" w:color="000000" w:sz="2" w:space="0"/>
            </w:tcBorders>
          </w:tcPr>
          <w:p w:rsidR="005361DE" w:rsidP="008044E2" w:rsidRDefault="005361DE" w14:paraId="0093D9E1" w14:textId="77777777">
            <w:pPr>
              <w:pStyle w:val="TableTextRight10pt"/>
              <w:ind w:right="46"/>
            </w:pPr>
          </w:p>
        </w:tc>
      </w:tr>
      <w:tr w:rsidR="005361DE" w:rsidTr="00CA5CD5" w14:paraId="133BA9CB" w14:textId="77777777">
        <w:trPr>
          <w:cantSplit/>
        </w:trPr>
        <w:tc>
          <w:tcPr>
            <w:tcW w:w="3346" w:type="dxa"/>
            <w:tcBorders>
              <w:top w:val="single" w:color="000000" w:sz="2" w:space="0"/>
              <w:left w:val="single" w:color="000000" w:sz="2" w:space="0"/>
              <w:bottom w:val="single" w:color="000000" w:sz="2" w:space="0"/>
              <w:right w:val="single" w:color="000000" w:sz="2" w:space="0"/>
            </w:tcBorders>
          </w:tcPr>
          <w:p w:rsidRPr="00F46122" w:rsidR="005361DE" w:rsidP="005361DE" w:rsidRDefault="005361DE" w14:paraId="616ECC08" w14:textId="77777777">
            <w:pPr>
              <w:pStyle w:val="TableTextLeft10pt"/>
            </w:pPr>
            <w:r w:rsidRPr="00F46122">
              <w:t>A. Read instructions</w:t>
            </w:r>
          </w:p>
        </w:tc>
        <w:tc>
          <w:tcPr>
            <w:tcW w:w="1151" w:type="dxa"/>
            <w:tcBorders>
              <w:top w:val="single" w:color="000000" w:sz="2" w:space="0"/>
              <w:left w:val="single" w:color="000000" w:sz="2" w:space="0"/>
              <w:bottom w:val="single" w:color="000000" w:sz="2" w:space="0"/>
              <w:right w:val="single" w:color="000000" w:sz="2" w:space="0"/>
            </w:tcBorders>
          </w:tcPr>
          <w:p w:rsidR="005361DE" w:rsidP="005361DE" w:rsidRDefault="00330C81" w14:paraId="72963375" w14:textId="3BFDB5A8">
            <w:pPr>
              <w:pStyle w:val="TableTextCenter10pt"/>
            </w:pPr>
            <w:r>
              <w:t>See 5E</w:t>
            </w:r>
          </w:p>
        </w:tc>
        <w:tc>
          <w:tcPr>
            <w:tcW w:w="1350" w:type="dxa"/>
            <w:tcBorders>
              <w:top w:val="single" w:color="000000" w:sz="2" w:space="0"/>
              <w:left w:val="single" w:color="000000" w:sz="2" w:space="0"/>
              <w:bottom w:val="single" w:color="000000" w:sz="2" w:space="0"/>
              <w:right w:val="single" w:color="000000" w:sz="2" w:space="0"/>
            </w:tcBorders>
          </w:tcPr>
          <w:p w:rsidR="005361DE" w:rsidP="005361DE" w:rsidRDefault="005361DE" w14:paraId="07410692" w14:textId="77777777">
            <w:pPr>
              <w:pStyle w:val="TableTextCenter10pt"/>
              <w:rPr>
                <w:rFonts w:cs="Arial"/>
                <w:szCs w:val="16"/>
              </w:rPr>
            </w:pPr>
          </w:p>
        </w:tc>
        <w:tc>
          <w:tcPr>
            <w:tcW w:w="1170" w:type="dxa"/>
            <w:tcBorders>
              <w:top w:val="single" w:color="000000" w:sz="2" w:space="0"/>
              <w:left w:val="single" w:color="000000" w:sz="2" w:space="0"/>
              <w:bottom w:val="single" w:color="000000" w:sz="2" w:space="0"/>
              <w:right w:val="single" w:color="000000" w:sz="2" w:space="0"/>
            </w:tcBorders>
          </w:tcPr>
          <w:p w:rsidR="005361DE" w:rsidP="005361DE" w:rsidRDefault="005361DE" w14:paraId="64A5B447" w14:textId="77777777">
            <w:pPr>
              <w:pStyle w:val="TableTextCenter10pt"/>
              <w:rPr>
                <w:rFonts w:cs="Arial"/>
                <w:szCs w:val="16"/>
              </w:rPr>
            </w:pPr>
          </w:p>
        </w:tc>
        <w:tc>
          <w:tcPr>
            <w:tcW w:w="1350" w:type="dxa"/>
            <w:tcBorders>
              <w:top w:val="single" w:color="000000" w:sz="2" w:space="0"/>
              <w:left w:val="single" w:color="000000" w:sz="2" w:space="0"/>
              <w:bottom w:val="single" w:color="000000" w:sz="2" w:space="0"/>
              <w:right w:val="single" w:color="000000" w:sz="2" w:space="0"/>
            </w:tcBorders>
          </w:tcPr>
          <w:p w:rsidR="005361DE" w:rsidP="005361DE" w:rsidRDefault="005361DE" w14:paraId="4401EC32" w14:textId="77777777">
            <w:pPr>
              <w:pStyle w:val="TableTextCenter10pt"/>
              <w:rPr>
                <w:rFonts w:cs="Arial"/>
                <w:szCs w:val="16"/>
              </w:rPr>
            </w:pPr>
          </w:p>
        </w:tc>
        <w:tc>
          <w:tcPr>
            <w:tcW w:w="1102" w:type="dxa"/>
            <w:tcBorders>
              <w:top w:val="single" w:color="000000" w:sz="2" w:space="0"/>
              <w:left w:val="single" w:color="000000" w:sz="2" w:space="0"/>
              <w:bottom w:val="single" w:color="000000" w:sz="2" w:space="0"/>
              <w:right w:val="single" w:color="000000" w:sz="2" w:space="0"/>
            </w:tcBorders>
          </w:tcPr>
          <w:p w:rsidR="005361DE" w:rsidP="005361DE" w:rsidRDefault="005361DE" w14:paraId="18CF234B" w14:textId="77777777">
            <w:pPr>
              <w:pStyle w:val="TableTextCenter10pt"/>
              <w:rPr>
                <w:rFonts w:cs="Arial"/>
                <w:szCs w:val="16"/>
              </w:rPr>
            </w:pPr>
          </w:p>
        </w:tc>
        <w:tc>
          <w:tcPr>
            <w:tcW w:w="1328" w:type="dxa"/>
            <w:tcBorders>
              <w:top w:val="single" w:color="000000" w:sz="2" w:space="0"/>
              <w:left w:val="single" w:color="000000" w:sz="2" w:space="0"/>
              <w:bottom w:val="single" w:color="000000" w:sz="2" w:space="0"/>
              <w:right w:val="single" w:color="000000" w:sz="2" w:space="0"/>
            </w:tcBorders>
          </w:tcPr>
          <w:p w:rsidR="005361DE" w:rsidP="005361DE" w:rsidRDefault="005361DE" w14:paraId="5D89A1A7" w14:textId="77777777">
            <w:pPr>
              <w:pStyle w:val="TableTextCenter10pt"/>
              <w:rPr>
                <w:rFonts w:cs="Arial"/>
                <w:szCs w:val="16"/>
              </w:rPr>
            </w:pPr>
          </w:p>
        </w:tc>
        <w:tc>
          <w:tcPr>
            <w:tcW w:w="1080" w:type="dxa"/>
            <w:tcBorders>
              <w:top w:val="single" w:color="000000" w:sz="2" w:space="0"/>
              <w:left w:val="single" w:color="000000" w:sz="2" w:space="0"/>
              <w:bottom w:val="single" w:color="000000" w:sz="2" w:space="0"/>
              <w:right w:val="single" w:color="000000" w:sz="2" w:space="0"/>
            </w:tcBorders>
          </w:tcPr>
          <w:p w:rsidR="005361DE" w:rsidP="005361DE" w:rsidRDefault="005361DE" w14:paraId="040B605C" w14:textId="77777777">
            <w:pPr>
              <w:pStyle w:val="TableTextCenter10pt"/>
              <w:rPr>
                <w:rFonts w:cs="Arial"/>
                <w:szCs w:val="16"/>
              </w:rPr>
            </w:pPr>
          </w:p>
        </w:tc>
        <w:tc>
          <w:tcPr>
            <w:tcW w:w="1167" w:type="dxa"/>
            <w:tcBorders>
              <w:top w:val="single" w:color="000000" w:sz="2" w:space="0"/>
              <w:left w:val="single" w:color="000000" w:sz="2" w:space="0"/>
              <w:bottom w:val="single" w:color="000000" w:sz="2" w:space="0"/>
              <w:right w:val="single" w:color="000000" w:sz="2" w:space="0"/>
            </w:tcBorders>
          </w:tcPr>
          <w:p w:rsidR="005361DE" w:rsidP="008044E2" w:rsidRDefault="005361DE" w14:paraId="437C50FC" w14:textId="77777777">
            <w:pPr>
              <w:pStyle w:val="TableTextRight10pt"/>
              <w:ind w:right="46"/>
            </w:pPr>
          </w:p>
        </w:tc>
      </w:tr>
      <w:tr w:rsidR="005361DE" w:rsidTr="00CA5CD5" w14:paraId="7D2FC7F5" w14:textId="77777777">
        <w:trPr>
          <w:cantSplit/>
        </w:trPr>
        <w:tc>
          <w:tcPr>
            <w:tcW w:w="3346" w:type="dxa"/>
            <w:tcBorders>
              <w:top w:val="single" w:color="000000" w:sz="2" w:space="0"/>
              <w:left w:val="single" w:color="000000" w:sz="2" w:space="0"/>
              <w:bottom w:val="single" w:color="000000" w:sz="2" w:space="0"/>
              <w:right w:val="single" w:color="000000" w:sz="2" w:space="0"/>
            </w:tcBorders>
          </w:tcPr>
          <w:p w:rsidRPr="00F46122" w:rsidR="005361DE" w:rsidP="005361DE" w:rsidRDefault="005361DE" w14:paraId="72ED86D7" w14:textId="77777777">
            <w:pPr>
              <w:pStyle w:val="TableTextLeft10pt"/>
            </w:pPr>
            <w:r w:rsidRPr="00F46122">
              <w:t xml:space="preserve">B. Plan activities </w:t>
            </w:r>
          </w:p>
        </w:tc>
        <w:tc>
          <w:tcPr>
            <w:tcW w:w="1151" w:type="dxa"/>
            <w:tcBorders>
              <w:top w:val="single" w:color="000000" w:sz="2" w:space="0"/>
              <w:left w:val="single" w:color="000000" w:sz="2" w:space="0"/>
              <w:bottom w:val="single" w:color="000000" w:sz="2" w:space="0"/>
              <w:right w:val="single" w:color="000000" w:sz="2" w:space="0"/>
            </w:tcBorders>
          </w:tcPr>
          <w:p w:rsidR="005361DE" w:rsidP="005361DE" w:rsidRDefault="00330C81" w14:paraId="1D5AEBDB" w14:textId="0F2ECD0B">
            <w:pPr>
              <w:pStyle w:val="TableTextCenter10pt"/>
            </w:pPr>
            <w:r>
              <w:t>See 5E</w:t>
            </w:r>
          </w:p>
        </w:tc>
        <w:tc>
          <w:tcPr>
            <w:tcW w:w="1350" w:type="dxa"/>
            <w:tcBorders>
              <w:top w:val="single" w:color="000000" w:sz="2" w:space="0"/>
              <w:left w:val="single" w:color="000000" w:sz="2" w:space="0"/>
              <w:bottom w:val="single" w:color="000000" w:sz="2" w:space="0"/>
              <w:right w:val="single" w:color="000000" w:sz="2" w:space="0"/>
            </w:tcBorders>
          </w:tcPr>
          <w:p w:rsidR="005361DE" w:rsidP="005361DE" w:rsidRDefault="005361DE" w14:paraId="4416ECE0" w14:textId="77777777">
            <w:pPr>
              <w:pStyle w:val="TableTextCenter10pt"/>
              <w:rPr>
                <w:rFonts w:cs="Arial"/>
                <w:szCs w:val="16"/>
              </w:rPr>
            </w:pPr>
          </w:p>
        </w:tc>
        <w:tc>
          <w:tcPr>
            <w:tcW w:w="1170" w:type="dxa"/>
            <w:tcBorders>
              <w:top w:val="single" w:color="000000" w:sz="2" w:space="0"/>
              <w:left w:val="single" w:color="000000" w:sz="2" w:space="0"/>
              <w:bottom w:val="single" w:color="000000" w:sz="2" w:space="0"/>
              <w:right w:val="single" w:color="000000" w:sz="2" w:space="0"/>
            </w:tcBorders>
          </w:tcPr>
          <w:p w:rsidR="005361DE" w:rsidP="005361DE" w:rsidRDefault="005361DE" w14:paraId="3E8A2FAE" w14:textId="77777777">
            <w:pPr>
              <w:pStyle w:val="TableTextCenter10pt"/>
              <w:rPr>
                <w:rFonts w:cs="Arial"/>
                <w:szCs w:val="16"/>
              </w:rPr>
            </w:pPr>
          </w:p>
        </w:tc>
        <w:tc>
          <w:tcPr>
            <w:tcW w:w="1350" w:type="dxa"/>
            <w:tcBorders>
              <w:top w:val="single" w:color="000000" w:sz="2" w:space="0"/>
              <w:left w:val="single" w:color="000000" w:sz="2" w:space="0"/>
              <w:bottom w:val="single" w:color="000000" w:sz="2" w:space="0"/>
              <w:right w:val="single" w:color="000000" w:sz="2" w:space="0"/>
            </w:tcBorders>
          </w:tcPr>
          <w:p w:rsidR="005361DE" w:rsidP="005361DE" w:rsidRDefault="005361DE" w14:paraId="56540C0A" w14:textId="77777777">
            <w:pPr>
              <w:pStyle w:val="TableTextCenter10pt"/>
              <w:rPr>
                <w:rFonts w:cs="Arial"/>
                <w:szCs w:val="16"/>
              </w:rPr>
            </w:pPr>
          </w:p>
        </w:tc>
        <w:tc>
          <w:tcPr>
            <w:tcW w:w="1102" w:type="dxa"/>
            <w:tcBorders>
              <w:top w:val="single" w:color="000000" w:sz="2" w:space="0"/>
              <w:left w:val="single" w:color="000000" w:sz="2" w:space="0"/>
              <w:bottom w:val="single" w:color="000000" w:sz="2" w:space="0"/>
              <w:right w:val="single" w:color="000000" w:sz="2" w:space="0"/>
            </w:tcBorders>
          </w:tcPr>
          <w:p w:rsidR="005361DE" w:rsidP="005361DE" w:rsidRDefault="005361DE" w14:paraId="715EAFB3" w14:textId="77777777">
            <w:pPr>
              <w:pStyle w:val="TableTextCenter10pt"/>
              <w:rPr>
                <w:rFonts w:cs="Arial"/>
                <w:szCs w:val="16"/>
              </w:rPr>
            </w:pPr>
          </w:p>
        </w:tc>
        <w:tc>
          <w:tcPr>
            <w:tcW w:w="1328" w:type="dxa"/>
            <w:tcBorders>
              <w:top w:val="single" w:color="000000" w:sz="2" w:space="0"/>
              <w:left w:val="single" w:color="000000" w:sz="2" w:space="0"/>
              <w:bottom w:val="single" w:color="000000" w:sz="2" w:space="0"/>
              <w:right w:val="single" w:color="000000" w:sz="2" w:space="0"/>
            </w:tcBorders>
          </w:tcPr>
          <w:p w:rsidR="005361DE" w:rsidP="005361DE" w:rsidRDefault="005361DE" w14:paraId="58875E96" w14:textId="77777777">
            <w:pPr>
              <w:pStyle w:val="TableTextCenter10pt"/>
              <w:rPr>
                <w:rFonts w:cs="Arial"/>
                <w:szCs w:val="16"/>
              </w:rPr>
            </w:pPr>
          </w:p>
        </w:tc>
        <w:tc>
          <w:tcPr>
            <w:tcW w:w="1080" w:type="dxa"/>
            <w:tcBorders>
              <w:top w:val="single" w:color="000000" w:sz="2" w:space="0"/>
              <w:left w:val="single" w:color="000000" w:sz="2" w:space="0"/>
              <w:bottom w:val="single" w:color="000000" w:sz="2" w:space="0"/>
              <w:right w:val="single" w:color="000000" w:sz="2" w:space="0"/>
            </w:tcBorders>
          </w:tcPr>
          <w:p w:rsidR="005361DE" w:rsidP="005361DE" w:rsidRDefault="005361DE" w14:paraId="5C44845F" w14:textId="77777777">
            <w:pPr>
              <w:pStyle w:val="TableTextCenter10pt"/>
              <w:rPr>
                <w:rFonts w:cs="Arial"/>
                <w:szCs w:val="16"/>
              </w:rPr>
            </w:pPr>
          </w:p>
        </w:tc>
        <w:tc>
          <w:tcPr>
            <w:tcW w:w="1167" w:type="dxa"/>
            <w:tcBorders>
              <w:top w:val="single" w:color="000000" w:sz="2" w:space="0"/>
              <w:left w:val="single" w:color="000000" w:sz="2" w:space="0"/>
              <w:bottom w:val="single" w:color="000000" w:sz="2" w:space="0"/>
              <w:right w:val="single" w:color="000000" w:sz="2" w:space="0"/>
            </w:tcBorders>
          </w:tcPr>
          <w:p w:rsidR="005361DE" w:rsidP="008044E2" w:rsidRDefault="005361DE" w14:paraId="4B970F38" w14:textId="77777777">
            <w:pPr>
              <w:pStyle w:val="TableTextRight10pt"/>
              <w:ind w:right="46"/>
            </w:pPr>
          </w:p>
        </w:tc>
      </w:tr>
      <w:tr w:rsidR="005361DE" w:rsidTr="00CA5CD5" w14:paraId="04FE1195" w14:textId="77777777">
        <w:trPr>
          <w:cantSplit/>
        </w:trPr>
        <w:tc>
          <w:tcPr>
            <w:tcW w:w="3346" w:type="dxa"/>
            <w:tcBorders>
              <w:top w:val="single" w:color="000000" w:sz="2" w:space="0"/>
              <w:left w:val="single" w:color="000000" w:sz="2" w:space="0"/>
              <w:bottom w:val="single" w:color="000000" w:sz="2" w:space="0"/>
              <w:right w:val="single" w:color="000000" w:sz="2" w:space="0"/>
            </w:tcBorders>
          </w:tcPr>
          <w:p w:rsidRPr="00F46122" w:rsidR="005361DE" w:rsidP="005361DE" w:rsidRDefault="005361DE" w14:paraId="2D17026F" w14:textId="77777777">
            <w:pPr>
              <w:pStyle w:val="TableTextLeft10pt"/>
            </w:pPr>
            <w:r w:rsidRPr="00F46122">
              <w:t xml:space="preserve">C. Implement activities </w:t>
            </w:r>
          </w:p>
        </w:tc>
        <w:tc>
          <w:tcPr>
            <w:tcW w:w="1151" w:type="dxa"/>
            <w:tcBorders>
              <w:top w:val="single" w:color="000000" w:sz="2" w:space="0"/>
              <w:left w:val="single" w:color="000000" w:sz="2" w:space="0"/>
              <w:bottom w:val="single" w:color="000000" w:sz="2" w:space="0"/>
              <w:right w:val="single" w:color="000000" w:sz="2" w:space="0"/>
            </w:tcBorders>
          </w:tcPr>
          <w:p w:rsidR="005361DE" w:rsidP="005361DE" w:rsidRDefault="00330C81" w14:paraId="66C51CB0" w14:textId="35E345BA">
            <w:pPr>
              <w:pStyle w:val="TableTextCenter10pt"/>
            </w:pPr>
            <w:r>
              <w:t>See 5E</w:t>
            </w:r>
          </w:p>
        </w:tc>
        <w:tc>
          <w:tcPr>
            <w:tcW w:w="1350" w:type="dxa"/>
            <w:tcBorders>
              <w:top w:val="single" w:color="000000" w:sz="2" w:space="0"/>
              <w:left w:val="single" w:color="000000" w:sz="2" w:space="0"/>
              <w:bottom w:val="single" w:color="000000" w:sz="2" w:space="0"/>
              <w:right w:val="single" w:color="000000" w:sz="2" w:space="0"/>
            </w:tcBorders>
          </w:tcPr>
          <w:p w:rsidR="005361DE" w:rsidP="005361DE" w:rsidRDefault="005361DE" w14:paraId="32EA66E7" w14:textId="77777777">
            <w:pPr>
              <w:pStyle w:val="TableTextCenter10pt"/>
              <w:rPr>
                <w:rFonts w:cs="Arial"/>
                <w:szCs w:val="16"/>
              </w:rPr>
            </w:pPr>
          </w:p>
        </w:tc>
        <w:tc>
          <w:tcPr>
            <w:tcW w:w="1170" w:type="dxa"/>
            <w:tcBorders>
              <w:top w:val="single" w:color="000000" w:sz="2" w:space="0"/>
              <w:left w:val="single" w:color="000000" w:sz="2" w:space="0"/>
              <w:bottom w:val="single" w:color="000000" w:sz="2" w:space="0"/>
              <w:right w:val="single" w:color="000000" w:sz="2" w:space="0"/>
            </w:tcBorders>
          </w:tcPr>
          <w:p w:rsidR="005361DE" w:rsidP="005361DE" w:rsidRDefault="005361DE" w14:paraId="657A7306" w14:textId="77777777">
            <w:pPr>
              <w:pStyle w:val="TableTextCenter10pt"/>
              <w:rPr>
                <w:rFonts w:cs="Arial"/>
                <w:szCs w:val="16"/>
              </w:rPr>
            </w:pPr>
          </w:p>
        </w:tc>
        <w:tc>
          <w:tcPr>
            <w:tcW w:w="1350" w:type="dxa"/>
            <w:tcBorders>
              <w:top w:val="single" w:color="000000" w:sz="2" w:space="0"/>
              <w:left w:val="single" w:color="000000" w:sz="2" w:space="0"/>
              <w:bottom w:val="single" w:color="000000" w:sz="2" w:space="0"/>
              <w:right w:val="single" w:color="000000" w:sz="2" w:space="0"/>
            </w:tcBorders>
          </w:tcPr>
          <w:p w:rsidR="005361DE" w:rsidP="005361DE" w:rsidRDefault="005361DE" w14:paraId="259B957B" w14:textId="77777777">
            <w:pPr>
              <w:pStyle w:val="TableTextCenter10pt"/>
              <w:rPr>
                <w:rFonts w:cs="Arial"/>
                <w:szCs w:val="16"/>
              </w:rPr>
            </w:pPr>
          </w:p>
        </w:tc>
        <w:tc>
          <w:tcPr>
            <w:tcW w:w="1102" w:type="dxa"/>
            <w:tcBorders>
              <w:top w:val="single" w:color="000000" w:sz="2" w:space="0"/>
              <w:left w:val="single" w:color="000000" w:sz="2" w:space="0"/>
              <w:bottom w:val="single" w:color="000000" w:sz="2" w:space="0"/>
              <w:right w:val="single" w:color="000000" w:sz="2" w:space="0"/>
            </w:tcBorders>
          </w:tcPr>
          <w:p w:rsidR="005361DE" w:rsidP="005361DE" w:rsidRDefault="005361DE" w14:paraId="5CC26387" w14:textId="77777777">
            <w:pPr>
              <w:pStyle w:val="TableTextCenter10pt"/>
              <w:rPr>
                <w:rFonts w:cs="Arial"/>
                <w:szCs w:val="16"/>
              </w:rPr>
            </w:pPr>
          </w:p>
        </w:tc>
        <w:tc>
          <w:tcPr>
            <w:tcW w:w="1328" w:type="dxa"/>
            <w:tcBorders>
              <w:top w:val="single" w:color="000000" w:sz="2" w:space="0"/>
              <w:left w:val="single" w:color="000000" w:sz="2" w:space="0"/>
              <w:bottom w:val="single" w:color="000000" w:sz="2" w:space="0"/>
              <w:right w:val="single" w:color="000000" w:sz="2" w:space="0"/>
            </w:tcBorders>
          </w:tcPr>
          <w:p w:rsidR="005361DE" w:rsidP="005361DE" w:rsidRDefault="005361DE" w14:paraId="287115B3" w14:textId="77777777">
            <w:pPr>
              <w:pStyle w:val="TableTextCenter10pt"/>
              <w:rPr>
                <w:rFonts w:cs="Arial"/>
                <w:szCs w:val="16"/>
              </w:rPr>
            </w:pPr>
          </w:p>
        </w:tc>
        <w:tc>
          <w:tcPr>
            <w:tcW w:w="1080" w:type="dxa"/>
            <w:tcBorders>
              <w:top w:val="single" w:color="000000" w:sz="2" w:space="0"/>
              <w:left w:val="single" w:color="000000" w:sz="2" w:space="0"/>
              <w:bottom w:val="single" w:color="000000" w:sz="2" w:space="0"/>
              <w:right w:val="single" w:color="000000" w:sz="2" w:space="0"/>
            </w:tcBorders>
          </w:tcPr>
          <w:p w:rsidR="005361DE" w:rsidP="005361DE" w:rsidRDefault="005361DE" w14:paraId="155A3DD6" w14:textId="77777777">
            <w:pPr>
              <w:pStyle w:val="TableTextCenter10pt"/>
              <w:rPr>
                <w:rFonts w:cs="Arial"/>
                <w:szCs w:val="16"/>
              </w:rPr>
            </w:pPr>
          </w:p>
        </w:tc>
        <w:tc>
          <w:tcPr>
            <w:tcW w:w="1167" w:type="dxa"/>
            <w:tcBorders>
              <w:top w:val="single" w:color="000000" w:sz="2" w:space="0"/>
              <w:left w:val="single" w:color="000000" w:sz="2" w:space="0"/>
              <w:bottom w:val="single" w:color="000000" w:sz="2" w:space="0"/>
              <w:right w:val="single" w:color="000000" w:sz="2" w:space="0"/>
            </w:tcBorders>
          </w:tcPr>
          <w:p w:rsidR="005361DE" w:rsidP="008044E2" w:rsidRDefault="005361DE" w14:paraId="4202EAFF" w14:textId="77777777">
            <w:pPr>
              <w:pStyle w:val="TableTextRight10pt"/>
              <w:ind w:right="46"/>
            </w:pPr>
          </w:p>
        </w:tc>
      </w:tr>
      <w:tr w:rsidR="004528E2" w:rsidTr="007E59AF" w14:paraId="19B48861" w14:textId="77777777">
        <w:trPr>
          <w:cantSplit/>
        </w:trPr>
        <w:tc>
          <w:tcPr>
            <w:tcW w:w="3346" w:type="dxa"/>
            <w:tcBorders>
              <w:top w:val="single" w:color="000000" w:sz="2" w:space="0"/>
              <w:left w:val="single" w:color="000000" w:sz="2" w:space="0"/>
              <w:bottom w:val="single" w:color="000000" w:sz="2" w:space="0"/>
              <w:right w:val="single" w:color="000000" w:sz="2" w:space="0"/>
            </w:tcBorders>
          </w:tcPr>
          <w:p w:rsidRPr="00F46122" w:rsidR="004528E2" w:rsidP="004528E2" w:rsidRDefault="004528E2" w14:paraId="6791F1C0" w14:textId="775AF601">
            <w:pPr>
              <w:pStyle w:val="TableTextLeft10pt"/>
            </w:pPr>
            <w:r w:rsidRPr="00F46122">
              <w:t xml:space="preserve">D. Develop record system </w:t>
            </w:r>
          </w:p>
        </w:tc>
        <w:tc>
          <w:tcPr>
            <w:tcW w:w="1151" w:type="dxa"/>
            <w:tcBorders>
              <w:top w:val="single" w:color="000000" w:sz="2" w:space="0"/>
              <w:left w:val="single" w:color="000000" w:sz="2" w:space="0"/>
              <w:bottom w:val="single" w:color="000000" w:sz="2" w:space="0"/>
              <w:right w:val="single" w:color="000000" w:sz="2" w:space="0"/>
            </w:tcBorders>
            <w:vAlign w:val="center"/>
          </w:tcPr>
          <w:p w:rsidR="004528E2" w:rsidP="007E59AF" w:rsidRDefault="004528E2" w14:paraId="64F452BA" w14:textId="779C835D">
            <w:pPr>
              <w:pStyle w:val="TableTextCenter10pt"/>
              <w:rPr>
                <w:rFonts w:cs="Arial"/>
                <w:szCs w:val="16"/>
              </w:rPr>
            </w:pPr>
            <w:r>
              <w:t>N/A</w:t>
            </w:r>
          </w:p>
        </w:tc>
        <w:tc>
          <w:tcPr>
            <w:tcW w:w="1350" w:type="dxa"/>
            <w:tcBorders>
              <w:top w:val="single" w:color="000000" w:sz="2" w:space="0"/>
              <w:left w:val="single" w:color="000000" w:sz="2" w:space="0"/>
              <w:bottom w:val="single" w:color="000000" w:sz="2" w:space="0"/>
              <w:right w:val="single" w:color="000000" w:sz="2" w:space="0"/>
            </w:tcBorders>
            <w:vAlign w:val="center"/>
          </w:tcPr>
          <w:p w:rsidR="004528E2" w:rsidP="007E59AF" w:rsidRDefault="004528E2" w14:paraId="0C168CB4" w14:textId="77777777">
            <w:pPr>
              <w:pStyle w:val="TableTextCenter10pt"/>
              <w:rPr>
                <w:rFonts w:cs="Arial"/>
                <w:szCs w:val="16"/>
              </w:rPr>
            </w:pPr>
          </w:p>
        </w:tc>
        <w:tc>
          <w:tcPr>
            <w:tcW w:w="1170" w:type="dxa"/>
            <w:tcBorders>
              <w:top w:val="single" w:color="000000" w:sz="2" w:space="0"/>
              <w:left w:val="single" w:color="000000" w:sz="2" w:space="0"/>
              <w:bottom w:val="single" w:color="000000" w:sz="2" w:space="0"/>
              <w:right w:val="single" w:color="000000" w:sz="2" w:space="0"/>
            </w:tcBorders>
            <w:vAlign w:val="center"/>
          </w:tcPr>
          <w:p w:rsidR="004528E2" w:rsidP="007E59AF" w:rsidRDefault="004528E2" w14:paraId="582094C7" w14:textId="77777777">
            <w:pPr>
              <w:pStyle w:val="TableTextCenter10pt"/>
              <w:rPr>
                <w:rFonts w:cs="Arial"/>
                <w:szCs w:val="16"/>
              </w:rPr>
            </w:pPr>
          </w:p>
        </w:tc>
        <w:tc>
          <w:tcPr>
            <w:tcW w:w="1350" w:type="dxa"/>
            <w:tcBorders>
              <w:top w:val="single" w:color="000000" w:sz="2" w:space="0"/>
              <w:left w:val="single" w:color="000000" w:sz="2" w:space="0"/>
              <w:bottom w:val="single" w:color="000000" w:sz="2" w:space="0"/>
              <w:right w:val="single" w:color="000000" w:sz="2" w:space="0"/>
            </w:tcBorders>
            <w:vAlign w:val="center"/>
          </w:tcPr>
          <w:p w:rsidR="004528E2" w:rsidP="007E59AF" w:rsidRDefault="004528E2" w14:paraId="74F889C1" w14:textId="77777777">
            <w:pPr>
              <w:pStyle w:val="TableTextCenter10pt"/>
              <w:rPr>
                <w:rFonts w:cs="Arial"/>
                <w:szCs w:val="16"/>
              </w:rPr>
            </w:pPr>
          </w:p>
        </w:tc>
        <w:tc>
          <w:tcPr>
            <w:tcW w:w="1102" w:type="dxa"/>
            <w:tcBorders>
              <w:top w:val="single" w:color="000000" w:sz="2" w:space="0"/>
              <w:left w:val="single" w:color="000000" w:sz="2" w:space="0"/>
              <w:bottom w:val="single" w:color="000000" w:sz="2" w:space="0"/>
              <w:right w:val="single" w:color="000000" w:sz="2" w:space="0"/>
            </w:tcBorders>
            <w:vAlign w:val="center"/>
          </w:tcPr>
          <w:p w:rsidR="004528E2" w:rsidP="007E59AF" w:rsidRDefault="004528E2" w14:paraId="7DC9ADCA" w14:textId="77777777">
            <w:pPr>
              <w:pStyle w:val="TableTextCenter10pt"/>
              <w:rPr>
                <w:rFonts w:cs="Arial"/>
                <w:szCs w:val="16"/>
              </w:rPr>
            </w:pPr>
          </w:p>
        </w:tc>
        <w:tc>
          <w:tcPr>
            <w:tcW w:w="1328" w:type="dxa"/>
            <w:tcBorders>
              <w:top w:val="single" w:color="000000" w:sz="2" w:space="0"/>
              <w:left w:val="single" w:color="000000" w:sz="2" w:space="0"/>
              <w:bottom w:val="single" w:color="000000" w:sz="2" w:space="0"/>
              <w:right w:val="single" w:color="000000" w:sz="2" w:space="0"/>
            </w:tcBorders>
            <w:vAlign w:val="center"/>
          </w:tcPr>
          <w:p w:rsidR="004528E2" w:rsidP="007E59AF" w:rsidRDefault="004528E2" w14:paraId="3D1D282D" w14:textId="77777777">
            <w:pPr>
              <w:pStyle w:val="TableTextCenter10pt"/>
              <w:rPr>
                <w:rFonts w:cs="Arial"/>
                <w:szCs w:val="16"/>
              </w:rPr>
            </w:pPr>
          </w:p>
        </w:tc>
        <w:tc>
          <w:tcPr>
            <w:tcW w:w="1080" w:type="dxa"/>
            <w:tcBorders>
              <w:top w:val="single" w:color="000000" w:sz="2" w:space="0"/>
              <w:left w:val="single" w:color="000000" w:sz="2" w:space="0"/>
              <w:bottom w:val="single" w:color="000000" w:sz="2" w:space="0"/>
              <w:right w:val="single" w:color="000000" w:sz="2" w:space="0"/>
            </w:tcBorders>
            <w:vAlign w:val="center"/>
          </w:tcPr>
          <w:p w:rsidR="004528E2" w:rsidP="007E59AF" w:rsidRDefault="004528E2" w14:paraId="229B21B0" w14:textId="77777777">
            <w:pPr>
              <w:pStyle w:val="TableTextCenter10pt"/>
              <w:rPr>
                <w:rFonts w:cs="Arial"/>
                <w:szCs w:val="16"/>
              </w:rPr>
            </w:pPr>
          </w:p>
        </w:tc>
        <w:tc>
          <w:tcPr>
            <w:tcW w:w="1167" w:type="dxa"/>
            <w:tcBorders>
              <w:top w:val="single" w:color="000000" w:sz="2" w:space="0"/>
              <w:left w:val="single" w:color="000000" w:sz="2" w:space="0"/>
              <w:bottom w:val="single" w:color="000000" w:sz="2" w:space="0"/>
              <w:right w:val="single" w:color="000000" w:sz="2" w:space="0"/>
            </w:tcBorders>
            <w:vAlign w:val="center"/>
          </w:tcPr>
          <w:p w:rsidR="004528E2" w:rsidP="008044E2" w:rsidRDefault="004528E2" w14:paraId="34682086" w14:textId="77777777">
            <w:pPr>
              <w:pStyle w:val="TableTextRight10pt"/>
              <w:ind w:right="46"/>
            </w:pPr>
          </w:p>
        </w:tc>
      </w:tr>
      <w:tr w:rsidR="004528E2" w:rsidTr="00CA5CD5" w14:paraId="3A2C4C98" w14:textId="77777777">
        <w:trPr>
          <w:cantSplit/>
        </w:trPr>
        <w:tc>
          <w:tcPr>
            <w:tcW w:w="3346" w:type="dxa"/>
            <w:tcBorders>
              <w:top w:val="single" w:color="000000" w:sz="2" w:space="0"/>
              <w:left w:val="single" w:color="000000" w:sz="2" w:space="0"/>
              <w:bottom w:val="single" w:color="000000" w:sz="2" w:space="0"/>
              <w:right w:val="single" w:color="000000" w:sz="2" w:space="0"/>
            </w:tcBorders>
          </w:tcPr>
          <w:p w:rsidRPr="00F46122" w:rsidR="004528E2" w:rsidP="004528E2" w:rsidRDefault="004528E2" w14:paraId="3B2566F0" w14:textId="77777777">
            <w:pPr>
              <w:pStyle w:val="TableTextLeft10pt"/>
            </w:pPr>
            <w:r w:rsidRPr="00F46122">
              <w:t>E. Time to enter information</w:t>
            </w:r>
          </w:p>
        </w:tc>
        <w:tc>
          <w:tcPr>
            <w:tcW w:w="1151" w:type="dxa"/>
            <w:tcBorders>
              <w:top w:val="single" w:color="000000" w:sz="2" w:space="0"/>
              <w:left w:val="single" w:color="000000" w:sz="2" w:space="0"/>
              <w:bottom w:val="single" w:color="000000" w:sz="2" w:space="0"/>
              <w:right w:val="single" w:color="000000" w:sz="2" w:space="0"/>
            </w:tcBorders>
            <w:vAlign w:val="center"/>
          </w:tcPr>
          <w:p w:rsidR="004528E2" w:rsidP="007E59AF" w:rsidRDefault="004528E2" w14:paraId="24EAE03A" w14:textId="77777777">
            <w:pPr>
              <w:pStyle w:val="TableTextCenter10pt"/>
              <w:rPr>
                <w:rFonts w:cs="Arial"/>
                <w:szCs w:val="16"/>
              </w:rPr>
            </w:pPr>
          </w:p>
        </w:tc>
        <w:tc>
          <w:tcPr>
            <w:tcW w:w="1350" w:type="dxa"/>
            <w:tcBorders>
              <w:top w:val="single" w:color="000000" w:sz="2" w:space="0"/>
              <w:left w:val="single" w:color="000000" w:sz="2" w:space="0"/>
              <w:bottom w:val="single" w:color="000000" w:sz="2" w:space="0"/>
              <w:right w:val="single" w:color="000000" w:sz="2" w:space="0"/>
            </w:tcBorders>
            <w:vAlign w:val="center"/>
          </w:tcPr>
          <w:p w:rsidR="004528E2" w:rsidP="007E59AF" w:rsidRDefault="004528E2" w14:paraId="61A8DF25" w14:textId="77777777">
            <w:pPr>
              <w:pStyle w:val="TableTextCenter10pt"/>
              <w:rPr>
                <w:rFonts w:cs="Arial"/>
                <w:szCs w:val="16"/>
              </w:rPr>
            </w:pPr>
          </w:p>
        </w:tc>
        <w:tc>
          <w:tcPr>
            <w:tcW w:w="1170" w:type="dxa"/>
            <w:tcBorders>
              <w:top w:val="single" w:color="000000" w:sz="2" w:space="0"/>
              <w:left w:val="single" w:color="000000" w:sz="2" w:space="0"/>
              <w:bottom w:val="single" w:color="000000" w:sz="2" w:space="0"/>
              <w:right w:val="single" w:color="000000" w:sz="2" w:space="0"/>
            </w:tcBorders>
            <w:vAlign w:val="center"/>
          </w:tcPr>
          <w:p w:rsidR="004528E2" w:rsidP="007E59AF" w:rsidRDefault="004528E2" w14:paraId="2685729F" w14:textId="77777777">
            <w:pPr>
              <w:pStyle w:val="TableTextCenter10pt"/>
              <w:rPr>
                <w:rFonts w:cs="Arial"/>
                <w:szCs w:val="16"/>
              </w:rPr>
            </w:pPr>
          </w:p>
        </w:tc>
        <w:tc>
          <w:tcPr>
            <w:tcW w:w="1350" w:type="dxa"/>
            <w:tcBorders>
              <w:top w:val="single" w:color="000000" w:sz="2" w:space="0"/>
              <w:left w:val="single" w:color="000000" w:sz="2" w:space="0"/>
              <w:bottom w:val="single" w:color="000000" w:sz="2" w:space="0"/>
              <w:right w:val="single" w:color="000000" w:sz="2" w:space="0"/>
            </w:tcBorders>
            <w:vAlign w:val="center"/>
          </w:tcPr>
          <w:p w:rsidR="004528E2" w:rsidP="007E59AF" w:rsidRDefault="004528E2" w14:paraId="688B11FB" w14:textId="77777777">
            <w:pPr>
              <w:pStyle w:val="TableTextCenter10pt"/>
              <w:rPr>
                <w:rFonts w:cs="Arial"/>
                <w:szCs w:val="16"/>
              </w:rPr>
            </w:pPr>
          </w:p>
        </w:tc>
        <w:tc>
          <w:tcPr>
            <w:tcW w:w="1102" w:type="dxa"/>
            <w:tcBorders>
              <w:top w:val="single" w:color="000000" w:sz="2" w:space="0"/>
              <w:left w:val="single" w:color="000000" w:sz="2" w:space="0"/>
              <w:bottom w:val="single" w:color="000000" w:sz="2" w:space="0"/>
              <w:right w:val="single" w:color="000000" w:sz="2" w:space="0"/>
            </w:tcBorders>
            <w:vAlign w:val="center"/>
          </w:tcPr>
          <w:p w:rsidR="004528E2" w:rsidP="007E59AF" w:rsidRDefault="004528E2" w14:paraId="3A3DAA51" w14:textId="77777777">
            <w:pPr>
              <w:pStyle w:val="TableTextCenter10pt"/>
              <w:rPr>
                <w:rFonts w:cs="Arial"/>
                <w:szCs w:val="16"/>
              </w:rPr>
            </w:pPr>
          </w:p>
        </w:tc>
        <w:tc>
          <w:tcPr>
            <w:tcW w:w="1328" w:type="dxa"/>
            <w:tcBorders>
              <w:top w:val="single" w:color="000000" w:sz="2" w:space="0"/>
              <w:left w:val="single" w:color="000000" w:sz="2" w:space="0"/>
              <w:bottom w:val="single" w:color="000000" w:sz="2" w:space="0"/>
              <w:right w:val="single" w:color="000000" w:sz="2" w:space="0"/>
            </w:tcBorders>
            <w:vAlign w:val="center"/>
          </w:tcPr>
          <w:p w:rsidR="004528E2" w:rsidP="007E59AF" w:rsidRDefault="004528E2" w14:paraId="6ABBC0FC" w14:textId="77777777">
            <w:pPr>
              <w:pStyle w:val="TableTextCenter10pt"/>
              <w:rPr>
                <w:rFonts w:cs="Arial"/>
                <w:szCs w:val="16"/>
              </w:rPr>
            </w:pPr>
          </w:p>
        </w:tc>
        <w:tc>
          <w:tcPr>
            <w:tcW w:w="1080" w:type="dxa"/>
            <w:tcBorders>
              <w:top w:val="single" w:color="000000" w:sz="2" w:space="0"/>
              <w:left w:val="single" w:color="000000" w:sz="2" w:space="0"/>
              <w:bottom w:val="single" w:color="000000" w:sz="2" w:space="0"/>
              <w:right w:val="single" w:color="000000" w:sz="2" w:space="0"/>
            </w:tcBorders>
            <w:vAlign w:val="center"/>
          </w:tcPr>
          <w:p w:rsidR="004528E2" w:rsidP="007E59AF" w:rsidRDefault="004528E2" w14:paraId="3FE78267" w14:textId="77777777">
            <w:pPr>
              <w:pStyle w:val="TableTextCenter10pt"/>
              <w:rPr>
                <w:rFonts w:cs="Arial"/>
                <w:szCs w:val="16"/>
              </w:rPr>
            </w:pPr>
          </w:p>
        </w:tc>
        <w:tc>
          <w:tcPr>
            <w:tcW w:w="1167" w:type="dxa"/>
            <w:tcBorders>
              <w:top w:val="single" w:color="000000" w:sz="2" w:space="0"/>
              <w:left w:val="single" w:color="000000" w:sz="2" w:space="0"/>
              <w:bottom w:val="single" w:color="000000" w:sz="2" w:space="0"/>
              <w:right w:val="single" w:color="000000" w:sz="2" w:space="0"/>
            </w:tcBorders>
            <w:vAlign w:val="center"/>
          </w:tcPr>
          <w:p w:rsidR="004528E2" w:rsidP="008044E2" w:rsidRDefault="004528E2" w14:paraId="2F8270C0" w14:textId="77777777">
            <w:pPr>
              <w:pStyle w:val="TableTextRight10pt"/>
              <w:ind w:right="46"/>
            </w:pPr>
          </w:p>
        </w:tc>
      </w:tr>
      <w:tr w:rsidR="007E59AF" w:rsidTr="00CA5CD5" w14:paraId="3BD88304" w14:textId="77777777">
        <w:trPr>
          <w:cantSplit/>
        </w:trPr>
        <w:tc>
          <w:tcPr>
            <w:tcW w:w="3346" w:type="dxa"/>
            <w:tcBorders>
              <w:top w:val="single" w:color="000000" w:sz="2" w:space="0"/>
              <w:left w:val="single" w:color="000000" w:sz="2" w:space="0"/>
              <w:bottom w:val="single" w:color="000000" w:sz="2" w:space="0"/>
              <w:right w:val="single" w:color="000000" w:sz="2" w:space="0"/>
            </w:tcBorders>
          </w:tcPr>
          <w:p w:rsidR="007E59AF" w:rsidP="007E59AF" w:rsidRDefault="007E59AF" w14:paraId="6B30647B" w14:textId="7E7AA86A">
            <w:pPr>
              <w:pStyle w:val="TableTextLeft10ptIndent"/>
            </w:pPr>
            <w:r w:rsidRPr="00124467">
              <w:t xml:space="preserve">Maintenance Vents - &lt;72 lb/day </w:t>
            </w:r>
          </w:p>
        </w:tc>
        <w:tc>
          <w:tcPr>
            <w:tcW w:w="1151" w:type="dxa"/>
            <w:tcBorders>
              <w:top w:val="single" w:color="000000" w:sz="2" w:space="0"/>
              <w:left w:val="single" w:color="000000" w:sz="2" w:space="0"/>
              <w:bottom w:val="single" w:color="000000" w:sz="2" w:space="0"/>
              <w:right w:val="single" w:color="000000" w:sz="2" w:space="0"/>
            </w:tcBorders>
            <w:vAlign w:val="center"/>
          </w:tcPr>
          <w:p w:rsidR="007E59AF" w:rsidP="007E59AF" w:rsidRDefault="007E59AF" w14:paraId="3A8BC0CA" w14:textId="2E6BE088">
            <w:pPr>
              <w:pStyle w:val="TableTextCenter10pt"/>
            </w:pPr>
            <w:r>
              <w:t>0.1</w:t>
            </w:r>
          </w:p>
        </w:tc>
        <w:tc>
          <w:tcPr>
            <w:tcW w:w="1350" w:type="dxa"/>
            <w:tcBorders>
              <w:top w:val="single" w:color="000000" w:sz="2" w:space="0"/>
              <w:left w:val="single" w:color="000000" w:sz="2" w:space="0"/>
              <w:bottom w:val="single" w:color="000000" w:sz="2" w:space="0"/>
              <w:right w:val="single" w:color="000000" w:sz="2" w:space="0"/>
            </w:tcBorders>
            <w:vAlign w:val="center"/>
          </w:tcPr>
          <w:p w:rsidR="007E59AF" w:rsidP="007E59AF" w:rsidRDefault="007E59AF" w14:paraId="1E6FD3D6" w14:textId="3B46C34A">
            <w:pPr>
              <w:pStyle w:val="TableTextCenter10pt"/>
            </w:pPr>
            <w:r>
              <w:t>1</w:t>
            </w:r>
          </w:p>
        </w:tc>
        <w:tc>
          <w:tcPr>
            <w:tcW w:w="1170" w:type="dxa"/>
            <w:tcBorders>
              <w:top w:val="single" w:color="000000" w:sz="2" w:space="0"/>
              <w:left w:val="single" w:color="000000" w:sz="2" w:space="0"/>
              <w:bottom w:val="single" w:color="000000" w:sz="2" w:space="0"/>
              <w:right w:val="single" w:color="000000" w:sz="2" w:space="0"/>
            </w:tcBorders>
            <w:vAlign w:val="center"/>
          </w:tcPr>
          <w:p w:rsidR="007E59AF" w:rsidP="007E59AF" w:rsidRDefault="008044E2" w14:paraId="431E7309" w14:textId="50C6CCD2">
            <w:pPr>
              <w:pStyle w:val="TableTextCenter10pt"/>
            </w:pPr>
            <w:r>
              <w:t>0.1</w:t>
            </w:r>
          </w:p>
        </w:tc>
        <w:tc>
          <w:tcPr>
            <w:tcW w:w="1350" w:type="dxa"/>
            <w:tcBorders>
              <w:top w:val="single" w:color="000000" w:sz="2" w:space="0"/>
              <w:left w:val="single" w:color="000000" w:sz="2" w:space="0"/>
              <w:bottom w:val="single" w:color="000000" w:sz="2" w:space="0"/>
              <w:right w:val="single" w:color="000000" w:sz="2" w:space="0"/>
            </w:tcBorders>
            <w:vAlign w:val="center"/>
          </w:tcPr>
          <w:p w:rsidR="007E59AF" w:rsidP="007E59AF" w:rsidRDefault="00A114A2" w14:paraId="02300640" w14:textId="429BF8F2">
            <w:pPr>
              <w:pStyle w:val="TableTextCenter10pt"/>
            </w:pPr>
            <w:r>
              <w:t>142</w:t>
            </w:r>
          </w:p>
        </w:tc>
        <w:tc>
          <w:tcPr>
            <w:tcW w:w="1102" w:type="dxa"/>
            <w:tcBorders>
              <w:top w:val="single" w:color="000000" w:sz="2" w:space="0"/>
              <w:left w:val="single" w:color="000000" w:sz="2" w:space="0"/>
              <w:bottom w:val="single" w:color="000000" w:sz="2" w:space="0"/>
              <w:right w:val="single" w:color="000000" w:sz="2" w:space="0"/>
            </w:tcBorders>
            <w:vAlign w:val="center"/>
          </w:tcPr>
          <w:p w:rsidR="007E59AF" w:rsidP="007E59AF" w:rsidRDefault="00A114A2" w14:paraId="076C80E6" w14:textId="4F82F192">
            <w:pPr>
              <w:pStyle w:val="TableTextCenter10pt"/>
            </w:pPr>
            <w:r>
              <w:t>14.2</w:t>
            </w:r>
          </w:p>
        </w:tc>
        <w:tc>
          <w:tcPr>
            <w:tcW w:w="1328" w:type="dxa"/>
            <w:tcBorders>
              <w:top w:val="single" w:color="000000" w:sz="2" w:space="0"/>
              <w:left w:val="single" w:color="000000" w:sz="2" w:space="0"/>
              <w:bottom w:val="single" w:color="000000" w:sz="2" w:space="0"/>
              <w:right w:val="single" w:color="000000" w:sz="2" w:space="0"/>
            </w:tcBorders>
            <w:vAlign w:val="center"/>
          </w:tcPr>
          <w:p w:rsidR="007E59AF" w:rsidP="007E59AF" w:rsidRDefault="00A114A2" w14:paraId="68999B25" w14:textId="6D7A4F98">
            <w:pPr>
              <w:pStyle w:val="TableTextCenter10pt"/>
            </w:pPr>
            <w:r>
              <w:t>0.71</w:t>
            </w:r>
          </w:p>
        </w:tc>
        <w:tc>
          <w:tcPr>
            <w:tcW w:w="1080" w:type="dxa"/>
            <w:tcBorders>
              <w:top w:val="single" w:color="000000" w:sz="2" w:space="0"/>
              <w:left w:val="single" w:color="000000" w:sz="2" w:space="0"/>
              <w:bottom w:val="single" w:color="000000" w:sz="2" w:space="0"/>
              <w:right w:val="single" w:color="000000" w:sz="2" w:space="0"/>
            </w:tcBorders>
            <w:vAlign w:val="center"/>
          </w:tcPr>
          <w:p w:rsidR="007E59AF" w:rsidP="007E59AF" w:rsidRDefault="00A114A2" w14:paraId="67E1D5FD" w14:textId="084C6718">
            <w:pPr>
              <w:pStyle w:val="TableTextCenter10pt"/>
            </w:pPr>
            <w:r>
              <w:t>1.42</w:t>
            </w:r>
          </w:p>
        </w:tc>
        <w:tc>
          <w:tcPr>
            <w:tcW w:w="1167" w:type="dxa"/>
            <w:tcBorders>
              <w:top w:val="single" w:color="000000" w:sz="2" w:space="0"/>
              <w:left w:val="single" w:color="000000" w:sz="2" w:space="0"/>
              <w:bottom w:val="single" w:color="000000" w:sz="2" w:space="0"/>
              <w:right w:val="single" w:color="000000" w:sz="2" w:space="0"/>
            </w:tcBorders>
            <w:vAlign w:val="center"/>
          </w:tcPr>
          <w:p w:rsidR="007E59AF" w:rsidP="008044E2" w:rsidRDefault="00A114A2" w14:paraId="5DDB299E" w14:textId="1FE28FC1">
            <w:pPr>
              <w:pStyle w:val="TableTextRight10pt"/>
              <w:ind w:right="46"/>
            </w:pPr>
            <w:r>
              <w:t>$1,640</w:t>
            </w:r>
          </w:p>
        </w:tc>
      </w:tr>
      <w:tr w:rsidR="007E59AF" w:rsidTr="00CA5CD5" w14:paraId="34B8EFA8" w14:textId="77777777">
        <w:trPr>
          <w:cantSplit/>
        </w:trPr>
        <w:tc>
          <w:tcPr>
            <w:tcW w:w="3346" w:type="dxa"/>
            <w:tcBorders>
              <w:top w:val="single" w:color="000000" w:sz="2" w:space="0"/>
              <w:left w:val="single" w:color="000000" w:sz="2" w:space="0"/>
              <w:bottom w:val="single" w:color="000000" w:sz="2" w:space="0"/>
              <w:right w:val="single" w:color="000000" w:sz="2" w:space="0"/>
            </w:tcBorders>
          </w:tcPr>
          <w:p w:rsidR="007E59AF" w:rsidP="007E59AF" w:rsidRDefault="007E59AF" w14:paraId="100EFE95" w14:textId="687B7690">
            <w:pPr>
              <w:pStyle w:val="TableTextLeft10ptIndent"/>
              <w:ind w:left="0"/>
            </w:pPr>
            <w:r>
              <w:t>F. Training</w:t>
            </w:r>
          </w:p>
        </w:tc>
        <w:tc>
          <w:tcPr>
            <w:tcW w:w="1151" w:type="dxa"/>
            <w:tcBorders>
              <w:top w:val="single" w:color="000000" w:sz="2" w:space="0"/>
              <w:left w:val="single" w:color="000000" w:sz="2" w:space="0"/>
              <w:bottom w:val="single" w:color="000000" w:sz="2" w:space="0"/>
              <w:right w:val="single" w:color="000000" w:sz="2" w:space="0"/>
            </w:tcBorders>
            <w:vAlign w:val="center"/>
          </w:tcPr>
          <w:p w:rsidR="007E59AF" w:rsidP="007E59AF" w:rsidRDefault="00330C81" w14:paraId="2A494178" w14:textId="79883221">
            <w:pPr>
              <w:pStyle w:val="TableTextCenter10pt"/>
            </w:pPr>
            <w:r>
              <w:t xml:space="preserve">See </w:t>
            </w:r>
            <w:r w:rsidR="00D51D1D">
              <w:t>5</w:t>
            </w:r>
            <w:r>
              <w:t>E</w:t>
            </w:r>
          </w:p>
        </w:tc>
        <w:tc>
          <w:tcPr>
            <w:tcW w:w="1350" w:type="dxa"/>
            <w:tcBorders>
              <w:top w:val="single" w:color="000000" w:sz="2" w:space="0"/>
              <w:left w:val="single" w:color="000000" w:sz="2" w:space="0"/>
              <w:bottom w:val="single" w:color="000000" w:sz="2" w:space="0"/>
              <w:right w:val="single" w:color="000000" w:sz="2" w:space="0"/>
            </w:tcBorders>
            <w:vAlign w:val="center"/>
          </w:tcPr>
          <w:p w:rsidR="007E59AF" w:rsidP="007E59AF" w:rsidRDefault="007E59AF" w14:paraId="576159EE" w14:textId="4FB6088B">
            <w:pPr>
              <w:pStyle w:val="TableTextCenter10pt"/>
            </w:pPr>
          </w:p>
        </w:tc>
        <w:tc>
          <w:tcPr>
            <w:tcW w:w="1170" w:type="dxa"/>
            <w:tcBorders>
              <w:top w:val="single" w:color="000000" w:sz="2" w:space="0"/>
              <w:left w:val="single" w:color="000000" w:sz="2" w:space="0"/>
              <w:bottom w:val="single" w:color="000000" w:sz="2" w:space="0"/>
              <w:right w:val="single" w:color="000000" w:sz="2" w:space="0"/>
            </w:tcBorders>
            <w:vAlign w:val="center"/>
          </w:tcPr>
          <w:p w:rsidR="007E59AF" w:rsidP="007E59AF" w:rsidRDefault="007E59AF" w14:paraId="4CC3E849" w14:textId="0F807FDD">
            <w:pPr>
              <w:pStyle w:val="TableTextCenter10pt"/>
            </w:pPr>
          </w:p>
        </w:tc>
        <w:tc>
          <w:tcPr>
            <w:tcW w:w="1350" w:type="dxa"/>
            <w:tcBorders>
              <w:top w:val="single" w:color="000000" w:sz="2" w:space="0"/>
              <w:left w:val="single" w:color="000000" w:sz="2" w:space="0"/>
              <w:bottom w:val="single" w:color="000000" w:sz="2" w:space="0"/>
              <w:right w:val="single" w:color="000000" w:sz="2" w:space="0"/>
            </w:tcBorders>
            <w:vAlign w:val="center"/>
          </w:tcPr>
          <w:p w:rsidR="007E59AF" w:rsidP="007E59AF" w:rsidRDefault="007E59AF" w14:paraId="12B316C8" w14:textId="6B574F0C">
            <w:pPr>
              <w:pStyle w:val="TableTextCenter10pt"/>
            </w:pPr>
          </w:p>
        </w:tc>
        <w:tc>
          <w:tcPr>
            <w:tcW w:w="1102" w:type="dxa"/>
            <w:tcBorders>
              <w:top w:val="single" w:color="000000" w:sz="2" w:space="0"/>
              <w:left w:val="single" w:color="000000" w:sz="2" w:space="0"/>
              <w:bottom w:val="single" w:color="000000" w:sz="2" w:space="0"/>
              <w:right w:val="single" w:color="000000" w:sz="2" w:space="0"/>
            </w:tcBorders>
            <w:vAlign w:val="center"/>
          </w:tcPr>
          <w:p w:rsidR="007E59AF" w:rsidP="007E59AF" w:rsidRDefault="007E59AF" w14:paraId="7B7DBD76" w14:textId="2A6B242B">
            <w:pPr>
              <w:pStyle w:val="TableTextCenter10pt"/>
            </w:pPr>
          </w:p>
        </w:tc>
        <w:tc>
          <w:tcPr>
            <w:tcW w:w="1328" w:type="dxa"/>
            <w:tcBorders>
              <w:top w:val="single" w:color="000000" w:sz="2" w:space="0"/>
              <w:left w:val="single" w:color="000000" w:sz="2" w:space="0"/>
              <w:bottom w:val="single" w:color="000000" w:sz="2" w:space="0"/>
              <w:right w:val="single" w:color="000000" w:sz="2" w:space="0"/>
            </w:tcBorders>
            <w:vAlign w:val="center"/>
          </w:tcPr>
          <w:p w:rsidR="007E59AF" w:rsidP="007E59AF" w:rsidRDefault="007E59AF" w14:paraId="21DA4AA9" w14:textId="0F361FB5">
            <w:pPr>
              <w:pStyle w:val="TableTextCenter10pt"/>
            </w:pPr>
          </w:p>
        </w:tc>
        <w:tc>
          <w:tcPr>
            <w:tcW w:w="1080" w:type="dxa"/>
            <w:tcBorders>
              <w:top w:val="single" w:color="000000" w:sz="2" w:space="0"/>
              <w:left w:val="single" w:color="000000" w:sz="2" w:space="0"/>
              <w:bottom w:val="single" w:color="000000" w:sz="2" w:space="0"/>
              <w:right w:val="single" w:color="000000" w:sz="2" w:space="0"/>
            </w:tcBorders>
            <w:vAlign w:val="center"/>
          </w:tcPr>
          <w:p w:rsidR="007E59AF" w:rsidP="007E59AF" w:rsidRDefault="007E59AF" w14:paraId="4E6EF35C" w14:textId="606148E3">
            <w:pPr>
              <w:pStyle w:val="TableTextCenter10pt"/>
            </w:pPr>
          </w:p>
        </w:tc>
        <w:tc>
          <w:tcPr>
            <w:tcW w:w="1167" w:type="dxa"/>
            <w:tcBorders>
              <w:top w:val="single" w:color="000000" w:sz="2" w:space="0"/>
              <w:left w:val="single" w:color="000000" w:sz="2" w:space="0"/>
              <w:bottom w:val="single" w:color="000000" w:sz="2" w:space="0"/>
              <w:right w:val="single" w:color="000000" w:sz="2" w:space="0"/>
            </w:tcBorders>
            <w:vAlign w:val="center"/>
          </w:tcPr>
          <w:p w:rsidR="007E59AF" w:rsidP="008044E2" w:rsidRDefault="007E59AF" w14:paraId="117AF295" w14:textId="449D44B2">
            <w:pPr>
              <w:pStyle w:val="TableTextRight10pt"/>
              <w:ind w:right="46"/>
            </w:pPr>
          </w:p>
        </w:tc>
      </w:tr>
      <w:tr w:rsidR="007E59AF" w:rsidTr="00CA5CD5" w14:paraId="0DBBAB80" w14:textId="77777777">
        <w:trPr>
          <w:cantSplit/>
        </w:trPr>
        <w:tc>
          <w:tcPr>
            <w:tcW w:w="3346" w:type="dxa"/>
            <w:tcBorders>
              <w:top w:val="single" w:color="000000" w:sz="2" w:space="0"/>
              <w:left w:val="single" w:color="000000" w:sz="2" w:space="0"/>
              <w:bottom w:val="nil"/>
              <w:right w:val="single" w:color="000000" w:sz="2" w:space="0"/>
            </w:tcBorders>
          </w:tcPr>
          <w:p w:rsidR="007E59AF" w:rsidP="007E59AF" w:rsidRDefault="007E59AF" w14:paraId="103C4473" w14:textId="77777777">
            <w:pPr>
              <w:pStyle w:val="TableTextLeft10ptIndent"/>
            </w:pPr>
            <w:r>
              <w:t xml:space="preserve"> Subtotal Labor Burden</w:t>
            </w:r>
          </w:p>
        </w:tc>
        <w:tc>
          <w:tcPr>
            <w:tcW w:w="1151" w:type="dxa"/>
            <w:tcBorders>
              <w:top w:val="single" w:color="000000" w:sz="2" w:space="0"/>
              <w:left w:val="single" w:color="000000" w:sz="2" w:space="0"/>
              <w:bottom w:val="nil"/>
              <w:right w:val="single" w:color="000000" w:sz="2" w:space="0"/>
            </w:tcBorders>
            <w:vAlign w:val="center"/>
          </w:tcPr>
          <w:p w:rsidR="007E59AF" w:rsidP="007E59AF" w:rsidRDefault="007E59AF" w14:paraId="731AA8DF" w14:textId="77777777">
            <w:pPr>
              <w:pStyle w:val="TableTextCenter10pt"/>
              <w:rPr>
                <w:rFonts w:cs="Arial"/>
                <w:szCs w:val="16"/>
              </w:rPr>
            </w:pPr>
          </w:p>
        </w:tc>
        <w:tc>
          <w:tcPr>
            <w:tcW w:w="1350" w:type="dxa"/>
            <w:tcBorders>
              <w:top w:val="single" w:color="000000" w:sz="2" w:space="0"/>
              <w:left w:val="single" w:color="000000" w:sz="2" w:space="0"/>
              <w:bottom w:val="nil"/>
              <w:right w:val="single" w:color="000000" w:sz="2" w:space="0"/>
            </w:tcBorders>
            <w:vAlign w:val="center"/>
          </w:tcPr>
          <w:p w:rsidR="007E59AF" w:rsidP="007E59AF" w:rsidRDefault="007E59AF" w14:paraId="60CD5C96" w14:textId="77777777">
            <w:pPr>
              <w:pStyle w:val="TableTextCenter10pt"/>
              <w:rPr>
                <w:rFonts w:cs="Arial"/>
                <w:szCs w:val="16"/>
              </w:rPr>
            </w:pPr>
          </w:p>
        </w:tc>
        <w:tc>
          <w:tcPr>
            <w:tcW w:w="1170" w:type="dxa"/>
            <w:tcBorders>
              <w:top w:val="single" w:color="000000" w:sz="2" w:space="0"/>
              <w:left w:val="single" w:color="000000" w:sz="2" w:space="0"/>
              <w:bottom w:val="nil"/>
              <w:right w:val="single" w:color="000000" w:sz="2" w:space="0"/>
            </w:tcBorders>
            <w:vAlign w:val="center"/>
          </w:tcPr>
          <w:p w:rsidR="007E59AF" w:rsidP="007E59AF" w:rsidRDefault="007E59AF" w14:paraId="4165BDC9" w14:textId="77777777">
            <w:pPr>
              <w:pStyle w:val="TableTextCenter10pt"/>
              <w:rPr>
                <w:rFonts w:cs="Arial"/>
                <w:szCs w:val="16"/>
              </w:rPr>
            </w:pPr>
          </w:p>
        </w:tc>
        <w:tc>
          <w:tcPr>
            <w:tcW w:w="1350" w:type="dxa"/>
            <w:tcBorders>
              <w:top w:val="single" w:color="000000" w:sz="2" w:space="0"/>
              <w:left w:val="single" w:color="000000" w:sz="2" w:space="0"/>
              <w:bottom w:val="nil"/>
              <w:right w:val="single" w:color="000000" w:sz="2" w:space="0"/>
            </w:tcBorders>
            <w:vAlign w:val="center"/>
          </w:tcPr>
          <w:p w:rsidR="007E59AF" w:rsidP="007E59AF" w:rsidRDefault="007E59AF" w14:paraId="772E92F2" w14:textId="77777777">
            <w:pPr>
              <w:pStyle w:val="TableTextCenter10pt"/>
              <w:rPr>
                <w:rFonts w:cs="Arial"/>
                <w:szCs w:val="16"/>
              </w:rPr>
            </w:pPr>
          </w:p>
        </w:tc>
        <w:tc>
          <w:tcPr>
            <w:tcW w:w="1102" w:type="dxa"/>
            <w:tcBorders>
              <w:top w:val="single" w:color="000000" w:sz="2" w:space="0"/>
              <w:left w:val="single" w:color="000000" w:sz="2" w:space="0"/>
              <w:bottom w:val="single" w:color="000000" w:sz="2" w:space="0"/>
              <w:right w:val="single" w:color="000000" w:sz="2" w:space="0"/>
            </w:tcBorders>
            <w:vAlign w:val="center"/>
          </w:tcPr>
          <w:p w:rsidR="007E59AF" w:rsidP="007E59AF" w:rsidRDefault="00D274F8" w14:paraId="50C84054" w14:textId="51B19549">
            <w:pPr>
              <w:pStyle w:val="TableTextCenter10pt"/>
            </w:pPr>
            <w:r>
              <w:t>14.2</w:t>
            </w:r>
          </w:p>
        </w:tc>
        <w:tc>
          <w:tcPr>
            <w:tcW w:w="1328" w:type="dxa"/>
            <w:tcBorders>
              <w:top w:val="single" w:color="000000" w:sz="2" w:space="0"/>
              <w:left w:val="single" w:color="000000" w:sz="2" w:space="0"/>
              <w:bottom w:val="single" w:color="000000" w:sz="2" w:space="0"/>
              <w:right w:val="single" w:color="000000" w:sz="2" w:space="0"/>
            </w:tcBorders>
            <w:vAlign w:val="center"/>
          </w:tcPr>
          <w:p w:rsidR="007E59AF" w:rsidP="007E59AF" w:rsidRDefault="00D274F8" w14:paraId="2D58BE71" w14:textId="24B8F7E0">
            <w:pPr>
              <w:pStyle w:val="TableTextCenter10pt"/>
            </w:pPr>
            <w:r>
              <w:t>0.71</w:t>
            </w:r>
          </w:p>
        </w:tc>
        <w:tc>
          <w:tcPr>
            <w:tcW w:w="1080" w:type="dxa"/>
            <w:tcBorders>
              <w:top w:val="single" w:color="000000" w:sz="2" w:space="0"/>
              <w:left w:val="single" w:color="000000" w:sz="2" w:space="0"/>
              <w:bottom w:val="single" w:color="000000" w:sz="2" w:space="0"/>
              <w:right w:val="single" w:color="000000" w:sz="2" w:space="0"/>
            </w:tcBorders>
            <w:vAlign w:val="center"/>
          </w:tcPr>
          <w:p w:rsidR="007E59AF" w:rsidP="007E59AF" w:rsidRDefault="00D274F8" w14:paraId="408ECC6B" w14:textId="670A047F">
            <w:pPr>
              <w:pStyle w:val="TableTextCenter10pt"/>
            </w:pPr>
            <w:r>
              <w:t>1.42</w:t>
            </w:r>
          </w:p>
        </w:tc>
        <w:tc>
          <w:tcPr>
            <w:tcW w:w="1167" w:type="dxa"/>
            <w:vMerge w:val="restart"/>
            <w:tcBorders>
              <w:top w:val="single" w:color="000000" w:sz="2" w:space="0"/>
              <w:left w:val="single" w:color="000000" w:sz="2" w:space="0"/>
              <w:right w:val="single" w:color="000000" w:sz="2" w:space="0"/>
            </w:tcBorders>
            <w:vAlign w:val="center"/>
          </w:tcPr>
          <w:p w:rsidR="007E59AF" w:rsidP="008044E2" w:rsidRDefault="007E59AF" w14:paraId="4144F6C5" w14:textId="065B57DA">
            <w:pPr>
              <w:pStyle w:val="TableTextRight10pt"/>
              <w:ind w:right="46"/>
            </w:pPr>
            <w:r>
              <w:t>$</w:t>
            </w:r>
            <w:r w:rsidR="00D274F8">
              <w:t>1</w:t>
            </w:r>
            <w:r w:rsidR="001E2361">
              <w:t>,</w:t>
            </w:r>
            <w:r w:rsidR="00D274F8">
              <w:t>640</w:t>
            </w:r>
          </w:p>
        </w:tc>
      </w:tr>
      <w:tr w:rsidR="007E59AF" w:rsidTr="00CA5CD5" w14:paraId="3C269F0A" w14:textId="77777777">
        <w:trPr>
          <w:cantSplit/>
        </w:trPr>
        <w:tc>
          <w:tcPr>
            <w:tcW w:w="3346" w:type="dxa"/>
            <w:tcBorders>
              <w:top w:val="nil"/>
              <w:left w:val="single" w:color="000000" w:sz="2" w:space="0"/>
              <w:bottom w:val="single" w:color="000000" w:sz="2" w:space="0"/>
              <w:right w:val="single" w:color="000000" w:sz="2" w:space="0"/>
            </w:tcBorders>
          </w:tcPr>
          <w:p w:rsidR="007E59AF" w:rsidP="007E59AF" w:rsidRDefault="007E59AF" w14:paraId="73AF0F5C" w14:textId="77777777">
            <w:pPr>
              <w:pStyle w:val="TableTextLeft10ptIndent"/>
            </w:pPr>
          </w:p>
        </w:tc>
        <w:tc>
          <w:tcPr>
            <w:tcW w:w="1151" w:type="dxa"/>
            <w:tcBorders>
              <w:top w:val="nil"/>
              <w:left w:val="single" w:color="000000" w:sz="2" w:space="0"/>
              <w:bottom w:val="single" w:color="000000" w:sz="2" w:space="0"/>
              <w:right w:val="single" w:color="000000" w:sz="2" w:space="0"/>
            </w:tcBorders>
          </w:tcPr>
          <w:p w:rsidR="007E59AF" w:rsidP="007E59AF" w:rsidRDefault="007E59AF" w14:paraId="1DED2FAA" w14:textId="77777777">
            <w:pPr>
              <w:pStyle w:val="TableTextCenter10pt"/>
              <w:rPr>
                <w:rFonts w:cs="Arial"/>
                <w:szCs w:val="16"/>
              </w:rPr>
            </w:pPr>
          </w:p>
        </w:tc>
        <w:tc>
          <w:tcPr>
            <w:tcW w:w="1350" w:type="dxa"/>
            <w:tcBorders>
              <w:top w:val="nil"/>
              <w:left w:val="single" w:color="000000" w:sz="2" w:space="0"/>
              <w:bottom w:val="single" w:color="000000" w:sz="2" w:space="0"/>
              <w:right w:val="single" w:color="000000" w:sz="2" w:space="0"/>
            </w:tcBorders>
          </w:tcPr>
          <w:p w:rsidR="007E59AF" w:rsidP="007E59AF" w:rsidRDefault="007E59AF" w14:paraId="2F4A4E52" w14:textId="77777777">
            <w:pPr>
              <w:pStyle w:val="TableTextCenter10pt"/>
              <w:rPr>
                <w:rFonts w:cs="Arial"/>
                <w:szCs w:val="16"/>
              </w:rPr>
            </w:pPr>
          </w:p>
        </w:tc>
        <w:tc>
          <w:tcPr>
            <w:tcW w:w="1170" w:type="dxa"/>
            <w:tcBorders>
              <w:top w:val="nil"/>
              <w:left w:val="single" w:color="000000" w:sz="2" w:space="0"/>
              <w:bottom w:val="single" w:color="000000" w:sz="2" w:space="0"/>
              <w:right w:val="single" w:color="000000" w:sz="2" w:space="0"/>
            </w:tcBorders>
          </w:tcPr>
          <w:p w:rsidR="007E59AF" w:rsidP="007E59AF" w:rsidRDefault="007E59AF" w14:paraId="50AB7728" w14:textId="77777777">
            <w:pPr>
              <w:pStyle w:val="TableTextCenter10pt"/>
              <w:rPr>
                <w:rFonts w:cs="Arial"/>
                <w:szCs w:val="16"/>
              </w:rPr>
            </w:pPr>
          </w:p>
        </w:tc>
        <w:tc>
          <w:tcPr>
            <w:tcW w:w="1350" w:type="dxa"/>
            <w:tcBorders>
              <w:top w:val="nil"/>
              <w:left w:val="single" w:color="000000" w:sz="2" w:space="0"/>
              <w:bottom w:val="single" w:color="000000" w:sz="2" w:space="0"/>
              <w:right w:val="single" w:color="000000" w:sz="2" w:space="0"/>
            </w:tcBorders>
          </w:tcPr>
          <w:p w:rsidR="007E59AF" w:rsidP="007E59AF" w:rsidRDefault="007E59AF" w14:paraId="5D070B6D" w14:textId="77777777">
            <w:pPr>
              <w:pStyle w:val="TableTextCenter10pt"/>
              <w:rPr>
                <w:rFonts w:cs="Arial"/>
                <w:szCs w:val="16"/>
              </w:rPr>
            </w:pPr>
          </w:p>
        </w:tc>
        <w:tc>
          <w:tcPr>
            <w:tcW w:w="3510" w:type="dxa"/>
            <w:gridSpan w:val="3"/>
            <w:tcBorders>
              <w:top w:val="single" w:color="000000" w:sz="2" w:space="0"/>
              <w:left w:val="single" w:color="000000" w:sz="2" w:space="0"/>
              <w:bottom w:val="single" w:color="000000" w:sz="2" w:space="0"/>
              <w:right w:val="single" w:color="000000" w:sz="2" w:space="0"/>
            </w:tcBorders>
          </w:tcPr>
          <w:p w:rsidR="007E59AF" w:rsidP="007E59AF" w:rsidRDefault="00D274F8" w14:paraId="724E42E4" w14:textId="79460641">
            <w:pPr>
              <w:pStyle w:val="TableTextCenter10pt"/>
            </w:pPr>
            <w:r>
              <w:t>16.33</w:t>
            </w:r>
          </w:p>
        </w:tc>
        <w:tc>
          <w:tcPr>
            <w:tcW w:w="1167" w:type="dxa"/>
            <w:vMerge/>
            <w:tcBorders>
              <w:left w:val="single" w:color="000000" w:sz="2" w:space="0"/>
              <w:bottom w:val="single" w:color="000000" w:sz="2" w:space="0"/>
              <w:right w:val="single" w:color="000000" w:sz="2" w:space="0"/>
            </w:tcBorders>
          </w:tcPr>
          <w:p w:rsidR="007E59AF" w:rsidP="007E59AF" w:rsidRDefault="007E59AF" w14:paraId="3F690D0E" w14:textId="77777777">
            <w:pPr>
              <w:pStyle w:val="TableTextRight10pt"/>
            </w:pPr>
          </w:p>
        </w:tc>
      </w:tr>
      <w:tr w:rsidR="007E59AF" w:rsidTr="00CA5CD5" w14:paraId="00D9EFA0" w14:textId="77777777">
        <w:trPr>
          <w:cantSplit/>
        </w:trPr>
        <w:tc>
          <w:tcPr>
            <w:tcW w:w="3346" w:type="dxa"/>
            <w:tcBorders>
              <w:top w:val="single" w:color="000000" w:sz="2" w:space="0"/>
              <w:left w:val="single" w:color="000000" w:sz="2" w:space="0"/>
              <w:bottom w:val="single" w:color="000000" w:sz="2" w:space="0"/>
              <w:right w:val="single" w:color="000000" w:sz="2" w:space="0"/>
            </w:tcBorders>
          </w:tcPr>
          <w:p w:rsidR="007E59AF" w:rsidP="007E59AF" w:rsidRDefault="007E59AF" w14:paraId="30B00B04" w14:textId="77777777">
            <w:pPr>
              <w:pStyle w:val="TableTextLeft10pt"/>
            </w:pPr>
            <w:r>
              <w:t>Annualized Capital Cost</w:t>
            </w:r>
          </w:p>
        </w:tc>
        <w:tc>
          <w:tcPr>
            <w:tcW w:w="1151" w:type="dxa"/>
            <w:tcBorders>
              <w:top w:val="single" w:color="000000" w:sz="2" w:space="0"/>
              <w:left w:val="single" w:color="000000" w:sz="2" w:space="0"/>
              <w:bottom w:val="single" w:color="000000" w:sz="2" w:space="0"/>
              <w:right w:val="nil"/>
            </w:tcBorders>
          </w:tcPr>
          <w:p w:rsidR="007E59AF" w:rsidP="007E59AF" w:rsidRDefault="007E59AF" w14:paraId="6CA35DC2" w14:textId="77777777">
            <w:pPr>
              <w:pStyle w:val="TableTextCenter10pt"/>
              <w:rPr>
                <w:rFonts w:cs="Arial"/>
                <w:szCs w:val="16"/>
              </w:rPr>
            </w:pPr>
          </w:p>
        </w:tc>
        <w:tc>
          <w:tcPr>
            <w:tcW w:w="1350" w:type="dxa"/>
            <w:tcBorders>
              <w:top w:val="single" w:color="000000" w:sz="2" w:space="0"/>
              <w:left w:val="nil"/>
              <w:bottom w:val="single" w:color="000000" w:sz="2" w:space="0"/>
              <w:right w:val="nil"/>
            </w:tcBorders>
          </w:tcPr>
          <w:p w:rsidR="007E59AF" w:rsidP="007E59AF" w:rsidRDefault="007E59AF" w14:paraId="5250DC5A" w14:textId="77777777">
            <w:pPr>
              <w:pStyle w:val="TableTextCenter10pt"/>
              <w:rPr>
                <w:rFonts w:cs="Arial"/>
                <w:szCs w:val="16"/>
              </w:rPr>
            </w:pPr>
          </w:p>
        </w:tc>
        <w:tc>
          <w:tcPr>
            <w:tcW w:w="1170" w:type="dxa"/>
            <w:tcBorders>
              <w:top w:val="single" w:color="000000" w:sz="2" w:space="0"/>
              <w:left w:val="nil"/>
              <w:bottom w:val="single" w:color="000000" w:sz="2" w:space="0"/>
              <w:right w:val="nil"/>
            </w:tcBorders>
          </w:tcPr>
          <w:p w:rsidR="007E59AF" w:rsidP="007E59AF" w:rsidRDefault="007E59AF" w14:paraId="032252B9" w14:textId="77777777">
            <w:pPr>
              <w:pStyle w:val="TableTextCenter10pt"/>
              <w:rPr>
                <w:rFonts w:cs="Arial"/>
                <w:szCs w:val="16"/>
              </w:rPr>
            </w:pPr>
          </w:p>
        </w:tc>
        <w:tc>
          <w:tcPr>
            <w:tcW w:w="1350" w:type="dxa"/>
            <w:tcBorders>
              <w:top w:val="single" w:color="000000" w:sz="2" w:space="0"/>
              <w:left w:val="nil"/>
              <w:bottom w:val="single" w:color="000000" w:sz="2" w:space="0"/>
              <w:right w:val="nil"/>
            </w:tcBorders>
          </w:tcPr>
          <w:p w:rsidR="007E59AF" w:rsidP="007E59AF" w:rsidRDefault="007E59AF" w14:paraId="56CC3782" w14:textId="77777777">
            <w:pPr>
              <w:pStyle w:val="TableTextCenter10pt"/>
              <w:rPr>
                <w:rFonts w:cs="Arial"/>
                <w:szCs w:val="16"/>
              </w:rPr>
            </w:pPr>
          </w:p>
        </w:tc>
        <w:tc>
          <w:tcPr>
            <w:tcW w:w="3510" w:type="dxa"/>
            <w:gridSpan w:val="3"/>
            <w:tcBorders>
              <w:top w:val="single" w:color="000000" w:sz="2" w:space="0"/>
              <w:left w:val="nil"/>
              <w:bottom w:val="single" w:color="000000" w:sz="2" w:space="0"/>
              <w:right w:val="single" w:color="000000" w:sz="2" w:space="0"/>
            </w:tcBorders>
          </w:tcPr>
          <w:p w:rsidR="007E59AF" w:rsidP="007E59AF" w:rsidRDefault="007E59AF" w14:paraId="737A47D3" w14:textId="77777777">
            <w:pPr>
              <w:pStyle w:val="TableTextCenter10pt"/>
            </w:pPr>
          </w:p>
        </w:tc>
        <w:tc>
          <w:tcPr>
            <w:tcW w:w="1167" w:type="dxa"/>
            <w:tcBorders>
              <w:top w:val="single" w:color="000000" w:sz="2" w:space="0"/>
              <w:left w:val="single" w:color="000000" w:sz="2" w:space="0"/>
              <w:bottom w:val="single" w:color="000000" w:sz="2" w:space="0"/>
              <w:right w:val="single" w:color="000000" w:sz="2" w:space="0"/>
            </w:tcBorders>
          </w:tcPr>
          <w:p w:rsidRPr="002F3426" w:rsidR="007E59AF" w:rsidP="008044E2" w:rsidRDefault="008044E2" w14:paraId="35225314" w14:textId="30B7A804">
            <w:pPr>
              <w:pStyle w:val="TableTextRight10pt"/>
              <w:jc w:val="center"/>
            </w:pPr>
            <w:r>
              <w:t>N/A</w:t>
            </w:r>
          </w:p>
        </w:tc>
      </w:tr>
      <w:tr w:rsidR="007E59AF" w:rsidTr="00CA5CD5" w14:paraId="792D8875" w14:textId="77777777">
        <w:trPr>
          <w:cantSplit/>
        </w:trPr>
        <w:tc>
          <w:tcPr>
            <w:tcW w:w="3346" w:type="dxa"/>
            <w:tcBorders>
              <w:top w:val="single" w:color="000000" w:sz="2" w:space="0"/>
              <w:left w:val="single" w:color="000000" w:sz="2" w:space="0"/>
              <w:bottom w:val="single" w:color="000000" w:sz="2" w:space="0"/>
              <w:right w:val="single" w:color="000000" w:sz="2" w:space="0"/>
            </w:tcBorders>
          </w:tcPr>
          <w:p w:rsidR="007E59AF" w:rsidP="007E59AF" w:rsidRDefault="007E59AF" w14:paraId="43CA79EF" w14:textId="36E43E4C">
            <w:pPr>
              <w:pStyle w:val="TableTextLeft10pt"/>
            </w:pPr>
            <w:r w:rsidRPr="00F33C16">
              <w:t xml:space="preserve">Operation </w:t>
            </w:r>
            <w:r>
              <w:t>a</w:t>
            </w:r>
            <w:r w:rsidRPr="00F33C16">
              <w:t>nd Maintenance Cost</w:t>
            </w:r>
            <w:r>
              <w:t>s</w:t>
            </w:r>
          </w:p>
        </w:tc>
        <w:tc>
          <w:tcPr>
            <w:tcW w:w="1151" w:type="dxa"/>
            <w:tcBorders>
              <w:top w:val="single" w:color="000000" w:sz="2" w:space="0"/>
              <w:left w:val="single" w:color="000000" w:sz="2" w:space="0"/>
              <w:bottom w:val="single" w:color="000000" w:sz="2" w:space="0"/>
              <w:right w:val="nil"/>
            </w:tcBorders>
          </w:tcPr>
          <w:p w:rsidR="007E59AF" w:rsidP="007E59AF" w:rsidRDefault="007E59AF" w14:paraId="49B49121" w14:textId="77777777">
            <w:pPr>
              <w:pStyle w:val="TableTextCenter10pt"/>
              <w:rPr>
                <w:rFonts w:cs="Arial"/>
                <w:szCs w:val="16"/>
              </w:rPr>
            </w:pPr>
          </w:p>
        </w:tc>
        <w:tc>
          <w:tcPr>
            <w:tcW w:w="1350" w:type="dxa"/>
            <w:tcBorders>
              <w:top w:val="single" w:color="000000" w:sz="2" w:space="0"/>
              <w:left w:val="nil"/>
              <w:bottom w:val="single" w:color="000000" w:sz="2" w:space="0"/>
              <w:right w:val="nil"/>
            </w:tcBorders>
          </w:tcPr>
          <w:p w:rsidR="007E59AF" w:rsidP="007E59AF" w:rsidRDefault="007E59AF" w14:paraId="2F3072FC" w14:textId="77777777">
            <w:pPr>
              <w:pStyle w:val="TableTextCenter10pt"/>
              <w:rPr>
                <w:rFonts w:cs="Arial"/>
                <w:szCs w:val="16"/>
              </w:rPr>
            </w:pPr>
          </w:p>
        </w:tc>
        <w:tc>
          <w:tcPr>
            <w:tcW w:w="1170" w:type="dxa"/>
            <w:tcBorders>
              <w:top w:val="single" w:color="000000" w:sz="2" w:space="0"/>
              <w:left w:val="nil"/>
              <w:bottom w:val="single" w:color="000000" w:sz="2" w:space="0"/>
              <w:right w:val="nil"/>
            </w:tcBorders>
          </w:tcPr>
          <w:p w:rsidR="007E59AF" w:rsidP="007E59AF" w:rsidRDefault="007E59AF" w14:paraId="70B7F8C6" w14:textId="77777777">
            <w:pPr>
              <w:pStyle w:val="TableTextCenter10pt"/>
              <w:rPr>
                <w:rFonts w:cs="Arial"/>
                <w:szCs w:val="16"/>
              </w:rPr>
            </w:pPr>
          </w:p>
        </w:tc>
        <w:tc>
          <w:tcPr>
            <w:tcW w:w="1350" w:type="dxa"/>
            <w:tcBorders>
              <w:top w:val="single" w:color="000000" w:sz="2" w:space="0"/>
              <w:left w:val="nil"/>
              <w:bottom w:val="single" w:color="000000" w:sz="2" w:space="0"/>
              <w:right w:val="nil"/>
            </w:tcBorders>
          </w:tcPr>
          <w:p w:rsidR="007E59AF" w:rsidP="007E59AF" w:rsidRDefault="007E59AF" w14:paraId="5CCFABDB" w14:textId="77777777">
            <w:pPr>
              <w:pStyle w:val="TableTextCenter10pt"/>
              <w:rPr>
                <w:rFonts w:cs="Arial"/>
                <w:szCs w:val="16"/>
              </w:rPr>
            </w:pPr>
          </w:p>
        </w:tc>
        <w:tc>
          <w:tcPr>
            <w:tcW w:w="3510" w:type="dxa"/>
            <w:gridSpan w:val="3"/>
            <w:tcBorders>
              <w:top w:val="single" w:color="000000" w:sz="2" w:space="0"/>
              <w:left w:val="nil"/>
              <w:bottom w:val="single" w:color="000000" w:sz="2" w:space="0"/>
              <w:right w:val="single" w:color="000000" w:sz="2" w:space="0"/>
            </w:tcBorders>
          </w:tcPr>
          <w:p w:rsidR="007E59AF" w:rsidP="007E59AF" w:rsidRDefault="007E59AF" w14:paraId="2600C800" w14:textId="77777777">
            <w:pPr>
              <w:pStyle w:val="TableTextCenter10pt"/>
            </w:pPr>
          </w:p>
        </w:tc>
        <w:tc>
          <w:tcPr>
            <w:tcW w:w="1167" w:type="dxa"/>
            <w:tcBorders>
              <w:top w:val="single" w:color="000000" w:sz="2" w:space="0"/>
              <w:left w:val="single" w:color="000000" w:sz="2" w:space="0"/>
              <w:bottom w:val="single" w:color="000000" w:sz="2" w:space="0"/>
              <w:right w:val="single" w:color="000000" w:sz="2" w:space="0"/>
            </w:tcBorders>
          </w:tcPr>
          <w:p w:rsidRPr="002F3426" w:rsidR="007E59AF" w:rsidP="008044E2" w:rsidRDefault="008044E2" w14:paraId="070580DE" w14:textId="52C7D91D">
            <w:pPr>
              <w:pStyle w:val="TableTextRight10pt"/>
              <w:jc w:val="center"/>
            </w:pPr>
            <w:r>
              <w:t>N/A</w:t>
            </w:r>
          </w:p>
        </w:tc>
      </w:tr>
      <w:tr w:rsidR="007E59AF" w:rsidTr="00CA5CD5" w14:paraId="633A0079" w14:textId="77777777">
        <w:trPr>
          <w:cantSplit/>
        </w:trPr>
        <w:tc>
          <w:tcPr>
            <w:tcW w:w="3346" w:type="dxa"/>
            <w:tcBorders>
              <w:top w:val="single" w:color="000000" w:sz="2" w:space="0"/>
              <w:left w:val="single" w:color="000000" w:sz="2" w:space="0"/>
              <w:bottom w:val="single" w:color="000000" w:sz="2" w:space="0"/>
              <w:right w:val="single" w:color="000000" w:sz="2" w:space="0"/>
            </w:tcBorders>
          </w:tcPr>
          <w:p w:rsidR="007E59AF" w:rsidP="007E59AF" w:rsidRDefault="007E59AF" w14:paraId="62D8D91A" w14:textId="0E6AF76F">
            <w:pPr>
              <w:pStyle w:val="TableTextLeft10pt"/>
            </w:pPr>
            <w:r>
              <w:t>TOTAL LABOR BURDEN AND COST</w:t>
            </w:r>
            <w:r w:rsidR="00FF2C48">
              <w:rPr>
                <w:rStyle w:val="Superscript"/>
              </w:rPr>
              <w:t>c</w:t>
            </w:r>
          </w:p>
        </w:tc>
        <w:tc>
          <w:tcPr>
            <w:tcW w:w="1151" w:type="dxa"/>
            <w:tcBorders>
              <w:top w:val="single" w:color="000000" w:sz="2" w:space="0"/>
              <w:left w:val="single" w:color="000000" w:sz="2" w:space="0"/>
              <w:bottom w:val="single" w:color="000000" w:sz="2" w:space="0"/>
              <w:right w:val="nil"/>
            </w:tcBorders>
          </w:tcPr>
          <w:p w:rsidR="007E59AF" w:rsidP="007E59AF" w:rsidRDefault="007E59AF" w14:paraId="340DAA2A" w14:textId="77777777">
            <w:pPr>
              <w:pStyle w:val="TableTextCenter10pt"/>
              <w:rPr>
                <w:rFonts w:cs="Arial"/>
                <w:szCs w:val="16"/>
              </w:rPr>
            </w:pPr>
          </w:p>
        </w:tc>
        <w:tc>
          <w:tcPr>
            <w:tcW w:w="1350" w:type="dxa"/>
            <w:tcBorders>
              <w:top w:val="single" w:color="000000" w:sz="2" w:space="0"/>
              <w:left w:val="nil"/>
              <w:bottom w:val="single" w:color="000000" w:sz="2" w:space="0"/>
              <w:right w:val="nil"/>
            </w:tcBorders>
          </w:tcPr>
          <w:p w:rsidR="007E59AF" w:rsidP="007E59AF" w:rsidRDefault="007E59AF" w14:paraId="0B45E06F" w14:textId="77777777">
            <w:pPr>
              <w:pStyle w:val="TableTextCenter10pt"/>
              <w:rPr>
                <w:rFonts w:cs="Arial"/>
                <w:szCs w:val="16"/>
              </w:rPr>
            </w:pPr>
          </w:p>
        </w:tc>
        <w:tc>
          <w:tcPr>
            <w:tcW w:w="1170" w:type="dxa"/>
            <w:tcBorders>
              <w:top w:val="single" w:color="000000" w:sz="2" w:space="0"/>
              <w:left w:val="nil"/>
              <w:bottom w:val="single" w:color="000000" w:sz="2" w:space="0"/>
              <w:right w:val="nil"/>
            </w:tcBorders>
          </w:tcPr>
          <w:p w:rsidR="007E59AF" w:rsidP="007E59AF" w:rsidRDefault="007E59AF" w14:paraId="12BFA744" w14:textId="77777777">
            <w:pPr>
              <w:pStyle w:val="TableTextCenter10pt"/>
              <w:rPr>
                <w:rFonts w:cs="Arial"/>
                <w:szCs w:val="16"/>
              </w:rPr>
            </w:pPr>
          </w:p>
        </w:tc>
        <w:tc>
          <w:tcPr>
            <w:tcW w:w="1350" w:type="dxa"/>
            <w:tcBorders>
              <w:top w:val="single" w:color="000000" w:sz="2" w:space="0"/>
              <w:left w:val="nil"/>
              <w:bottom w:val="single" w:color="000000" w:sz="2" w:space="0"/>
              <w:right w:val="nil"/>
            </w:tcBorders>
          </w:tcPr>
          <w:p w:rsidR="007E59AF" w:rsidP="007E59AF" w:rsidRDefault="007E59AF" w14:paraId="5D80A43B" w14:textId="77777777">
            <w:pPr>
              <w:pStyle w:val="TableTextCenter10pt"/>
              <w:rPr>
                <w:rFonts w:cs="Arial"/>
                <w:szCs w:val="16"/>
              </w:rPr>
            </w:pPr>
          </w:p>
        </w:tc>
        <w:tc>
          <w:tcPr>
            <w:tcW w:w="3510" w:type="dxa"/>
            <w:gridSpan w:val="3"/>
            <w:tcBorders>
              <w:top w:val="single" w:color="000000" w:sz="2" w:space="0"/>
              <w:left w:val="nil"/>
              <w:bottom w:val="single" w:color="000000" w:sz="2" w:space="0"/>
              <w:right w:val="single" w:color="000000" w:sz="2" w:space="0"/>
            </w:tcBorders>
          </w:tcPr>
          <w:p w:rsidR="007E59AF" w:rsidP="007E59AF" w:rsidRDefault="007E59AF" w14:paraId="2B29650B" w14:textId="77777777">
            <w:pPr>
              <w:pStyle w:val="TableTextCenter10pt"/>
            </w:pPr>
          </w:p>
        </w:tc>
        <w:tc>
          <w:tcPr>
            <w:tcW w:w="1167" w:type="dxa"/>
            <w:tcBorders>
              <w:top w:val="single" w:color="000000" w:sz="2" w:space="0"/>
              <w:left w:val="single" w:color="000000" w:sz="2" w:space="0"/>
              <w:bottom w:val="single" w:color="000000" w:sz="2" w:space="0"/>
              <w:right w:val="single" w:color="000000" w:sz="2" w:space="0"/>
            </w:tcBorders>
          </w:tcPr>
          <w:p w:rsidR="007E59AF" w:rsidP="007E59AF" w:rsidRDefault="007E59AF" w14:paraId="6E162944" w14:textId="38A30EB4">
            <w:pPr>
              <w:pStyle w:val="TableTextRight10pt"/>
            </w:pPr>
            <w:r>
              <w:t>$</w:t>
            </w:r>
            <w:r w:rsidR="00D274F8">
              <w:t>1</w:t>
            </w:r>
            <w:r w:rsidR="001E2361">
              <w:t>,</w:t>
            </w:r>
            <w:r w:rsidR="00D274F8">
              <w:t>640</w:t>
            </w:r>
          </w:p>
        </w:tc>
      </w:tr>
    </w:tbl>
    <w:p w:rsidRPr="007523FA" w:rsidR="0087236F" w:rsidP="00ED4539" w:rsidRDefault="0087236F" w14:paraId="43311C04" w14:textId="34C52C3D">
      <w:pPr>
        <w:pStyle w:val="TableFootnote"/>
      </w:pPr>
      <w:r w:rsidRPr="007523FA">
        <w:rPr>
          <w:rStyle w:val="Superscript"/>
        </w:rPr>
        <w:t>a</w:t>
      </w:r>
      <w:r w:rsidRPr="007523FA" w:rsidR="00F47C05">
        <w:t xml:space="preserve"> </w:t>
      </w:r>
      <w:r w:rsidRPr="007523FA">
        <w:t>W</w:t>
      </w:r>
      <w:r w:rsidR="005A6FD4">
        <w:t>e have determined that 14</w:t>
      </w:r>
      <w:r w:rsidR="00ED4539">
        <w:t>2</w:t>
      </w:r>
      <w:r>
        <w:t xml:space="preserve"> ma</w:t>
      </w:r>
      <w:r w:rsidR="005A6FD4">
        <w:t xml:space="preserve">jor </w:t>
      </w:r>
      <w:r w:rsidR="00ED4539">
        <w:t xml:space="preserve">source </w:t>
      </w:r>
      <w:r w:rsidR="005A6FD4">
        <w:t>petroleum refineries currently operate in the US.</w:t>
      </w:r>
      <w:r w:rsidR="00F47C05">
        <w:t xml:space="preserve"> </w:t>
      </w:r>
      <w:r>
        <w:t xml:space="preserve">No new or reconstructed facilities are expected over the next 3 years. </w:t>
      </w:r>
    </w:p>
    <w:p w:rsidR="00B50B26" w:rsidP="00F46122" w:rsidRDefault="0087236F" w14:paraId="4E0C9B2C" w14:textId="2B8381E5">
      <w:pPr>
        <w:pStyle w:val="TableFootnote"/>
      </w:pPr>
      <w:r w:rsidRPr="005F5FDC">
        <w:rPr>
          <w:rStyle w:val="Superscript"/>
        </w:rPr>
        <w:lastRenderedPageBreak/>
        <w:t>b</w:t>
      </w:r>
      <w:r w:rsidRPr="005F5FDC" w:rsidR="00F47C05">
        <w:t xml:space="preserve"> </w:t>
      </w:r>
      <w:r>
        <w:t>This ICR uses th</w:t>
      </w:r>
      <w:r w:rsidR="005A6FD4">
        <w:t>e following labor rates: $13</w:t>
      </w:r>
      <w:r w:rsidR="00591FB6">
        <w:t>7</w:t>
      </w:r>
      <w:r w:rsidR="005A6FD4">
        <w:t>.</w:t>
      </w:r>
      <w:r w:rsidR="00591FB6">
        <w:t>49</w:t>
      </w:r>
      <w:r>
        <w:t xml:space="preserve"> per hour for Executive, Administrati</w:t>
      </w:r>
      <w:r w:rsidR="005A6FD4">
        <w:t>ve, and Managerial labor; $</w:t>
      </w:r>
      <w:r w:rsidR="00591FB6">
        <w:t>103</w:t>
      </w:r>
      <w:r w:rsidR="005A6FD4">
        <w:t>.9</w:t>
      </w:r>
      <w:r w:rsidR="00591FB6">
        <w:t>9</w:t>
      </w:r>
      <w:r>
        <w:t xml:space="preserve"> per hour</w:t>
      </w:r>
      <w:r w:rsidR="005A6FD4">
        <w:t xml:space="preserve"> for Technical labor, and $4</w:t>
      </w:r>
      <w:r w:rsidR="00591FB6">
        <w:t>6</w:t>
      </w:r>
      <w:r w:rsidR="005A6FD4">
        <w:t>.</w:t>
      </w:r>
      <w:r w:rsidR="00591FB6">
        <w:t>26</w:t>
      </w:r>
      <w:r>
        <w:t xml:space="preserve"> per hour for Clerical labor.</w:t>
      </w:r>
      <w:r w:rsidR="00F47C05">
        <w:t xml:space="preserve"> </w:t>
      </w:r>
      <w:r>
        <w:t xml:space="preserve">These rates are from the United States Department of Labor, Bureau of </w:t>
      </w:r>
      <w:r w:rsidR="005A6FD4">
        <w:t>Labo</w:t>
      </w:r>
      <w:r w:rsidR="00E531D7">
        <w:t xml:space="preserve">r Statistics, </w:t>
      </w:r>
      <w:r w:rsidR="005A6FD4">
        <w:t xml:space="preserve">May </w:t>
      </w:r>
      <w:r w:rsidR="00591FB6">
        <w:t>2016</w:t>
      </w:r>
      <w:r w:rsidR="00E531D7">
        <w:t>.</w:t>
      </w:r>
      <w:r w:rsidR="00F47C05">
        <w:t xml:space="preserve"> </w:t>
      </w:r>
      <w:r w:rsidRPr="004B7307" w:rsidR="00D95C01">
        <w:t xml:space="preserve">The rates are from column 1, </w:t>
      </w:r>
      <w:r w:rsidR="001E2361">
        <w:t xml:space="preserve">    “</w:t>
      </w:r>
      <w:r w:rsidRPr="004B7307" w:rsidR="00D95C01">
        <w:t>Total compensation.”</w:t>
      </w:r>
      <w:r w:rsidR="00D95C01">
        <w:t xml:space="preserve"> </w:t>
      </w:r>
      <w:r>
        <w:t>The rates have been increased by 110 percent to account for the benefit packages available to those employed by private industry.</w:t>
      </w:r>
    </w:p>
    <w:p w:rsidRPr="007523FA" w:rsidR="00B4246B" w:rsidP="00D95C01" w:rsidRDefault="00FF2C48" w14:paraId="26082196" w14:textId="4F34300A">
      <w:pPr>
        <w:pStyle w:val="TableFootnote"/>
      </w:pPr>
      <w:r>
        <w:rPr>
          <w:rStyle w:val="Superscript"/>
        </w:rPr>
        <w:t>c</w:t>
      </w:r>
      <w:r w:rsidR="003A53EF">
        <w:t xml:space="preserve"> </w:t>
      </w:r>
      <w:r w:rsidR="00F46122">
        <w:t>The total labor burden and cost is the sum of the total labor cost</w:t>
      </w:r>
      <w:r w:rsidR="00D95C01">
        <w:t>, the annualized capital cost, and the operation and maintenance cost</w:t>
      </w:r>
      <w:r w:rsidR="00F46122">
        <w:t>.</w:t>
      </w:r>
      <w:r w:rsidRPr="007523FA" w:rsidR="00B4246B">
        <w:br w:type="page"/>
      </w:r>
    </w:p>
    <w:p w:rsidRPr="00E531D7" w:rsidR="00316627" w:rsidP="00F46122" w:rsidRDefault="00316627" w14:paraId="20FD3E14" w14:textId="1685092F">
      <w:pPr>
        <w:pStyle w:val="TableTitle"/>
      </w:pPr>
      <w:r w:rsidRPr="00E531D7">
        <w:lastRenderedPageBreak/>
        <w:t>Table 2.</w:t>
      </w:r>
      <w:r w:rsidR="00F47C05">
        <w:t xml:space="preserve"> </w:t>
      </w:r>
      <w:r w:rsidRPr="00E531D7" w:rsidR="00E531D7">
        <w:t xml:space="preserve">Annual Burden and Cost to the Federal/State Government: </w:t>
      </w:r>
      <w:r w:rsidR="008F2BF8">
        <w:t>Proposed</w:t>
      </w:r>
      <w:r w:rsidRPr="00E531D7" w:rsidR="008F2BF8">
        <w:t xml:space="preserve"> </w:t>
      </w:r>
      <w:r w:rsidRPr="00E531D7" w:rsidR="00E531D7">
        <w:t>Amendments to NESHAP for Petroleum Refineries (40 CFR Part 63, Subpart CC).</w:t>
      </w:r>
    </w:p>
    <w:tbl>
      <w:tblPr>
        <w:tblW w:w="5000" w:type="pct"/>
        <w:tblBorders>
          <w:top w:val="double" w:color="000000" w:sz="12" w:space="0"/>
          <w:left w:val="double" w:color="000000" w:sz="12" w:space="0"/>
          <w:bottom w:val="double" w:color="000000" w:sz="12" w:space="0"/>
          <w:right w:val="double" w:color="000000" w:sz="12" w:space="0"/>
          <w:insideH w:val="single" w:color="000000" w:sz="6" w:space="0"/>
          <w:insideV w:val="single" w:color="000000" w:sz="6" w:space="0"/>
        </w:tblBorders>
        <w:tblLayout w:type="fixed"/>
        <w:tblCellMar>
          <w:left w:w="115" w:type="dxa"/>
          <w:right w:w="115" w:type="dxa"/>
        </w:tblCellMar>
        <w:tblLook w:val="0000" w:firstRow="0" w:lastRow="0" w:firstColumn="0" w:lastColumn="0" w:noHBand="0" w:noVBand="0"/>
      </w:tblPr>
      <w:tblGrid>
        <w:gridCol w:w="3978"/>
        <w:gridCol w:w="1268"/>
        <w:gridCol w:w="1321"/>
        <w:gridCol w:w="1145"/>
        <w:gridCol w:w="1327"/>
        <w:gridCol w:w="1415"/>
        <w:gridCol w:w="1327"/>
        <w:gridCol w:w="1263"/>
      </w:tblGrid>
      <w:tr w:rsidR="00F46122" w:rsidTr="00497612" w14:paraId="1DD83D00" w14:textId="77777777">
        <w:trPr>
          <w:cantSplit/>
        </w:trPr>
        <w:tc>
          <w:tcPr>
            <w:tcW w:w="3978" w:type="dxa"/>
            <w:vMerge w:val="restart"/>
            <w:tcBorders>
              <w:top w:val="single" w:color="000000" w:sz="2" w:space="0"/>
              <w:left w:val="single" w:color="000000" w:sz="2" w:space="0"/>
              <w:right w:val="single" w:color="000000" w:sz="2" w:space="0"/>
            </w:tcBorders>
            <w:vAlign w:val="center"/>
          </w:tcPr>
          <w:p w:rsidR="00F46122" w:rsidP="00205C04" w:rsidRDefault="00F46122" w14:paraId="2E433CCA" w14:textId="77777777">
            <w:pPr>
              <w:pStyle w:val="TableTextCenter10pt"/>
            </w:pPr>
            <w:r>
              <w:t>Activity</w:t>
            </w:r>
          </w:p>
        </w:tc>
        <w:tc>
          <w:tcPr>
            <w:tcW w:w="1268" w:type="dxa"/>
            <w:tcBorders>
              <w:top w:val="single" w:color="000000" w:sz="2" w:space="0"/>
              <w:left w:val="single" w:color="000000" w:sz="2" w:space="0"/>
              <w:bottom w:val="nil"/>
              <w:right w:val="single" w:color="000000" w:sz="2" w:space="0"/>
            </w:tcBorders>
          </w:tcPr>
          <w:p w:rsidRPr="00F33C16" w:rsidR="00F46122" w:rsidP="00205C04" w:rsidRDefault="00F46122" w14:paraId="647FDBB6" w14:textId="77777777">
            <w:pPr>
              <w:pStyle w:val="TableTextCenter10pt"/>
            </w:pPr>
            <w:r w:rsidRPr="00F33C16">
              <w:t>(A)</w:t>
            </w:r>
          </w:p>
        </w:tc>
        <w:tc>
          <w:tcPr>
            <w:tcW w:w="1321" w:type="dxa"/>
            <w:tcBorders>
              <w:top w:val="single" w:color="000000" w:sz="2" w:space="0"/>
              <w:left w:val="single" w:color="000000" w:sz="2" w:space="0"/>
              <w:bottom w:val="nil"/>
              <w:right w:val="single" w:color="000000" w:sz="2" w:space="0"/>
            </w:tcBorders>
          </w:tcPr>
          <w:p w:rsidRPr="00F33C16" w:rsidR="00F46122" w:rsidP="00205C04" w:rsidRDefault="00F46122" w14:paraId="181CB627" w14:textId="77777777">
            <w:pPr>
              <w:pStyle w:val="TableTextCenter10pt"/>
            </w:pPr>
            <w:r w:rsidRPr="00F33C16">
              <w:t>(B)</w:t>
            </w:r>
          </w:p>
        </w:tc>
        <w:tc>
          <w:tcPr>
            <w:tcW w:w="1145" w:type="dxa"/>
            <w:tcBorders>
              <w:top w:val="single" w:color="000000" w:sz="2" w:space="0"/>
              <w:left w:val="single" w:color="000000" w:sz="2" w:space="0"/>
              <w:bottom w:val="nil"/>
              <w:right w:val="single" w:color="000000" w:sz="2" w:space="0"/>
            </w:tcBorders>
          </w:tcPr>
          <w:p w:rsidRPr="00F33C16" w:rsidR="00F46122" w:rsidP="00205C04" w:rsidRDefault="00F46122" w14:paraId="2084B243" w14:textId="77777777">
            <w:pPr>
              <w:pStyle w:val="TableTextCenter10pt"/>
            </w:pPr>
            <w:r w:rsidRPr="00F33C16">
              <w:t>(C)</w:t>
            </w:r>
          </w:p>
        </w:tc>
        <w:tc>
          <w:tcPr>
            <w:tcW w:w="1327" w:type="dxa"/>
            <w:tcBorders>
              <w:top w:val="single" w:color="000000" w:sz="2" w:space="0"/>
              <w:left w:val="single" w:color="000000" w:sz="2" w:space="0"/>
              <w:bottom w:val="nil"/>
              <w:right w:val="single" w:color="000000" w:sz="2" w:space="0"/>
            </w:tcBorders>
          </w:tcPr>
          <w:p w:rsidRPr="00F33C16" w:rsidR="00F46122" w:rsidP="00205C04" w:rsidRDefault="00F46122" w14:paraId="1DB781BE" w14:textId="77777777">
            <w:pPr>
              <w:pStyle w:val="TableTextCenter10pt"/>
            </w:pPr>
            <w:r w:rsidRPr="00F33C16">
              <w:t>(D)</w:t>
            </w:r>
          </w:p>
        </w:tc>
        <w:tc>
          <w:tcPr>
            <w:tcW w:w="1415" w:type="dxa"/>
            <w:tcBorders>
              <w:top w:val="single" w:color="000000" w:sz="2" w:space="0"/>
              <w:left w:val="single" w:color="000000" w:sz="2" w:space="0"/>
              <w:bottom w:val="nil"/>
              <w:right w:val="single" w:color="000000" w:sz="2" w:space="0"/>
            </w:tcBorders>
          </w:tcPr>
          <w:p w:rsidRPr="00F33C16" w:rsidR="00F46122" w:rsidP="00205C04" w:rsidRDefault="00F46122" w14:paraId="23F921DA" w14:textId="77777777">
            <w:pPr>
              <w:pStyle w:val="TableTextCenter10pt"/>
            </w:pPr>
            <w:r w:rsidRPr="00F33C16">
              <w:t>(E)</w:t>
            </w:r>
          </w:p>
        </w:tc>
        <w:tc>
          <w:tcPr>
            <w:tcW w:w="1327" w:type="dxa"/>
            <w:tcBorders>
              <w:top w:val="single" w:color="000000" w:sz="2" w:space="0"/>
              <w:left w:val="single" w:color="000000" w:sz="2" w:space="0"/>
              <w:bottom w:val="nil"/>
              <w:right w:val="single" w:color="000000" w:sz="2" w:space="0"/>
            </w:tcBorders>
          </w:tcPr>
          <w:p w:rsidRPr="00F33C16" w:rsidR="00F46122" w:rsidP="00205C04" w:rsidRDefault="00F46122" w14:paraId="27947B25" w14:textId="77777777">
            <w:pPr>
              <w:pStyle w:val="TableTextCenter10pt"/>
            </w:pPr>
            <w:r w:rsidRPr="00F33C16">
              <w:t>(F)</w:t>
            </w:r>
          </w:p>
        </w:tc>
        <w:tc>
          <w:tcPr>
            <w:tcW w:w="1263" w:type="dxa"/>
            <w:tcBorders>
              <w:top w:val="single" w:color="000000" w:sz="2" w:space="0"/>
              <w:left w:val="single" w:color="000000" w:sz="2" w:space="0"/>
              <w:bottom w:val="nil"/>
              <w:right w:val="single" w:color="000000" w:sz="2" w:space="0"/>
            </w:tcBorders>
          </w:tcPr>
          <w:p w:rsidRPr="00F33C16" w:rsidR="00F46122" w:rsidP="00205C04" w:rsidRDefault="00F46122" w14:paraId="0644F0D8" w14:textId="77777777">
            <w:pPr>
              <w:pStyle w:val="TableTextCenter10pt"/>
            </w:pPr>
            <w:r w:rsidRPr="00F33C16">
              <w:t>(G)</w:t>
            </w:r>
          </w:p>
        </w:tc>
      </w:tr>
      <w:tr w:rsidR="00F46122" w:rsidTr="00497612" w14:paraId="26E6065A" w14:textId="77777777">
        <w:trPr>
          <w:cantSplit/>
        </w:trPr>
        <w:tc>
          <w:tcPr>
            <w:tcW w:w="3978" w:type="dxa"/>
            <w:vMerge/>
            <w:tcBorders>
              <w:left w:val="single" w:color="000000" w:sz="2" w:space="0"/>
              <w:right w:val="single" w:color="000000" w:sz="2" w:space="0"/>
            </w:tcBorders>
            <w:vAlign w:val="center"/>
          </w:tcPr>
          <w:p w:rsidR="00F46122" w:rsidP="00205C04" w:rsidRDefault="00F46122" w14:paraId="0BA8FB20" w14:textId="77777777">
            <w:pPr>
              <w:pStyle w:val="TableTextCenter10pt"/>
              <w:rPr>
                <w:rFonts w:cs="Arial"/>
                <w:szCs w:val="16"/>
              </w:rPr>
            </w:pPr>
          </w:p>
        </w:tc>
        <w:tc>
          <w:tcPr>
            <w:tcW w:w="1268" w:type="dxa"/>
            <w:tcBorders>
              <w:top w:val="nil"/>
              <w:left w:val="single" w:color="000000" w:sz="2" w:space="0"/>
              <w:bottom w:val="nil"/>
              <w:right w:val="single" w:color="000000" w:sz="2" w:space="0"/>
            </w:tcBorders>
            <w:vAlign w:val="bottom"/>
          </w:tcPr>
          <w:p w:rsidRPr="00F33C16" w:rsidR="00F46122" w:rsidP="00205C04" w:rsidRDefault="00F46122" w14:paraId="6CB6B118" w14:textId="77777777">
            <w:pPr>
              <w:pStyle w:val="TableTextCenter10pt"/>
            </w:pPr>
            <w:r w:rsidRPr="00F33C16">
              <w:t>Hours per occurrence</w:t>
            </w:r>
          </w:p>
        </w:tc>
        <w:tc>
          <w:tcPr>
            <w:tcW w:w="1321" w:type="dxa"/>
            <w:tcBorders>
              <w:top w:val="nil"/>
              <w:left w:val="single" w:color="000000" w:sz="2" w:space="0"/>
              <w:bottom w:val="nil"/>
              <w:right w:val="single" w:color="000000" w:sz="2" w:space="0"/>
            </w:tcBorders>
            <w:vAlign w:val="bottom"/>
          </w:tcPr>
          <w:p w:rsidRPr="00F33C16" w:rsidR="00F46122" w:rsidP="00205C04" w:rsidRDefault="001B44C1" w14:paraId="37B4E7F2" w14:textId="6940DA34">
            <w:pPr>
              <w:pStyle w:val="TableTextCenter10pt"/>
            </w:pPr>
            <w:r>
              <w:t>Occu</w:t>
            </w:r>
            <w:r w:rsidR="00497612">
              <w:t>r</w:t>
            </w:r>
            <w:r>
              <w:t>rences</w:t>
            </w:r>
            <w:r w:rsidRPr="00F33C16" w:rsidR="00F46122">
              <w:t xml:space="preserve"> per plant per year</w:t>
            </w:r>
          </w:p>
        </w:tc>
        <w:tc>
          <w:tcPr>
            <w:tcW w:w="1145" w:type="dxa"/>
            <w:tcBorders>
              <w:top w:val="nil"/>
              <w:left w:val="single" w:color="000000" w:sz="2" w:space="0"/>
              <w:bottom w:val="nil"/>
              <w:right w:val="single" w:color="000000" w:sz="2" w:space="0"/>
            </w:tcBorders>
            <w:vAlign w:val="bottom"/>
          </w:tcPr>
          <w:p w:rsidR="00F46122" w:rsidP="00205C04" w:rsidRDefault="00F46122" w14:paraId="3232FD11" w14:textId="77777777">
            <w:pPr>
              <w:pStyle w:val="TableTextCenter10pt"/>
              <w:rPr>
                <w:rFonts w:cs="Arial"/>
                <w:szCs w:val="16"/>
              </w:rPr>
            </w:pPr>
            <w:r w:rsidRPr="005F5FDC">
              <w:t xml:space="preserve">Plants per year </w:t>
            </w:r>
            <w:r w:rsidRPr="005F5FDC">
              <w:rPr>
                <w:rStyle w:val="Superscript"/>
              </w:rPr>
              <w:t>a</w:t>
            </w:r>
          </w:p>
        </w:tc>
        <w:tc>
          <w:tcPr>
            <w:tcW w:w="1327" w:type="dxa"/>
            <w:tcBorders>
              <w:top w:val="nil"/>
              <w:left w:val="single" w:color="000000" w:sz="2" w:space="0"/>
              <w:bottom w:val="nil"/>
              <w:right w:val="single" w:color="000000" w:sz="2" w:space="0"/>
            </w:tcBorders>
            <w:vAlign w:val="bottom"/>
          </w:tcPr>
          <w:p w:rsidRPr="00F33C16" w:rsidR="00F46122" w:rsidP="00205C04" w:rsidRDefault="00F46122" w14:paraId="692339F5" w14:textId="77777777">
            <w:pPr>
              <w:pStyle w:val="TableTextCenter10pt"/>
            </w:pPr>
            <w:r w:rsidRPr="00F33C16">
              <w:t>Technical person-hours per year</w:t>
            </w:r>
          </w:p>
        </w:tc>
        <w:tc>
          <w:tcPr>
            <w:tcW w:w="1415" w:type="dxa"/>
            <w:tcBorders>
              <w:top w:val="nil"/>
              <w:left w:val="single" w:color="000000" w:sz="2" w:space="0"/>
              <w:bottom w:val="nil"/>
              <w:right w:val="single" w:color="000000" w:sz="2" w:space="0"/>
            </w:tcBorders>
            <w:vAlign w:val="bottom"/>
          </w:tcPr>
          <w:p w:rsidRPr="00F33C16" w:rsidR="00F46122" w:rsidP="00205C04" w:rsidRDefault="00F46122" w14:paraId="07736278" w14:textId="77777777">
            <w:pPr>
              <w:pStyle w:val="TableTextCenter10pt"/>
            </w:pPr>
            <w:r w:rsidRPr="00F33C16">
              <w:t>Management person-hours per year</w:t>
            </w:r>
          </w:p>
        </w:tc>
        <w:tc>
          <w:tcPr>
            <w:tcW w:w="1327" w:type="dxa"/>
            <w:tcBorders>
              <w:top w:val="nil"/>
              <w:left w:val="single" w:color="000000" w:sz="2" w:space="0"/>
              <w:bottom w:val="nil"/>
              <w:right w:val="single" w:color="000000" w:sz="2" w:space="0"/>
            </w:tcBorders>
            <w:vAlign w:val="bottom"/>
          </w:tcPr>
          <w:p w:rsidRPr="00F33C16" w:rsidR="00F46122" w:rsidP="00205C04" w:rsidRDefault="00F46122" w14:paraId="70954FBC" w14:textId="77777777">
            <w:pPr>
              <w:pStyle w:val="TableTextCenter10pt"/>
            </w:pPr>
            <w:r w:rsidRPr="00F33C16">
              <w:t>Clerical person- hours per year</w:t>
            </w:r>
          </w:p>
        </w:tc>
        <w:tc>
          <w:tcPr>
            <w:tcW w:w="1263" w:type="dxa"/>
            <w:tcBorders>
              <w:top w:val="nil"/>
              <w:left w:val="single" w:color="000000" w:sz="2" w:space="0"/>
              <w:bottom w:val="nil"/>
              <w:right w:val="single" w:color="000000" w:sz="2" w:space="0"/>
            </w:tcBorders>
            <w:vAlign w:val="bottom"/>
          </w:tcPr>
          <w:p w:rsidR="00F46122" w:rsidP="00205C04" w:rsidRDefault="00F46122" w14:paraId="2B20DDB4" w14:textId="77777777">
            <w:pPr>
              <w:pStyle w:val="TableTextCenter10pt"/>
              <w:rPr>
                <w:rFonts w:cs="Arial"/>
                <w:szCs w:val="16"/>
              </w:rPr>
            </w:pPr>
            <w:r w:rsidRPr="005F5FDC">
              <w:t xml:space="preserve">Cost, $ </w:t>
            </w:r>
            <w:r w:rsidRPr="005F5FDC">
              <w:rPr>
                <w:rStyle w:val="Superscript"/>
              </w:rPr>
              <w:t>b</w:t>
            </w:r>
          </w:p>
        </w:tc>
      </w:tr>
      <w:tr w:rsidR="00F46122" w:rsidTr="00497612" w14:paraId="5A97548E" w14:textId="77777777">
        <w:trPr>
          <w:cantSplit/>
        </w:trPr>
        <w:tc>
          <w:tcPr>
            <w:tcW w:w="3978" w:type="dxa"/>
            <w:vMerge/>
            <w:tcBorders>
              <w:left w:val="single" w:color="000000" w:sz="2" w:space="0"/>
              <w:bottom w:val="single" w:color="000000" w:sz="2" w:space="0"/>
              <w:right w:val="single" w:color="000000" w:sz="2" w:space="0"/>
            </w:tcBorders>
            <w:vAlign w:val="center"/>
          </w:tcPr>
          <w:p w:rsidR="00F46122" w:rsidP="00205C04" w:rsidRDefault="00F46122" w14:paraId="618E7ADE" w14:textId="77777777">
            <w:pPr>
              <w:pStyle w:val="TableTextCenter10pt"/>
              <w:rPr>
                <w:rFonts w:cs="Arial"/>
                <w:szCs w:val="16"/>
              </w:rPr>
            </w:pPr>
          </w:p>
        </w:tc>
        <w:tc>
          <w:tcPr>
            <w:tcW w:w="1268" w:type="dxa"/>
            <w:tcBorders>
              <w:top w:val="nil"/>
              <w:left w:val="single" w:color="000000" w:sz="2" w:space="0"/>
              <w:bottom w:val="single" w:color="000000" w:sz="2" w:space="0"/>
              <w:right w:val="single" w:color="000000" w:sz="2" w:space="0"/>
            </w:tcBorders>
          </w:tcPr>
          <w:p w:rsidRPr="00F33C16" w:rsidR="00F46122" w:rsidP="00205C04" w:rsidRDefault="00F46122" w14:paraId="320C7E20" w14:textId="77777777">
            <w:pPr>
              <w:pStyle w:val="TableTextCenter10pt"/>
            </w:pPr>
            <w:r w:rsidRPr="00F33C16">
              <w:t> </w:t>
            </w:r>
          </w:p>
        </w:tc>
        <w:tc>
          <w:tcPr>
            <w:tcW w:w="1321" w:type="dxa"/>
            <w:tcBorders>
              <w:top w:val="nil"/>
              <w:left w:val="single" w:color="000000" w:sz="2" w:space="0"/>
              <w:bottom w:val="single" w:color="000000" w:sz="2" w:space="0"/>
              <w:right w:val="single" w:color="000000" w:sz="2" w:space="0"/>
            </w:tcBorders>
          </w:tcPr>
          <w:p w:rsidRPr="00F33C16" w:rsidR="00F46122" w:rsidP="00205C04" w:rsidRDefault="00F46122" w14:paraId="244F658C" w14:textId="77777777">
            <w:pPr>
              <w:pStyle w:val="TableTextCenter10pt"/>
            </w:pPr>
            <w:r w:rsidRPr="00F33C16">
              <w:t> </w:t>
            </w:r>
          </w:p>
        </w:tc>
        <w:tc>
          <w:tcPr>
            <w:tcW w:w="1145" w:type="dxa"/>
            <w:tcBorders>
              <w:top w:val="nil"/>
              <w:left w:val="single" w:color="000000" w:sz="2" w:space="0"/>
              <w:bottom w:val="single" w:color="000000" w:sz="2" w:space="0"/>
              <w:right w:val="single" w:color="000000" w:sz="2" w:space="0"/>
            </w:tcBorders>
          </w:tcPr>
          <w:p w:rsidRPr="00F33C16" w:rsidR="00F46122" w:rsidP="00205C04" w:rsidRDefault="00F46122" w14:paraId="14F7701F" w14:textId="77777777">
            <w:pPr>
              <w:pStyle w:val="TableTextCenter10pt"/>
            </w:pPr>
            <w:r w:rsidRPr="00F33C16">
              <w:t> </w:t>
            </w:r>
          </w:p>
        </w:tc>
        <w:tc>
          <w:tcPr>
            <w:tcW w:w="1327" w:type="dxa"/>
            <w:tcBorders>
              <w:top w:val="nil"/>
              <w:left w:val="single" w:color="000000" w:sz="2" w:space="0"/>
              <w:bottom w:val="single" w:color="000000" w:sz="2" w:space="0"/>
              <w:right w:val="single" w:color="000000" w:sz="2" w:space="0"/>
            </w:tcBorders>
          </w:tcPr>
          <w:p w:rsidRPr="00F33C16" w:rsidR="00F46122" w:rsidP="00205C04" w:rsidRDefault="00F46122" w14:paraId="73951AF1" w14:textId="77777777">
            <w:pPr>
              <w:pStyle w:val="TableTextCenter10pt"/>
            </w:pPr>
            <w:r w:rsidRPr="00F33C16">
              <w:t>(E=B</w:t>
            </w:r>
            <w:r>
              <w:t>×</w:t>
            </w:r>
            <w:r w:rsidRPr="00F33C16">
              <w:t>C)</w:t>
            </w:r>
          </w:p>
        </w:tc>
        <w:tc>
          <w:tcPr>
            <w:tcW w:w="1415" w:type="dxa"/>
            <w:tcBorders>
              <w:top w:val="nil"/>
              <w:left w:val="single" w:color="000000" w:sz="2" w:space="0"/>
              <w:bottom w:val="single" w:color="000000" w:sz="2" w:space="0"/>
              <w:right w:val="single" w:color="000000" w:sz="2" w:space="0"/>
            </w:tcBorders>
          </w:tcPr>
          <w:p w:rsidRPr="00F33C16" w:rsidR="00F46122" w:rsidP="00205C04" w:rsidRDefault="00F46122" w14:paraId="3A378CE8" w14:textId="77777777">
            <w:pPr>
              <w:pStyle w:val="TableTextCenter10pt"/>
            </w:pPr>
            <w:r w:rsidRPr="00F33C16">
              <w:t>(D</w:t>
            </w:r>
            <w:r>
              <w:t>×</w:t>
            </w:r>
            <w:r w:rsidRPr="00F33C16">
              <w:t>0.05)</w:t>
            </w:r>
          </w:p>
        </w:tc>
        <w:tc>
          <w:tcPr>
            <w:tcW w:w="1327" w:type="dxa"/>
            <w:tcBorders>
              <w:top w:val="nil"/>
              <w:left w:val="single" w:color="000000" w:sz="2" w:space="0"/>
              <w:bottom w:val="single" w:color="000000" w:sz="2" w:space="0"/>
              <w:right w:val="single" w:color="000000" w:sz="2" w:space="0"/>
            </w:tcBorders>
          </w:tcPr>
          <w:p w:rsidRPr="00F33C16" w:rsidR="00F46122" w:rsidP="00205C04" w:rsidRDefault="00F46122" w14:paraId="002575C7" w14:textId="77777777">
            <w:pPr>
              <w:pStyle w:val="TableTextCenter10pt"/>
            </w:pPr>
            <w:r w:rsidRPr="00F33C16">
              <w:t>(D</w:t>
            </w:r>
            <w:r>
              <w:t>×</w:t>
            </w:r>
            <w:r w:rsidRPr="00F33C16">
              <w:t>0.1)</w:t>
            </w:r>
          </w:p>
        </w:tc>
        <w:tc>
          <w:tcPr>
            <w:tcW w:w="1263" w:type="dxa"/>
            <w:tcBorders>
              <w:top w:val="nil"/>
              <w:left w:val="single" w:color="000000" w:sz="2" w:space="0"/>
              <w:bottom w:val="single" w:color="000000" w:sz="2" w:space="0"/>
              <w:right w:val="single" w:color="000000" w:sz="2" w:space="0"/>
            </w:tcBorders>
          </w:tcPr>
          <w:p w:rsidRPr="00F33C16" w:rsidR="00F46122" w:rsidP="00205C04" w:rsidRDefault="00F46122" w14:paraId="3824106F" w14:textId="77777777">
            <w:pPr>
              <w:pStyle w:val="TableTextCenter10pt"/>
            </w:pPr>
            <w:r w:rsidRPr="00F33C16">
              <w:t> </w:t>
            </w:r>
          </w:p>
        </w:tc>
      </w:tr>
      <w:tr w:rsidR="00316627" w:rsidTr="00497612" w14:paraId="6F7003C4" w14:textId="77777777">
        <w:trPr>
          <w:cantSplit/>
        </w:trPr>
        <w:tc>
          <w:tcPr>
            <w:tcW w:w="3978" w:type="dxa"/>
            <w:tcBorders>
              <w:top w:val="single" w:color="000000" w:sz="2" w:space="0"/>
              <w:left w:val="single" w:color="000000" w:sz="2" w:space="0"/>
              <w:bottom w:val="single" w:color="000000" w:sz="2" w:space="0"/>
              <w:right w:val="single" w:color="000000" w:sz="2" w:space="0"/>
            </w:tcBorders>
          </w:tcPr>
          <w:p w:rsidRPr="00E531D7" w:rsidR="00316627" w:rsidP="00F46122" w:rsidRDefault="00673A8D" w14:paraId="7A93B8D4" w14:textId="08BE1FE0">
            <w:pPr>
              <w:pStyle w:val="TableTextLeft10pt"/>
            </w:pPr>
            <w:r>
              <w:t>Audit Record</w:t>
            </w:r>
            <w:r w:rsidRPr="00E531D7">
              <w:t xml:space="preserve"> </w:t>
            </w:r>
            <w:r w:rsidRPr="00E531D7" w:rsidR="00316627">
              <w:t>Review</w:t>
            </w:r>
          </w:p>
        </w:tc>
        <w:tc>
          <w:tcPr>
            <w:tcW w:w="1268" w:type="dxa"/>
            <w:tcBorders>
              <w:top w:val="single" w:color="000000" w:sz="2" w:space="0"/>
              <w:left w:val="single" w:color="000000" w:sz="2" w:space="0"/>
              <w:bottom w:val="single" w:color="000000" w:sz="2" w:space="0"/>
              <w:right w:val="single" w:color="000000" w:sz="2" w:space="0"/>
            </w:tcBorders>
          </w:tcPr>
          <w:p w:rsidRPr="00AE06D7" w:rsidR="00316627" w:rsidP="00AE06D7" w:rsidRDefault="00316627" w14:paraId="102696C7" w14:textId="77777777">
            <w:pPr>
              <w:pStyle w:val="TableTextCenter10pt"/>
            </w:pPr>
          </w:p>
        </w:tc>
        <w:tc>
          <w:tcPr>
            <w:tcW w:w="1321" w:type="dxa"/>
            <w:tcBorders>
              <w:top w:val="single" w:color="000000" w:sz="2" w:space="0"/>
              <w:left w:val="single" w:color="000000" w:sz="2" w:space="0"/>
              <w:bottom w:val="single" w:color="000000" w:sz="2" w:space="0"/>
              <w:right w:val="single" w:color="000000" w:sz="2" w:space="0"/>
            </w:tcBorders>
          </w:tcPr>
          <w:p w:rsidRPr="00AE06D7" w:rsidR="00316627" w:rsidP="00AE06D7" w:rsidRDefault="00316627" w14:paraId="33730A37" w14:textId="77777777">
            <w:pPr>
              <w:pStyle w:val="TableTextCenter10pt"/>
            </w:pPr>
          </w:p>
        </w:tc>
        <w:tc>
          <w:tcPr>
            <w:tcW w:w="1145" w:type="dxa"/>
            <w:tcBorders>
              <w:top w:val="single" w:color="000000" w:sz="2" w:space="0"/>
              <w:left w:val="single" w:color="000000" w:sz="2" w:space="0"/>
              <w:bottom w:val="single" w:color="000000" w:sz="2" w:space="0"/>
              <w:right w:val="single" w:color="000000" w:sz="2" w:space="0"/>
            </w:tcBorders>
          </w:tcPr>
          <w:p w:rsidRPr="00AE06D7" w:rsidR="00316627" w:rsidP="00AE06D7" w:rsidRDefault="00316627" w14:paraId="5F5BA31D" w14:textId="77777777">
            <w:pPr>
              <w:pStyle w:val="TableTextCenter10pt"/>
            </w:pPr>
          </w:p>
        </w:tc>
        <w:tc>
          <w:tcPr>
            <w:tcW w:w="1327" w:type="dxa"/>
            <w:tcBorders>
              <w:top w:val="single" w:color="000000" w:sz="2" w:space="0"/>
              <w:left w:val="single" w:color="000000" w:sz="2" w:space="0"/>
              <w:bottom w:val="single" w:color="000000" w:sz="2" w:space="0"/>
              <w:right w:val="single" w:color="000000" w:sz="2" w:space="0"/>
            </w:tcBorders>
          </w:tcPr>
          <w:p w:rsidRPr="00AE06D7" w:rsidR="00316627" w:rsidP="00AE06D7" w:rsidRDefault="00316627" w14:paraId="598D8625" w14:textId="77777777">
            <w:pPr>
              <w:pStyle w:val="TableTextCenter10pt"/>
            </w:pPr>
          </w:p>
        </w:tc>
        <w:tc>
          <w:tcPr>
            <w:tcW w:w="1415" w:type="dxa"/>
            <w:tcBorders>
              <w:top w:val="single" w:color="000000" w:sz="2" w:space="0"/>
              <w:left w:val="single" w:color="000000" w:sz="2" w:space="0"/>
              <w:bottom w:val="single" w:color="000000" w:sz="2" w:space="0"/>
              <w:right w:val="single" w:color="000000" w:sz="2" w:space="0"/>
            </w:tcBorders>
          </w:tcPr>
          <w:p w:rsidRPr="00AE06D7" w:rsidR="00316627" w:rsidP="00AE06D7" w:rsidRDefault="00316627" w14:paraId="256027E3" w14:textId="77777777">
            <w:pPr>
              <w:pStyle w:val="TableTextCenter10pt"/>
            </w:pPr>
          </w:p>
        </w:tc>
        <w:tc>
          <w:tcPr>
            <w:tcW w:w="1327" w:type="dxa"/>
            <w:tcBorders>
              <w:top w:val="single" w:color="000000" w:sz="2" w:space="0"/>
              <w:left w:val="single" w:color="000000" w:sz="2" w:space="0"/>
              <w:bottom w:val="single" w:color="000000" w:sz="2" w:space="0"/>
              <w:right w:val="single" w:color="000000" w:sz="2" w:space="0"/>
            </w:tcBorders>
          </w:tcPr>
          <w:p w:rsidRPr="00AE06D7" w:rsidR="00316627" w:rsidP="00AE06D7" w:rsidRDefault="00316627" w14:paraId="74E6FF43" w14:textId="77777777">
            <w:pPr>
              <w:pStyle w:val="TableTextCenter10pt"/>
            </w:pPr>
          </w:p>
        </w:tc>
        <w:tc>
          <w:tcPr>
            <w:tcW w:w="1263" w:type="dxa"/>
            <w:tcBorders>
              <w:top w:val="single" w:color="000000" w:sz="2" w:space="0"/>
              <w:left w:val="single" w:color="000000" w:sz="2" w:space="0"/>
              <w:bottom w:val="single" w:color="000000" w:sz="2" w:space="0"/>
              <w:right w:val="single" w:color="000000" w:sz="2" w:space="0"/>
            </w:tcBorders>
          </w:tcPr>
          <w:p w:rsidRPr="00AE06D7" w:rsidR="00316627" w:rsidP="00AE06D7" w:rsidRDefault="00316627" w14:paraId="5CDB9856" w14:textId="77777777">
            <w:pPr>
              <w:pStyle w:val="TableTextRight10pt"/>
            </w:pPr>
          </w:p>
        </w:tc>
      </w:tr>
      <w:tr w:rsidR="00D95C01" w:rsidTr="00497612" w14:paraId="512D9B0B" w14:textId="77777777">
        <w:trPr>
          <w:cantSplit/>
        </w:trPr>
        <w:tc>
          <w:tcPr>
            <w:tcW w:w="3978" w:type="dxa"/>
            <w:tcBorders>
              <w:top w:val="single" w:color="000000" w:sz="2" w:space="0"/>
              <w:left w:val="single" w:color="000000" w:sz="2" w:space="0"/>
              <w:bottom w:val="single" w:color="000000" w:sz="2" w:space="0"/>
              <w:right w:val="single" w:color="000000" w:sz="2" w:space="0"/>
            </w:tcBorders>
          </w:tcPr>
          <w:p w:rsidR="00D95C01" w:rsidP="00D95C01" w:rsidRDefault="00673A8D" w14:paraId="315A8891" w14:textId="7080FCC1">
            <w:pPr>
              <w:pStyle w:val="TableTextLeft10ptIndent"/>
            </w:pPr>
            <w:r>
              <w:t>M</w:t>
            </w:r>
            <w:r w:rsidRPr="001B44C1" w:rsidR="001B44C1">
              <w:t>aintenance vents</w:t>
            </w:r>
            <w:r>
              <w:t xml:space="preserve"> -</w:t>
            </w:r>
            <w:r w:rsidRPr="001B44C1" w:rsidR="001B44C1">
              <w:t xml:space="preserve"> &lt;72 lb/day </w:t>
            </w:r>
          </w:p>
        </w:tc>
        <w:tc>
          <w:tcPr>
            <w:tcW w:w="1268" w:type="dxa"/>
            <w:tcBorders>
              <w:top w:val="single" w:color="000000" w:sz="2" w:space="0"/>
              <w:left w:val="single" w:color="000000" w:sz="2" w:space="0"/>
              <w:bottom w:val="single" w:color="000000" w:sz="2" w:space="0"/>
              <w:right w:val="single" w:color="000000" w:sz="2" w:space="0"/>
            </w:tcBorders>
            <w:vAlign w:val="center"/>
          </w:tcPr>
          <w:p w:rsidRPr="00AE06D7" w:rsidR="00D95C01" w:rsidP="001B44C1" w:rsidRDefault="001B44C1" w14:paraId="7935DE2A" w14:textId="2B1C9EB7">
            <w:pPr>
              <w:pStyle w:val="TableTextCenter10pt"/>
            </w:pPr>
            <w:r>
              <w:t>0.2</w:t>
            </w:r>
          </w:p>
        </w:tc>
        <w:tc>
          <w:tcPr>
            <w:tcW w:w="1321" w:type="dxa"/>
            <w:tcBorders>
              <w:top w:val="single" w:color="000000" w:sz="2" w:space="0"/>
              <w:left w:val="single" w:color="000000" w:sz="2" w:space="0"/>
              <w:bottom w:val="single" w:color="000000" w:sz="2" w:space="0"/>
              <w:right w:val="single" w:color="000000" w:sz="2" w:space="0"/>
            </w:tcBorders>
            <w:vAlign w:val="center"/>
          </w:tcPr>
          <w:p w:rsidRPr="00AE06D7" w:rsidR="00D95C01" w:rsidP="001B44C1" w:rsidRDefault="001B44C1" w14:paraId="2298FA01" w14:textId="4E268033">
            <w:pPr>
              <w:pStyle w:val="TableTextCenter10pt"/>
            </w:pPr>
            <w:r>
              <w:t>1</w:t>
            </w:r>
          </w:p>
        </w:tc>
        <w:tc>
          <w:tcPr>
            <w:tcW w:w="1145" w:type="dxa"/>
            <w:tcBorders>
              <w:top w:val="single" w:color="000000" w:sz="2" w:space="0"/>
              <w:left w:val="single" w:color="000000" w:sz="2" w:space="0"/>
              <w:bottom w:val="single" w:color="000000" w:sz="2" w:space="0"/>
              <w:right w:val="single" w:color="000000" w:sz="2" w:space="0"/>
            </w:tcBorders>
            <w:vAlign w:val="center"/>
          </w:tcPr>
          <w:p w:rsidRPr="00AE06D7" w:rsidR="00D95C01" w:rsidP="001B44C1" w:rsidRDefault="00D51D1D" w14:paraId="61BBBEDE" w14:textId="1F6D6164">
            <w:pPr>
              <w:pStyle w:val="TableTextCenter10pt"/>
            </w:pPr>
            <w:r>
              <w:t>36</w:t>
            </w:r>
          </w:p>
        </w:tc>
        <w:tc>
          <w:tcPr>
            <w:tcW w:w="1327" w:type="dxa"/>
            <w:tcBorders>
              <w:top w:val="single" w:color="000000" w:sz="2" w:space="0"/>
              <w:left w:val="single" w:color="000000" w:sz="2" w:space="0"/>
              <w:bottom w:val="single" w:color="000000" w:sz="2" w:space="0"/>
              <w:right w:val="single" w:color="000000" w:sz="2" w:space="0"/>
            </w:tcBorders>
            <w:vAlign w:val="center"/>
          </w:tcPr>
          <w:p w:rsidRPr="00AE06D7" w:rsidR="00D95C01" w:rsidP="001B44C1" w:rsidRDefault="00D51D1D" w14:paraId="7A9647ED" w14:textId="423DF4BF">
            <w:pPr>
              <w:pStyle w:val="TableTextCenter10pt"/>
            </w:pPr>
            <w:r>
              <w:t>7.1</w:t>
            </w:r>
          </w:p>
        </w:tc>
        <w:tc>
          <w:tcPr>
            <w:tcW w:w="1415" w:type="dxa"/>
            <w:tcBorders>
              <w:top w:val="single" w:color="000000" w:sz="2" w:space="0"/>
              <w:left w:val="single" w:color="000000" w:sz="2" w:space="0"/>
              <w:bottom w:val="single" w:color="000000" w:sz="2" w:space="0"/>
              <w:right w:val="single" w:color="000000" w:sz="2" w:space="0"/>
            </w:tcBorders>
            <w:vAlign w:val="center"/>
          </w:tcPr>
          <w:p w:rsidRPr="00AE06D7" w:rsidR="00D95C01" w:rsidP="001B44C1" w:rsidRDefault="00D51D1D" w14:paraId="725243E8" w14:textId="5DE31ECC">
            <w:pPr>
              <w:pStyle w:val="TableTextCenter10pt"/>
            </w:pPr>
            <w:r>
              <w:t>0.36</w:t>
            </w:r>
          </w:p>
        </w:tc>
        <w:tc>
          <w:tcPr>
            <w:tcW w:w="1327" w:type="dxa"/>
            <w:tcBorders>
              <w:top w:val="single" w:color="000000" w:sz="2" w:space="0"/>
              <w:left w:val="single" w:color="000000" w:sz="2" w:space="0"/>
              <w:bottom w:val="single" w:color="000000" w:sz="2" w:space="0"/>
              <w:right w:val="single" w:color="000000" w:sz="2" w:space="0"/>
            </w:tcBorders>
            <w:vAlign w:val="center"/>
          </w:tcPr>
          <w:p w:rsidRPr="00AE06D7" w:rsidR="00D95C01" w:rsidP="001B44C1" w:rsidRDefault="00D51D1D" w14:paraId="59042260" w14:textId="6D216906">
            <w:pPr>
              <w:pStyle w:val="TableTextCenter10pt"/>
            </w:pPr>
            <w:r>
              <w:t>0.71</w:t>
            </w:r>
          </w:p>
        </w:tc>
        <w:tc>
          <w:tcPr>
            <w:tcW w:w="1263" w:type="dxa"/>
            <w:tcBorders>
              <w:top w:val="single" w:color="000000" w:sz="2" w:space="0"/>
              <w:left w:val="single" w:color="000000" w:sz="2" w:space="0"/>
              <w:bottom w:val="single" w:color="000000" w:sz="2" w:space="0"/>
              <w:right w:val="single" w:color="000000" w:sz="2" w:space="0"/>
            </w:tcBorders>
            <w:vAlign w:val="center"/>
          </w:tcPr>
          <w:p w:rsidRPr="00D95C01" w:rsidR="00D95C01" w:rsidP="001B44C1" w:rsidRDefault="00D95C01" w14:paraId="0EA7A9E6" w14:textId="35C7011E">
            <w:pPr>
              <w:pStyle w:val="TableTextRight10pt"/>
              <w:ind w:right="217"/>
            </w:pPr>
            <w:r w:rsidRPr="00D95C01">
              <w:t>$</w:t>
            </w:r>
            <w:r w:rsidR="00D51D1D">
              <w:t>379</w:t>
            </w:r>
          </w:p>
        </w:tc>
      </w:tr>
      <w:tr w:rsidR="00316627" w:rsidTr="00497612" w14:paraId="6B2B52BB" w14:textId="77777777">
        <w:trPr>
          <w:cantSplit/>
        </w:trPr>
        <w:tc>
          <w:tcPr>
            <w:tcW w:w="3978" w:type="dxa"/>
            <w:tcBorders>
              <w:top w:val="single" w:color="000000" w:sz="2" w:space="0"/>
              <w:left w:val="single" w:color="000000" w:sz="2" w:space="0"/>
              <w:bottom w:val="single" w:color="000000" w:sz="2" w:space="0"/>
              <w:right w:val="single" w:color="000000" w:sz="2" w:space="0"/>
            </w:tcBorders>
          </w:tcPr>
          <w:p w:rsidR="00316627" w:rsidP="00D95C01" w:rsidRDefault="00316627" w14:paraId="00020D29" w14:textId="77777777">
            <w:pPr>
              <w:pStyle w:val="TableTextLeft10pt"/>
            </w:pPr>
            <w:r>
              <w:t>TOTAL</w:t>
            </w:r>
            <w:r w:rsidRPr="00DC03DB" w:rsidR="00D95C01">
              <w:t xml:space="preserve"> LABOR</w:t>
            </w:r>
            <w:r>
              <w:t xml:space="preserve"> BURDEN AND COST</w:t>
            </w:r>
          </w:p>
        </w:tc>
        <w:tc>
          <w:tcPr>
            <w:tcW w:w="1268" w:type="dxa"/>
            <w:tcBorders>
              <w:top w:val="single" w:color="000000" w:sz="2" w:space="0"/>
              <w:left w:val="single" w:color="000000" w:sz="2" w:space="0"/>
              <w:bottom w:val="single" w:color="000000" w:sz="2" w:space="0"/>
              <w:right w:val="single" w:color="000000" w:sz="2" w:space="0"/>
            </w:tcBorders>
            <w:vAlign w:val="center"/>
          </w:tcPr>
          <w:p w:rsidRPr="00F46122" w:rsidR="00316627" w:rsidP="00D95C01" w:rsidRDefault="00316627" w14:paraId="69BF9DE2" w14:textId="77777777">
            <w:pPr>
              <w:pStyle w:val="TableTextCenter10pt"/>
            </w:pPr>
          </w:p>
        </w:tc>
        <w:tc>
          <w:tcPr>
            <w:tcW w:w="1321" w:type="dxa"/>
            <w:tcBorders>
              <w:top w:val="single" w:color="000000" w:sz="2" w:space="0"/>
              <w:left w:val="single" w:color="000000" w:sz="2" w:space="0"/>
              <w:bottom w:val="single" w:color="000000" w:sz="2" w:space="0"/>
              <w:right w:val="single" w:color="000000" w:sz="2" w:space="0"/>
            </w:tcBorders>
            <w:vAlign w:val="center"/>
          </w:tcPr>
          <w:p w:rsidRPr="00F46122" w:rsidR="00316627" w:rsidP="00D95C01" w:rsidRDefault="00316627" w14:paraId="7718C596" w14:textId="77777777">
            <w:pPr>
              <w:pStyle w:val="TableTextCenter10pt"/>
            </w:pPr>
          </w:p>
        </w:tc>
        <w:tc>
          <w:tcPr>
            <w:tcW w:w="1145" w:type="dxa"/>
            <w:tcBorders>
              <w:top w:val="single" w:color="000000" w:sz="2" w:space="0"/>
              <w:left w:val="single" w:color="000000" w:sz="2" w:space="0"/>
              <w:bottom w:val="single" w:color="000000" w:sz="2" w:space="0"/>
              <w:right w:val="single" w:color="000000" w:sz="2" w:space="0"/>
            </w:tcBorders>
            <w:vAlign w:val="center"/>
          </w:tcPr>
          <w:p w:rsidRPr="00F46122" w:rsidR="00316627" w:rsidP="00D95C01" w:rsidRDefault="00316627" w14:paraId="0C60F512" w14:textId="77777777">
            <w:pPr>
              <w:pStyle w:val="TableTextCenter10pt"/>
            </w:pPr>
          </w:p>
        </w:tc>
        <w:tc>
          <w:tcPr>
            <w:tcW w:w="4069" w:type="dxa"/>
            <w:gridSpan w:val="3"/>
            <w:tcBorders>
              <w:top w:val="single" w:color="000000" w:sz="2" w:space="0"/>
              <w:left w:val="single" w:color="000000" w:sz="2" w:space="0"/>
              <w:bottom w:val="single" w:color="000000" w:sz="2" w:space="0"/>
              <w:right w:val="single" w:color="000000" w:sz="2" w:space="0"/>
            </w:tcBorders>
            <w:vAlign w:val="center"/>
          </w:tcPr>
          <w:p w:rsidRPr="00F46122" w:rsidR="00316627" w:rsidP="0074436C" w:rsidRDefault="00D51D1D" w14:paraId="7EA66477" w14:textId="2E82B224">
            <w:pPr>
              <w:pStyle w:val="TableTextCenter10pt"/>
            </w:pPr>
            <w:r>
              <w:t>8.2</w:t>
            </w:r>
          </w:p>
        </w:tc>
        <w:tc>
          <w:tcPr>
            <w:tcW w:w="1263" w:type="dxa"/>
            <w:tcBorders>
              <w:top w:val="single" w:color="000000" w:sz="2" w:space="0"/>
              <w:left w:val="single" w:color="000000" w:sz="2" w:space="0"/>
              <w:bottom w:val="single" w:color="000000" w:sz="2" w:space="0"/>
              <w:right w:val="single" w:color="000000" w:sz="2" w:space="0"/>
            </w:tcBorders>
            <w:vAlign w:val="center"/>
          </w:tcPr>
          <w:p w:rsidRPr="00D95C01" w:rsidR="00316627" w:rsidP="001B44C1" w:rsidRDefault="00AE06D7" w14:paraId="50691A85" w14:textId="66F8EB8A">
            <w:pPr>
              <w:pStyle w:val="TableTextRight10pt"/>
              <w:ind w:right="217"/>
            </w:pPr>
            <w:r w:rsidRPr="00D95C01">
              <w:t>$</w:t>
            </w:r>
            <w:r w:rsidR="00D51D1D">
              <w:t>379</w:t>
            </w:r>
          </w:p>
        </w:tc>
      </w:tr>
    </w:tbl>
    <w:p w:rsidRPr="00F46122" w:rsidR="00316627" w:rsidP="00F46122" w:rsidRDefault="00316627" w14:paraId="7811B7C8" w14:textId="77777777">
      <w:pPr>
        <w:pStyle w:val="TableFootnote"/>
        <w:rPr>
          <w:rStyle w:val="Bold"/>
        </w:rPr>
      </w:pPr>
      <w:r w:rsidRPr="00F46122">
        <w:rPr>
          <w:rStyle w:val="Bold"/>
        </w:rPr>
        <w:t>Assumptions:</w:t>
      </w:r>
    </w:p>
    <w:p w:rsidR="00B50B26" w:rsidP="00ED4539" w:rsidRDefault="00F85C65" w14:paraId="5AC46A91" w14:textId="77777777">
      <w:pPr>
        <w:pStyle w:val="TableFootnote"/>
      </w:pPr>
      <w:r w:rsidRPr="005F5FDC">
        <w:rPr>
          <w:rStyle w:val="Superscript"/>
        </w:rPr>
        <w:t>a</w:t>
      </w:r>
      <w:r w:rsidR="00F47C05">
        <w:t xml:space="preserve"> </w:t>
      </w:r>
      <w:r>
        <w:t>We have determined that 14</w:t>
      </w:r>
      <w:r w:rsidR="00ED4539">
        <w:t>2</w:t>
      </w:r>
      <w:r>
        <w:t xml:space="preserve"> major </w:t>
      </w:r>
      <w:r w:rsidR="00ED4539">
        <w:t xml:space="preserve">source </w:t>
      </w:r>
      <w:r>
        <w:t>petroleum refineries currently operate in the US.</w:t>
      </w:r>
      <w:r w:rsidR="00F47C05">
        <w:t xml:space="preserve"> </w:t>
      </w:r>
      <w:r>
        <w:t>No new or reconstructed facilities are expected over the next 3 years.</w:t>
      </w:r>
    </w:p>
    <w:p w:rsidR="00B50B26" w:rsidP="00D95C01" w:rsidRDefault="00F85C65" w14:paraId="3C3920B5" w14:textId="7670EC83">
      <w:pPr>
        <w:pStyle w:val="TableFootnote"/>
      </w:pPr>
      <w:r w:rsidRPr="005F5FDC">
        <w:rPr>
          <w:rStyle w:val="Superscript"/>
        </w:rPr>
        <w:t>b</w:t>
      </w:r>
      <w:r w:rsidR="00F47C05">
        <w:t xml:space="preserve"> </w:t>
      </w:r>
      <w:r w:rsidR="00316627">
        <w:t xml:space="preserve">This </w:t>
      </w:r>
      <w:r w:rsidRPr="00DC03DB" w:rsidR="00D95C01">
        <w:t xml:space="preserve">ICR uses </w:t>
      </w:r>
      <w:r w:rsidR="00316627">
        <w:t>the following labor r</w:t>
      </w:r>
      <w:r w:rsidR="004B7759">
        <w:t>ates:</w:t>
      </w:r>
      <w:r w:rsidR="00F47C05">
        <w:t xml:space="preserve"> </w:t>
      </w:r>
      <w:r w:rsidR="004B7759">
        <w:t>Managerial rate of $6</w:t>
      </w:r>
      <w:r w:rsidR="00497612">
        <w:t>4</w:t>
      </w:r>
      <w:r w:rsidR="001E63DE">
        <w:t>.</w:t>
      </w:r>
      <w:r w:rsidR="00497612">
        <w:t>1</w:t>
      </w:r>
      <w:r w:rsidR="001E63DE">
        <w:t>6</w:t>
      </w:r>
      <w:r w:rsidRPr="00D95C01" w:rsidR="00D95C01">
        <w:t xml:space="preserve"> </w:t>
      </w:r>
      <w:r w:rsidRPr="00DC03DB" w:rsidR="00D95C01">
        <w:t>per hour</w:t>
      </w:r>
      <w:r w:rsidR="001E63DE">
        <w:t xml:space="preserve"> (GS-13, Step 5, $</w:t>
      </w:r>
      <w:r w:rsidR="00497612">
        <w:t>40.10</w:t>
      </w:r>
      <w:r w:rsidR="00316627">
        <w:t xml:space="preserve"> </w:t>
      </w:r>
      <w:r w:rsidR="001E63DE">
        <w:t>+ 60%), Technical rate of $4</w:t>
      </w:r>
      <w:r w:rsidR="00497612">
        <w:t>7</w:t>
      </w:r>
      <w:r w:rsidR="001E63DE">
        <w:t>.</w:t>
      </w:r>
      <w:r w:rsidR="00497612">
        <w:t>6</w:t>
      </w:r>
      <w:r w:rsidR="001E63DE">
        <w:t>2</w:t>
      </w:r>
      <w:r w:rsidRPr="00D95C01" w:rsidR="00D95C01">
        <w:t xml:space="preserve"> </w:t>
      </w:r>
      <w:r w:rsidRPr="00DC03DB" w:rsidR="00D95C01">
        <w:t>per hour</w:t>
      </w:r>
      <w:r w:rsidR="001E63DE">
        <w:t xml:space="preserve"> (GS-12, Step 1, $2</w:t>
      </w:r>
      <w:r w:rsidR="00497612">
        <w:t>9</w:t>
      </w:r>
      <w:r w:rsidR="001E63DE">
        <w:t>.</w:t>
      </w:r>
      <w:r w:rsidR="00497612">
        <w:t>76</w:t>
      </w:r>
      <w:r w:rsidR="00316627">
        <w:t xml:space="preserve"> + 6</w:t>
      </w:r>
      <w:r w:rsidR="001E63DE">
        <w:t>0%), and Clerical rate of $2</w:t>
      </w:r>
      <w:r w:rsidR="00497612">
        <w:t>5</w:t>
      </w:r>
      <w:r w:rsidR="001E63DE">
        <w:t>.</w:t>
      </w:r>
      <w:r w:rsidR="00497612">
        <w:t>7</w:t>
      </w:r>
      <w:r w:rsidR="001E63DE">
        <w:t>6</w:t>
      </w:r>
      <w:r w:rsidRPr="00D95C01" w:rsidR="00D95C01">
        <w:t xml:space="preserve"> </w:t>
      </w:r>
      <w:r w:rsidRPr="00DC03DB" w:rsidR="00D95C01">
        <w:t>per hour</w:t>
      </w:r>
      <w:r w:rsidR="001E63DE">
        <w:t xml:space="preserve"> (GS-6, Step 3, $1</w:t>
      </w:r>
      <w:r w:rsidR="00497612">
        <w:t>6</w:t>
      </w:r>
      <w:r w:rsidR="001E63DE">
        <w:t>.</w:t>
      </w:r>
      <w:r w:rsidR="00497612">
        <w:t>1</w:t>
      </w:r>
      <w:r w:rsidR="001E63DE">
        <w:t>0</w:t>
      </w:r>
      <w:r w:rsidR="00316627">
        <w:t xml:space="preserve"> + 60%).</w:t>
      </w:r>
      <w:r w:rsidR="00F47C05">
        <w:t xml:space="preserve"> </w:t>
      </w:r>
      <w:r w:rsidR="00316627">
        <w:t xml:space="preserve">These rates are from the Office of Personnel Management (OPM) </w:t>
      </w:r>
      <w:r w:rsidR="001E63DE">
        <w:t>20</w:t>
      </w:r>
      <w:r w:rsidR="00823B37">
        <w:t>16</w:t>
      </w:r>
      <w:r w:rsidR="00316627">
        <w:t xml:space="preserve"> General Schedule</w:t>
      </w:r>
      <w:r w:rsidR="00D95C01">
        <w:t>,</w:t>
      </w:r>
      <w:r w:rsidR="006679BE">
        <w:t xml:space="preserve"> </w:t>
      </w:r>
      <w:r w:rsidR="00316627">
        <w:t>which excludes locality rates of pay.</w:t>
      </w:r>
    </w:p>
    <w:p w:rsidR="00D51D1D" w:rsidP="00D95C01" w:rsidRDefault="00D51D1D" w14:paraId="5C077C94" w14:textId="7AB37D32">
      <w:pPr>
        <w:pStyle w:val="TableFootnote"/>
      </w:pPr>
      <w:r w:rsidRPr="00CA5CD5">
        <w:rPr>
          <w:vertAlign w:val="superscript"/>
        </w:rPr>
        <w:t>c</w:t>
      </w:r>
      <w:r w:rsidRPr="00D51D1D">
        <w:t xml:space="preserve"> Assumes that 25% of the respondents will be audited over the 3-year period of the ICR.</w:t>
      </w:r>
    </w:p>
    <w:p w:rsidR="001B44C1" w:rsidP="001B44C1" w:rsidRDefault="001B44C1" w14:paraId="2F8B54C8" w14:textId="1B769F71">
      <w:pPr>
        <w:pStyle w:val="TableFootnote"/>
      </w:pPr>
    </w:p>
    <w:p w:rsidR="001B44C1" w:rsidP="00D95C01" w:rsidRDefault="001B44C1" w14:paraId="6C1F41F3" w14:textId="77777777">
      <w:pPr>
        <w:pStyle w:val="TableFootnote"/>
      </w:pPr>
    </w:p>
    <w:p w:rsidRPr="007523FA" w:rsidR="008F3C4D" w:rsidP="007523FA" w:rsidRDefault="008F3C4D" w14:paraId="76A88609" w14:textId="77777777">
      <w:pPr>
        <w:pStyle w:val="TableFootnote"/>
      </w:pPr>
    </w:p>
    <w:p w:rsidRPr="00F46122" w:rsidR="008F3C4D" w:rsidP="00F46122" w:rsidRDefault="008F3C4D" w14:paraId="3A2AEFA5" w14:textId="77777777"/>
    <w:p w:rsidRPr="00F46122" w:rsidR="008F3C4D" w:rsidP="00F46122" w:rsidRDefault="008F3C4D" w14:paraId="1C3867D5" w14:textId="77777777"/>
    <w:p w:rsidRPr="00F46122" w:rsidR="00077ABC" w:rsidP="00F46122" w:rsidRDefault="00077ABC" w14:paraId="3AF41685" w14:textId="77777777"/>
    <w:sectPr w:rsidRPr="00F46122" w:rsidR="00077ABC" w:rsidSect="00B4246B">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9CD39" w14:textId="77777777" w:rsidR="0016572A" w:rsidRDefault="0016572A">
      <w:r>
        <w:separator/>
      </w:r>
    </w:p>
  </w:endnote>
  <w:endnote w:type="continuationSeparator" w:id="0">
    <w:p w14:paraId="46AAF53B" w14:textId="77777777" w:rsidR="0016572A" w:rsidRDefault="0016572A">
      <w:r>
        <w:continuationSeparator/>
      </w:r>
    </w:p>
  </w:endnote>
  <w:endnote w:type="continuationNotice" w:id="1">
    <w:p w14:paraId="2B22D908" w14:textId="77777777" w:rsidR="0016572A" w:rsidRDefault="00165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DD570" w14:textId="77777777" w:rsidR="0016572A" w:rsidRDefault="0016572A">
      <w:r>
        <w:separator/>
      </w:r>
    </w:p>
  </w:footnote>
  <w:footnote w:type="continuationSeparator" w:id="0">
    <w:p w14:paraId="2E6E8524" w14:textId="77777777" w:rsidR="0016572A" w:rsidRDefault="0016572A">
      <w:r>
        <w:continuationSeparator/>
      </w:r>
    </w:p>
  </w:footnote>
  <w:footnote w:type="continuationNotice" w:id="1">
    <w:p w14:paraId="693932E0" w14:textId="77777777" w:rsidR="0016572A" w:rsidRDefault="001657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0E066" w14:textId="67C7F367" w:rsidR="001872A3" w:rsidRDefault="001872A3" w:rsidP="0044680A">
    <w:pPr>
      <w:jc w:val="center"/>
    </w:pPr>
    <w:r>
      <w:fldChar w:fldCharType="begin"/>
    </w:r>
    <w:r>
      <w:instrText xml:space="preserve">PAGE </w:instrText>
    </w:r>
    <w:r>
      <w:fldChar w:fldCharType="separate"/>
    </w:r>
    <w:r w:rsidR="00CA5CD5">
      <w:rPr>
        <w:noProof/>
      </w:rPr>
      <w:t>3</w:t>
    </w:r>
    <w:r>
      <w:rPr>
        <w:noProof/>
      </w:rPr>
      <w:fldChar w:fldCharType="end"/>
    </w:r>
  </w:p>
  <w:p w14:paraId="5ABD77A7" w14:textId="77777777" w:rsidR="001872A3" w:rsidRPr="0044680A" w:rsidRDefault="001872A3" w:rsidP="00446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A3F4DBF"/>
    <w:multiLevelType w:val="hybridMultilevel"/>
    <w:tmpl w:val="E010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134AC"/>
    <w:multiLevelType w:val="hybridMultilevel"/>
    <w:tmpl w:val="CF36D372"/>
    <w:lvl w:ilvl="0" w:tplc="389AFAE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 w:numId="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DCE"/>
    <w:rsid w:val="000061F9"/>
    <w:rsid w:val="000065ED"/>
    <w:rsid w:val="0000687D"/>
    <w:rsid w:val="0001033B"/>
    <w:rsid w:val="00016152"/>
    <w:rsid w:val="00020056"/>
    <w:rsid w:val="00020BAE"/>
    <w:rsid w:val="00030D15"/>
    <w:rsid w:val="000316C0"/>
    <w:rsid w:val="00035FC1"/>
    <w:rsid w:val="0003619B"/>
    <w:rsid w:val="00040AE9"/>
    <w:rsid w:val="00042359"/>
    <w:rsid w:val="00051257"/>
    <w:rsid w:val="00053239"/>
    <w:rsid w:val="00054964"/>
    <w:rsid w:val="00055BDF"/>
    <w:rsid w:val="00055DC5"/>
    <w:rsid w:val="000577C1"/>
    <w:rsid w:val="00057CF3"/>
    <w:rsid w:val="00060E84"/>
    <w:rsid w:val="00061797"/>
    <w:rsid w:val="00062CC8"/>
    <w:rsid w:val="000734AE"/>
    <w:rsid w:val="000764F2"/>
    <w:rsid w:val="00077ABC"/>
    <w:rsid w:val="000806F5"/>
    <w:rsid w:val="00083062"/>
    <w:rsid w:val="000850BE"/>
    <w:rsid w:val="00085C96"/>
    <w:rsid w:val="0008685D"/>
    <w:rsid w:val="000905B0"/>
    <w:rsid w:val="00097849"/>
    <w:rsid w:val="000A0E76"/>
    <w:rsid w:val="000A19D3"/>
    <w:rsid w:val="000A1FBB"/>
    <w:rsid w:val="000A21EE"/>
    <w:rsid w:val="000A3A2F"/>
    <w:rsid w:val="000A3F37"/>
    <w:rsid w:val="000A687C"/>
    <w:rsid w:val="000A688B"/>
    <w:rsid w:val="000B0764"/>
    <w:rsid w:val="000B0DC6"/>
    <w:rsid w:val="000B40EE"/>
    <w:rsid w:val="000B7C3D"/>
    <w:rsid w:val="000C2609"/>
    <w:rsid w:val="000C2907"/>
    <w:rsid w:val="000C59D0"/>
    <w:rsid w:val="000C5DD5"/>
    <w:rsid w:val="000D2272"/>
    <w:rsid w:val="000D35B5"/>
    <w:rsid w:val="000E4B7E"/>
    <w:rsid w:val="000E5D0D"/>
    <w:rsid w:val="000F772C"/>
    <w:rsid w:val="001010D3"/>
    <w:rsid w:val="00101B40"/>
    <w:rsid w:val="0010280B"/>
    <w:rsid w:val="00105CDD"/>
    <w:rsid w:val="0010697C"/>
    <w:rsid w:val="00115A4A"/>
    <w:rsid w:val="00117225"/>
    <w:rsid w:val="00117CB3"/>
    <w:rsid w:val="001208E7"/>
    <w:rsid w:val="0012160B"/>
    <w:rsid w:val="001233C2"/>
    <w:rsid w:val="00123889"/>
    <w:rsid w:val="0012415B"/>
    <w:rsid w:val="00124467"/>
    <w:rsid w:val="00125F9F"/>
    <w:rsid w:val="00126A7C"/>
    <w:rsid w:val="00131DAE"/>
    <w:rsid w:val="0013234C"/>
    <w:rsid w:val="00134BB0"/>
    <w:rsid w:val="0013524F"/>
    <w:rsid w:val="00135FE4"/>
    <w:rsid w:val="00136692"/>
    <w:rsid w:val="0013669B"/>
    <w:rsid w:val="00137F52"/>
    <w:rsid w:val="00137FF4"/>
    <w:rsid w:val="0014079D"/>
    <w:rsid w:val="00141832"/>
    <w:rsid w:val="00141EFC"/>
    <w:rsid w:val="00141FB4"/>
    <w:rsid w:val="00144978"/>
    <w:rsid w:val="00144A82"/>
    <w:rsid w:val="001476FB"/>
    <w:rsid w:val="0015204B"/>
    <w:rsid w:val="00152122"/>
    <w:rsid w:val="0015433E"/>
    <w:rsid w:val="00154433"/>
    <w:rsid w:val="00160C20"/>
    <w:rsid w:val="00162F51"/>
    <w:rsid w:val="0016572A"/>
    <w:rsid w:val="00171F8F"/>
    <w:rsid w:val="0017392F"/>
    <w:rsid w:val="00175CA6"/>
    <w:rsid w:val="0018082C"/>
    <w:rsid w:val="00182132"/>
    <w:rsid w:val="00186DA3"/>
    <w:rsid w:val="001872A3"/>
    <w:rsid w:val="00195753"/>
    <w:rsid w:val="0019771C"/>
    <w:rsid w:val="0019781E"/>
    <w:rsid w:val="001A0B41"/>
    <w:rsid w:val="001A121D"/>
    <w:rsid w:val="001A5746"/>
    <w:rsid w:val="001A5E1C"/>
    <w:rsid w:val="001B0B9A"/>
    <w:rsid w:val="001B2223"/>
    <w:rsid w:val="001B25A9"/>
    <w:rsid w:val="001B35F2"/>
    <w:rsid w:val="001B44C1"/>
    <w:rsid w:val="001B6ED1"/>
    <w:rsid w:val="001C5991"/>
    <w:rsid w:val="001C6B1B"/>
    <w:rsid w:val="001D4F67"/>
    <w:rsid w:val="001D5DD5"/>
    <w:rsid w:val="001D762C"/>
    <w:rsid w:val="001D7B6B"/>
    <w:rsid w:val="001E197A"/>
    <w:rsid w:val="001E2361"/>
    <w:rsid w:val="001E3E7E"/>
    <w:rsid w:val="001E63DE"/>
    <w:rsid w:val="001E7F8C"/>
    <w:rsid w:val="001F11A6"/>
    <w:rsid w:val="001F19FF"/>
    <w:rsid w:val="001F3ED7"/>
    <w:rsid w:val="0020006A"/>
    <w:rsid w:val="00202469"/>
    <w:rsid w:val="002041C5"/>
    <w:rsid w:val="00205C04"/>
    <w:rsid w:val="00206337"/>
    <w:rsid w:val="002063FE"/>
    <w:rsid w:val="00206932"/>
    <w:rsid w:val="00215777"/>
    <w:rsid w:val="0021722B"/>
    <w:rsid w:val="00225730"/>
    <w:rsid w:val="002269C8"/>
    <w:rsid w:val="002270B9"/>
    <w:rsid w:val="0022738C"/>
    <w:rsid w:val="00227CF8"/>
    <w:rsid w:val="0023208D"/>
    <w:rsid w:val="00232A8D"/>
    <w:rsid w:val="00234A28"/>
    <w:rsid w:val="00235F6B"/>
    <w:rsid w:val="002431D9"/>
    <w:rsid w:val="00243778"/>
    <w:rsid w:val="00247718"/>
    <w:rsid w:val="00252A35"/>
    <w:rsid w:val="0025407B"/>
    <w:rsid w:val="00254A52"/>
    <w:rsid w:val="00255394"/>
    <w:rsid w:val="00255421"/>
    <w:rsid w:val="00260190"/>
    <w:rsid w:val="002634D0"/>
    <w:rsid w:val="002638A0"/>
    <w:rsid w:val="00267C3E"/>
    <w:rsid w:val="002712EB"/>
    <w:rsid w:val="0027222A"/>
    <w:rsid w:val="002743D2"/>
    <w:rsid w:val="0027506D"/>
    <w:rsid w:val="00276CD0"/>
    <w:rsid w:val="0027794F"/>
    <w:rsid w:val="00277971"/>
    <w:rsid w:val="00277F42"/>
    <w:rsid w:val="00284E44"/>
    <w:rsid w:val="0029006A"/>
    <w:rsid w:val="002904E7"/>
    <w:rsid w:val="0029607B"/>
    <w:rsid w:val="002976E9"/>
    <w:rsid w:val="002A096B"/>
    <w:rsid w:val="002A0AAC"/>
    <w:rsid w:val="002B24D2"/>
    <w:rsid w:val="002B264E"/>
    <w:rsid w:val="002B29A7"/>
    <w:rsid w:val="002B29E3"/>
    <w:rsid w:val="002B517F"/>
    <w:rsid w:val="002B543B"/>
    <w:rsid w:val="002B6993"/>
    <w:rsid w:val="002B6E6D"/>
    <w:rsid w:val="002B7724"/>
    <w:rsid w:val="002C1F95"/>
    <w:rsid w:val="002C416A"/>
    <w:rsid w:val="002C6769"/>
    <w:rsid w:val="002C77DF"/>
    <w:rsid w:val="002D1346"/>
    <w:rsid w:val="002D31E2"/>
    <w:rsid w:val="002D3ACA"/>
    <w:rsid w:val="002D3C3E"/>
    <w:rsid w:val="002D4444"/>
    <w:rsid w:val="002D550D"/>
    <w:rsid w:val="002D742B"/>
    <w:rsid w:val="002D7683"/>
    <w:rsid w:val="002E28A2"/>
    <w:rsid w:val="002E49DE"/>
    <w:rsid w:val="002E505B"/>
    <w:rsid w:val="002F1147"/>
    <w:rsid w:val="002F22A9"/>
    <w:rsid w:val="002F3426"/>
    <w:rsid w:val="002F3C19"/>
    <w:rsid w:val="002F668F"/>
    <w:rsid w:val="002F674B"/>
    <w:rsid w:val="002F6DB3"/>
    <w:rsid w:val="003012DD"/>
    <w:rsid w:val="00303349"/>
    <w:rsid w:val="003033F1"/>
    <w:rsid w:val="00304764"/>
    <w:rsid w:val="00304CFC"/>
    <w:rsid w:val="003139FC"/>
    <w:rsid w:val="00316627"/>
    <w:rsid w:val="00316DCD"/>
    <w:rsid w:val="0032193B"/>
    <w:rsid w:val="00322D7F"/>
    <w:rsid w:val="0032316D"/>
    <w:rsid w:val="00324704"/>
    <w:rsid w:val="003249A1"/>
    <w:rsid w:val="00326BFB"/>
    <w:rsid w:val="003305A0"/>
    <w:rsid w:val="00330C81"/>
    <w:rsid w:val="003344E3"/>
    <w:rsid w:val="00334977"/>
    <w:rsid w:val="00334E44"/>
    <w:rsid w:val="00336119"/>
    <w:rsid w:val="00337576"/>
    <w:rsid w:val="00337771"/>
    <w:rsid w:val="0034030A"/>
    <w:rsid w:val="00341540"/>
    <w:rsid w:val="0034243B"/>
    <w:rsid w:val="0034433F"/>
    <w:rsid w:val="0034559E"/>
    <w:rsid w:val="00350541"/>
    <w:rsid w:val="003511C6"/>
    <w:rsid w:val="00354BA0"/>
    <w:rsid w:val="00354C15"/>
    <w:rsid w:val="00354FAF"/>
    <w:rsid w:val="00357EB0"/>
    <w:rsid w:val="0036088E"/>
    <w:rsid w:val="00362451"/>
    <w:rsid w:val="00363070"/>
    <w:rsid w:val="00367686"/>
    <w:rsid w:val="00367F59"/>
    <w:rsid w:val="00370DF1"/>
    <w:rsid w:val="0037510E"/>
    <w:rsid w:val="00377DB4"/>
    <w:rsid w:val="003808A4"/>
    <w:rsid w:val="00383EA2"/>
    <w:rsid w:val="00390CEA"/>
    <w:rsid w:val="0039239B"/>
    <w:rsid w:val="00392E10"/>
    <w:rsid w:val="00393CA9"/>
    <w:rsid w:val="003951D5"/>
    <w:rsid w:val="00396056"/>
    <w:rsid w:val="00397BBD"/>
    <w:rsid w:val="003A4F1E"/>
    <w:rsid w:val="003A53EF"/>
    <w:rsid w:val="003B27AF"/>
    <w:rsid w:val="003B4BA6"/>
    <w:rsid w:val="003C47F1"/>
    <w:rsid w:val="003C4B46"/>
    <w:rsid w:val="003C5023"/>
    <w:rsid w:val="003C64F5"/>
    <w:rsid w:val="003C6C85"/>
    <w:rsid w:val="003C7354"/>
    <w:rsid w:val="003D70F9"/>
    <w:rsid w:val="003E30B5"/>
    <w:rsid w:val="003E4BCB"/>
    <w:rsid w:val="003E4C18"/>
    <w:rsid w:val="003E58D2"/>
    <w:rsid w:val="003E6878"/>
    <w:rsid w:val="003F2C67"/>
    <w:rsid w:val="003F3F52"/>
    <w:rsid w:val="003F6705"/>
    <w:rsid w:val="004006B7"/>
    <w:rsid w:val="0040093A"/>
    <w:rsid w:val="0040391F"/>
    <w:rsid w:val="004116F8"/>
    <w:rsid w:val="00413FDB"/>
    <w:rsid w:val="00415468"/>
    <w:rsid w:val="004246C9"/>
    <w:rsid w:val="00431EF9"/>
    <w:rsid w:val="00432157"/>
    <w:rsid w:val="00433BF1"/>
    <w:rsid w:val="004363C1"/>
    <w:rsid w:val="0044133C"/>
    <w:rsid w:val="004449C3"/>
    <w:rsid w:val="00446586"/>
    <w:rsid w:val="0044680A"/>
    <w:rsid w:val="00446CA1"/>
    <w:rsid w:val="004528E2"/>
    <w:rsid w:val="0045427C"/>
    <w:rsid w:val="00455557"/>
    <w:rsid w:val="00457BE5"/>
    <w:rsid w:val="004611E9"/>
    <w:rsid w:val="00462E8C"/>
    <w:rsid w:val="00464830"/>
    <w:rsid w:val="0046571E"/>
    <w:rsid w:val="00467204"/>
    <w:rsid w:val="00467900"/>
    <w:rsid w:val="00474DA0"/>
    <w:rsid w:val="00476F2A"/>
    <w:rsid w:val="00480EBC"/>
    <w:rsid w:val="00483334"/>
    <w:rsid w:val="00484240"/>
    <w:rsid w:val="00484A45"/>
    <w:rsid w:val="00493A43"/>
    <w:rsid w:val="00496A30"/>
    <w:rsid w:val="00497612"/>
    <w:rsid w:val="004A0EA2"/>
    <w:rsid w:val="004A1604"/>
    <w:rsid w:val="004A2A41"/>
    <w:rsid w:val="004A4B25"/>
    <w:rsid w:val="004A5DB4"/>
    <w:rsid w:val="004B1DE8"/>
    <w:rsid w:val="004B38C2"/>
    <w:rsid w:val="004B7759"/>
    <w:rsid w:val="004B7A93"/>
    <w:rsid w:val="004C087E"/>
    <w:rsid w:val="004C446A"/>
    <w:rsid w:val="004D1F2F"/>
    <w:rsid w:val="004D5F2C"/>
    <w:rsid w:val="004D7DED"/>
    <w:rsid w:val="004E35B9"/>
    <w:rsid w:val="004E7D51"/>
    <w:rsid w:val="004F0046"/>
    <w:rsid w:val="004F1469"/>
    <w:rsid w:val="004F37F9"/>
    <w:rsid w:val="005026A3"/>
    <w:rsid w:val="00503AC9"/>
    <w:rsid w:val="00504884"/>
    <w:rsid w:val="00504E31"/>
    <w:rsid w:val="00506229"/>
    <w:rsid w:val="00507108"/>
    <w:rsid w:val="00507741"/>
    <w:rsid w:val="00507EC5"/>
    <w:rsid w:val="00510ED3"/>
    <w:rsid w:val="00516952"/>
    <w:rsid w:val="005175D0"/>
    <w:rsid w:val="00517640"/>
    <w:rsid w:val="00524F24"/>
    <w:rsid w:val="005253D4"/>
    <w:rsid w:val="00531311"/>
    <w:rsid w:val="00534C20"/>
    <w:rsid w:val="005361DE"/>
    <w:rsid w:val="0054681F"/>
    <w:rsid w:val="00550DE1"/>
    <w:rsid w:val="00551025"/>
    <w:rsid w:val="00551815"/>
    <w:rsid w:val="005518B8"/>
    <w:rsid w:val="0055536A"/>
    <w:rsid w:val="00556DF9"/>
    <w:rsid w:val="00557C3F"/>
    <w:rsid w:val="00557EEE"/>
    <w:rsid w:val="0056183F"/>
    <w:rsid w:val="00562E90"/>
    <w:rsid w:val="00565A51"/>
    <w:rsid w:val="0056614C"/>
    <w:rsid w:val="00571260"/>
    <w:rsid w:val="00571952"/>
    <w:rsid w:val="0057506C"/>
    <w:rsid w:val="00575954"/>
    <w:rsid w:val="00582972"/>
    <w:rsid w:val="005832AD"/>
    <w:rsid w:val="00583626"/>
    <w:rsid w:val="005845F7"/>
    <w:rsid w:val="00590D7B"/>
    <w:rsid w:val="00591FB6"/>
    <w:rsid w:val="005922C9"/>
    <w:rsid w:val="005933BF"/>
    <w:rsid w:val="00593CAA"/>
    <w:rsid w:val="00595833"/>
    <w:rsid w:val="00595EEA"/>
    <w:rsid w:val="005A1986"/>
    <w:rsid w:val="005A4D58"/>
    <w:rsid w:val="005A5715"/>
    <w:rsid w:val="005A6FD4"/>
    <w:rsid w:val="005B0A12"/>
    <w:rsid w:val="005B5B0D"/>
    <w:rsid w:val="005B5DE8"/>
    <w:rsid w:val="005B6606"/>
    <w:rsid w:val="005C04C2"/>
    <w:rsid w:val="005C3665"/>
    <w:rsid w:val="005C3D47"/>
    <w:rsid w:val="005C49BB"/>
    <w:rsid w:val="005C5B8F"/>
    <w:rsid w:val="005C72C7"/>
    <w:rsid w:val="005D0654"/>
    <w:rsid w:val="005D1895"/>
    <w:rsid w:val="005D2013"/>
    <w:rsid w:val="005D2551"/>
    <w:rsid w:val="005D385C"/>
    <w:rsid w:val="005D3B0E"/>
    <w:rsid w:val="005D3E18"/>
    <w:rsid w:val="005D426C"/>
    <w:rsid w:val="005D6E00"/>
    <w:rsid w:val="005D6F47"/>
    <w:rsid w:val="005E194B"/>
    <w:rsid w:val="005E2199"/>
    <w:rsid w:val="005E5C52"/>
    <w:rsid w:val="005E5DCF"/>
    <w:rsid w:val="005E6A95"/>
    <w:rsid w:val="005F1BA2"/>
    <w:rsid w:val="005F1CDC"/>
    <w:rsid w:val="005F42F8"/>
    <w:rsid w:val="005F527D"/>
    <w:rsid w:val="005F5FDC"/>
    <w:rsid w:val="005F6B94"/>
    <w:rsid w:val="00601205"/>
    <w:rsid w:val="00605AF6"/>
    <w:rsid w:val="00606CE8"/>
    <w:rsid w:val="00606DEF"/>
    <w:rsid w:val="00607DC1"/>
    <w:rsid w:val="00613942"/>
    <w:rsid w:val="0061518A"/>
    <w:rsid w:val="006175B8"/>
    <w:rsid w:val="00617637"/>
    <w:rsid w:val="00621FA0"/>
    <w:rsid w:val="00622F10"/>
    <w:rsid w:val="0062382A"/>
    <w:rsid w:val="00626299"/>
    <w:rsid w:val="00626756"/>
    <w:rsid w:val="00626D8F"/>
    <w:rsid w:val="00631517"/>
    <w:rsid w:val="0063245C"/>
    <w:rsid w:val="00635C92"/>
    <w:rsid w:val="00635DBD"/>
    <w:rsid w:val="006375D9"/>
    <w:rsid w:val="00641761"/>
    <w:rsid w:val="0064288A"/>
    <w:rsid w:val="006446AF"/>
    <w:rsid w:val="0064537F"/>
    <w:rsid w:val="00645CD0"/>
    <w:rsid w:val="00647141"/>
    <w:rsid w:val="00662C81"/>
    <w:rsid w:val="006659C7"/>
    <w:rsid w:val="006679BE"/>
    <w:rsid w:val="00673A8D"/>
    <w:rsid w:val="006741F7"/>
    <w:rsid w:val="00680451"/>
    <w:rsid w:val="00687042"/>
    <w:rsid w:val="00691959"/>
    <w:rsid w:val="00693CCF"/>
    <w:rsid w:val="00694B55"/>
    <w:rsid w:val="006A1982"/>
    <w:rsid w:val="006A4E80"/>
    <w:rsid w:val="006A717B"/>
    <w:rsid w:val="006A7A79"/>
    <w:rsid w:val="006B12C5"/>
    <w:rsid w:val="006B40F6"/>
    <w:rsid w:val="006B4F78"/>
    <w:rsid w:val="006B57DF"/>
    <w:rsid w:val="006C0131"/>
    <w:rsid w:val="006C036A"/>
    <w:rsid w:val="006C0F7B"/>
    <w:rsid w:val="006C1C37"/>
    <w:rsid w:val="006C3432"/>
    <w:rsid w:val="006C4452"/>
    <w:rsid w:val="006D1E58"/>
    <w:rsid w:val="006E0B1F"/>
    <w:rsid w:val="006E2408"/>
    <w:rsid w:val="006E2576"/>
    <w:rsid w:val="006E2611"/>
    <w:rsid w:val="006E318C"/>
    <w:rsid w:val="006E3F46"/>
    <w:rsid w:val="006E4A6E"/>
    <w:rsid w:val="006E642B"/>
    <w:rsid w:val="006F2054"/>
    <w:rsid w:val="007020DE"/>
    <w:rsid w:val="00706DE0"/>
    <w:rsid w:val="00716591"/>
    <w:rsid w:val="00720549"/>
    <w:rsid w:val="00733DD9"/>
    <w:rsid w:val="007365AF"/>
    <w:rsid w:val="0074436C"/>
    <w:rsid w:val="00744D18"/>
    <w:rsid w:val="007509E4"/>
    <w:rsid w:val="007523FA"/>
    <w:rsid w:val="00752C0E"/>
    <w:rsid w:val="0075482F"/>
    <w:rsid w:val="00755963"/>
    <w:rsid w:val="00760087"/>
    <w:rsid w:val="0076129E"/>
    <w:rsid w:val="00763160"/>
    <w:rsid w:val="007654B0"/>
    <w:rsid w:val="007659D9"/>
    <w:rsid w:val="007668EE"/>
    <w:rsid w:val="00771454"/>
    <w:rsid w:val="00780612"/>
    <w:rsid w:val="0078658D"/>
    <w:rsid w:val="00786A20"/>
    <w:rsid w:val="00792ABB"/>
    <w:rsid w:val="00793510"/>
    <w:rsid w:val="007A0634"/>
    <w:rsid w:val="007A16F4"/>
    <w:rsid w:val="007A458D"/>
    <w:rsid w:val="007B0EEF"/>
    <w:rsid w:val="007B7C8E"/>
    <w:rsid w:val="007C0FAA"/>
    <w:rsid w:val="007C12F3"/>
    <w:rsid w:val="007C163A"/>
    <w:rsid w:val="007C61B7"/>
    <w:rsid w:val="007C7D85"/>
    <w:rsid w:val="007D5243"/>
    <w:rsid w:val="007D601A"/>
    <w:rsid w:val="007E2BB5"/>
    <w:rsid w:val="007E59AF"/>
    <w:rsid w:val="007E6C37"/>
    <w:rsid w:val="007F074C"/>
    <w:rsid w:val="007F07FB"/>
    <w:rsid w:val="007F2519"/>
    <w:rsid w:val="007F40C2"/>
    <w:rsid w:val="00802521"/>
    <w:rsid w:val="00802A2C"/>
    <w:rsid w:val="008044E2"/>
    <w:rsid w:val="00806435"/>
    <w:rsid w:val="00810507"/>
    <w:rsid w:val="00813E69"/>
    <w:rsid w:val="00814760"/>
    <w:rsid w:val="00816977"/>
    <w:rsid w:val="00816FBC"/>
    <w:rsid w:val="00817E8B"/>
    <w:rsid w:val="00823B37"/>
    <w:rsid w:val="00826CBA"/>
    <w:rsid w:val="008338D4"/>
    <w:rsid w:val="00835C30"/>
    <w:rsid w:val="008373FD"/>
    <w:rsid w:val="00837BF6"/>
    <w:rsid w:val="008400B1"/>
    <w:rsid w:val="008416AD"/>
    <w:rsid w:val="0084255D"/>
    <w:rsid w:val="008431F8"/>
    <w:rsid w:val="0084637E"/>
    <w:rsid w:val="0085048C"/>
    <w:rsid w:val="00850ACF"/>
    <w:rsid w:val="00852038"/>
    <w:rsid w:val="00862419"/>
    <w:rsid w:val="00863657"/>
    <w:rsid w:val="00863928"/>
    <w:rsid w:val="00866FA5"/>
    <w:rsid w:val="00867588"/>
    <w:rsid w:val="0087236F"/>
    <w:rsid w:val="008724EA"/>
    <w:rsid w:val="008747E5"/>
    <w:rsid w:val="00874C9A"/>
    <w:rsid w:val="00876536"/>
    <w:rsid w:val="0088062B"/>
    <w:rsid w:val="0088415A"/>
    <w:rsid w:val="00885F0A"/>
    <w:rsid w:val="0088639E"/>
    <w:rsid w:val="00893F9B"/>
    <w:rsid w:val="00894651"/>
    <w:rsid w:val="008A17C8"/>
    <w:rsid w:val="008A240C"/>
    <w:rsid w:val="008A26B7"/>
    <w:rsid w:val="008A7E54"/>
    <w:rsid w:val="008B407C"/>
    <w:rsid w:val="008B5290"/>
    <w:rsid w:val="008B6837"/>
    <w:rsid w:val="008B6845"/>
    <w:rsid w:val="008B6C35"/>
    <w:rsid w:val="008B7EDE"/>
    <w:rsid w:val="008C02BA"/>
    <w:rsid w:val="008C1BBD"/>
    <w:rsid w:val="008C212B"/>
    <w:rsid w:val="008C366A"/>
    <w:rsid w:val="008C5F30"/>
    <w:rsid w:val="008D1596"/>
    <w:rsid w:val="008D1A2F"/>
    <w:rsid w:val="008D40DD"/>
    <w:rsid w:val="008D43BD"/>
    <w:rsid w:val="008D4DB4"/>
    <w:rsid w:val="008E65E6"/>
    <w:rsid w:val="008E7FA6"/>
    <w:rsid w:val="008F1262"/>
    <w:rsid w:val="008F1C4F"/>
    <w:rsid w:val="008F2BF8"/>
    <w:rsid w:val="008F3C4D"/>
    <w:rsid w:val="008F78D9"/>
    <w:rsid w:val="009018EC"/>
    <w:rsid w:val="009035C4"/>
    <w:rsid w:val="00903CDA"/>
    <w:rsid w:val="00904586"/>
    <w:rsid w:val="00906EDB"/>
    <w:rsid w:val="0090776C"/>
    <w:rsid w:val="009102B0"/>
    <w:rsid w:val="00912E00"/>
    <w:rsid w:val="00917D94"/>
    <w:rsid w:val="00922E9D"/>
    <w:rsid w:val="0092302B"/>
    <w:rsid w:val="00923C46"/>
    <w:rsid w:val="00927413"/>
    <w:rsid w:val="009301C2"/>
    <w:rsid w:val="00930528"/>
    <w:rsid w:val="00932301"/>
    <w:rsid w:val="009360EB"/>
    <w:rsid w:val="00942939"/>
    <w:rsid w:val="009451DD"/>
    <w:rsid w:val="00947E8E"/>
    <w:rsid w:val="0095420B"/>
    <w:rsid w:val="009542D9"/>
    <w:rsid w:val="00965466"/>
    <w:rsid w:val="00967F22"/>
    <w:rsid w:val="009711DB"/>
    <w:rsid w:val="0097370A"/>
    <w:rsid w:val="00974AF4"/>
    <w:rsid w:val="009769D3"/>
    <w:rsid w:val="00976C8F"/>
    <w:rsid w:val="00977AC1"/>
    <w:rsid w:val="009831B2"/>
    <w:rsid w:val="00986620"/>
    <w:rsid w:val="009877E9"/>
    <w:rsid w:val="00990226"/>
    <w:rsid w:val="00990279"/>
    <w:rsid w:val="0099077D"/>
    <w:rsid w:val="009911E2"/>
    <w:rsid w:val="00992207"/>
    <w:rsid w:val="009930B5"/>
    <w:rsid w:val="009A0F4F"/>
    <w:rsid w:val="009A0F50"/>
    <w:rsid w:val="009A1645"/>
    <w:rsid w:val="009A16CD"/>
    <w:rsid w:val="009B1488"/>
    <w:rsid w:val="009B1CC3"/>
    <w:rsid w:val="009B35A7"/>
    <w:rsid w:val="009B56B8"/>
    <w:rsid w:val="009C06F5"/>
    <w:rsid w:val="009C5209"/>
    <w:rsid w:val="009C6426"/>
    <w:rsid w:val="009D5DB3"/>
    <w:rsid w:val="009D6567"/>
    <w:rsid w:val="009D7B78"/>
    <w:rsid w:val="009E0F31"/>
    <w:rsid w:val="009E245E"/>
    <w:rsid w:val="009E3CF5"/>
    <w:rsid w:val="009E59ED"/>
    <w:rsid w:val="009F0402"/>
    <w:rsid w:val="009F0A9C"/>
    <w:rsid w:val="009F0B61"/>
    <w:rsid w:val="009F0C77"/>
    <w:rsid w:val="009F124E"/>
    <w:rsid w:val="009F3F8E"/>
    <w:rsid w:val="009F76F5"/>
    <w:rsid w:val="00A007F5"/>
    <w:rsid w:val="00A028AD"/>
    <w:rsid w:val="00A038EC"/>
    <w:rsid w:val="00A05720"/>
    <w:rsid w:val="00A114A2"/>
    <w:rsid w:val="00A145B0"/>
    <w:rsid w:val="00A15172"/>
    <w:rsid w:val="00A161C1"/>
    <w:rsid w:val="00A20545"/>
    <w:rsid w:val="00A20949"/>
    <w:rsid w:val="00A26EF7"/>
    <w:rsid w:val="00A27C7C"/>
    <w:rsid w:val="00A27C94"/>
    <w:rsid w:val="00A379F8"/>
    <w:rsid w:val="00A417DF"/>
    <w:rsid w:val="00A41FCF"/>
    <w:rsid w:val="00A42B73"/>
    <w:rsid w:val="00A43A7F"/>
    <w:rsid w:val="00A44A93"/>
    <w:rsid w:val="00A54EEA"/>
    <w:rsid w:val="00A5516D"/>
    <w:rsid w:val="00A55D06"/>
    <w:rsid w:val="00A56BFF"/>
    <w:rsid w:val="00A6141D"/>
    <w:rsid w:val="00A623A1"/>
    <w:rsid w:val="00A63F0A"/>
    <w:rsid w:val="00A66C16"/>
    <w:rsid w:val="00A70531"/>
    <w:rsid w:val="00A720AA"/>
    <w:rsid w:val="00A733BE"/>
    <w:rsid w:val="00A73600"/>
    <w:rsid w:val="00A74C1E"/>
    <w:rsid w:val="00A81D71"/>
    <w:rsid w:val="00A823E7"/>
    <w:rsid w:val="00A83F07"/>
    <w:rsid w:val="00A913AA"/>
    <w:rsid w:val="00A93712"/>
    <w:rsid w:val="00A962DF"/>
    <w:rsid w:val="00AA216A"/>
    <w:rsid w:val="00AA2BE0"/>
    <w:rsid w:val="00AA30EF"/>
    <w:rsid w:val="00AA57B8"/>
    <w:rsid w:val="00AA606A"/>
    <w:rsid w:val="00AB183B"/>
    <w:rsid w:val="00AC0716"/>
    <w:rsid w:val="00AC2805"/>
    <w:rsid w:val="00AC3D84"/>
    <w:rsid w:val="00AC4B96"/>
    <w:rsid w:val="00AD22CA"/>
    <w:rsid w:val="00AD5E79"/>
    <w:rsid w:val="00AE037D"/>
    <w:rsid w:val="00AE06D7"/>
    <w:rsid w:val="00AE160F"/>
    <w:rsid w:val="00AE6B63"/>
    <w:rsid w:val="00AE7435"/>
    <w:rsid w:val="00AF1DF2"/>
    <w:rsid w:val="00AF32BE"/>
    <w:rsid w:val="00AF3E57"/>
    <w:rsid w:val="00AF79C7"/>
    <w:rsid w:val="00AF7C42"/>
    <w:rsid w:val="00B04B10"/>
    <w:rsid w:val="00B056F6"/>
    <w:rsid w:val="00B07F79"/>
    <w:rsid w:val="00B10154"/>
    <w:rsid w:val="00B10896"/>
    <w:rsid w:val="00B154DE"/>
    <w:rsid w:val="00B16C07"/>
    <w:rsid w:val="00B20C4F"/>
    <w:rsid w:val="00B2580A"/>
    <w:rsid w:val="00B26147"/>
    <w:rsid w:val="00B309EA"/>
    <w:rsid w:val="00B37009"/>
    <w:rsid w:val="00B37578"/>
    <w:rsid w:val="00B4246B"/>
    <w:rsid w:val="00B45027"/>
    <w:rsid w:val="00B45A0D"/>
    <w:rsid w:val="00B462D7"/>
    <w:rsid w:val="00B46A57"/>
    <w:rsid w:val="00B472B4"/>
    <w:rsid w:val="00B5059D"/>
    <w:rsid w:val="00B50B26"/>
    <w:rsid w:val="00B538CE"/>
    <w:rsid w:val="00B54AD8"/>
    <w:rsid w:val="00B55054"/>
    <w:rsid w:val="00B5531F"/>
    <w:rsid w:val="00B569CA"/>
    <w:rsid w:val="00B60DE9"/>
    <w:rsid w:val="00B615AA"/>
    <w:rsid w:val="00B63CDC"/>
    <w:rsid w:val="00B655C0"/>
    <w:rsid w:val="00B65754"/>
    <w:rsid w:val="00B65BF6"/>
    <w:rsid w:val="00B66231"/>
    <w:rsid w:val="00B72A18"/>
    <w:rsid w:val="00B73BBF"/>
    <w:rsid w:val="00B769F1"/>
    <w:rsid w:val="00B80BD2"/>
    <w:rsid w:val="00B82025"/>
    <w:rsid w:val="00B837F0"/>
    <w:rsid w:val="00B84210"/>
    <w:rsid w:val="00B8422A"/>
    <w:rsid w:val="00B84A5C"/>
    <w:rsid w:val="00B92258"/>
    <w:rsid w:val="00B97D50"/>
    <w:rsid w:val="00BA0A91"/>
    <w:rsid w:val="00BA3B20"/>
    <w:rsid w:val="00BA3DF6"/>
    <w:rsid w:val="00BA4887"/>
    <w:rsid w:val="00BA4DB4"/>
    <w:rsid w:val="00BA6A3D"/>
    <w:rsid w:val="00BB0FD0"/>
    <w:rsid w:val="00BB25D8"/>
    <w:rsid w:val="00BB3C1A"/>
    <w:rsid w:val="00BB73BD"/>
    <w:rsid w:val="00BC1BCA"/>
    <w:rsid w:val="00BC60D3"/>
    <w:rsid w:val="00BC6DEF"/>
    <w:rsid w:val="00BC6FCE"/>
    <w:rsid w:val="00BD042F"/>
    <w:rsid w:val="00BD4BF8"/>
    <w:rsid w:val="00BD6703"/>
    <w:rsid w:val="00BE26B8"/>
    <w:rsid w:val="00BE2989"/>
    <w:rsid w:val="00BE7A11"/>
    <w:rsid w:val="00BF1144"/>
    <w:rsid w:val="00BF3943"/>
    <w:rsid w:val="00BF722F"/>
    <w:rsid w:val="00C0788E"/>
    <w:rsid w:val="00C114FD"/>
    <w:rsid w:val="00C1184D"/>
    <w:rsid w:val="00C13FE8"/>
    <w:rsid w:val="00C14140"/>
    <w:rsid w:val="00C166C3"/>
    <w:rsid w:val="00C16ED3"/>
    <w:rsid w:val="00C24797"/>
    <w:rsid w:val="00C249BB"/>
    <w:rsid w:val="00C255FB"/>
    <w:rsid w:val="00C26C03"/>
    <w:rsid w:val="00C27DA5"/>
    <w:rsid w:val="00C30A60"/>
    <w:rsid w:val="00C3253F"/>
    <w:rsid w:val="00C33182"/>
    <w:rsid w:val="00C333EE"/>
    <w:rsid w:val="00C33ABA"/>
    <w:rsid w:val="00C37165"/>
    <w:rsid w:val="00C37BB6"/>
    <w:rsid w:val="00C37C81"/>
    <w:rsid w:val="00C41816"/>
    <w:rsid w:val="00C45772"/>
    <w:rsid w:val="00C50D63"/>
    <w:rsid w:val="00C5150C"/>
    <w:rsid w:val="00C52EFD"/>
    <w:rsid w:val="00C5323B"/>
    <w:rsid w:val="00C54552"/>
    <w:rsid w:val="00C61FD3"/>
    <w:rsid w:val="00C6237C"/>
    <w:rsid w:val="00C63CEA"/>
    <w:rsid w:val="00C64378"/>
    <w:rsid w:val="00C65265"/>
    <w:rsid w:val="00C67CD9"/>
    <w:rsid w:val="00C72AE3"/>
    <w:rsid w:val="00C7331D"/>
    <w:rsid w:val="00C73A31"/>
    <w:rsid w:val="00C75CF0"/>
    <w:rsid w:val="00C77420"/>
    <w:rsid w:val="00C808B5"/>
    <w:rsid w:val="00C815D9"/>
    <w:rsid w:val="00C82112"/>
    <w:rsid w:val="00C82DB6"/>
    <w:rsid w:val="00C8679B"/>
    <w:rsid w:val="00CA13E9"/>
    <w:rsid w:val="00CA23E1"/>
    <w:rsid w:val="00CA249C"/>
    <w:rsid w:val="00CA424C"/>
    <w:rsid w:val="00CA4CD6"/>
    <w:rsid w:val="00CA5CD5"/>
    <w:rsid w:val="00CA6BA6"/>
    <w:rsid w:val="00CB03DD"/>
    <w:rsid w:val="00CB0710"/>
    <w:rsid w:val="00CB16F3"/>
    <w:rsid w:val="00CB38EF"/>
    <w:rsid w:val="00CB3E68"/>
    <w:rsid w:val="00CB54F6"/>
    <w:rsid w:val="00CB5C3E"/>
    <w:rsid w:val="00CB6009"/>
    <w:rsid w:val="00CB6348"/>
    <w:rsid w:val="00CC4236"/>
    <w:rsid w:val="00CC48AB"/>
    <w:rsid w:val="00CD13E6"/>
    <w:rsid w:val="00CD1A3A"/>
    <w:rsid w:val="00CD2069"/>
    <w:rsid w:val="00CD2525"/>
    <w:rsid w:val="00CD280D"/>
    <w:rsid w:val="00CE13C8"/>
    <w:rsid w:val="00CF05C3"/>
    <w:rsid w:val="00CF19FA"/>
    <w:rsid w:val="00CF63E5"/>
    <w:rsid w:val="00CF66A5"/>
    <w:rsid w:val="00CF6BAD"/>
    <w:rsid w:val="00D01699"/>
    <w:rsid w:val="00D02793"/>
    <w:rsid w:val="00D05CFA"/>
    <w:rsid w:val="00D075E9"/>
    <w:rsid w:val="00D13D9A"/>
    <w:rsid w:val="00D141BB"/>
    <w:rsid w:val="00D14849"/>
    <w:rsid w:val="00D14A8D"/>
    <w:rsid w:val="00D165EC"/>
    <w:rsid w:val="00D21198"/>
    <w:rsid w:val="00D21937"/>
    <w:rsid w:val="00D2273E"/>
    <w:rsid w:val="00D24183"/>
    <w:rsid w:val="00D25C51"/>
    <w:rsid w:val="00D26E52"/>
    <w:rsid w:val="00D274F8"/>
    <w:rsid w:val="00D31A7A"/>
    <w:rsid w:val="00D33F5C"/>
    <w:rsid w:val="00D41C0F"/>
    <w:rsid w:val="00D42D52"/>
    <w:rsid w:val="00D4464D"/>
    <w:rsid w:val="00D464AA"/>
    <w:rsid w:val="00D46FA2"/>
    <w:rsid w:val="00D5080D"/>
    <w:rsid w:val="00D51D1D"/>
    <w:rsid w:val="00D52B0E"/>
    <w:rsid w:val="00D56F5F"/>
    <w:rsid w:val="00D60A0B"/>
    <w:rsid w:val="00D61B37"/>
    <w:rsid w:val="00D63B96"/>
    <w:rsid w:val="00D63C0C"/>
    <w:rsid w:val="00D647EF"/>
    <w:rsid w:val="00D71160"/>
    <w:rsid w:val="00D74CF7"/>
    <w:rsid w:val="00D769E2"/>
    <w:rsid w:val="00D84169"/>
    <w:rsid w:val="00D85328"/>
    <w:rsid w:val="00D85FCD"/>
    <w:rsid w:val="00D86E28"/>
    <w:rsid w:val="00D92F66"/>
    <w:rsid w:val="00D934C4"/>
    <w:rsid w:val="00D95819"/>
    <w:rsid w:val="00D95C01"/>
    <w:rsid w:val="00D96404"/>
    <w:rsid w:val="00DA27F3"/>
    <w:rsid w:val="00DA3FFD"/>
    <w:rsid w:val="00DA50C3"/>
    <w:rsid w:val="00DA5B57"/>
    <w:rsid w:val="00DA7285"/>
    <w:rsid w:val="00DA75FD"/>
    <w:rsid w:val="00DA7AC9"/>
    <w:rsid w:val="00DB4008"/>
    <w:rsid w:val="00DB59E1"/>
    <w:rsid w:val="00DB7DB1"/>
    <w:rsid w:val="00DC17FA"/>
    <w:rsid w:val="00DC2A76"/>
    <w:rsid w:val="00DC3A1B"/>
    <w:rsid w:val="00DD00C5"/>
    <w:rsid w:val="00DD0D6D"/>
    <w:rsid w:val="00DD1AC1"/>
    <w:rsid w:val="00DD2C05"/>
    <w:rsid w:val="00DD3B64"/>
    <w:rsid w:val="00DD3E06"/>
    <w:rsid w:val="00DD505D"/>
    <w:rsid w:val="00DD60DC"/>
    <w:rsid w:val="00DD640E"/>
    <w:rsid w:val="00DD7D49"/>
    <w:rsid w:val="00DE1052"/>
    <w:rsid w:val="00DE3BEC"/>
    <w:rsid w:val="00DF12D3"/>
    <w:rsid w:val="00DF3AC7"/>
    <w:rsid w:val="00DF5C4E"/>
    <w:rsid w:val="00DF75D1"/>
    <w:rsid w:val="00E007F4"/>
    <w:rsid w:val="00E04EF6"/>
    <w:rsid w:val="00E05C40"/>
    <w:rsid w:val="00E102B8"/>
    <w:rsid w:val="00E10DA7"/>
    <w:rsid w:val="00E12368"/>
    <w:rsid w:val="00E1538C"/>
    <w:rsid w:val="00E20758"/>
    <w:rsid w:val="00E2513B"/>
    <w:rsid w:val="00E252E2"/>
    <w:rsid w:val="00E25DB6"/>
    <w:rsid w:val="00E276CD"/>
    <w:rsid w:val="00E32EDA"/>
    <w:rsid w:val="00E37C5F"/>
    <w:rsid w:val="00E41C49"/>
    <w:rsid w:val="00E41F53"/>
    <w:rsid w:val="00E43D2C"/>
    <w:rsid w:val="00E5003E"/>
    <w:rsid w:val="00E50CDB"/>
    <w:rsid w:val="00E52679"/>
    <w:rsid w:val="00E53137"/>
    <w:rsid w:val="00E531D7"/>
    <w:rsid w:val="00E57021"/>
    <w:rsid w:val="00E60900"/>
    <w:rsid w:val="00E702F6"/>
    <w:rsid w:val="00E72401"/>
    <w:rsid w:val="00E749C6"/>
    <w:rsid w:val="00E7527E"/>
    <w:rsid w:val="00E762E7"/>
    <w:rsid w:val="00E77D5E"/>
    <w:rsid w:val="00E77DB3"/>
    <w:rsid w:val="00E8169A"/>
    <w:rsid w:val="00E83165"/>
    <w:rsid w:val="00E8580E"/>
    <w:rsid w:val="00E868BB"/>
    <w:rsid w:val="00E87163"/>
    <w:rsid w:val="00E87F09"/>
    <w:rsid w:val="00E91570"/>
    <w:rsid w:val="00EA37A9"/>
    <w:rsid w:val="00EA493A"/>
    <w:rsid w:val="00EA7026"/>
    <w:rsid w:val="00EA7D46"/>
    <w:rsid w:val="00EB1C7F"/>
    <w:rsid w:val="00EC0F16"/>
    <w:rsid w:val="00EC4074"/>
    <w:rsid w:val="00EC4432"/>
    <w:rsid w:val="00EC7B9A"/>
    <w:rsid w:val="00EC7E20"/>
    <w:rsid w:val="00ED1900"/>
    <w:rsid w:val="00ED4539"/>
    <w:rsid w:val="00ED53CB"/>
    <w:rsid w:val="00ED5B2D"/>
    <w:rsid w:val="00ED6086"/>
    <w:rsid w:val="00EE0E27"/>
    <w:rsid w:val="00EE20C3"/>
    <w:rsid w:val="00EE4731"/>
    <w:rsid w:val="00EE4D24"/>
    <w:rsid w:val="00EE5E90"/>
    <w:rsid w:val="00EE75A6"/>
    <w:rsid w:val="00EF113F"/>
    <w:rsid w:val="00EF2E37"/>
    <w:rsid w:val="00EF4EC2"/>
    <w:rsid w:val="00F013BD"/>
    <w:rsid w:val="00F066C9"/>
    <w:rsid w:val="00F06AFB"/>
    <w:rsid w:val="00F15E9C"/>
    <w:rsid w:val="00F20822"/>
    <w:rsid w:val="00F2232A"/>
    <w:rsid w:val="00F26A70"/>
    <w:rsid w:val="00F340DF"/>
    <w:rsid w:val="00F35A7E"/>
    <w:rsid w:val="00F400A2"/>
    <w:rsid w:val="00F4088B"/>
    <w:rsid w:val="00F45246"/>
    <w:rsid w:val="00F458E5"/>
    <w:rsid w:val="00F46122"/>
    <w:rsid w:val="00F47C05"/>
    <w:rsid w:val="00F503CC"/>
    <w:rsid w:val="00F538BC"/>
    <w:rsid w:val="00F54CD8"/>
    <w:rsid w:val="00F55A20"/>
    <w:rsid w:val="00F5630C"/>
    <w:rsid w:val="00F575E5"/>
    <w:rsid w:val="00F62E0F"/>
    <w:rsid w:val="00F644F8"/>
    <w:rsid w:val="00F656A7"/>
    <w:rsid w:val="00F65970"/>
    <w:rsid w:val="00F70A9F"/>
    <w:rsid w:val="00F70E87"/>
    <w:rsid w:val="00F71117"/>
    <w:rsid w:val="00F71CFF"/>
    <w:rsid w:val="00F72770"/>
    <w:rsid w:val="00F736E8"/>
    <w:rsid w:val="00F80701"/>
    <w:rsid w:val="00F81860"/>
    <w:rsid w:val="00F82C4D"/>
    <w:rsid w:val="00F839DE"/>
    <w:rsid w:val="00F857B1"/>
    <w:rsid w:val="00F85C65"/>
    <w:rsid w:val="00F874CB"/>
    <w:rsid w:val="00F9092B"/>
    <w:rsid w:val="00F92C93"/>
    <w:rsid w:val="00F92D0F"/>
    <w:rsid w:val="00F92D22"/>
    <w:rsid w:val="00F94764"/>
    <w:rsid w:val="00F96E62"/>
    <w:rsid w:val="00F97B23"/>
    <w:rsid w:val="00FA4543"/>
    <w:rsid w:val="00FA5D8D"/>
    <w:rsid w:val="00FA6B1F"/>
    <w:rsid w:val="00FB0650"/>
    <w:rsid w:val="00FB4D98"/>
    <w:rsid w:val="00FB54CB"/>
    <w:rsid w:val="00FB701A"/>
    <w:rsid w:val="00FB73D5"/>
    <w:rsid w:val="00FB7BCE"/>
    <w:rsid w:val="00FC4E09"/>
    <w:rsid w:val="00FC4EDB"/>
    <w:rsid w:val="00FC76A3"/>
    <w:rsid w:val="00FD2D6B"/>
    <w:rsid w:val="00FD654B"/>
    <w:rsid w:val="00FE17D3"/>
    <w:rsid w:val="00FE2099"/>
    <w:rsid w:val="00FE3EF3"/>
    <w:rsid w:val="00FE6754"/>
    <w:rsid w:val="00FE7777"/>
    <w:rsid w:val="00FE7F5D"/>
    <w:rsid w:val="00FF2C48"/>
    <w:rsid w:val="00FF72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9981D4E"/>
  <w15:docId w15:val="{4672BABA-D7A3-4DEF-AB77-2A0DC08C4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A2F"/>
    <w:pPr>
      <w:widowControl w:val="0"/>
      <w:autoSpaceDE w:val="0"/>
      <w:autoSpaceDN w:val="0"/>
      <w:adjustRightInd w:val="0"/>
    </w:pPr>
    <w:rPr>
      <w:sz w:val="24"/>
      <w:szCs w:val="24"/>
    </w:rPr>
  </w:style>
  <w:style w:type="paragraph" w:styleId="Heading1">
    <w:name w:val="heading 1"/>
    <w:basedOn w:val="Normal"/>
    <w:link w:val="Heading1Char"/>
    <w:uiPriority w:val="9"/>
    <w:qFormat/>
    <w:rsid w:val="00927413"/>
    <w:pPr>
      <w:widowControl/>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A688B"/>
  </w:style>
  <w:style w:type="character" w:customStyle="1" w:styleId="Hypertext">
    <w:name w:val="Hypertext"/>
    <w:rsid w:val="000A688B"/>
    <w:rPr>
      <w:color w:val="0000FF"/>
      <w:u w:val="single"/>
    </w:rPr>
  </w:style>
  <w:style w:type="paragraph" w:customStyle="1" w:styleId="Level1">
    <w:name w:val="Level 1"/>
    <w:basedOn w:val="Normal"/>
    <w:rsid w:val="000A688B"/>
    <w:pPr>
      <w:ind w:left="1440" w:hanging="720"/>
    </w:pPr>
  </w:style>
  <w:style w:type="character" w:customStyle="1" w:styleId="1">
    <w:name w:val="1"/>
    <w:rsid w:val="000A688B"/>
  </w:style>
  <w:style w:type="paragraph" w:styleId="Caption">
    <w:name w:val="caption"/>
    <w:basedOn w:val="Normal"/>
    <w:next w:val="Normal"/>
    <w:qFormat/>
    <w:rsid w:val="00B472B4"/>
    <w:pPr>
      <w:spacing w:before="120" w:after="120"/>
    </w:pPr>
    <w:rPr>
      <w:rFonts w:ascii="Courier New" w:hAnsi="Courier New"/>
      <w:b/>
      <w:bCs/>
      <w:sz w:val="20"/>
      <w:szCs w:val="20"/>
    </w:rPr>
  </w:style>
  <w:style w:type="character" w:styleId="CommentReference">
    <w:name w:val="annotation reference"/>
    <w:basedOn w:val="DefaultParagraphFont"/>
    <w:rsid w:val="0037510E"/>
    <w:rPr>
      <w:sz w:val="16"/>
      <w:szCs w:val="16"/>
    </w:rPr>
  </w:style>
  <w:style w:type="paragraph" w:styleId="CommentText">
    <w:name w:val="annotation text"/>
    <w:basedOn w:val="Normal"/>
    <w:link w:val="CommentTextChar"/>
    <w:rsid w:val="0037510E"/>
    <w:rPr>
      <w:sz w:val="20"/>
      <w:szCs w:val="20"/>
    </w:rPr>
  </w:style>
  <w:style w:type="paragraph" w:styleId="CommentSubject">
    <w:name w:val="annotation subject"/>
    <w:basedOn w:val="CommentText"/>
    <w:next w:val="CommentText"/>
    <w:semiHidden/>
    <w:rsid w:val="0037510E"/>
    <w:rPr>
      <w:b/>
      <w:bCs/>
    </w:rPr>
  </w:style>
  <w:style w:type="paragraph" w:styleId="BalloonText">
    <w:name w:val="Balloon Text"/>
    <w:basedOn w:val="Normal"/>
    <w:semiHidden/>
    <w:rsid w:val="0037510E"/>
    <w:rPr>
      <w:rFonts w:ascii="Tahoma" w:hAnsi="Tahoma" w:cs="Tahoma"/>
      <w:sz w:val="16"/>
      <w:szCs w:val="16"/>
    </w:rPr>
  </w:style>
  <w:style w:type="paragraph" w:styleId="Header">
    <w:name w:val="header"/>
    <w:basedOn w:val="Normal"/>
    <w:rsid w:val="00F65970"/>
    <w:pPr>
      <w:tabs>
        <w:tab w:val="center" w:pos="4320"/>
        <w:tab w:val="right" w:pos="8640"/>
      </w:tabs>
    </w:pPr>
  </w:style>
  <w:style w:type="paragraph" w:styleId="Footer">
    <w:name w:val="footer"/>
    <w:basedOn w:val="Normal"/>
    <w:rsid w:val="00F65970"/>
    <w:pPr>
      <w:tabs>
        <w:tab w:val="center" w:pos="4320"/>
        <w:tab w:val="right" w:pos="8640"/>
      </w:tabs>
    </w:pPr>
  </w:style>
  <w:style w:type="paragraph" w:styleId="Revision">
    <w:name w:val="Revision"/>
    <w:hidden/>
    <w:uiPriority w:val="99"/>
    <w:semiHidden/>
    <w:rsid w:val="009F0B61"/>
    <w:rPr>
      <w:sz w:val="24"/>
      <w:szCs w:val="24"/>
    </w:rPr>
  </w:style>
  <w:style w:type="paragraph" w:customStyle="1" w:styleId="GHGPARAGRAPH">
    <w:name w:val="___GHG PARAGRAPH"/>
    <w:link w:val="GHGPARAGRAPHCharChar"/>
    <w:rsid w:val="00D86E28"/>
    <w:pPr>
      <w:spacing w:line="480" w:lineRule="auto"/>
      <w:ind w:firstLine="720"/>
    </w:pPr>
    <w:rPr>
      <w:rFonts w:ascii="Courier New" w:hAnsi="Courier New" w:cs="Courier New"/>
      <w:bCs/>
      <w:sz w:val="24"/>
      <w:szCs w:val="24"/>
    </w:rPr>
  </w:style>
  <w:style w:type="character" w:customStyle="1" w:styleId="GHGPARAGRAPHCharChar">
    <w:name w:val="___GHG PARAGRAPH Char Char"/>
    <w:basedOn w:val="DefaultParagraphFont"/>
    <w:link w:val="GHGPARAGRAPH"/>
    <w:rsid w:val="00D86E28"/>
    <w:rPr>
      <w:rFonts w:ascii="Courier New" w:hAnsi="Courier New" w:cs="Courier New"/>
      <w:bCs/>
      <w:sz w:val="24"/>
      <w:szCs w:val="24"/>
      <w:lang w:val="en-US" w:eastAsia="en-US" w:bidi="ar-SA"/>
    </w:rPr>
  </w:style>
  <w:style w:type="paragraph" w:styleId="ListParagraph">
    <w:name w:val="List Paragraph"/>
    <w:basedOn w:val="Normal"/>
    <w:uiPriority w:val="34"/>
    <w:qFormat/>
    <w:rsid w:val="006B40F6"/>
    <w:pPr>
      <w:ind w:left="720"/>
      <w:contextualSpacing/>
    </w:pPr>
  </w:style>
  <w:style w:type="table" w:styleId="TableGrid">
    <w:name w:val="Table Grid"/>
    <w:basedOn w:val="TableNormal"/>
    <w:rsid w:val="00C2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32301"/>
  </w:style>
  <w:style w:type="paragraph" w:customStyle="1" w:styleId="BodyFirstline05After12pt">
    <w:name w:val="Body First line:  0.5&quot; After:  12 pt"/>
    <w:basedOn w:val="Normal"/>
    <w:rsid w:val="00932301"/>
    <w:pPr>
      <w:widowControl/>
      <w:autoSpaceDE/>
      <w:autoSpaceDN/>
      <w:adjustRightInd/>
      <w:spacing w:after="240"/>
      <w:ind w:firstLine="720"/>
    </w:pPr>
  </w:style>
  <w:style w:type="character" w:customStyle="1" w:styleId="Subscript">
    <w:name w:val="Subscript"/>
    <w:basedOn w:val="DefaultParagraphFont"/>
    <w:rsid w:val="00932301"/>
    <w:rPr>
      <w:vertAlign w:val="subscript"/>
    </w:rPr>
  </w:style>
  <w:style w:type="paragraph" w:customStyle="1" w:styleId="SectionSubheading">
    <w:name w:val="Section Subheading"/>
    <w:basedOn w:val="Normal"/>
    <w:rsid w:val="00C37C81"/>
    <w:pPr>
      <w:keepNext/>
      <w:widowControl/>
      <w:autoSpaceDE/>
      <w:autoSpaceDN/>
      <w:adjustRightInd/>
      <w:spacing w:after="240"/>
      <w:ind w:firstLine="720"/>
    </w:pPr>
    <w:rPr>
      <w:b/>
    </w:rPr>
  </w:style>
  <w:style w:type="character" w:customStyle="1" w:styleId="Italic">
    <w:name w:val="Italic"/>
    <w:basedOn w:val="DefaultParagraphFont"/>
    <w:rsid w:val="00AF79C7"/>
    <w:rPr>
      <w:i/>
    </w:rPr>
  </w:style>
  <w:style w:type="paragraph" w:customStyle="1" w:styleId="Table11ptColumnHeading">
    <w:name w:val="Table 11 pt Column Heading"/>
    <w:basedOn w:val="Normal"/>
    <w:rsid w:val="00AF79C7"/>
    <w:pPr>
      <w:keepNext/>
      <w:widowControl/>
      <w:autoSpaceDE/>
      <w:autoSpaceDN/>
      <w:adjustRightInd/>
      <w:spacing w:before="40" w:after="40"/>
      <w:jc w:val="center"/>
    </w:pPr>
    <w:rPr>
      <w:sz w:val="22"/>
    </w:rPr>
  </w:style>
  <w:style w:type="character" w:customStyle="1" w:styleId="Bold">
    <w:name w:val="Bold"/>
    <w:basedOn w:val="DefaultParagraphFont"/>
    <w:rsid w:val="00AF79C7"/>
    <w:rPr>
      <w:b/>
    </w:rPr>
  </w:style>
  <w:style w:type="paragraph" w:customStyle="1" w:styleId="SectionLevel3Heading">
    <w:name w:val="Section Level 3 Heading"/>
    <w:basedOn w:val="Normal"/>
    <w:rsid w:val="0055536A"/>
    <w:pPr>
      <w:keepNext/>
      <w:widowControl/>
      <w:autoSpaceDE/>
      <w:autoSpaceDN/>
      <w:adjustRightInd/>
      <w:spacing w:after="240"/>
      <w:ind w:left="1440"/>
    </w:pPr>
  </w:style>
  <w:style w:type="character" w:customStyle="1" w:styleId="Underline">
    <w:name w:val="Underline"/>
    <w:basedOn w:val="DefaultParagraphFont"/>
    <w:rsid w:val="0055536A"/>
    <w:rPr>
      <w:u w:val="single"/>
    </w:rPr>
  </w:style>
  <w:style w:type="character" w:customStyle="1" w:styleId="CommentTextChar">
    <w:name w:val="Comment Text Char"/>
    <w:basedOn w:val="DefaultParagraphFont"/>
    <w:link w:val="CommentText"/>
    <w:rsid w:val="00AA606A"/>
  </w:style>
  <w:style w:type="character" w:customStyle="1" w:styleId="Heading1Char">
    <w:name w:val="Heading 1 Char"/>
    <w:basedOn w:val="DefaultParagraphFont"/>
    <w:link w:val="Heading1"/>
    <w:uiPriority w:val="9"/>
    <w:rsid w:val="00927413"/>
    <w:rPr>
      <w:b/>
      <w:bCs/>
      <w:kern w:val="36"/>
      <w:sz w:val="48"/>
      <w:szCs w:val="48"/>
    </w:rPr>
  </w:style>
  <w:style w:type="paragraph" w:styleId="FootnoteText">
    <w:name w:val="footnote text"/>
    <w:basedOn w:val="Normal"/>
    <w:link w:val="FootnoteTextChar"/>
    <w:rsid w:val="00B84A5C"/>
    <w:rPr>
      <w:sz w:val="20"/>
      <w:szCs w:val="20"/>
    </w:rPr>
  </w:style>
  <w:style w:type="character" w:customStyle="1" w:styleId="FootnoteTextChar">
    <w:name w:val="Footnote Text Char"/>
    <w:basedOn w:val="DefaultParagraphFont"/>
    <w:link w:val="FootnoteText"/>
    <w:rsid w:val="00B84A5C"/>
  </w:style>
  <w:style w:type="paragraph" w:styleId="BodyText">
    <w:name w:val="Body Text"/>
    <w:basedOn w:val="Normal"/>
    <w:link w:val="BodyTextChar"/>
    <w:rsid w:val="00B84A5C"/>
    <w:pPr>
      <w:pBdr>
        <w:top w:val="single" w:sz="6" w:space="0" w:color="FFFFFF"/>
        <w:left w:val="single" w:sz="6" w:space="0" w:color="FFFFFF"/>
        <w:bottom w:val="single" w:sz="6" w:space="0" w:color="FFFFFF"/>
        <w:right w:val="single" w:sz="6" w:space="0" w:color="FFFFFF"/>
      </w:pBdr>
    </w:pPr>
    <w:rPr>
      <w:color w:val="000000"/>
      <w:sz w:val="20"/>
    </w:rPr>
  </w:style>
  <w:style w:type="character" w:customStyle="1" w:styleId="BodyTextChar">
    <w:name w:val="Body Text Char"/>
    <w:basedOn w:val="DefaultParagraphFont"/>
    <w:link w:val="BodyText"/>
    <w:rsid w:val="00B84A5C"/>
    <w:rPr>
      <w:color w:val="000000"/>
      <w:szCs w:val="24"/>
    </w:rPr>
  </w:style>
  <w:style w:type="character" w:customStyle="1" w:styleId="Superscript">
    <w:name w:val="Superscript"/>
    <w:basedOn w:val="DefaultParagraphFont"/>
    <w:uiPriority w:val="1"/>
    <w:rsid w:val="009F0402"/>
    <w:rPr>
      <w:vertAlign w:val="superscript"/>
    </w:rPr>
  </w:style>
  <w:style w:type="paragraph" w:customStyle="1" w:styleId="TableTextCenter11pt">
    <w:name w:val="Table Text Center 11 pt"/>
    <w:basedOn w:val="TableText11pt"/>
    <w:rsid w:val="009F0402"/>
    <w:pPr>
      <w:jc w:val="center"/>
    </w:pPr>
  </w:style>
  <w:style w:type="paragraph" w:customStyle="1" w:styleId="TableText11pt">
    <w:name w:val="Table Text 11 pt"/>
    <w:basedOn w:val="Normal"/>
    <w:rsid w:val="009F0402"/>
    <w:pPr>
      <w:keepNext/>
      <w:widowControl/>
      <w:autoSpaceDE/>
      <w:autoSpaceDN/>
      <w:adjustRightInd/>
      <w:spacing w:before="40" w:after="40"/>
    </w:pPr>
    <w:rPr>
      <w:sz w:val="22"/>
    </w:rPr>
  </w:style>
  <w:style w:type="paragraph" w:customStyle="1" w:styleId="TableFootnote">
    <w:name w:val="Table Footnote"/>
    <w:basedOn w:val="Normal"/>
    <w:rsid w:val="009F0402"/>
    <w:pPr>
      <w:widowControl/>
      <w:autoSpaceDE/>
      <w:autoSpaceDN/>
      <w:adjustRightInd/>
      <w:spacing w:before="40"/>
      <w:ind w:left="187" w:hanging="187"/>
    </w:pPr>
    <w:rPr>
      <w:sz w:val="20"/>
      <w:szCs w:val="20"/>
    </w:rPr>
  </w:style>
  <w:style w:type="paragraph" w:customStyle="1" w:styleId="SectionHeading">
    <w:name w:val="Section Heading"/>
    <w:basedOn w:val="Normal"/>
    <w:rsid w:val="004D5F2C"/>
    <w:pPr>
      <w:keepNext/>
      <w:widowControl/>
      <w:autoSpaceDE/>
      <w:autoSpaceDN/>
      <w:adjustRightInd/>
      <w:spacing w:after="240"/>
    </w:pPr>
    <w:rPr>
      <w:b/>
    </w:rPr>
  </w:style>
  <w:style w:type="paragraph" w:customStyle="1" w:styleId="QuoteOffset">
    <w:name w:val="Quote Offset"/>
    <w:basedOn w:val="Normal"/>
    <w:rsid w:val="00BB0FD0"/>
    <w:pPr>
      <w:widowControl/>
      <w:autoSpaceDE/>
      <w:autoSpaceDN/>
      <w:adjustRightInd/>
      <w:spacing w:after="240"/>
      <w:ind w:left="1440" w:right="1166"/>
      <w:jc w:val="both"/>
    </w:pPr>
  </w:style>
  <w:style w:type="paragraph" w:customStyle="1" w:styleId="TableColumnHeading">
    <w:name w:val="Table Column Heading"/>
    <w:basedOn w:val="Normal"/>
    <w:rsid w:val="000A19D3"/>
    <w:pPr>
      <w:keepNext/>
      <w:widowControl/>
      <w:autoSpaceDE/>
      <w:autoSpaceDN/>
      <w:adjustRightInd/>
      <w:spacing w:before="40" w:after="40"/>
      <w:jc w:val="center"/>
    </w:pPr>
  </w:style>
  <w:style w:type="paragraph" w:customStyle="1" w:styleId="TableTextLeft">
    <w:name w:val="Table Text Left"/>
    <w:basedOn w:val="Normal"/>
    <w:rsid w:val="000A19D3"/>
    <w:pPr>
      <w:widowControl/>
      <w:spacing w:before="40" w:after="40"/>
    </w:pPr>
  </w:style>
  <w:style w:type="paragraph" w:customStyle="1" w:styleId="AfterTable">
    <w:name w:val="After Table"/>
    <w:basedOn w:val="BodyFirstline05After12pt"/>
    <w:rsid w:val="000A19D3"/>
    <w:pPr>
      <w:spacing w:after="300"/>
      <w:ind w:firstLine="0"/>
    </w:pPr>
  </w:style>
  <w:style w:type="paragraph" w:customStyle="1" w:styleId="LaborRateTable">
    <w:name w:val="Labor Rate Table"/>
    <w:basedOn w:val="Normal"/>
    <w:rsid w:val="000A19D3"/>
    <w:pPr>
      <w:keepNext/>
      <w:widowControl/>
      <w:autoSpaceDE/>
      <w:autoSpaceDN/>
      <w:adjustRightInd/>
      <w:ind w:left="144"/>
    </w:pPr>
  </w:style>
  <w:style w:type="paragraph" w:customStyle="1" w:styleId="LaborRateTableCenterColumn">
    <w:name w:val="Labor Rate Table Center Column"/>
    <w:basedOn w:val="Normal"/>
    <w:rsid w:val="000A19D3"/>
    <w:pPr>
      <w:keepNext/>
      <w:widowControl/>
      <w:autoSpaceDE/>
      <w:autoSpaceDN/>
      <w:adjustRightInd/>
      <w:jc w:val="right"/>
    </w:pPr>
  </w:style>
  <w:style w:type="paragraph" w:customStyle="1" w:styleId="BodyFirstline0After12pt">
    <w:name w:val="Body First line: 0&quot; After:  12 pt"/>
    <w:basedOn w:val="BodyFirstline05After12pt"/>
    <w:rsid w:val="000A19D3"/>
    <w:pPr>
      <w:ind w:firstLine="0"/>
    </w:pPr>
  </w:style>
  <w:style w:type="paragraph" w:customStyle="1" w:styleId="TableTextCenter">
    <w:name w:val="Table Text Center"/>
    <w:basedOn w:val="TableTextLeft"/>
    <w:rsid w:val="000A19D3"/>
    <w:pPr>
      <w:jc w:val="center"/>
    </w:pPr>
  </w:style>
  <w:style w:type="paragraph" w:customStyle="1" w:styleId="TableColumnHeading10pt">
    <w:name w:val="Table Column Heading 10 pt"/>
    <w:basedOn w:val="TableColumnHeading"/>
    <w:rsid w:val="000A19D3"/>
    <w:rPr>
      <w:b/>
      <w:sz w:val="20"/>
      <w:szCs w:val="20"/>
    </w:rPr>
  </w:style>
  <w:style w:type="paragraph" w:customStyle="1" w:styleId="TableTextLeft10pt">
    <w:name w:val="Table Text Left 10 pt"/>
    <w:basedOn w:val="TableTextLeft"/>
    <w:rsid w:val="000A19D3"/>
    <w:pPr>
      <w:spacing w:before="20" w:after="20"/>
    </w:pPr>
    <w:rPr>
      <w:sz w:val="20"/>
      <w:szCs w:val="20"/>
    </w:rPr>
  </w:style>
  <w:style w:type="paragraph" w:customStyle="1" w:styleId="TableColumnHeading11pt">
    <w:name w:val="Table Column Heading 11 pt"/>
    <w:basedOn w:val="TableColumnHeading"/>
    <w:rsid w:val="000A19D3"/>
    <w:rPr>
      <w:b/>
      <w:sz w:val="22"/>
      <w:szCs w:val="20"/>
    </w:rPr>
  </w:style>
  <w:style w:type="paragraph" w:customStyle="1" w:styleId="TableTextLeft11pt">
    <w:name w:val="Table Text Left 11 pt"/>
    <w:basedOn w:val="TableTextLeft10pt"/>
    <w:rsid w:val="000A19D3"/>
    <w:rPr>
      <w:sz w:val="22"/>
    </w:rPr>
  </w:style>
  <w:style w:type="paragraph" w:customStyle="1" w:styleId="TableTextCenter10pt">
    <w:name w:val="Table Text Center 10 pt"/>
    <w:basedOn w:val="TableTextLeft10pt"/>
    <w:rsid w:val="00446CA1"/>
    <w:pPr>
      <w:jc w:val="center"/>
    </w:pPr>
  </w:style>
  <w:style w:type="paragraph" w:customStyle="1" w:styleId="TableTitle">
    <w:name w:val="Table Title"/>
    <w:basedOn w:val="Normal"/>
    <w:rsid w:val="00446CA1"/>
    <w:pPr>
      <w:keepNext/>
      <w:widowControl/>
      <w:spacing w:after="120"/>
    </w:pPr>
    <w:rPr>
      <w:b/>
    </w:rPr>
  </w:style>
  <w:style w:type="paragraph" w:customStyle="1" w:styleId="TableTextRight10pt">
    <w:name w:val="Table Text Right 10 pt"/>
    <w:basedOn w:val="TableTextCenter10pt"/>
    <w:rsid w:val="00F46122"/>
    <w:pPr>
      <w:jc w:val="right"/>
    </w:pPr>
  </w:style>
  <w:style w:type="paragraph" w:customStyle="1" w:styleId="TableTextLeft10ptIndent">
    <w:name w:val="Table Text Left 10 pt Indent"/>
    <w:basedOn w:val="TableTextLeft10pt"/>
    <w:rsid w:val="00F46122"/>
    <w:pPr>
      <w:ind w:left="144"/>
    </w:pPr>
  </w:style>
  <w:style w:type="paragraph" w:customStyle="1" w:styleId="DocumentTitle">
    <w:name w:val="Document Title"/>
    <w:basedOn w:val="Normal"/>
    <w:rsid w:val="00F46122"/>
    <w:pPr>
      <w:widowControl/>
      <w:jc w:val="center"/>
    </w:pPr>
    <w:rPr>
      <w:b/>
      <w:bCs/>
    </w:rPr>
  </w:style>
  <w:style w:type="character" w:styleId="Hyperlink">
    <w:name w:val="Hyperlink"/>
    <w:basedOn w:val="DefaultParagraphFont"/>
    <w:rsid w:val="00863928"/>
    <w:rPr>
      <w:color w:val="0000FF" w:themeColor="hyperlink"/>
      <w:u w:val="single"/>
    </w:rPr>
  </w:style>
  <w:style w:type="character" w:customStyle="1" w:styleId="UnresolvedMention1">
    <w:name w:val="Unresolved Mention1"/>
    <w:basedOn w:val="DefaultParagraphFont"/>
    <w:uiPriority w:val="99"/>
    <w:semiHidden/>
    <w:unhideWhenUsed/>
    <w:rsid w:val="004D1F2F"/>
    <w:rPr>
      <w:color w:val="808080"/>
      <w:shd w:val="clear" w:color="auto" w:fill="E6E6E6"/>
    </w:rPr>
  </w:style>
  <w:style w:type="paragraph" w:customStyle="1" w:styleId="After12pt">
    <w:name w:val="After:  12 pt"/>
    <w:basedOn w:val="Normal"/>
    <w:rsid w:val="008F78D9"/>
    <w:pPr>
      <w:widowControl/>
      <w:autoSpaceDE/>
      <w:autoSpaceDN/>
      <w:adjustRightInd/>
      <w:spacing w:after="2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03200">
      <w:bodyDiv w:val="1"/>
      <w:marLeft w:val="0"/>
      <w:marRight w:val="0"/>
      <w:marTop w:val="0"/>
      <w:marBottom w:val="0"/>
      <w:divBdr>
        <w:top w:val="none" w:sz="0" w:space="0" w:color="auto"/>
        <w:left w:val="none" w:sz="0" w:space="0" w:color="auto"/>
        <w:bottom w:val="none" w:sz="0" w:space="0" w:color="auto"/>
        <w:right w:val="none" w:sz="0" w:space="0" w:color="auto"/>
      </w:divBdr>
    </w:div>
    <w:div w:id="308437599">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53446031">
      <w:bodyDiv w:val="1"/>
      <w:marLeft w:val="0"/>
      <w:marRight w:val="0"/>
      <w:marTop w:val="0"/>
      <w:marBottom w:val="0"/>
      <w:divBdr>
        <w:top w:val="none" w:sz="0" w:space="0" w:color="auto"/>
        <w:left w:val="none" w:sz="0" w:space="0" w:color="auto"/>
        <w:bottom w:val="none" w:sz="0" w:space="0" w:color="auto"/>
        <w:right w:val="none" w:sz="0" w:space="0" w:color="auto"/>
      </w:divBdr>
    </w:div>
    <w:div w:id="515462514">
      <w:bodyDiv w:val="1"/>
      <w:marLeft w:val="0"/>
      <w:marRight w:val="0"/>
      <w:marTop w:val="0"/>
      <w:marBottom w:val="0"/>
      <w:divBdr>
        <w:top w:val="none" w:sz="0" w:space="0" w:color="auto"/>
        <w:left w:val="none" w:sz="0" w:space="0" w:color="auto"/>
        <w:bottom w:val="none" w:sz="0" w:space="0" w:color="auto"/>
        <w:right w:val="none" w:sz="0" w:space="0" w:color="auto"/>
      </w:divBdr>
    </w:div>
    <w:div w:id="536695384">
      <w:bodyDiv w:val="1"/>
      <w:marLeft w:val="0"/>
      <w:marRight w:val="0"/>
      <w:marTop w:val="0"/>
      <w:marBottom w:val="0"/>
      <w:divBdr>
        <w:top w:val="none" w:sz="0" w:space="0" w:color="auto"/>
        <w:left w:val="none" w:sz="0" w:space="0" w:color="auto"/>
        <w:bottom w:val="none" w:sz="0" w:space="0" w:color="auto"/>
        <w:right w:val="none" w:sz="0" w:space="0" w:color="auto"/>
      </w:divBdr>
    </w:div>
    <w:div w:id="545525642">
      <w:bodyDiv w:val="1"/>
      <w:marLeft w:val="0"/>
      <w:marRight w:val="0"/>
      <w:marTop w:val="0"/>
      <w:marBottom w:val="0"/>
      <w:divBdr>
        <w:top w:val="none" w:sz="0" w:space="0" w:color="auto"/>
        <w:left w:val="none" w:sz="0" w:space="0" w:color="auto"/>
        <w:bottom w:val="none" w:sz="0" w:space="0" w:color="auto"/>
        <w:right w:val="none" w:sz="0" w:space="0" w:color="auto"/>
      </w:divBdr>
    </w:div>
    <w:div w:id="560362398">
      <w:bodyDiv w:val="1"/>
      <w:marLeft w:val="0"/>
      <w:marRight w:val="0"/>
      <w:marTop w:val="0"/>
      <w:marBottom w:val="0"/>
      <w:divBdr>
        <w:top w:val="none" w:sz="0" w:space="0" w:color="auto"/>
        <w:left w:val="none" w:sz="0" w:space="0" w:color="auto"/>
        <w:bottom w:val="none" w:sz="0" w:space="0" w:color="auto"/>
        <w:right w:val="none" w:sz="0" w:space="0" w:color="auto"/>
      </w:divBdr>
    </w:div>
    <w:div w:id="612057985">
      <w:bodyDiv w:val="1"/>
      <w:marLeft w:val="0"/>
      <w:marRight w:val="0"/>
      <w:marTop w:val="0"/>
      <w:marBottom w:val="0"/>
      <w:divBdr>
        <w:top w:val="none" w:sz="0" w:space="0" w:color="auto"/>
        <w:left w:val="none" w:sz="0" w:space="0" w:color="auto"/>
        <w:bottom w:val="none" w:sz="0" w:space="0" w:color="auto"/>
        <w:right w:val="none" w:sz="0" w:space="0" w:color="auto"/>
      </w:divBdr>
    </w:div>
    <w:div w:id="613102349">
      <w:bodyDiv w:val="1"/>
      <w:marLeft w:val="0"/>
      <w:marRight w:val="0"/>
      <w:marTop w:val="0"/>
      <w:marBottom w:val="0"/>
      <w:divBdr>
        <w:top w:val="none" w:sz="0" w:space="0" w:color="auto"/>
        <w:left w:val="none" w:sz="0" w:space="0" w:color="auto"/>
        <w:bottom w:val="none" w:sz="0" w:space="0" w:color="auto"/>
        <w:right w:val="none" w:sz="0" w:space="0" w:color="auto"/>
      </w:divBdr>
    </w:div>
    <w:div w:id="669798174">
      <w:bodyDiv w:val="1"/>
      <w:marLeft w:val="0"/>
      <w:marRight w:val="0"/>
      <w:marTop w:val="0"/>
      <w:marBottom w:val="0"/>
      <w:divBdr>
        <w:top w:val="none" w:sz="0" w:space="0" w:color="auto"/>
        <w:left w:val="none" w:sz="0" w:space="0" w:color="auto"/>
        <w:bottom w:val="none" w:sz="0" w:space="0" w:color="auto"/>
        <w:right w:val="none" w:sz="0" w:space="0" w:color="auto"/>
      </w:divBdr>
    </w:div>
    <w:div w:id="702677143">
      <w:bodyDiv w:val="1"/>
      <w:marLeft w:val="0"/>
      <w:marRight w:val="0"/>
      <w:marTop w:val="0"/>
      <w:marBottom w:val="0"/>
      <w:divBdr>
        <w:top w:val="none" w:sz="0" w:space="0" w:color="auto"/>
        <w:left w:val="none" w:sz="0" w:space="0" w:color="auto"/>
        <w:bottom w:val="none" w:sz="0" w:space="0" w:color="auto"/>
        <w:right w:val="none" w:sz="0" w:space="0" w:color="auto"/>
      </w:divBdr>
    </w:div>
    <w:div w:id="716927996">
      <w:bodyDiv w:val="1"/>
      <w:marLeft w:val="0"/>
      <w:marRight w:val="0"/>
      <w:marTop w:val="0"/>
      <w:marBottom w:val="0"/>
      <w:divBdr>
        <w:top w:val="none" w:sz="0" w:space="0" w:color="auto"/>
        <w:left w:val="none" w:sz="0" w:space="0" w:color="auto"/>
        <w:bottom w:val="none" w:sz="0" w:space="0" w:color="auto"/>
        <w:right w:val="none" w:sz="0" w:space="0" w:color="auto"/>
      </w:divBdr>
    </w:div>
    <w:div w:id="732895527">
      <w:bodyDiv w:val="1"/>
      <w:marLeft w:val="0"/>
      <w:marRight w:val="0"/>
      <w:marTop w:val="0"/>
      <w:marBottom w:val="0"/>
      <w:divBdr>
        <w:top w:val="none" w:sz="0" w:space="0" w:color="auto"/>
        <w:left w:val="none" w:sz="0" w:space="0" w:color="auto"/>
        <w:bottom w:val="none" w:sz="0" w:space="0" w:color="auto"/>
        <w:right w:val="none" w:sz="0" w:space="0" w:color="auto"/>
      </w:divBdr>
    </w:div>
    <w:div w:id="814832925">
      <w:bodyDiv w:val="1"/>
      <w:marLeft w:val="0"/>
      <w:marRight w:val="0"/>
      <w:marTop w:val="0"/>
      <w:marBottom w:val="0"/>
      <w:divBdr>
        <w:top w:val="none" w:sz="0" w:space="0" w:color="auto"/>
        <w:left w:val="none" w:sz="0" w:space="0" w:color="auto"/>
        <w:bottom w:val="none" w:sz="0" w:space="0" w:color="auto"/>
        <w:right w:val="none" w:sz="0" w:space="0" w:color="auto"/>
      </w:divBdr>
    </w:div>
    <w:div w:id="910505381">
      <w:bodyDiv w:val="1"/>
      <w:marLeft w:val="0"/>
      <w:marRight w:val="0"/>
      <w:marTop w:val="0"/>
      <w:marBottom w:val="0"/>
      <w:divBdr>
        <w:top w:val="none" w:sz="0" w:space="0" w:color="auto"/>
        <w:left w:val="none" w:sz="0" w:space="0" w:color="auto"/>
        <w:bottom w:val="none" w:sz="0" w:space="0" w:color="auto"/>
        <w:right w:val="none" w:sz="0" w:space="0" w:color="auto"/>
      </w:divBdr>
    </w:div>
    <w:div w:id="948779475">
      <w:bodyDiv w:val="1"/>
      <w:marLeft w:val="0"/>
      <w:marRight w:val="0"/>
      <w:marTop w:val="0"/>
      <w:marBottom w:val="0"/>
      <w:divBdr>
        <w:top w:val="none" w:sz="0" w:space="0" w:color="auto"/>
        <w:left w:val="none" w:sz="0" w:space="0" w:color="auto"/>
        <w:bottom w:val="none" w:sz="0" w:space="0" w:color="auto"/>
        <w:right w:val="none" w:sz="0" w:space="0" w:color="auto"/>
      </w:divBdr>
    </w:div>
    <w:div w:id="1048720001">
      <w:bodyDiv w:val="1"/>
      <w:marLeft w:val="0"/>
      <w:marRight w:val="0"/>
      <w:marTop w:val="0"/>
      <w:marBottom w:val="0"/>
      <w:divBdr>
        <w:top w:val="none" w:sz="0" w:space="0" w:color="auto"/>
        <w:left w:val="none" w:sz="0" w:space="0" w:color="auto"/>
        <w:bottom w:val="none" w:sz="0" w:space="0" w:color="auto"/>
        <w:right w:val="none" w:sz="0" w:space="0" w:color="auto"/>
      </w:divBdr>
    </w:div>
    <w:div w:id="1099254861">
      <w:bodyDiv w:val="1"/>
      <w:marLeft w:val="0"/>
      <w:marRight w:val="0"/>
      <w:marTop w:val="0"/>
      <w:marBottom w:val="0"/>
      <w:divBdr>
        <w:top w:val="none" w:sz="0" w:space="0" w:color="auto"/>
        <w:left w:val="none" w:sz="0" w:space="0" w:color="auto"/>
        <w:bottom w:val="none" w:sz="0" w:space="0" w:color="auto"/>
        <w:right w:val="none" w:sz="0" w:space="0" w:color="auto"/>
      </w:divBdr>
      <w:divsChild>
        <w:div w:id="2057850767">
          <w:marLeft w:val="0"/>
          <w:marRight w:val="0"/>
          <w:marTop w:val="0"/>
          <w:marBottom w:val="0"/>
          <w:divBdr>
            <w:top w:val="none" w:sz="0" w:space="0" w:color="auto"/>
            <w:left w:val="none" w:sz="0" w:space="0" w:color="auto"/>
            <w:bottom w:val="none" w:sz="0" w:space="0" w:color="auto"/>
            <w:right w:val="none" w:sz="0" w:space="0" w:color="auto"/>
          </w:divBdr>
          <w:divsChild>
            <w:div w:id="1646428105">
              <w:marLeft w:val="0"/>
              <w:marRight w:val="0"/>
              <w:marTop w:val="0"/>
              <w:marBottom w:val="0"/>
              <w:divBdr>
                <w:top w:val="none" w:sz="0" w:space="0" w:color="auto"/>
                <w:left w:val="none" w:sz="0" w:space="0" w:color="auto"/>
                <w:bottom w:val="none" w:sz="0" w:space="0" w:color="auto"/>
                <w:right w:val="none" w:sz="0" w:space="0" w:color="auto"/>
              </w:divBdr>
              <w:divsChild>
                <w:div w:id="46327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305387">
      <w:bodyDiv w:val="1"/>
      <w:marLeft w:val="0"/>
      <w:marRight w:val="0"/>
      <w:marTop w:val="0"/>
      <w:marBottom w:val="0"/>
      <w:divBdr>
        <w:top w:val="none" w:sz="0" w:space="0" w:color="auto"/>
        <w:left w:val="none" w:sz="0" w:space="0" w:color="auto"/>
        <w:bottom w:val="none" w:sz="0" w:space="0" w:color="auto"/>
        <w:right w:val="none" w:sz="0" w:space="0" w:color="auto"/>
      </w:divBdr>
    </w:div>
    <w:div w:id="1286617679">
      <w:bodyDiv w:val="1"/>
      <w:marLeft w:val="0"/>
      <w:marRight w:val="0"/>
      <w:marTop w:val="0"/>
      <w:marBottom w:val="0"/>
      <w:divBdr>
        <w:top w:val="none" w:sz="0" w:space="0" w:color="auto"/>
        <w:left w:val="none" w:sz="0" w:space="0" w:color="auto"/>
        <w:bottom w:val="none" w:sz="0" w:space="0" w:color="auto"/>
        <w:right w:val="none" w:sz="0" w:space="0" w:color="auto"/>
      </w:divBdr>
    </w:div>
    <w:div w:id="1290746865">
      <w:bodyDiv w:val="1"/>
      <w:marLeft w:val="0"/>
      <w:marRight w:val="0"/>
      <w:marTop w:val="0"/>
      <w:marBottom w:val="0"/>
      <w:divBdr>
        <w:top w:val="none" w:sz="0" w:space="0" w:color="auto"/>
        <w:left w:val="none" w:sz="0" w:space="0" w:color="auto"/>
        <w:bottom w:val="none" w:sz="0" w:space="0" w:color="auto"/>
        <w:right w:val="none" w:sz="0" w:space="0" w:color="auto"/>
      </w:divBdr>
    </w:div>
    <w:div w:id="1291589874">
      <w:bodyDiv w:val="1"/>
      <w:marLeft w:val="0"/>
      <w:marRight w:val="0"/>
      <w:marTop w:val="0"/>
      <w:marBottom w:val="0"/>
      <w:divBdr>
        <w:top w:val="none" w:sz="0" w:space="0" w:color="auto"/>
        <w:left w:val="none" w:sz="0" w:space="0" w:color="auto"/>
        <w:bottom w:val="none" w:sz="0" w:space="0" w:color="auto"/>
        <w:right w:val="none" w:sz="0" w:space="0" w:color="auto"/>
      </w:divBdr>
    </w:div>
    <w:div w:id="1323125372">
      <w:bodyDiv w:val="1"/>
      <w:marLeft w:val="0"/>
      <w:marRight w:val="0"/>
      <w:marTop w:val="0"/>
      <w:marBottom w:val="0"/>
      <w:divBdr>
        <w:top w:val="none" w:sz="0" w:space="0" w:color="auto"/>
        <w:left w:val="none" w:sz="0" w:space="0" w:color="auto"/>
        <w:bottom w:val="none" w:sz="0" w:space="0" w:color="auto"/>
        <w:right w:val="none" w:sz="0" w:space="0" w:color="auto"/>
      </w:divBdr>
    </w:div>
    <w:div w:id="1373192568">
      <w:bodyDiv w:val="1"/>
      <w:marLeft w:val="0"/>
      <w:marRight w:val="0"/>
      <w:marTop w:val="0"/>
      <w:marBottom w:val="0"/>
      <w:divBdr>
        <w:top w:val="none" w:sz="0" w:space="0" w:color="auto"/>
        <w:left w:val="none" w:sz="0" w:space="0" w:color="auto"/>
        <w:bottom w:val="none" w:sz="0" w:space="0" w:color="auto"/>
        <w:right w:val="none" w:sz="0" w:space="0" w:color="auto"/>
      </w:divBdr>
    </w:div>
    <w:div w:id="1378430072">
      <w:bodyDiv w:val="1"/>
      <w:marLeft w:val="0"/>
      <w:marRight w:val="0"/>
      <w:marTop w:val="0"/>
      <w:marBottom w:val="0"/>
      <w:divBdr>
        <w:top w:val="none" w:sz="0" w:space="0" w:color="auto"/>
        <w:left w:val="none" w:sz="0" w:space="0" w:color="auto"/>
        <w:bottom w:val="none" w:sz="0" w:space="0" w:color="auto"/>
        <w:right w:val="none" w:sz="0" w:space="0" w:color="auto"/>
      </w:divBdr>
    </w:div>
    <w:div w:id="1397168231">
      <w:bodyDiv w:val="1"/>
      <w:marLeft w:val="0"/>
      <w:marRight w:val="0"/>
      <w:marTop w:val="0"/>
      <w:marBottom w:val="0"/>
      <w:divBdr>
        <w:top w:val="none" w:sz="0" w:space="0" w:color="auto"/>
        <w:left w:val="none" w:sz="0" w:space="0" w:color="auto"/>
        <w:bottom w:val="none" w:sz="0" w:space="0" w:color="auto"/>
        <w:right w:val="none" w:sz="0" w:space="0" w:color="auto"/>
      </w:divBdr>
    </w:div>
    <w:div w:id="1399472704">
      <w:bodyDiv w:val="1"/>
      <w:marLeft w:val="0"/>
      <w:marRight w:val="0"/>
      <w:marTop w:val="0"/>
      <w:marBottom w:val="0"/>
      <w:divBdr>
        <w:top w:val="none" w:sz="0" w:space="0" w:color="auto"/>
        <w:left w:val="none" w:sz="0" w:space="0" w:color="auto"/>
        <w:bottom w:val="none" w:sz="0" w:space="0" w:color="auto"/>
        <w:right w:val="none" w:sz="0" w:space="0" w:color="auto"/>
      </w:divBdr>
    </w:div>
    <w:div w:id="1423643183">
      <w:bodyDiv w:val="1"/>
      <w:marLeft w:val="0"/>
      <w:marRight w:val="0"/>
      <w:marTop w:val="0"/>
      <w:marBottom w:val="0"/>
      <w:divBdr>
        <w:top w:val="none" w:sz="0" w:space="0" w:color="auto"/>
        <w:left w:val="none" w:sz="0" w:space="0" w:color="auto"/>
        <w:bottom w:val="none" w:sz="0" w:space="0" w:color="auto"/>
        <w:right w:val="none" w:sz="0" w:space="0" w:color="auto"/>
      </w:divBdr>
    </w:div>
    <w:div w:id="1533113158">
      <w:bodyDiv w:val="1"/>
      <w:marLeft w:val="0"/>
      <w:marRight w:val="0"/>
      <w:marTop w:val="0"/>
      <w:marBottom w:val="0"/>
      <w:divBdr>
        <w:top w:val="none" w:sz="0" w:space="0" w:color="auto"/>
        <w:left w:val="none" w:sz="0" w:space="0" w:color="auto"/>
        <w:bottom w:val="none" w:sz="0" w:space="0" w:color="auto"/>
        <w:right w:val="none" w:sz="0" w:space="0" w:color="auto"/>
      </w:divBdr>
    </w:div>
    <w:div w:id="1613517288">
      <w:bodyDiv w:val="1"/>
      <w:marLeft w:val="0"/>
      <w:marRight w:val="0"/>
      <w:marTop w:val="0"/>
      <w:marBottom w:val="0"/>
      <w:divBdr>
        <w:top w:val="none" w:sz="0" w:space="0" w:color="auto"/>
        <w:left w:val="none" w:sz="0" w:space="0" w:color="auto"/>
        <w:bottom w:val="none" w:sz="0" w:space="0" w:color="auto"/>
        <w:right w:val="none" w:sz="0" w:space="0" w:color="auto"/>
      </w:divBdr>
    </w:div>
    <w:div w:id="1635404213">
      <w:bodyDiv w:val="1"/>
      <w:marLeft w:val="0"/>
      <w:marRight w:val="0"/>
      <w:marTop w:val="0"/>
      <w:marBottom w:val="0"/>
      <w:divBdr>
        <w:top w:val="none" w:sz="0" w:space="0" w:color="auto"/>
        <w:left w:val="none" w:sz="0" w:space="0" w:color="auto"/>
        <w:bottom w:val="none" w:sz="0" w:space="0" w:color="auto"/>
        <w:right w:val="none" w:sz="0" w:space="0" w:color="auto"/>
      </w:divBdr>
    </w:div>
    <w:div w:id="1661928842">
      <w:bodyDiv w:val="1"/>
      <w:marLeft w:val="0"/>
      <w:marRight w:val="0"/>
      <w:marTop w:val="0"/>
      <w:marBottom w:val="0"/>
      <w:divBdr>
        <w:top w:val="none" w:sz="0" w:space="0" w:color="auto"/>
        <w:left w:val="none" w:sz="0" w:space="0" w:color="auto"/>
        <w:bottom w:val="none" w:sz="0" w:space="0" w:color="auto"/>
        <w:right w:val="none" w:sz="0" w:space="0" w:color="auto"/>
      </w:divBdr>
    </w:div>
    <w:div w:id="1662537157">
      <w:bodyDiv w:val="1"/>
      <w:marLeft w:val="0"/>
      <w:marRight w:val="0"/>
      <w:marTop w:val="0"/>
      <w:marBottom w:val="0"/>
      <w:divBdr>
        <w:top w:val="none" w:sz="0" w:space="0" w:color="auto"/>
        <w:left w:val="none" w:sz="0" w:space="0" w:color="auto"/>
        <w:bottom w:val="none" w:sz="0" w:space="0" w:color="auto"/>
        <w:right w:val="none" w:sz="0" w:space="0" w:color="auto"/>
      </w:divBdr>
    </w:div>
    <w:div w:id="1680697342">
      <w:bodyDiv w:val="1"/>
      <w:marLeft w:val="0"/>
      <w:marRight w:val="0"/>
      <w:marTop w:val="0"/>
      <w:marBottom w:val="0"/>
      <w:divBdr>
        <w:top w:val="none" w:sz="0" w:space="0" w:color="auto"/>
        <w:left w:val="none" w:sz="0" w:space="0" w:color="auto"/>
        <w:bottom w:val="none" w:sz="0" w:space="0" w:color="auto"/>
        <w:right w:val="none" w:sz="0" w:space="0" w:color="auto"/>
      </w:divBdr>
    </w:div>
    <w:div w:id="1708605136">
      <w:bodyDiv w:val="1"/>
      <w:marLeft w:val="0"/>
      <w:marRight w:val="0"/>
      <w:marTop w:val="0"/>
      <w:marBottom w:val="0"/>
      <w:divBdr>
        <w:top w:val="none" w:sz="0" w:space="0" w:color="auto"/>
        <w:left w:val="none" w:sz="0" w:space="0" w:color="auto"/>
        <w:bottom w:val="none" w:sz="0" w:space="0" w:color="auto"/>
        <w:right w:val="none" w:sz="0" w:space="0" w:color="auto"/>
      </w:divBdr>
    </w:div>
    <w:div w:id="1723334685">
      <w:bodyDiv w:val="1"/>
      <w:marLeft w:val="0"/>
      <w:marRight w:val="0"/>
      <w:marTop w:val="0"/>
      <w:marBottom w:val="0"/>
      <w:divBdr>
        <w:top w:val="none" w:sz="0" w:space="0" w:color="auto"/>
        <w:left w:val="none" w:sz="0" w:space="0" w:color="auto"/>
        <w:bottom w:val="none" w:sz="0" w:space="0" w:color="auto"/>
        <w:right w:val="none" w:sz="0" w:space="0" w:color="auto"/>
      </w:divBdr>
    </w:div>
    <w:div w:id="1736008908">
      <w:bodyDiv w:val="1"/>
      <w:marLeft w:val="0"/>
      <w:marRight w:val="0"/>
      <w:marTop w:val="0"/>
      <w:marBottom w:val="0"/>
      <w:divBdr>
        <w:top w:val="none" w:sz="0" w:space="0" w:color="auto"/>
        <w:left w:val="none" w:sz="0" w:space="0" w:color="auto"/>
        <w:bottom w:val="none" w:sz="0" w:space="0" w:color="auto"/>
        <w:right w:val="none" w:sz="0" w:space="0" w:color="auto"/>
      </w:divBdr>
    </w:div>
    <w:div w:id="1948928412">
      <w:bodyDiv w:val="1"/>
      <w:marLeft w:val="0"/>
      <w:marRight w:val="0"/>
      <w:marTop w:val="0"/>
      <w:marBottom w:val="0"/>
      <w:divBdr>
        <w:top w:val="none" w:sz="0" w:space="0" w:color="auto"/>
        <w:left w:val="none" w:sz="0" w:space="0" w:color="auto"/>
        <w:bottom w:val="none" w:sz="0" w:space="0" w:color="auto"/>
        <w:right w:val="none" w:sz="0" w:space="0" w:color="auto"/>
      </w:divBdr>
    </w:div>
    <w:div w:id="1963220506">
      <w:bodyDiv w:val="1"/>
      <w:marLeft w:val="0"/>
      <w:marRight w:val="0"/>
      <w:marTop w:val="0"/>
      <w:marBottom w:val="0"/>
      <w:divBdr>
        <w:top w:val="none" w:sz="0" w:space="0" w:color="auto"/>
        <w:left w:val="none" w:sz="0" w:space="0" w:color="auto"/>
        <w:bottom w:val="none" w:sz="0" w:space="0" w:color="auto"/>
        <w:right w:val="none" w:sz="0" w:space="0" w:color="auto"/>
      </w:divBdr>
    </w:div>
    <w:div w:id="1976134012">
      <w:bodyDiv w:val="1"/>
      <w:marLeft w:val="0"/>
      <w:marRight w:val="0"/>
      <w:marTop w:val="0"/>
      <w:marBottom w:val="0"/>
      <w:divBdr>
        <w:top w:val="none" w:sz="0" w:space="0" w:color="auto"/>
        <w:left w:val="none" w:sz="0" w:space="0" w:color="auto"/>
        <w:bottom w:val="none" w:sz="0" w:space="0" w:color="auto"/>
        <w:right w:val="none" w:sz="0" w:space="0" w:color="auto"/>
      </w:divBdr>
    </w:div>
    <w:div w:id="1988507497">
      <w:bodyDiv w:val="1"/>
      <w:marLeft w:val="0"/>
      <w:marRight w:val="0"/>
      <w:marTop w:val="0"/>
      <w:marBottom w:val="0"/>
      <w:divBdr>
        <w:top w:val="none" w:sz="0" w:space="0" w:color="auto"/>
        <w:left w:val="none" w:sz="0" w:space="0" w:color="auto"/>
        <w:bottom w:val="none" w:sz="0" w:space="0" w:color="auto"/>
        <w:right w:val="none" w:sz="0" w:space="0" w:color="auto"/>
      </w:divBdr>
    </w:div>
    <w:div w:id="2036152358">
      <w:bodyDiv w:val="1"/>
      <w:marLeft w:val="0"/>
      <w:marRight w:val="0"/>
      <w:marTop w:val="0"/>
      <w:marBottom w:val="0"/>
      <w:divBdr>
        <w:top w:val="none" w:sz="0" w:space="0" w:color="auto"/>
        <w:left w:val="none" w:sz="0" w:space="0" w:color="auto"/>
        <w:bottom w:val="none" w:sz="0" w:space="0" w:color="auto"/>
        <w:right w:val="none" w:sz="0" w:space="0" w:color="auto"/>
      </w:divBdr>
    </w:div>
    <w:div w:id="2045593445">
      <w:bodyDiv w:val="1"/>
      <w:marLeft w:val="0"/>
      <w:marRight w:val="0"/>
      <w:marTop w:val="0"/>
      <w:marBottom w:val="0"/>
      <w:divBdr>
        <w:top w:val="none" w:sz="0" w:space="0" w:color="auto"/>
        <w:left w:val="none" w:sz="0" w:space="0" w:color="auto"/>
        <w:bottom w:val="none" w:sz="0" w:space="0" w:color="auto"/>
        <w:right w:val="none" w:sz="0" w:space="0" w:color="auto"/>
      </w:divBdr>
    </w:div>
    <w:div w:id="2059624669">
      <w:bodyDiv w:val="1"/>
      <w:marLeft w:val="0"/>
      <w:marRight w:val="0"/>
      <w:marTop w:val="0"/>
      <w:marBottom w:val="0"/>
      <w:divBdr>
        <w:top w:val="none" w:sz="0" w:space="0" w:color="auto"/>
        <w:left w:val="none" w:sz="0" w:space="0" w:color="auto"/>
        <w:bottom w:val="none" w:sz="0" w:space="0" w:color="auto"/>
        <w:right w:val="none" w:sz="0" w:space="0" w:color="auto"/>
      </w:divBdr>
    </w:div>
    <w:div w:id="211158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50E2071C68454DB6C3F497E515394B" ma:contentTypeVersion="7" ma:contentTypeDescription="Create a new document." ma:contentTypeScope="" ma:versionID="0d79dcc0e2480ced565f8e74ece22663">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4198146f-008a-4100-9f12-2549878b3a4e" targetNamespace="http://schemas.microsoft.com/office/2006/metadata/properties" ma:root="true" ma:fieldsID="a4d116e975048d770e7499c838b34904" ns1:_="" ns2:_="" ns3:_="" ns4:_="" ns5:_="">
    <xsd:import namespace="http://schemas.microsoft.com/sharepoint/v3"/>
    <xsd:import namespace="4ffa91fb-a0ff-4ac5-b2db-65c790d184a4"/>
    <xsd:import namespace="http://schemas.microsoft.com/sharepoint.v3"/>
    <xsd:import namespace="http://schemas.microsoft.com/sharepoint/v3/fields"/>
    <xsd:import namespace="4198146f-008a-4100-9f12-2549878b3a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ingHintHash"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98146f-008a-4100-9f12-2549878b3a4e"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0" nillable="true" ma:displayName="Sharing Hint Hash" ma:internalName="SharingHintHash" ma:readOnly="true">
      <xsd:simpleType>
        <xsd:restriction base="dms:Text"/>
      </xsd:simple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2015-09-17T19:35:05+00:00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529ED-B7AC-425B-ABFF-7FCA97259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198146f-008a-4100-9f12-2549878b3a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B36FEA-507C-4762-9FBD-1F06AC0BB4B5}">
  <ds:schemaRefs>
    <ds:schemaRef ds:uri="Microsoft.SharePoint.Taxonomy.ContentTypeSync"/>
  </ds:schemaRefs>
</ds:datastoreItem>
</file>

<file path=customXml/itemProps3.xml><?xml version="1.0" encoding="utf-8"?>
<ds:datastoreItem xmlns:ds="http://schemas.openxmlformats.org/officeDocument/2006/customXml" ds:itemID="{5C526573-D8F5-44DD-8E7D-C5C0777B9214}">
  <ds:schemaRefs>
    <ds:schemaRef ds:uri="http://schemas.microsoft.com/sharepoint/v3/contenttype/forms"/>
  </ds:schemaRefs>
</ds:datastoreItem>
</file>

<file path=customXml/itemProps4.xml><?xml version="1.0" encoding="utf-8"?>
<ds:datastoreItem xmlns:ds="http://schemas.openxmlformats.org/officeDocument/2006/customXml" ds:itemID="{859B2253-67A5-46AA-AAB2-9637499871B7}">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5.xml><?xml version="1.0" encoding="utf-8"?>
<ds:datastoreItem xmlns:ds="http://schemas.openxmlformats.org/officeDocument/2006/customXml" ds:itemID="{8CF20EE3-E706-456C-9BCD-368DEBB08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3757</Words>
  <Characters>21418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Pearce, Leslie</dc:creator>
  <cp:lastModifiedBy>Kerwin, Courtney</cp:lastModifiedBy>
  <cp:revision>3</cp:revision>
  <cp:lastPrinted>2011-03-08T16:24:00Z</cp:lastPrinted>
  <dcterms:created xsi:type="dcterms:W3CDTF">2019-03-07T20:33:00Z</dcterms:created>
  <dcterms:modified xsi:type="dcterms:W3CDTF">2020-12-11T04:48:00Z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0x0101000250E2071C68454DB6C3F497E515394B</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