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EB10E" w14:textId="77777777" w:rsidR="000D4C02" w:rsidRPr="00942F29" w:rsidRDefault="000D4C02" w:rsidP="000D4C02">
      <w:pPr>
        <w:pStyle w:val="Heading1"/>
        <w:jc w:val="center"/>
        <w:rPr>
          <w:szCs w:val="24"/>
        </w:rPr>
      </w:pPr>
      <w:bookmarkStart w:id="0" w:name="_GoBack"/>
      <w:bookmarkEnd w:id="0"/>
      <w:r w:rsidRPr="00942F29">
        <w:rPr>
          <w:szCs w:val="24"/>
        </w:rPr>
        <w:t>SUPPPORTING STATEMENT</w:t>
      </w:r>
    </w:p>
    <w:p w14:paraId="7B8B3D26" w14:textId="77777777" w:rsidR="000D4C02" w:rsidRPr="00942F29" w:rsidRDefault="000D4C02" w:rsidP="000D4C02">
      <w:pPr>
        <w:jc w:val="center"/>
        <w:rPr>
          <w:b/>
          <w:szCs w:val="24"/>
        </w:rPr>
      </w:pPr>
      <w:r w:rsidRPr="00942F29">
        <w:rPr>
          <w:b/>
          <w:szCs w:val="24"/>
        </w:rPr>
        <w:t>PART A</w:t>
      </w:r>
    </w:p>
    <w:p w14:paraId="27B5DD8E" w14:textId="77777777" w:rsidR="000D4C02" w:rsidRDefault="000D4C02" w:rsidP="000D4C02">
      <w:pPr>
        <w:spacing w:before="120"/>
        <w:contextualSpacing/>
      </w:pPr>
    </w:p>
    <w:p w14:paraId="07016914" w14:textId="77777777" w:rsidR="000D4C02" w:rsidRDefault="000D4C02" w:rsidP="000D4C02">
      <w:pPr>
        <w:spacing w:before="120"/>
        <w:contextualSpacing/>
      </w:pPr>
    </w:p>
    <w:p w14:paraId="5C28EB99" w14:textId="77777777" w:rsidR="000D4C02" w:rsidRPr="00FF60D8" w:rsidRDefault="000D4C02" w:rsidP="000D4C02">
      <w:pPr>
        <w:pStyle w:val="ListParagraph"/>
        <w:numPr>
          <w:ilvl w:val="0"/>
          <w:numId w:val="5"/>
        </w:numPr>
        <w:spacing w:before="120"/>
        <w:rPr>
          <w:b/>
        </w:rPr>
      </w:pPr>
      <w:r>
        <w:rPr>
          <w:b/>
        </w:rPr>
        <w:t>I</w:t>
      </w:r>
      <w:r w:rsidRPr="00FF60D8">
        <w:rPr>
          <w:b/>
          <w:u w:val="single"/>
        </w:rPr>
        <w:t>dentification of the Information Collection</w:t>
      </w:r>
    </w:p>
    <w:p w14:paraId="28E3236D" w14:textId="77777777" w:rsidR="000D4C02" w:rsidRPr="006473D6" w:rsidRDefault="000D4C02" w:rsidP="000D4C02">
      <w:pPr>
        <w:pStyle w:val="ListParagraph"/>
        <w:spacing w:before="120"/>
      </w:pPr>
    </w:p>
    <w:p w14:paraId="2CD2D415" w14:textId="77777777" w:rsidR="000D4C02" w:rsidRDefault="000D4C02" w:rsidP="000D4C02">
      <w:pPr>
        <w:pStyle w:val="ListParagraph"/>
        <w:numPr>
          <w:ilvl w:val="1"/>
          <w:numId w:val="5"/>
        </w:numPr>
        <w:spacing w:before="120"/>
      </w:pPr>
      <w:r w:rsidRPr="00FF60D8">
        <w:rPr>
          <w:u w:val="single"/>
        </w:rPr>
        <w:t>Title:</w:t>
      </w:r>
      <w:r>
        <w:t xml:space="preserve"> </w:t>
      </w:r>
      <w:r w:rsidRPr="000D4C02">
        <w:t>Modifications to Fuel Regulations to Provide Flexibility for E15; Modifications to RFS RIN Market Regulations (Proposed Rule)</w:t>
      </w:r>
      <w:r>
        <w:t>, EPA ICR No. 2592.01; OMB Control Number: 2060-NEW</w:t>
      </w:r>
      <w:r w:rsidR="00FD35FA">
        <w:t>.</w:t>
      </w:r>
    </w:p>
    <w:p w14:paraId="2F1EE80C" w14:textId="77777777" w:rsidR="000D4C02" w:rsidRDefault="000D4C02" w:rsidP="000D4C02">
      <w:pPr>
        <w:pStyle w:val="ListParagraph"/>
        <w:spacing w:before="120"/>
      </w:pPr>
    </w:p>
    <w:p w14:paraId="4FB8D399" w14:textId="77777777" w:rsidR="000D4C02" w:rsidRPr="00F77BDB" w:rsidRDefault="000D4C02" w:rsidP="00AD7F2C">
      <w:pPr>
        <w:pStyle w:val="ListParagraph"/>
        <w:numPr>
          <w:ilvl w:val="1"/>
          <w:numId w:val="5"/>
        </w:numPr>
        <w:spacing w:before="120"/>
      </w:pPr>
      <w:r w:rsidRPr="00510E95">
        <w:rPr>
          <w:u w:val="single"/>
        </w:rPr>
        <w:t>Short characterization</w:t>
      </w:r>
      <w:r>
        <w:t xml:space="preserve">: </w:t>
      </w:r>
      <w:r w:rsidRPr="00AB61F1">
        <w:t>This</w:t>
      </w:r>
      <w:r>
        <w:t xml:space="preserve"> Information Collection Request</w:t>
      </w:r>
      <w:r w:rsidRPr="00AB61F1">
        <w:t xml:space="preserve"> </w:t>
      </w:r>
      <w:r>
        <w:t>(</w:t>
      </w:r>
      <w:r w:rsidRPr="00AB61F1">
        <w:t>ICR</w:t>
      </w:r>
      <w:r>
        <w:t>)</w:t>
      </w:r>
      <w:r w:rsidRPr="00AB61F1">
        <w:t xml:space="preserve"> </w:t>
      </w:r>
      <w:r w:rsidR="00AD7F2C">
        <w:t>includes</w:t>
      </w:r>
      <w:r>
        <w:t xml:space="preserve"> </w:t>
      </w:r>
      <w:r w:rsidRPr="00AB61F1">
        <w:t xml:space="preserve">all </w:t>
      </w:r>
      <w:r w:rsidR="00AD7F2C">
        <w:t xml:space="preserve">additional </w:t>
      </w:r>
      <w:r>
        <w:t>Renewable Fuel Standard (</w:t>
      </w:r>
      <w:r w:rsidRPr="00AB61F1">
        <w:t>RFS</w:t>
      </w:r>
      <w:r>
        <w:t>)</w:t>
      </w:r>
      <w:r w:rsidR="00AD7F2C">
        <w:t xml:space="preserve"> related</w:t>
      </w:r>
      <w:r w:rsidRPr="00AB61F1">
        <w:t xml:space="preserve"> </w:t>
      </w:r>
      <w:r>
        <w:t xml:space="preserve">information collection activities </w:t>
      </w:r>
      <w:r w:rsidR="00AD7F2C">
        <w:t xml:space="preserve">resulting from the </w:t>
      </w:r>
      <w:r w:rsidR="00AD7F2C" w:rsidRPr="000D4C02">
        <w:t>Modifications to Fuel Regulations to Provide Flexibility for E15; Modifications to RFS RIN Ma</w:t>
      </w:r>
      <w:r w:rsidR="00AD7F2C">
        <w:t xml:space="preserve">rket Regulations proposed rulemaking. </w:t>
      </w:r>
      <w:r>
        <w:t>These information collection activities include</w:t>
      </w:r>
      <w:r w:rsidR="00AD7F2C">
        <w:t xml:space="preserve"> new recordkeeping</w:t>
      </w:r>
      <w:r>
        <w:t xml:space="preserve"> and reporting </w:t>
      </w:r>
      <w:r w:rsidR="00AD7F2C">
        <w:t xml:space="preserve">requirements proposed </w:t>
      </w:r>
      <w:r>
        <w:t xml:space="preserve">under 40 CFR Part 80, subpart M. </w:t>
      </w:r>
      <w:r w:rsidRPr="00AD7F2C">
        <w:rPr>
          <w:szCs w:val="24"/>
        </w:rPr>
        <w:t xml:space="preserve">All other RFS-related information collection will </w:t>
      </w:r>
      <w:r w:rsidR="0002686C">
        <w:rPr>
          <w:szCs w:val="24"/>
        </w:rPr>
        <w:t>continue to be conducted</w:t>
      </w:r>
      <w:r w:rsidRPr="00AD7F2C">
        <w:rPr>
          <w:szCs w:val="24"/>
        </w:rPr>
        <w:t xml:space="preserve"> under EPA ICR No. 2546.01</w:t>
      </w:r>
      <w:r w:rsidR="0002686C">
        <w:rPr>
          <w:szCs w:val="24"/>
        </w:rPr>
        <w:t>, OMB Control Number 2060-NEW</w:t>
      </w:r>
      <w:r w:rsidRPr="00AD7F2C">
        <w:rPr>
          <w:szCs w:val="24"/>
        </w:rPr>
        <w:t>.</w:t>
      </w:r>
    </w:p>
    <w:p w14:paraId="0DE28241" w14:textId="77777777" w:rsidR="00F77BDB" w:rsidRDefault="00F77BDB" w:rsidP="00546B04">
      <w:pPr>
        <w:pStyle w:val="ListParagraph"/>
      </w:pPr>
    </w:p>
    <w:p w14:paraId="72FDCE5C" w14:textId="50992E28" w:rsidR="00F77BDB" w:rsidRDefault="00F77BDB" w:rsidP="00F77BDB">
      <w:pPr>
        <w:pStyle w:val="ListParagraph"/>
        <w:spacing w:before="120"/>
      </w:pPr>
      <w:r>
        <w:t xml:space="preserve">The </w:t>
      </w:r>
      <w:r w:rsidR="00E94884">
        <w:t>NPRM</w:t>
      </w:r>
      <w:r>
        <w:t xml:space="preserve"> </w:t>
      </w:r>
      <w:r w:rsidR="00307FF6">
        <w:t>proposes reforms to the RFS RIN market in an effort to improve market functioning and transparency. The proposed reforms include:</w:t>
      </w:r>
    </w:p>
    <w:p w14:paraId="36E9C935" w14:textId="77777777" w:rsidR="00307FF6" w:rsidRDefault="00307FF6" w:rsidP="00307FF6">
      <w:pPr>
        <w:pStyle w:val="ListParagraph"/>
        <w:numPr>
          <w:ilvl w:val="0"/>
          <w:numId w:val="20"/>
        </w:numPr>
        <w:tabs>
          <w:tab w:val="left" w:pos="1440"/>
        </w:tabs>
        <w:rPr>
          <w:szCs w:val="24"/>
        </w:rPr>
      </w:pPr>
      <w:r w:rsidRPr="00054592">
        <w:rPr>
          <w:szCs w:val="24"/>
        </w:rPr>
        <w:t>Requiring public disclosure when RIN holdings exceed a certain threshold</w:t>
      </w:r>
      <w:r>
        <w:rPr>
          <w:szCs w:val="24"/>
        </w:rPr>
        <w:t>.</w:t>
      </w:r>
    </w:p>
    <w:p w14:paraId="41D8D557" w14:textId="77777777" w:rsidR="00307FF6" w:rsidRDefault="00307FF6" w:rsidP="00307FF6">
      <w:pPr>
        <w:pStyle w:val="ListParagraph"/>
        <w:numPr>
          <w:ilvl w:val="0"/>
          <w:numId w:val="20"/>
        </w:numPr>
        <w:tabs>
          <w:tab w:val="left" w:pos="1440"/>
        </w:tabs>
        <w:rPr>
          <w:szCs w:val="24"/>
        </w:rPr>
      </w:pPr>
      <w:r w:rsidRPr="00054592">
        <w:rPr>
          <w:szCs w:val="24"/>
        </w:rPr>
        <w:t>Increasing the RFS compliance frequency to quarterly</w:t>
      </w:r>
      <w:r>
        <w:rPr>
          <w:szCs w:val="24"/>
        </w:rPr>
        <w:t>.</w:t>
      </w:r>
    </w:p>
    <w:p w14:paraId="367D3157" w14:textId="77777777" w:rsidR="00307FF6" w:rsidRDefault="00307FF6" w:rsidP="00307FF6">
      <w:pPr>
        <w:pStyle w:val="ListParagraph"/>
        <w:numPr>
          <w:ilvl w:val="0"/>
          <w:numId w:val="20"/>
        </w:numPr>
        <w:tabs>
          <w:tab w:val="left" w:pos="1440"/>
        </w:tabs>
        <w:rPr>
          <w:szCs w:val="24"/>
        </w:rPr>
      </w:pPr>
      <w:r w:rsidRPr="00054592">
        <w:rPr>
          <w:szCs w:val="24"/>
        </w:rPr>
        <w:t>Limiting which parties can purchase RINs</w:t>
      </w:r>
      <w:r>
        <w:rPr>
          <w:szCs w:val="24"/>
        </w:rPr>
        <w:t>.</w:t>
      </w:r>
    </w:p>
    <w:p w14:paraId="7BDA9C10" w14:textId="77777777" w:rsidR="00307FF6" w:rsidRDefault="00307FF6" w:rsidP="00307FF6">
      <w:pPr>
        <w:pStyle w:val="ListParagraph"/>
        <w:numPr>
          <w:ilvl w:val="0"/>
          <w:numId w:val="20"/>
        </w:numPr>
        <w:tabs>
          <w:tab w:val="left" w:pos="1440"/>
        </w:tabs>
        <w:rPr>
          <w:szCs w:val="24"/>
        </w:rPr>
      </w:pPr>
      <w:r w:rsidRPr="00054592">
        <w:rPr>
          <w:szCs w:val="24"/>
        </w:rPr>
        <w:t>Limiting the duration of RIN holdings by non-obligated parties</w:t>
      </w:r>
      <w:r>
        <w:rPr>
          <w:szCs w:val="24"/>
        </w:rPr>
        <w:t>.</w:t>
      </w:r>
    </w:p>
    <w:p w14:paraId="0CA1FA44" w14:textId="3D0ABE46" w:rsidR="00307FF6" w:rsidRDefault="00307FF6" w:rsidP="00307FF6">
      <w:pPr>
        <w:pStyle w:val="ListParagraph"/>
        <w:numPr>
          <w:ilvl w:val="0"/>
          <w:numId w:val="20"/>
        </w:numPr>
        <w:tabs>
          <w:tab w:val="left" w:pos="1440"/>
        </w:tabs>
        <w:rPr>
          <w:szCs w:val="24"/>
        </w:rPr>
      </w:pPr>
      <w:r w:rsidRPr="00054592">
        <w:rPr>
          <w:szCs w:val="24"/>
        </w:rPr>
        <w:t>Taking additional steps to improve EPA’s market monitoring capabilities</w:t>
      </w:r>
      <w:r>
        <w:rPr>
          <w:szCs w:val="24"/>
        </w:rPr>
        <w:t>.</w:t>
      </w:r>
    </w:p>
    <w:p w14:paraId="6032466A" w14:textId="06FFE9E9" w:rsidR="00307FF6" w:rsidRPr="00546B04" w:rsidRDefault="00307FF6" w:rsidP="001175D0">
      <w:pPr>
        <w:tabs>
          <w:tab w:val="left" w:pos="720"/>
        </w:tabs>
        <w:ind w:left="720"/>
        <w:rPr>
          <w:szCs w:val="24"/>
        </w:rPr>
      </w:pPr>
      <w:r>
        <w:rPr>
          <w:szCs w:val="24"/>
        </w:rPr>
        <w:t xml:space="preserve">Taken together, these proposed reforms seek to discourage manipulative behavior in the RIN market including instances of RIN hoarding and false price reporting while offering EPA better </w:t>
      </w:r>
      <w:r w:rsidR="00546B04">
        <w:rPr>
          <w:szCs w:val="24"/>
        </w:rPr>
        <w:t>insight into how the RIN market operates</w:t>
      </w:r>
      <w:r>
        <w:rPr>
          <w:szCs w:val="24"/>
        </w:rPr>
        <w:t>.</w:t>
      </w:r>
    </w:p>
    <w:p w14:paraId="009A7A1D" w14:textId="77777777" w:rsidR="000D4C02" w:rsidRPr="00AD7F2C" w:rsidRDefault="000D4C02" w:rsidP="00AD7F2C">
      <w:pPr>
        <w:spacing w:before="120"/>
        <w:rPr>
          <w:szCs w:val="24"/>
        </w:rPr>
      </w:pPr>
    </w:p>
    <w:p w14:paraId="414B62BB" w14:textId="77777777" w:rsidR="000D4C02" w:rsidRDefault="000D4C02" w:rsidP="000D4C02">
      <w:pPr>
        <w:pStyle w:val="ListParagraph"/>
        <w:numPr>
          <w:ilvl w:val="0"/>
          <w:numId w:val="5"/>
        </w:numPr>
        <w:spacing w:before="120"/>
        <w:rPr>
          <w:b/>
        </w:rPr>
      </w:pPr>
      <w:r w:rsidRPr="009C7562">
        <w:rPr>
          <w:b/>
        </w:rPr>
        <w:t>N</w:t>
      </w:r>
      <w:r w:rsidR="00AD7F2C">
        <w:rPr>
          <w:b/>
        </w:rPr>
        <w:t>eed for and Use of</w:t>
      </w:r>
      <w:r w:rsidRPr="009C7562">
        <w:rPr>
          <w:b/>
        </w:rPr>
        <w:t xml:space="preserve"> the Collection</w:t>
      </w:r>
    </w:p>
    <w:p w14:paraId="0417829F" w14:textId="77777777" w:rsidR="000D4C02" w:rsidRPr="009C7562" w:rsidRDefault="000D4C02" w:rsidP="000D4C02">
      <w:pPr>
        <w:pStyle w:val="ListParagraph"/>
        <w:spacing w:before="120"/>
        <w:ind w:left="360"/>
        <w:rPr>
          <w:b/>
        </w:rPr>
      </w:pPr>
    </w:p>
    <w:p w14:paraId="14FAAECF" w14:textId="77777777" w:rsidR="000D4C02" w:rsidRDefault="000D4C02" w:rsidP="000D4C02">
      <w:pPr>
        <w:pStyle w:val="ListParagraph"/>
        <w:numPr>
          <w:ilvl w:val="1"/>
          <w:numId w:val="5"/>
        </w:numPr>
        <w:spacing w:before="120"/>
      </w:pPr>
      <w:r w:rsidRPr="009C7562">
        <w:rPr>
          <w:u w:val="single"/>
        </w:rPr>
        <w:t xml:space="preserve">Authority for the Collection: </w:t>
      </w:r>
      <w:r w:rsidRPr="009C7562">
        <w:fldChar w:fldCharType="begin"/>
      </w:r>
      <w:r w:rsidRPr="009C7562">
        <w:instrText xml:space="preserve"> SEQ CHAPTER \h \r 1</w:instrText>
      </w:r>
      <w:r w:rsidRPr="009C7562">
        <w:fldChar w:fldCharType="end"/>
      </w:r>
      <w:r w:rsidRPr="009C7562">
        <w:t xml:space="preserve">Sections 114 and 208 of the Clean Air Act (CAA), 42 U.S.C. §§ 7414 and 7542, authorize EPA to require recordkeeping and reporting regarding enforcement of the provisions of Title II of the CAA. </w:t>
      </w:r>
    </w:p>
    <w:p w14:paraId="7010F2A5" w14:textId="77777777" w:rsidR="000D4C02" w:rsidRPr="009C7562" w:rsidRDefault="000D4C02" w:rsidP="000D4C02">
      <w:pPr>
        <w:pStyle w:val="ListParagraph"/>
        <w:spacing w:before="120"/>
      </w:pPr>
    </w:p>
    <w:p w14:paraId="55398DAA" w14:textId="7337BF6B" w:rsidR="000D4C02" w:rsidRDefault="000D4C02" w:rsidP="000D4C02">
      <w:pPr>
        <w:pStyle w:val="ListParagraph"/>
        <w:numPr>
          <w:ilvl w:val="1"/>
          <w:numId w:val="5"/>
        </w:numPr>
        <w:spacing w:before="120"/>
      </w:pPr>
      <w:r w:rsidRPr="008138C9">
        <w:rPr>
          <w:u w:val="single"/>
        </w:rPr>
        <w:t xml:space="preserve">Practical Utility/Uses of the Data: </w:t>
      </w:r>
      <w:r w:rsidRPr="008138C9">
        <w:t xml:space="preserve">The </w:t>
      </w:r>
      <w:r>
        <w:t>r</w:t>
      </w:r>
      <w:r w:rsidRPr="008138C9">
        <w:t xml:space="preserve">ecordkeeping </w:t>
      </w:r>
      <w:r w:rsidR="00AD7F2C">
        <w:t xml:space="preserve">and reporting </w:t>
      </w:r>
      <w:r w:rsidRPr="008138C9">
        <w:t xml:space="preserve">requirements of this </w:t>
      </w:r>
      <w:r w:rsidR="0023654A">
        <w:t>proposed rulemaking</w:t>
      </w:r>
      <w:r w:rsidRPr="008138C9">
        <w:t xml:space="preserve"> will allow EPA to monitor compliance with </w:t>
      </w:r>
      <w:r w:rsidR="0023654A">
        <w:t xml:space="preserve">the proposed modifications to </w:t>
      </w:r>
      <w:r w:rsidRPr="008138C9">
        <w:t>the RFS program</w:t>
      </w:r>
      <w:r w:rsidR="00E94884">
        <w:t xml:space="preserve"> and </w:t>
      </w:r>
      <w:r w:rsidR="00F92C7F">
        <w:t>provide</w:t>
      </w:r>
      <w:r w:rsidR="00E94884">
        <w:t xml:space="preserve"> EPA the opportunity to provide the market with greater transparency</w:t>
      </w:r>
      <w:r w:rsidRPr="008138C9">
        <w:t>.</w:t>
      </w:r>
    </w:p>
    <w:p w14:paraId="1BFC97FD" w14:textId="77777777" w:rsidR="000D4C02" w:rsidRDefault="000D4C02" w:rsidP="000D4C02">
      <w:pPr>
        <w:pStyle w:val="ListParagraph"/>
        <w:spacing w:before="120"/>
      </w:pPr>
    </w:p>
    <w:p w14:paraId="445F8799" w14:textId="77777777" w:rsidR="000D4C02" w:rsidRPr="008138C9" w:rsidRDefault="000D4C02" w:rsidP="000D4C02">
      <w:pPr>
        <w:pStyle w:val="ListParagraph"/>
        <w:numPr>
          <w:ilvl w:val="0"/>
          <w:numId w:val="5"/>
        </w:numPr>
        <w:spacing w:before="120"/>
      </w:pPr>
      <w:r w:rsidRPr="008138C9">
        <w:rPr>
          <w:b/>
        </w:rPr>
        <w:t>Non-duplication, Consultation, and other Collection Criteria</w:t>
      </w:r>
    </w:p>
    <w:p w14:paraId="1FE1C563" w14:textId="77777777" w:rsidR="000D4C02" w:rsidRPr="008138C9" w:rsidRDefault="000D4C02" w:rsidP="000D4C02">
      <w:pPr>
        <w:pStyle w:val="ListParagraph"/>
        <w:spacing w:before="120"/>
        <w:ind w:left="360"/>
      </w:pPr>
    </w:p>
    <w:p w14:paraId="335E2169" w14:textId="77777777" w:rsidR="000D4C02" w:rsidRDefault="000D4C02" w:rsidP="000D4C02">
      <w:pPr>
        <w:pStyle w:val="ListParagraph"/>
        <w:numPr>
          <w:ilvl w:val="1"/>
          <w:numId w:val="8"/>
        </w:numPr>
        <w:spacing w:before="120"/>
      </w:pPr>
      <w:r w:rsidRPr="008138C9">
        <w:rPr>
          <w:u w:val="single"/>
        </w:rPr>
        <w:t xml:space="preserve">Non-duplication: </w:t>
      </w:r>
      <w:r w:rsidRPr="008138C9">
        <w:fldChar w:fldCharType="begin"/>
      </w:r>
      <w:r w:rsidRPr="008138C9">
        <w:instrText xml:space="preserve"> SEQ CHAPTER \h \r 1</w:instrText>
      </w:r>
      <w:r w:rsidRPr="008138C9">
        <w:fldChar w:fldCharType="end"/>
      </w:r>
      <w:r w:rsidRPr="008138C9">
        <w:t>Efforts have been made to el</w:t>
      </w:r>
      <w:r>
        <w:t>iminate unnecessary duplication</w:t>
      </w:r>
      <w:r w:rsidRPr="008138C9">
        <w:t>.</w:t>
      </w:r>
      <w:r>
        <w:t xml:space="preserve"> Although other agencies are involved in aspects of RFS (DOE and USDA), all compliance reports related to this program are submitted to EPA. Although EPA implements other fuels </w:t>
      </w:r>
      <w:r>
        <w:lastRenderedPageBreak/>
        <w:t xml:space="preserve">programs that include recordkeeping and reporting requirements, EPA does not require the same information to be submitted more than one time, and parties who are registered under other fuels programs do not have to initiate any new registration to participate in RFS. </w:t>
      </w:r>
      <w:r w:rsidRPr="008138C9">
        <w:t xml:space="preserve"> </w:t>
      </w:r>
    </w:p>
    <w:p w14:paraId="3D3486B2" w14:textId="77777777" w:rsidR="000D4C02" w:rsidRPr="008138C9" w:rsidRDefault="000D4C02" w:rsidP="000D4C02">
      <w:pPr>
        <w:pStyle w:val="ListParagraph"/>
        <w:spacing w:before="120"/>
      </w:pPr>
    </w:p>
    <w:p w14:paraId="2320346E" w14:textId="16F31F9E" w:rsidR="000D4C02" w:rsidRPr="006F5EE7" w:rsidRDefault="000D4C02" w:rsidP="000D4C02">
      <w:pPr>
        <w:pStyle w:val="ListParagraph"/>
        <w:numPr>
          <w:ilvl w:val="1"/>
          <w:numId w:val="8"/>
        </w:numPr>
        <w:spacing w:before="120"/>
      </w:pPr>
      <w:r w:rsidRPr="006F5EE7">
        <w:rPr>
          <w:u w:val="single"/>
        </w:rPr>
        <w:t>Public Notice:</w:t>
      </w:r>
      <w:r w:rsidRPr="006F5EE7">
        <w:t xml:space="preserve"> </w:t>
      </w:r>
      <w:r w:rsidR="006F5EE7" w:rsidRPr="001175D0">
        <w:t xml:space="preserve">In compliance with the Paperwork Reduction Act of 1995, EPA will open a public comment period for the ICR at the time that this </w:t>
      </w:r>
      <w:r w:rsidR="00730017">
        <w:t>p</w:t>
      </w:r>
      <w:r w:rsidR="006F5EE7" w:rsidRPr="001175D0">
        <w:t xml:space="preserve">roposed </w:t>
      </w:r>
      <w:r w:rsidR="00730017">
        <w:t>r</w:t>
      </w:r>
      <w:r w:rsidR="006F5EE7" w:rsidRPr="001175D0">
        <w:t>ule is published in the Federal Register. At the end of the comment period, EPA will review public comments received in response to the notice and will address comments received, as appropriate. A discussion of the comments received, and the associated response will be included in the ICR for the final rule.</w:t>
      </w:r>
    </w:p>
    <w:p w14:paraId="25882AAB" w14:textId="77777777" w:rsidR="000D4C02" w:rsidRPr="006F5EE7" w:rsidRDefault="000D4C02" w:rsidP="000D4C02">
      <w:pPr>
        <w:pStyle w:val="ListParagraph"/>
        <w:spacing w:before="120"/>
      </w:pPr>
    </w:p>
    <w:p w14:paraId="73D99944" w14:textId="44B12113" w:rsidR="00124270" w:rsidRPr="00193C66" w:rsidRDefault="000D4C02" w:rsidP="00546C60">
      <w:pPr>
        <w:pStyle w:val="ListParagraph"/>
        <w:numPr>
          <w:ilvl w:val="1"/>
          <w:numId w:val="8"/>
        </w:numPr>
        <w:spacing w:before="120"/>
      </w:pPr>
      <w:r w:rsidRPr="008138C9">
        <w:rPr>
          <w:u w:val="single"/>
        </w:rPr>
        <w:t xml:space="preserve">Consultations: </w:t>
      </w:r>
      <w:r w:rsidR="00193C66" w:rsidRPr="001175D0">
        <w:t xml:space="preserve">During the development of the proposed rule, EPA has engaged with </w:t>
      </w:r>
      <w:r w:rsidR="00193C66">
        <w:t xml:space="preserve">affected </w:t>
      </w:r>
      <w:r w:rsidR="00193C66" w:rsidRPr="001175D0">
        <w:t>stakeholders to better understand how the proposed information collection will affect them</w:t>
      </w:r>
      <w:r w:rsidR="00ED0BE0">
        <w:t xml:space="preserve"> and their business activities</w:t>
      </w:r>
      <w:r w:rsidR="00193C66" w:rsidRPr="001175D0">
        <w:t xml:space="preserve">. </w:t>
      </w:r>
      <w:r w:rsidR="00193C66">
        <w:t xml:space="preserve">We intend to stay engaged with the regulated community throughout the development of the final rule, including </w:t>
      </w:r>
      <w:r w:rsidR="00ED0BE0">
        <w:t xml:space="preserve">through in-person consultation. Additionally, EPA sought comment in the </w:t>
      </w:r>
      <w:r w:rsidR="004270D6">
        <w:t xml:space="preserve">proposed </w:t>
      </w:r>
      <w:r w:rsidR="00ED0BE0">
        <w:t>2019 RFS RVO rule (83 FR 32024) on ways to prevent RIN market manipulation which also helped inform th</w:t>
      </w:r>
      <w:r w:rsidR="004270D6">
        <w:t>e</w:t>
      </w:r>
      <w:r w:rsidR="00ED0BE0">
        <w:t xml:space="preserve"> proposed </w:t>
      </w:r>
      <w:r w:rsidR="004270D6">
        <w:t xml:space="preserve">rule and subsequent </w:t>
      </w:r>
      <w:r w:rsidR="00ED0BE0">
        <w:t>information collection</w:t>
      </w:r>
      <w:r w:rsidR="004270D6">
        <w:t xml:space="preserve"> request</w:t>
      </w:r>
      <w:r w:rsidR="00ED0BE0">
        <w:t>.</w:t>
      </w:r>
    </w:p>
    <w:p w14:paraId="7DD9B9EA" w14:textId="77777777" w:rsidR="00124270" w:rsidRPr="00124270" w:rsidRDefault="00124270" w:rsidP="00124270">
      <w:pPr>
        <w:pStyle w:val="ListParagraph"/>
        <w:spacing w:before="120"/>
      </w:pPr>
    </w:p>
    <w:p w14:paraId="24BE3BB9" w14:textId="77777777" w:rsidR="000D4C02" w:rsidRDefault="000D4C02" w:rsidP="000D4C02">
      <w:pPr>
        <w:pStyle w:val="ListParagraph"/>
        <w:numPr>
          <w:ilvl w:val="1"/>
          <w:numId w:val="8"/>
        </w:numPr>
        <w:spacing w:before="120"/>
      </w:pPr>
      <w:r w:rsidRPr="008138C9">
        <w:rPr>
          <w:u w:val="single"/>
        </w:rPr>
        <w:t>Effects of Less Frequent Data Collection</w:t>
      </w:r>
      <w:r>
        <w:rPr>
          <w:u w:val="single"/>
        </w:rPr>
        <w:t xml:space="preserve">: </w:t>
      </w:r>
      <w:r>
        <w:t>EPA has designed the reporting schedule to coincide with existing reporting deadlines applicable to many of the same parties under other fuels programs. The reporting deadlines have been synchronized with other deadlines applicable under 40 CFR Part 80 for reformulated and conventional</w:t>
      </w:r>
      <w:r w:rsidR="00124270">
        <w:t xml:space="preserve"> gasoline, gasoline sulfur, </w:t>
      </w:r>
      <w:r>
        <w:t>benzene</w:t>
      </w:r>
      <w:r w:rsidR="00124270">
        <w:t>, and other collections under the RFS</w:t>
      </w:r>
      <w:r>
        <w:t>. A less frequent collection would compromise our ability to meet the requirements of the CAA, EPAct, and EISA.</w:t>
      </w:r>
    </w:p>
    <w:p w14:paraId="3105E979" w14:textId="77777777" w:rsidR="000D4C02" w:rsidRDefault="000D4C02" w:rsidP="000D4C02">
      <w:pPr>
        <w:pStyle w:val="ListParagraph"/>
        <w:spacing w:before="120"/>
      </w:pPr>
    </w:p>
    <w:p w14:paraId="4ADA8273" w14:textId="77777777" w:rsidR="000D4C02" w:rsidRDefault="000D4C02" w:rsidP="000D4C02">
      <w:pPr>
        <w:pStyle w:val="ListParagraph"/>
        <w:numPr>
          <w:ilvl w:val="1"/>
          <w:numId w:val="8"/>
        </w:numPr>
        <w:spacing w:before="120"/>
      </w:pPr>
      <w:r w:rsidRPr="00E61EFE">
        <w:rPr>
          <w:u w:val="single"/>
        </w:rPr>
        <w:t>General Guidelines:</w:t>
      </w:r>
      <w:r w:rsidRPr="00E61EFE">
        <w:t xml:space="preserve"> This rule </w:t>
      </w:r>
      <w:r w:rsidR="001F34C2">
        <w:t>requires</w:t>
      </w:r>
      <w:r w:rsidRPr="00E61EFE">
        <w:t xml:space="preserve"> that records be kept for five (5) years </w:t>
      </w:r>
      <w:r>
        <w:t xml:space="preserve">is longer </w:t>
      </w:r>
      <w:r w:rsidRPr="00E61EFE">
        <w:t>than the typical OMB guideline for record retention, which is three (3) years. EPA believe</w:t>
      </w:r>
      <w:r>
        <w:t xml:space="preserve">s </w:t>
      </w:r>
      <w:r w:rsidRPr="00E61EFE">
        <w:t>the five (5) year retention period is necessary for this program, to ensure proper compliance oversight. EPA has a five (5) year record retention for other fuels regulations in 40 CFR Part 80 and this record retention period is familiar to the reg</w:t>
      </w:r>
      <w:r>
        <w:t xml:space="preserve">ulated community. </w:t>
      </w:r>
    </w:p>
    <w:p w14:paraId="3BCB5829" w14:textId="77777777" w:rsidR="000D4C02" w:rsidRDefault="000D4C02" w:rsidP="000D4C02">
      <w:pPr>
        <w:pStyle w:val="ListParagraph"/>
      </w:pPr>
    </w:p>
    <w:p w14:paraId="0301E355" w14:textId="77777777" w:rsidR="000D4C02" w:rsidRDefault="000D4C02" w:rsidP="000D4C02">
      <w:pPr>
        <w:pStyle w:val="ListParagraph"/>
        <w:numPr>
          <w:ilvl w:val="1"/>
          <w:numId w:val="8"/>
        </w:numPr>
        <w:spacing w:before="120"/>
      </w:pPr>
      <w:r w:rsidRPr="006B1C4B">
        <w:rPr>
          <w:u w:val="single"/>
        </w:rPr>
        <w:t xml:space="preserve">Confidentiality: </w:t>
      </w:r>
      <w:r>
        <w:t>EPA inform respondents that they may assert claims of business confidentiality (CBI) for much of the information they submit. Any information claimed as CBI will be treated in accordance with 40 CFR Part 2 and established Agency procedures. Information that is received without a claim of confidentiality may be made available to the public without further notice to the submitter under 40 CFR § 2.203.</w:t>
      </w:r>
    </w:p>
    <w:p w14:paraId="7A7ADD76" w14:textId="77777777" w:rsidR="000D4C02" w:rsidRDefault="000D4C02" w:rsidP="000D4C02">
      <w:pPr>
        <w:pStyle w:val="ListParagraph"/>
      </w:pPr>
    </w:p>
    <w:p w14:paraId="568EF0CE" w14:textId="77777777" w:rsidR="000D4C02" w:rsidRDefault="000D4C02" w:rsidP="000D4C02">
      <w:pPr>
        <w:pStyle w:val="ListParagraph"/>
        <w:numPr>
          <w:ilvl w:val="1"/>
          <w:numId w:val="8"/>
        </w:numPr>
        <w:spacing w:before="120"/>
      </w:pPr>
      <w:r w:rsidRPr="006B1C4B">
        <w:rPr>
          <w:u w:val="single"/>
        </w:rPr>
        <w:t>Sensitive Information:</w:t>
      </w:r>
      <w:r>
        <w:t xml:space="preserve"> This information collection does not require submission of any sensitive or personally identifiable information (PII).</w:t>
      </w:r>
    </w:p>
    <w:p w14:paraId="44B8DFD5" w14:textId="77777777" w:rsidR="000D4C02" w:rsidRDefault="000D4C02" w:rsidP="000D4C02">
      <w:pPr>
        <w:pStyle w:val="ListParagraph"/>
      </w:pPr>
    </w:p>
    <w:p w14:paraId="036FD5C9" w14:textId="77777777" w:rsidR="000D4C02" w:rsidRDefault="000D4C02" w:rsidP="000D4C02">
      <w:pPr>
        <w:pStyle w:val="ListParagraph"/>
        <w:numPr>
          <w:ilvl w:val="0"/>
          <w:numId w:val="9"/>
        </w:numPr>
        <w:spacing w:before="120"/>
        <w:rPr>
          <w:b/>
          <w:u w:val="single"/>
        </w:rPr>
      </w:pPr>
      <w:r w:rsidRPr="006B1C4B">
        <w:rPr>
          <w:b/>
          <w:u w:val="single"/>
        </w:rPr>
        <w:t>The Respondents and the Information Requested</w:t>
      </w:r>
    </w:p>
    <w:p w14:paraId="7469269B" w14:textId="77777777" w:rsidR="000D4C02" w:rsidRPr="006B1C4B" w:rsidRDefault="000D4C02" w:rsidP="000D4C02">
      <w:pPr>
        <w:pStyle w:val="ListParagraph"/>
        <w:spacing w:before="120"/>
        <w:rPr>
          <w:b/>
          <w:u w:val="single"/>
        </w:rPr>
      </w:pPr>
    </w:p>
    <w:p w14:paraId="00FAF70F" w14:textId="77777777" w:rsidR="000D4C02" w:rsidRDefault="000D4C02" w:rsidP="000D4C02">
      <w:pPr>
        <w:pStyle w:val="ListParagraph"/>
        <w:numPr>
          <w:ilvl w:val="1"/>
          <w:numId w:val="9"/>
        </w:numPr>
        <w:spacing w:before="120"/>
      </w:pPr>
      <w:r w:rsidRPr="006B1C4B">
        <w:rPr>
          <w:u w:val="single"/>
        </w:rPr>
        <w:t>Respondents/with NAICS and SIC Codes</w:t>
      </w:r>
      <w:r>
        <w:rPr>
          <w:u w:val="single"/>
        </w:rPr>
        <w:t xml:space="preserve">: </w:t>
      </w:r>
      <w:r w:rsidRPr="006B1C4B">
        <w:rPr>
          <w:lang w:val="en-CA"/>
        </w:rPr>
        <w:fldChar w:fldCharType="begin"/>
      </w:r>
      <w:r w:rsidRPr="006B1C4B">
        <w:rPr>
          <w:lang w:val="en-CA"/>
        </w:rPr>
        <w:instrText xml:space="preserve"> SEQ CHAPTER \h \r 1</w:instrText>
      </w:r>
      <w:r w:rsidRPr="006B1C4B">
        <w:rPr>
          <w:lang w:val="en-CA"/>
        </w:rPr>
        <w:fldChar w:fldCharType="end"/>
      </w:r>
      <w:r>
        <w:t xml:space="preserve">The respondents to this information collection fall into the following general industry categories:  petroleum refineries (324110/2911), </w:t>
      </w:r>
      <w:r>
        <w:lastRenderedPageBreak/>
        <w:t xml:space="preserve">ethyl alcohol manufacturers (325193/2869), other basic organic chemical manufacturing (325110/2869), chemical and allied products merchant wholesalers (426990/5169), petroleum bulk stations and terminals (422710/5171), petroleum and petroleum products merchant wholesalers (422720/5172), </w:t>
      </w:r>
      <w:r w:rsidR="00A02753">
        <w:t>gasoline service stations</w:t>
      </w:r>
      <w:r>
        <w:t xml:space="preserve"> (454319/5989)</w:t>
      </w:r>
      <w:r w:rsidR="00A02753">
        <w:t>, and marine service stations (447190/5541)</w:t>
      </w:r>
      <w:r>
        <w:t xml:space="preserve">. </w:t>
      </w:r>
    </w:p>
    <w:p w14:paraId="36E4998C" w14:textId="77777777" w:rsidR="000D4C02" w:rsidRDefault="000D4C02" w:rsidP="000D4C02">
      <w:pPr>
        <w:pStyle w:val="ListParagraph"/>
        <w:spacing w:before="120"/>
      </w:pPr>
    </w:p>
    <w:p w14:paraId="7AE351F2" w14:textId="6125BD8E" w:rsidR="000D4C02" w:rsidRDefault="000D4C02" w:rsidP="000D4C02">
      <w:pPr>
        <w:pStyle w:val="ListParagraph"/>
        <w:numPr>
          <w:ilvl w:val="1"/>
          <w:numId w:val="9"/>
        </w:numPr>
        <w:spacing w:before="120"/>
      </w:pPr>
      <w:r w:rsidRPr="003D507F">
        <w:rPr>
          <w:u w:val="single"/>
        </w:rPr>
        <w:t>Information Requested:</w:t>
      </w:r>
      <w:r>
        <w:t xml:space="preserve"> </w:t>
      </w:r>
      <w:r w:rsidR="00A14A28">
        <w:t xml:space="preserve">EPA believes </w:t>
      </w:r>
      <w:r w:rsidR="0090613A">
        <w:t>the</w:t>
      </w:r>
      <w:r>
        <w:t xml:space="preserve"> information requested </w:t>
      </w:r>
      <w:r w:rsidR="0090613A">
        <w:t xml:space="preserve">will affect </w:t>
      </w:r>
      <w:r w:rsidR="00857307">
        <w:t>two</w:t>
      </w:r>
      <w:r w:rsidR="0090613A">
        <w:t xml:space="preserve"> general categories of </w:t>
      </w:r>
      <w:r w:rsidR="00B209BE">
        <w:t>respondents</w:t>
      </w:r>
      <w:r w:rsidR="0090613A">
        <w:t xml:space="preserve"> that participate in the RIN market. </w:t>
      </w:r>
    </w:p>
    <w:p w14:paraId="73747AAE" w14:textId="77777777" w:rsidR="0090613A" w:rsidRDefault="0090613A" w:rsidP="001175D0">
      <w:pPr>
        <w:pStyle w:val="ListParagraph"/>
      </w:pPr>
    </w:p>
    <w:p w14:paraId="013CDF6D" w14:textId="31A13A96" w:rsidR="0090613A" w:rsidRDefault="006E7130" w:rsidP="0090613A">
      <w:pPr>
        <w:pStyle w:val="ListParagraph"/>
        <w:numPr>
          <w:ilvl w:val="3"/>
          <w:numId w:val="9"/>
        </w:numPr>
        <w:spacing w:before="120"/>
      </w:pPr>
      <w:r>
        <w:rPr>
          <w:u w:val="single"/>
        </w:rPr>
        <w:t>Non-obligated parties</w:t>
      </w:r>
      <w:r w:rsidR="0090613A" w:rsidRPr="001175D0">
        <w:rPr>
          <w:u w:val="single"/>
        </w:rPr>
        <w:t>:</w:t>
      </w:r>
      <w:r w:rsidR="0090613A">
        <w:t xml:space="preserve"> </w:t>
      </w:r>
      <w:r w:rsidR="00B209BE">
        <w:t xml:space="preserve">The rule proposes to increase the frequency </w:t>
      </w:r>
      <w:r w:rsidR="00A71A1D">
        <w:t>to quarterly</w:t>
      </w:r>
      <w:r w:rsidR="00B209BE">
        <w:t xml:space="preserve"> the RFS010# </w:t>
      </w:r>
      <w:r w:rsidR="004D6E43">
        <w:t xml:space="preserve">activity </w:t>
      </w:r>
      <w:r w:rsidR="00A71A1D">
        <w:t xml:space="preserve">report </w:t>
      </w:r>
      <w:r w:rsidR="00B209BE">
        <w:t xml:space="preserve">that </w:t>
      </w:r>
      <w:r w:rsidR="00C96E1A">
        <w:t>RIN generators</w:t>
      </w:r>
      <w:r w:rsidR="009F26AF">
        <w:t xml:space="preserve"> (producers and importers of renewable fuels)</w:t>
      </w:r>
      <w:r>
        <w:t xml:space="preserve">, RIN owners, and exporters </w:t>
      </w:r>
      <w:r w:rsidR="00A71A1D">
        <w:t xml:space="preserve">currently submit to EPA on an annual basis. In addition to changing the frequency, </w:t>
      </w:r>
      <w:r w:rsidR="00857307">
        <w:t>parties would be required to report their</w:t>
      </w:r>
      <w:r w:rsidR="00A71A1D">
        <w:t xml:space="preserve"> RINs owned at the end of each quarter, compliance with the </w:t>
      </w:r>
      <w:r w:rsidR="008E2190">
        <w:t>primary</w:t>
      </w:r>
      <w:r w:rsidR="00A71A1D">
        <w:t xml:space="preserve"> RIN holdings threshold</w:t>
      </w:r>
      <w:r w:rsidR="00B76344">
        <w:t xml:space="preserve"> (requiring daily calculation of RIN holdings)</w:t>
      </w:r>
      <w:r w:rsidR="00A71A1D">
        <w:t xml:space="preserve">, and the reason </w:t>
      </w:r>
      <w:r w:rsidR="008E2190">
        <w:t>the</w:t>
      </w:r>
      <w:r w:rsidR="00A71A1D">
        <w:t xml:space="preserve"> </w:t>
      </w:r>
      <w:r>
        <w:t>non-obligated party</w:t>
      </w:r>
      <w:r w:rsidR="00A71A1D">
        <w:t xml:space="preserve"> purchased separated RINs, if applicable. Additionally, for transactions of separated RINs, we are proposing to require </w:t>
      </w:r>
      <w:r w:rsidR="007B5B80">
        <w:t xml:space="preserve">that </w:t>
      </w:r>
      <w:r>
        <w:t>parties</w:t>
      </w:r>
      <w:r w:rsidR="00A71A1D">
        <w:t xml:space="preserve"> report in EMTS the mechanism for the transaction (e.g., spot market vs. futures contract)</w:t>
      </w:r>
      <w:r w:rsidR="00857307">
        <w:t xml:space="preserve"> and a non-zero price</w:t>
      </w:r>
      <w:r w:rsidR="00A71A1D">
        <w:t>.</w:t>
      </w:r>
      <w:r w:rsidR="003D7C70">
        <w:t xml:space="preserve"> There is </w:t>
      </w:r>
      <w:r w:rsidR="007B5B80">
        <w:t xml:space="preserve">also </w:t>
      </w:r>
      <w:r w:rsidR="003D7C70">
        <w:t xml:space="preserve">additional burden imposed as </w:t>
      </w:r>
      <w:r w:rsidR="007B5B80">
        <w:t>parties</w:t>
      </w:r>
      <w:r w:rsidR="003D7C70">
        <w:t xml:space="preserve"> would be required to submit documents to </w:t>
      </w:r>
      <w:r w:rsidR="007B5B80">
        <w:t>an</w:t>
      </w:r>
      <w:r w:rsidR="003D7C70">
        <w:t xml:space="preserve"> attest auditor on an annual basis who would attest to the party’s compliance with the </w:t>
      </w:r>
      <w:r w:rsidR="007B5B80">
        <w:t xml:space="preserve">applicable </w:t>
      </w:r>
      <w:r w:rsidR="003D7C70">
        <w:t>RIN holdings threshold.</w:t>
      </w:r>
    </w:p>
    <w:p w14:paraId="0969C1D0" w14:textId="393D064E" w:rsidR="00A71A1D" w:rsidRDefault="00A71A1D" w:rsidP="00A71A1D">
      <w:pPr>
        <w:pStyle w:val="ListParagraph"/>
        <w:spacing w:before="120"/>
        <w:ind w:left="1440"/>
        <w:rPr>
          <w:u w:val="single"/>
        </w:rPr>
      </w:pPr>
    </w:p>
    <w:p w14:paraId="7527AB96" w14:textId="38F40A8C" w:rsidR="00A71A1D" w:rsidRDefault="00A71A1D" w:rsidP="00A71A1D">
      <w:pPr>
        <w:pStyle w:val="ListParagraph"/>
        <w:spacing w:before="120"/>
        <w:ind w:left="1440"/>
      </w:pPr>
      <w:r>
        <w:t xml:space="preserve">These proposed modifications will impose additional burden on </w:t>
      </w:r>
      <w:r w:rsidR="006E7130">
        <w:t>non-obligated parties</w:t>
      </w:r>
      <w:r>
        <w:t xml:space="preserve"> by requiring them to report to EPA the additional data fields</w:t>
      </w:r>
      <w:r w:rsidR="00566A56">
        <w:t xml:space="preserve"> and </w:t>
      </w:r>
      <w:r w:rsidR="00857307">
        <w:t>maintain</w:t>
      </w:r>
      <w:r w:rsidR="00566A56">
        <w:t xml:space="preserve"> records of the data and any calculations used to derived it</w:t>
      </w:r>
      <w:r>
        <w:t xml:space="preserve">. </w:t>
      </w:r>
      <w:r w:rsidR="001175D0">
        <w:t>W</w:t>
      </w:r>
      <w:r>
        <w:t>e recognize that additional burden is associated with reporting it to EPA</w:t>
      </w:r>
      <w:r w:rsidR="00857307">
        <w:t xml:space="preserve"> and that not all parties currently maintain this information</w:t>
      </w:r>
      <w:r>
        <w:t xml:space="preserve">. We </w:t>
      </w:r>
      <w:r w:rsidR="00C6708B">
        <w:t xml:space="preserve">also </w:t>
      </w:r>
      <w:r>
        <w:t xml:space="preserve">expect </w:t>
      </w:r>
      <w:r w:rsidR="007947D8">
        <w:t xml:space="preserve">additional </w:t>
      </w:r>
      <w:r w:rsidR="00C6708B">
        <w:t>burden as a</w:t>
      </w:r>
      <w:r>
        <w:t xml:space="preserve">ffected parties </w:t>
      </w:r>
      <w:r w:rsidR="007947D8">
        <w:t xml:space="preserve">may need to </w:t>
      </w:r>
      <w:r>
        <w:t>modif</w:t>
      </w:r>
      <w:r w:rsidR="00C6708B">
        <w:t>y</w:t>
      </w:r>
      <w:r>
        <w:t xml:space="preserve"> their existing internal systems to accommodate and/or </w:t>
      </w:r>
      <w:r w:rsidR="009E2E34">
        <w:t>calculate</w:t>
      </w:r>
      <w:r>
        <w:t xml:space="preserve"> this data, as well as potentially develop</w:t>
      </w:r>
      <w:r w:rsidR="00C6708B">
        <w:t>ing</w:t>
      </w:r>
      <w:r>
        <w:t xml:space="preserve"> </w:t>
      </w:r>
      <w:r w:rsidR="00BE2C8A">
        <w:t>new processes for acquiring the necessary inputs to produce the data.</w:t>
      </w:r>
    </w:p>
    <w:p w14:paraId="6F4CAE07" w14:textId="6BBD3D59" w:rsidR="009F26AF" w:rsidRDefault="009F26AF" w:rsidP="00A71A1D">
      <w:pPr>
        <w:pStyle w:val="ListParagraph"/>
        <w:spacing w:before="120"/>
        <w:ind w:left="1440"/>
      </w:pPr>
    </w:p>
    <w:p w14:paraId="55E77472" w14:textId="110D7D5F" w:rsidR="009F26AF" w:rsidRDefault="009F26AF" w:rsidP="00A71A1D">
      <w:pPr>
        <w:pStyle w:val="ListParagraph"/>
        <w:spacing w:before="120"/>
        <w:ind w:left="1440"/>
      </w:pPr>
      <w:r>
        <w:t xml:space="preserve">As a result of these proposed additional recordkeeping and reporting requirements, we estimate an </w:t>
      </w:r>
      <w:r w:rsidR="002C0DE5">
        <w:t xml:space="preserve">industry-wide </w:t>
      </w:r>
      <w:r>
        <w:t xml:space="preserve">annual increase of </w:t>
      </w:r>
      <w:r w:rsidR="00094474">
        <w:t>5</w:t>
      </w:r>
      <w:r w:rsidR="004061AF">
        <w:t>8</w:t>
      </w:r>
      <w:r>
        <w:t>,</w:t>
      </w:r>
      <w:r w:rsidR="004061AF">
        <w:t>5</w:t>
      </w:r>
      <w:r w:rsidR="00094474">
        <w:t>43</w:t>
      </w:r>
      <w:r>
        <w:t xml:space="preserve"> hours equating to $</w:t>
      </w:r>
      <w:r w:rsidR="00094474">
        <w:t>5</w:t>
      </w:r>
      <w:r>
        <w:t>,</w:t>
      </w:r>
      <w:r w:rsidR="00094474">
        <w:t>519</w:t>
      </w:r>
      <w:r>
        <w:t>,</w:t>
      </w:r>
      <w:r w:rsidR="00094474">
        <w:t>896</w:t>
      </w:r>
      <w:r>
        <w:t xml:space="preserve"> for RIN generators, </w:t>
      </w:r>
      <w:r w:rsidR="00094474">
        <w:t>70</w:t>
      </w:r>
      <w:r>
        <w:t>,</w:t>
      </w:r>
      <w:r w:rsidR="00094474">
        <w:t>464</w:t>
      </w:r>
      <w:r>
        <w:t xml:space="preserve"> hours equating to $</w:t>
      </w:r>
      <w:r w:rsidR="00094474">
        <w:t>6</w:t>
      </w:r>
      <w:r>
        <w:t>,</w:t>
      </w:r>
      <w:r w:rsidR="00094474">
        <w:t>643</w:t>
      </w:r>
      <w:r>
        <w:t>,</w:t>
      </w:r>
      <w:r w:rsidR="00094474">
        <w:t>892</w:t>
      </w:r>
      <w:r>
        <w:t xml:space="preserve"> for RIN owners, and </w:t>
      </w:r>
      <w:r w:rsidR="004061AF">
        <w:t>1</w:t>
      </w:r>
      <w:r w:rsidR="00094474">
        <w:t>2</w:t>
      </w:r>
      <w:r>
        <w:t>,</w:t>
      </w:r>
      <w:r w:rsidR="00094474">
        <w:t>492</w:t>
      </w:r>
      <w:r>
        <w:t xml:space="preserve"> hours equating to $</w:t>
      </w:r>
      <w:r w:rsidR="004061AF">
        <w:t>1,</w:t>
      </w:r>
      <w:r w:rsidR="00094474">
        <w:t>177</w:t>
      </w:r>
      <w:r>
        <w:t>,</w:t>
      </w:r>
      <w:r w:rsidR="00094474">
        <w:t>886</w:t>
      </w:r>
      <w:r>
        <w:t xml:space="preserve"> for exporters. For a quantitative breakdown of the burden imposed by information collected, refer to Appendix Tables I-IV.</w:t>
      </w:r>
    </w:p>
    <w:p w14:paraId="0A7DAEB4" w14:textId="12A3E86A" w:rsidR="0099149A" w:rsidRDefault="0099149A" w:rsidP="00A71A1D">
      <w:pPr>
        <w:pStyle w:val="ListParagraph"/>
        <w:spacing w:before="120"/>
        <w:ind w:left="1440"/>
      </w:pPr>
    </w:p>
    <w:p w14:paraId="3517E6C0" w14:textId="4D8F71CA" w:rsidR="0099149A" w:rsidRDefault="0099149A" w:rsidP="0099149A">
      <w:pPr>
        <w:pStyle w:val="ListParagraph"/>
        <w:numPr>
          <w:ilvl w:val="3"/>
          <w:numId w:val="9"/>
        </w:numPr>
        <w:spacing w:before="120"/>
      </w:pPr>
      <w:r w:rsidRPr="001175D0">
        <w:rPr>
          <w:u w:val="single"/>
        </w:rPr>
        <w:t>Obligated Parties:</w:t>
      </w:r>
      <w:r>
        <w:t xml:space="preserve"> </w:t>
      </w:r>
      <w:r w:rsidR="008E2190">
        <w:t xml:space="preserve">Obligated parties under the RFS (refiners and importers of non-renewable gasoline and diesel fuel) would also be affected by </w:t>
      </w:r>
      <w:r w:rsidR="00566A56">
        <w:t xml:space="preserve">additional recordkeeping and reporting activities. </w:t>
      </w:r>
      <w:r w:rsidR="006E7130">
        <w:t xml:space="preserve">In addition to </w:t>
      </w:r>
      <w:r w:rsidR="007B5B80">
        <w:t>all</w:t>
      </w:r>
      <w:r w:rsidR="008E2190">
        <w:t xml:space="preserve"> the</w:t>
      </w:r>
      <w:r w:rsidR="006E7130">
        <w:t xml:space="preserve"> proposed activities</w:t>
      </w:r>
      <w:r w:rsidR="008E2190">
        <w:t xml:space="preserve"> that affect non-obligated parties</w:t>
      </w:r>
      <w:r w:rsidR="006E7130">
        <w:t xml:space="preserve">, obligated parties </w:t>
      </w:r>
      <w:r w:rsidR="008E2190">
        <w:t xml:space="preserve">would be required to calculate </w:t>
      </w:r>
      <w:r w:rsidR="007B5B80">
        <w:t xml:space="preserve">daily RIN holdings </w:t>
      </w:r>
      <w:r w:rsidR="008E2190">
        <w:t xml:space="preserve">and report compliance with </w:t>
      </w:r>
      <w:r w:rsidR="007B5B80">
        <w:t>the primary and</w:t>
      </w:r>
      <w:r w:rsidR="00B94588">
        <w:t xml:space="preserve"> if needed,</w:t>
      </w:r>
      <w:r w:rsidR="007B5B80">
        <w:t xml:space="preserve"> secondary RIN holdings thresholds. </w:t>
      </w:r>
      <w:r w:rsidR="009E554B">
        <w:t xml:space="preserve">Additionally, obligated parties would be required to report </w:t>
      </w:r>
      <w:r w:rsidR="00E22871">
        <w:t xml:space="preserve">on the RFS010# </w:t>
      </w:r>
      <w:r w:rsidR="009E554B">
        <w:t xml:space="preserve">quarterly </w:t>
      </w:r>
      <w:r w:rsidR="00E22871">
        <w:t xml:space="preserve">RFS activity report </w:t>
      </w:r>
      <w:r w:rsidR="009E554B">
        <w:t>their RVO installment requirement, any cumulative shortfalls and overages, and the resulting RIN balance.</w:t>
      </w:r>
      <w:r w:rsidR="00E22871">
        <w:t xml:space="preserve"> We anticipate there is additional burden to perform these calculations and report them to EPA.</w:t>
      </w:r>
    </w:p>
    <w:p w14:paraId="1C68F164" w14:textId="01015576" w:rsidR="00857307" w:rsidRDefault="00857307" w:rsidP="00857307">
      <w:pPr>
        <w:pStyle w:val="ListParagraph"/>
        <w:spacing w:before="120"/>
        <w:ind w:left="1440"/>
        <w:rPr>
          <w:u w:val="single"/>
        </w:rPr>
      </w:pPr>
    </w:p>
    <w:p w14:paraId="25E176A6" w14:textId="07403777" w:rsidR="00857307" w:rsidRDefault="001175D0" w:rsidP="00857307">
      <w:pPr>
        <w:pStyle w:val="ListParagraph"/>
        <w:spacing w:before="120"/>
        <w:ind w:left="1440"/>
      </w:pPr>
      <w:r>
        <w:t>We</w:t>
      </w:r>
      <w:r w:rsidR="00857307">
        <w:t xml:space="preserve"> recognize that additional burden is associated with reporting it to EPA and that not all parties currently maintain this information. We </w:t>
      </w:r>
      <w:r w:rsidR="007947D8">
        <w:t>also expect additional burden as the</w:t>
      </w:r>
      <w:r w:rsidR="00857307">
        <w:t xml:space="preserve"> affected parties </w:t>
      </w:r>
      <w:r w:rsidR="007878D0">
        <w:t>may</w:t>
      </w:r>
      <w:r w:rsidR="00857307">
        <w:t xml:space="preserve"> need to </w:t>
      </w:r>
      <w:r w:rsidR="007878D0">
        <w:t>modify</w:t>
      </w:r>
      <w:r w:rsidR="00857307">
        <w:t xml:space="preserve"> their existing internal systems to accommodate and/or calculate this data, as well as potentially develop new processes for acquiring the necessary inputs to produce the data.</w:t>
      </w:r>
    </w:p>
    <w:p w14:paraId="65FFCF69" w14:textId="21C4DBDE" w:rsidR="004B300B" w:rsidRDefault="004B300B" w:rsidP="00857307">
      <w:pPr>
        <w:pStyle w:val="ListParagraph"/>
        <w:spacing w:before="120"/>
        <w:ind w:left="1440"/>
      </w:pPr>
    </w:p>
    <w:p w14:paraId="18339CA2" w14:textId="1997C6CC" w:rsidR="004B300B" w:rsidRDefault="004B300B" w:rsidP="00857307">
      <w:pPr>
        <w:pStyle w:val="ListParagraph"/>
        <w:spacing w:before="120"/>
        <w:ind w:left="1440"/>
      </w:pPr>
      <w:r>
        <w:t xml:space="preserve">As a result of these proposed additional recordkeeping and reporting requirements, we estimate an industry-wide annual increase of </w:t>
      </w:r>
      <w:r w:rsidR="00094474">
        <w:t>75</w:t>
      </w:r>
      <w:r>
        <w:t>,</w:t>
      </w:r>
      <w:r w:rsidR="00094474">
        <w:t>391</w:t>
      </w:r>
      <w:r>
        <w:t xml:space="preserve"> hours equating to $</w:t>
      </w:r>
      <w:r w:rsidR="00094474">
        <w:t>7</w:t>
      </w:r>
      <w:r>
        <w:t>,</w:t>
      </w:r>
      <w:r w:rsidR="00094474">
        <w:t>103</w:t>
      </w:r>
      <w:r>
        <w:t>,</w:t>
      </w:r>
      <w:r w:rsidR="00094474">
        <w:t>77</w:t>
      </w:r>
      <w:r w:rsidR="004061AF">
        <w:t>7</w:t>
      </w:r>
      <w:r>
        <w:t xml:space="preserve"> for obligated parties. For a quantitative breakdown of the burden imposed by information collected, refer to Appendix Tables I-IV.</w:t>
      </w:r>
    </w:p>
    <w:p w14:paraId="2B3831F6" w14:textId="77777777" w:rsidR="00857307" w:rsidRDefault="00857307" w:rsidP="001175D0">
      <w:pPr>
        <w:pStyle w:val="ListParagraph"/>
        <w:spacing w:before="120"/>
        <w:ind w:left="1440"/>
      </w:pPr>
    </w:p>
    <w:p w14:paraId="7DCB9E28" w14:textId="77777777" w:rsidR="000D4C02" w:rsidRDefault="000D4C02" w:rsidP="000D4C02">
      <w:pPr>
        <w:pStyle w:val="ListParagraph"/>
      </w:pPr>
    </w:p>
    <w:p w14:paraId="077F5E72" w14:textId="77777777" w:rsidR="000D4C02" w:rsidRDefault="000D4C02" w:rsidP="000D4C02">
      <w:pPr>
        <w:pStyle w:val="ListParagraph"/>
        <w:numPr>
          <w:ilvl w:val="0"/>
          <w:numId w:val="9"/>
        </w:numPr>
        <w:spacing w:before="120"/>
        <w:rPr>
          <w:b/>
          <w:u w:val="single"/>
        </w:rPr>
      </w:pPr>
      <w:r w:rsidRPr="006B1C4B">
        <w:rPr>
          <w:b/>
          <w:u w:val="single"/>
        </w:rPr>
        <w:t>The Information Collected, Agency Activities, Collection Methodology, and Information Management</w:t>
      </w:r>
    </w:p>
    <w:p w14:paraId="3C56DCE8" w14:textId="77777777" w:rsidR="000D4C02" w:rsidRPr="006B1C4B" w:rsidRDefault="000D4C02" w:rsidP="000D4C02">
      <w:pPr>
        <w:pStyle w:val="ListParagraph"/>
        <w:spacing w:before="120"/>
        <w:rPr>
          <w:b/>
          <w:u w:val="single"/>
        </w:rPr>
      </w:pPr>
    </w:p>
    <w:p w14:paraId="6B659189" w14:textId="77777777" w:rsidR="000D4C02" w:rsidRPr="006B1C4B" w:rsidRDefault="000D4C02" w:rsidP="000D4C02">
      <w:pPr>
        <w:pStyle w:val="ListParagraph"/>
        <w:numPr>
          <w:ilvl w:val="1"/>
          <w:numId w:val="9"/>
        </w:numPr>
        <w:spacing w:before="120"/>
        <w:rPr>
          <w:b/>
          <w:u w:val="single"/>
        </w:rPr>
      </w:pPr>
      <w:r w:rsidRPr="003D507F">
        <w:rPr>
          <w:u w:val="single"/>
        </w:rPr>
        <w:t>Agency Activities:</w:t>
      </w:r>
      <w:r>
        <w:t xml:space="preserve"> All reports and registrations will be reviewed by EPA for completeness and for potential violations.</w:t>
      </w:r>
    </w:p>
    <w:p w14:paraId="328D2C22" w14:textId="77777777" w:rsidR="000D4C02" w:rsidRDefault="000D4C02" w:rsidP="000D4C02">
      <w:pPr>
        <w:pStyle w:val="ListParagraph"/>
        <w:numPr>
          <w:ilvl w:val="0"/>
          <w:numId w:val="10"/>
        </w:numPr>
        <w:spacing w:before="120"/>
      </w:pPr>
      <w:r>
        <w:t>Potential violations will be referred to enforcement personnel.</w:t>
      </w:r>
    </w:p>
    <w:p w14:paraId="6CE2D576" w14:textId="2AA122D9" w:rsidR="000D4C02" w:rsidRDefault="000D4C02" w:rsidP="000D4C02">
      <w:pPr>
        <w:pStyle w:val="ListParagraph"/>
        <w:numPr>
          <w:ilvl w:val="0"/>
          <w:numId w:val="10"/>
        </w:numPr>
        <w:spacing w:before="120"/>
      </w:pPr>
      <w:r>
        <w:t>EPA will contact reporting parties if there is a problem with their submission</w:t>
      </w:r>
      <w:r w:rsidR="00852D6B">
        <w:t>.</w:t>
      </w:r>
    </w:p>
    <w:p w14:paraId="55240A26" w14:textId="77777777" w:rsidR="000D4C02" w:rsidRDefault="000D4C02" w:rsidP="000D4C02">
      <w:pPr>
        <w:pStyle w:val="ListParagraph"/>
        <w:spacing w:before="120"/>
        <w:ind w:left="1080"/>
      </w:pPr>
    </w:p>
    <w:p w14:paraId="62A63E6D" w14:textId="77777777" w:rsidR="000D4C02" w:rsidRDefault="000D4C02" w:rsidP="000D4C02">
      <w:pPr>
        <w:pStyle w:val="ListParagraph"/>
        <w:numPr>
          <w:ilvl w:val="1"/>
          <w:numId w:val="11"/>
        </w:numPr>
        <w:spacing w:before="120"/>
      </w:pPr>
      <w:r w:rsidRPr="003D507F">
        <w:rPr>
          <w:u w:val="single"/>
        </w:rPr>
        <w:t>Collection Methodology and Management:</w:t>
      </w:r>
      <w:r>
        <w:t xml:space="preserve"> EPA receives data in a simplified and secure fashion via EMTS and CDX (via its DCFUEL system). Information claimed as CBI will be stored in appropriately controlled areas.</w:t>
      </w:r>
    </w:p>
    <w:p w14:paraId="1EB5C7A6" w14:textId="77777777" w:rsidR="000D4C02" w:rsidRDefault="000D4C02" w:rsidP="000D4C02">
      <w:pPr>
        <w:pStyle w:val="ListParagraph"/>
        <w:spacing w:before="120"/>
      </w:pPr>
    </w:p>
    <w:p w14:paraId="3EB8DBEF" w14:textId="3679EAF1" w:rsidR="000D4C02" w:rsidRPr="00CC4D3E" w:rsidRDefault="000D4C02" w:rsidP="000D4C02">
      <w:pPr>
        <w:pStyle w:val="ListParagraph"/>
        <w:numPr>
          <w:ilvl w:val="1"/>
          <w:numId w:val="11"/>
        </w:numPr>
        <w:spacing w:before="120"/>
      </w:pPr>
      <w:r w:rsidRPr="00CC4D3E">
        <w:rPr>
          <w:u w:val="single"/>
        </w:rPr>
        <w:t>Small Entity Flexibility:</w:t>
      </w:r>
      <w:r w:rsidRPr="00CC4D3E">
        <w:t xml:space="preserve"> </w:t>
      </w:r>
      <w:r w:rsidR="00730017" w:rsidRPr="00730017">
        <w:t xml:space="preserve">Based on our analysis of the potential impacts of the proposed rule on small businesses, we do not believe that Reforms One, Three, or Four will affect </w:t>
      </w:r>
      <w:r w:rsidR="00730017">
        <w:t>regulated small entities</w:t>
      </w:r>
      <w:r w:rsidR="00730017" w:rsidRPr="00730017">
        <w:t>. For Reform Two, we believe that the existing regulations provide sufficient compliance flexibility for small refiners.</w:t>
      </w:r>
      <w:r w:rsidR="0091095A" w:rsidRPr="00730017" w:rsidDel="0091095A">
        <w:t xml:space="preserve"> </w:t>
      </w:r>
    </w:p>
    <w:p w14:paraId="54DA353E" w14:textId="77777777" w:rsidR="000D4C02" w:rsidRDefault="000D4C02" w:rsidP="000D4C02">
      <w:pPr>
        <w:pStyle w:val="ListParagraph"/>
      </w:pPr>
    </w:p>
    <w:p w14:paraId="5239680F" w14:textId="77777777" w:rsidR="000D4C02" w:rsidRDefault="000D4C02" w:rsidP="000D4C02">
      <w:pPr>
        <w:pStyle w:val="ListParagraph"/>
        <w:numPr>
          <w:ilvl w:val="1"/>
          <w:numId w:val="11"/>
        </w:numPr>
        <w:spacing w:before="120"/>
      </w:pPr>
      <w:r w:rsidRPr="003D507F">
        <w:rPr>
          <w:u w:val="single"/>
        </w:rPr>
        <w:t>Collection Schedule:</w:t>
      </w:r>
      <w:r>
        <w:t xml:space="preserve"> </w:t>
      </w:r>
    </w:p>
    <w:p w14:paraId="7F59EDCC" w14:textId="4DAD30B5" w:rsidR="000D4C02" w:rsidRDefault="000D4C02" w:rsidP="00981ADC">
      <w:pPr>
        <w:spacing w:before="120"/>
        <w:ind w:left="720"/>
      </w:pPr>
      <w:r w:rsidRPr="009F6ED2">
        <w:t xml:space="preserve">Reporting </w:t>
      </w:r>
      <w:r w:rsidR="00981ADC">
        <w:t xml:space="preserve">varies by the type of information collected </w:t>
      </w:r>
      <w:r w:rsidR="00A26920">
        <w:t xml:space="preserve">but </w:t>
      </w:r>
      <w:r w:rsidRPr="009F6ED2">
        <w:t>is</w:t>
      </w:r>
      <w:r w:rsidR="00981ADC">
        <w:t xml:space="preserve"> generally</w:t>
      </w:r>
      <w:r>
        <w:t xml:space="preserve"> </w:t>
      </w:r>
      <w:r w:rsidRPr="009F6ED2">
        <w:t xml:space="preserve">quarterly </w:t>
      </w:r>
      <w:r w:rsidR="00981ADC">
        <w:t>or</w:t>
      </w:r>
      <w:r w:rsidRPr="009F6ED2">
        <w:t xml:space="preserve"> annual</w:t>
      </w:r>
      <w:r w:rsidR="00A26920">
        <w:t>ly</w:t>
      </w:r>
      <w:r w:rsidRPr="009F6ED2">
        <w:t>.</w:t>
      </w:r>
    </w:p>
    <w:p w14:paraId="3804AFF5" w14:textId="77777777" w:rsidR="000D4C02" w:rsidRPr="003D507F" w:rsidRDefault="000D4C02" w:rsidP="000D4C02">
      <w:pPr>
        <w:pStyle w:val="ListParagraph"/>
        <w:rPr>
          <w:u w:val="single"/>
        </w:rPr>
      </w:pPr>
    </w:p>
    <w:p w14:paraId="26DF25CB" w14:textId="77777777" w:rsidR="000D4C02" w:rsidRPr="003D507F" w:rsidRDefault="000D4C02" w:rsidP="000D4C02">
      <w:pPr>
        <w:pStyle w:val="ListParagraph"/>
        <w:numPr>
          <w:ilvl w:val="0"/>
          <w:numId w:val="12"/>
        </w:numPr>
        <w:spacing w:before="120"/>
        <w:rPr>
          <w:b/>
        </w:rPr>
      </w:pPr>
      <w:r w:rsidRPr="003D507F">
        <w:rPr>
          <w:b/>
          <w:u w:val="single"/>
        </w:rPr>
        <w:t>Estimating the Burden and Cost of Collection</w:t>
      </w:r>
    </w:p>
    <w:p w14:paraId="59B9A3C7" w14:textId="77777777" w:rsidR="000D4C02" w:rsidRDefault="000D4C02" w:rsidP="000D4C02">
      <w:pPr>
        <w:spacing w:before="120"/>
        <w:contextualSpacing/>
      </w:pPr>
    </w:p>
    <w:p w14:paraId="41CCEAA0" w14:textId="77777777" w:rsidR="000D4C02" w:rsidRDefault="000D4C02" w:rsidP="000D4C02">
      <w:pPr>
        <w:pStyle w:val="ListParagraph"/>
        <w:numPr>
          <w:ilvl w:val="1"/>
          <w:numId w:val="13"/>
        </w:numPr>
        <w:spacing w:before="120"/>
      </w:pPr>
      <w:r w:rsidRPr="00C54B4E">
        <w:rPr>
          <w:u w:val="single"/>
        </w:rPr>
        <w:t>Estimating the Respondent Universe:</w:t>
      </w:r>
      <w:r>
        <w:t xml:space="preserve"> EPA drew upon experience with </w:t>
      </w:r>
      <w:r w:rsidR="00981ADC">
        <w:t xml:space="preserve">implementing </w:t>
      </w:r>
      <w:r>
        <w:t xml:space="preserve">the RFS program and the actual number of respondents registered as </w:t>
      </w:r>
      <w:r w:rsidRPr="006164E4">
        <w:t xml:space="preserve">of </w:t>
      </w:r>
      <w:r w:rsidR="006164E4" w:rsidRPr="006164E4">
        <w:t>February</w:t>
      </w:r>
      <w:r w:rsidRPr="006164E4">
        <w:t xml:space="preserve"> 201</w:t>
      </w:r>
      <w:r w:rsidR="006164E4" w:rsidRPr="006164E4">
        <w:t>9</w:t>
      </w:r>
      <w:r>
        <w:t xml:space="preserve"> to develop estimates of the burden </w:t>
      </w:r>
      <w:r w:rsidR="00981ADC">
        <w:t>associated with this collection.</w:t>
      </w:r>
      <w:r>
        <w:t xml:space="preserve"> </w:t>
      </w:r>
      <w:r w:rsidR="00981ADC">
        <w:t>F</w:t>
      </w:r>
      <w:r>
        <w:t xml:space="preserve">or </w:t>
      </w:r>
      <w:r w:rsidR="00981ADC">
        <w:t>more detail see Appendix Tables I-</w:t>
      </w:r>
      <w:r w:rsidR="00AE20A3">
        <w:t>I</w:t>
      </w:r>
      <w:r w:rsidR="00981ADC">
        <w:t>V.</w:t>
      </w:r>
    </w:p>
    <w:p w14:paraId="6D51D417" w14:textId="77777777" w:rsidR="000D4C02" w:rsidRDefault="000D4C02" w:rsidP="000D4C02">
      <w:pPr>
        <w:pStyle w:val="ListParagraph"/>
        <w:spacing w:before="120"/>
      </w:pPr>
    </w:p>
    <w:p w14:paraId="774259A2" w14:textId="77777777" w:rsidR="000D4C02" w:rsidRDefault="000D4C02" w:rsidP="000D4C02">
      <w:pPr>
        <w:pStyle w:val="ListParagraph"/>
        <w:numPr>
          <w:ilvl w:val="1"/>
          <w:numId w:val="13"/>
        </w:numPr>
        <w:spacing w:before="120"/>
      </w:pPr>
      <w:r w:rsidRPr="009F6ED2">
        <w:rPr>
          <w:u w:val="single"/>
        </w:rPr>
        <w:t>Estimating the Respondent Burden and Cost:</w:t>
      </w:r>
      <w:r w:rsidRPr="009F6ED2">
        <w:t xml:space="preserve"> EPA has provided detailed estimates, described as recordkeeping and reporting in Tables I-</w:t>
      </w:r>
      <w:r w:rsidR="00874FED">
        <w:t>I</w:t>
      </w:r>
      <w:r w:rsidRPr="009F6ED2">
        <w:t xml:space="preserve">V for each type of </w:t>
      </w:r>
      <w:r w:rsidR="00AC088F">
        <w:t xml:space="preserve">affected </w:t>
      </w:r>
      <w:r w:rsidRPr="009F6ED2">
        <w:t xml:space="preserve">respondent. These tables provided citations to the appropriate sections in 40 CFR Part 80 and reference each form or reporting template, as appropriate. To ensure parties may review all information relevant to this collection, EPA has docketed all </w:t>
      </w:r>
      <w:r w:rsidR="00874FED">
        <w:t xml:space="preserve">draft </w:t>
      </w:r>
      <w:r w:rsidRPr="009F6ED2">
        <w:t xml:space="preserve">forms and templates. EPA has </w:t>
      </w:r>
      <w:r>
        <w:t>utilized the Bureau of Labor Statistics, National Industry-Specific Occupational Employment and Wage Estimate - Petroleum and Coal Products" (</w:t>
      </w:r>
      <w:r w:rsidR="00874FED">
        <w:t>May</w:t>
      </w:r>
      <w:r w:rsidRPr="00B7222E">
        <w:t xml:space="preserve"> 201</w:t>
      </w:r>
      <w:r w:rsidR="00B7222E">
        <w:t>7</w:t>
      </w:r>
      <w:r>
        <w:t>), the most current estimates available for development of the Federal Register notice announcing our intention to submit this information collection to OMB. In developing the estimates in the Tables, we assumed a standard industry mix to develop a typical respondent. We based our assumption upon our experience with the regulated community. Specifically, we assume a typical respondent who is 5% managerial, 70% technical/professional, 20% clerical, and 5% legal. For purchased services, we have doubled the labor cost to allow for overhead. For the type of purchased services under this ICR (i.e., professional engineer, accountant), this method yields a figure that is consistent with the hourly rates for these professions. Please refer to Tables I-</w:t>
      </w:r>
      <w:r w:rsidR="00AE20A3">
        <w:t>I</w:t>
      </w:r>
      <w:r>
        <w:t xml:space="preserve">V for more detail and a breakdown of the estimates by respondent type, section, and form. </w:t>
      </w:r>
    </w:p>
    <w:p w14:paraId="47758F9E" w14:textId="77777777" w:rsidR="000D4C02" w:rsidRDefault="000D4C02" w:rsidP="000D4C02">
      <w:pPr>
        <w:spacing w:before="120"/>
        <w:ind w:left="360"/>
      </w:pPr>
      <w:r>
        <w:t xml:space="preserve"> </w:t>
      </w:r>
    </w:p>
    <w:p w14:paraId="04136C4E" w14:textId="77777777" w:rsidR="000D4C02" w:rsidRDefault="000D4C02" w:rsidP="000D4C02">
      <w:pPr>
        <w:pStyle w:val="ListParagraph"/>
        <w:numPr>
          <w:ilvl w:val="1"/>
          <w:numId w:val="13"/>
        </w:numPr>
        <w:spacing w:before="120"/>
      </w:pPr>
      <w:r w:rsidRPr="00C54B4E">
        <w:rPr>
          <w:u w:val="single"/>
        </w:rPr>
        <w:t>Estimating the Agency Burden and Cost:</w:t>
      </w:r>
      <w:r>
        <w:t xml:space="preserve"> EPA must </w:t>
      </w:r>
      <w:r w:rsidR="00071E37">
        <w:t>develop</w:t>
      </w:r>
      <w:r>
        <w:t xml:space="preserve"> </w:t>
      </w:r>
      <w:r w:rsidR="00071E37">
        <w:t>r</w:t>
      </w:r>
      <w:r>
        <w:t xml:space="preserve">eport formats and instructions/guidance must be prepared and occasionally updated. Reports are processed by EPA contractors and must be reviewed for compliance purposes by EPA personnel. Reporting parties must be contacted if there is a problem with their submission. </w:t>
      </w:r>
    </w:p>
    <w:p w14:paraId="782E9FE2" w14:textId="77777777" w:rsidR="000D4C02" w:rsidRDefault="000D4C02" w:rsidP="000D4C02">
      <w:pPr>
        <w:pStyle w:val="ListParagraph"/>
      </w:pPr>
    </w:p>
    <w:p w14:paraId="2FB8A01B" w14:textId="77777777" w:rsidR="00E34759" w:rsidRDefault="000D4C02" w:rsidP="00E34759">
      <w:pPr>
        <w:pStyle w:val="ListParagraph"/>
        <w:spacing w:before="120"/>
      </w:pPr>
      <w:r>
        <w:t>Using the RFS</w:t>
      </w:r>
      <w:r w:rsidR="00071E37">
        <w:t xml:space="preserve"> </w:t>
      </w:r>
      <w:r>
        <w:t>and other recent fuels-related ICRs as a guide in developing</w:t>
      </w:r>
      <w:r w:rsidR="00071E37">
        <w:t xml:space="preserve"> these initial estimates</w:t>
      </w:r>
      <w:r>
        <w:t xml:space="preserve">, EPA </w:t>
      </w:r>
      <w:r w:rsidRPr="00071E37">
        <w:t>anticipate</w:t>
      </w:r>
      <w:r w:rsidR="00071E37" w:rsidRPr="00071E37">
        <w:t>s</w:t>
      </w:r>
      <w:r w:rsidRPr="00071E37">
        <w:t xml:space="preserve"> that </w:t>
      </w:r>
      <w:r w:rsidR="00071E37" w:rsidRPr="00071E37">
        <w:t>it</w:t>
      </w:r>
      <w:r w:rsidRPr="00071E37">
        <w:t xml:space="preserve"> may require the </w:t>
      </w:r>
      <w:r w:rsidR="00E34759">
        <w:t>additional 1/2 of one GS-13 professional employee’s time</w:t>
      </w:r>
      <w:r w:rsidRPr="00071E37">
        <w:t xml:space="preserve"> ($</w:t>
      </w:r>
      <w:r w:rsidR="00E34759">
        <w:t>101</w:t>
      </w:r>
      <w:r w:rsidRPr="00071E37">
        <w:t xml:space="preserve">,000), </w:t>
      </w:r>
      <w:r w:rsidR="00E34759">
        <w:t>1/4 of one</w:t>
      </w:r>
      <w:r w:rsidRPr="00071E37">
        <w:t xml:space="preserve"> GS-7 clerical employee</w:t>
      </w:r>
      <w:r w:rsidR="00E34759">
        <w:t>’s time</w:t>
      </w:r>
      <w:r w:rsidRPr="00071E37">
        <w:t xml:space="preserve"> ($</w:t>
      </w:r>
      <w:r w:rsidR="00E34759">
        <w:t>24</w:t>
      </w:r>
      <w:r w:rsidRPr="00071E37">
        <w:t>,000), and 1/8 of one GS-15 manager’s time ($</w:t>
      </w:r>
      <w:r w:rsidR="00CD140C">
        <w:t>33</w:t>
      </w:r>
      <w:r w:rsidRPr="00071E37">
        <w:t>,000).</w:t>
      </w:r>
      <w:r w:rsidRPr="00071E37">
        <w:rPr>
          <w:rStyle w:val="FootnoteReference"/>
        </w:rPr>
        <w:footnoteReference w:id="2"/>
      </w:r>
      <w:r>
        <w:t xml:space="preserve">  </w:t>
      </w:r>
    </w:p>
    <w:p w14:paraId="5798B8C5" w14:textId="77777777" w:rsidR="00E34759" w:rsidRDefault="00E34759" w:rsidP="00E34759">
      <w:pPr>
        <w:pStyle w:val="ListParagraph"/>
        <w:spacing w:before="120"/>
      </w:pPr>
    </w:p>
    <w:p w14:paraId="18F53BAE" w14:textId="56FCFA1B" w:rsidR="00E34759" w:rsidRDefault="00E34759" w:rsidP="00E34759">
      <w:pPr>
        <w:pStyle w:val="ListParagraph"/>
        <w:spacing w:before="120"/>
      </w:pPr>
      <w:r>
        <w:t xml:space="preserve">All other costs related to systems (CDX, EMTS) subscriptions, systems operations &amp; maintenance, and contractor support are being excluded from these calculations in an effort to prevent double counting of costs. These are existing costs that are accounted for in </w:t>
      </w:r>
      <w:r w:rsidR="00C57FF4" w:rsidRPr="00AD7F2C">
        <w:rPr>
          <w:szCs w:val="24"/>
        </w:rPr>
        <w:t>EPA ICR No. 2546.01</w:t>
      </w:r>
      <w:r w:rsidR="00C57FF4">
        <w:rPr>
          <w:szCs w:val="24"/>
        </w:rPr>
        <w:t>, OMB Control Number 2060-NEW</w:t>
      </w:r>
      <w:r w:rsidR="00C57FF4" w:rsidDel="00C57FF4">
        <w:t xml:space="preserve"> </w:t>
      </w:r>
      <w:r>
        <w:t xml:space="preserve">and the additional information collections in this proposed rule will not substantially alter these costs. </w:t>
      </w:r>
    </w:p>
    <w:p w14:paraId="12FF3B16" w14:textId="77777777" w:rsidR="00E34759" w:rsidRDefault="00E34759" w:rsidP="00E34759">
      <w:pPr>
        <w:pStyle w:val="ListParagraph"/>
        <w:spacing w:before="120"/>
      </w:pPr>
    </w:p>
    <w:p w14:paraId="648A694C" w14:textId="77777777" w:rsidR="000D4C02" w:rsidRDefault="000D4C02" w:rsidP="000D4C02">
      <w:pPr>
        <w:pStyle w:val="ListParagraph"/>
        <w:spacing w:before="120"/>
      </w:pPr>
      <w:r>
        <w:t>Adding the following values results in an annual estimated Agency burden as follows:</w:t>
      </w:r>
    </w:p>
    <w:p w14:paraId="2CF66C31" w14:textId="77777777" w:rsidR="000D4C02" w:rsidRDefault="00E34759" w:rsidP="000D4C02">
      <w:pPr>
        <w:pStyle w:val="Standard"/>
        <w:spacing w:before="120"/>
        <w:ind w:left="1440"/>
        <w:contextualSpacing/>
      </w:pPr>
      <w:r>
        <w:t>One</w:t>
      </w:r>
      <w:r w:rsidR="000D4C02">
        <w:t xml:space="preserve"> GS-13 technical employee (</w:t>
      </w:r>
      <w:r>
        <w:t>1/2 time</w:t>
      </w:r>
      <w:r w:rsidR="000D4C02">
        <w:t xml:space="preserve">) </w:t>
      </w:r>
      <w:r w:rsidR="00523621">
        <w:t xml:space="preserve">    </w:t>
      </w:r>
      <w:r w:rsidR="000D4C02">
        <w:t xml:space="preserve">=    </w:t>
      </w:r>
      <w:r w:rsidR="00071E37">
        <w:t xml:space="preserve"> </w:t>
      </w:r>
      <w:r>
        <w:tab/>
        <w:t xml:space="preserve">   </w:t>
      </w:r>
      <w:r w:rsidR="00071E37">
        <w:t xml:space="preserve"> </w:t>
      </w:r>
      <w:r w:rsidR="000D4C02">
        <w:t xml:space="preserve">$ </w:t>
      </w:r>
      <w:r w:rsidR="00071E37">
        <w:t xml:space="preserve"> </w:t>
      </w:r>
      <w:r w:rsidR="000D4C02">
        <w:t xml:space="preserve">  </w:t>
      </w:r>
      <w:r>
        <w:t>101</w:t>
      </w:r>
      <w:r w:rsidR="000D4C02">
        <w:t>,000</w:t>
      </w:r>
    </w:p>
    <w:p w14:paraId="04A156A4" w14:textId="77777777" w:rsidR="000D4C02" w:rsidRDefault="000D4C02" w:rsidP="000D4C02">
      <w:pPr>
        <w:pStyle w:val="Standard"/>
        <w:spacing w:before="120"/>
        <w:ind w:left="1440"/>
        <w:contextualSpacing/>
      </w:pPr>
      <w:r>
        <w:t>One GS-7 clerical worker (</w:t>
      </w:r>
      <w:r w:rsidR="00E34759">
        <w:t>1/4 time</w:t>
      </w:r>
      <w:r>
        <w:t xml:space="preserve">) </w:t>
      </w:r>
      <w:r>
        <w:tab/>
      </w:r>
      <w:r w:rsidR="00523621">
        <w:t xml:space="preserve">            = </w:t>
      </w:r>
      <w:r w:rsidR="00523621">
        <w:tab/>
      </w:r>
      <w:r>
        <w:t xml:space="preserve">    $   </w:t>
      </w:r>
      <w:r w:rsidR="00071E37">
        <w:t xml:space="preserve"> </w:t>
      </w:r>
      <w:r>
        <w:t xml:space="preserve">  </w:t>
      </w:r>
      <w:r w:rsidR="00E34759">
        <w:t>24</w:t>
      </w:r>
      <w:r>
        <w:t>,000</w:t>
      </w:r>
    </w:p>
    <w:p w14:paraId="3C8585F4" w14:textId="77777777" w:rsidR="000D4C02" w:rsidRDefault="000D4C02" w:rsidP="000D4C02">
      <w:pPr>
        <w:pStyle w:val="Standard"/>
        <w:spacing w:before="120"/>
        <w:ind w:left="1440"/>
        <w:contextualSpacing/>
      </w:pPr>
      <w:r>
        <w:t xml:space="preserve">One GS-15 manager (1/8 time) </w:t>
      </w:r>
      <w:r>
        <w:tab/>
        <w:t xml:space="preserve"> </w:t>
      </w:r>
      <w:r w:rsidR="00523621">
        <w:t xml:space="preserve">           =</w:t>
      </w:r>
      <w:r>
        <w:tab/>
      </w:r>
      <w:r w:rsidRPr="00E34759">
        <w:rPr>
          <w:u w:val="single"/>
        </w:rPr>
        <w:t xml:space="preserve">    $   </w:t>
      </w:r>
      <w:r w:rsidR="00071E37" w:rsidRPr="00E34759">
        <w:rPr>
          <w:u w:val="single"/>
        </w:rPr>
        <w:t xml:space="preserve">  </w:t>
      </w:r>
      <w:r w:rsidR="00337449" w:rsidRPr="00E34759">
        <w:rPr>
          <w:u w:val="single"/>
        </w:rPr>
        <w:t xml:space="preserve"> </w:t>
      </w:r>
      <w:r w:rsidR="00CD140C" w:rsidRPr="00E34759">
        <w:rPr>
          <w:u w:val="single"/>
        </w:rPr>
        <w:t>33</w:t>
      </w:r>
      <w:r w:rsidRPr="00E34759">
        <w:rPr>
          <w:u w:val="single"/>
        </w:rPr>
        <w:t>,000</w:t>
      </w:r>
    </w:p>
    <w:p w14:paraId="6970BA34" w14:textId="77777777" w:rsidR="00174BD8" w:rsidRDefault="000D4C02" w:rsidP="00174BD8">
      <w:pPr>
        <w:pStyle w:val="Standard"/>
        <w:spacing w:before="120"/>
        <w:ind w:left="1440"/>
        <w:contextualSpacing/>
      </w:pPr>
      <w:r w:rsidRPr="00F04549">
        <w:t>TOTAL</w:t>
      </w:r>
      <w:r>
        <w:t xml:space="preserve"> AGENCY COST </w:t>
      </w:r>
      <w:r w:rsidR="00523621">
        <w:t xml:space="preserve">                              =</w:t>
      </w:r>
      <w:r w:rsidR="00523621">
        <w:tab/>
        <w:t xml:space="preserve">  </w:t>
      </w:r>
      <w:r w:rsidRPr="00F04549">
        <w:t xml:space="preserve">  $ </w:t>
      </w:r>
      <w:r w:rsidR="00800762">
        <w:t xml:space="preserve">   </w:t>
      </w:r>
      <w:r w:rsidR="00E34759">
        <w:t>158</w:t>
      </w:r>
      <w:r w:rsidRPr="00F04549">
        <w:t>,000</w:t>
      </w:r>
    </w:p>
    <w:p w14:paraId="24A4518E" w14:textId="77777777" w:rsidR="00174BD8" w:rsidRDefault="00174BD8" w:rsidP="00174BD8">
      <w:pPr>
        <w:pStyle w:val="Standard"/>
        <w:spacing w:before="120"/>
        <w:ind w:left="1440"/>
        <w:contextualSpacing/>
      </w:pPr>
    </w:p>
    <w:p w14:paraId="4ED9874E" w14:textId="77777777" w:rsidR="000D4C02" w:rsidRDefault="000D4C02" w:rsidP="00174BD8">
      <w:pPr>
        <w:pStyle w:val="Standard"/>
        <w:numPr>
          <w:ilvl w:val="1"/>
          <w:numId w:val="13"/>
        </w:numPr>
        <w:spacing w:before="120"/>
        <w:contextualSpacing/>
      </w:pPr>
      <w:r w:rsidRPr="00FD476E">
        <w:rPr>
          <w:u w:val="single"/>
        </w:rPr>
        <w:t>Estimating the Respondent Universe</w:t>
      </w:r>
      <w:r>
        <w:t>: The number of regulated entities used in this ICR have been estimated based upon EPA's previous experience managing the</w:t>
      </w:r>
      <w:r w:rsidR="00BA508C">
        <w:t xml:space="preserve"> RFS program</w:t>
      </w:r>
      <w:r>
        <w:t>. For Tables I-</w:t>
      </w:r>
      <w:r w:rsidR="00151072">
        <w:t>I</w:t>
      </w:r>
      <w:r>
        <w:t xml:space="preserve">V, EPA used the actual number of active, registered parties as of </w:t>
      </w:r>
      <w:r w:rsidR="006164E4">
        <w:t>February 2019.</w:t>
      </w:r>
      <w:r>
        <w:t xml:space="preserve"> EPA expects these number to remain relatively stable for the term </w:t>
      </w:r>
      <w:r w:rsidR="00174BD8">
        <w:t>of this information collection.</w:t>
      </w:r>
    </w:p>
    <w:p w14:paraId="0A28A98F" w14:textId="77777777" w:rsidR="000D4C02" w:rsidRDefault="000D4C02" w:rsidP="000D4C02">
      <w:pPr>
        <w:pStyle w:val="Standard"/>
        <w:spacing w:before="120"/>
        <w:contextualSpacing/>
      </w:pPr>
      <w:r>
        <w:t xml:space="preserve"> </w:t>
      </w:r>
    </w:p>
    <w:p w14:paraId="54FD8DD8" w14:textId="77777777" w:rsidR="000D4C02" w:rsidRPr="00645112" w:rsidRDefault="000D4C02" w:rsidP="000D4C02">
      <w:pPr>
        <w:pStyle w:val="Standard"/>
        <w:numPr>
          <w:ilvl w:val="1"/>
          <w:numId w:val="13"/>
        </w:numPr>
        <w:spacing w:before="120"/>
        <w:contextualSpacing/>
      </w:pPr>
      <w:r w:rsidRPr="00C54B4E">
        <w:rPr>
          <w:u w:val="single"/>
        </w:rPr>
        <w:t>Bottom Line Burden Hours and Costs:</w:t>
      </w:r>
      <w:r>
        <w:t xml:space="preserve"> </w:t>
      </w:r>
      <w:r w:rsidRPr="00645112">
        <w:t>From the tables, EPA estimate the following totals:</w:t>
      </w:r>
    </w:p>
    <w:p w14:paraId="1E376878" w14:textId="4213C3F0" w:rsidR="000D4C02" w:rsidRPr="006D0130" w:rsidRDefault="000D4C02" w:rsidP="000D4C02">
      <w:pPr>
        <w:spacing w:before="120"/>
        <w:ind w:left="1440"/>
        <w:contextualSpacing/>
      </w:pPr>
      <w:r w:rsidRPr="006D0130">
        <w:t xml:space="preserve">TOTAL NO. OF RESPONDENTS:    </w:t>
      </w:r>
      <w:r w:rsidRPr="006D0130">
        <w:tab/>
        <w:t xml:space="preserve">      </w:t>
      </w:r>
      <w:r w:rsidR="005A3D95" w:rsidRPr="006D0130">
        <w:t xml:space="preserve">  </w:t>
      </w:r>
      <w:r w:rsidRPr="006D0130">
        <w:tab/>
      </w:r>
      <w:r w:rsidR="005A3D95" w:rsidRPr="006D0130">
        <w:t xml:space="preserve"> </w:t>
      </w:r>
      <w:r w:rsidR="00D57B5D" w:rsidRPr="006D0130">
        <w:t>2</w:t>
      </w:r>
      <w:r w:rsidR="00D57B5D">
        <w:t>2</w:t>
      </w:r>
      <w:r w:rsidR="005A3D95" w:rsidRPr="006D0130">
        <w:t>,</w:t>
      </w:r>
      <w:r w:rsidR="00D57B5D">
        <w:t>119</w:t>
      </w:r>
    </w:p>
    <w:p w14:paraId="4EAF84A2" w14:textId="181AFFBD" w:rsidR="000D4C02" w:rsidRPr="006D0130" w:rsidRDefault="000D4C02" w:rsidP="000D4C02">
      <w:pPr>
        <w:spacing w:before="120"/>
        <w:ind w:left="1440"/>
        <w:contextualSpacing/>
      </w:pPr>
      <w:r w:rsidRPr="006D0130">
        <w:t>TOTAL NO. OF RESPONSES:</w:t>
      </w:r>
      <w:r w:rsidRPr="006D0130">
        <w:tab/>
      </w:r>
      <w:r w:rsidRPr="006D0130">
        <w:tab/>
        <w:t xml:space="preserve">        </w:t>
      </w:r>
      <w:r w:rsidR="00645112" w:rsidRPr="006D0130">
        <w:t>2</w:t>
      </w:r>
      <w:r w:rsidR="004B76B2" w:rsidRPr="006D0130">
        <w:t>,</w:t>
      </w:r>
      <w:r w:rsidR="00D57B5D" w:rsidRPr="006D0130">
        <w:t>8</w:t>
      </w:r>
      <w:r w:rsidR="00D57B5D">
        <w:t>14</w:t>
      </w:r>
      <w:r w:rsidRPr="006D0130">
        <w:t>,</w:t>
      </w:r>
      <w:r w:rsidR="00D57B5D">
        <w:t>476</w:t>
      </w:r>
    </w:p>
    <w:p w14:paraId="3E8007CE" w14:textId="2D9E8AAB" w:rsidR="000D4C02" w:rsidRPr="006D0130" w:rsidRDefault="000D4C02" w:rsidP="000D4C02">
      <w:pPr>
        <w:spacing w:before="120"/>
        <w:ind w:left="1440"/>
        <w:contextualSpacing/>
      </w:pPr>
      <w:r w:rsidRPr="006D0130">
        <w:t xml:space="preserve">TOTAL BURDEN HOURS:    </w:t>
      </w:r>
      <w:r w:rsidRPr="006D0130">
        <w:tab/>
        <w:t xml:space="preserve">    </w:t>
      </w:r>
      <w:r w:rsidRPr="006D0130">
        <w:tab/>
      </w:r>
      <w:r w:rsidR="00645112" w:rsidRPr="006D0130">
        <w:rPr>
          <w:u w:val="single"/>
        </w:rPr>
        <w:t xml:space="preserve">           </w:t>
      </w:r>
      <w:r w:rsidR="00C57FF4">
        <w:rPr>
          <w:u w:val="single"/>
        </w:rPr>
        <w:t>2</w:t>
      </w:r>
      <w:r w:rsidR="00AF6455">
        <w:rPr>
          <w:u w:val="single"/>
        </w:rPr>
        <w:t>1</w:t>
      </w:r>
      <w:r w:rsidR="00C57FF4">
        <w:rPr>
          <w:u w:val="single"/>
        </w:rPr>
        <w:t>6</w:t>
      </w:r>
      <w:r w:rsidR="00645112" w:rsidRPr="006D0130">
        <w:rPr>
          <w:u w:val="single"/>
        </w:rPr>
        <w:t>,</w:t>
      </w:r>
      <w:r w:rsidR="00AF6455">
        <w:rPr>
          <w:u w:val="single"/>
        </w:rPr>
        <w:t>891</w:t>
      </w:r>
    </w:p>
    <w:p w14:paraId="50B83237" w14:textId="6F78B438" w:rsidR="00174BD8" w:rsidRDefault="000D4C02" w:rsidP="00174BD8">
      <w:pPr>
        <w:spacing w:before="120"/>
        <w:ind w:left="1440"/>
        <w:contextualSpacing/>
      </w:pPr>
      <w:r w:rsidRPr="006D0130">
        <w:t xml:space="preserve">TOTAL COST TO RESPONDENTS:  </w:t>
      </w:r>
      <w:r w:rsidRPr="006D0130">
        <w:tab/>
      </w:r>
      <w:r w:rsidR="00645112" w:rsidRPr="006D0130">
        <w:t xml:space="preserve">    </w:t>
      </w:r>
      <w:r w:rsidR="003B44C5" w:rsidRPr="006D0130">
        <w:t>$</w:t>
      </w:r>
      <w:r w:rsidR="005A3D95" w:rsidRPr="006D0130">
        <w:t xml:space="preserve"> </w:t>
      </w:r>
      <w:r w:rsidR="00C57FF4">
        <w:t>2</w:t>
      </w:r>
      <w:r w:rsidR="00AF6455">
        <w:t>0</w:t>
      </w:r>
      <w:r w:rsidRPr="006D0130">
        <w:t>,</w:t>
      </w:r>
      <w:r w:rsidR="00AF6455">
        <w:t>445</w:t>
      </w:r>
      <w:r w:rsidRPr="006D0130">
        <w:t>,</w:t>
      </w:r>
      <w:r w:rsidR="00AF6455">
        <w:t>451</w:t>
      </w:r>
    </w:p>
    <w:p w14:paraId="456B53A7" w14:textId="77777777" w:rsidR="00174BD8" w:rsidRDefault="00174BD8" w:rsidP="00174BD8">
      <w:pPr>
        <w:spacing w:before="120"/>
        <w:ind w:left="1440"/>
        <w:contextualSpacing/>
      </w:pPr>
    </w:p>
    <w:p w14:paraId="72336E74" w14:textId="37D3C29E" w:rsidR="008634BD" w:rsidRPr="001175D0" w:rsidRDefault="008634BD" w:rsidP="000D4C02">
      <w:pPr>
        <w:pStyle w:val="ListParagraph"/>
        <w:numPr>
          <w:ilvl w:val="1"/>
          <w:numId w:val="13"/>
        </w:numPr>
        <w:spacing w:before="120"/>
        <w:rPr>
          <w:u w:val="single"/>
        </w:rPr>
      </w:pPr>
      <w:r w:rsidRPr="001175D0">
        <w:rPr>
          <w:u w:val="single"/>
        </w:rPr>
        <w:t>Reasons for Change in Burden:</w:t>
      </w:r>
      <w:r w:rsidRPr="00F77BDB">
        <w:t xml:space="preserve"> </w:t>
      </w:r>
      <w:r w:rsidR="00CD0D0D" w:rsidRPr="00CD0D0D">
        <w:t xml:space="preserve">The extent and direction of burden changes expected from the proposed rulemaking have been outlined in section 4 and in </w:t>
      </w:r>
      <w:r w:rsidR="00CD0D0D">
        <w:t>Appendix Tables I-IV</w:t>
      </w:r>
      <w:r w:rsidR="00CD0D0D" w:rsidRPr="00CD0D0D">
        <w:t xml:space="preserve">. Once </w:t>
      </w:r>
      <w:r w:rsidR="00CD0D0D">
        <w:t>the</w:t>
      </w:r>
      <w:r w:rsidR="00CD0D0D" w:rsidRPr="00CD0D0D">
        <w:t xml:space="preserve"> rule is finalized, EPA intends to merge this ICR into the consolidated RFS ICR (EPA ICR No. 2546.01, OMB Control Number 2060-NEW</w:t>
      </w:r>
      <w:r w:rsidR="00CD0D0D">
        <w:t>)</w:t>
      </w:r>
      <w:r w:rsidR="00CD0D0D" w:rsidRPr="00CD0D0D">
        <w:t xml:space="preserve"> and modify the burden levels recorded there accordingly.</w:t>
      </w:r>
    </w:p>
    <w:p w14:paraId="62D59B5E" w14:textId="77777777" w:rsidR="008634BD" w:rsidRPr="001175D0" w:rsidRDefault="008634BD" w:rsidP="001175D0">
      <w:pPr>
        <w:pStyle w:val="ListParagraph"/>
        <w:spacing w:before="120"/>
      </w:pPr>
    </w:p>
    <w:p w14:paraId="4175082E" w14:textId="0BBF07C0" w:rsidR="000D4C02" w:rsidRDefault="000D4C02" w:rsidP="000D4C02">
      <w:pPr>
        <w:pStyle w:val="ListParagraph"/>
        <w:numPr>
          <w:ilvl w:val="1"/>
          <w:numId w:val="13"/>
        </w:numPr>
        <w:spacing w:before="120"/>
      </w:pPr>
      <w:r w:rsidRPr="00C54B4E">
        <w:rPr>
          <w:u w:val="single"/>
        </w:rPr>
        <w:t>Burden Statement:</w:t>
      </w:r>
      <w:r>
        <w:t xml:space="preserve"> The annual public reporting and recordkeeping burden for this collection of information is estimated to </w:t>
      </w:r>
      <w:r w:rsidRPr="00645112">
        <w:t>be 0.</w:t>
      </w:r>
      <w:r w:rsidR="00645112" w:rsidRPr="00645112">
        <w:t>0</w:t>
      </w:r>
      <w:r w:rsidR="004061AF">
        <w:t>9</w:t>
      </w:r>
      <w:r w:rsidRPr="00645112">
        <w:t xml:space="preserve"> 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41C7B6BC" w14:textId="77777777" w:rsidR="000D4C02" w:rsidRDefault="000D4C02" w:rsidP="000D4C02">
      <w:pPr>
        <w:spacing w:before="120"/>
      </w:pPr>
    </w:p>
    <w:p w14:paraId="25BA24F6" w14:textId="77777777" w:rsidR="000D4C02" w:rsidRPr="00FA7343" w:rsidRDefault="000D4C02" w:rsidP="00174BD8">
      <w:pPr>
        <w:spacing w:before="120"/>
        <w:ind w:left="720"/>
      </w:pPr>
      <w:r w:rsidRPr="00FA7343">
        <w:t>To comment on the Agency's need for this information, the accuracy of the provided burden estimates, and any suggested methods for</w:t>
      </w:r>
      <w:r>
        <w:t xml:space="preserve"> </w:t>
      </w:r>
      <w:r w:rsidRPr="00FA7343">
        <w:t>minimizing respondent burden, including the use of automated collection techniques, EPA has established a public docket for this ICR under Docket ID Number</w:t>
      </w:r>
      <w:r>
        <w:t xml:space="preserve"> EPA-HQ-</w:t>
      </w:r>
      <w:r w:rsidR="00803A29">
        <w:t>OAR-</w:t>
      </w:r>
      <w:r>
        <w:t>201</w:t>
      </w:r>
      <w:r w:rsidR="00803A29">
        <w:t>8</w:t>
      </w:r>
      <w:r>
        <w:t>-0</w:t>
      </w:r>
      <w:r w:rsidR="00803A29">
        <w:t>775</w:t>
      </w:r>
      <w:r w:rsidRPr="00FA7343">
        <w:t>, which is available for online viewing at www.regulations.gov, or in person viewing at the</w:t>
      </w:r>
      <w:r>
        <w:t xml:space="preserve"> Air Docket </w:t>
      </w:r>
      <w:r w:rsidRPr="00FA7343">
        <w:t xml:space="preserve">in the EPA Docket Center (EPA/DC), EPA </w:t>
      </w:r>
      <w:r>
        <w:t>We</w:t>
      </w:r>
      <w:r w:rsidRPr="00FA7343">
        <w:t>st, Room 3334, 1301 Constitution Avenue, NW, Washington, D.C.  The EPA Docket Center Public Reading Room is open from 8:30 a.m. to 4:30 p.m., Monday through Friday, excluding legal</w:t>
      </w:r>
      <w:r>
        <w:t xml:space="preserve"> </w:t>
      </w:r>
      <w:r w:rsidRPr="00FA7343">
        <w:t xml:space="preserve">holidays.  The telephone number for the Reading Room is (202) 566-1744, and the telephone number for the </w:t>
      </w:r>
      <w:r>
        <w:t>Air Docket is (202) 566-1742</w:t>
      </w:r>
      <w:r w:rsidRPr="00FA7343">
        <w:t>.  An electronic version of the public docket is available at</w:t>
      </w:r>
      <w:r>
        <w:t xml:space="preserve"> w</w:t>
      </w:r>
      <w:r w:rsidRPr="00FA7343">
        <w:t>ww.regulations.gov.  This site can be used to submit or view public</w:t>
      </w:r>
      <w:r>
        <w:t xml:space="preserve"> </w:t>
      </w:r>
      <w:r w:rsidRPr="00FA7343">
        <w:t>comments, access the index listing of the contents of the public docket, and to access those documents in the public docket that are available</w:t>
      </w:r>
      <w:r>
        <w:t xml:space="preserve"> </w:t>
      </w:r>
      <w:r w:rsidRPr="00FA7343">
        <w:t>electronically. When in the system, select “search,” then key in the Docket ID Number identified above. Also, you can send comments to the</w:t>
      </w:r>
      <w:r>
        <w:t xml:space="preserve"> </w:t>
      </w:r>
      <w:r w:rsidRPr="00FA7343">
        <w:t xml:space="preserve">Office of Information and Regulatory Affairs, Office of Management and Budget, 725 17th Street, NW, Washington, D.C. 20503, Attention: Desk Officer for EPA.  Please include </w:t>
      </w:r>
      <w:r>
        <w:t xml:space="preserve">the EPA Docket ID Number </w:t>
      </w:r>
      <w:r w:rsidR="00803A29">
        <w:t>EPA-HQ-OAR-2018-0775</w:t>
      </w:r>
      <w:r>
        <w:t xml:space="preserve"> </w:t>
      </w:r>
      <w:r w:rsidRPr="00FA7343">
        <w:t xml:space="preserve">and OMB Control Number </w:t>
      </w:r>
      <w:r>
        <w:t xml:space="preserve">2060-NEW </w:t>
      </w:r>
      <w:r w:rsidRPr="00FA7343">
        <w:t>in any</w:t>
      </w:r>
      <w:r>
        <w:t xml:space="preserve"> </w:t>
      </w:r>
      <w:r w:rsidRPr="00FA7343">
        <w:t>correspondence.</w:t>
      </w:r>
    </w:p>
    <w:p w14:paraId="7128C2F6" w14:textId="77777777" w:rsidR="000D4C02" w:rsidRPr="00FA7343" w:rsidRDefault="000D4C02" w:rsidP="000D4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contextualSpacing/>
      </w:pPr>
    </w:p>
    <w:p w14:paraId="43CC5027" w14:textId="77777777" w:rsidR="000D4C02" w:rsidRPr="00FA7343" w:rsidRDefault="000D4C02" w:rsidP="000D4C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contextualSpacing/>
      </w:pPr>
    </w:p>
    <w:p w14:paraId="102BBA84" w14:textId="77777777" w:rsidR="000D4C02" w:rsidRPr="00FA7343" w:rsidRDefault="000D4C02" w:rsidP="000D4C02">
      <w:pPr>
        <w:pStyle w:val="ListParagraph"/>
        <w:numPr>
          <w:ilvl w:val="0"/>
          <w:numId w:val="16"/>
        </w:numPr>
        <w:spacing w:before="120"/>
        <w:rPr>
          <w:color w:val="000000"/>
        </w:rPr>
      </w:pPr>
      <w:r w:rsidRPr="00606343">
        <w:rPr>
          <w:b/>
        </w:rPr>
        <w:t>APPENDIX – Detailed Bur</w:t>
      </w:r>
      <w:r w:rsidR="00174BD8">
        <w:rPr>
          <w:b/>
        </w:rPr>
        <w:t>den Estimates, Tables I-</w:t>
      </w:r>
      <w:r w:rsidR="00AE20A3">
        <w:rPr>
          <w:b/>
        </w:rPr>
        <w:t>I</w:t>
      </w:r>
      <w:r w:rsidR="00174BD8">
        <w:rPr>
          <w:b/>
        </w:rPr>
        <w:t>V</w:t>
      </w:r>
    </w:p>
    <w:p w14:paraId="789F2554" w14:textId="77777777" w:rsidR="000D4C02" w:rsidRDefault="000D4C02" w:rsidP="000D4C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C67FD62" w14:textId="77777777" w:rsidR="000D4C02" w:rsidRPr="00942F29" w:rsidRDefault="000D4C02" w:rsidP="000D4C02"/>
    <w:sectPr w:rsidR="000D4C02" w:rsidRPr="00942F29" w:rsidSect="001003B8">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9B923" w14:textId="77777777" w:rsidR="00EF36B4" w:rsidRDefault="00EF36B4" w:rsidP="000D4C02">
      <w:r>
        <w:separator/>
      </w:r>
    </w:p>
  </w:endnote>
  <w:endnote w:type="continuationSeparator" w:id="0">
    <w:p w14:paraId="7B856EA3" w14:textId="77777777" w:rsidR="00EF36B4" w:rsidRDefault="00EF36B4" w:rsidP="000D4C02">
      <w:r>
        <w:continuationSeparator/>
      </w:r>
    </w:p>
  </w:endnote>
  <w:endnote w:type="continuationNotice" w:id="1">
    <w:p w14:paraId="131F712D" w14:textId="77777777" w:rsidR="00EF36B4" w:rsidRDefault="00EF3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5A981" w14:textId="77777777" w:rsidR="00EF36B4" w:rsidRDefault="00EF36B4" w:rsidP="000D4C02">
      <w:r>
        <w:separator/>
      </w:r>
    </w:p>
  </w:footnote>
  <w:footnote w:type="continuationSeparator" w:id="0">
    <w:p w14:paraId="04904C0B" w14:textId="77777777" w:rsidR="00EF36B4" w:rsidRDefault="00EF36B4" w:rsidP="000D4C02">
      <w:r>
        <w:continuationSeparator/>
      </w:r>
    </w:p>
  </w:footnote>
  <w:footnote w:type="continuationNotice" w:id="1">
    <w:p w14:paraId="6448D9BA" w14:textId="77777777" w:rsidR="00EF36B4" w:rsidRDefault="00EF36B4"/>
  </w:footnote>
  <w:footnote w:id="2">
    <w:p w14:paraId="11F22169" w14:textId="77777777" w:rsidR="00F5525C" w:rsidRDefault="00F5525C" w:rsidP="000D4C02">
      <w:pPr>
        <w:pStyle w:val="FootnoteText"/>
      </w:pPr>
      <w:r w:rsidRPr="00DE102F">
        <w:rPr>
          <w:rStyle w:val="FootnoteReference"/>
        </w:rPr>
        <w:footnoteRef/>
      </w:r>
      <w:r>
        <w:t xml:space="preserve"> These estimates are derived from "</w:t>
      </w:r>
      <w:r w:rsidRPr="00071E37">
        <w:t>OPM Salary Table 2019-DCB</w:t>
      </w:r>
      <w:r>
        <w:t xml:space="preserve">," effective January 2019. This table may be found at </w:t>
      </w:r>
      <w:hyperlink r:id="rId1" w:history="1">
        <w:r w:rsidRPr="00311A06">
          <w:rPr>
            <w:rStyle w:val="Hyperlink"/>
          </w:rPr>
          <w:t>https://www.opm.gov/policy-data-oversight/pay-leave/salaries-wages/salary-tables/pdf/2019/DCB.pdf</w:t>
        </w:r>
      </w:hyperlink>
      <w:r>
        <w:t>. The extreme of step 10 was assumed for all categories. All values were multiplied by 1.6 (which is a common factor utilized in ICRs to account for overhead costs). EPA rounded the resulting dollar value to the nearest thousand. This FTE cost of $158,000 is per year.</w:t>
      </w:r>
    </w:p>
    <w:p w14:paraId="10F87743" w14:textId="77777777" w:rsidR="00F5525C" w:rsidRDefault="00F5525C" w:rsidP="000D4C02">
      <w:pPr>
        <w:pStyle w:val="FootnoteText"/>
      </w:pPr>
    </w:p>
    <w:p w14:paraId="27040F12" w14:textId="77777777" w:rsidR="00F5525C" w:rsidRDefault="00F5525C" w:rsidP="000D4C02">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813321"/>
      <w:docPartObj>
        <w:docPartGallery w:val="Page Numbers (Top of Page)"/>
        <w:docPartUnique/>
      </w:docPartObj>
    </w:sdtPr>
    <w:sdtEndPr>
      <w:rPr>
        <w:noProof/>
      </w:rPr>
    </w:sdtEndPr>
    <w:sdtContent>
      <w:p w14:paraId="2A9A9722" w14:textId="77777777" w:rsidR="00F5525C" w:rsidRDefault="00F5525C" w:rsidP="001003B8">
        <w:pPr>
          <w:pStyle w:val="Header"/>
          <w:jc w:val="center"/>
        </w:pPr>
      </w:p>
      <w:p w14:paraId="07A4B658" w14:textId="77777777" w:rsidR="00F5525C" w:rsidRDefault="004E7EBB">
        <w:pPr>
          <w:pStyle w:val="Header"/>
          <w:jc w:val="center"/>
        </w:pPr>
      </w:p>
    </w:sdtContent>
  </w:sdt>
  <w:p w14:paraId="54F400EB" w14:textId="77777777" w:rsidR="00F5525C" w:rsidRDefault="00F55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67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395704"/>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125C0C5C"/>
    <w:multiLevelType w:val="hybridMultilevel"/>
    <w:tmpl w:val="CF86CA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EB7A24"/>
    <w:multiLevelType w:val="multilevel"/>
    <w:tmpl w:val="0C4408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3AF47CE"/>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28FC7386"/>
    <w:multiLevelType w:val="multilevel"/>
    <w:tmpl w:val="68448FC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A644475"/>
    <w:multiLevelType w:val="multilevel"/>
    <w:tmpl w:val="9028E06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BFA2897"/>
    <w:multiLevelType w:val="multilevel"/>
    <w:tmpl w:val="D5F25F96"/>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BFB3B0E"/>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24C2EB1"/>
    <w:multiLevelType w:val="hybridMultilevel"/>
    <w:tmpl w:val="DD98D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4810F7"/>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546C7886"/>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56D1007"/>
    <w:multiLevelType w:val="hybridMultilevel"/>
    <w:tmpl w:val="2FB8E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551E94"/>
    <w:multiLevelType w:val="multilevel"/>
    <w:tmpl w:val="651C386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45F4A7E"/>
    <w:multiLevelType w:val="multilevel"/>
    <w:tmpl w:val="0A64F0E2"/>
    <w:lvl w:ilvl="0">
      <w:start w:val="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8321730"/>
    <w:multiLevelType w:val="hybridMultilevel"/>
    <w:tmpl w:val="65387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706697"/>
    <w:multiLevelType w:val="hybridMultilevel"/>
    <w:tmpl w:val="13B0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1"/>
  </w:num>
  <w:num w:numId="4">
    <w:abstractNumId w:val="18"/>
  </w:num>
  <w:num w:numId="5">
    <w:abstractNumId w:val="4"/>
  </w:num>
  <w:num w:numId="6">
    <w:abstractNumId w:val="12"/>
  </w:num>
  <w:num w:numId="7">
    <w:abstractNumId w:val="2"/>
  </w:num>
  <w:num w:numId="8">
    <w:abstractNumId w:val="1"/>
  </w:num>
  <w:num w:numId="9">
    <w:abstractNumId w:val="6"/>
  </w:num>
  <w:num w:numId="10">
    <w:abstractNumId w:val="5"/>
  </w:num>
  <w:num w:numId="11">
    <w:abstractNumId w:val="7"/>
  </w:num>
  <w:num w:numId="12">
    <w:abstractNumId w:val="16"/>
  </w:num>
  <w:num w:numId="13">
    <w:abstractNumId w:val="15"/>
  </w:num>
  <w:num w:numId="14">
    <w:abstractNumId w:val="9"/>
  </w:num>
  <w:num w:numId="15">
    <w:abstractNumId w:val="13"/>
  </w:num>
  <w:num w:numId="16">
    <w:abstractNumId w:val="8"/>
  </w:num>
  <w:num w:numId="17">
    <w:abstractNumId w:val="3"/>
  </w:num>
  <w:num w:numId="18">
    <w:abstractNumId w:val="1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83"/>
    <w:rsid w:val="0000605A"/>
    <w:rsid w:val="00014C74"/>
    <w:rsid w:val="0002686C"/>
    <w:rsid w:val="0002786F"/>
    <w:rsid w:val="00035D79"/>
    <w:rsid w:val="00071E37"/>
    <w:rsid w:val="00094474"/>
    <w:rsid w:val="000C6F9F"/>
    <w:rsid w:val="000D4C02"/>
    <w:rsid w:val="000E55FA"/>
    <w:rsid w:val="001003B8"/>
    <w:rsid w:val="00100B6C"/>
    <w:rsid w:val="001175D0"/>
    <w:rsid w:val="00124270"/>
    <w:rsid w:val="00150B00"/>
    <w:rsid w:val="00151072"/>
    <w:rsid w:val="00174BD8"/>
    <w:rsid w:val="00193C66"/>
    <w:rsid w:val="001A1809"/>
    <w:rsid w:val="001F34C2"/>
    <w:rsid w:val="00204EF9"/>
    <w:rsid w:val="0023654A"/>
    <w:rsid w:val="00252103"/>
    <w:rsid w:val="00277C6E"/>
    <w:rsid w:val="002C0DE5"/>
    <w:rsid w:val="002C3548"/>
    <w:rsid w:val="00307FF6"/>
    <w:rsid w:val="00316E3A"/>
    <w:rsid w:val="00332AD3"/>
    <w:rsid w:val="00337449"/>
    <w:rsid w:val="003B44C5"/>
    <w:rsid w:val="003C5445"/>
    <w:rsid w:val="003D7C70"/>
    <w:rsid w:val="004061AF"/>
    <w:rsid w:val="004270D6"/>
    <w:rsid w:val="00447C53"/>
    <w:rsid w:val="004B300B"/>
    <w:rsid w:val="004B76B2"/>
    <w:rsid w:val="004C010C"/>
    <w:rsid w:val="004D6E43"/>
    <w:rsid w:val="004E7EBB"/>
    <w:rsid w:val="00510E95"/>
    <w:rsid w:val="00514FD7"/>
    <w:rsid w:val="00523621"/>
    <w:rsid w:val="00546B04"/>
    <w:rsid w:val="00546C60"/>
    <w:rsid w:val="00566A56"/>
    <w:rsid w:val="00593BCA"/>
    <w:rsid w:val="005A3D95"/>
    <w:rsid w:val="005A6B30"/>
    <w:rsid w:val="005C636D"/>
    <w:rsid w:val="005C64B8"/>
    <w:rsid w:val="005D0177"/>
    <w:rsid w:val="005E1AF2"/>
    <w:rsid w:val="005E6DE1"/>
    <w:rsid w:val="006164E4"/>
    <w:rsid w:val="00644B15"/>
    <w:rsid w:val="00645112"/>
    <w:rsid w:val="00656703"/>
    <w:rsid w:val="006D0130"/>
    <w:rsid w:val="006E7130"/>
    <w:rsid w:val="006F5EE7"/>
    <w:rsid w:val="00730017"/>
    <w:rsid w:val="0076378A"/>
    <w:rsid w:val="007677A6"/>
    <w:rsid w:val="00781159"/>
    <w:rsid w:val="007878D0"/>
    <w:rsid w:val="007947D8"/>
    <w:rsid w:val="007B5B80"/>
    <w:rsid w:val="007F62CB"/>
    <w:rsid w:val="00800762"/>
    <w:rsid w:val="00803A29"/>
    <w:rsid w:val="0082547D"/>
    <w:rsid w:val="00852D6B"/>
    <w:rsid w:val="00857307"/>
    <w:rsid w:val="008634BD"/>
    <w:rsid w:val="00864CB7"/>
    <w:rsid w:val="00874FED"/>
    <w:rsid w:val="00876BA8"/>
    <w:rsid w:val="008A2E34"/>
    <w:rsid w:val="008B3EC1"/>
    <w:rsid w:val="008D5BA9"/>
    <w:rsid w:val="008E2190"/>
    <w:rsid w:val="0090441D"/>
    <w:rsid w:val="0090613A"/>
    <w:rsid w:val="0091095A"/>
    <w:rsid w:val="009405D9"/>
    <w:rsid w:val="00961D06"/>
    <w:rsid w:val="00970E9D"/>
    <w:rsid w:val="00981ADC"/>
    <w:rsid w:val="0099149A"/>
    <w:rsid w:val="009E2E34"/>
    <w:rsid w:val="009E554B"/>
    <w:rsid w:val="009E5963"/>
    <w:rsid w:val="009F26AF"/>
    <w:rsid w:val="009F6038"/>
    <w:rsid w:val="00A02753"/>
    <w:rsid w:val="00A14A28"/>
    <w:rsid w:val="00A26920"/>
    <w:rsid w:val="00A534D8"/>
    <w:rsid w:val="00A672BB"/>
    <w:rsid w:val="00A71A1D"/>
    <w:rsid w:val="00A7793D"/>
    <w:rsid w:val="00A9567C"/>
    <w:rsid w:val="00AC088F"/>
    <w:rsid w:val="00AD5FB6"/>
    <w:rsid w:val="00AD7F2C"/>
    <w:rsid w:val="00AE20A3"/>
    <w:rsid w:val="00AE589F"/>
    <w:rsid w:val="00AF6455"/>
    <w:rsid w:val="00B209BE"/>
    <w:rsid w:val="00B46CC1"/>
    <w:rsid w:val="00B61ADC"/>
    <w:rsid w:val="00B71F83"/>
    <w:rsid w:val="00B7222E"/>
    <w:rsid w:val="00B76344"/>
    <w:rsid w:val="00B87C81"/>
    <w:rsid w:val="00B94588"/>
    <w:rsid w:val="00BA508C"/>
    <w:rsid w:val="00BE2C8A"/>
    <w:rsid w:val="00C06B1A"/>
    <w:rsid w:val="00C07DFC"/>
    <w:rsid w:val="00C57FF4"/>
    <w:rsid w:val="00C6708B"/>
    <w:rsid w:val="00C96E1A"/>
    <w:rsid w:val="00CB02E7"/>
    <w:rsid w:val="00CD0D0D"/>
    <w:rsid w:val="00CD140C"/>
    <w:rsid w:val="00CF5E0E"/>
    <w:rsid w:val="00D57B5D"/>
    <w:rsid w:val="00D74E62"/>
    <w:rsid w:val="00DE61FC"/>
    <w:rsid w:val="00DE6888"/>
    <w:rsid w:val="00DF1A48"/>
    <w:rsid w:val="00E017FF"/>
    <w:rsid w:val="00E22871"/>
    <w:rsid w:val="00E34759"/>
    <w:rsid w:val="00E464EC"/>
    <w:rsid w:val="00E94884"/>
    <w:rsid w:val="00E97124"/>
    <w:rsid w:val="00EC0B18"/>
    <w:rsid w:val="00ED0BE0"/>
    <w:rsid w:val="00EE19BF"/>
    <w:rsid w:val="00EF36B4"/>
    <w:rsid w:val="00F46ECD"/>
    <w:rsid w:val="00F54FAC"/>
    <w:rsid w:val="00F5525C"/>
    <w:rsid w:val="00F66ACF"/>
    <w:rsid w:val="00F76606"/>
    <w:rsid w:val="00F77BDB"/>
    <w:rsid w:val="00F92C7F"/>
    <w:rsid w:val="00FD10FF"/>
    <w:rsid w:val="00FD35FA"/>
    <w:rsid w:val="00FF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8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C02"/>
    <w:pPr>
      <w:keepNext/>
      <w:keepLines/>
      <w:autoSpaceDE w:val="0"/>
      <w:autoSpaceDN w:val="0"/>
      <w:adjustRightIn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4C02"/>
    <w:pPr>
      <w:keepNext/>
      <w:keepLines/>
      <w:autoSpaceDE w:val="0"/>
      <w:autoSpaceDN w:val="0"/>
      <w:adjustRightInd w:val="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4C02"/>
    <w:pPr>
      <w:keepNext/>
      <w:keepLines/>
      <w:autoSpaceDE w:val="0"/>
      <w:autoSpaceDN w:val="0"/>
      <w:adjustRightInd w:val="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D4C02"/>
    <w:pPr>
      <w:keepNext/>
      <w:keepLines/>
      <w:autoSpaceDE w:val="0"/>
      <w:autoSpaceDN w:val="0"/>
      <w:adjustRightInd w:val="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02"/>
    <w:pPr>
      <w:ind w:left="720"/>
      <w:contextualSpacing/>
    </w:pPr>
  </w:style>
  <w:style w:type="character" w:customStyle="1" w:styleId="Heading1Char">
    <w:name w:val="Heading 1 Char"/>
    <w:basedOn w:val="DefaultParagraphFont"/>
    <w:link w:val="Heading1"/>
    <w:uiPriority w:val="9"/>
    <w:rsid w:val="000D4C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4C0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D4C02"/>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D4C02"/>
    <w:rPr>
      <w:rFonts w:ascii="Times New Roman" w:eastAsiaTheme="majorEastAsia" w:hAnsi="Times New Roman" w:cstheme="majorBidi"/>
      <w:i/>
      <w:iCs/>
      <w:sz w:val="24"/>
      <w:szCs w:val="20"/>
    </w:rPr>
  </w:style>
  <w:style w:type="paragraph" w:styleId="FootnoteText">
    <w:name w:val="footnote text"/>
    <w:basedOn w:val="Normal"/>
    <w:link w:val="FootnoteTextChar"/>
    <w:rsid w:val="000D4C02"/>
    <w:pPr>
      <w:autoSpaceDE w:val="0"/>
      <w:autoSpaceDN w:val="0"/>
      <w:adjustRightInd w:val="0"/>
    </w:pPr>
    <w:rPr>
      <w:sz w:val="20"/>
    </w:rPr>
  </w:style>
  <w:style w:type="character" w:customStyle="1" w:styleId="FootnoteTextChar">
    <w:name w:val="Footnote Text Char"/>
    <w:basedOn w:val="DefaultParagraphFont"/>
    <w:link w:val="FootnoteText"/>
    <w:rsid w:val="000D4C02"/>
    <w:rPr>
      <w:rFonts w:ascii="Times New Roman" w:eastAsia="Times New Roman" w:hAnsi="Times New Roman" w:cs="Times New Roman"/>
      <w:sz w:val="20"/>
      <w:szCs w:val="20"/>
    </w:rPr>
  </w:style>
  <w:style w:type="character" w:styleId="FootnoteReference">
    <w:name w:val="footnote reference"/>
    <w:basedOn w:val="DefaultParagraphFont"/>
    <w:rsid w:val="000D4C02"/>
    <w:rPr>
      <w:vertAlign w:val="superscript"/>
    </w:rPr>
  </w:style>
  <w:style w:type="character" w:styleId="CommentReference">
    <w:name w:val="annotation reference"/>
    <w:basedOn w:val="DefaultParagraphFont"/>
    <w:uiPriority w:val="99"/>
    <w:semiHidden/>
    <w:unhideWhenUsed/>
    <w:rsid w:val="000D4C02"/>
    <w:rPr>
      <w:sz w:val="16"/>
      <w:szCs w:val="16"/>
    </w:rPr>
  </w:style>
  <w:style w:type="paragraph" w:styleId="CommentText">
    <w:name w:val="annotation text"/>
    <w:basedOn w:val="Normal"/>
    <w:link w:val="CommentTextChar"/>
    <w:uiPriority w:val="99"/>
    <w:semiHidden/>
    <w:unhideWhenUsed/>
    <w:rsid w:val="000D4C02"/>
    <w:pPr>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0D4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C02"/>
    <w:rPr>
      <w:b/>
      <w:bCs/>
    </w:rPr>
  </w:style>
  <w:style w:type="character" w:customStyle="1" w:styleId="CommentSubjectChar">
    <w:name w:val="Comment Subject Char"/>
    <w:basedOn w:val="CommentTextChar"/>
    <w:link w:val="CommentSubject"/>
    <w:uiPriority w:val="99"/>
    <w:semiHidden/>
    <w:rsid w:val="000D4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C02"/>
    <w:pPr>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0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D4C02"/>
    <w:pPr>
      <w:autoSpaceDE w:val="0"/>
      <w:autoSpaceDN w:val="0"/>
      <w:adjustRightInd w:val="0"/>
    </w:pPr>
    <w:rPr>
      <w:sz w:val="20"/>
    </w:rPr>
  </w:style>
  <w:style w:type="character" w:customStyle="1" w:styleId="EndnoteTextChar">
    <w:name w:val="Endnote Text Char"/>
    <w:basedOn w:val="DefaultParagraphFont"/>
    <w:link w:val="EndnoteText"/>
    <w:uiPriority w:val="99"/>
    <w:semiHidden/>
    <w:rsid w:val="000D4C0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4C02"/>
    <w:rPr>
      <w:vertAlign w:val="superscript"/>
    </w:rPr>
  </w:style>
  <w:style w:type="character" w:styleId="Hyperlink">
    <w:name w:val="Hyperlink"/>
    <w:basedOn w:val="DefaultParagraphFont"/>
    <w:rsid w:val="000D4C02"/>
    <w:rPr>
      <w:color w:val="0000FF"/>
      <w:u w:val="single"/>
    </w:rPr>
  </w:style>
  <w:style w:type="table" w:styleId="TableGrid">
    <w:name w:val="Table Grid"/>
    <w:basedOn w:val="TableNormal"/>
    <w:uiPriority w:val="39"/>
    <w:rsid w:val="000D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C02"/>
    <w:pPr>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0D4C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C02"/>
    <w:pPr>
      <w:tabs>
        <w:tab w:val="center" w:pos="4680"/>
        <w:tab w:val="right" w:pos="9360"/>
      </w:tabs>
      <w:autoSpaceDE w:val="0"/>
      <w:autoSpaceDN w:val="0"/>
      <w:adjustRightInd w:val="0"/>
    </w:pPr>
    <w:rPr>
      <w:sz w:val="20"/>
    </w:rPr>
  </w:style>
  <w:style w:type="character" w:customStyle="1" w:styleId="FooterChar">
    <w:name w:val="Footer Char"/>
    <w:basedOn w:val="DefaultParagraphFont"/>
    <w:link w:val="Footer"/>
    <w:uiPriority w:val="99"/>
    <w:rsid w:val="000D4C02"/>
    <w:rPr>
      <w:rFonts w:ascii="Times New Roman" w:eastAsia="Times New Roman" w:hAnsi="Times New Roman" w:cs="Times New Roman"/>
      <w:sz w:val="20"/>
      <w:szCs w:val="20"/>
    </w:rPr>
  </w:style>
  <w:style w:type="paragraph" w:styleId="Revision">
    <w:name w:val="Revision"/>
    <w:hidden/>
    <w:uiPriority w:val="99"/>
    <w:semiHidden/>
    <w:rsid w:val="000D4C02"/>
    <w:pPr>
      <w:spacing w:after="0" w:line="240" w:lineRule="auto"/>
    </w:pPr>
    <w:rPr>
      <w:rFonts w:ascii="Times New Roman" w:eastAsia="Times New Roman" w:hAnsi="Times New Roman" w:cs="Times New Roman"/>
      <w:sz w:val="20"/>
      <w:szCs w:val="20"/>
    </w:rPr>
  </w:style>
  <w:style w:type="paragraph" w:customStyle="1" w:styleId="Standard">
    <w:name w:val="Standard"/>
    <w:rsid w:val="000D4C0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0D4C02"/>
    <w:pPr>
      <w:suppressLineNumbers/>
      <w:ind w:left="283" w:hanging="283"/>
    </w:pPr>
    <w:rPr>
      <w:sz w:val="20"/>
      <w:szCs w:val="20"/>
    </w:rPr>
  </w:style>
  <w:style w:type="character" w:styleId="FollowedHyperlink">
    <w:name w:val="FollowedHyperlink"/>
    <w:basedOn w:val="DefaultParagraphFont"/>
    <w:uiPriority w:val="99"/>
    <w:semiHidden/>
    <w:unhideWhenUsed/>
    <w:rsid w:val="00071E37"/>
    <w:rPr>
      <w:color w:val="954F72" w:themeColor="followedHyperlink"/>
      <w:u w:val="single"/>
    </w:rPr>
  </w:style>
  <w:style w:type="character" w:customStyle="1" w:styleId="UnresolvedMention">
    <w:name w:val="Unresolved Mention"/>
    <w:basedOn w:val="DefaultParagraphFont"/>
    <w:uiPriority w:val="99"/>
    <w:semiHidden/>
    <w:unhideWhenUsed/>
    <w:rsid w:val="00071E3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8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C02"/>
    <w:pPr>
      <w:keepNext/>
      <w:keepLines/>
      <w:autoSpaceDE w:val="0"/>
      <w:autoSpaceDN w:val="0"/>
      <w:adjustRightIn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4C02"/>
    <w:pPr>
      <w:keepNext/>
      <w:keepLines/>
      <w:autoSpaceDE w:val="0"/>
      <w:autoSpaceDN w:val="0"/>
      <w:adjustRightInd w:val="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4C02"/>
    <w:pPr>
      <w:keepNext/>
      <w:keepLines/>
      <w:autoSpaceDE w:val="0"/>
      <w:autoSpaceDN w:val="0"/>
      <w:adjustRightInd w:val="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D4C02"/>
    <w:pPr>
      <w:keepNext/>
      <w:keepLines/>
      <w:autoSpaceDE w:val="0"/>
      <w:autoSpaceDN w:val="0"/>
      <w:adjustRightInd w:val="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02"/>
    <w:pPr>
      <w:ind w:left="720"/>
      <w:contextualSpacing/>
    </w:pPr>
  </w:style>
  <w:style w:type="character" w:customStyle="1" w:styleId="Heading1Char">
    <w:name w:val="Heading 1 Char"/>
    <w:basedOn w:val="DefaultParagraphFont"/>
    <w:link w:val="Heading1"/>
    <w:uiPriority w:val="9"/>
    <w:rsid w:val="000D4C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4C0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D4C02"/>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D4C02"/>
    <w:rPr>
      <w:rFonts w:ascii="Times New Roman" w:eastAsiaTheme="majorEastAsia" w:hAnsi="Times New Roman" w:cstheme="majorBidi"/>
      <w:i/>
      <w:iCs/>
      <w:sz w:val="24"/>
      <w:szCs w:val="20"/>
    </w:rPr>
  </w:style>
  <w:style w:type="paragraph" w:styleId="FootnoteText">
    <w:name w:val="footnote text"/>
    <w:basedOn w:val="Normal"/>
    <w:link w:val="FootnoteTextChar"/>
    <w:rsid w:val="000D4C02"/>
    <w:pPr>
      <w:autoSpaceDE w:val="0"/>
      <w:autoSpaceDN w:val="0"/>
      <w:adjustRightInd w:val="0"/>
    </w:pPr>
    <w:rPr>
      <w:sz w:val="20"/>
    </w:rPr>
  </w:style>
  <w:style w:type="character" w:customStyle="1" w:styleId="FootnoteTextChar">
    <w:name w:val="Footnote Text Char"/>
    <w:basedOn w:val="DefaultParagraphFont"/>
    <w:link w:val="FootnoteText"/>
    <w:rsid w:val="000D4C02"/>
    <w:rPr>
      <w:rFonts w:ascii="Times New Roman" w:eastAsia="Times New Roman" w:hAnsi="Times New Roman" w:cs="Times New Roman"/>
      <w:sz w:val="20"/>
      <w:szCs w:val="20"/>
    </w:rPr>
  </w:style>
  <w:style w:type="character" w:styleId="FootnoteReference">
    <w:name w:val="footnote reference"/>
    <w:basedOn w:val="DefaultParagraphFont"/>
    <w:rsid w:val="000D4C02"/>
    <w:rPr>
      <w:vertAlign w:val="superscript"/>
    </w:rPr>
  </w:style>
  <w:style w:type="character" w:styleId="CommentReference">
    <w:name w:val="annotation reference"/>
    <w:basedOn w:val="DefaultParagraphFont"/>
    <w:uiPriority w:val="99"/>
    <w:semiHidden/>
    <w:unhideWhenUsed/>
    <w:rsid w:val="000D4C02"/>
    <w:rPr>
      <w:sz w:val="16"/>
      <w:szCs w:val="16"/>
    </w:rPr>
  </w:style>
  <w:style w:type="paragraph" w:styleId="CommentText">
    <w:name w:val="annotation text"/>
    <w:basedOn w:val="Normal"/>
    <w:link w:val="CommentTextChar"/>
    <w:uiPriority w:val="99"/>
    <w:semiHidden/>
    <w:unhideWhenUsed/>
    <w:rsid w:val="000D4C02"/>
    <w:pPr>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0D4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C02"/>
    <w:rPr>
      <w:b/>
      <w:bCs/>
    </w:rPr>
  </w:style>
  <w:style w:type="character" w:customStyle="1" w:styleId="CommentSubjectChar">
    <w:name w:val="Comment Subject Char"/>
    <w:basedOn w:val="CommentTextChar"/>
    <w:link w:val="CommentSubject"/>
    <w:uiPriority w:val="99"/>
    <w:semiHidden/>
    <w:rsid w:val="000D4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C02"/>
    <w:pPr>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0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D4C02"/>
    <w:pPr>
      <w:autoSpaceDE w:val="0"/>
      <w:autoSpaceDN w:val="0"/>
      <w:adjustRightInd w:val="0"/>
    </w:pPr>
    <w:rPr>
      <w:sz w:val="20"/>
    </w:rPr>
  </w:style>
  <w:style w:type="character" w:customStyle="1" w:styleId="EndnoteTextChar">
    <w:name w:val="Endnote Text Char"/>
    <w:basedOn w:val="DefaultParagraphFont"/>
    <w:link w:val="EndnoteText"/>
    <w:uiPriority w:val="99"/>
    <w:semiHidden/>
    <w:rsid w:val="000D4C0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4C02"/>
    <w:rPr>
      <w:vertAlign w:val="superscript"/>
    </w:rPr>
  </w:style>
  <w:style w:type="character" w:styleId="Hyperlink">
    <w:name w:val="Hyperlink"/>
    <w:basedOn w:val="DefaultParagraphFont"/>
    <w:rsid w:val="000D4C02"/>
    <w:rPr>
      <w:color w:val="0000FF"/>
      <w:u w:val="single"/>
    </w:rPr>
  </w:style>
  <w:style w:type="table" w:styleId="TableGrid">
    <w:name w:val="Table Grid"/>
    <w:basedOn w:val="TableNormal"/>
    <w:uiPriority w:val="39"/>
    <w:rsid w:val="000D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C02"/>
    <w:pPr>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0D4C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C02"/>
    <w:pPr>
      <w:tabs>
        <w:tab w:val="center" w:pos="4680"/>
        <w:tab w:val="right" w:pos="9360"/>
      </w:tabs>
      <w:autoSpaceDE w:val="0"/>
      <w:autoSpaceDN w:val="0"/>
      <w:adjustRightInd w:val="0"/>
    </w:pPr>
    <w:rPr>
      <w:sz w:val="20"/>
    </w:rPr>
  </w:style>
  <w:style w:type="character" w:customStyle="1" w:styleId="FooterChar">
    <w:name w:val="Footer Char"/>
    <w:basedOn w:val="DefaultParagraphFont"/>
    <w:link w:val="Footer"/>
    <w:uiPriority w:val="99"/>
    <w:rsid w:val="000D4C02"/>
    <w:rPr>
      <w:rFonts w:ascii="Times New Roman" w:eastAsia="Times New Roman" w:hAnsi="Times New Roman" w:cs="Times New Roman"/>
      <w:sz w:val="20"/>
      <w:szCs w:val="20"/>
    </w:rPr>
  </w:style>
  <w:style w:type="paragraph" w:styleId="Revision">
    <w:name w:val="Revision"/>
    <w:hidden/>
    <w:uiPriority w:val="99"/>
    <w:semiHidden/>
    <w:rsid w:val="000D4C02"/>
    <w:pPr>
      <w:spacing w:after="0" w:line="240" w:lineRule="auto"/>
    </w:pPr>
    <w:rPr>
      <w:rFonts w:ascii="Times New Roman" w:eastAsia="Times New Roman" w:hAnsi="Times New Roman" w:cs="Times New Roman"/>
      <w:sz w:val="20"/>
      <w:szCs w:val="20"/>
    </w:rPr>
  </w:style>
  <w:style w:type="paragraph" w:customStyle="1" w:styleId="Standard">
    <w:name w:val="Standard"/>
    <w:rsid w:val="000D4C0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0D4C02"/>
    <w:pPr>
      <w:suppressLineNumbers/>
      <w:ind w:left="283" w:hanging="283"/>
    </w:pPr>
    <w:rPr>
      <w:sz w:val="20"/>
      <w:szCs w:val="20"/>
    </w:rPr>
  </w:style>
  <w:style w:type="character" w:styleId="FollowedHyperlink">
    <w:name w:val="FollowedHyperlink"/>
    <w:basedOn w:val="DefaultParagraphFont"/>
    <w:uiPriority w:val="99"/>
    <w:semiHidden/>
    <w:unhideWhenUsed/>
    <w:rsid w:val="00071E37"/>
    <w:rPr>
      <w:color w:val="954F72" w:themeColor="followedHyperlink"/>
      <w:u w:val="single"/>
    </w:rPr>
  </w:style>
  <w:style w:type="character" w:customStyle="1" w:styleId="UnresolvedMention">
    <w:name w:val="Unresolved Mention"/>
    <w:basedOn w:val="DefaultParagraphFont"/>
    <w:uiPriority w:val="99"/>
    <w:semiHidden/>
    <w:unhideWhenUsed/>
    <w:rsid w:val="00071E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2019-03-09T05:00:00+00:00</Document_x0020_Creation_x0020_Date>
    <EPA_x0020_Office xmlns="4ffa91fb-a0ff-4ac5-b2db-65c790d184a4">OAR-OTAQ-CD-FCCP</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Boylan, Thomas</DisplayName>
        <AccountId>10751</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F6912F437DCB94F840E0C7C2B0DB5BE" ma:contentTypeVersion="8" ma:contentTypeDescription="Create a new document." ma:contentTypeScope="" ma:versionID="851d25b4f6ccb880746c2f5b81c4b3a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cb148e5-f150-4e85-b8d1-0db2801d4591" xmlns:ns6="7d8dd676-26ca-4e08-b90f-b4e0026a58ac" targetNamespace="http://schemas.microsoft.com/office/2006/metadata/properties" ma:root="true" ma:fieldsID="68d2e37c7314b13e199285de0797d0c8" ns1:_="" ns2:_="" ns3:_="" ns4:_="" ns5:_="" ns6:_="">
    <xsd:import namespace="http://schemas.microsoft.com/sharepoint/v3"/>
    <xsd:import namespace="4ffa91fb-a0ff-4ac5-b2db-65c790d184a4"/>
    <xsd:import namespace="http://schemas.microsoft.com/sharepoint.v3"/>
    <xsd:import namespace="http://schemas.microsoft.com/sharepoint/v3/fields"/>
    <xsd:import namespace="ecb148e5-f150-4e85-b8d1-0db2801d4591"/>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48e5-f150-4e85-b8d1-0db2801d4591"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38796-866B-4EC1-BCA4-5C43CEB6BC2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1BFE0EDC-07D3-461F-A608-210F719F3A46}">
  <ds:schemaRefs>
    <ds:schemaRef ds:uri="http://schemas.microsoft.com/sharepoint/v3/contenttype/forms"/>
  </ds:schemaRefs>
</ds:datastoreItem>
</file>

<file path=customXml/itemProps3.xml><?xml version="1.0" encoding="utf-8"?>
<ds:datastoreItem xmlns:ds="http://schemas.openxmlformats.org/officeDocument/2006/customXml" ds:itemID="{6A55993E-55BD-41BF-AC7A-3CBB570A5808}">
  <ds:schemaRefs>
    <ds:schemaRef ds:uri="Microsoft.SharePoint.Taxonomy.ContentTypeSync"/>
  </ds:schemaRefs>
</ds:datastoreItem>
</file>

<file path=customXml/itemProps4.xml><?xml version="1.0" encoding="utf-8"?>
<ds:datastoreItem xmlns:ds="http://schemas.openxmlformats.org/officeDocument/2006/customXml" ds:itemID="{3266C671-45AD-4876-8E7B-4D2FE606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cb148e5-f150-4e85-b8d1-0db2801d4591"/>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ICR Supporting Statement</vt:lpstr>
    </vt:vector>
  </TitlesOfParts>
  <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dc:title>
  <dc:subject/>
  <dc:creator>Boylan, Thomas</dc:creator>
  <cp:keywords/>
  <dc:description/>
  <cp:lastModifiedBy>SYSTEM</cp:lastModifiedBy>
  <cp:revision>2</cp:revision>
  <dcterms:created xsi:type="dcterms:W3CDTF">2019-03-22T22:08:00Z</dcterms:created>
  <dcterms:modified xsi:type="dcterms:W3CDTF">2019-03-22T22:08:00Z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0x0101001F6912F437DCB94F840E0C7C2B0DB5BE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1024">
    <vt:lpwstr>10751</vt:lpwstr>
  </property>
  <property fmtid="{D5CDD505-2E9C-101B-9397-08002B2CF9AE}" pid="7" name="AuthorIds_UIVersion_4096">
    <vt:lpwstr>10751</vt:lpwstr>
  </property>
</Properties>
</file>