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9A3E9" w14:textId="77777777" w:rsidR="00CD0A25" w:rsidRDefault="00CD0A25" w:rsidP="00CD0A25">
      <w:pPr>
        <w:tabs>
          <w:tab w:val="center" w:pos="4680"/>
          <w:tab w:val="right" w:pos="9360"/>
        </w:tabs>
        <w:jc w:val="center"/>
      </w:pPr>
      <w:bookmarkStart w:id="0" w:name="_GoBack"/>
      <w:bookmarkEnd w:id="0"/>
      <w:r>
        <w:rPr>
          <w:b/>
          <w:bCs/>
        </w:rPr>
        <w:t>SUPPORTING STATEMENT FOR AN</w:t>
      </w:r>
    </w:p>
    <w:p w14:paraId="5B21E707" w14:textId="77777777" w:rsidR="00CD0A25" w:rsidRDefault="00CD0A25" w:rsidP="00CD0A25">
      <w:pPr>
        <w:jc w:val="center"/>
        <w:rPr>
          <w:b/>
          <w:bCs/>
        </w:rPr>
      </w:pPr>
      <w:r>
        <w:rPr>
          <w:b/>
          <w:bCs/>
        </w:rPr>
        <w:t>INFORMATION COLLECTION REQUEST (ICR)</w:t>
      </w:r>
    </w:p>
    <w:p w14:paraId="3EA8D906" w14:textId="77777777" w:rsidR="00CD0A25" w:rsidRDefault="00CD0A25" w:rsidP="00CD0A25">
      <w:pPr>
        <w:jc w:val="center"/>
        <w:rPr>
          <w:b/>
          <w:bCs/>
        </w:rPr>
      </w:pPr>
    </w:p>
    <w:p w14:paraId="6E9AA114" w14:textId="77777777" w:rsidR="00CD0A25" w:rsidRDefault="00CD0A25" w:rsidP="00CD0A25">
      <w:r>
        <w:rPr>
          <w:b/>
          <w:bCs/>
        </w:rPr>
        <w:t>1.</w:t>
      </w:r>
      <w:r>
        <w:tab/>
      </w:r>
      <w:r w:rsidRPr="002773DE">
        <w:rPr>
          <w:b/>
          <w:bCs/>
          <w:u w:val="single"/>
        </w:rPr>
        <w:t>IDENTIFICATION OF THE INFORMATION COLLECTION</w:t>
      </w:r>
    </w:p>
    <w:p w14:paraId="3D227DAB" w14:textId="77777777" w:rsidR="00CD0A25" w:rsidRDefault="00CD0A25" w:rsidP="00CD0A25"/>
    <w:p w14:paraId="6F3BD745" w14:textId="77777777" w:rsidR="00CD0A25" w:rsidRDefault="00CD0A25" w:rsidP="00CD0A25">
      <w:pPr>
        <w:tabs>
          <w:tab w:val="left" w:pos="-1440"/>
        </w:tabs>
        <w:ind w:left="1440" w:hanging="720"/>
      </w:pPr>
      <w:r>
        <w:rPr>
          <w:b/>
          <w:bCs/>
        </w:rPr>
        <w:t xml:space="preserve">1(a)  </w:t>
      </w:r>
      <w:r>
        <w:rPr>
          <w:b/>
          <w:bCs/>
        </w:rPr>
        <w:tab/>
        <w:t>Title of the Information Collection</w:t>
      </w:r>
    </w:p>
    <w:p w14:paraId="65BE5D36" w14:textId="77777777" w:rsidR="00CD0A25" w:rsidRDefault="00CD0A25" w:rsidP="00CD0A25"/>
    <w:p w14:paraId="530AD73A" w14:textId="77777777" w:rsidR="00CD0A25" w:rsidRDefault="00CD0A25" w:rsidP="00CD0A25">
      <w:pPr>
        <w:ind w:firstLine="720"/>
      </w:pPr>
      <w:r w:rsidRPr="00D45B8D">
        <w:rPr>
          <w:b/>
        </w:rPr>
        <w:t>TITLE:</w:t>
      </w:r>
      <w:r>
        <w:t xml:space="preserve">  Foreign Purchaser Acknowledgment Statement of Unregistered Pesticides</w:t>
      </w:r>
    </w:p>
    <w:p w14:paraId="09BB52F9" w14:textId="67341F5B" w:rsidR="00D45B8D" w:rsidRDefault="00D45B8D" w:rsidP="00CD0A25">
      <w:pPr>
        <w:tabs>
          <w:tab w:val="left" w:pos="-1440"/>
        </w:tabs>
        <w:ind w:left="4320" w:hanging="3600"/>
        <w:rPr>
          <w:b/>
        </w:rPr>
      </w:pPr>
      <w:r w:rsidRPr="00D45B8D">
        <w:rPr>
          <w:b/>
        </w:rPr>
        <w:t>EPA No.:</w:t>
      </w:r>
      <w:r>
        <w:t xml:space="preserve"> 0161.14</w:t>
      </w:r>
    </w:p>
    <w:p w14:paraId="44D329C0" w14:textId="55A3D567" w:rsidR="00CD0A25" w:rsidRDefault="00CD0A25" w:rsidP="00CD0A25">
      <w:pPr>
        <w:tabs>
          <w:tab w:val="left" w:pos="-1440"/>
        </w:tabs>
        <w:ind w:left="4320" w:hanging="3600"/>
      </w:pPr>
      <w:r w:rsidRPr="00D45B8D">
        <w:rPr>
          <w:b/>
        </w:rPr>
        <w:t>OMB No.</w:t>
      </w:r>
      <w:r w:rsidR="00D45B8D">
        <w:t>:</w:t>
      </w:r>
      <w:r>
        <w:t xml:space="preserve"> 2070-0027</w:t>
      </w:r>
    </w:p>
    <w:p w14:paraId="49A45660" w14:textId="4C07E9CE" w:rsidR="00D45B8D" w:rsidRPr="004B4422" w:rsidRDefault="00D45B8D" w:rsidP="00D45B8D">
      <w:pPr>
        <w:ind w:left="720"/>
        <w:rPr>
          <w:lang w:val="es-ES"/>
        </w:rPr>
      </w:pPr>
      <w:r>
        <w:rPr>
          <w:b/>
          <w:lang w:val="es-ES"/>
        </w:rPr>
        <w:t>Docket ID No.</w:t>
      </w:r>
      <w:r>
        <w:rPr>
          <w:lang w:val="es-ES"/>
        </w:rPr>
        <w:t>: EPA-HQ-OPP-0266</w:t>
      </w:r>
    </w:p>
    <w:p w14:paraId="73F595BF" w14:textId="77777777" w:rsidR="00CD0A25" w:rsidRDefault="00CD0A25" w:rsidP="00CD0A25">
      <w:pPr>
        <w:rPr>
          <w:b/>
          <w:bCs/>
        </w:rPr>
      </w:pPr>
    </w:p>
    <w:p w14:paraId="2F7EA8EA" w14:textId="77777777" w:rsidR="00CD0A25" w:rsidRDefault="00CD0A25" w:rsidP="00CD0A25">
      <w:pPr>
        <w:tabs>
          <w:tab w:val="left" w:pos="-1440"/>
        </w:tabs>
        <w:ind w:left="1440" w:hanging="720"/>
      </w:pPr>
      <w:r>
        <w:rPr>
          <w:b/>
          <w:bCs/>
        </w:rPr>
        <w:t xml:space="preserve">1(b) </w:t>
      </w:r>
      <w:r>
        <w:rPr>
          <w:b/>
          <w:bCs/>
        </w:rPr>
        <w:tab/>
        <w:t>Short Characterization/Abstract</w:t>
      </w:r>
    </w:p>
    <w:p w14:paraId="2922DB79" w14:textId="77777777" w:rsidR="00CD0A25" w:rsidRDefault="00CD0A25" w:rsidP="00CD0A25"/>
    <w:p w14:paraId="394A68DB" w14:textId="76575A45" w:rsidR="00CD0A25" w:rsidRDefault="00CD0A25" w:rsidP="00CD0A25">
      <w:pPr>
        <w:ind w:firstLine="720"/>
      </w:pPr>
      <w:r>
        <w:t xml:space="preserve">This information collection </w:t>
      </w:r>
      <w:r w:rsidR="006D634A">
        <w:t xml:space="preserve">request (ICR) addresses the information collection activities associated with the requirement that </w:t>
      </w:r>
      <w:r>
        <w:t>the Environmental Protection Agency (EPA) provide notice to foreign purchasers of unregistered pesticides exported from the United States that the pesticide product cannot be sold in the United States.  Section 17(a)(2) of the Federal Insecticide, Fungicide, and Rodenticide Act (FIFRA) (Attachment A) requires an exporter of any pesticide not registered under FIFRA section 3 or sold under FIFRA section 6(a)(1) to obtain a signed statement from the foreign purchaser acknowledging that the purchaser is aware that the pesticide is not registered for use in, and cannot be sold in, the United States.  A copy of this statement, which is known as the Foreign Purchaser Acknowledgement Statement, or FPAS, must be transmitted to the Designated National Authority or appropriate official of the</w:t>
      </w:r>
      <w:r w:rsidR="0021631F">
        <w:t xml:space="preserve"> </w:t>
      </w:r>
      <w:r>
        <w:t xml:space="preserve">government in the importing country. This information is submitted in the form of annual or per-shipment statements to EPA, which maintains original records and transmits copies, along with an explanatory letter, to appropriate government officials of the countries </w:t>
      </w:r>
      <w:r w:rsidR="006D634A">
        <w:t>that</w:t>
      </w:r>
      <w:r>
        <w:t xml:space="preserve"> are importing the pesticide. </w:t>
      </w:r>
    </w:p>
    <w:p w14:paraId="76A5605D" w14:textId="77777777" w:rsidR="00CD0A25" w:rsidRDefault="00CD0A25" w:rsidP="00CD0A25"/>
    <w:p w14:paraId="416EC293" w14:textId="360696A1" w:rsidR="00CD0A25" w:rsidRDefault="00CD0A25" w:rsidP="00CD0A25">
      <w:r>
        <w:tab/>
        <w:t xml:space="preserve">In addition to the export notification for unregistered pesticides, FIFRA requires that all exported pesticides include appropriate labeling. There are different requirements for registered and unregistered products.  Export labeling requirements meet the definition of third-party notification.  In the interests of consolidating various related information collection requests, this ICR includes burden estimates for the FPAS requirement for unregistered pesticides, as well as the labeling requirement for all exported pesticides, both registered and unregistered. These burdens have been consolidated in this </w:t>
      </w:r>
      <w:r w:rsidR="006D634A">
        <w:t>ICR since</w:t>
      </w:r>
      <w:r>
        <w:t xml:space="preserve"> the implementation of the 1993 pesticide export policy governing the export of pesticides, devices, and active ingredients used in producing pesticides.  </w:t>
      </w:r>
    </w:p>
    <w:p w14:paraId="512B65BB" w14:textId="77777777" w:rsidR="00CD0A25" w:rsidRPr="00CC057B" w:rsidRDefault="00CD0A25" w:rsidP="00CD0A25"/>
    <w:p w14:paraId="08EA9918" w14:textId="77777777" w:rsidR="00CD0A25" w:rsidRDefault="00CD0A25" w:rsidP="00CD0A25">
      <w:pPr>
        <w:pStyle w:val="Level1"/>
        <w:numPr>
          <w:ilvl w:val="0"/>
          <w:numId w:val="0"/>
        </w:numPr>
        <w:tabs>
          <w:tab w:val="left" w:pos="-1440"/>
          <w:tab w:val="num" w:pos="720"/>
        </w:tabs>
        <w:rPr>
          <w:b/>
          <w:bCs/>
          <w:u w:val="single"/>
        </w:rPr>
      </w:pPr>
    </w:p>
    <w:p w14:paraId="2AFFDF3F" w14:textId="77777777" w:rsidR="00CD0A25" w:rsidRPr="003C7EC4" w:rsidRDefault="00CD0A25" w:rsidP="00CD0A25">
      <w:pPr>
        <w:pStyle w:val="Level1"/>
        <w:numPr>
          <w:ilvl w:val="0"/>
          <w:numId w:val="0"/>
        </w:numPr>
        <w:tabs>
          <w:tab w:val="left" w:pos="-1440"/>
          <w:tab w:val="num" w:pos="720"/>
        </w:tabs>
        <w:rPr>
          <w:b/>
          <w:bCs/>
          <w:u w:val="single"/>
        </w:rPr>
      </w:pPr>
      <w:r>
        <w:rPr>
          <w:b/>
          <w:bCs/>
        </w:rPr>
        <w:t>2.</w:t>
      </w:r>
      <w:r>
        <w:rPr>
          <w:b/>
          <w:bCs/>
        </w:rPr>
        <w:tab/>
      </w:r>
      <w:r w:rsidRPr="003C7EC4">
        <w:rPr>
          <w:b/>
          <w:bCs/>
          <w:u w:val="single"/>
        </w:rPr>
        <w:t>NEED FOR AND USE OF THE COLLECTION</w:t>
      </w:r>
    </w:p>
    <w:p w14:paraId="35245033" w14:textId="77777777" w:rsidR="00CD0A25" w:rsidRDefault="00CD0A25" w:rsidP="00CD0A25"/>
    <w:p w14:paraId="4D2585F9" w14:textId="77777777" w:rsidR="00CD0A25" w:rsidRDefault="00CD0A25" w:rsidP="00CD0A25">
      <w:pPr>
        <w:tabs>
          <w:tab w:val="left" w:pos="-1440"/>
        </w:tabs>
        <w:ind w:left="1440" w:hanging="720"/>
      </w:pPr>
      <w:r>
        <w:rPr>
          <w:b/>
          <w:bCs/>
        </w:rPr>
        <w:t>2(a)</w:t>
      </w:r>
      <w:r>
        <w:rPr>
          <w:b/>
          <w:bCs/>
        </w:rPr>
        <w:tab/>
        <w:t>Need/Authority for the Collection</w:t>
      </w:r>
    </w:p>
    <w:p w14:paraId="33918C4E" w14:textId="77777777" w:rsidR="00CD0A25" w:rsidRDefault="00CD0A25" w:rsidP="00CD0A25"/>
    <w:p w14:paraId="71C066EC" w14:textId="753D2E5A" w:rsidR="00CD0A25" w:rsidRDefault="00CD0A25" w:rsidP="00CD0A25">
      <w:pPr>
        <w:ind w:firstLine="720"/>
      </w:pPr>
      <w:r>
        <w:t xml:space="preserve">This information is required to be submitted to EPA pursuant to </w:t>
      </w:r>
      <w:r w:rsidR="00D45B8D">
        <w:t xml:space="preserve">FIFRA </w:t>
      </w:r>
      <w:r>
        <w:t xml:space="preserve">section 17(a)(2).  Regulations pertaining to exporting pesticides are contained in 40 </w:t>
      </w:r>
      <w:r w:rsidR="00D45B8D">
        <w:t>CFR p</w:t>
      </w:r>
      <w:r>
        <w:t xml:space="preserve">art 168, </w:t>
      </w:r>
      <w:r w:rsidR="00D45B8D">
        <w:t>s</w:t>
      </w:r>
      <w:r>
        <w:t xml:space="preserve">ubpart D </w:t>
      </w:r>
      <w:r>
        <w:lastRenderedPageBreak/>
        <w:t>(Attachment B).</w:t>
      </w:r>
    </w:p>
    <w:p w14:paraId="1CA7221D" w14:textId="77777777" w:rsidR="00CD0A25" w:rsidRDefault="00CD0A25" w:rsidP="00CD0A25">
      <w:pPr>
        <w:ind w:firstLine="720"/>
      </w:pPr>
      <w:r>
        <w:rPr>
          <w:b/>
          <w:bCs/>
        </w:rPr>
        <w:t>2(b)</w:t>
      </w:r>
      <w:r>
        <w:rPr>
          <w:b/>
          <w:bCs/>
        </w:rPr>
        <w:tab/>
        <w:t>Practical Utility/Users of the Data</w:t>
      </w:r>
    </w:p>
    <w:p w14:paraId="52D48495" w14:textId="77777777" w:rsidR="00CD0A25" w:rsidRDefault="00CD0A25" w:rsidP="00CD0A25"/>
    <w:p w14:paraId="3DEF1DFF" w14:textId="68765A98" w:rsidR="00CD0A25" w:rsidRDefault="00CD0A25" w:rsidP="00CD0A25">
      <w:pPr>
        <w:ind w:firstLine="720"/>
      </w:pPr>
      <w:r>
        <w:t>Section 17(a)(2) of FIFRA requires all exporters of unregistered pesticides to obtain signed statements from their customers acknowledging that they are aware that their purchased products are not registered in the United States.  Hence, one use of this collection activity is in assuring that foreign purchasers of pesticides produced in the U.S. are aware of the products’ U.S. registration status. When such statements are submitted to EPA, the Agency is provided with a record of foreign destinations of domestically produced unregistered products. This enables the Agency to assure that such products, which are produced in the U.S. but cannot be legally sold for use in the U.S., have been legally distributed.</w:t>
      </w:r>
    </w:p>
    <w:p w14:paraId="195E9F9F" w14:textId="77777777" w:rsidR="00CD0A25" w:rsidRDefault="00CD0A25" w:rsidP="00CD0A25"/>
    <w:p w14:paraId="5E1E6463" w14:textId="727818E5" w:rsidR="00CD0A25" w:rsidRDefault="00CD0A25" w:rsidP="00CD0A25">
      <w:pPr>
        <w:ind w:firstLine="720"/>
        <w:rPr>
          <w:b/>
          <w:bCs/>
        </w:rPr>
      </w:pPr>
      <w:r>
        <w:t>In addition, such statements are required by statute to be directed onward to the appropriate government officials in importing countries. Officials of foreign governments can use this information to verify that a specific pesticide product, that may or may not have an active ingredient that has been evaluated by EPA and approved for registration, has been exported to their country. The name and address of the purchaser in the importing country is included, enabling the government official to contact the purchaser directly, as appropriate. This information can be useful in countries which do not have the resources to maintain extensive import records or control systems.</w:t>
      </w:r>
    </w:p>
    <w:p w14:paraId="4EFE0AB2" w14:textId="77777777" w:rsidR="00CD0A25" w:rsidRDefault="00CD0A25" w:rsidP="00CD0A25">
      <w:pPr>
        <w:rPr>
          <w:b/>
          <w:bCs/>
        </w:rPr>
      </w:pPr>
    </w:p>
    <w:p w14:paraId="02ED3B9D" w14:textId="77777777" w:rsidR="00CD0A25" w:rsidRDefault="00CD0A25" w:rsidP="00CD0A25">
      <w:pPr>
        <w:rPr>
          <w:b/>
          <w:bCs/>
        </w:rPr>
      </w:pPr>
    </w:p>
    <w:p w14:paraId="6214AD8E" w14:textId="04600534" w:rsidR="00CD0A25" w:rsidRDefault="00CD0A25" w:rsidP="00CD0A25">
      <w:pPr>
        <w:ind w:left="720" w:hanging="720"/>
        <w:rPr>
          <w:b/>
          <w:bCs/>
        </w:rPr>
      </w:pPr>
      <w:r>
        <w:rPr>
          <w:b/>
          <w:bCs/>
        </w:rPr>
        <w:t>3.</w:t>
      </w:r>
      <w:r>
        <w:rPr>
          <w:b/>
          <w:bCs/>
        </w:rPr>
        <w:tab/>
      </w:r>
      <w:r w:rsidR="00C16E62" w:rsidRPr="003C7EC4">
        <w:rPr>
          <w:b/>
          <w:bCs/>
          <w:u w:val="single"/>
        </w:rPr>
        <w:t>NON- DUPLICATION</w:t>
      </w:r>
      <w:r w:rsidRPr="003C7EC4">
        <w:rPr>
          <w:b/>
          <w:bCs/>
          <w:u w:val="single"/>
        </w:rPr>
        <w:t>, CONSULTATIONS, AND OTHER COLLECTION CRITERIA</w:t>
      </w:r>
    </w:p>
    <w:p w14:paraId="4E531148" w14:textId="77777777" w:rsidR="00CD0A25" w:rsidRDefault="00CD0A25" w:rsidP="00CD0A25"/>
    <w:p w14:paraId="63CAC8D4" w14:textId="77777777" w:rsidR="00CD0A25" w:rsidRDefault="00CD0A25" w:rsidP="00CD0A25">
      <w:pPr>
        <w:tabs>
          <w:tab w:val="left" w:pos="-1440"/>
        </w:tabs>
        <w:ind w:left="1440" w:hanging="720"/>
      </w:pPr>
      <w:r>
        <w:rPr>
          <w:b/>
          <w:bCs/>
        </w:rPr>
        <w:t>3(a)</w:t>
      </w:r>
      <w:r>
        <w:rPr>
          <w:b/>
          <w:bCs/>
        </w:rPr>
        <w:tab/>
        <w:t>Non-duplication</w:t>
      </w:r>
    </w:p>
    <w:p w14:paraId="75874667" w14:textId="77777777" w:rsidR="00CD0A25" w:rsidRDefault="00CD0A25" w:rsidP="00CD0A25"/>
    <w:p w14:paraId="61A4D201" w14:textId="77777777" w:rsidR="00CD0A25" w:rsidRDefault="00CD0A25" w:rsidP="00CD0A25">
      <w:pPr>
        <w:ind w:firstLine="720"/>
      </w:pPr>
      <w:r>
        <w:t xml:space="preserve">For every export of an unregistered pesticide, the U.S. exporter is required to obtain the FPAS prior to export and certify to EPA that export did not occur prior to the exporter’s receipt of the FPAS.  The FPAS and the certification statement must then be transmitted to the governments of importing countries.  EPA is not aware of any other collection requirements for this information. </w:t>
      </w:r>
    </w:p>
    <w:p w14:paraId="0B19627C" w14:textId="77777777" w:rsidR="00CD0A25" w:rsidRDefault="00CD0A25" w:rsidP="00CD0A25"/>
    <w:p w14:paraId="67E3D4A9" w14:textId="693997A2" w:rsidR="00CD0A25" w:rsidRDefault="00CD0A25" w:rsidP="00CD0A25">
      <w:pPr>
        <w:ind w:firstLine="720"/>
      </w:pPr>
      <w:r>
        <w:t xml:space="preserve">EPA recognizes that repeated submissions of purchaser acknowledgment statements involving the same country, purchaser, and pesticide product would be duplicative and potentially burdensome. Individual submissions do, however, provide information on the total number of shipments to a specific purchaser. For this reason, EPA offers an option to exporters to either make individual submissions for every export, or </w:t>
      </w:r>
      <w:r w:rsidR="00D45B8D">
        <w:t xml:space="preserve">to </w:t>
      </w:r>
      <w:r>
        <w:t>notify EPA upon the first export to the foreign purchaser and then provide an annual summary of all shipments no later than March 1 of the following calendar year. This reduces the redundancy that would be associated with the submission of identical acknowledgment statements by the same purchaser for the same product, while still providing EPA and foreign governments with information regarding the number of shipments in the previous calendar year.</w:t>
      </w:r>
    </w:p>
    <w:p w14:paraId="2A623847" w14:textId="77777777" w:rsidR="00CD0A25" w:rsidRDefault="00CD0A25" w:rsidP="00CD0A25"/>
    <w:p w14:paraId="1515D051" w14:textId="14619008" w:rsidR="00CD0A25" w:rsidRPr="005A3906" w:rsidRDefault="00CD0A25" w:rsidP="00D45B8D">
      <w:pPr>
        <w:pStyle w:val="PlainText"/>
        <w:ind w:firstLine="720"/>
        <w:rPr>
          <w:rFonts w:ascii="Times New Roman" w:hAnsi="Times New Roman" w:cs="Times New Roman"/>
          <w:b/>
          <w:sz w:val="24"/>
          <w:szCs w:val="24"/>
        </w:rPr>
      </w:pPr>
      <w:r w:rsidRPr="005A3906">
        <w:rPr>
          <w:rFonts w:ascii="Times New Roman" w:hAnsi="Times New Roman" w:cs="Times New Roman"/>
          <w:b/>
          <w:sz w:val="24"/>
          <w:szCs w:val="24"/>
        </w:rPr>
        <w:t>3(b)</w:t>
      </w:r>
      <w:r w:rsidR="008924CE">
        <w:rPr>
          <w:rFonts w:ascii="Times New Roman" w:hAnsi="Times New Roman" w:cs="Times New Roman"/>
          <w:b/>
          <w:sz w:val="24"/>
          <w:szCs w:val="24"/>
        </w:rPr>
        <w:tab/>
      </w:r>
      <w:r w:rsidRPr="005A3906">
        <w:rPr>
          <w:rFonts w:ascii="Times New Roman" w:hAnsi="Times New Roman" w:cs="Times New Roman"/>
          <w:b/>
          <w:sz w:val="24"/>
          <w:szCs w:val="24"/>
        </w:rPr>
        <w:t xml:space="preserve">Public Notice Required Prior to ICR Submission to OMB </w:t>
      </w:r>
    </w:p>
    <w:p w14:paraId="00E562B6" w14:textId="77777777" w:rsidR="00CD0A25" w:rsidRDefault="00CD0A25" w:rsidP="00CD0A25">
      <w:pPr>
        <w:pStyle w:val="PlainText"/>
        <w:rPr>
          <w:rFonts w:ascii="Times New Roman" w:hAnsi="Times New Roman" w:cs="Times New Roman"/>
          <w:sz w:val="24"/>
          <w:szCs w:val="24"/>
        </w:rPr>
      </w:pPr>
    </w:p>
    <w:p w14:paraId="21F819E2" w14:textId="12ADE597" w:rsidR="004D4829" w:rsidRPr="00F76D83" w:rsidRDefault="004D4829" w:rsidP="004D4829">
      <w:pPr>
        <w:ind w:firstLine="720"/>
        <w:rPr>
          <w:bCs/>
          <w:szCs w:val="22"/>
        </w:rPr>
      </w:pPr>
      <w:r w:rsidRPr="009D4AB4">
        <w:rPr>
          <w:bCs/>
          <w:szCs w:val="22"/>
        </w:rPr>
        <w:lastRenderedPageBreak/>
        <w:t xml:space="preserve">Pursuant to 5 CFR 1320.8(d), EPA published a notice in the Federal Register (83 FR </w:t>
      </w:r>
      <w:r w:rsidR="009D5DF5" w:rsidRPr="00F76D83">
        <w:rPr>
          <w:bCs/>
          <w:szCs w:val="22"/>
        </w:rPr>
        <w:t>35273</w:t>
      </w:r>
      <w:r w:rsidR="009D5DF5" w:rsidRPr="009D4AB4">
        <w:rPr>
          <w:bCs/>
          <w:szCs w:val="22"/>
        </w:rPr>
        <w:t xml:space="preserve">; </w:t>
      </w:r>
      <w:r w:rsidR="009D5DF5">
        <w:rPr>
          <w:bCs/>
          <w:szCs w:val="22"/>
        </w:rPr>
        <w:t>July 25</w:t>
      </w:r>
      <w:r w:rsidR="009D5DF5" w:rsidRPr="009D4AB4">
        <w:rPr>
          <w:bCs/>
          <w:szCs w:val="22"/>
        </w:rPr>
        <w:t>, 2018)</w:t>
      </w:r>
      <w:r w:rsidR="009D5DF5" w:rsidRPr="002533B3">
        <w:t xml:space="preserve"> (FRL-</w:t>
      </w:r>
      <w:r w:rsidR="009D5DF5">
        <w:t>9979-93)</w:t>
      </w:r>
      <w:r w:rsidR="009D5DF5" w:rsidRPr="002533B3">
        <w:t xml:space="preserve"> </w:t>
      </w:r>
      <w:r w:rsidRPr="009D4AB4">
        <w:rPr>
          <w:bCs/>
          <w:szCs w:val="22"/>
        </w:rPr>
        <w:t xml:space="preserve">announcing the proposal to renew this information collection activity, providing a 60-day public comment period.  The FR notice, supporting statement, and supporting attachments provided during the public comment period are available at </w:t>
      </w:r>
      <w:hyperlink r:id="rId12" w:history="1">
        <w:r w:rsidRPr="009D4AB4">
          <w:rPr>
            <w:rStyle w:val="Hyperlink"/>
            <w:szCs w:val="22"/>
          </w:rPr>
          <w:t>http://www.regulations.gov</w:t>
        </w:r>
      </w:hyperlink>
      <w:r w:rsidRPr="009D4AB4">
        <w:rPr>
          <w:bCs/>
          <w:szCs w:val="22"/>
        </w:rPr>
        <w:t xml:space="preserve"> using the docket identifier </w:t>
      </w:r>
      <w:r w:rsidRPr="00F76D83">
        <w:rPr>
          <w:bCs/>
          <w:szCs w:val="22"/>
          <w:lang w:bidi="en-US"/>
        </w:rPr>
        <w:t>EPA-HQ-OPP-2018-0266</w:t>
      </w:r>
      <w:r w:rsidRPr="009D4AB4">
        <w:rPr>
          <w:bCs/>
          <w:szCs w:val="22"/>
        </w:rPr>
        <w:t>.</w:t>
      </w:r>
      <w:r>
        <w:rPr>
          <w:bCs/>
          <w:szCs w:val="22"/>
        </w:rPr>
        <w:t xml:space="preserve">  </w:t>
      </w:r>
      <w:r>
        <w:t xml:space="preserve">EPA received one comment during the public comment period. </w:t>
      </w:r>
      <w:r w:rsidR="00D45B8D">
        <w:t>T</w:t>
      </w:r>
      <w:r>
        <w:t>his comment was anonymously submitted to the docket in response to our consultation request</w:t>
      </w:r>
      <w:r w:rsidR="00D45B8D">
        <w:t xml:space="preserve"> (discussed in next section)</w:t>
      </w:r>
      <w:r>
        <w:t>. Therefore, the comments received are addressed in the consultations summary in Section 3(c).</w:t>
      </w:r>
    </w:p>
    <w:p w14:paraId="10DCB95F" w14:textId="77777777" w:rsidR="00CD0A25" w:rsidRPr="005A3906" w:rsidRDefault="00CD0A25" w:rsidP="004D4829">
      <w:pPr>
        <w:numPr>
          <w:ilvl w:val="12"/>
          <w:numId w:val="0"/>
        </w:numPr>
      </w:pPr>
    </w:p>
    <w:p w14:paraId="7EC0365E" w14:textId="551FB8E4" w:rsidR="00CD0A25" w:rsidRPr="005A3906" w:rsidRDefault="00CD0A25" w:rsidP="00CD0A25">
      <w:pPr>
        <w:pStyle w:val="PlainText"/>
        <w:ind w:firstLine="720"/>
        <w:rPr>
          <w:rFonts w:ascii="Times New Roman" w:hAnsi="Times New Roman" w:cs="Times New Roman"/>
          <w:b/>
          <w:sz w:val="24"/>
          <w:szCs w:val="24"/>
        </w:rPr>
      </w:pPr>
      <w:r w:rsidRPr="005A3906">
        <w:rPr>
          <w:rFonts w:ascii="Times New Roman" w:hAnsi="Times New Roman" w:cs="Times New Roman"/>
          <w:b/>
          <w:sz w:val="24"/>
          <w:szCs w:val="24"/>
        </w:rPr>
        <w:t>3(c)</w:t>
      </w:r>
      <w:r w:rsidR="008924CE">
        <w:rPr>
          <w:rFonts w:ascii="Times New Roman" w:hAnsi="Times New Roman" w:cs="Times New Roman"/>
          <w:b/>
          <w:sz w:val="24"/>
          <w:szCs w:val="24"/>
        </w:rPr>
        <w:tab/>
      </w:r>
      <w:r w:rsidRPr="005A3906">
        <w:rPr>
          <w:rFonts w:ascii="Times New Roman" w:hAnsi="Times New Roman" w:cs="Times New Roman"/>
          <w:b/>
          <w:sz w:val="24"/>
          <w:szCs w:val="24"/>
        </w:rPr>
        <w:t xml:space="preserve">Consultations </w:t>
      </w:r>
    </w:p>
    <w:p w14:paraId="2EF2B194" w14:textId="77777777" w:rsidR="00CD0A25" w:rsidRPr="005A3906" w:rsidRDefault="00CD0A25" w:rsidP="00CD0A25">
      <w:pPr>
        <w:pStyle w:val="PlainText"/>
        <w:rPr>
          <w:rFonts w:ascii="Times New Roman" w:hAnsi="Times New Roman" w:cs="Times New Roman"/>
          <w:sz w:val="24"/>
          <w:szCs w:val="24"/>
        </w:rPr>
      </w:pPr>
    </w:p>
    <w:p w14:paraId="2F93574E" w14:textId="7D7AEE92" w:rsidR="00CD0A25" w:rsidRDefault="00CD0A25" w:rsidP="00CD0A25">
      <w:pPr>
        <w:numPr>
          <w:ilvl w:val="12"/>
          <w:numId w:val="0"/>
        </w:numPr>
      </w:pPr>
      <w:r>
        <w:tab/>
      </w:r>
      <w:r w:rsidR="004D4829">
        <w:t>The Agency sent consultation requests, as required under 5 CFR 1320.8(d)(1), to nine representatives from private industries who interact with the Agency through the use of this information collection activity. EPA staff sought feedback on the burden estimates in the ICR, the clarity of instructions provided, and other questions pertaining to the requirements of the program. Two industry representatives responded to the Agency’s request,</w:t>
      </w:r>
      <w:r w:rsidR="004D4829" w:rsidRPr="00B17911">
        <w:t xml:space="preserve"> </w:t>
      </w:r>
      <w:r w:rsidR="004D4829">
        <w:t>one of which was submitted to the docket anonymously during the public comment period. The list of companies contacted, the questions asked, and the responses received are provided in Attachment C.</w:t>
      </w:r>
    </w:p>
    <w:p w14:paraId="3FC7E81A" w14:textId="3087DAA9" w:rsidR="004D4829" w:rsidRDefault="004D4829" w:rsidP="00CD0A25">
      <w:pPr>
        <w:numPr>
          <w:ilvl w:val="12"/>
          <w:numId w:val="0"/>
        </w:numPr>
      </w:pPr>
    </w:p>
    <w:p w14:paraId="726660D6" w14:textId="77777777" w:rsidR="004D4829" w:rsidRDefault="004D4829" w:rsidP="004D4829">
      <w:pPr>
        <w:numPr>
          <w:ilvl w:val="12"/>
          <w:numId w:val="0"/>
        </w:numPr>
        <w:ind w:firstLine="720"/>
      </w:pPr>
      <w:r>
        <w:t>In summary, EPA did not receive any comments from the respondents that would warrant changes to the burden and cost estimates presented during the first public comment period. One respondent stated that they believed the burden and labor costs have been accurately accounted, while the other respondent did not specifically respondent to the Agency’s questions about its estimates. Therefore, EPA did not adjust its estimates as presented during the public comment period.</w:t>
      </w:r>
    </w:p>
    <w:p w14:paraId="5C9DF76A" w14:textId="77777777" w:rsidR="004D4829" w:rsidRDefault="004D4829" w:rsidP="004D4829">
      <w:pPr>
        <w:numPr>
          <w:ilvl w:val="12"/>
          <w:numId w:val="0"/>
        </w:numPr>
        <w:ind w:firstLine="720"/>
      </w:pPr>
    </w:p>
    <w:p w14:paraId="33297925" w14:textId="77777777" w:rsidR="004D4829" w:rsidRDefault="004D4829" w:rsidP="004D4829">
      <w:pPr>
        <w:numPr>
          <w:ilvl w:val="12"/>
          <w:numId w:val="0"/>
        </w:numPr>
        <w:ind w:firstLine="720"/>
      </w:pPr>
      <w:r>
        <w:t xml:space="preserve">In addition to questions specific to the estimated burden and labor costs in this supporting statement, EPA also asked questions concerning paper submissions and alternatives to paper submissions. One respondent stated that they preferred paper submissions over electronic options and that they did not believe electronic options would provide any benefits in </w:t>
      </w:r>
      <w:r w:rsidRPr="00374666">
        <w:t>terms of</w:t>
      </w:r>
      <w:r w:rsidRPr="004F1C7F">
        <w:rPr>
          <w:spacing w:val="-13"/>
        </w:rPr>
        <w:t xml:space="preserve"> </w:t>
      </w:r>
      <w:r w:rsidRPr="00374666">
        <w:t xml:space="preserve">burden reduction </w:t>
      </w:r>
      <w:r>
        <w:t xml:space="preserve">or greater efficiency in compiling the information. The other respondent disagreed, indicating electronic alternatives to paper submissions would be a good idea and that they would be interested in electronic reporting as they would provide cost reductions (i.e., postage, mail, paper, ink) and greater efficiency. </w:t>
      </w:r>
    </w:p>
    <w:p w14:paraId="66DC47A1" w14:textId="77777777" w:rsidR="004D4829" w:rsidRPr="00263E20" w:rsidRDefault="004D4829" w:rsidP="00CD0A25">
      <w:pPr>
        <w:numPr>
          <w:ilvl w:val="12"/>
          <w:numId w:val="0"/>
        </w:numPr>
      </w:pPr>
    </w:p>
    <w:p w14:paraId="1E844DA4" w14:textId="77777777" w:rsidR="00CD0A25" w:rsidRDefault="00CD0A25" w:rsidP="00CD0A25">
      <w:pPr>
        <w:tabs>
          <w:tab w:val="left" w:pos="-1440"/>
        </w:tabs>
        <w:ind w:left="1440" w:hanging="720"/>
      </w:pPr>
      <w:r>
        <w:rPr>
          <w:b/>
          <w:bCs/>
        </w:rPr>
        <w:t>3(d)</w:t>
      </w:r>
      <w:r>
        <w:rPr>
          <w:b/>
          <w:bCs/>
        </w:rPr>
        <w:tab/>
        <w:t>Effects of Less Frequent Collection</w:t>
      </w:r>
    </w:p>
    <w:p w14:paraId="54A341ED" w14:textId="77777777" w:rsidR="00CD0A25" w:rsidRDefault="00CD0A25" w:rsidP="00CD0A25"/>
    <w:p w14:paraId="16250787" w14:textId="3D04D300" w:rsidR="00CD0A25" w:rsidRDefault="00CD0A25" w:rsidP="00CD0A25">
      <w:pPr>
        <w:ind w:firstLine="720"/>
      </w:pPr>
      <w:r>
        <w:t>By offering the compliance option of annual reporting, EPA is offering a less frequent information submission to reduce the burden of per-shipment reporting.  Further reduction, i.e., to a one-time submission for the life of the product or otherwise to a frequency of less than once a year could compromise the accuracy of the data on the number of shipments exported to a particular purchaser in another country. Less frequent submission could also make it difficult for foreign governments to determine the regulatory status of imported pesticides.</w:t>
      </w:r>
    </w:p>
    <w:p w14:paraId="259E8522" w14:textId="77777777" w:rsidR="00CD0A25" w:rsidRDefault="00CD0A25" w:rsidP="00CD0A25"/>
    <w:p w14:paraId="4D6640F1" w14:textId="7D1F8E79" w:rsidR="00CD0A25" w:rsidRDefault="00CD0A25" w:rsidP="00CD0A25">
      <w:pPr>
        <w:ind w:firstLine="720"/>
      </w:pPr>
      <w:r>
        <w:t>The annual summaries provide EPA with the ability to monitor compliance with the requirements of section 17(a). Currently, such records must be retained by exporters for only two years.  Since the summaries are submitted after the applicable year, less frequent submissions could result in the unavailability of records necessary to validate submissions.</w:t>
      </w:r>
    </w:p>
    <w:p w14:paraId="66D6445A" w14:textId="77777777" w:rsidR="00CD0A25" w:rsidRDefault="00CD0A25" w:rsidP="00CD0A25"/>
    <w:p w14:paraId="450912A0" w14:textId="77777777" w:rsidR="00CD0A25" w:rsidRDefault="00CD0A25" w:rsidP="00CD0A25">
      <w:pPr>
        <w:tabs>
          <w:tab w:val="left" w:pos="-1440"/>
        </w:tabs>
        <w:ind w:left="1440" w:hanging="720"/>
      </w:pPr>
      <w:r>
        <w:rPr>
          <w:b/>
          <w:bCs/>
        </w:rPr>
        <w:t>3(e)</w:t>
      </w:r>
      <w:r>
        <w:rPr>
          <w:b/>
          <w:bCs/>
        </w:rPr>
        <w:tab/>
        <w:t>General Guidelines</w:t>
      </w:r>
    </w:p>
    <w:p w14:paraId="081C6D7A" w14:textId="77777777" w:rsidR="00CD0A25" w:rsidRDefault="00CD0A25" w:rsidP="00CD0A25"/>
    <w:p w14:paraId="45A0A3A2" w14:textId="77777777" w:rsidR="00CD0A25" w:rsidRDefault="00CD0A25" w:rsidP="00CD0A25">
      <w:pPr>
        <w:ind w:firstLine="720"/>
      </w:pPr>
      <w:r>
        <w:t>In accordance with 5 CFR 1320.5(a)(iii)(E), federal agencies are required to indicate whether the proposed collection of information involves the use of automated, electronic, mechanical, or other technological collection techniques or other forms of information technology, e.g., permitting electronic submission of responses, and an explanation of the decision.</w:t>
      </w:r>
    </w:p>
    <w:p w14:paraId="3EB24E2D" w14:textId="77777777" w:rsidR="00CD0A25" w:rsidRDefault="00CD0A25" w:rsidP="00CD0A25">
      <w:pPr>
        <w:ind w:firstLine="720"/>
      </w:pPr>
    </w:p>
    <w:p w14:paraId="596DE365" w14:textId="77777777" w:rsidR="00CD0A25" w:rsidRDefault="00CD0A25" w:rsidP="00CD0A25">
      <w:pPr>
        <w:ind w:firstLine="720"/>
      </w:pPr>
      <w:r>
        <w:t xml:space="preserve">Information collected under this ICR is currently submitted to EPA by mail. At this time, there are no practicable automated information submission techniques available under this information collection activity readily available to all pesticide purchasers and companies selling products world-wide that could enable the collection and submission of electronic signatures. </w:t>
      </w:r>
    </w:p>
    <w:p w14:paraId="67B98BBB" w14:textId="77777777" w:rsidR="00CD0A25" w:rsidRDefault="00CD0A25" w:rsidP="00CD0A25">
      <w:pPr>
        <w:ind w:firstLine="720"/>
      </w:pPr>
    </w:p>
    <w:p w14:paraId="5432704E" w14:textId="77777777" w:rsidR="00CD0A25" w:rsidRPr="002A04CD" w:rsidRDefault="00CD0A25" w:rsidP="00CD0A25">
      <w:pPr>
        <w:ind w:firstLine="720"/>
      </w:pPr>
      <w:r w:rsidRPr="00AA0774">
        <w:t xml:space="preserve">Beginning in 2012, EPA began transmitting the FPAS electronically to Designated National Authorities (DNAs) identified by the Rotterdam Convention on Prior Informed Consent for Certain Hazardous Chemicals and Pesticides in International Trade where a valid email address exists and through mail where one does not. </w:t>
      </w:r>
      <w:r>
        <w:t>EPA has determined</w:t>
      </w:r>
      <w:r w:rsidRPr="002A04CD">
        <w:t xml:space="preserve"> that sending </w:t>
      </w:r>
      <w:r>
        <w:t xml:space="preserve">the FPAS, which may contain </w:t>
      </w:r>
      <w:r w:rsidRPr="002A04CD">
        <w:t>FIFRA sensitive information</w:t>
      </w:r>
      <w:r>
        <w:t>,</w:t>
      </w:r>
      <w:r w:rsidRPr="002A04CD">
        <w:t xml:space="preserve"> through the mail or via electronic </w:t>
      </w:r>
      <w:r>
        <w:t>media to foreign governments pursuant to FIFRA section 17</w:t>
      </w:r>
      <w:r w:rsidRPr="002A04CD">
        <w:t xml:space="preserve"> is acceptable</w:t>
      </w:r>
      <w:r>
        <w:t xml:space="preserve"> for the following reasons: 1)</w:t>
      </w:r>
      <w:r w:rsidRPr="002A04CD">
        <w:t xml:space="preserve"> </w:t>
      </w:r>
      <w:r>
        <w:t>T</w:t>
      </w:r>
      <w:r w:rsidRPr="002A04CD">
        <w:t xml:space="preserve">he transmission is </w:t>
      </w:r>
      <w:r>
        <w:t xml:space="preserve">a </w:t>
      </w:r>
      <w:r w:rsidRPr="002A04CD">
        <w:t>limited, non-public</w:t>
      </w:r>
      <w:r>
        <w:t xml:space="preserve"> disclosure required by FIFRA; 2) F</w:t>
      </w:r>
      <w:r w:rsidRPr="002A04CD">
        <w:t xml:space="preserve">oreign recipients are not subject to </w:t>
      </w:r>
      <w:r>
        <w:t xml:space="preserve">FIFRA </w:t>
      </w:r>
      <w:r w:rsidRPr="002A04CD">
        <w:t>security procedures</w:t>
      </w:r>
      <w:r>
        <w:t xml:space="preserve"> in the FIFRA Information Security Manual; 3)</w:t>
      </w:r>
      <w:r w:rsidRPr="002A04CD">
        <w:t xml:space="preserve"> </w:t>
      </w:r>
      <w:r>
        <w:t>T</w:t>
      </w:r>
      <w:r w:rsidRPr="002A04CD">
        <w:t>he specific recipient in the government of the importing country is often not known</w:t>
      </w:r>
      <w:r>
        <w:t>. For both electronic or mail transmissions, the transmission includes a cover with the following language: “This Purchaser Acknowledgement Statement may contain information claimed as confidential. Please treat the statement according to appropriate national confidentiality laws and regulations.”</w:t>
      </w:r>
    </w:p>
    <w:p w14:paraId="016FEEC1" w14:textId="77777777" w:rsidR="00CD0A25" w:rsidRDefault="00CD0A25" w:rsidP="00234651">
      <w:pPr>
        <w:tabs>
          <w:tab w:val="left" w:pos="-1440"/>
        </w:tabs>
        <w:rPr>
          <w:b/>
          <w:bCs/>
        </w:rPr>
      </w:pPr>
    </w:p>
    <w:p w14:paraId="3E2714EA" w14:textId="77777777" w:rsidR="00CD0A25" w:rsidRDefault="00CD0A25" w:rsidP="00CD0A25">
      <w:pPr>
        <w:tabs>
          <w:tab w:val="left" w:pos="-1440"/>
        </w:tabs>
        <w:ind w:left="1440" w:hanging="720"/>
      </w:pPr>
      <w:r>
        <w:rPr>
          <w:b/>
          <w:bCs/>
        </w:rPr>
        <w:t>3(f)</w:t>
      </w:r>
      <w:r>
        <w:rPr>
          <w:b/>
          <w:bCs/>
        </w:rPr>
        <w:tab/>
        <w:t>Confidentiality</w:t>
      </w:r>
    </w:p>
    <w:p w14:paraId="7C5A34B0" w14:textId="77777777" w:rsidR="00CD0A25" w:rsidRDefault="00CD0A25" w:rsidP="00CD0A25"/>
    <w:p w14:paraId="2BA44DE2" w14:textId="77777777" w:rsidR="00CD0A25" w:rsidRDefault="00CD0A25" w:rsidP="00CD0A25">
      <w:pPr>
        <w:ind w:firstLine="720"/>
      </w:pPr>
      <w:r>
        <w:t>EPA urges submitters to minimize the amount of claimed Confidential Business Information (CBI). All data and/or information submitted to the Agency under this information collection that may be claimed as trade secret, commercial or financial information will be protected from disclosure by EPA under FIFRA section 10.</w:t>
      </w:r>
    </w:p>
    <w:p w14:paraId="594C9A03" w14:textId="77777777" w:rsidR="00CD0A25" w:rsidRDefault="00CD0A25" w:rsidP="00CD0A25">
      <w:pPr>
        <w:ind w:firstLine="720"/>
      </w:pPr>
    </w:p>
    <w:p w14:paraId="6ABD46CB" w14:textId="0F27B8C9" w:rsidR="00CD0A25" w:rsidRDefault="00CD0A25" w:rsidP="00CD0A25">
      <w:pPr>
        <w:ind w:firstLine="720"/>
      </w:pPr>
      <w:r>
        <w:t>Based on “</w:t>
      </w:r>
      <w:r w:rsidRPr="00164698">
        <w:t>Non</w:t>
      </w:r>
      <w:r>
        <w:t>-</w:t>
      </w:r>
      <w:r w:rsidRPr="00164698">
        <w:t>confidentiality of Certain Information Submitted under Sections 7 and 17(a)(2) of FIFRA</w:t>
      </w:r>
      <w:r>
        <w:t xml:space="preserve">”, 55 FR 1261 (January 12, 1990) and “Class Determination 1-91, Identity of Importing Country Under FIFRA Section 17(A)(2),”, 58 FR 9062 (February 18, 1993),the following information will generally not be considered confidential: (a) The fact that a producer makes a registered or unregistered pesticide product; (b) the fact that an acknowledgement statement or other notice of export has been filed by an exporter; (c) the identity of the unregistered exported product; and, if applicable, the identity of the active ingredients of the pesticide; and (d) the identity of the importing country and the country or countries of final destination. According to statute, this same information must be reported to the government of the importing country.  </w:t>
      </w:r>
    </w:p>
    <w:p w14:paraId="7A51D48D" w14:textId="77777777" w:rsidR="00CD0A25" w:rsidRDefault="00CD0A25" w:rsidP="00CD0A25">
      <w:pPr>
        <w:ind w:firstLine="720"/>
      </w:pPr>
      <w:r>
        <w:t xml:space="preserve"> </w:t>
      </w:r>
    </w:p>
    <w:p w14:paraId="30541A43" w14:textId="77777777" w:rsidR="00CD0A25" w:rsidRDefault="00CD0A25" w:rsidP="00CD0A25">
      <w:pPr>
        <w:ind w:firstLine="720"/>
      </w:pPr>
      <w:r>
        <w:t xml:space="preserve">Exported research and development substances that fit the criteria set out in </w:t>
      </w:r>
      <w:r w:rsidRPr="00C516F3">
        <w:t>40 CFR 168.75(b)(5)</w:t>
      </w:r>
      <w:r>
        <w:t xml:space="preserve"> are not subject to the FPAS requirement, but are subject to the labeling requirement.   Confidential business information may be required to be submitted in the case where a business wishes to export an unregistered research pesticide product that does not fit the criteria of </w:t>
      </w:r>
      <w:r w:rsidRPr="00C516F3">
        <w:t>168.75(b)(5)</w:t>
      </w:r>
      <w:r>
        <w:t>.  EPA recognizes that the chemical identity of the research product may require protection as confidential business information, but believes that it is essential that the Agency nevertheless be able to accurately identify the nature of the product.  The identity of a product under research and development may be identified by use of identification codes which protect proprietary information.</w:t>
      </w:r>
    </w:p>
    <w:p w14:paraId="25804BB1" w14:textId="77777777" w:rsidR="00CD0A25" w:rsidRDefault="00CD0A25" w:rsidP="00CD0A25"/>
    <w:p w14:paraId="45E4867D" w14:textId="77777777" w:rsidR="00CD0A25" w:rsidRDefault="00CD0A25" w:rsidP="00CD0A25">
      <w:pPr>
        <w:keepLines/>
        <w:tabs>
          <w:tab w:val="left" w:pos="-1440"/>
        </w:tabs>
        <w:ind w:left="1440" w:hanging="720"/>
      </w:pPr>
      <w:r>
        <w:rPr>
          <w:b/>
          <w:bCs/>
        </w:rPr>
        <w:t>3(g)</w:t>
      </w:r>
      <w:r>
        <w:rPr>
          <w:b/>
          <w:bCs/>
        </w:rPr>
        <w:tab/>
        <w:t>Sensitive Questions</w:t>
      </w:r>
    </w:p>
    <w:p w14:paraId="6B08444C" w14:textId="77777777" w:rsidR="00CD0A25" w:rsidRDefault="00CD0A25" w:rsidP="00CD0A25">
      <w:pPr>
        <w:keepLines/>
      </w:pPr>
    </w:p>
    <w:p w14:paraId="3730FE1D" w14:textId="77777777" w:rsidR="00CD0A25" w:rsidRDefault="00CD0A25" w:rsidP="00CD0A25">
      <w:pPr>
        <w:keepLines/>
        <w:ind w:firstLine="720"/>
      </w:pPr>
      <w:r>
        <w:t>No information of a sensitive nature is required to be submitted.</w:t>
      </w:r>
    </w:p>
    <w:p w14:paraId="6D916497" w14:textId="68146CF8" w:rsidR="00CD0A25" w:rsidRDefault="00CD0A25" w:rsidP="00CD0A25"/>
    <w:p w14:paraId="72A54433" w14:textId="77777777" w:rsidR="00C16E62" w:rsidRDefault="00C16E62" w:rsidP="00CD0A25"/>
    <w:p w14:paraId="7DCCEEAF" w14:textId="77777777" w:rsidR="00CD0A25" w:rsidRDefault="00CD0A25" w:rsidP="00CD0A25">
      <w:pPr>
        <w:rPr>
          <w:b/>
          <w:bCs/>
        </w:rPr>
      </w:pPr>
      <w:r>
        <w:rPr>
          <w:b/>
          <w:bCs/>
        </w:rPr>
        <w:t xml:space="preserve">4. </w:t>
      </w:r>
      <w:r>
        <w:rPr>
          <w:b/>
          <w:bCs/>
        </w:rPr>
        <w:tab/>
      </w:r>
      <w:r w:rsidRPr="003C7EC4">
        <w:rPr>
          <w:b/>
          <w:bCs/>
          <w:u w:val="single"/>
        </w:rPr>
        <w:t>THE RESPONDENTS AND THE INFORMATION REQUESTED</w:t>
      </w:r>
    </w:p>
    <w:p w14:paraId="39EDBD44" w14:textId="77777777" w:rsidR="00CD0A25" w:rsidRDefault="00CD0A25" w:rsidP="00CD0A25">
      <w:pPr>
        <w:rPr>
          <w:u w:val="single"/>
        </w:rPr>
      </w:pPr>
    </w:p>
    <w:p w14:paraId="70829FC2" w14:textId="77777777" w:rsidR="00CD0A25" w:rsidRDefault="00CD0A25" w:rsidP="00CD0A25">
      <w:pPr>
        <w:ind w:left="720"/>
      </w:pPr>
      <w:r>
        <w:rPr>
          <w:b/>
          <w:bCs/>
        </w:rPr>
        <w:t>4(a)</w:t>
      </w:r>
      <w:r>
        <w:rPr>
          <w:b/>
          <w:bCs/>
        </w:rPr>
        <w:tab/>
        <w:t>Respondents - NAICS Codes</w:t>
      </w:r>
    </w:p>
    <w:p w14:paraId="5E37CF4F" w14:textId="77777777" w:rsidR="00CD0A25" w:rsidRDefault="00CD0A25" w:rsidP="00CD0A25"/>
    <w:p w14:paraId="1E18F107" w14:textId="01E8BCB5" w:rsidR="00CD0A25" w:rsidRDefault="00CD0A25" w:rsidP="00CD0A25">
      <w:pPr>
        <w:ind w:firstLine="720"/>
      </w:pPr>
      <w:r>
        <w:t xml:space="preserve">Respondents affected by the collection activities under this ICR are individuals or entities that either manufacture and export pesticides or that reformulate or repackage and export pesticides. The North American Industrial Classification System (NAICS) code assigned to the parties responding to this information is as follows: </w:t>
      </w:r>
    </w:p>
    <w:p w14:paraId="3DE35F87" w14:textId="77777777" w:rsidR="00CD0A25" w:rsidRDefault="00CD0A25" w:rsidP="00CD0A25"/>
    <w:tbl>
      <w:tblPr>
        <w:tblW w:w="0" w:type="auto"/>
        <w:tblInd w:w="120" w:type="dxa"/>
        <w:tblLayout w:type="fixed"/>
        <w:tblCellMar>
          <w:left w:w="120" w:type="dxa"/>
          <w:right w:w="120" w:type="dxa"/>
        </w:tblCellMar>
        <w:tblLook w:val="0000" w:firstRow="0" w:lastRow="0" w:firstColumn="0" w:lastColumn="0" w:noHBand="0" w:noVBand="0"/>
      </w:tblPr>
      <w:tblGrid>
        <w:gridCol w:w="3000"/>
        <w:gridCol w:w="960"/>
        <w:gridCol w:w="5400"/>
      </w:tblGrid>
      <w:tr w:rsidR="00CD0A25" w:rsidRPr="002062E1" w14:paraId="0E6A7C87" w14:textId="77777777" w:rsidTr="008F67E9">
        <w:tc>
          <w:tcPr>
            <w:tcW w:w="3000" w:type="dxa"/>
            <w:tcBorders>
              <w:top w:val="single" w:sz="6" w:space="0" w:color="000000"/>
              <w:left w:val="single" w:sz="6" w:space="0" w:color="000000"/>
              <w:bottom w:val="single" w:sz="6" w:space="0" w:color="000000"/>
              <w:right w:val="single" w:sz="6" w:space="0" w:color="000000"/>
            </w:tcBorders>
            <w:shd w:val="pct20" w:color="000000" w:fill="FFFFFF"/>
          </w:tcPr>
          <w:p w14:paraId="56D48A8B" w14:textId="77777777" w:rsidR="00CD0A25" w:rsidRPr="002062E1" w:rsidRDefault="00CD0A25" w:rsidP="008F67E9">
            <w:pPr>
              <w:spacing w:after="58"/>
              <w:jc w:val="center"/>
              <w:rPr>
                <w:sz w:val="22"/>
                <w:szCs w:val="22"/>
              </w:rPr>
            </w:pPr>
            <w:r w:rsidRPr="002062E1">
              <w:rPr>
                <w:sz w:val="22"/>
                <w:szCs w:val="22"/>
              </w:rPr>
              <w:t>Category</w:t>
            </w:r>
          </w:p>
        </w:tc>
        <w:tc>
          <w:tcPr>
            <w:tcW w:w="960" w:type="dxa"/>
            <w:tcBorders>
              <w:top w:val="single" w:sz="6" w:space="0" w:color="000000"/>
              <w:left w:val="single" w:sz="6" w:space="0" w:color="000000"/>
              <w:bottom w:val="single" w:sz="6" w:space="0" w:color="000000"/>
              <w:right w:val="single" w:sz="6" w:space="0" w:color="000000"/>
            </w:tcBorders>
            <w:shd w:val="pct20" w:color="000000" w:fill="FFFFFF"/>
          </w:tcPr>
          <w:p w14:paraId="32D3E1CB" w14:textId="77777777" w:rsidR="00CD0A25" w:rsidRPr="002062E1" w:rsidRDefault="00CD0A25" w:rsidP="008F67E9">
            <w:pPr>
              <w:spacing w:after="58"/>
              <w:jc w:val="center"/>
              <w:rPr>
                <w:sz w:val="22"/>
                <w:szCs w:val="22"/>
              </w:rPr>
            </w:pPr>
            <w:r w:rsidRPr="002062E1">
              <w:rPr>
                <w:sz w:val="22"/>
                <w:szCs w:val="22"/>
              </w:rPr>
              <w:t>NAICS code</w:t>
            </w:r>
          </w:p>
        </w:tc>
        <w:tc>
          <w:tcPr>
            <w:tcW w:w="5400" w:type="dxa"/>
            <w:tcBorders>
              <w:top w:val="single" w:sz="6" w:space="0" w:color="000000"/>
              <w:left w:val="single" w:sz="6" w:space="0" w:color="000000"/>
              <w:bottom w:val="single" w:sz="6" w:space="0" w:color="000000"/>
              <w:right w:val="single" w:sz="6" w:space="0" w:color="000000"/>
            </w:tcBorders>
            <w:shd w:val="pct20" w:color="000000" w:fill="FFFFFF"/>
          </w:tcPr>
          <w:p w14:paraId="058A06C9" w14:textId="77777777" w:rsidR="00CD0A25" w:rsidRPr="002062E1" w:rsidRDefault="00CD0A25" w:rsidP="008F67E9">
            <w:pPr>
              <w:jc w:val="center"/>
              <w:rPr>
                <w:sz w:val="22"/>
                <w:szCs w:val="22"/>
              </w:rPr>
            </w:pPr>
            <w:r w:rsidRPr="002062E1">
              <w:rPr>
                <w:sz w:val="22"/>
                <w:szCs w:val="22"/>
              </w:rPr>
              <w:t xml:space="preserve">Examples of potentially </w:t>
            </w:r>
          </w:p>
          <w:p w14:paraId="1B32FEED" w14:textId="77777777" w:rsidR="00CD0A25" w:rsidRPr="002062E1" w:rsidRDefault="00CD0A25" w:rsidP="008F67E9">
            <w:pPr>
              <w:spacing w:after="58"/>
              <w:jc w:val="center"/>
              <w:rPr>
                <w:sz w:val="22"/>
                <w:szCs w:val="22"/>
              </w:rPr>
            </w:pPr>
            <w:r w:rsidRPr="002062E1">
              <w:rPr>
                <w:sz w:val="22"/>
                <w:szCs w:val="22"/>
              </w:rPr>
              <w:t>affected entities</w:t>
            </w:r>
          </w:p>
        </w:tc>
      </w:tr>
      <w:tr w:rsidR="00CD0A25" w:rsidRPr="002062E1" w14:paraId="24DF318C" w14:textId="77777777" w:rsidTr="008F67E9">
        <w:tc>
          <w:tcPr>
            <w:tcW w:w="3000" w:type="dxa"/>
            <w:tcBorders>
              <w:top w:val="single" w:sz="6" w:space="0" w:color="000000"/>
              <w:left w:val="single" w:sz="6" w:space="0" w:color="000000"/>
              <w:bottom w:val="single" w:sz="6" w:space="0" w:color="000000"/>
              <w:right w:val="single" w:sz="6" w:space="0" w:color="000000"/>
            </w:tcBorders>
          </w:tcPr>
          <w:p w14:paraId="263803E3" w14:textId="77777777" w:rsidR="00CD0A25" w:rsidRPr="002062E1" w:rsidRDefault="00CD0A25" w:rsidP="008F67E9">
            <w:pPr>
              <w:spacing w:after="58"/>
              <w:rPr>
                <w:sz w:val="22"/>
                <w:szCs w:val="22"/>
              </w:rPr>
            </w:pPr>
            <w:r>
              <w:rPr>
                <w:sz w:val="22"/>
                <w:szCs w:val="22"/>
              </w:rPr>
              <w:t>Chemical Manufacturing (3251, 3252, 3253, and 3259 only)</w:t>
            </w:r>
          </w:p>
        </w:tc>
        <w:tc>
          <w:tcPr>
            <w:tcW w:w="960" w:type="dxa"/>
            <w:tcBorders>
              <w:top w:val="single" w:sz="6" w:space="0" w:color="000000"/>
              <w:left w:val="single" w:sz="6" w:space="0" w:color="000000"/>
              <w:bottom w:val="single" w:sz="6" w:space="0" w:color="000000"/>
              <w:right w:val="single" w:sz="6" w:space="0" w:color="000000"/>
            </w:tcBorders>
          </w:tcPr>
          <w:p w14:paraId="4DF9E1D2" w14:textId="77777777" w:rsidR="00CD0A25" w:rsidRPr="002062E1" w:rsidRDefault="00CD0A25" w:rsidP="008F67E9">
            <w:pPr>
              <w:spacing w:after="58"/>
              <w:jc w:val="center"/>
              <w:rPr>
                <w:sz w:val="22"/>
                <w:szCs w:val="22"/>
              </w:rPr>
            </w:pPr>
            <w:r>
              <w:rPr>
                <w:sz w:val="22"/>
                <w:szCs w:val="22"/>
              </w:rPr>
              <w:t>3250A1</w:t>
            </w:r>
          </w:p>
        </w:tc>
        <w:tc>
          <w:tcPr>
            <w:tcW w:w="5400" w:type="dxa"/>
            <w:tcBorders>
              <w:top w:val="single" w:sz="6" w:space="0" w:color="000000"/>
              <w:left w:val="single" w:sz="6" w:space="0" w:color="000000"/>
              <w:bottom w:val="single" w:sz="6" w:space="0" w:color="000000"/>
              <w:right w:val="single" w:sz="6" w:space="0" w:color="000000"/>
            </w:tcBorders>
          </w:tcPr>
          <w:p w14:paraId="065924A3" w14:textId="77777777" w:rsidR="00CD0A25" w:rsidRPr="002062E1" w:rsidRDefault="00CD0A25" w:rsidP="008F67E9">
            <w:pPr>
              <w:spacing w:after="58"/>
              <w:rPr>
                <w:sz w:val="22"/>
                <w:szCs w:val="22"/>
              </w:rPr>
            </w:pPr>
            <w:r w:rsidRPr="002062E1">
              <w:rPr>
                <w:sz w:val="22"/>
                <w:szCs w:val="22"/>
              </w:rPr>
              <w:t>Individuals or entities engaged in activities related to the registration of a pesticide product.</w:t>
            </w:r>
          </w:p>
        </w:tc>
      </w:tr>
    </w:tbl>
    <w:p w14:paraId="217C8168" w14:textId="77777777" w:rsidR="00CD0A25" w:rsidRDefault="00CD0A25" w:rsidP="00CD0A25"/>
    <w:p w14:paraId="407D3970" w14:textId="77777777" w:rsidR="00CD0A25" w:rsidRDefault="00CD0A25" w:rsidP="00CD0A25">
      <w:pPr>
        <w:tabs>
          <w:tab w:val="left" w:pos="-1440"/>
        </w:tabs>
        <w:ind w:left="1440" w:hanging="720"/>
        <w:rPr>
          <w:b/>
          <w:bCs/>
        </w:rPr>
      </w:pPr>
      <w:r>
        <w:rPr>
          <w:b/>
          <w:bCs/>
        </w:rPr>
        <w:t>4(b)</w:t>
      </w:r>
      <w:r>
        <w:rPr>
          <w:b/>
          <w:bCs/>
        </w:rPr>
        <w:tab/>
        <w:t>Information Requested</w:t>
      </w:r>
    </w:p>
    <w:p w14:paraId="4B38BECC" w14:textId="77777777" w:rsidR="00CD0A25" w:rsidRDefault="00CD0A25" w:rsidP="00234651"/>
    <w:p w14:paraId="2A1B6AAC" w14:textId="7D1EBEBC" w:rsidR="004D4829" w:rsidRDefault="0081240A" w:rsidP="00234651">
      <w:pPr>
        <w:ind w:firstLine="720"/>
      </w:pPr>
      <w:r>
        <w:t>There are no forms for this activity.</w:t>
      </w:r>
      <w:r w:rsidDel="00CD0A25">
        <w:t xml:space="preserve"> </w:t>
      </w:r>
      <w:r w:rsidR="00CD0A25">
        <w:t xml:space="preserve">The EPA does not currently provide a template nor mandate the use of a common form. Therefore, the exporter must develop and use their own FPAS. </w:t>
      </w:r>
      <w:r w:rsidR="00CD0A25" w:rsidRPr="00BC4230">
        <w:t>In preparing the statement, the exporter is free to format the document in any manner as long as it includes all of the required information.</w:t>
      </w:r>
      <w:r w:rsidR="00CD0A25">
        <w:t xml:space="preserve"> </w:t>
      </w:r>
      <w:r w:rsidR="00CD0A25" w:rsidRPr="0012261B">
        <w:t>The exporter must obtain the signed statement from the foreign purchaser before the pesticide can be shipped.</w:t>
      </w:r>
      <w:r w:rsidR="00CD0A25">
        <w:t xml:space="preserve"> </w:t>
      </w:r>
    </w:p>
    <w:p w14:paraId="2C95301D" w14:textId="423F1F07" w:rsidR="004D4829" w:rsidRDefault="004D4829" w:rsidP="004D4829">
      <w:pPr>
        <w:ind w:firstLine="720"/>
      </w:pPr>
    </w:p>
    <w:p w14:paraId="342B8C3C" w14:textId="77777777" w:rsidR="00CD0A25" w:rsidRDefault="00CD0A25" w:rsidP="00CD0A25">
      <w:pPr>
        <w:ind w:firstLine="720"/>
      </w:pPr>
      <w:r w:rsidRPr="004D4829">
        <w:t>While the EPA does not currently provide a form, the Agency is planning to develop a voluntary template that will help guide the process of submitting a FPAS. While this template is not yet available, EPA does not intend to make the use of the template mandatory, and exporters may continue to choose to develop an alternative format.</w:t>
      </w:r>
      <w:r w:rsidRPr="0012261B">
        <w:t xml:space="preserve"> </w:t>
      </w:r>
    </w:p>
    <w:p w14:paraId="05AF9B23" w14:textId="77777777" w:rsidR="00CD0A25" w:rsidRDefault="00CD0A25" w:rsidP="00CD0A25">
      <w:pPr>
        <w:tabs>
          <w:tab w:val="left" w:pos="-1440"/>
        </w:tabs>
        <w:ind w:left="1440" w:hanging="720"/>
        <w:rPr>
          <w:b/>
          <w:bCs/>
          <w:iCs/>
        </w:rPr>
      </w:pPr>
    </w:p>
    <w:p w14:paraId="3CDF502D" w14:textId="77777777" w:rsidR="00CD0A25" w:rsidRPr="003C7EC4" w:rsidRDefault="00CD0A25" w:rsidP="00CD0A25">
      <w:pPr>
        <w:tabs>
          <w:tab w:val="left" w:pos="-1440"/>
        </w:tabs>
        <w:ind w:left="1440" w:hanging="720"/>
        <w:rPr>
          <w:b/>
        </w:rPr>
      </w:pPr>
      <w:r w:rsidRPr="003C7EC4">
        <w:rPr>
          <w:b/>
          <w:bCs/>
          <w:iCs/>
        </w:rPr>
        <w:t>(i)</w:t>
      </w:r>
      <w:r w:rsidRPr="003C7EC4">
        <w:rPr>
          <w:b/>
          <w:bCs/>
          <w:iCs/>
        </w:rPr>
        <w:tab/>
        <w:t>Data items, including record keeping requirements</w:t>
      </w:r>
    </w:p>
    <w:p w14:paraId="5E13AC9B" w14:textId="77777777" w:rsidR="00CD0A25" w:rsidRDefault="00CD0A25" w:rsidP="00CD0A25"/>
    <w:p w14:paraId="33D1A37B" w14:textId="77777777" w:rsidR="00CD0A25" w:rsidRPr="003C7EC4" w:rsidRDefault="00CD0A25" w:rsidP="00CD0A25">
      <w:pPr>
        <w:pStyle w:val="Level1"/>
        <w:numPr>
          <w:ilvl w:val="0"/>
          <w:numId w:val="3"/>
        </w:numPr>
        <w:tabs>
          <w:tab w:val="left" w:pos="-1440"/>
          <w:tab w:val="num" w:pos="1440"/>
        </w:tabs>
        <w:ind w:left="1440"/>
        <w:rPr>
          <w:b/>
        </w:rPr>
      </w:pPr>
      <w:r w:rsidRPr="003C7EC4">
        <w:rPr>
          <w:b/>
          <w:iCs/>
        </w:rPr>
        <w:t>Foreign Purchaser Acknowledgment Statement (FPAS)</w:t>
      </w:r>
    </w:p>
    <w:p w14:paraId="0C79721D" w14:textId="77777777" w:rsidR="00CD0A25" w:rsidRDefault="00CD0A25" w:rsidP="00CD0A25"/>
    <w:p w14:paraId="2A1B8081" w14:textId="18D60B2A" w:rsidR="00CD0A25" w:rsidRDefault="00CD0A25" w:rsidP="00CD0A25">
      <w:pPr>
        <w:ind w:firstLine="720"/>
      </w:pPr>
      <w:r>
        <w:t>After determining that the product is subject to this requirement, the exporter must obtain a statement of the type described in item 4(b)(i) from the foreign purchaser of the pesticide product. This will normally require that the exporter provide the purchaser with a prepared statement for signature or with instructions that are adequate to ensure that the purchaser can prepare the statement.</w:t>
      </w:r>
    </w:p>
    <w:p w14:paraId="7C1D90A7" w14:textId="77777777" w:rsidR="00CD0A25" w:rsidRDefault="00CD0A25" w:rsidP="00CD0A25"/>
    <w:p w14:paraId="154354ED" w14:textId="77777777" w:rsidR="00CD0A25" w:rsidRDefault="00CD0A25" w:rsidP="00CD0A25">
      <w:pPr>
        <w:ind w:firstLine="720"/>
      </w:pPr>
      <w:r>
        <w:t>If the exporter anticipates making more than one shipment of the product to the purchaser in a given year, the exporter may elect to notify EPA only at the time of the first shipment and to choose to comply with the annual reporting option, which requires the submission of an annual summary of shipments of pesticides shipped to each purchaser.</w:t>
      </w:r>
    </w:p>
    <w:p w14:paraId="531DBE1F" w14:textId="77777777" w:rsidR="00CD0A25" w:rsidRDefault="00CD0A25" w:rsidP="00CD0A25"/>
    <w:p w14:paraId="371383AE" w14:textId="77777777" w:rsidR="00CD0A25" w:rsidRDefault="00CD0A25" w:rsidP="00CD0A25">
      <w:r>
        <w:t>The FPAS must contain the following information:</w:t>
      </w:r>
    </w:p>
    <w:p w14:paraId="02AF6A94" w14:textId="77777777" w:rsidR="00CD0A25" w:rsidRDefault="00CD0A25" w:rsidP="00120D2A">
      <w:pPr>
        <w:pStyle w:val="Level1"/>
        <w:numPr>
          <w:ilvl w:val="0"/>
          <w:numId w:val="4"/>
        </w:numPr>
        <w:tabs>
          <w:tab w:val="left" w:pos="-1440"/>
          <w:tab w:val="num" w:pos="720"/>
        </w:tabs>
        <w:ind w:left="0" w:firstLine="360"/>
      </w:pPr>
      <w:r>
        <w:t>Name and address of exporter.</w:t>
      </w:r>
    </w:p>
    <w:p w14:paraId="1E98645E" w14:textId="77777777" w:rsidR="00CD0A25" w:rsidRDefault="00CD0A25" w:rsidP="00120D2A">
      <w:pPr>
        <w:pStyle w:val="Level1"/>
        <w:numPr>
          <w:ilvl w:val="0"/>
          <w:numId w:val="4"/>
        </w:numPr>
        <w:tabs>
          <w:tab w:val="left" w:pos="-1440"/>
          <w:tab w:val="num" w:pos="720"/>
        </w:tabs>
        <w:ind w:left="0" w:firstLine="360"/>
      </w:pPr>
      <w:r>
        <w:t>Name and address of foreign purchaser.</w:t>
      </w:r>
    </w:p>
    <w:p w14:paraId="574F3142" w14:textId="77777777" w:rsidR="00CD0A25" w:rsidRDefault="00CD0A25" w:rsidP="00120D2A">
      <w:pPr>
        <w:pStyle w:val="Level1"/>
        <w:numPr>
          <w:ilvl w:val="0"/>
          <w:numId w:val="4"/>
        </w:numPr>
        <w:tabs>
          <w:tab w:val="left" w:pos="-1440"/>
          <w:tab w:val="num" w:pos="720"/>
        </w:tabs>
        <w:ind w:left="0" w:firstLine="360"/>
      </w:pPr>
      <w:r>
        <w:t>Name of product and active ingredient.</w:t>
      </w:r>
    </w:p>
    <w:p w14:paraId="142189EB" w14:textId="77777777" w:rsidR="00CD0A25" w:rsidRDefault="00CD0A25" w:rsidP="00120D2A">
      <w:pPr>
        <w:pStyle w:val="Level1"/>
        <w:numPr>
          <w:ilvl w:val="0"/>
          <w:numId w:val="4"/>
        </w:numPr>
        <w:tabs>
          <w:tab w:val="left" w:pos="-1440"/>
          <w:tab w:val="num" w:pos="720"/>
        </w:tabs>
        <w:ind w:left="0" w:firstLine="360"/>
      </w:pPr>
      <w:r>
        <w:t>Statement that foreign purchaser is aware that the product is not registered for use in the United States and cannot be sold for use in the United States.</w:t>
      </w:r>
    </w:p>
    <w:p w14:paraId="65B4C726" w14:textId="77777777" w:rsidR="00CD0A25" w:rsidRDefault="00CD0A25" w:rsidP="00120D2A">
      <w:pPr>
        <w:pStyle w:val="Level1"/>
        <w:numPr>
          <w:ilvl w:val="0"/>
          <w:numId w:val="4"/>
        </w:numPr>
        <w:tabs>
          <w:tab w:val="left" w:pos="-1440"/>
          <w:tab w:val="num" w:pos="720"/>
        </w:tabs>
        <w:ind w:left="0" w:firstLine="360"/>
      </w:pPr>
      <w:r>
        <w:t>If known, country of final destination of the exported shipment if different from country of import.</w:t>
      </w:r>
    </w:p>
    <w:p w14:paraId="6348E148" w14:textId="77777777" w:rsidR="00CD0A25" w:rsidRDefault="00CD0A25" w:rsidP="00120D2A">
      <w:pPr>
        <w:pStyle w:val="Level1"/>
        <w:numPr>
          <w:ilvl w:val="0"/>
          <w:numId w:val="4"/>
        </w:numPr>
        <w:tabs>
          <w:tab w:val="left" w:pos="-1440"/>
          <w:tab w:val="num" w:pos="720"/>
        </w:tabs>
        <w:ind w:left="0" w:firstLine="360"/>
      </w:pPr>
      <w:r>
        <w:t>Signature of foreign purchaser.</w:t>
      </w:r>
    </w:p>
    <w:p w14:paraId="7DF7773F" w14:textId="77777777" w:rsidR="00CD0A25" w:rsidRDefault="00CD0A25" w:rsidP="00120D2A">
      <w:pPr>
        <w:pStyle w:val="Level1"/>
        <w:numPr>
          <w:ilvl w:val="0"/>
          <w:numId w:val="4"/>
        </w:numPr>
        <w:tabs>
          <w:tab w:val="left" w:pos="-1440"/>
          <w:tab w:val="num" w:pos="720"/>
        </w:tabs>
        <w:ind w:left="0" w:firstLine="360"/>
      </w:pPr>
      <w:r>
        <w:t>Date that purchaser acknowledgment statement is signed by foreign purchaser.</w:t>
      </w:r>
    </w:p>
    <w:p w14:paraId="19A6A1E7" w14:textId="77777777" w:rsidR="00CD0A25" w:rsidRDefault="00CD0A25" w:rsidP="00120D2A">
      <w:pPr>
        <w:pStyle w:val="Level1"/>
        <w:numPr>
          <w:ilvl w:val="0"/>
          <w:numId w:val="4"/>
        </w:numPr>
        <w:tabs>
          <w:tab w:val="left" w:pos="-1440"/>
          <w:tab w:val="num" w:pos="720"/>
        </w:tabs>
        <w:ind w:left="0" w:firstLine="360"/>
      </w:pPr>
      <w:r>
        <w:t>Certification that shipment did not occur prior to receipt of Purchaser Acknowledgment Statement.</w:t>
      </w:r>
    </w:p>
    <w:p w14:paraId="289DD1B1" w14:textId="77777777" w:rsidR="00CD0A25" w:rsidRDefault="00CD0A25" w:rsidP="00120D2A">
      <w:pPr>
        <w:pStyle w:val="Level1"/>
        <w:numPr>
          <w:ilvl w:val="0"/>
          <w:numId w:val="4"/>
        </w:numPr>
        <w:tabs>
          <w:tab w:val="left" w:pos="-1440"/>
          <w:tab w:val="num" w:pos="720"/>
        </w:tabs>
        <w:ind w:left="0" w:firstLine="360"/>
      </w:pPr>
      <w:r>
        <w:t>Exporter’s signature.</w:t>
      </w:r>
    </w:p>
    <w:p w14:paraId="498244AC" w14:textId="77777777" w:rsidR="00CD0A25" w:rsidRDefault="00CD0A25" w:rsidP="00120D2A">
      <w:pPr>
        <w:tabs>
          <w:tab w:val="num" w:pos="720"/>
        </w:tabs>
        <w:ind w:firstLine="360"/>
      </w:pPr>
    </w:p>
    <w:p w14:paraId="25915E5E" w14:textId="77777777" w:rsidR="00CD0A25" w:rsidRDefault="00CD0A25" w:rsidP="00CD0A25">
      <w:r>
        <w:t xml:space="preserve">Information required to be collected must be maintained pursuant to 40 CFR 168.85.  </w:t>
      </w:r>
    </w:p>
    <w:p w14:paraId="54DDF47E" w14:textId="77777777" w:rsidR="00CD0A25" w:rsidRDefault="00CD0A25" w:rsidP="00CD0A25"/>
    <w:p w14:paraId="61F97664" w14:textId="77777777" w:rsidR="00CD0A25" w:rsidRPr="003C7EC4" w:rsidRDefault="00CD0A25" w:rsidP="00CD0A25">
      <w:pPr>
        <w:pStyle w:val="Level1"/>
        <w:keepNext/>
        <w:keepLines/>
        <w:widowControl/>
        <w:numPr>
          <w:ilvl w:val="0"/>
          <w:numId w:val="5"/>
        </w:numPr>
        <w:tabs>
          <w:tab w:val="left" w:pos="-1440"/>
          <w:tab w:val="num" w:pos="1440"/>
        </w:tabs>
        <w:ind w:left="1440"/>
        <w:rPr>
          <w:b/>
        </w:rPr>
      </w:pPr>
      <w:r w:rsidRPr="003C7EC4">
        <w:rPr>
          <w:b/>
          <w:iCs/>
        </w:rPr>
        <w:t>Third Party Notification Requirements; Export Labeling</w:t>
      </w:r>
    </w:p>
    <w:p w14:paraId="3A3FB465" w14:textId="77777777" w:rsidR="00CD0A25" w:rsidRDefault="00CD0A25" w:rsidP="00CD0A25">
      <w:pPr>
        <w:keepNext/>
        <w:keepLines/>
        <w:widowControl/>
      </w:pPr>
    </w:p>
    <w:p w14:paraId="38F846E8" w14:textId="77777777" w:rsidR="00CD0A25" w:rsidRDefault="00CD0A25" w:rsidP="00CD0A25">
      <w:pPr>
        <w:keepNext/>
        <w:keepLines/>
        <w:widowControl/>
      </w:pPr>
      <w:r>
        <w:t>All exported registered pesticides must bear the EPA approved label and supplemental labeling options have been made to accommodate the importing country’s requirements.  For unregistered pesticides, the following information must be included on the labels or labeling:</w:t>
      </w:r>
    </w:p>
    <w:p w14:paraId="27C4FF4F" w14:textId="77777777" w:rsidR="00CD0A25" w:rsidRDefault="00CD0A25" w:rsidP="00120D2A">
      <w:pPr>
        <w:pStyle w:val="Level1"/>
        <w:numPr>
          <w:ilvl w:val="0"/>
          <w:numId w:val="6"/>
        </w:numPr>
        <w:tabs>
          <w:tab w:val="left" w:pos="-1440"/>
          <w:tab w:val="left" w:pos="720"/>
        </w:tabs>
        <w:ind w:left="0" w:firstLine="360"/>
      </w:pPr>
      <w:r>
        <w:t>EPA pesticide producing establishment number.</w:t>
      </w:r>
    </w:p>
    <w:p w14:paraId="4B83490C" w14:textId="77777777" w:rsidR="00CD0A25" w:rsidRDefault="00CD0A25" w:rsidP="00120D2A">
      <w:pPr>
        <w:pStyle w:val="Level1"/>
        <w:numPr>
          <w:ilvl w:val="0"/>
          <w:numId w:val="6"/>
        </w:numPr>
        <w:tabs>
          <w:tab w:val="left" w:pos="-1440"/>
          <w:tab w:val="left" w:pos="720"/>
        </w:tabs>
        <w:ind w:left="0" w:firstLine="360"/>
      </w:pPr>
      <w:r>
        <w:t>Warning or caution statements.</w:t>
      </w:r>
    </w:p>
    <w:p w14:paraId="069638EA" w14:textId="6677157C" w:rsidR="00CD0A25" w:rsidRDefault="00CD0A25" w:rsidP="00120D2A">
      <w:pPr>
        <w:pStyle w:val="Level1"/>
        <w:numPr>
          <w:ilvl w:val="0"/>
          <w:numId w:val="6"/>
        </w:numPr>
        <w:tabs>
          <w:tab w:val="left" w:pos="-1440"/>
          <w:tab w:val="left" w:pos="720"/>
        </w:tabs>
        <w:ind w:left="0" w:firstLine="360"/>
      </w:pPr>
      <w:r>
        <w:t>The statement “Not Registered for Use in the United States of America.” The labels of all pesticides, devices, and active ingredients which are not registered for use in the United States under FIFRA section 3 must include this statement.</w:t>
      </w:r>
    </w:p>
    <w:p w14:paraId="4C121D88" w14:textId="77777777" w:rsidR="00CD0A25" w:rsidRDefault="00CD0A25" w:rsidP="00120D2A">
      <w:pPr>
        <w:pStyle w:val="Level1"/>
        <w:numPr>
          <w:ilvl w:val="0"/>
          <w:numId w:val="6"/>
        </w:numPr>
        <w:tabs>
          <w:tab w:val="left" w:pos="-1440"/>
          <w:tab w:val="left" w:pos="720"/>
        </w:tabs>
        <w:ind w:left="0" w:firstLine="360"/>
      </w:pPr>
      <w:r>
        <w:t>The ingredient statement.</w:t>
      </w:r>
    </w:p>
    <w:p w14:paraId="6E03D0E8" w14:textId="77777777" w:rsidR="00CD0A25" w:rsidRDefault="00CD0A25" w:rsidP="00120D2A">
      <w:pPr>
        <w:pStyle w:val="Level1"/>
        <w:numPr>
          <w:ilvl w:val="0"/>
          <w:numId w:val="6"/>
        </w:numPr>
        <w:tabs>
          <w:tab w:val="left" w:pos="-1440"/>
          <w:tab w:val="left" w:pos="720"/>
        </w:tabs>
        <w:ind w:left="0" w:firstLine="360"/>
      </w:pPr>
      <w:r>
        <w:t>Identity of parties.</w:t>
      </w:r>
    </w:p>
    <w:p w14:paraId="237240B4" w14:textId="77777777" w:rsidR="00CD0A25" w:rsidRDefault="00CD0A25" w:rsidP="00120D2A">
      <w:pPr>
        <w:pStyle w:val="Level1"/>
        <w:numPr>
          <w:ilvl w:val="0"/>
          <w:numId w:val="6"/>
        </w:numPr>
        <w:tabs>
          <w:tab w:val="left" w:pos="-1440"/>
          <w:tab w:val="left" w:pos="720"/>
        </w:tabs>
        <w:ind w:left="0" w:firstLine="360"/>
      </w:pPr>
      <w:r>
        <w:t>Weight or measure.</w:t>
      </w:r>
    </w:p>
    <w:p w14:paraId="71290CEF" w14:textId="77777777" w:rsidR="00CD0A25" w:rsidRDefault="00CD0A25" w:rsidP="00120D2A">
      <w:pPr>
        <w:pStyle w:val="Level1"/>
        <w:numPr>
          <w:ilvl w:val="0"/>
          <w:numId w:val="6"/>
        </w:numPr>
        <w:tabs>
          <w:tab w:val="left" w:pos="-1440"/>
          <w:tab w:val="left" w:pos="720"/>
        </w:tabs>
        <w:ind w:left="0" w:firstLine="360"/>
      </w:pPr>
      <w:r>
        <w:t>Additional warning for highly toxic pesticides.</w:t>
      </w:r>
    </w:p>
    <w:p w14:paraId="4EE21AF8" w14:textId="77777777" w:rsidR="00CD0A25" w:rsidRDefault="00CD0A25" w:rsidP="00120D2A">
      <w:pPr>
        <w:pStyle w:val="Level1"/>
        <w:numPr>
          <w:ilvl w:val="0"/>
          <w:numId w:val="6"/>
        </w:numPr>
        <w:tabs>
          <w:tab w:val="left" w:pos="-1440"/>
          <w:tab w:val="left" w:pos="720"/>
        </w:tabs>
        <w:ind w:left="0" w:firstLine="360"/>
      </w:pPr>
      <w:r>
        <w:t>Use classification statement.</w:t>
      </w:r>
    </w:p>
    <w:p w14:paraId="53317688" w14:textId="77777777" w:rsidR="00CD0A25" w:rsidRDefault="00CD0A25" w:rsidP="00CD0A25"/>
    <w:p w14:paraId="2B9D2277" w14:textId="77777777" w:rsidR="00CD0A25" w:rsidRPr="003C7EC4" w:rsidRDefault="00CD0A25" w:rsidP="00CD0A25">
      <w:pPr>
        <w:pStyle w:val="Level1"/>
        <w:numPr>
          <w:ilvl w:val="0"/>
          <w:numId w:val="7"/>
        </w:numPr>
        <w:tabs>
          <w:tab w:val="left" w:pos="-1440"/>
          <w:tab w:val="num" w:pos="1440"/>
        </w:tabs>
        <w:ind w:left="1440"/>
        <w:rPr>
          <w:b/>
        </w:rPr>
      </w:pPr>
      <w:r w:rsidRPr="003C7EC4">
        <w:rPr>
          <w:b/>
          <w:iCs/>
        </w:rPr>
        <w:t>Multilingual labeling requirement</w:t>
      </w:r>
    </w:p>
    <w:p w14:paraId="463FE7A7" w14:textId="77777777" w:rsidR="00CD0A25" w:rsidRDefault="00CD0A25" w:rsidP="00CD0A25"/>
    <w:p w14:paraId="1CA6C2E5" w14:textId="77777777" w:rsidR="00CD0A25" w:rsidRDefault="00CD0A25" w:rsidP="00120D2A">
      <w:r>
        <w:t>For both registered and unregistered products, the following labeling information must be multilingual:</w:t>
      </w:r>
    </w:p>
    <w:p w14:paraId="448F7AC5" w14:textId="77777777" w:rsidR="00CD0A25" w:rsidRDefault="00CD0A25" w:rsidP="00120D2A">
      <w:pPr>
        <w:pStyle w:val="Level1"/>
        <w:numPr>
          <w:ilvl w:val="0"/>
          <w:numId w:val="8"/>
        </w:numPr>
        <w:tabs>
          <w:tab w:val="left" w:pos="-1440"/>
          <w:tab w:val="left" w:pos="720"/>
        </w:tabs>
        <w:ind w:left="0" w:firstLine="360"/>
      </w:pPr>
      <w:r>
        <w:t>Warning and caution statements.</w:t>
      </w:r>
    </w:p>
    <w:p w14:paraId="4F65BE84" w14:textId="77777777" w:rsidR="00CD0A25" w:rsidRDefault="00CD0A25" w:rsidP="00120D2A">
      <w:pPr>
        <w:pStyle w:val="Level1"/>
        <w:numPr>
          <w:ilvl w:val="0"/>
          <w:numId w:val="8"/>
        </w:numPr>
        <w:tabs>
          <w:tab w:val="left" w:pos="-1440"/>
          <w:tab w:val="left" w:pos="720"/>
        </w:tabs>
        <w:ind w:left="0" w:firstLine="360"/>
      </w:pPr>
      <w:r>
        <w:t>Where applicable, the statement “Not registered for use in the United States of America.”</w:t>
      </w:r>
    </w:p>
    <w:p w14:paraId="0D4ABDD3" w14:textId="77777777" w:rsidR="00CD0A25" w:rsidRDefault="00CD0A25" w:rsidP="00120D2A">
      <w:pPr>
        <w:pStyle w:val="Level1"/>
        <w:numPr>
          <w:ilvl w:val="0"/>
          <w:numId w:val="8"/>
        </w:numPr>
        <w:tabs>
          <w:tab w:val="left" w:pos="-1440"/>
          <w:tab w:val="left" w:pos="720"/>
        </w:tabs>
        <w:ind w:left="0" w:firstLine="360"/>
      </w:pPr>
      <w:r>
        <w:t>Ingredient statement.</w:t>
      </w:r>
    </w:p>
    <w:p w14:paraId="07610266" w14:textId="01801DFA" w:rsidR="00CD0A25" w:rsidRDefault="00CD0A25" w:rsidP="00120D2A">
      <w:pPr>
        <w:pStyle w:val="Level1"/>
        <w:numPr>
          <w:ilvl w:val="0"/>
          <w:numId w:val="8"/>
        </w:numPr>
        <w:tabs>
          <w:tab w:val="left" w:pos="-1440"/>
          <w:tab w:val="left" w:pos="720"/>
        </w:tabs>
        <w:ind w:left="0" w:firstLine="360"/>
      </w:pPr>
      <w:r>
        <w:t>If the pesticide, device or active ingredient is highly toxic to humans, the skull and crossbones, the word “Poison,” and a statement of practical treatment must appear on the label. The word “Poison” and the statement of practical treatment shall be in English and in an acceptable language of the country of import, and in an acceptable language in the country of final destination, if known or reasonably ascertainable.</w:t>
      </w:r>
    </w:p>
    <w:p w14:paraId="2FA5C61E" w14:textId="45188242" w:rsidR="00CD0A25" w:rsidRDefault="00CD0A25" w:rsidP="00CD0A25"/>
    <w:p w14:paraId="05AE362F" w14:textId="77777777" w:rsidR="00CD0A25" w:rsidRPr="003C7EC4" w:rsidRDefault="00CD0A25" w:rsidP="00CD0A25">
      <w:pPr>
        <w:keepNext/>
        <w:keepLines/>
        <w:tabs>
          <w:tab w:val="left" w:pos="-1440"/>
        </w:tabs>
        <w:ind w:left="1440" w:hanging="720"/>
      </w:pPr>
      <w:r w:rsidRPr="003C7EC4">
        <w:rPr>
          <w:b/>
          <w:bCs/>
          <w:iCs/>
        </w:rPr>
        <w:t>(ii)</w:t>
      </w:r>
      <w:r w:rsidRPr="003C7EC4">
        <w:rPr>
          <w:b/>
          <w:bCs/>
          <w:iCs/>
        </w:rPr>
        <w:tab/>
        <w:t>Respondent Activities</w:t>
      </w:r>
    </w:p>
    <w:p w14:paraId="07614EEB" w14:textId="77777777" w:rsidR="00CD0A25" w:rsidRDefault="00CD0A25" w:rsidP="00CD0A25">
      <w:pPr>
        <w:keepNext/>
        <w:keepLines/>
      </w:pPr>
    </w:p>
    <w:p w14:paraId="3B1D366F" w14:textId="77777777" w:rsidR="00CD0A25" w:rsidRDefault="00CD0A25" w:rsidP="00CD0A25">
      <w:pPr>
        <w:keepNext/>
        <w:keepLines/>
        <w:widowControl/>
        <w:tabs>
          <w:tab w:val="left" w:pos="-1440"/>
        </w:tabs>
        <w:ind w:left="1440" w:hanging="720"/>
      </w:pPr>
      <w:r>
        <w:rPr>
          <w:b/>
          <w:bCs/>
        </w:rPr>
        <w:t xml:space="preserve">A. </w:t>
      </w:r>
      <w:r>
        <w:rPr>
          <w:b/>
          <w:bCs/>
        </w:rPr>
        <w:tab/>
        <w:t>Submission of Foreign Purchaser Acknowledgment Statement</w:t>
      </w:r>
    </w:p>
    <w:p w14:paraId="6ABE087A" w14:textId="77777777" w:rsidR="00CD0A25" w:rsidRDefault="00CD0A25" w:rsidP="00CD0A25">
      <w:pPr>
        <w:keepNext/>
        <w:keepLines/>
        <w:widowControl/>
        <w:ind w:firstLine="720"/>
      </w:pPr>
    </w:p>
    <w:p w14:paraId="17582D74" w14:textId="2B0AB0D3" w:rsidR="00CD0A25" w:rsidRDefault="00CD0A25" w:rsidP="00CD0A25">
      <w:pPr>
        <w:keepNext/>
        <w:keepLines/>
        <w:widowControl/>
        <w:ind w:firstLine="720"/>
      </w:pPr>
      <w:r>
        <w:t>The exporter is required to send a copy of the purchaser acknowledgment statement to EPA within 7 days of having shipped the pesticide, along with a signed statement that the shipment did not occur prior to receipt of the purchaser acknowledgment statement.  In addition, if the exporter chooses the annual reporting option, he or she must include a statement that the FPAS is for the first shipment of a pesticide to a particular purchaser in a specific country, and that the exporter will report this information annually. Where an exporter chooses to comply with the annual summary reporting option, a summary must be sent after the end of the calendar year which lists all shipments of a particular pesticide shipped to a particular foreign purchaser.  It is not required for the statement to be submitted to EPA in time to enable EPA to notify the importing country prior to arrival of the pesticide.</w:t>
      </w:r>
    </w:p>
    <w:p w14:paraId="2CD47BA8" w14:textId="77777777" w:rsidR="00CD0A25" w:rsidRDefault="00CD0A25" w:rsidP="00CD0A25"/>
    <w:p w14:paraId="6E989E91" w14:textId="71488904" w:rsidR="00CD0A25" w:rsidRDefault="00CD0A25" w:rsidP="00CD0A25">
      <w:pPr>
        <w:ind w:firstLine="720"/>
      </w:pPr>
      <w:r>
        <w:t>Submission of a purchaser acknowledgment statement does not require the maintenance of any records unique to this section. All records needed to ensure and verify compliance with this requirement are required under section 8 of FIFRA. The recordkeeping burden related to this requirement is covered under another ICR.</w:t>
      </w:r>
      <w:r>
        <w:rPr>
          <w:rStyle w:val="FootnoteReference"/>
          <w:vertAlign w:val="superscript"/>
        </w:rPr>
        <w:footnoteReference w:id="1"/>
      </w:r>
    </w:p>
    <w:p w14:paraId="06BD4D93" w14:textId="0341E3B3" w:rsidR="00120D2A" w:rsidRDefault="00120D2A" w:rsidP="00120D2A">
      <w:pPr>
        <w:ind w:firstLine="720"/>
      </w:pPr>
    </w:p>
    <w:p w14:paraId="265971D8" w14:textId="64052EF9" w:rsidR="00CD0A25" w:rsidRDefault="00CD0A25" w:rsidP="00120D2A">
      <w:pPr>
        <w:tabs>
          <w:tab w:val="left" w:pos="-1440"/>
        </w:tabs>
        <w:ind w:left="1440" w:hanging="720"/>
      </w:pPr>
      <w:r>
        <w:rPr>
          <w:b/>
          <w:bCs/>
        </w:rPr>
        <w:t>B.</w:t>
      </w:r>
      <w:r>
        <w:rPr>
          <w:b/>
          <w:bCs/>
        </w:rPr>
        <w:tab/>
        <w:t>Exemption of research and development pesticides</w:t>
      </w:r>
    </w:p>
    <w:p w14:paraId="507128D6" w14:textId="77777777" w:rsidR="00CD0A25" w:rsidRDefault="00CD0A25" w:rsidP="00120D2A"/>
    <w:p w14:paraId="20386A84" w14:textId="0E35BEA4" w:rsidR="00CD0A25" w:rsidRDefault="00CD0A25" w:rsidP="00120D2A">
      <w:pPr>
        <w:ind w:firstLine="720"/>
      </w:pPr>
      <w:r>
        <w:t>Records supporting research and development status must include information regarding research intent of the shipment as well as information indicating knowledge that the quantity being shipped is consistent with research intent, as specified in 40 CFR 168.75 (b)(5). Persons claiming an exemption from the FPAS requirement for the export of research and development products must maintain records which support the R&amp;D claim for each shipment so claimed.  In its policy, EPA has limited research claims only to shipments where the quantity shipped would be unlikely to support a commercial use. Thus, the company’s records must be sufficient to support the claim that the quantity shipped is only sufficient for use within the limits of the policy. This can be done either in the form of communications received from the purchaser before or on the date of export or in the form of instructions sent to the purchaser before or on the date of export.</w:t>
      </w:r>
    </w:p>
    <w:p w14:paraId="2F5B1C73" w14:textId="77777777" w:rsidR="00CD0A25" w:rsidRDefault="00CD0A25" w:rsidP="00CD0A25"/>
    <w:p w14:paraId="555F4117" w14:textId="3EDF511A" w:rsidR="00CD0A25" w:rsidRDefault="00CD0A25" w:rsidP="00CD0A25">
      <w:pPr>
        <w:ind w:firstLine="720"/>
      </w:pPr>
      <w:r>
        <w:t>Alternatively, the exporter may retain records which indicate that the quantity shipped is compatible with the claim that the amount can only be used as provided in the policy. Such information could include test results, literature</w:t>
      </w:r>
      <w:r w:rsidRPr="00A05F81">
        <w:t xml:space="preserve"> </w:t>
      </w:r>
      <w:r>
        <w:t>citations, or other information which supports the claim.</w:t>
      </w:r>
    </w:p>
    <w:p w14:paraId="4250FCFA" w14:textId="77777777" w:rsidR="00CD0A25" w:rsidRDefault="00CD0A25" w:rsidP="00CD0A25">
      <w:pPr>
        <w:ind w:firstLine="720"/>
      </w:pPr>
    </w:p>
    <w:p w14:paraId="3805D2B2" w14:textId="18371CC7" w:rsidR="00CD0A25" w:rsidRDefault="00CD0A25" w:rsidP="00CD0A25">
      <w:pPr>
        <w:ind w:firstLine="720"/>
      </w:pPr>
      <w:r>
        <w:t>At the time of shipment, the exporter must maintain a record of the identity, amount, and date that the pesticide was shipped, the destination and purchaser, and the intended research use.  Most of this information is typically reflected on invoice/shipping records normally maintained for such products; records of pesticide shipments are already required to be maintained under FIFRA section 8. Other documentation supporting research use is generally available as typical business practice and should not impose additional burdens. Records of shipment and confirmation of research intent must be maintained and made available for inspection and copying by EPA for two years following the exportation of the pesticide.</w:t>
      </w:r>
    </w:p>
    <w:p w14:paraId="5270C244" w14:textId="77777777" w:rsidR="00CD0A25" w:rsidRDefault="00CD0A25" w:rsidP="00CD0A25">
      <w:pPr>
        <w:tabs>
          <w:tab w:val="left" w:pos="-1440"/>
        </w:tabs>
        <w:ind w:left="1440" w:hanging="720"/>
        <w:rPr>
          <w:b/>
          <w:bCs/>
        </w:rPr>
      </w:pPr>
    </w:p>
    <w:p w14:paraId="4AD98F1B" w14:textId="77777777" w:rsidR="00CD0A25" w:rsidRDefault="00CD0A25" w:rsidP="00CD0A25">
      <w:pPr>
        <w:numPr>
          <w:ilvl w:val="0"/>
          <w:numId w:val="5"/>
        </w:numPr>
        <w:tabs>
          <w:tab w:val="left" w:pos="-1440"/>
        </w:tabs>
        <w:ind w:left="1440" w:hanging="720"/>
      </w:pPr>
      <w:r>
        <w:rPr>
          <w:b/>
          <w:bCs/>
        </w:rPr>
        <w:t>Export labelin</w:t>
      </w:r>
      <w:r w:rsidRPr="00CB6828">
        <w:rPr>
          <w:b/>
        </w:rPr>
        <w:t>g</w:t>
      </w:r>
    </w:p>
    <w:p w14:paraId="1753E7F0" w14:textId="77777777" w:rsidR="00CD0A25" w:rsidRDefault="00CD0A25" w:rsidP="00CD0A25">
      <w:pPr>
        <w:tabs>
          <w:tab w:val="left" w:pos="-1440"/>
        </w:tabs>
      </w:pPr>
    </w:p>
    <w:p w14:paraId="08F58F99" w14:textId="615F97D2" w:rsidR="00CD0A25" w:rsidRDefault="00CD0A25" w:rsidP="00CD0A25">
      <w:pPr>
        <w:ind w:firstLine="720"/>
      </w:pPr>
      <w:r>
        <w:t xml:space="preserve">Every exported pesticide, device, and active ingredient used in producing a pesticide must bear a label or labeling which meets the requirements of FIFRA section 17(a)(1).  This requirement applies to all such pesticides, devices, or active ingredients, regardless of whether the export is for commercial or research and development use. The specific requirements for the labeling of exported pesticides are described above. The required label statements may be met through either immediate container labels, or accompanying supplemental labeling, or through a combination of the two.  </w:t>
      </w:r>
    </w:p>
    <w:p w14:paraId="4F9296E8" w14:textId="77777777" w:rsidR="00CD0A25" w:rsidRDefault="00CD0A25" w:rsidP="00CD0A25">
      <w:pPr>
        <w:ind w:firstLine="720"/>
      </w:pPr>
    </w:p>
    <w:p w14:paraId="45B41035" w14:textId="41C2AFEA" w:rsidR="00CD0A25" w:rsidRDefault="00CD0A25" w:rsidP="00CD0A25">
      <w:pPr>
        <w:ind w:firstLine="720"/>
        <w:rPr>
          <w:color w:val="0000FF"/>
          <w:lang w:eastAsia="en-US"/>
        </w:rPr>
      </w:pPr>
      <w:r>
        <w:t xml:space="preserve">EPA included supplemental labeling as an option to ease the compliance burden of this requirement. </w:t>
      </w:r>
      <w:r w:rsidRPr="00BB76A6">
        <w:rPr>
          <w:lang w:eastAsia="en-US"/>
        </w:rPr>
        <w:t>Supplemental labeling used to meet pesticide export label requirements must be attached to each smallest divisible shipping container of a given pesticide product.  In the case that cartons or drums are secured to a pallet such that they will not be separated from the pallet during shipment, it is permissible to attach supplemental labeling to the pallet load.  An example would be where a pallet of cartons has a wrapper (e.g., shrink-wrap) which contains all of the cartons on the pallet. However, if cartons or drums are loosely stacked on a pallet so that they could be separated during shipment, each drum or carton must be labeled.</w:t>
      </w:r>
    </w:p>
    <w:p w14:paraId="27DE9780" w14:textId="77777777" w:rsidR="00CD0A25" w:rsidRPr="0024613D" w:rsidRDefault="00CD0A25" w:rsidP="00CD0A25">
      <w:pPr>
        <w:ind w:firstLine="720"/>
        <w:rPr>
          <w:color w:val="0000FF"/>
          <w:lang w:eastAsia="en-US"/>
        </w:rPr>
      </w:pPr>
    </w:p>
    <w:p w14:paraId="2166BF9A" w14:textId="64E376F4" w:rsidR="00CD0A25" w:rsidRDefault="00CD0A25" w:rsidP="00CD0A25">
      <w:pPr>
        <w:ind w:firstLine="720"/>
      </w:pPr>
      <w:r>
        <w:t>Exporters are also required to keep records of the product labeling, including the EPA registered labeling, any foreign labeling on or attached to the product when shipped, and as applicable, any supplemental labeling. The records are to be maintained in a manner that shows exactly which labels and labeling accompanied each shipment of a pesticide product to a foreign country.</w:t>
      </w:r>
    </w:p>
    <w:p w14:paraId="3A401477" w14:textId="77777777" w:rsidR="00C16E62" w:rsidRDefault="00C16E62" w:rsidP="00CD0A25"/>
    <w:p w14:paraId="5D29F956" w14:textId="77777777" w:rsidR="00CD0A25" w:rsidRDefault="00CD0A25" w:rsidP="00CD0A25">
      <w:pPr>
        <w:rPr>
          <w:b/>
          <w:bCs/>
        </w:rPr>
      </w:pPr>
    </w:p>
    <w:p w14:paraId="2E4F3395" w14:textId="77777777" w:rsidR="00CD0A25" w:rsidRDefault="00CD0A25" w:rsidP="00CD0A25">
      <w:pPr>
        <w:tabs>
          <w:tab w:val="left" w:pos="-1440"/>
        </w:tabs>
        <w:ind w:left="720" w:hanging="720"/>
        <w:rPr>
          <w:b/>
          <w:bCs/>
        </w:rPr>
      </w:pPr>
      <w:r>
        <w:rPr>
          <w:b/>
          <w:bCs/>
        </w:rPr>
        <w:t>5.</w:t>
      </w:r>
      <w:r>
        <w:rPr>
          <w:b/>
          <w:bCs/>
        </w:rPr>
        <w:tab/>
      </w:r>
      <w:r w:rsidRPr="001359BF">
        <w:rPr>
          <w:b/>
          <w:bCs/>
          <w:u w:val="single"/>
        </w:rPr>
        <w:t>THE INFORMATION COLLECTED -- AGENCY ACTIVITIES, COLLECTION METHODOLOGY, AND INFORMATION MANAGEMENT</w:t>
      </w:r>
    </w:p>
    <w:p w14:paraId="2F7A9EB7" w14:textId="77777777" w:rsidR="00CD0A25" w:rsidRDefault="00CD0A25" w:rsidP="00CD0A25"/>
    <w:p w14:paraId="0E27A62E" w14:textId="77777777" w:rsidR="00CD0A25" w:rsidRDefault="00CD0A25" w:rsidP="00CD0A25">
      <w:pPr>
        <w:tabs>
          <w:tab w:val="left" w:pos="-1440"/>
        </w:tabs>
        <w:ind w:left="1440" w:hanging="720"/>
      </w:pPr>
      <w:r>
        <w:rPr>
          <w:b/>
          <w:bCs/>
        </w:rPr>
        <w:t>5(a)</w:t>
      </w:r>
      <w:r>
        <w:rPr>
          <w:b/>
          <w:bCs/>
        </w:rPr>
        <w:tab/>
        <w:t>Agency Activities</w:t>
      </w:r>
    </w:p>
    <w:p w14:paraId="221EE211" w14:textId="77777777" w:rsidR="00CD0A25" w:rsidRDefault="00CD0A25" w:rsidP="00CD0A25"/>
    <w:p w14:paraId="15D3783A" w14:textId="77777777" w:rsidR="00CD0A25" w:rsidRDefault="00CD0A25" w:rsidP="00CD0A25">
      <w:pPr>
        <w:ind w:firstLine="720"/>
      </w:pPr>
      <w:r>
        <w:t>EPA is required to perform the following activities:</w:t>
      </w:r>
    </w:p>
    <w:p w14:paraId="6CB7F893" w14:textId="77777777" w:rsidR="00CD0A25" w:rsidRDefault="00CD0A25" w:rsidP="00120D2A">
      <w:pPr>
        <w:pStyle w:val="Level1"/>
        <w:tabs>
          <w:tab w:val="left" w:pos="-1440"/>
          <w:tab w:val="left" w:pos="720"/>
        </w:tabs>
        <w:ind w:left="0" w:firstLine="360"/>
      </w:pPr>
      <w:r>
        <w:t>Respond to questions submitted by respondents.</w:t>
      </w:r>
    </w:p>
    <w:p w14:paraId="68C7FF62" w14:textId="77777777" w:rsidR="00CD0A25" w:rsidRDefault="00CD0A25" w:rsidP="00120D2A">
      <w:pPr>
        <w:pStyle w:val="Level1"/>
        <w:tabs>
          <w:tab w:val="left" w:pos="-1440"/>
          <w:tab w:val="left" w:pos="720"/>
          <w:tab w:val="left" w:pos="1440"/>
        </w:tabs>
        <w:ind w:left="0" w:firstLine="360"/>
      </w:pPr>
      <w:r>
        <w:t>Receive submissions of acknowledgment statements, certification statements, and annual summaries of shipments.</w:t>
      </w:r>
    </w:p>
    <w:p w14:paraId="5B9D46AA" w14:textId="77777777" w:rsidR="00CD0A25" w:rsidRDefault="00CD0A25" w:rsidP="00120D2A">
      <w:pPr>
        <w:pStyle w:val="Level1"/>
        <w:tabs>
          <w:tab w:val="left" w:pos="-1440"/>
          <w:tab w:val="left" w:pos="720"/>
          <w:tab w:val="left" w:pos="1440"/>
        </w:tabs>
        <w:ind w:left="0" w:firstLine="360"/>
      </w:pPr>
      <w:r>
        <w:t>Review submissions for completeness.</w:t>
      </w:r>
    </w:p>
    <w:p w14:paraId="3BACCF76" w14:textId="77777777" w:rsidR="00CD0A25" w:rsidRDefault="00CD0A25" w:rsidP="00120D2A">
      <w:pPr>
        <w:pStyle w:val="Level1"/>
        <w:tabs>
          <w:tab w:val="left" w:pos="-1440"/>
          <w:tab w:val="left" w:pos="720"/>
          <w:tab w:val="left" w:pos="1440"/>
        </w:tabs>
        <w:ind w:left="0" w:firstLine="360"/>
      </w:pPr>
      <w:r>
        <w:t>Transmit submissions of acknowledgment statements and summaries of shipments to appropriate Designated National Authority or government official of the importing country or countries.</w:t>
      </w:r>
    </w:p>
    <w:p w14:paraId="6F9FA453" w14:textId="77777777" w:rsidR="00CD0A25" w:rsidRDefault="00CD0A25" w:rsidP="00120D2A">
      <w:pPr>
        <w:pStyle w:val="Level1"/>
        <w:tabs>
          <w:tab w:val="left" w:pos="-1440"/>
          <w:tab w:val="left" w:pos="720"/>
          <w:tab w:val="left" w:pos="1440"/>
        </w:tabs>
        <w:ind w:left="0" w:firstLine="360"/>
      </w:pPr>
      <w:r>
        <w:t>Maintain a file of all submissions.</w:t>
      </w:r>
    </w:p>
    <w:p w14:paraId="5A7008C6" w14:textId="77777777" w:rsidR="00CD0A25" w:rsidRDefault="00CD0A25" w:rsidP="00120D2A">
      <w:pPr>
        <w:pStyle w:val="Level1"/>
        <w:numPr>
          <w:ilvl w:val="0"/>
          <w:numId w:val="0"/>
        </w:numPr>
        <w:tabs>
          <w:tab w:val="left" w:pos="-1440"/>
          <w:tab w:val="left" w:pos="1080"/>
          <w:tab w:val="left" w:pos="1440"/>
        </w:tabs>
        <w:ind w:firstLine="720"/>
      </w:pPr>
    </w:p>
    <w:p w14:paraId="170D8141" w14:textId="77777777" w:rsidR="00CD0A25" w:rsidRDefault="00CD0A25" w:rsidP="00CD0A25">
      <w:pPr>
        <w:pStyle w:val="Level1"/>
        <w:numPr>
          <w:ilvl w:val="0"/>
          <w:numId w:val="0"/>
        </w:numPr>
        <w:tabs>
          <w:tab w:val="left" w:pos="-1440"/>
          <w:tab w:val="left" w:pos="0"/>
        </w:tabs>
      </w:pPr>
      <w:r>
        <w:tab/>
        <w:t xml:space="preserve">EPA has automated the process of reviewing and filing submissions. The submissions are scanned and an electronic copy (pdf) is stored and saved. The Agency transmits the </w:t>
      </w:r>
      <w:r w:rsidRPr="00F10F72">
        <w:t xml:space="preserve">submissions of acknowledgment statements and summaries of shipments to appropriate government </w:t>
      </w:r>
      <w:r>
        <w:t xml:space="preserve">officials of importing countries electronically </w:t>
      </w:r>
      <w:r w:rsidRPr="00937A6B">
        <w:t>where a</w:t>
      </w:r>
      <w:r>
        <w:t xml:space="preserve"> valid email address exists. The appropriate government official is the Designated National Authority (DNA) as identified by the Rotterdam Convention. In the rare instance that a DNA does not exist a contact is located by contacting the U.S. embassy abroad.</w:t>
      </w:r>
    </w:p>
    <w:p w14:paraId="7C244E9C" w14:textId="77777777" w:rsidR="00CD0A25" w:rsidRDefault="00CD0A25" w:rsidP="00CD0A25">
      <w:pPr>
        <w:pStyle w:val="Level1"/>
        <w:numPr>
          <w:ilvl w:val="0"/>
          <w:numId w:val="0"/>
        </w:numPr>
        <w:tabs>
          <w:tab w:val="left" w:pos="-1440"/>
          <w:tab w:val="left" w:pos="0"/>
        </w:tabs>
      </w:pPr>
    </w:p>
    <w:p w14:paraId="17E8B920" w14:textId="77777777" w:rsidR="00CD0A25" w:rsidRDefault="00CD0A25" w:rsidP="00CD0A25">
      <w:pPr>
        <w:tabs>
          <w:tab w:val="left" w:pos="-1440"/>
        </w:tabs>
        <w:ind w:left="1440" w:hanging="720"/>
      </w:pPr>
      <w:r>
        <w:rPr>
          <w:b/>
          <w:bCs/>
        </w:rPr>
        <w:t>5(b)</w:t>
      </w:r>
      <w:r>
        <w:rPr>
          <w:b/>
          <w:bCs/>
        </w:rPr>
        <w:tab/>
        <w:t>Collection Methodology and Management</w:t>
      </w:r>
    </w:p>
    <w:p w14:paraId="5612BD3E" w14:textId="77777777" w:rsidR="00CD0A25" w:rsidRDefault="00CD0A25" w:rsidP="00CD0A25"/>
    <w:p w14:paraId="27F2CB57" w14:textId="05574B68" w:rsidR="00CD0A25" w:rsidRDefault="00CD0A25" w:rsidP="00CD0A25">
      <w:pPr>
        <w:ind w:firstLine="720"/>
      </w:pPr>
      <w:r>
        <w:t xml:space="preserve">EPA maintains a file of all submitted acknowledgment statements. This file includes the following for each submitted statement: </w:t>
      </w:r>
    </w:p>
    <w:p w14:paraId="286F9DF3" w14:textId="77777777" w:rsidR="00CD0A25" w:rsidRDefault="00CD0A25" w:rsidP="00120D2A">
      <w:pPr>
        <w:numPr>
          <w:ilvl w:val="0"/>
          <w:numId w:val="10"/>
        </w:numPr>
        <w:tabs>
          <w:tab w:val="clear" w:pos="1080"/>
          <w:tab w:val="num" w:pos="720"/>
        </w:tabs>
        <w:ind w:left="0" w:firstLine="360"/>
      </w:pPr>
      <w:r>
        <w:t>Copy of the purchaser acknowledgment statement and certification that shipment did not occur before receipt of statement by exporter.</w:t>
      </w:r>
    </w:p>
    <w:p w14:paraId="5D0B48D8" w14:textId="77777777" w:rsidR="00CD0A25" w:rsidRDefault="00CD0A25" w:rsidP="00120D2A">
      <w:pPr>
        <w:numPr>
          <w:ilvl w:val="0"/>
          <w:numId w:val="10"/>
        </w:numPr>
        <w:tabs>
          <w:tab w:val="clear" w:pos="1080"/>
          <w:tab w:val="num" w:pos="720"/>
        </w:tabs>
        <w:ind w:left="0" w:firstLine="360"/>
      </w:pPr>
      <w:r>
        <w:t>The EPA Mailing, and the date that the statement was forwarded to the appropriate government official or agency of the importing country.</w:t>
      </w:r>
    </w:p>
    <w:p w14:paraId="14F670F2" w14:textId="77777777" w:rsidR="00CD0A25" w:rsidRDefault="00CD0A25" w:rsidP="00120D2A">
      <w:pPr>
        <w:numPr>
          <w:ilvl w:val="0"/>
          <w:numId w:val="10"/>
        </w:numPr>
        <w:tabs>
          <w:tab w:val="clear" w:pos="1080"/>
          <w:tab w:val="num" w:pos="720"/>
        </w:tabs>
        <w:ind w:left="0" w:firstLine="360"/>
      </w:pPr>
      <w:r>
        <w:t>Copy of the estimate summary of the number of shipments to be made in association with that statement.</w:t>
      </w:r>
    </w:p>
    <w:p w14:paraId="4D57ABA9" w14:textId="77777777" w:rsidR="00CD0A25" w:rsidRDefault="00CD0A25" w:rsidP="00CD0A25">
      <w:pPr>
        <w:rPr>
          <w:b/>
          <w:bCs/>
        </w:rPr>
      </w:pPr>
    </w:p>
    <w:p w14:paraId="376151A1" w14:textId="77777777" w:rsidR="00CD0A25" w:rsidRDefault="00CD0A25" w:rsidP="00CD0A25">
      <w:pPr>
        <w:keepNext/>
        <w:keepLines/>
        <w:tabs>
          <w:tab w:val="left" w:pos="-1440"/>
        </w:tabs>
        <w:ind w:left="1440" w:hanging="720"/>
      </w:pPr>
      <w:r>
        <w:rPr>
          <w:b/>
          <w:bCs/>
        </w:rPr>
        <w:t>5(c)</w:t>
      </w:r>
      <w:r>
        <w:rPr>
          <w:b/>
          <w:bCs/>
        </w:rPr>
        <w:tab/>
        <w:t>Small Entity Flexibility</w:t>
      </w:r>
    </w:p>
    <w:p w14:paraId="2B856229" w14:textId="77777777" w:rsidR="00CD0A25" w:rsidRDefault="00CD0A25" w:rsidP="00CD0A25">
      <w:pPr>
        <w:keepNext/>
        <w:keepLines/>
      </w:pPr>
    </w:p>
    <w:p w14:paraId="37137C1D" w14:textId="00F48351" w:rsidR="00CD0A25" w:rsidRDefault="00CD0A25" w:rsidP="00CD0A25">
      <w:pPr>
        <w:keepNext/>
        <w:keepLines/>
      </w:pPr>
      <w:r>
        <w:tab/>
        <w:t>Under this reporting requirement, small entities must follow the same collection procedures as large companies. Both large and small entities may avail themselves of options which support alternative, flexible means of meeting specific requirements: 1. reporting options; 2. acquisition options, and 3. formatting options of required information. The Agency allows respondents the choice of reporting options; respondents can choose between annual estimates and summaries or per-shipment statements.  Respondents are also allowed flexibility in determining the method of obtaining the foreign purchaser acknowledgment statement. Finally, EPA provides flexibility in the formatting of submissions; small entities and occasional submitters may find it easier to comply with the requirements since they do not have to adhere to a specific format.</w:t>
      </w:r>
    </w:p>
    <w:p w14:paraId="018D2760" w14:textId="77777777" w:rsidR="00CD0A25" w:rsidRDefault="00CD0A25" w:rsidP="00CD0A25">
      <w:pPr>
        <w:rPr>
          <w:b/>
          <w:bCs/>
        </w:rPr>
      </w:pPr>
    </w:p>
    <w:p w14:paraId="1F2C4241" w14:textId="77777777" w:rsidR="00CD0A25" w:rsidRDefault="00CD0A25" w:rsidP="00CD0A25">
      <w:pPr>
        <w:tabs>
          <w:tab w:val="left" w:pos="-1440"/>
        </w:tabs>
        <w:ind w:left="1440" w:hanging="720"/>
      </w:pPr>
      <w:r>
        <w:rPr>
          <w:b/>
          <w:bCs/>
        </w:rPr>
        <w:t>5(d)</w:t>
      </w:r>
      <w:r>
        <w:rPr>
          <w:b/>
          <w:bCs/>
        </w:rPr>
        <w:tab/>
        <w:t>Collection Schedule</w:t>
      </w:r>
    </w:p>
    <w:p w14:paraId="7FF669D0" w14:textId="77777777" w:rsidR="00CD0A25" w:rsidRDefault="00CD0A25" w:rsidP="00CD0A25"/>
    <w:p w14:paraId="6A9738BB" w14:textId="7220D2F8" w:rsidR="00C16E62" w:rsidRDefault="00CD0A25" w:rsidP="00CD0A25">
      <w:pPr>
        <w:ind w:firstLine="720"/>
        <w:rPr>
          <w:b/>
          <w:bCs/>
        </w:rPr>
      </w:pPr>
      <w:r>
        <w:t>Not applicable. The activity is conducted only as purchaser acknowledgment statements are received. There is no set schedule for the collection of this information.</w:t>
      </w:r>
    </w:p>
    <w:p w14:paraId="77FFC22D" w14:textId="77777777" w:rsidR="00C16E62" w:rsidRDefault="00C16E62" w:rsidP="00234651">
      <w:pPr>
        <w:ind w:firstLine="720"/>
        <w:rPr>
          <w:b/>
          <w:bCs/>
        </w:rPr>
      </w:pPr>
    </w:p>
    <w:p w14:paraId="18C7C5A1" w14:textId="77777777" w:rsidR="00CD0A25" w:rsidRDefault="00CD0A25" w:rsidP="00CD0A25">
      <w:pPr>
        <w:keepNext/>
        <w:keepLines/>
      </w:pPr>
      <w:r>
        <w:rPr>
          <w:b/>
          <w:bCs/>
        </w:rPr>
        <w:t>6.</w:t>
      </w:r>
      <w:r>
        <w:rPr>
          <w:b/>
          <w:bCs/>
        </w:rPr>
        <w:tab/>
      </w:r>
      <w:r w:rsidRPr="001359BF">
        <w:rPr>
          <w:b/>
          <w:bCs/>
          <w:u w:val="single"/>
        </w:rPr>
        <w:t>ESTIMATING THE BURDEN AND COST OF THE COLLECTION</w:t>
      </w:r>
    </w:p>
    <w:p w14:paraId="42F5662A" w14:textId="77777777" w:rsidR="00CD0A25" w:rsidRDefault="00CD0A25" w:rsidP="00CD0A25">
      <w:pPr>
        <w:keepNext/>
        <w:keepLines/>
      </w:pPr>
    </w:p>
    <w:p w14:paraId="5B5D2755" w14:textId="77777777" w:rsidR="00CD0A25" w:rsidRDefault="00CD0A25" w:rsidP="00CD0A25">
      <w:pPr>
        <w:keepNext/>
        <w:keepLines/>
        <w:tabs>
          <w:tab w:val="left" w:pos="-1440"/>
        </w:tabs>
        <w:ind w:left="1440" w:hanging="720"/>
      </w:pPr>
      <w:r>
        <w:rPr>
          <w:b/>
          <w:bCs/>
        </w:rPr>
        <w:t>6(a)</w:t>
      </w:r>
      <w:r>
        <w:rPr>
          <w:b/>
          <w:bCs/>
        </w:rPr>
        <w:tab/>
        <w:t>Methodology for Estimating Respondent Cost</w:t>
      </w:r>
    </w:p>
    <w:p w14:paraId="1FBACC0F" w14:textId="77777777" w:rsidR="00CD0A25" w:rsidRDefault="00CD0A25" w:rsidP="00CD0A25">
      <w:pPr>
        <w:keepNext/>
        <w:keepLines/>
      </w:pPr>
    </w:p>
    <w:p w14:paraId="5C332FAB" w14:textId="1E9172B9" w:rsidR="00CD0A25" w:rsidRPr="008E58FB" w:rsidRDefault="00CD0A25" w:rsidP="00CD0A25">
      <w:pPr>
        <w:keepNext/>
        <w:keepLines/>
        <w:numPr>
          <w:ilvl w:val="12"/>
          <w:numId w:val="0"/>
        </w:numPr>
        <w:rPr>
          <w:bCs/>
        </w:rPr>
      </w:pPr>
      <w:r>
        <w:rPr>
          <w:bCs/>
        </w:rPr>
        <w:tab/>
      </w:r>
      <w:r w:rsidRPr="002B5768">
        <w:t xml:space="preserve">The methodology for calculating the wage rates in this </w:t>
      </w:r>
      <w:r w:rsidR="007D4DEC">
        <w:t xml:space="preserve">renewal </w:t>
      </w:r>
      <w:r w:rsidRPr="002B5768">
        <w:t xml:space="preserve">of the ICR </w:t>
      </w:r>
      <w:r w:rsidR="007D4DEC">
        <w:t xml:space="preserve">is </w:t>
      </w:r>
      <w:r w:rsidRPr="002B5768">
        <w:t xml:space="preserve">consistent with the method for wage calculation for all ICRs managed by the Office of Pesticide Programs (OPP). </w:t>
      </w:r>
      <w:r w:rsidRPr="008E58FB">
        <w:rPr>
          <w:bCs/>
        </w:rPr>
        <w:t>This approach uses a transparent and consistent methodology employing publicly-available data to provide more accurate estimates and allow easy replication of the calculations.</w:t>
      </w:r>
      <w:r>
        <w:rPr>
          <w:bCs/>
        </w:rPr>
        <w:t xml:space="preserve"> </w:t>
      </w:r>
      <w:r w:rsidRPr="007D4DEC">
        <w:t>Wage estimates are based on 201</w:t>
      </w:r>
      <w:r w:rsidR="007D4DEC" w:rsidRPr="007D4DEC">
        <w:t>7</w:t>
      </w:r>
      <w:r w:rsidRPr="007D4DEC">
        <w:t xml:space="preserve"> wage data.</w:t>
      </w:r>
    </w:p>
    <w:p w14:paraId="32B89341" w14:textId="77777777" w:rsidR="00CD0A25" w:rsidRPr="008E58FB" w:rsidRDefault="00CD0A25" w:rsidP="00CD0A25">
      <w:pPr>
        <w:numPr>
          <w:ilvl w:val="12"/>
          <w:numId w:val="0"/>
        </w:numPr>
        <w:rPr>
          <w:bCs/>
        </w:rPr>
      </w:pPr>
    </w:p>
    <w:p w14:paraId="6DF6002C" w14:textId="77777777" w:rsidR="00CD0A25" w:rsidRPr="008E58FB" w:rsidRDefault="00CD0A25" w:rsidP="00CD0A25">
      <w:pPr>
        <w:numPr>
          <w:ilvl w:val="12"/>
          <w:numId w:val="0"/>
        </w:numPr>
        <w:rPr>
          <w:bCs/>
        </w:rPr>
      </w:pPr>
      <w:r>
        <w:rPr>
          <w:bCs/>
        </w:rPr>
        <w:tab/>
      </w:r>
      <w:r w:rsidRPr="008E58FB">
        <w:rPr>
          <w:bCs/>
        </w:rPr>
        <w:t>Methodology:</w:t>
      </w:r>
      <w:r w:rsidRPr="008E58FB">
        <w:rPr>
          <w:bCs/>
        </w:rPr>
        <w:tab/>
        <w:t xml:space="preserve">The methodology uses data on each sector and labor type for an </w:t>
      </w:r>
      <w:r w:rsidRPr="008E58FB">
        <w:rPr>
          <w:bCs/>
          <w:i/>
        </w:rPr>
        <w:t>Unloaded wage rate</w:t>
      </w:r>
      <w:r w:rsidRPr="008E58FB">
        <w:rPr>
          <w:bCs/>
        </w:rPr>
        <w:t xml:space="preserve"> (hourly wage rate), and calculates the </w:t>
      </w:r>
      <w:r w:rsidRPr="008E58FB">
        <w:rPr>
          <w:bCs/>
          <w:i/>
        </w:rPr>
        <w:t>Loaded wage rate</w:t>
      </w:r>
      <w:r w:rsidRPr="008E58FB">
        <w:rPr>
          <w:bCs/>
        </w:rPr>
        <w:t xml:space="preserve"> (unloaded wage rate + benefits), and the </w:t>
      </w:r>
      <w:r w:rsidRPr="008E58FB">
        <w:rPr>
          <w:bCs/>
          <w:i/>
        </w:rPr>
        <w:t>Fully loaded wage rate</w:t>
      </w:r>
      <w:r w:rsidRPr="008E58FB">
        <w:rPr>
          <w:bCs/>
        </w:rPr>
        <w:t xml:space="preserve"> (loaded wage rate + overhead).  Fully loaded wage rates are used to calculate the Agency’s staffing costs.  </w:t>
      </w:r>
    </w:p>
    <w:p w14:paraId="117196D7" w14:textId="77777777" w:rsidR="00CD0A25" w:rsidRPr="008E58FB" w:rsidRDefault="00CD0A25" w:rsidP="00CD0A25">
      <w:pPr>
        <w:numPr>
          <w:ilvl w:val="12"/>
          <w:numId w:val="0"/>
        </w:numPr>
        <w:rPr>
          <w:bCs/>
        </w:rPr>
      </w:pPr>
    </w:p>
    <w:p w14:paraId="4DB47D83" w14:textId="70629BB3" w:rsidR="00CD0A25" w:rsidRPr="008E58FB" w:rsidRDefault="00CD0A25" w:rsidP="00CD0A25">
      <w:pPr>
        <w:numPr>
          <w:ilvl w:val="12"/>
          <w:numId w:val="0"/>
        </w:numPr>
        <w:rPr>
          <w:bCs/>
        </w:rPr>
      </w:pPr>
      <w:r>
        <w:rPr>
          <w:bCs/>
        </w:rPr>
        <w:tab/>
      </w:r>
      <w:r w:rsidRPr="008E58FB">
        <w:rPr>
          <w:bCs/>
        </w:rPr>
        <w:t xml:space="preserve">Unloaded Wage Rate: Wages are estimated for labor types (management, technical, and clerical) within applicable sectors. The Agency uses average wage data for the relevant sectors available in the National Industry-Specific Occupational Employment and Wage Estimates from the Bureau of Labor Statistics (BLS) at </w:t>
      </w:r>
      <w:hyperlink r:id="rId13" w:history="1">
        <w:r w:rsidRPr="008E58FB">
          <w:rPr>
            <w:rStyle w:val="Hyperlink"/>
            <w:bCs/>
          </w:rPr>
          <w:t>http://www.bls.gov/oes/current/oes_nat.htm</w:t>
        </w:r>
      </w:hyperlink>
      <w:r w:rsidRPr="008E58FB">
        <w:rPr>
          <w:bCs/>
        </w:rPr>
        <w:t xml:space="preserve">.  </w:t>
      </w:r>
    </w:p>
    <w:p w14:paraId="203FE867" w14:textId="77777777" w:rsidR="00CD0A25" w:rsidRPr="008E58FB" w:rsidRDefault="00CD0A25" w:rsidP="00CD0A25">
      <w:pPr>
        <w:numPr>
          <w:ilvl w:val="12"/>
          <w:numId w:val="0"/>
        </w:numPr>
        <w:rPr>
          <w:bCs/>
        </w:rPr>
      </w:pPr>
    </w:p>
    <w:p w14:paraId="4EC37AC7" w14:textId="0FB18F15" w:rsidR="00CD0A25" w:rsidRDefault="00CD0A25" w:rsidP="00CD0A25">
      <w:pPr>
        <w:numPr>
          <w:ilvl w:val="12"/>
          <w:numId w:val="0"/>
        </w:numPr>
        <w:rPr>
          <w:bCs/>
        </w:rPr>
      </w:pPr>
      <w:r>
        <w:rPr>
          <w:bCs/>
        </w:rPr>
        <w:tab/>
      </w:r>
      <w:r w:rsidRPr="008E58FB">
        <w:rPr>
          <w:bCs/>
        </w:rPr>
        <w:t>Sectors: The specific North American Industry Classification System (NAICS) code and website for each sector is included in that sector’s wage rate table. Within each sector, the wage data are provided</w:t>
      </w:r>
      <w:r w:rsidRPr="008E58FB">
        <w:rPr>
          <w:b/>
          <w:bCs/>
        </w:rPr>
        <w:t xml:space="preserve"> </w:t>
      </w:r>
      <w:r w:rsidRPr="008E58FB">
        <w:rPr>
          <w:bCs/>
        </w:rPr>
        <w:t xml:space="preserve">by Standard Occupational Classification (SOC). The SOC system is used by Federal statistical agencies to classify workers into occupational categories for the purpose of collecting, calculating, or disseminating data (see </w:t>
      </w:r>
      <w:hyperlink r:id="rId14" w:history="1">
        <w:r w:rsidRPr="008E58FB">
          <w:rPr>
            <w:rStyle w:val="Hyperlink"/>
            <w:bCs/>
          </w:rPr>
          <w:t>http://www.bls.gov/oes/current/oes_stru.htm</w:t>
        </w:r>
      </w:hyperlink>
      <w:r>
        <w:rPr>
          <w:bCs/>
        </w:rPr>
        <w:t xml:space="preserve"> ). </w:t>
      </w:r>
    </w:p>
    <w:p w14:paraId="3C4A0972" w14:textId="77777777" w:rsidR="00CD0A25" w:rsidRPr="008E58FB" w:rsidRDefault="00CD0A25" w:rsidP="00CD0A25">
      <w:pPr>
        <w:numPr>
          <w:ilvl w:val="12"/>
          <w:numId w:val="0"/>
        </w:numPr>
        <w:rPr>
          <w:bCs/>
        </w:rPr>
      </w:pPr>
    </w:p>
    <w:p w14:paraId="7F593C7E" w14:textId="77777777" w:rsidR="00CD0A25" w:rsidRPr="008E58FB" w:rsidRDefault="00CD0A25" w:rsidP="00CD0A25">
      <w:pPr>
        <w:numPr>
          <w:ilvl w:val="12"/>
          <w:numId w:val="0"/>
        </w:numPr>
        <w:rPr>
          <w:bCs/>
        </w:rPr>
      </w:pPr>
      <w:r>
        <w:rPr>
          <w:bCs/>
        </w:rPr>
        <w:tab/>
      </w:r>
      <w:r w:rsidRPr="008E58FB">
        <w:rPr>
          <w:bCs/>
        </w:rPr>
        <w:t>Loaded Wage Rate: Unless stated otherwise, all benefits represent 4</w:t>
      </w:r>
      <w:r>
        <w:rPr>
          <w:bCs/>
        </w:rPr>
        <w:t>6.5</w:t>
      </w:r>
      <w:r w:rsidRPr="008E58FB">
        <w:rPr>
          <w:bCs/>
        </w:rPr>
        <w:t xml:space="preserve">% of unloaded wage rates, based on benefits for all civilian non-farm workers, from </w:t>
      </w:r>
      <w:hyperlink r:id="rId15" w:history="1">
        <w:r w:rsidRPr="008E58FB">
          <w:rPr>
            <w:rStyle w:val="Hyperlink"/>
            <w:bCs/>
          </w:rPr>
          <w:t>http://www.bls.gov/news.release/ecec.t01.htm</w:t>
        </w:r>
      </w:hyperlink>
      <w:r w:rsidRPr="008E58FB">
        <w:rPr>
          <w:bCs/>
        </w:rPr>
        <w:t>. However, if other</w:t>
      </w:r>
      <w:r>
        <w:rPr>
          <w:bCs/>
        </w:rPr>
        <w:t xml:space="preserve"> sectors are listed for which 46.5</w:t>
      </w:r>
      <w:r w:rsidRPr="008E58FB">
        <w:rPr>
          <w:bCs/>
        </w:rPr>
        <w:t>% is not applicable; the applicable percentage will be stated.</w:t>
      </w:r>
    </w:p>
    <w:p w14:paraId="1D72A510" w14:textId="77777777" w:rsidR="00CD0A25" w:rsidRPr="008E58FB" w:rsidRDefault="00CD0A25" w:rsidP="00CD0A25">
      <w:pPr>
        <w:numPr>
          <w:ilvl w:val="12"/>
          <w:numId w:val="0"/>
        </w:numPr>
        <w:rPr>
          <w:bCs/>
        </w:rPr>
      </w:pPr>
    </w:p>
    <w:p w14:paraId="523310E2" w14:textId="77777777" w:rsidR="00CD0A25" w:rsidRPr="008E58FB" w:rsidRDefault="00CD0A25" w:rsidP="00CD0A25">
      <w:pPr>
        <w:numPr>
          <w:ilvl w:val="12"/>
          <w:numId w:val="0"/>
        </w:numPr>
        <w:rPr>
          <w:bCs/>
        </w:rPr>
      </w:pPr>
      <w:r>
        <w:rPr>
          <w:bCs/>
        </w:rPr>
        <w:tab/>
      </w:r>
      <w:r w:rsidRPr="008E58FB">
        <w:rPr>
          <w:bCs/>
        </w:rPr>
        <w:t xml:space="preserve">Fully Loaded Wage Rate: We multiply the loaded wage rate by 50% (EPA guidelines 20-70%) to get overhead costs.  Attachments </w:t>
      </w:r>
      <w:r>
        <w:rPr>
          <w:bCs/>
        </w:rPr>
        <w:t>D</w:t>
      </w:r>
      <w:r w:rsidRPr="008E58FB">
        <w:rPr>
          <w:bCs/>
        </w:rPr>
        <w:t xml:space="preserve"> and </w:t>
      </w:r>
      <w:r>
        <w:rPr>
          <w:bCs/>
        </w:rPr>
        <w:t>E</w:t>
      </w:r>
      <w:r w:rsidRPr="008E58FB">
        <w:rPr>
          <w:bCs/>
        </w:rPr>
        <w:t xml:space="preserve"> contain worksheets providing the breakout of these costs.  </w:t>
      </w:r>
    </w:p>
    <w:p w14:paraId="0C1B7F2D" w14:textId="77777777" w:rsidR="00CD0A25" w:rsidRPr="008E58FB" w:rsidRDefault="00CD0A25" w:rsidP="00CD0A25">
      <w:pPr>
        <w:numPr>
          <w:ilvl w:val="12"/>
          <w:numId w:val="0"/>
        </w:numPr>
        <w:rPr>
          <w:bCs/>
        </w:rPr>
      </w:pPr>
    </w:p>
    <w:p w14:paraId="15EAA95B" w14:textId="645295FD" w:rsidR="00CD0A25" w:rsidRDefault="00CD0A25" w:rsidP="00CD0A25">
      <w:pPr>
        <w:rPr>
          <w:bCs/>
        </w:rPr>
      </w:pPr>
      <w:r>
        <w:rPr>
          <w:bCs/>
        </w:rPr>
        <w:tab/>
      </w:r>
      <w:r w:rsidRPr="008E58FB">
        <w:rPr>
          <w:bCs/>
        </w:rPr>
        <w:t>To derive the labor rates for this ICR, Agency economists estimated the wages for the management, technical, and clerical labor categories using the methodology cited above. The respondent costs for this renewal for managerial, technical and clerical rates are estimated at $</w:t>
      </w:r>
      <w:r>
        <w:rPr>
          <w:bCs/>
        </w:rPr>
        <w:t>127.82</w:t>
      </w:r>
      <w:r w:rsidRPr="008E58FB">
        <w:rPr>
          <w:bCs/>
        </w:rPr>
        <w:t>, $</w:t>
      </w:r>
      <w:r>
        <w:rPr>
          <w:bCs/>
        </w:rPr>
        <w:t>66.48</w:t>
      </w:r>
      <w:r w:rsidRPr="008E58FB">
        <w:rPr>
          <w:bCs/>
        </w:rPr>
        <w:t xml:space="preserve"> and $</w:t>
      </w:r>
      <w:r>
        <w:rPr>
          <w:bCs/>
        </w:rPr>
        <w:t>43.76</w:t>
      </w:r>
      <w:r w:rsidRPr="008E58FB">
        <w:rPr>
          <w:bCs/>
        </w:rPr>
        <w:t xml:space="preserve"> per hour, respectively. These labor rates are fully loaded and include benefits and overhead costs.</w:t>
      </w:r>
    </w:p>
    <w:p w14:paraId="12988ECA" w14:textId="2501706A" w:rsidR="00C16E62" w:rsidRDefault="00C16E62" w:rsidP="00CD0A25"/>
    <w:p w14:paraId="6AAD8395" w14:textId="77777777" w:rsidR="00CD0A25" w:rsidRDefault="00CD0A25" w:rsidP="00CD0A25">
      <w:pPr>
        <w:tabs>
          <w:tab w:val="left" w:pos="-1440"/>
        </w:tabs>
        <w:ind w:left="1440" w:hanging="720"/>
      </w:pPr>
      <w:r>
        <w:rPr>
          <w:b/>
          <w:bCs/>
        </w:rPr>
        <w:t>6(b)</w:t>
      </w:r>
      <w:r>
        <w:rPr>
          <w:b/>
          <w:bCs/>
        </w:rPr>
        <w:tab/>
        <w:t>Estimating Respondent Burden and Cost</w:t>
      </w:r>
    </w:p>
    <w:p w14:paraId="1D9DD348" w14:textId="77777777" w:rsidR="00CD0A25" w:rsidRDefault="00CD0A25" w:rsidP="00CD0A25">
      <w:pPr>
        <w:ind w:firstLine="720"/>
      </w:pPr>
    </w:p>
    <w:p w14:paraId="4ABF3710" w14:textId="77777777" w:rsidR="00CD0A25" w:rsidRDefault="00CD0A25" w:rsidP="00CD0A25">
      <w:pPr>
        <w:ind w:firstLine="720"/>
      </w:pPr>
      <w:r>
        <w:t>The overall respondent burden hours associated with this collection tota</w:t>
      </w:r>
      <w:r w:rsidRPr="003031EC">
        <w:t xml:space="preserve">l </w:t>
      </w:r>
      <w:r>
        <w:t>16,660 hours per year.  This figure shows a decrease of 1,333 burden hours from the previous ICR. The difference is due to a decrease in the average number of respondents per calendar year from 2015-2017. Largely in part to an increase in the use of the annual summary option.</w:t>
      </w:r>
    </w:p>
    <w:p w14:paraId="24B04CB6" w14:textId="77777777" w:rsidR="00CD0A25" w:rsidRDefault="00CD0A25" w:rsidP="00CD0A25">
      <w:pPr>
        <w:ind w:firstLine="720"/>
      </w:pPr>
    </w:p>
    <w:p w14:paraId="1A7BAB2D" w14:textId="4F50E81F" w:rsidR="00CD0A25" w:rsidRPr="00E6188A" w:rsidRDefault="00CD0A25" w:rsidP="00CD0A25">
      <w:pPr>
        <w:ind w:firstLine="720"/>
      </w:pPr>
      <w:r>
        <w:t xml:space="preserve">The requirements to be fulfilled under this ICR consist of two parts: submission of the Foreign Purchaser Acknowledgment Statements (FPAS); and the third-party notification export labeling requirement.  The third party labeling requirement is further subdivided into labeling requirements for unregistered exported pesticide products and multilingual labeling requirements for registered exported pesticide products.   </w:t>
      </w:r>
    </w:p>
    <w:p w14:paraId="156294A6" w14:textId="77777777" w:rsidR="00CD0A25" w:rsidRDefault="00CD0A25" w:rsidP="00CD0A25">
      <w:pPr>
        <w:tabs>
          <w:tab w:val="left" w:pos="-1440"/>
        </w:tabs>
        <w:ind w:left="1440" w:hanging="720"/>
        <w:rPr>
          <w:b/>
          <w:bCs/>
        </w:rPr>
      </w:pPr>
    </w:p>
    <w:p w14:paraId="01ED59BC" w14:textId="77777777" w:rsidR="00CD0A25" w:rsidRDefault="00CD0A25" w:rsidP="00CD0A25">
      <w:pPr>
        <w:tabs>
          <w:tab w:val="left" w:pos="-1440"/>
        </w:tabs>
        <w:ind w:left="1440" w:hanging="720"/>
      </w:pPr>
      <w:r>
        <w:rPr>
          <w:b/>
          <w:bCs/>
        </w:rPr>
        <w:t>(i)</w:t>
      </w:r>
      <w:r>
        <w:rPr>
          <w:b/>
          <w:bCs/>
        </w:rPr>
        <w:tab/>
        <w:t>Estimating the Respondent Burden and Cost of the FPAS Requirement</w:t>
      </w:r>
    </w:p>
    <w:p w14:paraId="099821F8" w14:textId="77777777" w:rsidR="00CD0A25" w:rsidRDefault="00CD0A25" w:rsidP="00CD0A25"/>
    <w:p w14:paraId="2C5BE211" w14:textId="04435154" w:rsidR="00CD0A25" w:rsidRDefault="00CD0A25" w:rsidP="00CD0A25">
      <w:r>
        <w:tab/>
        <w:t>This ICR renewal includes a respondent burden estimate of 2,940 hours for the FPAS requirement.  This figure is based on the average of 2,774 notices received annually from 2015-2017, and is a decrease of 250 notices from the previous renewal. Table 1 presents the calculations for total annual costs, a breakdown of the FPAS collection activities per respondent, and the expected labor mix required for each activity. Hourly wage rates for firms in NAICS 3250A1 were used to calculate respondent burden. The fully loaded hourly wage rates for management, technical, and clerical occupations for NAICS 3250A1 are $127.82, $66.48, and $43.76, respectively</w:t>
      </w:r>
      <w:r w:rsidRPr="000D21EC">
        <w:t>. See Attachment D for labor</w:t>
      </w:r>
      <w:r>
        <w:t xml:space="preserve"> wage calculations. </w:t>
      </w:r>
      <w:r w:rsidRPr="00135D29">
        <w:t>The total management</w:t>
      </w:r>
      <w:r>
        <w:t xml:space="preserve">, technical, and clerical hours are multiplied by the annual number of requests and by the fully loaded wage rates to get a total annual respondent cost of $183,239 for </w:t>
      </w:r>
      <w:r w:rsidRPr="003964BA">
        <w:t>submitting FPAS forms.</w:t>
      </w:r>
      <w:r>
        <w:t xml:space="preserve"> </w:t>
      </w:r>
    </w:p>
    <w:p w14:paraId="5BFC6EC5" w14:textId="77777777" w:rsidR="00CD0A25" w:rsidRDefault="00CD0A25" w:rsidP="00CD0A25">
      <w:pPr>
        <w:ind w:firstLine="720"/>
      </w:pPr>
    </w:p>
    <w:p w14:paraId="7E326CE4" w14:textId="312D456F" w:rsidR="00CD0A25" w:rsidRDefault="00CD0A25" w:rsidP="00CD0A25">
      <w:pPr>
        <w:ind w:firstLine="720"/>
      </w:pPr>
      <w:r>
        <w:t>All records submitted under this information collection are either required to be kept under FIFRA Section 8 or are maintained in the normal course of business.  Exporters who feel that per-shipment submissions represent undue burden may choose to report annually. The per-shipment notification and annual summary requirements of this option are based on records of production and shipment records already required by regulations under FIFRA Section 8, so such information will be readily available to exporters, who may submit it without reformatting or special preparation. These annual submissions may be included as part of the annual submission of acknowledgment statements and thus would result in minimal burden.</w:t>
      </w:r>
    </w:p>
    <w:p w14:paraId="33ED2F99" w14:textId="3D15C14C" w:rsidR="00C16E62" w:rsidRDefault="00C16E62" w:rsidP="00CD0A25">
      <w:pPr>
        <w:rPr>
          <w:b/>
          <w:bCs/>
        </w:rPr>
      </w:pPr>
    </w:p>
    <w:p w14:paraId="603B8056" w14:textId="6514B999" w:rsidR="00CD0A25" w:rsidRPr="004A7ABB" w:rsidRDefault="00CD0A25" w:rsidP="00CD0A25">
      <w:r w:rsidRPr="004A7ABB">
        <w:rPr>
          <w:b/>
          <w:bCs/>
        </w:rPr>
        <w:t>Table 1.</w:t>
      </w:r>
      <w:r w:rsidRPr="004A7ABB">
        <w:rPr>
          <w:b/>
          <w:bCs/>
        </w:rPr>
        <w:tab/>
        <w:t>Respondent Burden/Cost: Submission of FPAS</w:t>
      </w:r>
    </w:p>
    <w:tbl>
      <w:tblPr>
        <w:tblW w:w="9360"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971"/>
        <w:gridCol w:w="1320"/>
        <w:gridCol w:w="1230"/>
        <w:gridCol w:w="1230"/>
        <w:gridCol w:w="1304"/>
        <w:gridCol w:w="1305"/>
      </w:tblGrid>
      <w:tr w:rsidR="00CD0A25" w:rsidRPr="004A7ABB" w14:paraId="11D45039" w14:textId="77777777" w:rsidTr="008F67E9">
        <w:trPr>
          <w:jc w:val="center"/>
        </w:trPr>
        <w:tc>
          <w:tcPr>
            <w:tcW w:w="2970" w:type="dxa"/>
            <w:tcBorders>
              <w:top w:val="double" w:sz="4" w:space="0" w:color="000000"/>
              <w:right w:val="single" w:sz="15" w:space="0" w:color="000000"/>
            </w:tcBorders>
          </w:tcPr>
          <w:p w14:paraId="65B752F5" w14:textId="77777777" w:rsidR="00CD0A25" w:rsidRPr="004A7ABB" w:rsidRDefault="00CD0A25" w:rsidP="008F67E9">
            <w:pPr>
              <w:widowControl/>
              <w:spacing w:after="58"/>
              <w:jc w:val="center"/>
              <w:rPr>
                <w:b/>
                <w:bCs/>
                <w:sz w:val="22"/>
                <w:szCs w:val="22"/>
              </w:rPr>
            </w:pPr>
            <w:r w:rsidRPr="004A7ABB">
              <w:rPr>
                <w:b/>
                <w:bCs/>
                <w:sz w:val="22"/>
                <w:szCs w:val="22"/>
              </w:rPr>
              <w:t>Collection Activity</w:t>
            </w:r>
          </w:p>
        </w:tc>
        <w:tc>
          <w:tcPr>
            <w:tcW w:w="3780" w:type="dxa"/>
            <w:gridSpan w:val="3"/>
            <w:tcBorders>
              <w:top w:val="double" w:sz="4" w:space="0" w:color="000000"/>
            </w:tcBorders>
          </w:tcPr>
          <w:p w14:paraId="44F67A8A" w14:textId="77777777" w:rsidR="00CD0A25" w:rsidRPr="004A7ABB" w:rsidRDefault="00CD0A25" w:rsidP="008F67E9">
            <w:pPr>
              <w:widowControl/>
              <w:spacing w:after="58"/>
              <w:jc w:val="center"/>
              <w:rPr>
                <w:b/>
                <w:bCs/>
                <w:sz w:val="22"/>
                <w:szCs w:val="22"/>
              </w:rPr>
            </w:pPr>
            <w:r w:rsidRPr="004A7ABB">
              <w:rPr>
                <w:b/>
                <w:bCs/>
                <w:sz w:val="22"/>
                <w:szCs w:val="22"/>
              </w:rPr>
              <w:t>Burden Hours (per year)</w:t>
            </w:r>
          </w:p>
        </w:tc>
        <w:tc>
          <w:tcPr>
            <w:tcW w:w="2609" w:type="dxa"/>
            <w:gridSpan w:val="2"/>
            <w:tcBorders>
              <w:top w:val="double" w:sz="4" w:space="0" w:color="000000"/>
              <w:left w:val="single" w:sz="15" w:space="0" w:color="000000"/>
            </w:tcBorders>
          </w:tcPr>
          <w:p w14:paraId="3EC7CB70" w14:textId="77777777" w:rsidR="00CD0A25" w:rsidRPr="004A7ABB" w:rsidRDefault="00CD0A25" w:rsidP="008F67E9">
            <w:pPr>
              <w:widowControl/>
              <w:spacing w:after="58"/>
              <w:jc w:val="center"/>
              <w:rPr>
                <w:b/>
                <w:bCs/>
                <w:sz w:val="22"/>
                <w:szCs w:val="22"/>
              </w:rPr>
            </w:pPr>
            <w:r w:rsidRPr="004A7ABB">
              <w:rPr>
                <w:b/>
                <w:bCs/>
                <w:sz w:val="22"/>
                <w:szCs w:val="22"/>
              </w:rPr>
              <w:t>Total</w:t>
            </w:r>
          </w:p>
        </w:tc>
      </w:tr>
      <w:tr w:rsidR="00CD0A25" w:rsidRPr="004A7ABB" w14:paraId="4F2536CB" w14:textId="77777777" w:rsidTr="008F67E9">
        <w:trPr>
          <w:jc w:val="center"/>
        </w:trPr>
        <w:tc>
          <w:tcPr>
            <w:tcW w:w="2970" w:type="dxa"/>
            <w:tcBorders>
              <w:bottom w:val="single" w:sz="15" w:space="0" w:color="000000"/>
              <w:right w:val="single" w:sz="15" w:space="0" w:color="000000"/>
            </w:tcBorders>
          </w:tcPr>
          <w:p w14:paraId="19164797" w14:textId="77777777" w:rsidR="00CD0A25" w:rsidRPr="004A7ABB" w:rsidRDefault="00CD0A25" w:rsidP="008F67E9">
            <w:pPr>
              <w:widowControl/>
              <w:spacing w:after="58"/>
              <w:rPr>
                <w:sz w:val="22"/>
                <w:szCs w:val="22"/>
              </w:rPr>
            </w:pPr>
          </w:p>
        </w:tc>
        <w:tc>
          <w:tcPr>
            <w:tcW w:w="1320" w:type="dxa"/>
            <w:tcBorders>
              <w:bottom w:val="single" w:sz="15" w:space="0" w:color="000000"/>
            </w:tcBorders>
          </w:tcPr>
          <w:p w14:paraId="06C53E21" w14:textId="77777777" w:rsidR="00CD0A25" w:rsidRPr="004A7ABB" w:rsidRDefault="00CD0A25" w:rsidP="008F67E9">
            <w:pPr>
              <w:widowControl/>
              <w:jc w:val="center"/>
              <w:rPr>
                <w:sz w:val="22"/>
                <w:szCs w:val="22"/>
              </w:rPr>
            </w:pPr>
            <w:r w:rsidRPr="004A7ABB">
              <w:rPr>
                <w:sz w:val="22"/>
                <w:szCs w:val="22"/>
              </w:rPr>
              <w:t>Mgmt</w:t>
            </w:r>
          </w:p>
          <w:p w14:paraId="57ED3C66" w14:textId="77777777" w:rsidR="00CD0A25" w:rsidRPr="004A7ABB" w:rsidRDefault="00CD0A25" w:rsidP="008F67E9">
            <w:pPr>
              <w:widowControl/>
              <w:spacing w:after="58"/>
              <w:jc w:val="center"/>
              <w:rPr>
                <w:sz w:val="22"/>
                <w:szCs w:val="22"/>
              </w:rPr>
            </w:pPr>
            <w:r w:rsidRPr="004A7ABB">
              <w:rPr>
                <w:sz w:val="22"/>
                <w:szCs w:val="22"/>
              </w:rPr>
              <w:t>$</w:t>
            </w:r>
            <w:r>
              <w:rPr>
                <w:sz w:val="22"/>
                <w:szCs w:val="22"/>
              </w:rPr>
              <w:t>127.82</w:t>
            </w:r>
            <w:r w:rsidRPr="004A7ABB">
              <w:rPr>
                <w:sz w:val="22"/>
                <w:szCs w:val="22"/>
              </w:rPr>
              <w:t>/hr</w:t>
            </w:r>
          </w:p>
        </w:tc>
        <w:tc>
          <w:tcPr>
            <w:tcW w:w="1230" w:type="dxa"/>
            <w:tcBorders>
              <w:bottom w:val="single" w:sz="15" w:space="0" w:color="000000"/>
            </w:tcBorders>
          </w:tcPr>
          <w:p w14:paraId="4332E8AD" w14:textId="77777777" w:rsidR="00CD0A25" w:rsidRPr="004A7ABB" w:rsidRDefault="00CD0A25" w:rsidP="008F67E9">
            <w:pPr>
              <w:widowControl/>
              <w:jc w:val="center"/>
              <w:rPr>
                <w:sz w:val="22"/>
                <w:szCs w:val="22"/>
              </w:rPr>
            </w:pPr>
            <w:r w:rsidRPr="004A7ABB">
              <w:rPr>
                <w:sz w:val="22"/>
                <w:szCs w:val="22"/>
              </w:rPr>
              <w:t>Technical</w:t>
            </w:r>
          </w:p>
          <w:p w14:paraId="1315039A" w14:textId="77777777" w:rsidR="00CD0A25" w:rsidRPr="004A7ABB" w:rsidRDefault="00CD0A25" w:rsidP="008F67E9">
            <w:pPr>
              <w:widowControl/>
              <w:spacing w:after="58"/>
              <w:jc w:val="center"/>
              <w:rPr>
                <w:sz w:val="22"/>
                <w:szCs w:val="22"/>
              </w:rPr>
            </w:pPr>
            <w:r w:rsidRPr="004A7ABB">
              <w:rPr>
                <w:sz w:val="22"/>
                <w:szCs w:val="22"/>
              </w:rPr>
              <w:t>$</w:t>
            </w:r>
            <w:r>
              <w:rPr>
                <w:sz w:val="22"/>
                <w:szCs w:val="22"/>
              </w:rPr>
              <w:t>66.48/</w:t>
            </w:r>
            <w:r w:rsidRPr="004A7ABB">
              <w:rPr>
                <w:sz w:val="22"/>
                <w:szCs w:val="22"/>
              </w:rPr>
              <w:t>hr</w:t>
            </w:r>
          </w:p>
        </w:tc>
        <w:tc>
          <w:tcPr>
            <w:tcW w:w="1230" w:type="dxa"/>
            <w:tcBorders>
              <w:bottom w:val="single" w:sz="15" w:space="0" w:color="000000"/>
            </w:tcBorders>
          </w:tcPr>
          <w:p w14:paraId="2837DAC0" w14:textId="77777777" w:rsidR="00CD0A25" w:rsidRPr="004A7ABB" w:rsidRDefault="00CD0A25" w:rsidP="008F67E9">
            <w:pPr>
              <w:widowControl/>
              <w:jc w:val="center"/>
              <w:rPr>
                <w:sz w:val="22"/>
                <w:szCs w:val="22"/>
              </w:rPr>
            </w:pPr>
            <w:r w:rsidRPr="004A7ABB">
              <w:rPr>
                <w:sz w:val="22"/>
                <w:szCs w:val="22"/>
              </w:rPr>
              <w:t>Clerical</w:t>
            </w:r>
          </w:p>
          <w:p w14:paraId="01CFCD3F" w14:textId="77777777" w:rsidR="00CD0A25" w:rsidRPr="004A7ABB" w:rsidRDefault="00CD0A25" w:rsidP="008F67E9">
            <w:pPr>
              <w:widowControl/>
              <w:spacing w:after="58"/>
              <w:jc w:val="center"/>
              <w:rPr>
                <w:sz w:val="22"/>
                <w:szCs w:val="22"/>
              </w:rPr>
            </w:pPr>
            <w:r w:rsidRPr="004A7ABB">
              <w:rPr>
                <w:sz w:val="22"/>
                <w:szCs w:val="22"/>
              </w:rPr>
              <w:t>$</w:t>
            </w:r>
            <w:r>
              <w:rPr>
                <w:sz w:val="22"/>
                <w:szCs w:val="22"/>
              </w:rPr>
              <w:t>43.76</w:t>
            </w:r>
            <w:r w:rsidRPr="004A7ABB">
              <w:rPr>
                <w:sz w:val="22"/>
                <w:szCs w:val="22"/>
              </w:rPr>
              <w:t>/hr</w:t>
            </w:r>
          </w:p>
        </w:tc>
        <w:tc>
          <w:tcPr>
            <w:tcW w:w="1304" w:type="dxa"/>
            <w:tcBorders>
              <w:left w:val="single" w:sz="15" w:space="0" w:color="000000"/>
              <w:bottom w:val="single" w:sz="15" w:space="0" w:color="000000"/>
            </w:tcBorders>
          </w:tcPr>
          <w:p w14:paraId="1C01A708" w14:textId="77777777" w:rsidR="00CD0A25" w:rsidRPr="004A7ABB" w:rsidRDefault="00CD0A25" w:rsidP="008F67E9">
            <w:pPr>
              <w:widowControl/>
              <w:spacing w:after="58"/>
              <w:jc w:val="center"/>
              <w:rPr>
                <w:sz w:val="22"/>
                <w:szCs w:val="22"/>
              </w:rPr>
            </w:pPr>
            <w:r w:rsidRPr="004A7ABB">
              <w:rPr>
                <w:sz w:val="22"/>
                <w:szCs w:val="22"/>
              </w:rPr>
              <w:t>Hours</w:t>
            </w:r>
          </w:p>
        </w:tc>
        <w:tc>
          <w:tcPr>
            <w:tcW w:w="1305" w:type="dxa"/>
            <w:tcBorders>
              <w:bottom w:val="single" w:sz="15" w:space="0" w:color="000000"/>
            </w:tcBorders>
          </w:tcPr>
          <w:p w14:paraId="067199C8" w14:textId="77777777" w:rsidR="00CD0A25" w:rsidRPr="004A7ABB" w:rsidRDefault="00CD0A25" w:rsidP="008F67E9">
            <w:pPr>
              <w:widowControl/>
              <w:spacing w:after="58"/>
              <w:jc w:val="center"/>
              <w:rPr>
                <w:sz w:val="22"/>
                <w:szCs w:val="22"/>
              </w:rPr>
            </w:pPr>
            <w:r w:rsidRPr="004A7ABB">
              <w:rPr>
                <w:sz w:val="22"/>
                <w:szCs w:val="22"/>
              </w:rPr>
              <w:t>Cost ($)</w:t>
            </w:r>
          </w:p>
        </w:tc>
      </w:tr>
      <w:tr w:rsidR="00CD0A25" w:rsidRPr="004A7ABB" w14:paraId="51EB35B2" w14:textId="77777777" w:rsidTr="008F67E9">
        <w:trPr>
          <w:jc w:val="center"/>
        </w:trPr>
        <w:tc>
          <w:tcPr>
            <w:tcW w:w="2970" w:type="dxa"/>
            <w:tcBorders>
              <w:right w:val="single" w:sz="15" w:space="0" w:color="000000"/>
            </w:tcBorders>
          </w:tcPr>
          <w:p w14:paraId="61B3D8DE" w14:textId="77777777" w:rsidR="00CD0A25" w:rsidRPr="004A7ABB" w:rsidRDefault="00CD0A25" w:rsidP="008F67E9">
            <w:pPr>
              <w:widowControl/>
              <w:spacing w:after="58"/>
              <w:rPr>
                <w:sz w:val="22"/>
                <w:szCs w:val="22"/>
              </w:rPr>
            </w:pPr>
            <w:r w:rsidRPr="004A7ABB">
              <w:rPr>
                <w:sz w:val="22"/>
                <w:szCs w:val="22"/>
              </w:rPr>
              <w:t>Read Regulations</w:t>
            </w:r>
          </w:p>
        </w:tc>
        <w:tc>
          <w:tcPr>
            <w:tcW w:w="1320" w:type="dxa"/>
          </w:tcPr>
          <w:p w14:paraId="4B93B5A8" w14:textId="77777777" w:rsidR="00CD0A25" w:rsidRPr="004A7ABB" w:rsidRDefault="00CD0A25" w:rsidP="008F67E9">
            <w:pPr>
              <w:widowControl/>
              <w:spacing w:after="58"/>
              <w:jc w:val="center"/>
              <w:rPr>
                <w:sz w:val="22"/>
                <w:szCs w:val="22"/>
              </w:rPr>
            </w:pPr>
            <w:r w:rsidRPr="004A7ABB">
              <w:rPr>
                <w:sz w:val="22"/>
                <w:szCs w:val="22"/>
              </w:rPr>
              <w:t>0.08</w:t>
            </w:r>
          </w:p>
        </w:tc>
        <w:tc>
          <w:tcPr>
            <w:tcW w:w="1230" w:type="dxa"/>
          </w:tcPr>
          <w:p w14:paraId="7CACD547" w14:textId="77777777" w:rsidR="00CD0A25" w:rsidRPr="004A7ABB" w:rsidRDefault="00CD0A25" w:rsidP="008F67E9">
            <w:pPr>
              <w:widowControl/>
              <w:spacing w:after="58"/>
              <w:jc w:val="center"/>
              <w:rPr>
                <w:sz w:val="22"/>
                <w:szCs w:val="22"/>
              </w:rPr>
            </w:pPr>
            <w:r w:rsidRPr="004A7ABB">
              <w:rPr>
                <w:sz w:val="22"/>
                <w:szCs w:val="22"/>
              </w:rPr>
              <w:t>0.00</w:t>
            </w:r>
          </w:p>
        </w:tc>
        <w:tc>
          <w:tcPr>
            <w:tcW w:w="1230" w:type="dxa"/>
          </w:tcPr>
          <w:p w14:paraId="0D7F108A" w14:textId="77777777" w:rsidR="00CD0A25" w:rsidRPr="004A7ABB" w:rsidRDefault="00CD0A25" w:rsidP="008F67E9">
            <w:pPr>
              <w:widowControl/>
              <w:spacing w:after="58"/>
              <w:jc w:val="center"/>
              <w:rPr>
                <w:sz w:val="22"/>
                <w:szCs w:val="22"/>
              </w:rPr>
            </w:pPr>
            <w:r w:rsidRPr="004A7ABB">
              <w:rPr>
                <w:sz w:val="22"/>
                <w:szCs w:val="22"/>
              </w:rPr>
              <w:t>0.00</w:t>
            </w:r>
          </w:p>
        </w:tc>
        <w:tc>
          <w:tcPr>
            <w:tcW w:w="1304" w:type="dxa"/>
            <w:tcBorders>
              <w:left w:val="single" w:sz="15" w:space="0" w:color="000000"/>
            </w:tcBorders>
          </w:tcPr>
          <w:p w14:paraId="5EAA2877" w14:textId="77777777" w:rsidR="00CD0A25" w:rsidRPr="004A7ABB" w:rsidRDefault="00CD0A25" w:rsidP="008F67E9">
            <w:pPr>
              <w:widowControl/>
              <w:spacing w:after="58"/>
              <w:jc w:val="center"/>
              <w:rPr>
                <w:sz w:val="22"/>
                <w:szCs w:val="22"/>
              </w:rPr>
            </w:pPr>
            <w:r w:rsidRPr="004A7ABB">
              <w:rPr>
                <w:sz w:val="22"/>
                <w:szCs w:val="22"/>
              </w:rPr>
              <w:t>0.08</w:t>
            </w:r>
          </w:p>
        </w:tc>
        <w:tc>
          <w:tcPr>
            <w:tcW w:w="1305" w:type="dxa"/>
          </w:tcPr>
          <w:p w14:paraId="40DF4F1F" w14:textId="77777777" w:rsidR="00CD0A25" w:rsidRPr="004A7ABB" w:rsidRDefault="00CD0A25" w:rsidP="008F67E9">
            <w:pPr>
              <w:widowControl/>
              <w:spacing w:after="58"/>
              <w:jc w:val="right"/>
              <w:rPr>
                <w:sz w:val="22"/>
                <w:szCs w:val="22"/>
              </w:rPr>
            </w:pPr>
            <w:r>
              <w:rPr>
                <w:sz w:val="22"/>
                <w:szCs w:val="22"/>
              </w:rPr>
              <w:t>10.23</w:t>
            </w:r>
          </w:p>
        </w:tc>
      </w:tr>
      <w:tr w:rsidR="00CD0A25" w:rsidRPr="004A7ABB" w14:paraId="70A1BBD8" w14:textId="77777777" w:rsidTr="008F67E9">
        <w:trPr>
          <w:jc w:val="center"/>
        </w:trPr>
        <w:tc>
          <w:tcPr>
            <w:tcW w:w="2970" w:type="dxa"/>
            <w:tcBorders>
              <w:right w:val="single" w:sz="15" w:space="0" w:color="000000"/>
            </w:tcBorders>
          </w:tcPr>
          <w:p w14:paraId="4777DAE9" w14:textId="77777777" w:rsidR="00CD0A25" w:rsidRPr="004A7ABB" w:rsidRDefault="00CD0A25" w:rsidP="008F67E9">
            <w:pPr>
              <w:widowControl/>
              <w:spacing w:after="58"/>
              <w:rPr>
                <w:sz w:val="22"/>
                <w:szCs w:val="22"/>
              </w:rPr>
            </w:pPr>
            <w:r w:rsidRPr="004A7ABB">
              <w:rPr>
                <w:sz w:val="22"/>
                <w:szCs w:val="22"/>
              </w:rPr>
              <w:t>Plan Activities</w:t>
            </w:r>
          </w:p>
        </w:tc>
        <w:tc>
          <w:tcPr>
            <w:tcW w:w="1320" w:type="dxa"/>
          </w:tcPr>
          <w:p w14:paraId="5C15F00A" w14:textId="77777777" w:rsidR="00CD0A25" w:rsidRPr="004A7ABB" w:rsidRDefault="00CD0A25" w:rsidP="008F67E9">
            <w:pPr>
              <w:widowControl/>
              <w:spacing w:after="58"/>
              <w:jc w:val="center"/>
              <w:rPr>
                <w:sz w:val="22"/>
                <w:szCs w:val="22"/>
              </w:rPr>
            </w:pPr>
            <w:r w:rsidRPr="004A7ABB">
              <w:rPr>
                <w:sz w:val="22"/>
                <w:szCs w:val="22"/>
              </w:rPr>
              <w:t>0.00</w:t>
            </w:r>
          </w:p>
        </w:tc>
        <w:tc>
          <w:tcPr>
            <w:tcW w:w="1230" w:type="dxa"/>
          </w:tcPr>
          <w:p w14:paraId="50A68FD7" w14:textId="77777777" w:rsidR="00CD0A25" w:rsidRPr="004A7ABB" w:rsidRDefault="00CD0A25" w:rsidP="008F67E9">
            <w:pPr>
              <w:widowControl/>
              <w:spacing w:after="58"/>
              <w:jc w:val="center"/>
              <w:rPr>
                <w:sz w:val="22"/>
                <w:szCs w:val="22"/>
              </w:rPr>
            </w:pPr>
            <w:r w:rsidRPr="004A7ABB">
              <w:rPr>
                <w:sz w:val="22"/>
                <w:szCs w:val="22"/>
              </w:rPr>
              <w:t>0.08</w:t>
            </w:r>
          </w:p>
        </w:tc>
        <w:tc>
          <w:tcPr>
            <w:tcW w:w="1230" w:type="dxa"/>
          </w:tcPr>
          <w:p w14:paraId="20E90DA3" w14:textId="77777777" w:rsidR="00CD0A25" w:rsidRPr="004A7ABB" w:rsidRDefault="00CD0A25" w:rsidP="008F67E9">
            <w:pPr>
              <w:widowControl/>
              <w:spacing w:after="58"/>
              <w:jc w:val="center"/>
              <w:rPr>
                <w:sz w:val="22"/>
                <w:szCs w:val="22"/>
              </w:rPr>
            </w:pPr>
            <w:r w:rsidRPr="004A7ABB">
              <w:rPr>
                <w:sz w:val="22"/>
                <w:szCs w:val="22"/>
              </w:rPr>
              <w:t>0.00</w:t>
            </w:r>
          </w:p>
        </w:tc>
        <w:tc>
          <w:tcPr>
            <w:tcW w:w="1304" w:type="dxa"/>
            <w:tcBorders>
              <w:left w:val="single" w:sz="15" w:space="0" w:color="000000"/>
            </w:tcBorders>
          </w:tcPr>
          <w:p w14:paraId="27BCFA96" w14:textId="77777777" w:rsidR="00CD0A25" w:rsidRPr="004A7ABB" w:rsidRDefault="00CD0A25" w:rsidP="008F67E9">
            <w:pPr>
              <w:widowControl/>
              <w:spacing w:after="58"/>
              <w:jc w:val="center"/>
              <w:rPr>
                <w:sz w:val="22"/>
                <w:szCs w:val="22"/>
              </w:rPr>
            </w:pPr>
            <w:r w:rsidRPr="004A7ABB">
              <w:rPr>
                <w:sz w:val="22"/>
                <w:szCs w:val="22"/>
              </w:rPr>
              <w:t>0.08</w:t>
            </w:r>
          </w:p>
        </w:tc>
        <w:tc>
          <w:tcPr>
            <w:tcW w:w="1305" w:type="dxa"/>
          </w:tcPr>
          <w:p w14:paraId="17E61434" w14:textId="77777777" w:rsidR="00CD0A25" w:rsidRPr="004A7ABB" w:rsidRDefault="00CD0A25" w:rsidP="008F67E9">
            <w:pPr>
              <w:widowControl/>
              <w:spacing w:after="58"/>
              <w:jc w:val="right"/>
              <w:rPr>
                <w:sz w:val="22"/>
                <w:szCs w:val="22"/>
              </w:rPr>
            </w:pPr>
            <w:r>
              <w:rPr>
                <w:sz w:val="22"/>
                <w:szCs w:val="22"/>
              </w:rPr>
              <w:t>5.32</w:t>
            </w:r>
          </w:p>
        </w:tc>
      </w:tr>
      <w:tr w:rsidR="00CD0A25" w:rsidRPr="004A7ABB" w14:paraId="05429FB8" w14:textId="77777777" w:rsidTr="008F67E9">
        <w:trPr>
          <w:jc w:val="center"/>
        </w:trPr>
        <w:tc>
          <w:tcPr>
            <w:tcW w:w="2970" w:type="dxa"/>
            <w:tcBorders>
              <w:right w:val="single" w:sz="15" w:space="0" w:color="000000"/>
            </w:tcBorders>
          </w:tcPr>
          <w:p w14:paraId="07B04D13" w14:textId="77777777" w:rsidR="00CD0A25" w:rsidRPr="004A7ABB" w:rsidRDefault="00CD0A25" w:rsidP="008F67E9">
            <w:pPr>
              <w:widowControl/>
              <w:spacing w:after="58"/>
              <w:rPr>
                <w:sz w:val="22"/>
                <w:szCs w:val="22"/>
              </w:rPr>
            </w:pPr>
            <w:r w:rsidRPr="004A7ABB">
              <w:rPr>
                <w:sz w:val="22"/>
                <w:szCs w:val="22"/>
              </w:rPr>
              <w:t>Gather Information</w:t>
            </w:r>
          </w:p>
        </w:tc>
        <w:tc>
          <w:tcPr>
            <w:tcW w:w="1320" w:type="dxa"/>
          </w:tcPr>
          <w:p w14:paraId="11899245" w14:textId="77777777" w:rsidR="00CD0A25" w:rsidRPr="004A7ABB" w:rsidRDefault="00CD0A25" w:rsidP="008F67E9">
            <w:pPr>
              <w:widowControl/>
              <w:spacing w:after="58"/>
              <w:jc w:val="center"/>
              <w:rPr>
                <w:sz w:val="22"/>
                <w:szCs w:val="22"/>
              </w:rPr>
            </w:pPr>
            <w:r w:rsidRPr="004A7ABB">
              <w:rPr>
                <w:sz w:val="22"/>
                <w:szCs w:val="22"/>
              </w:rPr>
              <w:t>0.00</w:t>
            </w:r>
          </w:p>
        </w:tc>
        <w:tc>
          <w:tcPr>
            <w:tcW w:w="1230" w:type="dxa"/>
          </w:tcPr>
          <w:p w14:paraId="65BD15AA" w14:textId="77777777" w:rsidR="00CD0A25" w:rsidRPr="004A7ABB" w:rsidRDefault="00CD0A25" w:rsidP="008F67E9">
            <w:pPr>
              <w:widowControl/>
              <w:spacing w:after="58"/>
              <w:jc w:val="center"/>
              <w:rPr>
                <w:sz w:val="22"/>
                <w:szCs w:val="22"/>
              </w:rPr>
            </w:pPr>
            <w:r w:rsidRPr="004A7ABB">
              <w:rPr>
                <w:sz w:val="22"/>
                <w:szCs w:val="22"/>
              </w:rPr>
              <w:t>0.08</w:t>
            </w:r>
          </w:p>
        </w:tc>
        <w:tc>
          <w:tcPr>
            <w:tcW w:w="1230" w:type="dxa"/>
          </w:tcPr>
          <w:p w14:paraId="21F5083B" w14:textId="77777777" w:rsidR="00CD0A25" w:rsidRPr="004A7ABB" w:rsidRDefault="00CD0A25" w:rsidP="008F67E9">
            <w:pPr>
              <w:widowControl/>
              <w:spacing w:after="58"/>
              <w:jc w:val="center"/>
              <w:rPr>
                <w:sz w:val="22"/>
                <w:szCs w:val="22"/>
              </w:rPr>
            </w:pPr>
            <w:r w:rsidRPr="004A7ABB">
              <w:rPr>
                <w:sz w:val="22"/>
                <w:szCs w:val="22"/>
              </w:rPr>
              <w:t>0.00</w:t>
            </w:r>
          </w:p>
        </w:tc>
        <w:tc>
          <w:tcPr>
            <w:tcW w:w="1304" w:type="dxa"/>
            <w:tcBorders>
              <w:left w:val="single" w:sz="15" w:space="0" w:color="000000"/>
            </w:tcBorders>
          </w:tcPr>
          <w:p w14:paraId="5049815F" w14:textId="77777777" w:rsidR="00CD0A25" w:rsidRPr="004A7ABB" w:rsidRDefault="00CD0A25" w:rsidP="008F67E9">
            <w:pPr>
              <w:widowControl/>
              <w:spacing w:after="58"/>
              <w:jc w:val="center"/>
              <w:rPr>
                <w:sz w:val="22"/>
                <w:szCs w:val="22"/>
              </w:rPr>
            </w:pPr>
            <w:r w:rsidRPr="004A7ABB">
              <w:rPr>
                <w:sz w:val="22"/>
                <w:szCs w:val="22"/>
              </w:rPr>
              <w:t>0.08</w:t>
            </w:r>
          </w:p>
        </w:tc>
        <w:tc>
          <w:tcPr>
            <w:tcW w:w="1305" w:type="dxa"/>
          </w:tcPr>
          <w:p w14:paraId="2EF4ED5C" w14:textId="77777777" w:rsidR="00CD0A25" w:rsidRPr="004A7ABB" w:rsidRDefault="00CD0A25" w:rsidP="008F67E9">
            <w:pPr>
              <w:widowControl/>
              <w:spacing w:after="58"/>
              <w:jc w:val="right"/>
              <w:rPr>
                <w:sz w:val="22"/>
                <w:szCs w:val="22"/>
              </w:rPr>
            </w:pPr>
            <w:r>
              <w:rPr>
                <w:sz w:val="22"/>
                <w:szCs w:val="22"/>
              </w:rPr>
              <w:t>5.32</w:t>
            </w:r>
          </w:p>
        </w:tc>
      </w:tr>
      <w:tr w:rsidR="00CD0A25" w:rsidRPr="004A7ABB" w14:paraId="633AC421" w14:textId="77777777" w:rsidTr="008F67E9">
        <w:trPr>
          <w:trHeight w:hRule="exact" w:val="746"/>
          <w:jc w:val="center"/>
        </w:trPr>
        <w:tc>
          <w:tcPr>
            <w:tcW w:w="2970" w:type="dxa"/>
            <w:tcBorders>
              <w:right w:val="single" w:sz="15" w:space="0" w:color="000000"/>
            </w:tcBorders>
          </w:tcPr>
          <w:p w14:paraId="67F5F948" w14:textId="77777777" w:rsidR="00CD0A25" w:rsidRPr="004A7ABB" w:rsidRDefault="00CD0A25" w:rsidP="008F67E9">
            <w:pPr>
              <w:widowControl/>
              <w:spacing w:after="58"/>
              <w:rPr>
                <w:sz w:val="22"/>
                <w:szCs w:val="22"/>
              </w:rPr>
            </w:pPr>
            <w:r w:rsidRPr="004A7ABB">
              <w:rPr>
                <w:sz w:val="22"/>
                <w:szCs w:val="22"/>
              </w:rPr>
              <w:t>Process, compile and reveal information</w:t>
            </w:r>
          </w:p>
        </w:tc>
        <w:tc>
          <w:tcPr>
            <w:tcW w:w="1320" w:type="dxa"/>
          </w:tcPr>
          <w:p w14:paraId="62693C23" w14:textId="77777777" w:rsidR="00CD0A25" w:rsidRPr="004A7ABB" w:rsidRDefault="00CD0A25" w:rsidP="008F67E9">
            <w:pPr>
              <w:widowControl/>
              <w:spacing w:after="58"/>
              <w:jc w:val="center"/>
              <w:rPr>
                <w:sz w:val="22"/>
                <w:szCs w:val="22"/>
              </w:rPr>
            </w:pPr>
            <w:r w:rsidRPr="004A7ABB">
              <w:rPr>
                <w:sz w:val="22"/>
                <w:szCs w:val="22"/>
              </w:rPr>
              <w:t>0.00</w:t>
            </w:r>
          </w:p>
        </w:tc>
        <w:tc>
          <w:tcPr>
            <w:tcW w:w="1230" w:type="dxa"/>
          </w:tcPr>
          <w:p w14:paraId="7A34E3A7" w14:textId="77777777" w:rsidR="00CD0A25" w:rsidRPr="004A7ABB" w:rsidRDefault="00CD0A25" w:rsidP="008F67E9">
            <w:pPr>
              <w:widowControl/>
              <w:spacing w:after="58"/>
              <w:jc w:val="center"/>
              <w:rPr>
                <w:sz w:val="22"/>
                <w:szCs w:val="22"/>
              </w:rPr>
            </w:pPr>
            <w:r w:rsidRPr="004A7ABB">
              <w:rPr>
                <w:sz w:val="22"/>
                <w:szCs w:val="22"/>
              </w:rPr>
              <w:t>0.16</w:t>
            </w:r>
          </w:p>
        </w:tc>
        <w:tc>
          <w:tcPr>
            <w:tcW w:w="1230" w:type="dxa"/>
          </w:tcPr>
          <w:p w14:paraId="5A0E6ECF" w14:textId="77777777" w:rsidR="00CD0A25" w:rsidRPr="004A7ABB" w:rsidRDefault="00CD0A25" w:rsidP="008F67E9">
            <w:pPr>
              <w:widowControl/>
              <w:spacing w:after="58"/>
              <w:jc w:val="center"/>
              <w:rPr>
                <w:sz w:val="22"/>
                <w:szCs w:val="22"/>
              </w:rPr>
            </w:pPr>
            <w:r w:rsidRPr="004A7ABB">
              <w:rPr>
                <w:sz w:val="22"/>
                <w:szCs w:val="22"/>
              </w:rPr>
              <w:t>0.00</w:t>
            </w:r>
          </w:p>
        </w:tc>
        <w:tc>
          <w:tcPr>
            <w:tcW w:w="1304" w:type="dxa"/>
            <w:tcBorders>
              <w:left w:val="single" w:sz="15" w:space="0" w:color="000000"/>
            </w:tcBorders>
          </w:tcPr>
          <w:p w14:paraId="76BDDFD3" w14:textId="77777777" w:rsidR="00CD0A25" w:rsidRPr="004A7ABB" w:rsidRDefault="00CD0A25" w:rsidP="008F67E9">
            <w:pPr>
              <w:widowControl/>
              <w:spacing w:after="58"/>
              <w:jc w:val="center"/>
              <w:rPr>
                <w:sz w:val="22"/>
                <w:szCs w:val="22"/>
              </w:rPr>
            </w:pPr>
            <w:r w:rsidRPr="004A7ABB">
              <w:rPr>
                <w:sz w:val="22"/>
                <w:szCs w:val="22"/>
              </w:rPr>
              <w:t>0.16</w:t>
            </w:r>
          </w:p>
        </w:tc>
        <w:tc>
          <w:tcPr>
            <w:tcW w:w="1305" w:type="dxa"/>
          </w:tcPr>
          <w:p w14:paraId="6D409FAE" w14:textId="77777777" w:rsidR="00CD0A25" w:rsidRPr="004A7ABB" w:rsidRDefault="00CD0A25" w:rsidP="008F67E9">
            <w:pPr>
              <w:widowControl/>
              <w:spacing w:after="58"/>
              <w:jc w:val="right"/>
              <w:rPr>
                <w:sz w:val="22"/>
                <w:szCs w:val="22"/>
              </w:rPr>
            </w:pPr>
            <w:r>
              <w:rPr>
                <w:sz w:val="22"/>
                <w:szCs w:val="22"/>
              </w:rPr>
              <w:t>10.64</w:t>
            </w:r>
          </w:p>
        </w:tc>
      </w:tr>
      <w:tr w:rsidR="00CD0A25" w:rsidRPr="004A7ABB" w14:paraId="451548E4" w14:textId="77777777" w:rsidTr="008F67E9">
        <w:trPr>
          <w:jc w:val="center"/>
        </w:trPr>
        <w:tc>
          <w:tcPr>
            <w:tcW w:w="2970" w:type="dxa"/>
            <w:tcBorders>
              <w:right w:val="single" w:sz="15" w:space="0" w:color="000000"/>
            </w:tcBorders>
          </w:tcPr>
          <w:p w14:paraId="608311CF" w14:textId="77777777" w:rsidR="00CD0A25" w:rsidRPr="004A7ABB" w:rsidRDefault="00CD0A25" w:rsidP="008F67E9">
            <w:pPr>
              <w:widowControl/>
              <w:spacing w:after="58"/>
              <w:rPr>
                <w:sz w:val="22"/>
                <w:szCs w:val="22"/>
              </w:rPr>
            </w:pPr>
            <w:r w:rsidRPr="004A7ABB">
              <w:rPr>
                <w:sz w:val="22"/>
                <w:szCs w:val="22"/>
              </w:rPr>
              <w:t>Complete paperwork</w:t>
            </w:r>
          </w:p>
        </w:tc>
        <w:tc>
          <w:tcPr>
            <w:tcW w:w="1320" w:type="dxa"/>
          </w:tcPr>
          <w:p w14:paraId="1F4F1AA7" w14:textId="77777777" w:rsidR="00CD0A25" w:rsidRPr="004A7ABB" w:rsidRDefault="00CD0A25" w:rsidP="008F67E9">
            <w:pPr>
              <w:widowControl/>
              <w:spacing w:after="58"/>
              <w:jc w:val="center"/>
              <w:rPr>
                <w:sz w:val="22"/>
                <w:szCs w:val="22"/>
              </w:rPr>
            </w:pPr>
            <w:r w:rsidRPr="004A7ABB">
              <w:rPr>
                <w:sz w:val="22"/>
                <w:szCs w:val="22"/>
              </w:rPr>
              <w:t>0.00</w:t>
            </w:r>
          </w:p>
        </w:tc>
        <w:tc>
          <w:tcPr>
            <w:tcW w:w="1230" w:type="dxa"/>
          </w:tcPr>
          <w:p w14:paraId="38BE3416" w14:textId="77777777" w:rsidR="00CD0A25" w:rsidRPr="004A7ABB" w:rsidRDefault="00CD0A25" w:rsidP="008F67E9">
            <w:pPr>
              <w:widowControl/>
              <w:spacing w:after="58"/>
              <w:jc w:val="center"/>
              <w:rPr>
                <w:sz w:val="22"/>
                <w:szCs w:val="22"/>
              </w:rPr>
            </w:pPr>
            <w:r w:rsidRPr="004A7ABB">
              <w:rPr>
                <w:sz w:val="22"/>
                <w:szCs w:val="22"/>
              </w:rPr>
              <w:t>0.25</w:t>
            </w:r>
          </w:p>
        </w:tc>
        <w:tc>
          <w:tcPr>
            <w:tcW w:w="1230" w:type="dxa"/>
          </w:tcPr>
          <w:p w14:paraId="73E10B67" w14:textId="77777777" w:rsidR="00CD0A25" w:rsidRPr="004A7ABB" w:rsidRDefault="00CD0A25" w:rsidP="008F67E9">
            <w:pPr>
              <w:widowControl/>
              <w:spacing w:after="58"/>
              <w:jc w:val="center"/>
              <w:rPr>
                <w:sz w:val="22"/>
                <w:szCs w:val="22"/>
              </w:rPr>
            </w:pPr>
            <w:r w:rsidRPr="004A7ABB">
              <w:rPr>
                <w:sz w:val="22"/>
                <w:szCs w:val="22"/>
              </w:rPr>
              <w:t>0.25</w:t>
            </w:r>
          </w:p>
        </w:tc>
        <w:tc>
          <w:tcPr>
            <w:tcW w:w="1304" w:type="dxa"/>
            <w:tcBorders>
              <w:left w:val="single" w:sz="15" w:space="0" w:color="000000"/>
            </w:tcBorders>
          </w:tcPr>
          <w:p w14:paraId="1B7F5F56" w14:textId="77777777" w:rsidR="00CD0A25" w:rsidRPr="004A7ABB" w:rsidRDefault="00CD0A25" w:rsidP="008F67E9">
            <w:pPr>
              <w:widowControl/>
              <w:spacing w:after="58"/>
              <w:jc w:val="center"/>
              <w:rPr>
                <w:sz w:val="22"/>
                <w:szCs w:val="22"/>
              </w:rPr>
            </w:pPr>
            <w:r w:rsidRPr="004A7ABB">
              <w:rPr>
                <w:sz w:val="22"/>
                <w:szCs w:val="22"/>
              </w:rPr>
              <w:t>0.50</w:t>
            </w:r>
          </w:p>
        </w:tc>
        <w:tc>
          <w:tcPr>
            <w:tcW w:w="1305" w:type="dxa"/>
          </w:tcPr>
          <w:p w14:paraId="007935E5" w14:textId="77777777" w:rsidR="00CD0A25" w:rsidRPr="004A7ABB" w:rsidRDefault="00CD0A25" w:rsidP="008F67E9">
            <w:pPr>
              <w:widowControl/>
              <w:spacing w:after="58"/>
              <w:jc w:val="right"/>
              <w:rPr>
                <w:sz w:val="22"/>
                <w:szCs w:val="22"/>
              </w:rPr>
            </w:pPr>
            <w:r>
              <w:rPr>
                <w:sz w:val="22"/>
                <w:szCs w:val="22"/>
              </w:rPr>
              <w:t>27.56</w:t>
            </w:r>
          </w:p>
        </w:tc>
      </w:tr>
      <w:tr w:rsidR="00CD0A25" w:rsidRPr="004A7ABB" w14:paraId="2E6EB1D0" w14:textId="77777777" w:rsidTr="008F67E9">
        <w:trPr>
          <w:jc w:val="center"/>
        </w:trPr>
        <w:tc>
          <w:tcPr>
            <w:tcW w:w="2970" w:type="dxa"/>
            <w:tcBorders>
              <w:right w:val="single" w:sz="15" w:space="0" w:color="000000"/>
            </w:tcBorders>
          </w:tcPr>
          <w:p w14:paraId="5C9A1D3B" w14:textId="77777777" w:rsidR="00CD0A25" w:rsidRPr="004A7ABB" w:rsidRDefault="00CD0A25" w:rsidP="008F67E9">
            <w:pPr>
              <w:widowControl/>
              <w:spacing w:after="58"/>
              <w:rPr>
                <w:sz w:val="22"/>
                <w:szCs w:val="22"/>
              </w:rPr>
            </w:pPr>
            <w:r w:rsidRPr="004A7ABB">
              <w:rPr>
                <w:sz w:val="22"/>
                <w:szCs w:val="22"/>
              </w:rPr>
              <w:t>Record, disclose &amp; display information</w:t>
            </w:r>
          </w:p>
        </w:tc>
        <w:tc>
          <w:tcPr>
            <w:tcW w:w="1320" w:type="dxa"/>
          </w:tcPr>
          <w:p w14:paraId="1F6053E7" w14:textId="77777777" w:rsidR="00CD0A25" w:rsidRPr="004A7ABB" w:rsidRDefault="00CD0A25" w:rsidP="008F67E9">
            <w:pPr>
              <w:widowControl/>
              <w:spacing w:after="58"/>
              <w:jc w:val="center"/>
              <w:rPr>
                <w:sz w:val="22"/>
                <w:szCs w:val="22"/>
              </w:rPr>
            </w:pPr>
            <w:r w:rsidRPr="004A7ABB">
              <w:rPr>
                <w:sz w:val="22"/>
                <w:szCs w:val="22"/>
              </w:rPr>
              <w:t>0.00</w:t>
            </w:r>
          </w:p>
        </w:tc>
        <w:tc>
          <w:tcPr>
            <w:tcW w:w="1230" w:type="dxa"/>
          </w:tcPr>
          <w:p w14:paraId="4D7F74DF" w14:textId="77777777" w:rsidR="00CD0A25" w:rsidRPr="004A7ABB" w:rsidRDefault="00CD0A25" w:rsidP="008F67E9">
            <w:pPr>
              <w:widowControl/>
              <w:spacing w:after="58"/>
              <w:jc w:val="center"/>
              <w:rPr>
                <w:sz w:val="22"/>
                <w:szCs w:val="22"/>
              </w:rPr>
            </w:pPr>
            <w:r w:rsidRPr="004A7ABB">
              <w:rPr>
                <w:sz w:val="22"/>
                <w:szCs w:val="22"/>
              </w:rPr>
              <w:t>0.00</w:t>
            </w:r>
          </w:p>
        </w:tc>
        <w:tc>
          <w:tcPr>
            <w:tcW w:w="1230" w:type="dxa"/>
          </w:tcPr>
          <w:p w14:paraId="2DB37271" w14:textId="77777777" w:rsidR="00CD0A25" w:rsidRPr="004A7ABB" w:rsidRDefault="00CD0A25" w:rsidP="008F67E9">
            <w:pPr>
              <w:widowControl/>
              <w:spacing w:after="58"/>
              <w:jc w:val="center"/>
              <w:rPr>
                <w:sz w:val="22"/>
                <w:szCs w:val="22"/>
              </w:rPr>
            </w:pPr>
            <w:r w:rsidRPr="004A7ABB">
              <w:rPr>
                <w:sz w:val="22"/>
                <w:szCs w:val="22"/>
              </w:rPr>
              <w:t>0.08</w:t>
            </w:r>
          </w:p>
        </w:tc>
        <w:tc>
          <w:tcPr>
            <w:tcW w:w="1304" w:type="dxa"/>
            <w:tcBorders>
              <w:left w:val="single" w:sz="15" w:space="0" w:color="000000"/>
            </w:tcBorders>
          </w:tcPr>
          <w:p w14:paraId="583A3450" w14:textId="77777777" w:rsidR="00CD0A25" w:rsidRPr="004A7ABB" w:rsidRDefault="00CD0A25" w:rsidP="008F67E9">
            <w:pPr>
              <w:widowControl/>
              <w:spacing w:after="58"/>
              <w:jc w:val="center"/>
              <w:rPr>
                <w:sz w:val="22"/>
                <w:szCs w:val="22"/>
              </w:rPr>
            </w:pPr>
            <w:r w:rsidRPr="004A7ABB">
              <w:rPr>
                <w:sz w:val="22"/>
                <w:szCs w:val="22"/>
              </w:rPr>
              <w:t>0.08</w:t>
            </w:r>
          </w:p>
        </w:tc>
        <w:tc>
          <w:tcPr>
            <w:tcW w:w="1305" w:type="dxa"/>
          </w:tcPr>
          <w:p w14:paraId="4BF5C40B" w14:textId="77777777" w:rsidR="00CD0A25" w:rsidRPr="004A7ABB" w:rsidRDefault="00CD0A25" w:rsidP="008F67E9">
            <w:pPr>
              <w:widowControl/>
              <w:spacing w:after="58"/>
              <w:jc w:val="right"/>
              <w:rPr>
                <w:sz w:val="22"/>
                <w:szCs w:val="22"/>
              </w:rPr>
            </w:pPr>
            <w:r>
              <w:rPr>
                <w:sz w:val="22"/>
                <w:szCs w:val="22"/>
              </w:rPr>
              <w:t>3.50</w:t>
            </w:r>
          </w:p>
        </w:tc>
      </w:tr>
      <w:tr w:rsidR="00CD0A25" w:rsidRPr="004A7ABB" w14:paraId="18DCBB0A" w14:textId="77777777" w:rsidTr="008F67E9">
        <w:trPr>
          <w:jc w:val="center"/>
        </w:trPr>
        <w:tc>
          <w:tcPr>
            <w:tcW w:w="2970" w:type="dxa"/>
            <w:tcBorders>
              <w:right w:val="single" w:sz="15" w:space="0" w:color="000000"/>
            </w:tcBorders>
          </w:tcPr>
          <w:p w14:paraId="67A84DE7" w14:textId="77777777" w:rsidR="00CD0A25" w:rsidRPr="004A7ABB" w:rsidRDefault="00CD0A25" w:rsidP="008F67E9">
            <w:pPr>
              <w:widowControl/>
              <w:spacing w:after="58"/>
              <w:rPr>
                <w:sz w:val="22"/>
                <w:szCs w:val="22"/>
              </w:rPr>
            </w:pPr>
            <w:r w:rsidRPr="004A7ABB">
              <w:rPr>
                <w:sz w:val="22"/>
                <w:szCs w:val="22"/>
              </w:rPr>
              <w:t>Store, maintain and file information</w:t>
            </w:r>
          </w:p>
        </w:tc>
        <w:tc>
          <w:tcPr>
            <w:tcW w:w="1320" w:type="dxa"/>
          </w:tcPr>
          <w:p w14:paraId="3EC192DA" w14:textId="77777777" w:rsidR="00CD0A25" w:rsidRPr="004A7ABB" w:rsidRDefault="00CD0A25" w:rsidP="008F67E9">
            <w:pPr>
              <w:widowControl/>
              <w:spacing w:after="58"/>
              <w:jc w:val="center"/>
              <w:rPr>
                <w:sz w:val="22"/>
                <w:szCs w:val="22"/>
              </w:rPr>
            </w:pPr>
            <w:r w:rsidRPr="004A7ABB">
              <w:rPr>
                <w:sz w:val="22"/>
                <w:szCs w:val="22"/>
              </w:rPr>
              <w:t>0.00</w:t>
            </w:r>
          </w:p>
        </w:tc>
        <w:tc>
          <w:tcPr>
            <w:tcW w:w="1230" w:type="dxa"/>
          </w:tcPr>
          <w:p w14:paraId="232B794F" w14:textId="77777777" w:rsidR="00CD0A25" w:rsidRPr="004A7ABB" w:rsidRDefault="00CD0A25" w:rsidP="008F67E9">
            <w:pPr>
              <w:widowControl/>
              <w:spacing w:after="58"/>
              <w:jc w:val="center"/>
              <w:rPr>
                <w:sz w:val="22"/>
                <w:szCs w:val="22"/>
              </w:rPr>
            </w:pPr>
            <w:r w:rsidRPr="004A7ABB">
              <w:rPr>
                <w:sz w:val="22"/>
                <w:szCs w:val="22"/>
              </w:rPr>
              <w:t>0.00</w:t>
            </w:r>
          </w:p>
        </w:tc>
        <w:tc>
          <w:tcPr>
            <w:tcW w:w="1230" w:type="dxa"/>
          </w:tcPr>
          <w:p w14:paraId="55D98372" w14:textId="77777777" w:rsidR="00CD0A25" w:rsidRPr="004A7ABB" w:rsidRDefault="00CD0A25" w:rsidP="008F67E9">
            <w:pPr>
              <w:widowControl/>
              <w:spacing w:after="58"/>
              <w:jc w:val="center"/>
              <w:rPr>
                <w:sz w:val="22"/>
                <w:szCs w:val="22"/>
              </w:rPr>
            </w:pPr>
            <w:r w:rsidRPr="004A7ABB">
              <w:rPr>
                <w:sz w:val="22"/>
                <w:szCs w:val="22"/>
              </w:rPr>
              <w:t>0.08</w:t>
            </w:r>
          </w:p>
        </w:tc>
        <w:tc>
          <w:tcPr>
            <w:tcW w:w="1304" w:type="dxa"/>
            <w:tcBorders>
              <w:left w:val="single" w:sz="15" w:space="0" w:color="000000"/>
            </w:tcBorders>
          </w:tcPr>
          <w:p w14:paraId="14948BA7" w14:textId="77777777" w:rsidR="00CD0A25" w:rsidRPr="004A7ABB" w:rsidRDefault="00CD0A25" w:rsidP="008F67E9">
            <w:pPr>
              <w:widowControl/>
              <w:spacing w:after="58"/>
              <w:jc w:val="center"/>
              <w:rPr>
                <w:sz w:val="22"/>
                <w:szCs w:val="22"/>
              </w:rPr>
            </w:pPr>
            <w:r w:rsidRPr="004A7ABB">
              <w:rPr>
                <w:sz w:val="22"/>
                <w:szCs w:val="22"/>
              </w:rPr>
              <w:t>0.08</w:t>
            </w:r>
          </w:p>
        </w:tc>
        <w:tc>
          <w:tcPr>
            <w:tcW w:w="1305" w:type="dxa"/>
          </w:tcPr>
          <w:p w14:paraId="21BE33FA" w14:textId="77777777" w:rsidR="00CD0A25" w:rsidRPr="004A7ABB" w:rsidRDefault="00CD0A25" w:rsidP="008F67E9">
            <w:pPr>
              <w:widowControl/>
              <w:spacing w:after="58"/>
              <w:jc w:val="right"/>
              <w:rPr>
                <w:sz w:val="22"/>
                <w:szCs w:val="22"/>
              </w:rPr>
            </w:pPr>
            <w:r>
              <w:rPr>
                <w:sz w:val="22"/>
                <w:szCs w:val="22"/>
              </w:rPr>
              <w:t>3.50</w:t>
            </w:r>
          </w:p>
        </w:tc>
      </w:tr>
      <w:tr w:rsidR="00CD0A25" w:rsidRPr="004A7ABB" w14:paraId="6EB6FCA4" w14:textId="77777777" w:rsidTr="008F67E9">
        <w:trPr>
          <w:jc w:val="center"/>
        </w:trPr>
        <w:tc>
          <w:tcPr>
            <w:tcW w:w="2970" w:type="dxa"/>
            <w:tcBorders>
              <w:top w:val="single" w:sz="15" w:space="0" w:color="000000"/>
              <w:bottom w:val="double" w:sz="4" w:space="0" w:color="000000"/>
              <w:right w:val="single" w:sz="15" w:space="0" w:color="000000"/>
            </w:tcBorders>
          </w:tcPr>
          <w:p w14:paraId="67003177" w14:textId="77777777" w:rsidR="00CD0A25" w:rsidRPr="004A7ABB" w:rsidRDefault="00CD0A25" w:rsidP="008F67E9">
            <w:pPr>
              <w:widowControl/>
              <w:spacing w:after="58"/>
              <w:rPr>
                <w:sz w:val="22"/>
                <w:szCs w:val="22"/>
              </w:rPr>
            </w:pPr>
            <w:r w:rsidRPr="004A7ABB">
              <w:rPr>
                <w:sz w:val="22"/>
                <w:szCs w:val="22"/>
              </w:rPr>
              <w:t>TOTAL</w:t>
            </w:r>
          </w:p>
        </w:tc>
        <w:tc>
          <w:tcPr>
            <w:tcW w:w="1320" w:type="dxa"/>
            <w:tcBorders>
              <w:top w:val="single" w:sz="15" w:space="0" w:color="000000"/>
              <w:bottom w:val="double" w:sz="4" w:space="0" w:color="000000"/>
            </w:tcBorders>
          </w:tcPr>
          <w:p w14:paraId="0D76A356" w14:textId="77777777" w:rsidR="00CD0A25" w:rsidRPr="004A7ABB" w:rsidRDefault="00CD0A25" w:rsidP="008F67E9">
            <w:pPr>
              <w:widowControl/>
              <w:spacing w:after="58"/>
              <w:jc w:val="center"/>
              <w:rPr>
                <w:sz w:val="22"/>
                <w:szCs w:val="22"/>
              </w:rPr>
            </w:pPr>
            <w:r w:rsidRPr="004A7ABB">
              <w:rPr>
                <w:sz w:val="22"/>
                <w:szCs w:val="22"/>
              </w:rPr>
              <w:t>0.08</w:t>
            </w:r>
          </w:p>
        </w:tc>
        <w:tc>
          <w:tcPr>
            <w:tcW w:w="1230" w:type="dxa"/>
            <w:tcBorders>
              <w:top w:val="single" w:sz="15" w:space="0" w:color="000000"/>
              <w:bottom w:val="double" w:sz="4" w:space="0" w:color="000000"/>
            </w:tcBorders>
          </w:tcPr>
          <w:p w14:paraId="1B64CC72" w14:textId="77777777" w:rsidR="00CD0A25" w:rsidRPr="004A7ABB" w:rsidRDefault="00CD0A25" w:rsidP="008F67E9">
            <w:pPr>
              <w:widowControl/>
              <w:spacing w:after="58"/>
              <w:jc w:val="center"/>
              <w:rPr>
                <w:sz w:val="22"/>
                <w:szCs w:val="22"/>
              </w:rPr>
            </w:pPr>
            <w:r w:rsidRPr="004A7ABB">
              <w:rPr>
                <w:sz w:val="22"/>
                <w:szCs w:val="22"/>
              </w:rPr>
              <w:t>0.57</w:t>
            </w:r>
          </w:p>
        </w:tc>
        <w:tc>
          <w:tcPr>
            <w:tcW w:w="1230" w:type="dxa"/>
            <w:tcBorders>
              <w:top w:val="single" w:sz="15" w:space="0" w:color="000000"/>
              <w:bottom w:val="double" w:sz="4" w:space="0" w:color="000000"/>
            </w:tcBorders>
          </w:tcPr>
          <w:p w14:paraId="0503FFB8" w14:textId="77777777" w:rsidR="00CD0A25" w:rsidRPr="004A7ABB" w:rsidRDefault="00CD0A25" w:rsidP="008F67E9">
            <w:pPr>
              <w:widowControl/>
              <w:spacing w:after="58"/>
              <w:jc w:val="center"/>
              <w:rPr>
                <w:sz w:val="22"/>
                <w:szCs w:val="22"/>
              </w:rPr>
            </w:pPr>
            <w:r w:rsidRPr="004A7ABB">
              <w:rPr>
                <w:sz w:val="22"/>
                <w:szCs w:val="22"/>
              </w:rPr>
              <w:t>0.41</w:t>
            </w:r>
          </w:p>
        </w:tc>
        <w:tc>
          <w:tcPr>
            <w:tcW w:w="1304" w:type="dxa"/>
            <w:tcBorders>
              <w:top w:val="single" w:sz="15" w:space="0" w:color="000000"/>
              <w:left w:val="single" w:sz="15" w:space="0" w:color="000000"/>
              <w:bottom w:val="double" w:sz="4" w:space="0" w:color="000000"/>
            </w:tcBorders>
          </w:tcPr>
          <w:p w14:paraId="0575E235" w14:textId="77777777" w:rsidR="00CD0A25" w:rsidRPr="004A7ABB" w:rsidRDefault="00CD0A25" w:rsidP="008F67E9">
            <w:pPr>
              <w:widowControl/>
              <w:spacing w:after="58"/>
              <w:jc w:val="center"/>
              <w:rPr>
                <w:sz w:val="22"/>
                <w:szCs w:val="22"/>
              </w:rPr>
            </w:pPr>
            <w:r w:rsidRPr="004A7ABB">
              <w:rPr>
                <w:sz w:val="22"/>
                <w:szCs w:val="22"/>
              </w:rPr>
              <w:t>1.06</w:t>
            </w:r>
          </w:p>
        </w:tc>
        <w:tc>
          <w:tcPr>
            <w:tcW w:w="1305" w:type="dxa"/>
            <w:tcBorders>
              <w:top w:val="single" w:sz="15" w:space="0" w:color="000000"/>
              <w:bottom w:val="double" w:sz="4" w:space="0" w:color="000000"/>
            </w:tcBorders>
          </w:tcPr>
          <w:p w14:paraId="1673ACC0" w14:textId="77777777" w:rsidR="00CD0A25" w:rsidRPr="004A7ABB" w:rsidRDefault="00CD0A25" w:rsidP="008F67E9">
            <w:pPr>
              <w:widowControl/>
              <w:spacing w:after="58"/>
              <w:jc w:val="right"/>
              <w:rPr>
                <w:sz w:val="22"/>
                <w:szCs w:val="22"/>
              </w:rPr>
            </w:pPr>
            <w:r>
              <w:rPr>
                <w:sz w:val="22"/>
                <w:szCs w:val="22"/>
              </w:rPr>
              <w:t>66.06</w:t>
            </w:r>
          </w:p>
        </w:tc>
      </w:tr>
    </w:tbl>
    <w:p w14:paraId="7D0716EF" w14:textId="77777777" w:rsidR="00CD0A25" w:rsidRPr="004A7ABB" w:rsidRDefault="00CD0A25" w:rsidP="00CD0A25">
      <w:pPr>
        <w:widowControl/>
        <w:rPr>
          <w:sz w:val="22"/>
          <w:szCs w:val="22"/>
        </w:rPr>
      </w:pPr>
      <w:r w:rsidRPr="004A7ABB">
        <w:rPr>
          <w:sz w:val="22"/>
          <w:szCs w:val="22"/>
        </w:rPr>
        <w:t>ANNUAL BURDEN:</w:t>
      </w:r>
      <w:r w:rsidRPr="004A7ABB">
        <w:rPr>
          <w:sz w:val="22"/>
          <w:szCs w:val="22"/>
        </w:rPr>
        <w:tab/>
        <w:t>1.06 hrs (64 minutes) X</w:t>
      </w:r>
      <w:r>
        <w:rPr>
          <w:sz w:val="22"/>
          <w:szCs w:val="22"/>
        </w:rPr>
        <w:t xml:space="preserve"> 2,774</w:t>
      </w:r>
      <w:r w:rsidRPr="004A7ABB">
        <w:rPr>
          <w:sz w:val="22"/>
          <w:szCs w:val="22"/>
        </w:rPr>
        <w:t xml:space="preserve"> statements</w:t>
      </w:r>
      <w:r w:rsidRPr="004A7ABB">
        <w:t xml:space="preserve"> </w:t>
      </w:r>
      <w:r w:rsidRPr="004A7ABB">
        <w:rPr>
          <w:sz w:val="22"/>
          <w:szCs w:val="22"/>
        </w:rPr>
        <w:t xml:space="preserve">= </w:t>
      </w:r>
      <w:r>
        <w:rPr>
          <w:sz w:val="22"/>
          <w:szCs w:val="22"/>
        </w:rPr>
        <w:t>2,940</w:t>
      </w:r>
      <w:r w:rsidRPr="004A7ABB">
        <w:rPr>
          <w:sz w:val="22"/>
          <w:szCs w:val="22"/>
        </w:rPr>
        <w:t xml:space="preserve"> hours per year</w:t>
      </w:r>
    </w:p>
    <w:p w14:paraId="1407DCAB" w14:textId="77777777" w:rsidR="00CD0A25" w:rsidRDefault="00CD0A25" w:rsidP="00CD0A25">
      <w:pPr>
        <w:widowControl/>
        <w:rPr>
          <w:sz w:val="22"/>
          <w:szCs w:val="22"/>
        </w:rPr>
      </w:pPr>
      <w:r w:rsidRPr="004A7ABB">
        <w:rPr>
          <w:sz w:val="22"/>
          <w:szCs w:val="22"/>
        </w:rPr>
        <w:t xml:space="preserve">ANNUAL COSTS: </w:t>
      </w:r>
      <w:r w:rsidRPr="004A7ABB">
        <w:rPr>
          <w:sz w:val="22"/>
          <w:szCs w:val="22"/>
        </w:rPr>
        <w:tab/>
        <w:t>$</w:t>
      </w:r>
      <w:r>
        <w:rPr>
          <w:sz w:val="22"/>
          <w:szCs w:val="22"/>
        </w:rPr>
        <w:t>66.506</w:t>
      </w:r>
      <w:r w:rsidRPr="004A7ABB">
        <w:rPr>
          <w:sz w:val="22"/>
          <w:szCs w:val="22"/>
        </w:rPr>
        <w:t xml:space="preserve">X </w:t>
      </w:r>
      <w:r>
        <w:rPr>
          <w:sz w:val="22"/>
          <w:szCs w:val="22"/>
        </w:rPr>
        <w:t>2,774 responses</w:t>
      </w:r>
      <w:r w:rsidRPr="004A7ABB">
        <w:rPr>
          <w:sz w:val="22"/>
          <w:szCs w:val="22"/>
        </w:rPr>
        <w:t xml:space="preserve"> = $</w:t>
      </w:r>
      <w:r>
        <w:rPr>
          <w:sz w:val="22"/>
          <w:szCs w:val="22"/>
        </w:rPr>
        <w:t>183,239</w:t>
      </w:r>
      <w:r w:rsidRPr="004A7ABB">
        <w:rPr>
          <w:sz w:val="22"/>
          <w:szCs w:val="22"/>
        </w:rPr>
        <w:t xml:space="preserve"> per year</w:t>
      </w:r>
    </w:p>
    <w:p w14:paraId="0CA939C2" w14:textId="77777777" w:rsidR="00CD0A25" w:rsidRPr="008E5C96" w:rsidRDefault="00CD0A25" w:rsidP="00CD0A25">
      <w:pPr>
        <w:pStyle w:val="FootnoteText"/>
        <w:keepNext/>
        <w:keepLines/>
      </w:pPr>
      <w:r w:rsidRPr="008E5C96">
        <w:rPr>
          <w:vertAlign w:val="superscript"/>
        </w:rPr>
        <w:t>1</w:t>
      </w:r>
      <w:r w:rsidRPr="008E5C96">
        <w:t xml:space="preserve"> Hourly wages rates are fully loaded </w:t>
      </w:r>
      <w:r>
        <w:t>wage rates based on NAICS 3250A1</w:t>
      </w:r>
      <w:r w:rsidRPr="008E5C96">
        <w:t xml:space="preserve"> </w:t>
      </w:r>
      <w:r>
        <w:t>–</w:t>
      </w:r>
      <w:r w:rsidRPr="008E5C96">
        <w:t xml:space="preserve"> </w:t>
      </w:r>
      <w:r>
        <w:t>Chemical Manufacturing (3251, 3252, 3253, and 3259 only)</w:t>
      </w:r>
      <w:r w:rsidRPr="008E5C96">
        <w:t xml:space="preserve"> from U.S. Dept. of Labor, Bureau of Labor Statistics, May 201</w:t>
      </w:r>
      <w:r>
        <w:t>7</w:t>
      </w:r>
      <w:r w:rsidRPr="008E5C96">
        <w:t xml:space="preserve">. See Attachment </w:t>
      </w:r>
      <w:r>
        <w:t>D</w:t>
      </w:r>
      <w:r w:rsidRPr="008E5C96">
        <w:t xml:space="preserve"> for wage calculations. </w:t>
      </w:r>
    </w:p>
    <w:p w14:paraId="53196C57" w14:textId="77777777" w:rsidR="00CD0A25" w:rsidRDefault="00CD0A25" w:rsidP="00CD0A25">
      <w:pPr>
        <w:tabs>
          <w:tab w:val="left" w:pos="-1440"/>
        </w:tabs>
        <w:rPr>
          <w:sz w:val="20"/>
          <w:szCs w:val="20"/>
        </w:rPr>
      </w:pPr>
      <w:r w:rsidRPr="008E5C96">
        <w:rPr>
          <w:sz w:val="20"/>
          <w:szCs w:val="20"/>
          <w:vertAlign w:val="superscript"/>
        </w:rPr>
        <w:t>2</w:t>
      </w:r>
      <w:r w:rsidRPr="008E5C96">
        <w:rPr>
          <w:sz w:val="20"/>
          <w:szCs w:val="20"/>
        </w:rPr>
        <w:t xml:space="preserve"> Totals may not sum due to rounding.</w:t>
      </w:r>
    </w:p>
    <w:p w14:paraId="115E2D89" w14:textId="77777777" w:rsidR="00CD0A25" w:rsidRPr="00C87F8C" w:rsidRDefault="00CD0A25" w:rsidP="00CD0A25">
      <w:pPr>
        <w:widowControl/>
        <w:rPr>
          <w:sz w:val="22"/>
          <w:szCs w:val="22"/>
        </w:rPr>
      </w:pPr>
    </w:p>
    <w:p w14:paraId="650591C5" w14:textId="77777777" w:rsidR="00CD0A25" w:rsidRDefault="00CD0A25" w:rsidP="00CD0A25">
      <w:pPr>
        <w:tabs>
          <w:tab w:val="left" w:pos="-1440"/>
        </w:tabs>
        <w:ind w:left="1440" w:hanging="720"/>
        <w:rPr>
          <w:b/>
          <w:bCs/>
        </w:rPr>
      </w:pPr>
    </w:p>
    <w:p w14:paraId="21B62AD4" w14:textId="30CD8BE4" w:rsidR="00CD0A25" w:rsidRDefault="00CD0A25" w:rsidP="00CD0A25">
      <w:pPr>
        <w:tabs>
          <w:tab w:val="left" w:pos="-1440"/>
        </w:tabs>
        <w:ind w:left="1440" w:hanging="720"/>
        <w:rPr>
          <w:b/>
          <w:bCs/>
        </w:rPr>
      </w:pPr>
      <w:r>
        <w:rPr>
          <w:b/>
          <w:bCs/>
        </w:rPr>
        <w:t>(ii)</w:t>
      </w:r>
      <w:r>
        <w:rPr>
          <w:b/>
          <w:bCs/>
        </w:rPr>
        <w:tab/>
        <w:t>Estimating the Respondent Burden of the Third-Party Notification Export Labeling Requirement</w:t>
      </w:r>
    </w:p>
    <w:p w14:paraId="6495CEF2" w14:textId="77777777" w:rsidR="00CD0A25" w:rsidRDefault="00CD0A25" w:rsidP="00CD0A25">
      <w:pPr>
        <w:rPr>
          <w:b/>
          <w:bCs/>
        </w:rPr>
      </w:pPr>
    </w:p>
    <w:p w14:paraId="62310223" w14:textId="77777777" w:rsidR="00CD0A25" w:rsidRDefault="00CD0A25" w:rsidP="00CD0A25">
      <w:pPr>
        <w:ind w:firstLine="720"/>
      </w:pPr>
      <w:r>
        <w:t>As discussed above, certain information must be included on the labels or labeling of exported pesticides. The labeling requirements may be met by supplemental labeling attached to either the product container or the shipping container.</w:t>
      </w:r>
      <w:r w:rsidDel="00612D71">
        <w:t xml:space="preserve"> </w:t>
      </w:r>
    </w:p>
    <w:p w14:paraId="0D2BEBF5" w14:textId="77777777" w:rsidR="00CD0A25" w:rsidRDefault="00CD0A25" w:rsidP="00CD0A25">
      <w:pPr>
        <w:ind w:firstLine="720"/>
      </w:pPr>
    </w:p>
    <w:p w14:paraId="6907D76A" w14:textId="7A0679F8" w:rsidR="00CD0A25" w:rsidRDefault="00CD0A25" w:rsidP="00CD0A25">
      <w:pPr>
        <w:ind w:firstLine="720"/>
      </w:pPr>
      <w:r w:rsidRPr="00755444">
        <w:t>Table</w:t>
      </w:r>
      <w:r>
        <w:t>s</w:t>
      </w:r>
      <w:r w:rsidRPr="00755444">
        <w:t xml:space="preserve"> 2 </w:t>
      </w:r>
      <w:r>
        <w:t>and 3 present</w:t>
      </w:r>
      <w:r w:rsidRPr="00755444">
        <w:t xml:space="preserve"> the estimated respondent burden for product labeling of unregistered </w:t>
      </w:r>
      <w:r>
        <w:t xml:space="preserve">and registered </w:t>
      </w:r>
      <w:r w:rsidRPr="00755444">
        <w:t>exported pesticide pr</w:t>
      </w:r>
      <w:r>
        <w:t xml:space="preserve">oducts. The Agency has estimated that on average over 2015-2017, 560 unregistered pesticide products and 1,680 registered pesticide products are exported annually. The number of unregistered pesticides exported is based on counting the number of unique products per year identified in the foreign purchaser acknowledgement statements. This figure is a decrease from 611 in the estimated number of unregistered pesticide products exported annually in the previous renewal. </w:t>
      </w:r>
    </w:p>
    <w:p w14:paraId="6CDFED4C" w14:textId="77777777" w:rsidR="00CD0A25" w:rsidRDefault="00CD0A25" w:rsidP="00CD0A25"/>
    <w:p w14:paraId="78AA8DAD" w14:textId="07FB571F" w:rsidR="00C16E62" w:rsidRDefault="00CD0A25" w:rsidP="00CD0A25">
      <w:r>
        <w:tab/>
        <w:t>Product labeling for unregistered exported products accounts for a total of eight burden hours, at a cost of $551.17, for each unregistered product. This equates to a total annual burden of 4,480 hours and a total annual cost of $308,653 a</w:t>
      </w:r>
      <w:r w:rsidR="00E97364">
        <w:t>cross all unregistered products.</w:t>
      </w:r>
    </w:p>
    <w:p w14:paraId="5049F383" w14:textId="77777777" w:rsidR="00120D2A" w:rsidRPr="00E97364" w:rsidRDefault="00120D2A" w:rsidP="00CD0A25"/>
    <w:p w14:paraId="477FA39F" w14:textId="30DF1161" w:rsidR="00CD0A25" w:rsidRPr="0000573B" w:rsidRDefault="00CD0A25" w:rsidP="00CD0A25">
      <w:pPr>
        <w:rPr>
          <w:b/>
          <w:bCs/>
        </w:rPr>
      </w:pPr>
      <w:r w:rsidRPr="0000573B">
        <w:rPr>
          <w:b/>
          <w:bCs/>
        </w:rPr>
        <w:t>Table 2.</w:t>
      </w:r>
      <w:r w:rsidRPr="0000573B">
        <w:rPr>
          <w:b/>
          <w:bCs/>
        </w:rPr>
        <w:tab/>
        <w:t>Respondent Burden/Cost: Unregistered Exported Pesticide Product Labeling</w:t>
      </w:r>
    </w:p>
    <w:tbl>
      <w:tblPr>
        <w:tblW w:w="0" w:type="auto"/>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970"/>
        <w:gridCol w:w="1320"/>
        <w:gridCol w:w="1230"/>
        <w:gridCol w:w="1230"/>
        <w:gridCol w:w="1304"/>
        <w:gridCol w:w="1305"/>
      </w:tblGrid>
      <w:tr w:rsidR="00CD0A25" w:rsidRPr="0000573B" w14:paraId="7A987C14" w14:textId="77777777" w:rsidTr="008F67E9">
        <w:trPr>
          <w:jc w:val="center"/>
        </w:trPr>
        <w:tc>
          <w:tcPr>
            <w:tcW w:w="2970" w:type="dxa"/>
            <w:tcBorders>
              <w:top w:val="double" w:sz="4" w:space="0" w:color="000000"/>
              <w:right w:val="single" w:sz="15" w:space="0" w:color="000000"/>
            </w:tcBorders>
          </w:tcPr>
          <w:p w14:paraId="06B4D65E" w14:textId="77777777" w:rsidR="00CD0A25" w:rsidRPr="0000573B" w:rsidRDefault="00CD0A25" w:rsidP="008F67E9">
            <w:pPr>
              <w:spacing w:after="58"/>
              <w:jc w:val="center"/>
              <w:rPr>
                <w:sz w:val="22"/>
                <w:szCs w:val="22"/>
              </w:rPr>
            </w:pPr>
            <w:r w:rsidRPr="0000573B">
              <w:rPr>
                <w:sz w:val="22"/>
                <w:szCs w:val="22"/>
              </w:rPr>
              <w:t>Collection Activity</w:t>
            </w:r>
          </w:p>
        </w:tc>
        <w:tc>
          <w:tcPr>
            <w:tcW w:w="3780" w:type="dxa"/>
            <w:gridSpan w:val="3"/>
            <w:tcBorders>
              <w:top w:val="double" w:sz="4" w:space="0" w:color="000000"/>
            </w:tcBorders>
          </w:tcPr>
          <w:p w14:paraId="62909230" w14:textId="77777777" w:rsidR="00CD0A25" w:rsidRPr="0000573B" w:rsidRDefault="00CD0A25" w:rsidP="008F67E9">
            <w:pPr>
              <w:spacing w:after="58"/>
              <w:jc w:val="center"/>
              <w:rPr>
                <w:sz w:val="22"/>
                <w:szCs w:val="22"/>
              </w:rPr>
            </w:pPr>
            <w:r w:rsidRPr="0000573B">
              <w:rPr>
                <w:sz w:val="22"/>
                <w:szCs w:val="22"/>
              </w:rPr>
              <w:t>Burden Hours (per year)</w:t>
            </w:r>
          </w:p>
        </w:tc>
        <w:tc>
          <w:tcPr>
            <w:tcW w:w="2609" w:type="dxa"/>
            <w:gridSpan w:val="2"/>
            <w:tcBorders>
              <w:top w:val="double" w:sz="4" w:space="0" w:color="000000"/>
              <w:left w:val="single" w:sz="15" w:space="0" w:color="000000"/>
            </w:tcBorders>
          </w:tcPr>
          <w:p w14:paraId="5F45248F" w14:textId="77777777" w:rsidR="00CD0A25" w:rsidRPr="0000573B" w:rsidRDefault="00CD0A25" w:rsidP="008F67E9">
            <w:pPr>
              <w:spacing w:after="58"/>
              <w:jc w:val="center"/>
              <w:rPr>
                <w:sz w:val="22"/>
                <w:szCs w:val="22"/>
              </w:rPr>
            </w:pPr>
            <w:r w:rsidRPr="0000573B">
              <w:rPr>
                <w:sz w:val="22"/>
                <w:szCs w:val="22"/>
              </w:rPr>
              <w:t>Total</w:t>
            </w:r>
          </w:p>
        </w:tc>
      </w:tr>
      <w:tr w:rsidR="00CD0A25" w:rsidRPr="00841D14" w14:paraId="0A67B11E" w14:textId="77777777" w:rsidTr="008F67E9">
        <w:trPr>
          <w:jc w:val="center"/>
        </w:trPr>
        <w:tc>
          <w:tcPr>
            <w:tcW w:w="2970" w:type="dxa"/>
            <w:tcBorders>
              <w:bottom w:val="single" w:sz="15" w:space="0" w:color="000000"/>
              <w:right w:val="single" w:sz="15" w:space="0" w:color="000000"/>
            </w:tcBorders>
          </w:tcPr>
          <w:p w14:paraId="46DD0E51" w14:textId="77777777" w:rsidR="00CD0A25" w:rsidRPr="00841D14" w:rsidRDefault="00CD0A25" w:rsidP="008F67E9">
            <w:pPr>
              <w:spacing w:after="58"/>
              <w:jc w:val="center"/>
              <w:rPr>
                <w:sz w:val="22"/>
                <w:szCs w:val="22"/>
              </w:rPr>
            </w:pPr>
          </w:p>
        </w:tc>
        <w:tc>
          <w:tcPr>
            <w:tcW w:w="1320" w:type="dxa"/>
            <w:tcBorders>
              <w:bottom w:val="single" w:sz="15" w:space="0" w:color="000000"/>
            </w:tcBorders>
          </w:tcPr>
          <w:p w14:paraId="297B076E" w14:textId="77777777" w:rsidR="00CD0A25" w:rsidRPr="00841D14" w:rsidRDefault="00CD0A25" w:rsidP="008F67E9">
            <w:pPr>
              <w:widowControl/>
              <w:jc w:val="center"/>
              <w:rPr>
                <w:sz w:val="22"/>
                <w:szCs w:val="22"/>
              </w:rPr>
            </w:pPr>
            <w:r w:rsidRPr="00841D14">
              <w:rPr>
                <w:sz w:val="22"/>
                <w:szCs w:val="22"/>
              </w:rPr>
              <w:t>Mgmt</w:t>
            </w:r>
          </w:p>
          <w:p w14:paraId="6FD8BDCE" w14:textId="77777777" w:rsidR="00CD0A25" w:rsidRPr="00841D14" w:rsidRDefault="00CD0A25" w:rsidP="008F67E9">
            <w:pPr>
              <w:widowControl/>
              <w:spacing w:after="58"/>
              <w:jc w:val="center"/>
              <w:rPr>
                <w:sz w:val="22"/>
                <w:szCs w:val="22"/>
              </w:rPr>
            </w:pPr>
            <w:r w:rsidRPr="00841D14">
              <w:rPr>
                <w:sz w:val="22"/>
                <w:szCs w:val="22"/>
              </w:rPr>
              <w:t>$</w:t>
            </w:r>
            <w:r>
              <w:rPr>
                <w:sz w:val="22"/>
                <w:szCs w:val="22"/>
              </w:rPr>
              <w:t>127.82</w:t>
            </w:r>
            <w:r w:rsidRPr="00841D14">
              <w:rPr>
                <w:sz w:val="22"/>
                <w:szCs w:val="22"/>
              </w:rPr>
              <w:t>/hr</w:t>
            </w:r>
          </w:p>
        </w:tc>
        <w:tc>
          <w:tcPr>
            <w:tcW w:w="1230" w:type="dxa"/>
            <w:tcBorders>
              <w:bottom w:val="single" w:sz="15" w:space="0" w:color="000000"/>
            </w:tcBorders>
          </w:tcPr>
          <w:p w14:paraId="68F6868A" w14:textId="77777777" w:rsidR="00CD0A25" w:rsidRPr="00841D14" w:rsidRDefault="00CD0A25" w:rsidP="008F67E9">
            <w:pPr>
              <w:widowControl/>
              <w:jc w:val="center"/>
              <w:rPr>
                <w:sz w:val="22"/>
                <w:szCs w:val="22"/>
              </w:rPr>
            </w:pPr>
            <w:r w:rsidRPr="00841D14">
              <w:rPr>
                <w:sz w:val="22"/>
                <w:szCs w:val="22"/>
              </w:rPr>
              <w:t>Technical</w:t>
            </w:r>
          </w:p>
          <w:p w14:paraId="54943BF7" w14:textId="77777777" w:rsidR="00CD0A25" w:rsidRPr="00841D14" w:rsidRDefault="00CD0A25" w:rsidP="008F67E9">
            <w:pPr>
              <w:widowControl/>
              <w:spacing w:after="58"/>
              <w:jc w:val="center"/>
              <w:rPr>
                <w:sz w:val="22"/>
                <w:szCs w:val="22"/>
              </w:rPr>
            </w:pPr>
            <w:r w:rsidRPr="00841D14">
              <w:rPr>
                <w:sz w:val="22"/>
                <w:szCs w:val="22"/>
              </w:rPr>
              <w:t>$</w:t>
            </w:r>
            <w:r>
              <w:rPr>
                <w:sz w:val="22"/>
                <w:szCs w:val="22"/>
              </w:rPr>
              <w:t>66.48</w:t>
            </w:r>
            <w:r w:rsidRPr="00841D14">
              <w:rPr>
                <w:sz w:val="22"/>
                <w:szCs w:val="22"/>
              </w:rPr>
              <w:t>/hr</w:t>
            </w:r>
          </w:p>
        </w:tc>
        <w:tc>
          <w:tcPr>
            <w:tcW w:w="1230" w:type="dxa"/>
            <w:tcBorders>
              <w:bottom w:val="single" w:sz="15" w:space="0" w:color="000000"/>
            </w:tcBorders>
          </w:tcPr>
          <w:p w14:paraId="55CD58C8" w14:textId="77777777" w:rsidR="00CD0A25" w:rsidRPr="00841D14" w:rsidRDefault="00CD0A25" w:rsidP="008F67E9">
            <w:pPr>
              <w:widowControl/>
              <w:jc w:val="center"/>
              <w:rPr>
                <w:sz w:val="22"/>
                <w:szCs w:val="22"/>
              </w:rPr>
            </w:pPr>
            <w:r w:rsidRPr="00841D14">
              <w:rPr>
                <w:sz w:val="22"/>
                <w:szCs w:val="22"/>
              </w:rPr>
              <w:t>Clerical</w:t>
            </w:r>
          </w:p>
          <w:p w14:paraId="41D3D9A2" w14:textId="77777777" w:rsidR="00CD0A25" w:rsidRPr="00841D14" w:rsidRDefault="00CD0A25" w:rsidP="008F67E9">
            <w:pPr>
              <w:widowControl/>
              <w:spacing w:after="58"/>
              <w:jc w:val="center"/>
              <w:rPr>
                <w:sz w:val="22"/>
                <w:szCs w:val="22"/>
              </w:rPr>
            </w:pPr>
            <w:r w:rsidRPr="00841D14">
              <w:rPr>
                <w:sz w:val="22"/>
                <w:szCs w:val="22"/>
              </w:rPr>
              <w:t>$</w:t>
            </w:r>
            <w:r>
              <w:rPr>
                <w:sz w:val="22"/>
                <w:szCs w:val="22"/>
              </w:rPr>
              <w:t>43.76</w:t>
            </w:r>
            <w:r w:rsidRPr="00841D14">
              <w:rPr>
                <w:sz w:val="22"/>
                <w:szCs w:val="22"/>
              </w:rPr>
              <w:t>/hr</w:t>
            </w:r>
          </w:p>
        </w:tc>
        <w:tc>
          <w:tcPr>
            <w:tcW w:w="1304" w:type="dxa"/>
            <w:tcBorders>
              <w:left w:val="single" w:sz="15" w:space="0" w:color="000000"/>
              <w:bottom w:val="single" w:sz="15" w:space="0" w:color="000000"/>
            </w:tcBorders>
          </w:tcPr>
          <w:p w14:paraId="7750E1AF" w14:textId="77777777" w:rsidR="00CD0A25" w:rsidRPr="00841D14" w:rsidRDefault="00CD0A25" w:rsidP="008F67E9">
            <w:pPr>
              <w:spacing w:after="58"/>
              <w:jc w:val="center"/>
              <w:rPr>
                <w:sz w:val="22"/>
                <w:szCs w:val="22"/>
              </w:rPr>
            </w:pPr>
            <w:r w:rsidRPr="00841D14">
              <w:rPr>
                <w:sz w:val="22"/>
                <w:szCs w:val="22"/>
              </w:rPr>
              <w:t>Hours</w:t>
            </w:r>
          </w:p>
        </w:tc>
        <w:tc>
          <w:tcPr>
            <w:tcW w:w="1305" w:type="dxa"/>
            <w:tcBorders>
              <w:bottom w:val="single" w:sz="15" w:space="0" w:color="000000"/>
            </w:tcBorders>
          </w:tcPr>
          <w:p w14:paraId="74EEDB80" w14:textId="77777777" w:rsidR="00CD0A25" w:rsidRPr="00841D14" w:rsidRDefault="00CD0A25" w:rsidP="008F67E9">
            <w:pPr>
              <w:spacing w:after="58"/>
              <w:jc w:val="center"/>
              <w:rPr>
                <w:sz w:val="22"/>
                <w:szCs w:val="22"/>
              </w:rPr>
            </w:pPr>
            <w:r w:rsidRPr="00841D14">
              <w:rPr>
                <w:sz w:val="22"/>
                <w:szCs w:val="22"/>
              </w:rPr>
              <w:t>Cost ($)</w:t>
            </w:r>
          </w:p>
        </w:tc>
      </w:tr>
      <w:tr w:rsidR="00CD0A25" w:rsidRPr="00841D14" w14:paraId="1ECB6E1E" w14:textId="77777777" w:rsidTr="008F67E9">
        <w:trPr>
          <w:jc w:val="center"/>
        </w:trPr>
        <w:tc>
          <w:tcPr>
            <w:tcW w:w="2970" w:type="dxa"/>
            <w:tcBorders>
              <w:right w:val="single" w:sz="15" w:space="0" w:color="000000"/>
            </w:tcBorders>
          </w:tcPr>
          <w:p w14:paraId="470289DD" w14:textId="77777777" w:rsidR="00CD0A25" w:rsidRPr="00841D14" w:rsidRDefault="00CD0A25" w:rsidP="008F67E9">
            <w:pPr>
              <w:spacing w:after="58"/>
              <w:rPr>
                <w:sz w:val="22"/>
                <w:szCs w:val="22"/>
              </w:rPr>
            </w:pPr>
            <w:r w:rsidRPr="00841D14">
              <w:rPr>
                <w:sz w:val="22"/>
                <w:szCs w:val="22"/>
              </w:rPr>
              <w:t>Read Regulations</w:t>
            </w:r>
          </w:p>
        </w:tc>
        <w:tc>
          <w:tcPr>
            <w:tcW w:w="1320" w:type="dxa"/>
          </w:tcPr>
          <w:p w14:paraId="476FC571" w14:textId="77777777" w:rsidR="00CD0A25" w:rsidRPr="00841D14" w:rsidRDefault="00CD0A25" w:rsidP="008F67E9">
            <w:pPr>
              <w:spacing w:after="58"/>
              <w:jc w:val="center"/>
              <w:rPr>
                <w:sz w:val="22"/>
                <w:szCs w:val="22"/>
              </w:rPr>
            </w:pPr>
            <w:r w:rsidRPr="00841D14">
              <w:rPr>
                <w:sz w:val="22"/>
                <w:szCs w:val="22"/>
              </w:rPr>
              <w:t>0.50</w:t>
            </w:r>
          </w:p>
        </w:tc>
        <w:tc>
          <w:tcPr>
            <w:tcW w:w="1230" w:type="dxa"/>
          </w:tcPr>
          <w:p w14:paraId="25F657F2" w14:textId="77777777" w:rsidR="00CD0A25" w:rsidRPr="00841D14" w:rsidRDefault="00CD0A25" w:rsidP="008F67E9">
            <w:pPr>
              <w:spacing w:after="58"/>
              <w:jc w:val="center"/>
              <w:rPr>
                <w:sz w:val="22"/>
                <w:szCs w:val="22"/>
              </w:rPr>
            </w:pPr>
            <w:r w:rsidRPr="00841D14">
              <w:rPr>
                <w:sz w:val="22"/>
                <w:szCs w:val="22"/>
              </w:rPr>
              <w:t>0.00</w:t>
            </w:r>
          </w:p>
        </w:tc>
        <w:tc>
          <w:tcPr>
            <w:tcW w:w="1230" w:type="dxa"/>
          </w:tcPr>
          <w:p w14:paraId="769894DC" w14:textId="77777777" w:rsidR="00CD0A25" w:rsidRPr="00841D14" w:rsidRDefault="00CD0A25" w:rsidP="008F67E9">
            <w:pPr>
              <w:spacing w:after="58"/>
              <w:jc w:val="center"/>
              <w:rPr>
                <w:sz w:val="22"/>
                <w:szCs w:val="22"/>
              </w:rPr>
            </w:pPr>
            <w:r w:rsidRPr="00841D14">
              <w:rPr>
                <w:sz w:val="22"/>
                <w:szCs w:val="22"/>
              </w:rPr>
              <w:t>0.00</w:t>
            </w:r>
          </w:p>
        </w:tc>
        <w:tc>
          <w:tcPr>
            <w:tcW w:w="1304" w:type="dxa"/>
            <w:tcBorders>
              <w:left w:val="single" w:sz="15" w:space="0" w:color="000000"/>
            </w:tcBorders>
          </w:tcPr>
          <w:p w14:paraId="5693B3BB" w14:textId="77777777" w:rsidR="00CD0A25" w:rsidRPr="00841D14" w:rsidRDefault="00CD0A25" w:rsidP="008F67E9">
            <w:pPr>
              <w:spacing w:after="58"/>
              <w:jc w:val="center"/>
              <w:rPr>
                <w:sz w:val="22"/>
                <w:szCs w:val="22"/>
              </w:rPr>
            </w:pPr>
            <w:r w:rsidRPr="00841D14">
              <w:rPr>
                <w:sz w:val="22"/>
                <w:szCs w:val="22"/>
              </w:rPr>
              <w:t>0.50</w:t>
            </w:r>
          </w:p>
        </w:tc>
        <w:tc>
          <w:tcPr>
            <w:tcW w:w="1305" w:type="dxa"/>
          </w:tcPr>
          <w:p w14:paraId="7B62F7DA" w14:textId="77777777" w:rsidR="00CD0A25" w:rsidRPr="00841D14" w:rsidRDefault="00CD0A25" w:rsidP="008F67E9">
            <w:pPr>
              <w:spacing w:after="58"/>
              <w:jc w:val="right"/>
              <w:rPr>
                <w:sz w:val="22"/>
                <w:szCs w:val="22"/>
              </w:rPr>
            </w:pPr>
            <w:r>
              <w:rPr>
                <w:sz w:val="22"/>
                <w:szCs w:val="22"/>
              </w:rPr>
              <w:t>63.91</w:t>
            </w:r>
          </w:p>
        </w:tc>
      </w:tr>
      <w:tr w:rsidR="00CD0A25" w:rsidRPr="00841D14" w14:paraId="683F201A" w14:textId="77777777" w:rsidTr="008F67E9">
        <w:trPr>
          <w:jc w:val="center"/>
        </w:trPr>
        <w:tc>
          <w:tcPr>
            <w:tcW w:w="2970" w:type="dxa"/>
            <w:tcBorders>
              <w:right w:val="single" w:sz="15" w:space="0" w:color="000000"/>
            </w:tcBorders>
          </w:tcPr>
          <w:p w14:paraId="7D4C3B8D" w14:textId="77777777" w:rsidR="00CD0A25" w:rsidRPr="00841D14" w:rsidRDefault="00CD0A25" w:rsidP="008F67E9">
            <w:pPr>
              <w:spacing w:after="58"/>
              <w:rPr>
                <w:sz w:val="22"/>
                <w:szCs w:val="22"/>
              </w:rPr>
            </w:pPr>
            <w:r w:rsidRPr="00841D14">
              <w:rPr>
                <w:sz w:val="22"/>
                <w:szCs w:val="22"/>
              </w:rPr>
              <w:t>Design Labels</w:t>
            </w:r>
          </w:p>
        </w:tc>
        <w:tc>
          <w:tcPr>
            <w:tcW w:w="1320" w:type="dxa"/>
          </w:tcPr>
          <w:p w14:paraId="70959B70" w14:textId="77777777" w:rsidR="00CD0A25" w:rsidRPr="00841D14" w:rsidRDefault="00CD0A25" w:rsidP="008F67E9">
            <w:pPr>
              <w:spacing w:after="58"/>
              <w:jc w:val="center"/>
              <w:rPr>
                <w:sz w:val="22"/>
                <w:szCs w:val="22"/>
              </w:rPr>
            </w:pPr>
            <w:r w:rsidRPr="00841D14">
              <w:rPr>
                <w:sz w:val="22"/>
                <w:szCs w:val="22"/>
              </w:rPr>
              <w:t>0.00</w:t>
            </w:r>
          </w:p>
        </w:tc>
        <w:tc>
          <w:tcPr>
            <w:tcW w:w="1230" w:type="dxa"/>
          </w:tcPr>
          <w:p w14:paraId="36790469" w14:textId="77777777" w:rsidR="00CD0A25" w:rsidRPr="00841D14" w:rsidRDefault="00CD0A25" w:rsidP="008F67E9">
            <w:pPr>
              <w:spacing w:after="58"/>
              <w:jc w:val="center"/>
              <w:rPr>
                <w:sz w:val="22"/>
                <w:szCs w:val="22"/>
              </w:rPr>
            </w:pPr>
            <w:r w:rsidRPr="00841D14">
              <w:rPr>
                <w:sz w:val="22"/>
                <w:szCs w:val="22"/>
              </w:rPr>
              <w:t>2.00</w:t>
            </w:r>
          </w:p>
        </w:tc>
        <w:tc>
          <w:tcPr>
            <w:tcW w:w="1230" w:type="dxa"/>
          </w:tcPr>
          <w:p w14:paraId="5BAAF933" w14:textId="77777777" w:rsidR="00CD0A25" w:rsidRPr="00841D14" w:rsidRDefault="00CD0A25" w:rsidP="008F67E9">
            <w:pPr>
              <w:spacing w:after="58"/>
              <w:jc w:val="center"/>
              <w:rPr>
                <w:sz w:val="22"/>
                <w:szCs w:val="22"/>
              </w:rPr>
            </w:pPr>
            <w:r w:rsidRPr="00841D14">
              <w:rPr>
                <w:sz w:val="22"/>
                <w:szCs w:val="22"/>
              </w:rPr>
              <w:t>0.00</w:t>
            </w:r>
          </w:p>
        </w:tc>
        <w:tc>
          <w:tcPr>
            <w:tcW w:w="1304" w:type="dxa"/>
            <w:tcBorders>
              <w:left w:val="single" w:sz="15" w:space="0" w:color="000000"/>
            </w:tcBorders>
          </w:tcPr>
          <w:p w14:paraId="4926F730" w14:textId="77777777" w:rsidR="00CD0A25" w:rsidRPr="00841D14" w:rsidRDefault="00CD0A25" w:rsidP="008F67E9">
            <w:pPr>
              <w:spacing w:after="58"/>
              <w:jc w:val="center"/>
              <w:rPr>
                <w:sz w:val="22"/>
                <w:szCs w:val="22"/>
              </w:rPr>
            </w:pPr>
            <w:r w:rsidRPr="00841D14">
              <w:rPr>
                <w:sz w:val="22"/>
                <w:szCs w:val="22"/>
              </w:rPr>
              <w:t>2.00</w:t>
            </w:r>
          </w:p>
        </w:tc>
        <w:tc>
          <w:tcPr>
            <w:tcW w:w="1305" w:type="dxa"/>
          </w:tcPr>
          <w:p w14:paraId="76E5C839" w14:textId="77777777" w:rsidR="00CD0A25" w:rsidRPr="00841D14" w:rsidRDefault="00CD0A25" w:rsidP="008F67E9">
            <w:pPr>
              <w:spacing w:after="58"/>
              <w:jc w:val="right"/>
              <w:rPr>
                <w:sz w:val="22"/>
                <w:szCs w:val="22"/>
              </w:rPr>
            </w:pPr>
            <w:r>
              <w:rPr>
                <w:sz w:val="22"/>
                <w:szCs w:val="22"/>
              </w:rPr>
              <w:t>132.96</w:t>
            </w:r>
          </w:p>
        </w:tc>
      </w:tr>
      <w:tr w:rsidR="00CD0A25" w:rsidRPr="00841D14" w14:paraId="14F6B5D3" w14:textId="77777777" w:rsidTr="008F67E9">
        <w:trPr>
          <w:jc w:val="center"/>
        </w:trPr>
        <w:tc>
          <w:tcPr>
            <w:tcW w:w="2970" w:type="dxa"/>
            <w:tcBorders>
              <w:right w:val="single" w:sz="15" w:space="0" w:color="000000"/>
            </w:tcBorders>
          </w:tcPr>
          <w:p w14:paraId="58BF66C7" w14:textId="77777777" w:rsidR="00CD0A25" w:rsidRPr="00841D14" w:rsidRDefault="00CD0A25" w:rsidP="008F67E9">
            <w:pPr>
              <w:spacing w:after="58"/>
              <w:rPr>
                <w:sz w:val="22"/>
                <w:szCs w:val="22"/>
              </w:rPr>
            </w:pPr>
            <w:r w:rsidRPr="00841D14">
              <w:rPr>
                <w:sz w:val="22"/>
                <w:szCs w:val="22"/>
              </w:rPr>
              <w:t>Translate Labels</w:t>
            </w:r>
          </w:p>
        </w:tc>
        <w:tc>
          <w:tcPr>
            <w:tcW w:w="1320" w:type="dxa"/>
          </w:tcPr>
          <w:p w14:paraId="41D6B842" w14:textId="77777777" w:rsidR="00CD0A25" w:rsidRPr="00841D14" w:rsidRDefault="00CD0A25" w:rsidP="008F67E9">
            <w:pPr>
              <w:spacing w:after="58"/>
              <w:jc w:val="center"/>
              <w:rPr>
                <w:sz w:val="22"/>
                <w:szCs w:val="22"/>
              </w:rPr>
            </w:pPr>
            <w:r w:rsidRPr="00841D14">
              <w:rPr>
                <w:sz w:val="22"/>
                <w:szCs w:val="22"/>
              </w:rPr>
              <w:t>0.00</w:t>
            </w:r>
          </w:p>
        </w:tc>
        <w:tc>
          <w:tcPr>
            <w:tcW w:w="1230" w:type="dxa"/>
          </w:tcPr>
          <w:p w14:paraId="65679F41" w14:textId="77777777" w:rsidR="00CD0A25" w:rsidRPr="00841D14" w:rsidRDefault="00CD0A25" w:rsidP="008F67E9">
            <w:pPr>
              <w:spacing w:after="58"/>
              <w:jc w:val="center"/>
              <w:rPr>
                <w:sz w:val="22"/>
                <w:szCs w:val="22"/>
              </w:rPr>
            </w:pPr>
            <w:r w:rsidRPr="00841D14">
              <w:rPr>
                <w:sz w:val="22"/>
                <w:szCs w:val="22"/>
              </w:rPr>
              <w:t>5.00</w:t>
            </w:r>
          </w:p>
        </w:tc>
        <w:tc>
          <w:tcPr>
            <w:tcW w:w="1230" w:type="dxa"/>
          </w:tcPr>
          <w:p w14:paraId="5355744D" w14:textId="77777777" w:rsidR="00CD0A25" w:rsidRPr="00841D14" w:rsidRDefault="00CD0A25" w:rsidP="008F67E9">
            <w:pPr>
              <w:spacing w:after="58"/>
              <w:jc w:val="center"/>
              <w:rPr>
                <w:sz w:val="22"/>
                <w:szCs w:val="22"/>
              </w:rPr>
            </w:pPr>
            <w:r w:rsidRPr="00841D14">
              <w:rPr>
                <w:sz w:val="22"/>
                <w:szCs w:val="22"/>
              </w:rPr>
              <w:t>0.00</w:t>
            </w:r>
          </w:p>
        </w:tc>
        <w:tc>
          <w:tcPr>
            <w:tcW w:w="1304" w:type="dxa"/>
            <w:tcBorders>
              <w:left w:val="single" w:sz="15" w:space="0" w:color="000000"/>
            </w:tcBorders>
          </w:tcPr>
          <w:p w14:paraId="105B9933" w14:textId="77777777" w:rsidR="00CD0A25" w:rsidRPr="00841D14" w:rsidRDefault="00CD0A25" w:rsidP="008F67E9">
            <w:pPr>
              <w:spacing w:after="58"/>
              <w:jc w:val="center"/>
              <w:rPr>
                <w:sz w:val="22"/>
                <w:szCs w:val="22"/>
              </w:rPr>
            </w:pPr>
            <w:r w:rsidRPr="00841D14">
              <w:rPr>
                <w:sz w:val="22"/>
                <w:szCs w:val="22"/>
              </w:rPr>
              <w:t>5.00</w:t>
            </w:r>
          </w:p>
        </w:tc>
        <w:tc>
          <w:tcPr>
            <w:tcW w:w="1305" w:type="dxa"/>
          </w:tcPr>
          <w:p w14:paraId="2510EA3C" w14:textId="77777777" w:rsidR="00CD0A25" w:rsidRPr="00841D14" w:rsidRDefault="00CD0A25" w:rsidP="008F67E9">
            <w:pPr>
              <w:spacing w:after="58"/>
              <w:jc w:val="right"/>
              <w:rPr>
                <w:sz w:val="22"/>
                <w:szCs w:val="22"/>
              </w:rPr>
            </w:pPr>
            <w:r>
              <w:rPr>
                <w:sz w:val="22"/>
                <w:szCs w:val="22"/>
              </w:rPr>
              <w:t>332.41</w:t>
            </w:r>
          </w:p>
        </w:tc>
      </w:tr>
      <w:tr w:rsidR="00CD0A25" w:rsidRPr="00841D14" w14:paraId="72DDBD4B" w14:textId="77777777" w:rsidTr="008F67E9">
        <w:trPr>
          <w:jc w:val="center"/>
        </w:trPr>
        <w:tc>
          <w:tcPr>
            <w:tcW w:w="2970" w:type="dxa"/>
            <w:tcBorders>
              <w:right w:val="single" w:sz="15" w:space="0" w:color="000000"/>
            </w:tcBorders>
          </w:tcPr>
          <w:p w14:paraId="57AA11B4" w14:textId="77777777" w:rsidR="00CD0A25" w:rsidRPr="00841D14" w:rsidRDefault="00CD0A25" w:rsidP="008F67E9">
            <w:pPr>
              <w:spacing w:after="58"/>
              <w:rPr>
                <w:sz w:val="22"/>
                <w:szCs w:val="22"/>
              </w:rPr>
            </w:pPr>
            <w:r w:rsidRPr="00841D14">
              <w:rPr>
                <w:sz w:val="22"/>
                <w:szCs w:val="22"/>
              </w:rPr>
              <w:t>Complete Paperwork and Store Information</w:t>
            </w:r>
          </w:p>
        </w:tc>
        <w:tc>
          <w:tcPr>
            <w:tcW w:w="1320" w:type="dxa"/>
          </w:tcPr>
          <w:p w14:paraId="32760D1E" w14:textId="77777777" w:rsidR="00CD0A25" w:rsidRPr="00841D14" w:rsidRDefault="00CD0A25" w:rsidP="008F67E9">
            <w:pPr>
              <w:spacing w:after="58"/>
              <w:jc w:val="center"/>
              <w:rPr>
                <w:sz w:val="22"/>
                <w:szCs w:val="22"/>
              </w:rPr>
            </w:pPr>
            <w:r w:rsidRPr="00841D14">
              <w:rPr>
                <w:sz w:val="22"/>
                <w:szCs w:val="22"/>
              </w:rPr>
              <w:t>0.00</w:t>
            </w:r>
          </w:p>
        </w:tc>
        <w:tc>
          <w:tcPr>
            <w:tcW w:w="1230" w:type="dxa"/>
          </w:tcPr>
          <w:p w14:paraId="75E212DC" w14:textId="77777777" w:rsidR="00CD0A25" w:rsidRPr="00841D14" w:rsidRDefault="00CD0A25" w:rsidP="008F67E9">
            <w:pPr>
              <w:spacing w:after="58"/>
              <w:jc w:val="center"/>
              <w:rPr>
                <w:sz w:val="22"/>
                <w:szCs w:val="22"/>
              </w:rPr>
            </w:pPr>
            <w:r w:rsidRPr="00841D14">
              <w:rPr>
                <w:sz w:val="22"/>
                <w:szCs w:val="22"/>
              </w:rPr>
              <w:t>0.00</w:t>
            </w:r>
          </w:p>
        </w:tc>
        <w:tc>
          <w:tcPr>
            <w:tcW w:w="1230" w:type="dxa"/>
          </w:tcPr>
          <w:p w14:paraId="7CFA6F64" w14:textId="77777777" w:rsidR="00CD0A25" w:rsidRPr="00841D14" w:rsidRDefault="00CD0A25" w:rsidP="008F67E9">
            <w:pPr>
              <w:spacing w:after="58"/>
              <w:jc w:val="center"/>
              <w:rPr>
                <w:sz w:val="22"/>
                <w:szCs w:val="22"/>
              </w:rPr>
            </w:pPr>
            <w:r w:rsidRPr="00841D14">
              <w:rPr>
                <w:sz w:val="22"/>
                <w:szCs w:val="22"/>
              </w:rPr>
              <w:t>0.50</w:t>
            </w:r>
          </w:p>
        </w:tc>
        <w:tc>
          <w:tcPr>
            <w:tcW w:w="1304" w:type="dxa"/>
            <w:tcBorders>
              <w:left w:val="single" w:sz="15" w:space="0" w:color="000000"/>
            </w:tcBorders>
          </w:tcPr>
          <w:p w14:paraId="2E9037B4" w14:textId="77777777" w:rsidR="00CD0A25" w:rsidRPr="00841D14" w:rsidRDefault="00CD0A25" w:rsidP="008F67E9">
            <w:pPr>
              <w:spacing w:after="58"/>
              <w:jc w:val="center"/>
              <w:rPr>
                <w:sz w:val="22"/>
                <w:szCs w:val="22"/>
              </w:rPr>
            </w:pPr>
            <w:r w:rsidRPr="00841D14">
              <w:rPr>
                <w:sz w:val="22"/>
                <w:szCs w:val="22"/>
              </w:rPr>
              <w:t>0.50</w:t>
            </w:r>
          </w:p>
        </w:tc>
        <w:tc>
          <w:tcPr>
            <w:tcW w:w="1305" w:type="dxa"/>
          </w:tcPr>
          <w:p w14:paraId="6DB5CF47" w14:textId="77777777" w:rsidR="00CD0A25" w:rsidRPr="00841D14" w:rsidRDefault="00CD0A25" w:rsidP="008F67E9">
            <w:pPr>
              <w:spacing w:after="58"/>
              <w:jc w:val="right"/>
              <w:rPr>
                <w:sz w:val="22"/>
                <w:szCs w:val="22"/>
              </w:rPr>
            </w:pPr>
            <w:r>
              <w:rPr>
                <w:sz w:val="22"/>
                <w:szCs w:val="22"/>
              </w:rPr>
              <w:t>21.88</w:t>
            </w:r>
          </w:p>
        </w:tc>
      </w:tr>
      <w:tr w:rsidR="00CD0A25" w:rsidRPr="00841D14" w14:paraId="4EFF73C1" w14:textId="77777777" w:rsidTr="008F67E9">
        <w:trPr>
          <w:jc w:val="center"/>
        </w:trPr>
        <w:tc>
          <w:tcPr>
            <w:tcW w:w="2970" w:type="dxa"/>
            <w:tcBorders>
              <w:top w:val="single" w:sz="15" w:space="0" w:color="000000"/>
              <w:bottom w:val="double" w:sz="4" w:space="0" w:color="000000"/>
              <w:right w:val="single" w:sz="15" w:space="0" w:color="000000"/>
            </w:tcBorders>
          </w:tcPr>
          <w:p w14:paraId="3FB3D2AB" w14:textId="77777777" w:rsidR="00CD0A25" w:rsidRPr="00841D14" w:rsidRDefault="00CD0A25" w:rsidP="008F67E9">
            <w:pPr>
              <w:spacing w:after="58"/>
              <w:rPr>
                <w:sz w:val="22"/>
                <w:szCs w:val="22"/>
              </w:rPr>
            </w:pPr>
            <w:r w:rsidRPr="00841D14">
              <w:rPr>
                <w:sz w:val="22"/>
                <w:szCs w:val="22"/>
              </w:rPr>
              <w:t>TOTAL</w:t>
            </w:r>
          </w:p>
        </w:tc>
        <w:tc>
          <w:tcPr>
            <w:tcW w:w="1320" w:type="dxa"/>
            <w:tcBorders>
              <w:top w:val="single" w:sz="15" w:space="0" w:color="000000"/>
              <w:bottom w:val="double" w:sz="4" w:space="0" w:color="000000"/>
            </w:tcBorders>
          </w:tcPr>
          <w:p w14:paraId="70A5BDAA" w14:textId="77777777" w:rsidR="00CD0A25" w:rsidRPr="00841D14" w:rsidRDefault="00CD0A25" w:rsidP="008F67E9">
            <w:pPr>
              <w:spacing w:after="58"/>
              <w:jc w:val="center"/>
              <w:rPr>
                <w:sz w:val="22"/>
                <w:szCs w:val="22"/>
              </w:rPr>
            </w:pPr>
            <w:r w:rsidRPr="00841D14">
              <w:rPr>
                <w:sz w:val="22"/>
                <w:szCs w:val="22"/>
              </w:rPr>
              <w:t>0.50</w:t>
            </w:r>
          </w:p>
        </w:tc>
        <w:tc>
          <w:tcPr>
            <w:tcW w:w="1230" w:type="dxa"/>
            <w:tcBorders>
              <w:top w:val="single" w:sz="15" w:space="0" w:color="000000"/>
              <w:bottom w:val="double" w:sz="4" w:space="0" w:color="000000"/>
            </w:tcBorders>
          </w:tcPr>
          <w:p w14:paraId="216A10E8" w14:textId="77777777" w:rsidR="00CD0A25" w:rsidRPr="00841D14" w:rsidRDefault="00CD0A25" w:rsidP="008F67E9">
            <w:pPr>
              <w:spacing w:after="58"/>
              <w:jc w:val="center"/>
              <w:rPr>
                <w:sz w:val="22"/>
                <w:szCs w:val="22"/>
              </w:rPr>
            </w:pPr>
            <w:r w:rsidRPr="00841D14">
              <w:rPr>
                <w:sz w:val="22"/>
                <w:szCs w:val="22"/>
              </w:rPr>
              <w:t>7.00</w:t>
            </w:r>
          </w:p>
        </w:tc>
        <w:tc>
          <w:tcPr>
            <w:tcW w:w="1230" w:type="dxa"/>
            <w:tcBorders>
              <w:top w:val="single" w:sz="15" w:space="0" w:color="000000"/>
              <w:bottom w:val="double" w:sz="4" w:space="0" w:color="000000"/>
            </w:tcBorders>
          </w:tcPr>
          <w:p w14:paraId="7D17485A" w14:textId="77777777" w:rsidR="00CD0A25" w:rsidRPr="00841D14" w:rsidRDefault="00CD0A25" w:rsidP="008F67E9">
            <w:pPr>
              <w:spacing w:after="58"/>
              <w:jc w:val="center"/>
              <w:rPr>
                <w:sz w:val="22"/>
                <w:szCs w:val="22"/>
              </w:rPr>
            </w:pPr>
            <w:r w:rsidRPr="00841D14">
              <w:rPr>
                <w:sz w:val="22"/>
                <w:szCs w:val="22"/>
              </w:rPr>
              <w:t>0.50</w:t>
            </w:r>
          </w:p>
        </w:tc>
        <w:tc>
          <w:tcPr>
            <w:tcW w:w="1304" w:type="dxa"/>
            <w:tcBorders>
              <w:top w:val="single" w:sz="15" w:space="0" w:color="000000"/>
              <w:left w:val="single" w:sz="15" w:space="0" w:color="000000"/>
              <w:bottom w:val="double" w:sz="4" w:space="0" w:color="000000"/>
            </w:tcBorders>
          </w:tcPr>
          <w:p w14:paraId="013FAE1E" w14:textId="77777777" w:rsidR="00CD0A25" w:rsidRPr="00841D14" w:rsidRDefault="00CD0A25" w:rsidP="008F67E9">
            <w:pPr>
              <w:spacing w:after="58"/>
              <w:jc w:val="center"/>
              <w:rPr>
                <w:sz w:val="22"/>
                <w:szCs w:val="22"/>
              </w:rPr>
            </w:pPr>
            <w:r w:rsidRPr="00841D14">
              <w:rPr>
                <w:sz w:val="22"/>
                <w:szCs w:val="22"/>
              </w:rPr>
              <w:t>8.00</w:t>
            </w:r>
          </w:p>
        </w:tc>
        <w:tc>
          <w:tcPr>
            <w:tcW w:w="1305" w:type="dxa"/>
            <w:tcBorders>
              <w:top w:val="single" w:sz="15" w:space="0" w:color="000000"/>
              <w:bottom w:val="double" w:sz="4" w:space="0" w:color="000000"/>
            </w:tcBorders>
          </w:tcPr>
          <w:p w14:paraId="03076D79" w14:textId="77777777" w:rsidR="00CD0A25" w:rsidRPr="00841D14" w:rsidRDefault="00CD0A25" w:rsidP="008F67E9">
            <w:pPr>
              <w:spacing w:after="58"/>
              <w:jc w:val="right"/>
              <w:rPr>
                <w:sz w:val="22"/>
                <w:szCs w:val="22"/>
              </w:rPr>
            </w:pPr>
            <w:r>
              <w:rPr>
                <w:sz w:val="22"/>
                <w:szCs w:val="22"/>
              </w:rPr>
              <w:t>551.17</w:t>
            </w:r>
          </w:p>
        </w:tc>
      </w:tr>
    </w:tbl>
    <w:p w14:paraId="39088C50" w14:textId="77777777" w:rsidR="00CD0A25" w:rsidRPr="00841D14" w:rsidRDefault="00CD0A25" w:rsidP="00CD0A25">
      <w:pPr>
        <w:rPr>
          <w:sz w:val="22"/>
          <w:szCs w:val="22"/>
        </w:rPr>
      </w:pPr>
      <w:r w:rsidRPr="00841D14">
        <w:rPr>
          <w:sz w:val="22"/>
          <w:szCs w:val="22"/>
        </w:rPr>
        <w:t>ANNUAL BURDEN:</w:t>
      </w:r>
      <w:r w:rsidRPr="00841D14">
        <w:rPr>
          <w:sz w:val="22"/>
          <w:szCs w:val="22"/>
        </w:rPr>
        <w:tab/>
        <w:t xml:space="preserve">8 hours x </w:t>
      </w:r>
      <w:r>
        <w:rPr>
          <w:sz w:val="22"/>
          <w:szCs w:val="22"/>
        </w:rPr>
        <w:t>560</w:t>
      </w:r>
      <w:r w:rsidRPr="00841D14">
        <w:rPr>
          <w:sz w:val="22"/>
          <w:szCs w:val="22"/>
        </w:rPr>
        <w:t xml:space="preserve"> unregistered products = </w:t>
      </w:r>
      <w:r>
        <w:rPr>
          <w:sz w:val="22"/>
          <w:szCs w:val="22"/>
        </w:rPr>
        <w:t>4,480</w:t>
      </w:r>
      <w:r w:rsidRPr="00841D14">
        <w:rPr>
          <w:sz w:val="22"/>
          <w:szCs w:val="22"/>
        </w:rPr>
        <w:t xml:space="preserve"> hours</w:t>
      </w:r>
    </w:p>
    <w:p w14:paraId="17FBB873" w14:textId="77777777" w:rsidR="00CD0A25" w:rsidRDefault="00CD0A25" w:rsidP="00CD0A25">
      <w:pPr>
        <w:rPr>
          <w:sz w:val="22"/>
          <w:szCs w:val="22"/>
        </w:rPr>
      </w:pPr>
      <w:r w:rsidRPr="00841D14">
        <w:rPr>
          <w:sz w:val="22"/>
          <w:szCs w:val="22"/>
        </w:rPr>
        <w:t xml:space="preserve">ANNUAL COSTS: </w:t>
      </w:r>
      <w:r w:rsidRPr="00841D14">
        <w:rPr>
          <w:sz w:val="22"/>
          <w:szCs w:val="22"/>
        </w:rPr>
        <w:tab/>
        <w:t>$</w:t>
      </w:r>
      <w:r>
        <w:rPr>
          <w:sz w:val="22"/>
          <w:szCs w:val="22"/>
        </w:rPr>
        <w:t>551.17</w:t>
      </w:r>
      <w:r w:rsidRPr="00841D14">
        <w:rPr>
          <w:sz w:val="22"/>
          <w:szCs w:val="22"/>
        </w:rPr>
        <w:t xml:space="preserve"> x </w:t>
      </w:r>
      <w:r>
        <w:rPr>
          <w:sz w:val="22"/>
          <w:szCs w:val="22"/>
        </w:rPr>
        <w:t>560</w:t>
      </w:r>
      <w:r w:rsidRPr="00841D14">
        <w:rPr>
          <w:sz w:val="22"/>
          <w:szCs w:val="22"/>
        </w:rPr>
        <w:t xml:space="preserve"> unregistered products = $</w:t>
      </w:r>
      <w:r>
        <w:rPr>
          <w:sz w:val="22"/>
          <w:szCs w:val="22"/>
        </w:rPr>
        <w:t>308,653</w:t>
      </w:r>
    </w:p>
    <w:p w14:paraId="2EDFD005" w14:textId="77777777" w:rsidR="00CD0A25" w:rsidRPr="008E5C96" w:rsidRDefault="00CD0A25" w:rsidP="00CD0A25">
      <w:pPr>
        <w:pStyle w:val="FootnoteText"/>
        <w:keepNext/>
        <w:keepLines/>
      </w:pPr>
      <w:r w:rsidRPr="008E5C96">
        <w:rPr>
          <w:vertAlign w:val="superscript"/>
        </w:rPr>
        <w:t>1</w:t>
      </w:r>
      <w:r w:rsidRPr="008E5C96">
        <w:t xml:space="preserve"> Hourly wages rates are fully loaded wage rates based on NAICS 32</w:t>
      </w:r>
      <w:r>
        <w:t>5</w:t>
      </w:r>
      <w:r w:rsidRPr="008E5C96">
        <w:t>0</w:t>
      </w:r>
      <w:r>
        <w:t>A1</w:t>
      </w:r>
      <w:r w:rsidRPr="008E5C96">
        <w:t xml:space="preserve"> </w:t>
      </w:r>
      <w:r>
        <w:t>–</w:t>
      </w:r>
      <w:r w:rsidRPr="008E5C96">
        <w:t xml:space="preserve"> </w:t>
      </w:r>
      <w:r>
        <w:t xml:space="preserve">Chemical Manufacturing (3251, 3252, 3253, and 3259 only) </w:t>
      </w:r>
      <w:r w:rsidRPr="008E5C96">
        <w:t xml:space="preserve">from U.S. Dept. of Labor, Bureau of Labor Statistics, May </w:t>
      </w:r>
      <w:r>
        <w:t>2017</w:t>
      </w:r>
      <w:r w:rsidRPr="008E5C96">
        <w:t xml:space="preserve">. See Attachment </w:t>
      </w:r>
      <w:r>
        <w:t>D</w:t>
      </w:r>
      <w:r w:rsidRPr="008E5C96">
        <w:t xml:space="preserve"> for wage calculations. </w:t>
      </w:r>
    </w:p>
    <w:p w14:paraId="3DAB7151" w14:textId="658226B6" w:rsidR="00C16E62" w:rsidRDefault="00CD0A25" w:rsidP="00CD0A25">
      <w:pPr>
        <w:tabs>
          <w:tab w:val="left" w:pos="-1440"/>
        </w:tabs>
        <w:rPr>
          <w:sz w:val="20"/>
          <w:szCs w:val="20"/>
        </w:rPr>
      </w:pPr>
      <w:r w:rsidRPr="008E5C96">
        <w:rPr>
          <w:sz w:val="20"/>
          <w:szCs w:val="20"/>
          <w:vertAlign w:val="superscript"/>
        </w:rPr>
        <w:t>2</w:t>
      </w:r>
      <w:r w:rsidRPr="008E5C96">
        <w:rPr>
          <w:sz w:val="20"/>
          <w:szCs w:val="20"/>
        </w:rPr>
        <w:t xml:space="preserve"> Totals may not sum due to rounding.</w:t>
      </w:r>
    </w:p>
    <w:p w14:paraId="78CFE2F6" w14:textId="77777777" w:rsidR="00C16E62" w:rsidRDefault="00CD0A25" w:rsidP="00234651">
      <w:pPr>
        <w:tabs>
          <w:tab w:val="left" w:pos="-1440"/>
        </w:tabs>
      </w:pPr>
      <w:r>
        <w:tab/>
      </w:r>
    </w:p>
    <w:p w14:paraId="5CAA8F98" w14:textId="78DF0FF0" w:rsidR="00CD0A25" w:rsidRDefault="00CD0A25" w:rsidP="00234651">
      <w:pPr>
        <w:ind w:firstLine="720"/>
      </w:pPr>
      <w:r>
        <w:t xml:space="preserve">Certain information must be provided in the languages of the country or countries of final destination. Table 3 presents the estimated respondent burden for multilingual product labeling of registered exported pesticide products. The labeling requirements may be met by supplemental labeling attached to either the product container or the shipping container. EPA estimates that it will take respondents approximately 5.5 hours at a cost of $354.29 to meet the multilingual labeling requirement for each product.  This estimation is based on the estimate that to prepare one label in one language would take approximately one hour, and that, on average, exporters prepare a label for each of the major destinations of export shipments.  In reviewing the major destinations of export shipments, EPA estimates that most labels would be in one or more of the following languages: </w:t>
      </w:r>
      <w:r w:rsidRPr="00841D14">
        <w:t xml:space="preserve">French, Spanish, German, Taiwanese, and Portuguese. </w:t>
      </w:r>
      <w:r>
        <w:t xml:space="preserve"> </w:t>
      </w:r>
    </w:p>
    <w:p w14:paraId="16538FF1" w14:textId="77777777" w:rsidR="00CD0A25" w:rsidRDefault="00CD0A25" w:rsidP="00CD0A25">
      <w:pPr>
        <w:ind w:firstLine="720"/>
      </w:pPr>
    </w:p>
    <w:p w14:paraId="1EC5BC3D" w14:textId="4B44ABC5" w:rsidR="00CD0A25" w:rsidRDefault="00CD0A25" w:rsidP="00CD0A25">
      <w:pPr>
        <w:ind w:firstLine="720"/>
      </w:pPr>
      <w:r w:rsidRPr="001B5A18">
        <w:t>Historically, in order to estimate the number of registered exported pesticide products, the Agency has assumed that one-quarter of the pesticides exported from the U.S. are not registered for use in the U.S., while</w:t>
      </w:r>
      <w:r>
        <w:t xml:space="preserve"> the remaining</w:t>
      </w:r>
      <w:r w:rsidRPr="001B5A18">
        <w:t xml:space="preserve"> three-quarters are registered </w:t>
      </w:r>
      <w:r>
        <w:t>pesticide products</w:t>
      </w:r>
      <w:r w:rsidRPr="001B5A18">
        <w:t>.</w:t>
      </w:r>
      <w:r>
        <w:t xml:space="preserve"> Therefore, EPA has </w:t>
      </w:r>
      <w:r w:rsidRPr="00B316BF">
        <w:t>assumed</w:t>
      </w:r>
      <w:r>
        <w:t xml:space="preserve"> that there are three times as many registered products exported than unregistered. Using this assumption and the estimated number of exported unregistered products (560), EPA estimates the total number of registered products exported to be 1,680 per year. This equates to a total annual burden of 9,240 hours and a total annual burden of $595,209 across all respondents.</w:t>
      </w:r>
    </w:p>
    <w:p w14:paraId="1C56A660" w14:textId="42A350AA" w:rsidR="00C16E62" w:rsidRDefault="00C16E62" w:rsidP="00CD0A25">
      <w:pPr>
        <w:rPr>
          <w:b/>
          <w:bCs/>
        </w:rPr>
      </w:pPr>
    </w:p>
    <w:p w14:paraId="18729CBE" w14:textId="20CABA37" w:rsidR="00CD0A25" w:rsidRPr="00612D71" w:rsidRDefault="00CD0A25" w:rsidP="00CD0A25">
      <w:r w:rsidRPr="00612D71">
        <w:rPr>
          <w:b/>
          <w:bCs/>
        </w:rPr>
        <w:t>Table 3.  Respondent Burden/Cost: Multilingual Product Labeling, Registered Pesticide Product</w:t>
      </w:r>
      <w:r w:rsidRPr="00612D71">
        <w:t xml:space="preserve"> </w:t>
      </w:r>
      <w:r w:rsidRPr="00612D71">
        <w:rPr>
          <w:b/>
          <w:bCs/>
        </w:rPr>
        <w:t>Exports</w:t>
      </w:r>
    </w:p>
    <w:tbl>
      <w:tblPr>
        <w:tblW w:w="9360"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971"/>
        <w:gridCol w:w="1320"/>
        <w:gridCol w:w="1230"/>
        <w:gridCol w:w="1230"/>
        <w:gridCol w:w="1304"/>
        <w:gridCol w:w="1305"/>
      </w:tblGrid>
      <w:tr w:rsidR="00CD0A25" w:rsidRPr="00612D71" w14:paraId="47A0ACBC" w14:textId="77777777" w:rsidTr="008F67E9">
        <w:trPr>
          <w:jc w:val="center"/>
        </w:trPr>
        <w:tc>
          <w:tcPr>
            <w:tcW w:w="2970" w:type="dxa"/>
            <w:tcBorders>
              <w:top w:val="double" w:sz="4" w:space="0" w:color="000000"/>
              <w:right w:val="single" w:sz="15" w:space="0" w:color="000000"/>
            </w:tcBorders>
          </w:tcPr>
          <w:p w14:paraId="7FF3F2A5" w14:textId="77777777" w:rsidR="00CD0A25" w:rsidRPr="00612D71" w:rsidRDefault="00CD0A25" w:rsidP="008F67E9">
            <w:pPr>
              <w:spacing w:after="58"/>
              <w:jc w:val="center"/>
              <w:rPr>
                <w:sz w:val="22"/>
                <w:szCs w:val="22"/>
              </w:rPr>
            </w:pPr>
            <w:r w:rsidRPr="00612D71">
              <w:rPr>
                <w:sz w:val="22"/>
                <w:szCs w:val="22"/>
              </w:rPr>
              <w:t>Collection Activity</w:t>
            </w:r>
          </w:p>
        </w:tc>
        <w:tc>
          <w:tcPr>
            <w:tcW w:w="3780" w:type="dxa"/>
            <w:gridSpan w:val="3"/>
            <w:tcBorders>
              <w:top w:val="double" w:sz="4" w:space="0" w:color="000000"/>
            </w:tcBorders>
          </w:tcPr>
          <w:p w14:paraId="4CB0AB09" w14:textId="77777777" w:rsidR="00CD0A25" w:rsidRPr="00612D71" w:rsidRDefault="00CD0A25" w:rsidP="008F67E9">
            <w:pPr>
              <w:spacing w:after="58"/>
              <w:jc w:val="center"/>
              <w:rPr>
                <w:sz w:val="22"/>
                <w:szCs w:val="22"/>
              </w:rPr>
            </w:pPr>
            <w:r w:rsidRPr="00612D71">
              <w:rPr>
                <w:sz w:val="22"/>
                <w:szCs w:val="22"/>
              </w:rPr>
              <w:t>Burden Hours (per year)</w:t>
            </w:r>
          </w:p>
        </w:tc>
        <w:tc>
          <w:tcPr>
            <w:tcW w:w="2609" w:type="dxa"/>
            <w:gridSpan w:val="2"/>
            <w:tcBorders>
              <w:top w:val="double" w:sz="4" w:space="0" w:color="000000"/>
              <w:left w:val="single" w:sz="15" w:space="0" w:color="000000"/>
            </w:tcBorders>
          </w:tcPr>
          <w:p w14:paraId="309E654B" w14:textId="77777777" w:rsidR="00CD0A25" w:rsidRPr="00612D71" w:rsidRDefault="00CD0A25" w:rsidP="008F67E9">
            <w:pPr>
              <w:spacing w:after="58"/>
              <w:jc w:val="center"/>
              <w:rPr>
                <w:sz w:val="22"/>
                <w:szCs w:val="22"/>
              </w:rPr>
            </w:pPr>
            <w:r w:rsidRPr="00612D71">
              <w:rPr>
                <w:sz w:val="22"/>
                <w:szCs w:val="22"/>
              </w:rPr>
              <w:t>Total</w:t>
            </w:r>
          </w:p>
        </w:tc>
      </w:tr>
      <w:tr w:rsidR="00CD0A25" w:rsidRPr="00612D71" w14:paraId="04FD2DFE" w14:textId="77777777" w:rsidTr="008F67E9">
        <w:trPr>
          <w:jc w:val="center"/>
        </w:trPr>
        <w:tc>
          <w:tcPr>
            <w:tcW w:w="2970" w:type="dxa"/>
            <w:tcBorders>
              <w:bottom w:val="single" w:sz="15" w:space="0" w:color="000000"/>
              <w:right w:val="single" w:sz="15" w:space="0" w:color="000000"/>
            </w:tcBorders>
          </w:tcPr>
          <w:p w14:paraId="7A0F94DD" w14:textId="77777777" w:rsidR="00CD0A25" w:rsidRPr="00612D71" w:rsidRDefault="00CD0A25" w:rsidP="008F67E9">
            <w:pPr>
              <w:spacing w:after="58"/>
              <w:jc w:val="center"/>
              <w:rPr>
                <w:sz w:val="22"/>
                <w:szCs w:val="22"/>
              </w:rPr>
            </w:pPr>
          </w:p>
        </w:tc>
        <w:tc>
          <w:tcPr>
            <w:tcW w:w="1320" w:type="dxa"/>
            <w:tcBorders>
              <w:bottom w:val="single" w:sz="15" w:space="0" w:color="000000"/>
            </w:tcBorders>
          </w:tcPr>
          <w:p w14:paraId="42CEEA0E" w14:textId="77777777" w:rsidR="00CD0A25" w:rsidRPr="00612D71" w:rsidRDefault="00CD0A25" w:rsidP="008F67E9">
            <w:pPr>
              <w:widowControl/>
              <w:jc w:val="center"/>
              <w:rPr>
                <w:sz w:val="22"/>
                <w:szCs w:val="22"/>
              </w:rPr>
            </w:pPr>
            <w:r w:rsidRPr="00612D71">
              <w:rPr>
                <w:sz w:val="22"/>
                <w:szCs w:val="22"/>
              </w:rPr>
              <w:t>Mgmt</w:t>
            </w:r>
          </w:p>
          <w:p w14:paraId="16F5FA06" w14:textId="77777777" w:rsidR="00CD0A25" w:rsidRPr="00612D71" w:rsidRDefault="00CD0A25" w:rsidP="008F67E9">
            <w:pPr>
              <w:widowControl/>
              <w:spacing w:after="58"/>
              <w:jc w:val="center"/>
              <w:rPr>
                <w:sz w:val="22"/>
                <w:szCs w:val="22"/>
              </w:rPr>
            </w:pPr>
            <w:r w:rsidRPr="00612D71">
              <w:rPr>
                <w:sz w:val="22"/>
                <w:szCs w:val="22"/>
              </w:rPr>
              <w:t>$</w:t>
            </w:r>
            <w:r>
              <w:rPr>
                <w:sz w:val="22"/>
                <w:szCs w:val="22"/>
              </w:rPr>
              <w:t>127.82</w:t>
            </w:r>
            <w:r w:rsidRPr="00612D71">
              <w:rPr>
                <w:sz w:val="22"/>
                <w:szCs w:val="22"/>
              </w:rPr>
              <w:t>/hr</w:t>
            </w:r>
          </w:p>
        </w:tc>
        <w:tc>
          <w:tcPr>
            <w:tcW w:w="1230" w:type="dxa"/>
            <w:tcBorders>
              <w:bottom w:val="single" w:sz="15" w:space="0" w:color="000000"/>
            </w:tcBorders>
          </w:tcPr>
          <w:p w14:paraId="758570F9" w14:textId="77777777" w:rsidR="00CD0A25" w:rsidRPr="00612D71" w:rsidRDefault="00CD0A25" w:rsidP="008F67E9">
            <w:pPr>
              <w:widowControl/>
              <w:jc w:val="center"/>
              <w:rPr>
                <w:sz w:val="22"/>
                <w:szCs w:val="22"/>
              </w:rPr>
            </w:pPr>
            <w:r w:rsidRPr="00612D71">
              <w:rPr>
                <w:sz w:val="22"/>
                <w:szCs w:val="22"/>
              </w:rPr>
              <w:t>Technical</w:t>
            </w:r>
          </w:p>
          <w:p w14:paraId="1B4BF486" w14:textId="77777777" w:rsidR="00CD0A25" w:rsidRPr="00612D71" w:rsidRDefault="00CD0A25" w:rsidP="008F67E9">
            <w:pPr>
              <w:widowControl/>
              <w:spacing w:after="58"/>
              <w:jc w:val="center"/>
              <w:rPr>
                <w:sz w:val="22"/>
                <w:szCs w:val="22"/>
              </w:rPr>
            </w:pPr>
            <w:r w:rsidRPr="00612D71">
              <w:rPr>
                <w:sz w:val="22"/>
                <w:szCs w:val="22"/>
              </w:rPr>
              <w:t>$</w:t>
            </w:r>
            <w:r>
              <w:rPr>
                <w:sz w:val="22"/>
                <w:szCs w:val="22"/>
              </w:rPr>
              <w:t>66.48</w:t>
            </w:r>
            <w:r w:rsidRPr="00612D71">
              <w:rPr>
                <w:sz w:val="22"/>
                <w:szCs w:val="22"/>
              </w:rPr>
              <w:t>/hr</w:t>
            </w:r>
          </w:p>
        </w:tc>
        <w:tc>
          <w:tcPr>
            <w:tcW w:w="1230" w:type="dxa"/>
            <w:tcBorders>
              <w:bottom w:val="single" w:sz="15" w:space="0" w:color="000000"/>
            </w:tcBorders>
          </w:tcPr>
          <w:p w14:paraId="4BF07A17" w14:textId="77777777" w:rsidR="00CD0A25" w:rsidRPr="00612D71" w:rsidRDefault="00CD0A25" w:rsidP="008F67E9">
            <w:pPr>
              <w:widowControl/>
              <w:jc w:val="center"/>
              <w:rPr>
                <w:sz w:val="22"/>
                <w:szCs w:val="22"/>
              </w:rPr>
            </w:pPr>
            <w:r w:rsidRPr="00612D71">
              <w:rPr>
                <w:sz w:val="22"/>
                <w:szCs w:val="22"/>
              </w:rPr>
              <w:t>Clerical</w:t>
            </w:r>
          </w:p>
          <w:p w14:paraId="6388B426" w14:textId="77777777" w:rsidR="00CD0A25" w:rsidRPr="00612D71" w:rsidRDefault="00CD0A25" w:rsidP="008F67E9">
            <w:pPr>
              <w:widowControl/>
              <w:spacing w:after="58"/>
              <w:jc w:val="center"/>
              <w:rPr>
                <w:sz w:val="22"/>
                <w:szCs w:val="22"/>
              </w:rPr>
            </w:pPr>
            <w:r w:rsidRPr="00612D71">
              <w:rPr>
                <w:sz w:val="22"/>
                <w:szCs w:val="22"/>
              </w:rPr>
              <w:t>$</w:t>
            </w:r>
            <w:r>
              <w:rPr>
                <w:sz w:val="22"/>
                <w:szCs w:val="22"/>
              </w:rPr>
              <w:t>43.76</w:t>
            </w:r>
            <w:r w:rsidRPr="00612D71">
              <w:rPr>
                <w:sz w:val="22"/>
                <w:szCs w:val="22"/>
              </w:rPr>
              <w:t>/hr</w:t>
            </w:r>
          </w:p>
        </w:tc>
        <w:tc>
          <w:tcPr>
            <w:tcW w:w="1304" w:type="dxa"/>
            <w:tcBorders>
              <w:left w:val="single" w:sz="15" w:space="0" w:color="000000"/>
              <w:bottom w:val="single" w:sz="15" w:space="0" w:color="000000"/>
            </w:tcBorders>
          </w:tcPr>
          <w:p w14:paraId="0E73EFF2" w14:textId="77777777" w:rsidR="00CD0A25" w:rsidRPr="00612D71" w:rsidRDefault="00CD0A25" w:rsidP="008F67E9">
            <w:pPr>
              <w:spacing w:after="58"/>
              <w:jc w:val="center"/>
              <w:rPr>
                <w:sz w:val="22"/>
                <w:szCs w:val="22"/>
              </w:rPr>
            </w:pPr>
            <w:r w:rsidRPr="00612D71">
              <w:rPr>
                <w:sz w:val="22"/>
                <w:szCs w:val="22"/>
              </w:rPr>
              <w:t>Hours</w:t>
            </w:r>
          </w:p>
        </w:tc>
        <w:tc>
          <w:tcPr>
            <w:tcW w:w="1305" w:type="dxa"/>
            <w:tcBorders>
              <w:bottom w:val="single" w:sz="15" w:space="0" w:color="000000"/>
            </w:tcBorders>
          </w:tcPr>
          <w:p w14:paraId="10C8DE19" w14:textId="77777777" w:rsidR="00CD0A25" w:rsidRPr="00612D71" w:rsidRDefault="00CD0A25" w:rsidP="008F67E9">
            <w:pPr>
              <w:spacing w:after="58"/>
              <w:jc w:val="center"/>
              <w:rPr>
                <w:sz w:val="22"/>
                <w:szCs w:val="22"/>
              </w:rPr>
            </w:pPr>
            <w:r w:rsidRPr="00612D71">
              <w:rPr>
                <w:sz w:val="22"/>
                <w:szCs w:val="22"/>
              </w:rPr>
              <w:t>Cost ($)</w:t>
            </w:r>
          </w:p>
        </w:tc>
      </w:tr>
      <w:tr w:rsidR="00CD0A25" w:rsidRPr="00612D71" w14:paraId="7137A9B7" w14:textId="77777777" w:rsidTr="008F67E9">
        <w:trPr>
          <w:jc w:val="center"/>
        </w:trPr>
        <w:tc>
          <w:tcPr>
            <w:tcW w:w="2970" w:type="dxa"/>
            <w:tcBorders>
              <w:right w:val="single" w:sz="15" w:space="0" w:color="000000"/>
            </w:tcBorders>
          </w:tcPr>
          <w:p w14:paraId="7FDA12A1" w14:textId="77777777" w:rsidR="00CD0A25" w:rsidRPr="00612D71" w:rsidRDefault="00CD0A25" w:rsidP="008F67E9">
            <w:pPr>
              <w:spacing w:after="58"/>
              <w:rPr>
                <w:sz w:val="22"/>
                <w:szCs w:val="22"/>
              </w:rPr>
            </w:pPr>
            <w:r w:rsidRPr="00612D71">
              <w:rPr>
                <w:sz w:val="22"/>
                <w:szCs w:val="22"/>
              </w:rPr>
              <w:t>Translate Labels</w:t>
            </w:r>
          </w:p>
        </w:tc>
        <w:tc>
          <w:tcPr>
            <w:tcW w:w="1320" w:type="dxa"/>
          </w:tcPr>
          <w:p w14:paraId="6C09B4E1" w14:textId="77777777" w:rsidR="00CD0A25" w:rsidRPr="00612D71" w:rsidRDefault="00CD0A25" w:rsidP="008F67E9">
            <w:pPr>
              <w:spacing w:after="58"/>
              <w:jc w:val="center"/>
              <w:rPr>
                <w:sz w:val="22"/>
                <w:szCs w:val="22"/>
              </w:rPr>
            </w:pPr>
            <w:r w:rsidRPr="00612D71">
              <w:rPr>
                <w:sz w:val="22"/>
                <w:szCs w:val="22"/>
              </w:rPr>
              <w:t>0.00</w:t>
            </w:r>
          </w:p>
        </w:tc>
        <w:tc>
          <w:tcPr>
            <w:tcW w:w="1230" w:type="dxa"/>
          </w:tcPr>
          <w:p w14:paraId="4B6D0875" w14:textId="77777777" w:rsidR="00CD0A25" w:rsidRPr="00612D71" w:rsidRDefault="00CD0A25" w:rsidP="008F67E9">
            <w:pPr>
              <w:spacing w:after="58"/>
              <w:jc w:val="center"/>
              <w:rPr>
                <w:sz w:val="22"/>
                <w:szCs w:val="22"/>
              </w:rPr>
            </w:pPr>
            <w:r w:rsidRPr="00612D71">
              <w:rPr>
                <w:sz w:val="22"/>
                <w:szCs w:val="22"/>
              </w:rPr>
              <w:t>5.00</w:t>
            </w:r>
          </w:p>
        </w:tc>
        <w:tc>
          <w:tcPr>
            <w:tcW w:w="1230" w:type="dxa"/>
          </w:tcPr>
          <w:p w14:paraId="30EA5FEC" w14:textId="77777777" w:rsidR="00CD0A25" w:rsidRPr="00612D71" w:rsidRDefault="00CD0A25" w:rsidP="008F67E9">
            <w:pPr>
              <w:spacing w:after="58"/>
              <w:jc w:val="center"/>
              <w:rPr>
                <w:sz w:val="22"/>
                <w:szCs w:val="22"/>
              </w:rPr>
            </w:pPr>
            <w:r w:rsidRPr="00612D71">
              <w:rPr>
                <w:sz w:val="22"/>
                <w:szCs w:val="22"/>
              </w:rPr>
              <w:t>0.00</w:t>
            </w:r>
          </w:p>
        </w:tc>
        <w:tc>
          <w:tcPr>
            <w:tcW w:w="1304" w:type="dxa"/>
            <w:tcBorders>
              <w:left w:val="single" w:sz="15" w:space="0" w:color="000000"/>
            </w:tcBorders>
          </w:tcPr>
          <w:p w14:paraId="2A6EBE65" w14:textId="77777777" w:rsidR="00CD0A25" w:rsidRPr="00612D71" w:rsidRDefault="00CD0A25" w:rsidP="008F67E9">
            <w:pPr>
              <w:spacing w:after="58"/>
              <w:jc w:val="center"/>
              <w:rPr>
                <w:sz w:val="22"/>
                <w:szCs w:val="22"/>
              </w:rPr>
            </w:pPr>
            <w:r w:rsidRPr="00612D71">
              <w:rPr>
                <w:sz w:val="22"/>
                <w:szCs w:val="22"/>
              </w:rPr>
              <w:t>5.00</w:t>
            </w:r>
          </w:p>
        </w:tc>
        <w:tc>
          <w:tcPr>
            <w:tcW w:w="1305" w:type="dxa"/>
          </w:tcPr>
          <w:p w14:paraId="758B047A" w14:textId="77777777" w:rsidR="00CD0A25" w:rsidRPr="00612D71" w:rsidRDefault="00CD0A25" w:rsidP="008F67E9">
            <w:pPr>
              <w:spacing w:after="58"/>
              <w:jc w:val="right"/>
              <w:rPr>
                <w:sz w:val="22"/>
                <w:szCs w:val="22"/>
              </w:rPr>
            </w:pPr>
            <w:r>
              <w:rPr>
                <w:sz w:val="22"/>
                <w:szCs w:val="22"/>
              </w:rPr>
              <w:t>332.41</w:t>
            </w:r>
          </w:p>
        </w:tc>
      </w:tr>
      <w:tr w:rsidR="00CD0A25" w:rsidRPr="00612D71" w14:paraId="46588CF9" w14:textId="77777777" w:rsidTr="008F67E9">
        <w:trPr>
          <w:jc w:val="center"/>
        </w:trPr>
        <w:tc>
          <w:tcPr>
            <w:tcW w:w="2970" w:type="dxa"/>
            <w:tcBorders>
              <w:right w:val="single" w:sz="15" w:space="0" w:color="000000"/>
            </w:tcBorders>
          </w:tcPr>
          <w:p w14:paraId="7F76B2CF" w14:textId="77777777" w:rsidR="00CD0A25" w:rsidRPr="00612D71" w:rsidRDefault="00CD0A25" w:rsidP="008F67E9">
            <w:pPr>
              <w:spacing w:after="58"/>
              <w:rPr>
                <w:sz w:val="22"/>
                <w:szCs w:val="22"/>
              </w:rPr>
            </w:pPr>
            <w:r w:rsidRPr="00612D71">
              <w:rPr>
                <w:sz w:val="22"/>
                <w:szCs w:val="22"/>
              </w:rPr>
              <w:t>Complete Paperwork and Store Information</w:t>
            </w:r>
          </w:p>
        </w:tc>
        <w:tc>
          <w:tcPr>
            <w:tcW w:w="1320" w:type="dxa"/>
          </w:tcPr>
          <w:p w14:paraId="07B6AD9B" w14:textId="77777777" w:rsidR="00CD0A25" w:rsidRPr="00612D71" w:rsidRDefault="00CD0A25" w:rsidP="008F67E9">
            <w:pPr>
              <w:spacing w:after="58"/>
              <w:jc w:val="center"/>
              <w:rPr>
                <w:sz w:val="22"/>
                <w:szCs w:val="22"/>
              </w:rPr>
            </w:pPr>
            <w:r w:rsidRPr="00612D71">
              <w:rPr>
                <w:sz w:val="22"/>
                <w:szCs w:val="22"/>
              </w:rPr>
              <w:t>0.00</w:t>
            </w:r>
          </w:p>
        </w:tc>
        <w:tc>
          <w:tcPr>
            <w:tcW w:w="1230" w:type="dxa"/>
          </w:tcPr>
          <w:p w14:paraId="062ED746" w14:textId="77777777" w:rsidR="00CD0A25" w:rsidRPr="00612D71" w:rsidRDefault="00CD0A25" w:rsidP="008F67E9">
            <w:pPr>
              <w:spacing w:after="58"/>
              <w:jc w:val="center"/>
              <w:rPr>
                <w:sz w:val="22"/>
                <w:szCs w:val="22"/>
              </w:rPr>
            </w:pPr>
            <w:r w:rsidRPr="00612D71">
              <w:rPr>
                <w:sz w:val="22"/>
                <w:szCs w:val="22"/>
              </w:rPr>
              <w:t>0.00</w:t>
            </w:r>
          </w:p>
        </w:tc>
        <w:tc>
          <w:tcPr>
            <w:tcW w:w="1230" w:type="dxa"/>
          </w:tcPr>
          <w:p w14:paraId="4E05423D" w14:textId="77777777" w:rsidR="00CD0A25" w:rsidRPr="00612D71" w:rsidRDefault="00CD0A25" w:rsidP="008F67E9">
            <w:pPr>
              <w:spacing w:after="58"/>
              <w:jc w:val="center"/>
              <w:rPr>
                <w:sz w:val="22"/>
                <w:szCs w:val="22"/>
              </w:rPr>
            </w:pPr>
            <w:r w:rsidRPr="00612D71">
              <w:rPr>
                <w:sz w:val="22"/>
                <w:szCs w:val="22"/>
              </w:rPr>
              <w:t>0.50</w:t>
            </w:r>
          </w:p>
        </w:tc>
        <w:tc>
          <w:tcPr>
            <w:tcW w:w="1304" w:type="dxa"/>
            <w:tcBorders>
              <w:left w:val="single" w:sz="15" w:space="0" w:color="000000"/>
            </w:tcBorders>
          </w:tcPr>
          <w:p w14:paraId="3ACB05A3" w14:textId="77777777" w:rsidR="00CD0A25" w:rsidRPr="00612D71" w:rsidRDefault="00CD0A25" w:rsidP="008F67E9">
            <w:pPr>
              <w:spacing w:after="58"/>
              <w:jc w:val="center"/>
              <w:rPr>
                <w:sz w:val="22"/>
                <w:szCs w:val="22"/>
              </w:rPr>
            </w:pPr>
            <w:r w:rsidRPr="00612D71">
              <w:rPr>
                <w:sz w:val="22"/>
                <w:szCs w:val="22"/>
              </w:rPr>
              <w:t>0.50</w:t>
            </w:r>
          </w:p>
        </w:tc>
        <w:tc>
          <w:tcPr>
            <w:tcW w:w="1305" w:type="dxa"/>
          </w:tcPr>
          <w:p w14:paraId="19A41223" w14:textId="77777777" w:rsidR="00CD0A25" w:rsidRPr="00612D71" w:rsidRDefault="00CD0A25" w:rsidP="008F67E9">
            <w:pPr>
              <w:spacing w:after="58"/>
              <w:jc w:val="right"/>
              <w:rPr>
                <w:sz w:val="22"/>
                <w:szCs w:val="22"/>
              </w:rPr>
            </w:pPr>
            <w:r>
              <w:rPr>
                <w:sz w:val="22"/>
                <w:szCs w:val="22"/>
              </w:rPr>
              <w:t>21.88</w:t>
            </w:r>
          </w:p>
        </w:tc>
      </w:tr>
      <w:tr w:rsidR="00CD0A25" w:rsidRPr="00612D71" w14:paraId="418C3635" w14:textId="77777777" w:rsidTr="008F67E9">
        <w:trPr>
          <w:jc w:val="center"/>
        </w:trPr>
        <w:tc>
          <w:tcPr>
            <w:tcW w:w="2970" w:type="dxa"/>
            <w:tcBorders>
              <w:top w:val="single" w:sz="15" w:space="0" w:color="000000"/>
              <w:bottom w:val="double" w:sz="4" w:space="0" w:color="000000"/>
              <w:right w:val="single" w:sz="15" w:space="0" w:color="000000"/>
            </w:tcBorders>
          </w:tcPr>
          <w:p w14:paraId="4E251881" w14:textId="77777777" w:rsidR="00CD0A25" w:rsidRPr="00612D71" w:rsidRDefault="00CD0A25" w:rsidP="008F67E9">
            <w:pPr>
              <w:spacing w:after="58"/>
              <w:rPr>
                <w:sz w:val="22"/>
                <w:szCs w:val="22"/>
              </w:rPr>
            </w:pPr>
            <w:r w:rsidRPr="00612D71">
              <w:rPr>
                <w:sz w:val="22"/>
                <w:szCs w:val="22"/>
              </w:rPr>
              <w:t>TOTAL</w:t>
            </w:r>
          </w:p>
        </w:tc>
        <w:tc>
          <w:tcPr>
            <w:tcW w:w="1320" w:type="dxa"/>
            <w:tcBorders>
              <w:top w:val="single" w:sz="15" w:space="0" w:color="000000"/>
              <w:bottom w:val="double" w:sz="4" w:space="0" w:color="000000"/>
            </w:tcBorders>
          </w:tcPr>
          <w:p w14:paraId="0029E3DC" w14:textId="77777777" w:rsidR="00CD0A25" w:rsidRPr="00612D71" w:rsidRDefault="00CD0A25" w:rsidP="008F67E9">
            <w:pPr>
              <w:spacing w:after="58"/>
              <w:jc w:val="center"/>
              <w:rPr>
                <w:sz w:val="22"/>
                <w:szCs w:val="22"/>
              </w:rPr>
            </w:pPr>
            <w:r w:rsidRPr="00612D71">
              <w:rPr>
                <w:sz w:val="22"/>
                <w:szCs w:val="22"/>
              </w:rPr>
              <w:t>0.00</w:t>
            </w:r>
          </w:p>
        </w:tc>
        <w:tc>
          <w:tcPr>
            <w:tcW w:w="1230" w:type="dxa"/>
            <w:tcBorders>
              <w:top w:val="single" w:sz="15" w:space="0" w:color="000000"/>
              <w:bottom w:val="double" w:sz="4" w:space="0" w:color="000000"/>
            </w:tcBorders>
          </w:tcPr>
          <w:p w14:paraId="62171DFA" w14:textId="77777777" w:rsidR="00CD0A25" w:rsidRPr="00612D71" w:rsidRDefault="00CD0A25" w:rsidP="008F67E9">
            <w:pPr>
              <w:spacing w:after="58"/>
              <w:jc w:val="center"/>
              <w:rPr>
                <w:sz w:val="22"/>
                <w:szCs w:val="22"/>
              </w:rPr>
            </w:pPr>
            <w:r w:rsidRPr="00612D71">
              <w:rPr>
                <w:sz w:val="22"/>
                <w:szCs w:val="22"/>
              </w:rPr>
              <w:t>5.00</w:t>
            </w:r>
          </w:p>
        </w:tc>
        <w:tc>
          <w:tcPr>
            <w:tcW w:w="1230" w:type="dxa"/>
            <w:tcBorders>
              <w:top w:val="single" w:sz="15" w:space="0" w:color="000000"/>
              <w:bottom w:val="double" w:sz="4" w:space="0" w:color="000000"/>
            </w:tcBorders>
          </w:tcPr>
          <w:p w14:paraId="2BE5DC5C" w14:textId="77777777" w:rsidR="00CD0A25" w:rsidRPr="00612D71" w:rsidRDefault="00CD0A25" w:rsidP="008F67E9">
            <w:pPr>
              <w:spacing w:after="58"/>
              <w:jc w:val="center"/>
              <w:rPr>
                <w:sz w:val="22"/>
                <w:szCs w:val="22"/>
              </w:rPr>
            </w:pPr>
            <w:r w:rsidRPr="00612D71">
              <w:rPr>
                <w:sz w:val="22"/>
                <w:szCs w:val="22"/>
              </w:rPr>
              <w:t>0.50</w:t>
            </w:r>
          </w:p>
        </w:tc>
        <w:tc>
          <w:tcPr>
            <w:tcW w:w="1304" w:type="dxa"/>
            <w:tcBorders>
              <w:top w:val="single" w:sz="15" w:space="0" w:color="000000"/>
              <w:left w:val="single" w:sz="15" w:space="0" w:color="000000"/>
              <w:bottom w:val="double" w:sz="4" w:space="0" w:color="000000"/>
            </w:tcBorders>
          </w:tcPr>
          <w:p w14:paraId="2C4383CC" w14:textId="77777777" w:rsidR="00CD0A25" w:rsidRPr="00612D71" w:rsidRDefault="00CD0A25" w:rsidP="008F67E9">
            <w:pPr>
              <w:spacing w:after="58"/>
              <w:jc w:val="center"/>
              <w:rPr>
                <w:sz w:val="22"/>
                <w:szCs w:val="22"/>
              </w:rPr>
            </w:pPr>
            <w:r w:rsidRPr="00612D71">
              <w:rPr>
                <w:sz w:val="22"/>
                <w:szCs w:val="22"/>
              </w:rPr>
              <w:t>5.50</w:t>
            </w:r>
          </w:p>
        </w:tc>
        <w:tc>
          <w:tcPr>
            <w:tcW w:w="1305" w:type="dxa"/>
            <w:tcBorders>
              <w:top w:val="single" w:sz="15" w:space="0" w:color="000000"/>
              <w:bottom w:val="double" w:sz="4" w:space="0" w:color="000000"/>
            </w:tcBorders>
          </w:tcPr>
          <w:p w14:paraId="352402CD" w14:textId="77777777" w:rsidR="00CD0A25" w:rsidRPr="00612D71" w:rsidRDefault="00CD0A25" w:rsidP="008F67E9">
            <w:pPr>
              <w:spacing w:after="58"/>
              <w:jc w:val="right"/>
              <w:rPr>
                <w:sz w:val="22"/>
                <w:szCs w:val="22"/>
              </w:rPr>
            </w:pPr>
            <w:r>
              <w:rPr>
                <w:sz w:val="22"/>
                <w:szCs w:val="22"/>
              </w:rPr>
              <w:t>354.29</w:t>
            </w:r>
          </w:p>
        </w:tc>
      </w:tr>
    </w:tbl>
    <w:p w14:paraId="3B0870E3" w14:textId="77777777" w:rsidR="00CD0A25" w:rsidRPr="00612D71" w:rsidRDefault="00CD0A25" w:rsidP="00CD0A25">
      <w:pPr>
        <w:rPr>
          <w:sz w:val="22"/>
          <w:szCs w:val="22"/>
        </w:rPr>
      </w:pPr>
      <w:r w:rsidRPr="00612D71">
        <w:rPr>
          <w:sz w:val="22"/>
          <w:szCs w:val="22"/>
        </w:rPr>
        <w:t>ANNUAL BURDEN:</w:t>
      </w:r>
      <w:r w:rsidRPr="00612D71">
        <w:rPr>
          <w:sz w:val="22"/>
          <w:szCs w:val="22"/>
        </w:rPr>
        <w:tab/>
        <w:t xml:space="preserve">5.5 hours x </w:t>
      </w:r>
      <w:r>
        <w:rPr>
          <w:sz w:val="22"/>
          <w:szCs w:val="22"/>
        </w:rPr>
        <w:t>1,680</w:t>
      </w:r>
      <w:r w:rsidRPr="00612D71">
        <w:rPr>
          <w:sz w:val="22"/>
          <w:szCs w:val="22"/>
        </w:rPr>
        <w:t xml:space="preserve"> exported registered products = </w:t>
      </w:r>
      <w:r>
        <w:rPr>
          <w:sz w:val="22"/>
          <w:szCs w:val="22"/>
        </w:rPr>
        <w:t>9,240</w:t>
      </w:r>
      <w:r w:rsidRPr="00612D71">
        <w:rPr>
          <w:sz w:val="22"/>
          <w:szCs w:val="22"/>
        </w:rPr>
        <w:t xml:space="preserve"> hours</w:t>
      </w:r>
    </w:p>
    <w:p w14:paraId="4DDF81F1" w14:textId="77777777" w:rsidR="00CD0A25" w:rsidRDefault="00CD0A25" w:rsidP="00CD0A25">
      <w:pPr>
        <w:widowControl/>
        <w:rPr>
          <w:sz w:val="22"/>
          <w:szCs w:val="22"/>
        </w:rPr>
      </w:pPr>
      <w:r w:rsidRPr="00612D71">
        <w:rPr>
          <w:sz w:val="22"/>
          <w:szCs w:val="22"/>
        </w:rPr>
        <w:t xml:space="preserve">ANNUAL COSTS:  </w:t>
      </w:r>
      <w:r w:rsidRPr="00612D71">
        <w:rPr>
          <w:sz w:val="22"/>
          <w:szCs w:val="22"/>
        </w:rPr>
        <w:tab/>
        <w:t>$</w:t>
      </w:r>
      <w:r>
        <w:rPr>
          <w:sz w:val="22"/>
          <w:szCs w:val="22"/>
        </w:rPr>
        <w:t>354.29</w:t>
      </w:r>
      <w:r w:rsidRPr="00612D71">
        <w:rPr>
          <w:sz w:val="22"/>
          <w:szCs w:val="22"/>
        </w:rPr>
        <w:t xml:space="preserve"> x </w:t>
      </w:r>
      <w:r>
        <w:rPr>
          <w:sz w:val="22"/>
          <w:szCs w:val="22"/>
        </w:rPr>
        <w:t>1,680</w:t>
      </w:r>
      <w:r w:rsidRPr="00612D71">
        <w:rPr>
          <w:sz w:val="22"/>
          <w:szCs w:val="22"/>
        </w:rPr>
        <w:t xml:space="preserve"> exported registered products = $</w:t>
      </w:r>
      <w:r>
        <w:rPr>
          <w:sz w:val="22"/>
          <w:szCs w:val="22"/>
        </w:rPr>
        <w:t>595,209</w:t>
      </w:r>
    </w:p>
    <w:p w14:paraId="1288CD5A" w14:textId="77777777" w:rsidR="00CD0A25" w:rsidRPr="008E5C96" w:rsidRDefault="00CD0A25" w:rsidP="00CD0A25">
      <w:pPr>
        <w:pStyle w:val="FootnoteText"/>
        <w:keepNext/>
        <w:keepLines/>
      </w:pPr>
      <w:r w:rsidRPr="008E5C96">
        <w:rPr>
          <w:vertAlign w:val="superscript"/>
        </w:rPr>
        <w:t>1</w:t>
      </w:r>
      <w:r w:rsidRPr="008E5C96">
        <w:t xml:space="preserve"> Hourly wages rates are fully loaded wage rates based on NAICS </w:t>
      </w:r>
      <w:r>
        <w:t>3250A1</w:t>
      </w:r>
      <w:r w:rsidRPr="008E5C96">
        <w:t xml:space="preserve"> </w:t>
      </w:r>
      <w:r>
        <w:t>–</w:t>
      </w:r>
      <w:r w:rsidRPr="008E5C96">
        <w:t xml:space="preserve"> </w:t>
      </w:r>
      <w:r>
        <w:t>Chemical Manufacturing (3251, 3252, 3253, and 3259 only)</w:t>
      </w:r>
      <w:r w:rsidRPr="008E5C96">
        <w:t xml:space="preserve"> from U.S. Dept. of Labor, Bureau of Labor Statistics, May 201</w:t>
      </w:r>
      <w:r>
        <w:t>7</w:t>
      </w:r>
      <w:r w:rsidRPr="008E5C96">
        <w:t xml:space="preserve">. See Attachment </w:t>
      </w:r>
      <w:r>
        <w:t>D</w:t>
      </w:r>
      <w:r w:rsidRPr="008E5C96">
        <w:t xml:space="preserve"> for wage calculations. </w:t>
      </w:r>
    </w:p>
    <w:p w14:paraId="253A9E29" w14:textId="77777777" w:rsidR="00CD0A25" w:rsidRDefault="00CD0A25" w:rsidP="00CD0A25">
      <w:pPr>
        <w:tabs>
          <w:tab w:val="left" w:pos="-1440"/>
        </w:tabs>
        <w:rPr>
          <w:sz w:val="20"/>
          <w:szCs w:val="20"/>
        </w:rPr>
      </w:pPr>
      <w:r w:rsidRPr="008E5C96">
        <w:rPr>
          <w:sz w:val="20"/>
          <w:szCs w:val="20"/>
          <w:vertAlign w:val="superscript"/>
        </w:rPr>
        <w:t>2</w:t>
      </w:r>
      <w:r w:rsidRPr="008E5C96">
        <w:rPr>
          <w:sz w:val="20"/>
          <w:szCs w:val="20"/>
        </w:rPr>
        <w:t xml:space="preserve"> Totals may not sum due to rounding.</w:t>
      </w:r>
    </w:p>
    <w:p w14:paraId="665A59C9" w14:textId="77777777" w:rsidR="00C16E62" w:rsidRDefault="00C16E62" w:rsidP="00CD0A25">
      <w:pPr>
        <w:ind w:firstLine="720"/>
        <w:rPr>
          <w:b/>
          <w:bCs/>
        </w:rPr>
      </w:pPr>
    </w:p>
    <w:p w14:paraId="7EEEDBA6" w14:textId="00AF764F" w:rsidR="00CD0A25" w:rsidRDefault="00CD0A25" w:rsidP="00CD0A25">
      <w:pPr>
        <w:ind w:firstLine="720"/>
      </w:pPr>
      <w:r>
        <w:rPr>
          <w:b/>
          <w:bCs/>
        </w:rPr>
        <w:t>6(c)</w:t>
      </w:r>
      <w:r>
        <w:rPr>
          <w:b/>
          <w:bCs/>
        </w:rPr>
        <w:tab/>
        <w:t>Estimating Agency Burden and Cost</w:t>
      </w:r>
    </w:p>
    <w:p w14:paraId="2C6D7461" w14:textId="77777777" w:rsidR="00CD0A25" w:rsidRDefault="00CD0A25" w:rsidP="00CD0A25"/>
    <w:p w14:paraId="7E16777D" w14:textId="26C0CB0E" w:rsidR="00CD0A25" w:rsidRDefault="00CD0A25" w:rsidP="00CD0A25">
      <w:pPr>
        <w:ind w:firstLine="720"/>
      </w:pPr>
      <w:r w:rsidRPr="00FC6246">
        <w:t xml:space="preserve">Agency costs for this information collection </w:t>
      </w:r>
      <w:r>
        <w:t>consist mainly of FTE time spent, the majority of which is due to</w:t>
      </w:r>
      <w:r w:rsidRPr="00FC6246">
        <w:t xml:space="preserve"> record keeping associated with the receipt of the acknowledgment statements</w:t>
      </w:r>
      <w:r>
        <w:t>,</w:t>
      </w:r>
      <w:r w:rsidRPr="00FC6246">
        <w:t xml:space="preserve"> </w:t>
      </w:r>
      <w:r>
        <w:t xml:space="preserve">review of transmissions to be sent to foreign governments, </w:t>
      </w:r>
      <w:r w:rsidRPr="00FC6246">
        <w:t xml:space="preserve">and costs associated with the transmittal of acknowledgment statements to the appropriate government official in the importing country. EPA estimated hourly burden at </w:t>
      </w:r>
      <w:r>
        <w:t>0.33</w:t>
      </w:r>
      <w:r w:rsidRPr="00FC6246">
        <w:t xml:space="preserve"> hours (around </w:t>
      </w:r>
      <w:r>
        <w:t>20</w:t>
      </w:r>
      <w:r w:rsidRPr="00FC6246">
        <w:t xml:space="preserve"> minutes) per statement.</w:t>
      </w:r>
      <w:r>
        <w:t xml:space="preserve"> </w:t>
      </w:r>
      <w:r w:rsidRPr="00066122">
        <w:t>Based on this estimate, annual costs are determined by multiplying hourly burden by the wage rate for technical labor.</w:t>
      </w:r>
      <w:r>
        <w:t xml:space="preserve"> This estimate represents an increase of 431 burden hours since the previous renewal. This decrease is due to the automation of the filing and transmission process described in section 5(a). </w:t>
      </w:r>
    </w:p>
    <w:p w14:paraId="6B4A6470" w14:textId="77777777" w:rsidR="00E97364" w:rsidRDefault="00E97364" w:rsidP="00CD0A25"/>
    <w:p w14:paraId="09F45679" w14:textId="28F5EBD2" w:rsidR="00CD0A25" w:rsidRPr="0000573B" w:rsidRDefault="00CD0A25" w:rsidP="00CD0A25">
      <w:pPr>
        <w:rPr>
          <w:b/>
          <w:bCs/>
        </w:rPr>
      </w:pPr>
      <w:r>
        <w:rPr>
          <w:b/>
          <w:bCs/>
        </w:rPr>
        <w:t>Table 4.</w:t>
      </w:r>
      <w:r>
        <w:rPr>
          <w:b/>
          <w:bCs/>
        </w:rPr>
        <w:tab/>
      </w:r>
      <w:r w:rsidRPr="0000573B">
        <w:rPr>
          <w:b/>
          <w:bCs/>
        </w:rPr>
        <w:t>Agency Processing Burden for FPAS Requirement</w:t>
      </w:r>
    </w:p>
    <w:tbl>
      <w:tblPr>
        <w:tblW w:w="0" w:type="auto"/>
        <w:jc w:val="cente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5760"/>
        <w:gridCol w:w="1680"/>
        <w:gridCol w:w="1800"/>
      </w:tblGrid>
      <w:tr w:rsidR="00CD0A25" w:rsidRPr="00E34358" w14:paraId="7392E7AD" w14:textId="77777777" w:rsidTr="008F67E9">
        <w:trPr>
          <w:cantSplit/>
          <w:jc w:val="center"/>
        </w:trPr>
        <w:tc>
          <w:tcPr>
            <w:tcW w:w="5760" w:type="dxa"/>
            <w:tcBorders>
              <w:bottom w:val="single" w:sz="6" w:space="0" w:color="000000"/>
              <w:right w:val="single" w:sz="18" w:space="0" w:color="000000"/>
            </w:tcBorders>
            <w:shd w:val="clear" w:color="000000" w:fill="FFFFFF"/>
          </w:tcPr>
          <w:p w14:paraId="7DA6148E" w14:textId="77777777" w:rsidR="00CD0A25" w:rsidRPr="00E34358" w:rsidRDefault="00CD0A25" w:rsidP="008F67E9">
            <w:pPr>
              <w:tabs>
                <w:tab w:val="center" w:pos="2760"/>
                <w:tab w:val="left" w:pos="4051"/>
              </w:tabs>
              <w:spacing w:after="58"/>
              <w:rPr>
                <w:sz w:val="22"/>
                <w:szCs w:val="22"/>
              </w:rPr>
            </w:pPr>
            <w:r w:rsidRPr="0000573B">
              <w:rPr>
                <w:sz w:val="22"/>
                <w:szCs w:val="22"/>
              </w:rPr>
              <w:tab/>
            </w:r>
            <w:r w:rsidRPr="00E34358">
              <w:rPr>
                <w:sz w:val="22"/>
                <w:szCs w:val="22"/>
              </w:rPr>
              <w:t>Collection Activity</w:t>
            </w:r>
            <w:r w:rsidRPr="00E34358">
              <w:rPr>
                <w:sz w:val="22"/>
                <w:szCs w:val="22"/>
              </w:rPr>
              <w:tab/>
            </w:r>
          </w:p>
        </w:tc>
        <w:tc>
          <w:tcPr>
            <w:tcW w:w="1680" w:type="dxa"/>
            <w:tcBorders>
              <w:top w:val="double" w:sz="4" w:space="0" w:color="auto"/>
              <w:left w:val="single" w:sz="18" w:space="0" w:color="000000"/>
              <w:bottom w:val="single" w:sz="6" w:space="0" w:color="000000"/>
              <w:right w:val="single" w:sz="18" w:space="0" w:color="000000"/>
            </w:tcBorders>
            <w:shd w:val="clear" w:color="000000" w:fill="FFFFFF"/>
          </w:tcPr>
          <w:p w14:paraId="676F790E" w14:textId="77777777" w:rsidR="00CD0A25" w:rsidRPr="00E34358" w:rsidRDefault="00CD0A25" w:rsidP="008F67E9">
            <w:pPr>
              <w:spacing w:after="58"/>
              <w:jc w:val="center"/>
              <w:rPr>
                <w:sz w:val="22"/>
                <w:szCs w:val="22"/>
              </w:rPr>
            </w:pPr>
            <w:r w:rsidRPr="00E34358">
              <w:rPr>
                <w:sz w:val="22"/>
                <w:szCs w:val="22"/>
              </w:rPr>
              <w:t>Hours</w:t>
            </w:r>
          </w:p>
        </w:tc>
        <w:tc>
          <w:tcPr>
            <w:tcW w:w="1800" w:type="dxa"/>
            <w:tcBorders>
              <w:left w:val="single" w:sz="18" w:space="0" w:color="000000"/>
              <w:bottom w:val="single" w:sz="6" w:space="0" w:color="000000"/>
            </w:tcBorders>
            <w:shd w:val="clear" w:color="000000" w:fill="FFFFFF"/>
          </w:tcPr>
          <w:p w14:paraId="3A83F676" w14:textId="77777777" w:rsidR="00CD0A25" w:rsidRPr="00E34358" w:rsidRDefault="00CD0A25" w:rsidP="008F67E9">
            <w:pPr>
              <w:spacing w:after="58"/>
              <w:jc w:val="center"/>
              <w:rPr>
                <w:sz w:val="22"/>
                <w:szCs w:val="22"/>
              </w:rPr>
            </w:pPr>
            <w:r w:rsidRPr="00E34358">
              <w:rPr>
                <w:sz w:val="22"/>
                <w:szCs w:val="22"/>
              </w:rPr>
              <w:t>Annual Cost ($)</w:t>
            </w:r>
          </w:p>
        </w:tc>
      </w:tr>
      <w:tr w:rsidR="00CD0A25" w:rsidRPr="00E34358" w14:paraId="324C2C8F" w14:textId="77777777" w:rsidTr="008F67E9">
        <w:trPr>
          <w:cantSplit/>
          <w:trHeight w:val="363"/>
          <w:jc w:val="center"/>
        </w:trPr>
        <w:tc>
          <w:tcPr>
            <w:tcW w:w="5760" w:type="dxa"/>
            <w:tcBorders>
              <w:top w:val="single" w:sz="6" w:space="0" w:color="000000"/>
              <w:bottom w:val="single" w:sz="18" w:space="0" w:color="000000"/>
              <w:right w:val="single" w:sz="18" w:space="0" w:color="000000"/>
            </w:tcBorders>
            <w:shd w:val="clear" w:color="000000" w:fill="auto"/>
          </w:tcPr>
          <w:p w14:paraId="65CEDDBE" w14:textId="77777777" w:rsidR="00CD0A25" w:rsidRPr="00E34358" w:rsidRDefault="00CD0A25" w:rsidP="008F67E9">
            <w:pPr>
              <w:spacing w:line="120" w:lineRule="exact"/>
              <w:rPr>
                <w:sz w:val="22"/>
                <w:szCs w:val="22"/>
              </w:rPr>
            </w:pPr>
          </w:p>
        </w:tc>
        <w:tc>
          <w:tcPr>
            <w:tcW w:w="1680" w:type="dxa"/>
            <w:tcBorders>
              <w:top w:val="single" w:sz="6" w:space="0" w:color="000000"/>
              <w:left w:val="single" w:sz="18" w:space="0" w:color="000000"/>
              <w:bottom w:val="single" w:sz="18" w:space="0" w:color="000000"/>
              <w:right w:val="single" w:sz="18" w:space="0" w:color="000000"/>
            </w:tcBorders>
            <w:shd w:val="clear" w:color="000000" w:fill="auto"/>
            <w:vAlign w:val="center"/>
          </w:tcPr>
          <w:p w14:paraId="4C1DB2A4" w14:textId="77777777" w:rsidR="00CD0A25" w:rsidRDefault="00CD0A25" w:rsidP="008F67E9">
            <w:pPr>
              <w:widowControl/>
              <w:jc w:val="center"/>
              <w:rPr>
                <w:sz w:val="22"/>
                <w:szCs w:val="22"/>
              </w:rPr>
            </w:pPr>
            <w:r>
              <w:rPr>
                <w:sz w:val="22"/>
                <w:szCs w:val="22"/>
              </w:rPr>
              <w:t>Technical</w:t>
            </w:r>
          </w:p>
          <w:p w14:paraId="2A5B17A5" w14:textId="77777777" w:rsidR="00CD0A25" w:rsidRPr="00E34358" w:rsidRDefault="00CD0A25" w:rsidP="008F67E9">
            <w:pPr>
              <w:widowControl/>
              <w:jc w:val="center"/>
              <w:rPr>
                <w:sz w:val="22"/>
                <w:szCs w:val="22"/>
              </w:rPr>
            </w:pPr>
            <w:r w:rsidRPr="00E34358">
              <w:rPr>
                <w:sz w:val="22"/>
                <w:szCs w:val="22"/>
              </w:rPr>
              <w:t>$</w:t>
            </w:r>
            <w:r>
              <w:rPr>
                <w:sz w:val="22"/>
                <w:szCs w:val="22"/>
              </w:rPr>
              <w:t>82.67</w:t>
            </w:r>
            <w:r w:rsidRPr="00E34358">
              <w:rPr>
                <w:sz w:val="22"/>
                <w:szCs w:val="22"/>
              </w:rPr>
              <w:t>/hr</w:t>
            </w:r>
          </w:p>
        </w:tc>
        <w:tc>
          <w:tcPr>
            <w:tcW w:w="1800" w:type="dxa"/>
            <w:tcBorders>
              <w:top w:val="single" w:sz="6" w:space="0" w:color="000000"/>
              <w:left w:val="single" w:sz="18" w:space="0" w:color="000000"/>
              <w:bottom w:val="single" w:sz="18" w:space="0" w:color="000000"/>
            </w:tcBorders>
            <w:shd w:val="clear" w:color="000000" w:fill="auto"/>
          </w:tcPr>
          <w:p w14:paraId="03A6D529" w14:textId="77777777" w:rsidR="00CD0A25" w:rsidRPr="00E34358" w:rsidRDefault="00CD0A25" w:rsidP="008F67E9">
            <w:pPr>
              <w:spacing w:line="120" w:lineRule="exact"/>
              <w:rPr>
                <w:sz w:val="22"/>
                <w:szCs w:val="22"/>
              </w:rPr>
            </w:pPr>
          </w:p>
        </w:tc>
      </w:tr>
      <w:tr w:rsidR="00CD0A25" w:rsidRPr="00E34358" w14:paraId="31948229" w14:textId="77777777" w:rsidTr="008F67E9">
        <w:trPr>
          <w:cantSplit/>
          <w:jc w:val="center"/>
        </w:trPr>
        <w:tc>
          <w:tcPr>
            <w:tcW w:w="5760" w:type="dxa"/>
            <w:tcBorders>
              <w:top w:val="single" w:sz="18" w:space="0" w:color="000000"/>
              <w:right w:val="single" w:sz="18" w:space="0" w:color="000000"/>
            </w:tcBorders>
          </w:tcPr>
          <w:p w14:paraId="2F56394D" w14:textId="77777777" w:rsidR="00CD0A25" w:rsidRPr="00E34358" w:rsidRDefault="00CD0A25" w:rsidP="008F67E9">
            <w:pPr>
              <w:spacing w:after="58"/>
              <w:rPr>
                <w:sz w:val="22"/>
                <w:szCs w:val="22"/>
              </w:rPr>
            </w:pPr>
            <w:r w:rsidRPr="00E34358">
              <w:rPr>
                <w:sz w:val="22"/>
                <w:szCs w:val="22"/>
              </w:rPr>
              <w:t>Receive, review acknowledgment statements for com</w:t>
            </w:r>
            <w:r>
              <w:rPr>
                <w:sz w:val="22"/>
                <w:szCs w:val="22"/>
              </w:rPr>
              <w:t>pleteness, and scan to make digital copies</w:t>
            </w:r>
          </w:p>
        </w:tc>
        <w:tc>
          <w:tcPr>
            <w:tcW w:w="1680" w:type="dxa"/>
            <w:tcBorders>
              <w:top w:val="single" w:sz="18" w:space="0" w:color="000000"/>
              <w:left w:val="single" w:sz="18" w:space="0" w:color="000000"/>
              <w:bottom w:val="single" w:sz="6" w:space="0" w:color="000000"/>
              <w:right w:val="single" w:sz="18" w:space="0" w:color="000000"/>
            </w:tcBorders>
          </w:tcPr>
          <w:p w14:paraId="19E1002A" w14:textId="77777777" w:rsidR="00CD0A25" w:rsidRPr="00E34358" w:rsidRDefault="00CD0A25" w:rsidP="008F67E9">
            <w:pPr>
              <w:spacing w:after="58"/>
              <w:jc w:val="center"/>
              <w:rPr>
                <w:sz w:val="22"/>
                <w:szCs w:val="22"/>
              </w:rPr>
            </w:pPr>
            <w:r>
              <w:rPr>
                <w:sz w:val="22"/>
                <w:szCs w:val="22"/>
              </w:rPr>
              <w:t>0.12</w:t>
            </w:r>
          </w:p>
        </w:tc>
        <w:tc>
          <w:tcPr>
            <w:tcW w:w="1800" w:type="dxa"/>
            <w:tcBorders>
              <w:top w:val="single" w:sz="18" w:space="0" w:color="000000"/>
              <w:left w:val="single" w:sz="18" w:space="0" w:color="000000"/>
            </w:tcBorders>
          </w:tcPr>
          <w:p w14:paraId="67CFFFC8" w14:textId="77777777" w:rsidR="00CD0A25" w:rsidRPr="00E34358" w:rsidRDefault="00CD0A25" w:rsidP="008F67E9">
            <w:pPr>
              <w:spacing w:after="58"/>
              <w:jc w:val="center"/>
              <w:rPr>
                <w:sz w:val="22"/>
                <w:szCs w:val="22"/>
              </w:rPr>
            </w:pPr>
            <w:r>
              <w:rPr>
                <w:sz w:val="22"/>
                <w:szCs w:val="22"/>
              </w:rPr>
              <w:t>9.65</w:t>
            </w:r>
          </w:p>
        </w:tc>
      </w:tr>
      <w:tr w:rsidR="00CD0A25" w:rsidRPr="00E34358" w14:paraId="0D5C81BF" w14:textId="77777777" w:rsidTr="008F67E9">
        <w:trPr>
          <w:cantSplit/>
          <w:jc w:val="center"/>
        </w:trPr>
        <w:tc>
          <w:tcPr>
            <w:tcW w:w="5760" w:type="dxa"/>
            <w:tcBorders>
              <w:right w:val="single" w:sz="18" w:space="0" w:color="000000"/>
            </w:tcBorders>
          </w:tcPr>
          <w:p w14:paraId="295224F4" w14:textId="77777777" w:rsidR="00CD0A25" w:rsidRPr="00E34358" w:rsidRDefault="00CD0A25" w:rsidP="008F67E9">
            <w:pPr>
              <w:spacing w:after="58"/>
              <w:rPr>
                <w:sz w:val="22"/>
                <w:szCs w:val="22"/>
              </w:rPr>
            </w:pPr>
            <w:r w:rsidRPr="00E34358">
              <w:rPr>
                <w:sz w:val="22"/>
                <w:szCs w:val="22"/>
              </w:rPr>
              <w:t>Data entry of information in acknowledgment statements</w:t>
            </w:r>
          </w:p>
        </w:tc>
        <w:tc>
          <w:tcPr>
            <w:tcW w:w="1680" w:type="dxa"/>
            <w:tcBorders>
              <w:top w:val="single" w:sz="6" w:space="0" w:color="000000"/>
              <w:left w:val="single" w:sz="18" w:space="0" w:color="000000"/>
              <w:bottom w:val="single" w:sz="6" w:space="0" w:color="000000"/>
              <w:right w:val="single" w:sz="18" w:space="0" w:color="000000"/>
            </w:tcBorders>
          </w:tcPr>
          <w:p w14:paraId="4F60781C" w14:textId="77777777" w:rsidR="00CD0A25" w:rsidRPr="00E34358" w:rsidRDefault="00CD0A25" w:rsidP="008F67E9">
            <w:pPr>
              <w:spacing w:after="58"/>
              <w:jc w:val="center"/>
              <w:rPr>
                <w:sz w:val="22"/>
                <w:szCs w:val="22"/>
              </w:rPr>
            </w:pPr>
            <w:r>
              <w:rPr>
                <w:sz w:val="22"/>
                <w:szCs w:val="22"/>
              </w:rPr>
              <w:t>0.07</w:t>
            </w:r>
          </w:p>
        </w:tc>
        <w:tc>
          <w:tcPr>
            <w:tcW w:w="1800" w:type="dxa"/>
            <w:tcBorders>
              <w:left w:val="single" w:sz="18" w:space="0" w:color="000000"/>
            </w:tcBorders>
          </w:tcPr>
          <w:p w14:paraId="42ECB159" w14:textId="77777777" w:rsidR="00CD0A25" w:rsidRPr="00E34358" w:rsidRDefault="00CD0A25" w:rsidP="008F67E9">
            <w:pPr>
              <w:spacing w:after="58"/>
              <w:jc w:val="center"/>
              <w:rPr>
                <w:sz w:val="22"/>
                <w:szCs w:val="22"/>
              </w:rPr>
            </w:pPr>
            <w:r>
              <w:rPr>
                <w:sz w:val="22"/>
                <w:szCs w:val="22"/>
              </w:rPr>
              <w:t>5.51</w:t>
            </w:r>
          </w:p>
        </w:tc>
      </w:tr>
      <w:tr w:rsidR="00CD0A25" w:rsidRPr="00E34358" w14:paraId="2F068521" w14:textId="77777777" w:rsidTr="008F67E9">
        <w:trPr>
          <w:cantSplit/>
          <w:jc w:val="center"/>
        </w:trPr>
        <w:tc>
          <w:tcPr>
            <w:tcW w:w="5760" w:type="dxa"/>
            <w:tcBorders>
              <w:right w:val="single" w:sz="18" w:space="0" w:color="000000"/>
            </w:tcBorders>
          </w:tcPr>
          <w:p w14:paraId="30EA2AC5" w14:textId="77777777" w:rsidR="00CD0A25" w:rsidRPr="00E34358" w:rsidRDefault="00CD0A25" w:rsidP="008F67E9">
            <w:pPr>
              <w:spacing w:after="58"/>
              <w:rPr>
                <w:sz w:val="22"/>
                <w:szCs w:val="22"/>
              </w:rPr>
            </w:pPr>
            <w:r w:rsidRPr="00E34358">
              <w:rPr>
                <w:sz w:val="22"/>
                <w:szCs w:val="22"/>
              </w:rPr>
              <w:t>Make necessary copies and transmit submission to appropriate government officials of importing countries</w:t>
            </w:r>
          </w:p>
        </w:tc>
        <w:tc>
          <w:tcPr>
            <w:tcW w:w="1680" w:type="dxa"/>
            <w:tcBorders>
              <w:top w:val="single" w:sz="6" w:space="0" w:color="000000"/>
              <w:left w:val="single" w:sz="18" w:space="0" w:color="000000"/>
              <w:bottom w:val="single" w:sz="6" w:space="0" w:color="000000"/>
              <w:right w:val="single" w:sz="18" w:space="0" w:color="000000"/>
            </w:tcBorders>
          </w:tcPr>
          <w:p w14:paraId="22778BC1" w14:textId="77777777" w:rsidR="00CD0A25" w:rsidRPr="00E34358" w:rsidRDefault="00CD0A25" w:rsidP="008F67E9">
            <w:pPr>
              <w:spacing w:after="58"/>
              <w:jc w:val="center"/>
              <w:rPr>
                <w:sz w:val="22"/>
                <w:szCs w:val="22"/>
              </w:rPr>
            </w:pPr>
            <w:r>
              <w:rPr>
                <w:sz w:val="22"/>
                <w:szCs w:val="22"/>
              </w:rPr>
              <w:t>0.05</w:t>
            </w:r>
          </w:p>
        </w:tc>
        <w:tc>
          <w:tcPr>
            <w:tcW w:w="1800" w:type="dxa"/>
            <w:tcBorders>
              <w:left w:val="single" w:sz="18" w:space="0" w:color="000000"/>
            </w:tcBorders>
          </w:tcPr>
          <w:p w14:paraId="5F3929D4" w14:textId="77777777" w:rsidR="00CD0A25" w:rsidRPr="00E34358" w:rsidRDefault="00CD0A25" w:rsidP="008F67E9">
            <w:pPr>
              <w:spacing w:after="58"/>
              <w:jc w:val="center"/>
              <w:rPr>
                <w:sz w:val="22"/>
                <w:szCs w:val="22"/>
              </w:rPr>
            </w:pPr>
            <w:r>
              <w:rPr>
                <w:sz w:val="22"/>
                <w:szCs w:val="22"/>
              </w:rPr>
              <w:t>4.13</w:t>
            </w:r>
          </w:p>
        </w:tc>
      </w:tr>
      <w:tr w:rsidR="00CD0A25" w:rsidRPr="00E34358" w14:paraId="05415EC5" w14:textId="77777777" w:rsidTr="008F67E9">
        <w:trPr>
          <w:cantSplit/>
          <w:jc w:val="center"/>
        </w:trPr>
        <w:tc>
          <w:tcPr>
            <w:tcW w:w="5760" w:type="dxa"/>
            <w:tcBorders>
              <w:right w:val="single" w:sz="18" w:space="0" w:color="000000"/>
            </w:tcBorders>
          </w:tcPr>
          <w:p w14:paraId="282E1809" w14:textId="77777777" w:rsidR="00CD0A25" w:rsidRPr="00E34358" w:rsidRDefault="00CD0A25" w:rsidP="008F67E9">
            <w:pPr>
              <w:spacing w:after="58"/>
              <w:rPr>
                <w:sz w:val="22"/>
                <w:szCs w:val="22"/>
              </w:rPr>
            </w:pPr>
            <w:r>
              <w:rPr>
                <w:sz w:val="22"/>
                <w:szCs w:val="22"/>
              </w:rPr>
              <w:t xml:space="preserve">Review of prepared submission by OPP international team staff or GISB management, and transmission of the documentation to the appropriate government authority </w:t>
            </w:r>
          </w:p>
        </w:tc>
        <w:tc>
          <w:tcPr>
            <w:tcW w:w="1680" w:type="dxa"/>
            <w:tcBorders>
              <w:top w:val="single" w:sz="6" w:space="0" w:color="000000"/>
              <w:left w:val="single" w:sz="18" w:space="0" w:color="000000"/>
              <w:bottom w:val="single" w:sz="6" w:space="0" w:color="000000"/>
              <w:right w:val="single" w:sz="18" w:space="0" w:color="000000"/>
            </w:tcBorders>
          </w:tcPr>
          <w:p w14:paraId="0B5CCAF8" w14:textId="77777777" w:rsidR="00CD0A25" w:rsidRDefault="00CD0A25" w:rsidP="008F67E9">
            <w:pPr>
              <w:spacing w:after="58"/>
              <w:jc w:val="center"/>
              <w:rPr>
                <w:sz w:val="22"/>
                <w:szCs w:val="22"/>
              </w:rPr>
            </w:pPr>
            <w:r>
              <w:rPr>
                <w:sz w:val="22"/>
                <w:szCs w:val="22"/>
              </w:rPr>
              <w:t>0.05</w:t>
            </w:r>
          </w:p>
        </w:tc>
        <w:tc>
          <w:tcPr>
            <w:tcW w:w="1800" w:type="dxa"/>
            <w:tcBorders>
              <w:left w:val="single" w:sz="18" w:space="0" w:color="000000"/>
            </w:tcBorders>
          </w:tcPr>
          <w:p w14:paraId="01E33A54" w14:textId="77777777" w:rsidR="00CD0A25" w:rsidRDefault="00CD0A25" w:rsidP="008F67E9">
            <w:pPr>
              <w:spacing w:after="58"/>
              <w:jc w:val="center"/>
              <w:rPr>
                <w:sz w:val="22"/>
                <w:szCs w:val="22"/>
              </w:rPr>
            </w:pPr>
            <w:r>
              <w:rPr>
                <w:sz w:val="22"/>
                <w:szCs w:val="22"/>
              </w:rPr>
              <w:t>4.13</w:t>
            </w:r>
          </w:p>
        </w:tc>
      </w:tr>
      <w:tr w:rsidR="00CD0A25" w:rsidRPr="00E34358" w14:paraId="2B59D6F7" w14:textId="77777777" w:rsidTr="008F67E9">
        <w:trPr>
          <w:cantSplit/>
          <w:jc w:val="center"/>
        </w:trPr>
        <w:tc>
          <w:tcPr>
            <w:tcW w:w="5760" w:type="dxa"/>
            <w:tcBorders>
              <w:bottom w:val="single" w:sz="18" w:space="0" w:color="000000"/>
              <w:right w:val="single" w:sz="18" w:space="0" w:color="000000"/>
            </w:tcBorders>
          </w:tcPr>
          <w:p w14:paraId="37DD4C2A" w14:textId="77777777" w:rsidR="00CD0A25" w:rsidRPr="00E34358" w:rsidRDefault="00CD0A25" w:rsidP="008F67E9">
            <w:pPr>
              <w:spacing w:after="58"/>
              <w:rPr>
                <w:sz w:val="22"/>
                <w:szCs w:val="22"/>
              </w:rPr>
            </w:pPr>
            <w:r w:rsidRPr="00E34358">
              <w:rPr>
                <w:sz w:val="22"/>
                <w:szCs w:val="22"/>
              </w:rPr>
              <w:t>Maintain a file of all submissions</w:t>
            </w:r>
          </w:p>
        </w:tc>
        <w:tc>
          <w:tcPr>
            <w:tcW w:w="1680" w:type="dxa"/>
            <w:tcBorders>
              <w:top w:val="single" w:sz="6" w:space="0" w:color="000000"/>
              <w:left w:val="single" w:sz="18" w:space="0" w:color="000000"/>
              <w:bottom w:val="single" w:sz="18" w:space="0" w:color="000000"/>
              <w:right w:val="single" w:sz="18" w:space="0" w:color="000000"/>
            </w:tcBorders>
          </w:tcPr>
          <w:p w14:paraId="3FBFB241" w14:textId="77777777" w:rsidR="00CD0A25" w:rsidRPr="00E34358" w:rsidRDefault="00CD0A25" w:rsidP="008F67E9">
            <w:pPr>
              <w:spacing w:after="58"/>
              <w:jc w:val="center"/>
              <w:rPr>
                <w:sz w:val="22"/>
                <w:szCs w:val="22"/>
              </w:rPr>
            </w:pPr>
            <w:r>
              <w:rPr>
                <w:sz w:val="22"/>
                <w:szCs w:val="22"/>
              </w:rPr>
              <w:t>0.05</w:t>
            </w:r>
          </w:p>
        </w:tc>
        <w:tc>
          <w:tcPr>
            <w:tcW w:w="1800" w:type="dxa"/>
            <w:tcBorders>
              <w:left w:val="single" w:sz="18" w:space="0" w:color="000000"/>
              <w:bottom w:val="single" w:sz="18" w:space="0" w:color="000000"/>
            </w:tcBorders>
          </w:tcPr>
          <w:p w14:paraId="38262B59" w14:textId="77777777" w:rsidR="00CD0A25" w:rsidRPr="00E34358" w:rsidRDefault="00CD0A25" w:rsidP="008F67E9">
            <w:pPr>
              <w:spacing w:after="58"/>
              <w:jc w:val="center"/>
              <w:rPr>
                <w:sz w:val="22"/>
                <w:szCs w:val="22"/>
              </w:rPr>
            </w:pPr>
            <w:r>
              <w:rPr>
                <w:sz w:val="22"/>
                <w:szCs w:val="22"/>
              </w:rPr>
              <w:t>4.13</w:t>
            </w:r>
          </w:p>
        </w:tc>
      </w:tr>
      <w:tr w:rsidR="00CD0A25" w:rsidRPr="00E34358" w14:paraId="73D8A3FE" w14:textId="77777777" w:rsidTr="008F67E9">
        <w:trPr>
          <w:cantSplit/>
          <w:jc w:val="center"/>
        </w:trPr>
        <w:tc>
          <w:tcPr>
            <w:tcW w:w="5760" w:type="dxa"/>
            <w:tcBorders>
              <w:bottom w:val="single" w:sz="18" w:space="0" w:color="000000"/>
              <w:right w:val="single" w:sz="18" w:space="0" w:color="000000"/>
            </w:tcBorders>
          </w:tcPr>
          <w:p w14:paraId="30988F35" w14:textId="354E8B06" w:rsidR="00CD0A25" w:rsidRPr="00E34358" w:rsidRDefault="00CD0A25" w:rsidP="008F67E9">
            <w:pPr>
              <w:spacing w:after="58"/>
              <w:rPr>
                <w:sz w:val="22"/>
                <w:szCs w:val="22"/>
              </w:rPr>
            </w:pPr>
            <w:r w:rsidRPr="0063708B">
              <w:rPr>
                <w:sz w:val="22"/>
                <w:szCs w:val="22"/>
              </w:rPr>
              <w:t>Re</w:t>
            </w:r>
            <w:r>
              <w:rPr>
                <w:sz w:val="22"/>
                <w:szCs w:val="22"/>
              </w:rPr>
              <w:t>s</w:t>
            </w:r>
            <w:r w:rsidRPr="0063708B">
              <w:rPr>
                <w:sz w:val="22"/>
                <w:szCs w:val="22"/>
              </w:rPr>
              <w:t>pond to inquiries</w:t>
            </w:r>
            <w:r w:rsidR="00120D2A">
              <w:rPr>
                <w:sz w:val="22"/>
                <w:szCs w:val="22"/>
              </w:rPr>
              <w:t>: EPA</w:t>
            </w:r>
            <w:r w:rsidR="00120D2A" w:rsidRPr="0063708B">
              <w:rPr>
                <w:sz w:val="22"/>
                <w:szCs w:val="22"/>
              </w:rPr>
              <w:t xml:space="preserve"> receives </w:t>
            </w:r>
            <w:r w:rsidR="00120D2A">
              <w:rPr>
                <w:sz w:val="22"/>
                <w:szCs w:val="22"/>
              </w:rPr>
              <w:t>30</w:t>
            </w:r>
            <w:r w:rsidR="00120D2A" w:rsidRPr="0063708B">
              <w:rPr>
                <w:sz w:val="22"/>
                <w:szCs w:val="22"/>
              </w:rPr>
              <w:t xml:space="preserve"> inquiries per year, spends 1 </w:t>
            </w:r>
            <w:r w:rsidR="00120D2A">
              <w:rPr>
                <w:sz w:val="22"/>
                <w:szCs w:val="22"/>
              </w:rPr>
              <w:t>hour to respond to each inquiry.</w:t>
            </w:r>
          </w:p>
        </w:tc>
        <w:tc>
          <w:tcPr>
            <w:tcW w:w="1680" w:type="dxa"/>
            <w:tcBorders>
              <w:top w:val="single" w:sz="6" w:space="0" w:color="000000"/>
              <w:left w:val="single" w:sz="18" w:space="0" w:color="000000"/>
              <w:bottom w:val="single" w:sz="18" w:space="0" w:color="000000"/>
              <w:right w:val="single" w:sz="18" w:space="0" w:color="000000"/>
            </w:tcBorders>
          </w:tcPr>
          <w:p w14:paraId="67BAB70C" w14:textId="4EC8BB32" w:rsidR="00CD0A25" w:rsidRPr="00E34358" w:rsidRDefault="00120D2A" w:rsidP="008F67E9">
            <w:pPr>
              <w:spacing w:after="58"/>
              <w:jc w:val="center"/>
              <w:rPr>
                <w:sz w:val="22"/>
                <w:szCs w:val="22"/>
              </w:rPr>
            </w:pPr>
            <w:r>
              <w:rPr>
                <w:sz w:val="22"/>
                <w:szCs w:val="22"/>
              </w:rPr>
              <w:t>30</w:t>
            </w:r>
          </w:p>
        </w:tc>
        <w:tc>
          <w:tcPr>
            <w:tcW w:w="1800" w:type="dxa"/>
            <w:tcBorders>
              <w:left w:val="single" w:sz="18" w:space="0" w:color="000000"/>
              <w:bottom w:val="single" w:sz="18" w:space="0" w:color="000000"/>
            </w:tcBorders>
          </w:tcPr>
          <w:p w14:paraId="010D3C8D" w14:textId="77777777" w:rsidR="00CD0A25" w:rsidRPr="00E34358" w:rsidRDefault="00CD0A25" w:rsidP="008F67E9">
            <w:pPr>
              <w:spacing w:after="58"/>
              <w:jc w:val="center"/>
              <w:rPr>
                <w:sz w:val="22"/>
                <w:szCs w:val="22"/>
              </w:rPr>
            </w:pPr>
          </w:p>
        </w:tc>
      </w:tr>
      <w:tr w:rsidR="00CD0A25" w:rsidRPr="00E34358" w14:paraId="0EB83D3C" w14:textId="77777777" w:rsidTr="008F67E9">
        <w:trPr>
          <w:cantSplit/>
          <w:jc w:val="center"/>
        </w:trPr>
        <w:tc>
          <w:tcPr>
            <w:tcW w:w="5760" w:type="dxa"/>
            <w:tcBorders>
              <w:top w:val="single" w:sz="18" w:space="0" w:color="000000"/>
              <w:bottom w:val="double" w:sz="4" w:space="0" w:color="auto"/>
              <w:right w:val="single" w:sz="18" w:space="0" w:color="000000"/>
            </w:tcBorders>
          </w:tcPr>
          <w:p w14:paraId="59183F02" w14:textId="77777777" w:rsidR="00CD0A25" w:rsidRPr="00E34358" w:rsidRDefault="00CD0A25" w:rsidP="008F67E9">
            <w:pPr>
              <w:spacing w:after="58"/>
              <w:rPr>
                <w:sz w:val="22"/>
                <w:szCs w:val="22"/>
              </w:rPr>
            </w:pPr>
            <w:r w:rsidRPr="00E34358">
              <w:rPr>
                <w:sz w:val="22"/>
                <w:szCs w:val="22"/>
              </w:rPr>
              <w:t>TOTAL</w:t>
            </w:r>
          </w:p>
        </w:tc>
        <w:tc>
          <w:tcPr>
            <w:tcW w:w="1680" w:type="dxa"/>
            <w:tcBorders>
              <w:top w:val="single" w:sz="18" w:space="0" w:color="000000"/>
              <w:left w:val="single" w:sz="18" w:space="0" w:color="000000"/>
              <w:bottom w:val="double" w:sz="4" w:space="0" w:color="auto"/>
              <w:right w:val="single" w:sz="18" w:space="0" w:color="000000"/>
            </w:tcBorders>
          </w:tcPr>
          <w:p w14:paraId="12361F26" w14:textId="77777777" w:rsidR="00CD0A25" w:rsidRPr="00E34358" w:rsidRDefault="00CD0A25" w:rsidP="008F67E9">
            <w:pPr>
              <w:spacing w:after="58"/>
              <w:jc w:val="center"/>
              <w:rPr>
                <w:sz w:val="22"/>
                <w:szCs w:val="22"/>
              </w:rPr>
            </w:pPr>
            <w:r>
              <w:rPr>
                <w:sz w:val="22"/>
                <w:szCs w:val="22"/>
              </w:rPr>
              <w:t>0.33</w:t>
            </w:r>
          </w:p>
        </w:tc>
        <w:tc>
          <w:tcPr>
            <w:tcW w:w="1800" w:type="dxa"/>
            <w:tcBorders>
              <w:top w:val="single" w:sz="18" w:space="0" w:color="000000"/>
              <w:left w:val="single" w:sz="18" w:space="0" w:color="000000"/>
              <w:bottom w:val="double" w:sz="4" w:space="0" w:color="auto"/>
            </w:tcBorders>
          </w:tcPr>
          <w:p w14:paraId="4155AC1A" w14:textId="77777777" w:rsidR="00CD0A25" w:rsidRPr="00E34358" w:rsidRDefault="00CD0A25" w:rsidP="008F67E9">
            <w:pPr>
              <w:spacing w:after="58"/>
              <w:jc w:val="center"/>
              <w:rPr>
                <w:sz w:val="22"/>
                <w:szCs w:val="22"/>
              </w:rPr>
            </w:pPr>
            <w:r>
              <w:rPr>
                <w:sz w:val="22"/>
                <w:szCs w:val="22"/>
              </w:rPr>
              <w:t>27.56</w:t>
            </w:r>
          </w:p>
        </w:tc>
      </w:tr>
    </w:tbl>
    <w:p w14:paraId="4D11EDD4" w14:textId="77777777" w:rsidR="00CD0A25" w:rsidRPr="00E34358" w:rsidRDefault="00CD0A25" w:rsidP="00CD0A25">
      <w:pPr>
        <w:rPr>
          <w:sz w:val="22"/>
          <w:szCs w:val="22"/>
        </w:rPr>
      </w:pPr>
      <w:r w:rsidRPr="00E34358">
        <w:rPr>
          <w:sz w:val="22"/>
          <w:szCs w:val="22"/>
        </w:rPr>
        <w:t>ANNUAL BURDEN:</w:t>
      </w:r>
      <w:r w:rsidRPr="00E34358">
        <w:rPr>
          <w:sz w:val="22"/>
          <w:szCs w:val="22"/>
        </w:rPr>
        <w:tab/>
      </w:r>
      <w:r>
        <w:rPr>
          <w:sz w:val="22"/>
          <w:szCs w:val="22"/>
        </w:rPr>
        <w:t>2,774</w:t>
      </w:r>
      <w:r w:rsidRPr="00E34358">
        <w:rPr>
          <w:sz w:val="22"/>
          <w:szCs w:val="22"/>
        </w:rPr>
        <w:t xml:space="preserve"> statements x </w:t>
      </w:r>
      <w:r>
        <w:rPr>
          <w:sz w:val="22"/>
          <w:szCs w:val="22"/>
        </w:rPr>
        <w:t>0.33</w:t>
      </w:r>
      <w:r w:rsidRPr="00E34358">
        <w:rPr>
          <w:sz w:val="22"/>
          <w:szCs w:val="22"/>
        </w:rPr>
        <w:t xml:space="preserve"> hours = </w:t>
      </w:r>
      <w:r>
        <w:rPr>
          <w:sz w:val="22"/>
          <w:szCs w:val="22"/>
        </w:rPr>
        <w:t>945</w:t>
      </w:r>
      <w:r w:rsidRPr="00E34358">
        <w:rPr>
          <w:sz w:val="22"/>
          <w:szCs w:val="22"/>
        </w:rPr>
        <w:t xml:space="preserve"> hours</w:t>
      </w:r>
      <w:r w:rsidRPr="00152AAF">
        <w:rPr>
          <w:sz w:val="22"/>
          <w:szCs w:val="22"/>
          <w:vertAlign w:val="superscript"/>
        </w:rPr>
        <w:t>1</w:t>
      </w:r>
      <w:r w:rsidRPr="00E34358">
        <w:rPr>
          <w:sz w:val="22"/>
          <w:szCs w:val="22"/>
        </w:rPr>
        <w:t xml:space="preserve"> </w:t>
      </w:r>
    </w:p>
    <w:p w14:paraId="43DDBF59" w14:textId="77777777" w:rsidR="00CD0A25" w:rsidRDefault="00CD0A25" w:rsidP="00CD0A25">
      <w:pPr>
        <w:rPr>
          <w:sz w:val="22"/>
          <w:szCs w:val="22"/>
          <w:vertAlign w:val="superscript"/>
        </w:rPr>
      </w:pPr>
      <w:r w:rsidRPr="00E34358">
        <w:rPr>
          <w:sz w:val="22"/>
          <w:szCs w:val="22"/>
        </w:rPr>
        <w:t xml:space="preserve">ANNUAL COSTS: </w:t>
      </w:r>
      <w:r w:rsidRPr="00E34358">
        <w:rPr>
          <w:sz w:val="22"/>
          <w:szCs w:val="22"/>
        </w:rPr>
        <w:tab/>
      </w:r>
      <w:r>
        <w:rPr>
          <w:sz w:val="22"/>
          <w:szCs w:val="22"/>
        </w:rPr>
        <w:t xml:space="preserve">2,774 </w:t>
      </w:r>
      <w:r w:rsidRPr="00E34358">
        <w:rPr>
          <w:sz w:val="22"/>
          <w:szCs w:val="22"/>
        </w:rPr>
        <w:t>statements x $</w:t>
      </w:r>
      <w:r>
        <w:rPr>
          <w:sz w:val="22"/>
          <w:szCs w:val="22"/>
        </w:rPr>
        <w:t>27.56</w:t>
      </w:r>
      <w:r w:rsidRPr="00E34358">
        <w:rPr>
          <w:sz w:val="22"/>
          <w:szCs w:val="22"/>
        </w:rPr>
        <w:t xml:space="preserve"> = </w:t>
      </w:r>
      <w:r>
        <w:rPr>
          <w:sz w:val="22"/>
          <w:szCs w:val="22"/>
        </w:rPr>
        <w:t>$78,932</w:t>
      </w:r>
    </w:p>
    <w:p w14:paraId="2D02914D" w14:textId="77777777" w:rsidR="00CD0A25" w:rsidRDefault="00CD0A25" w:rsidP="00CD0A25">
      <w:pPr>
        <w:rPr>
          <w:sz w:val="22"/>
          <w:szCs w:val="22"/>
        </w:rPr>
      </w:pPr>
      <w:r>
        <w:rPr>
          <w:sz w:val="22"/>
          <w:szCs w:val="22"/>
          <w:vertAlign w:val="superscript"/>
        </w:rPr>
        <w:t>1</w:t>
      </w:r>
      <w:r>
        <w:rPr>
          <w:sz w:val="22"/>
          <w:szCs w:val="22"/>
        </w:rPr>
        <w:t>Includes 30 hours of EPA burden in responding to 30 inquiries per year.</w:t>
      </w:r>
    </w:p>
    <w:p w14:paraId="568CF3E3" w14:textId="77777777" w:rsidR="00CD0A25" w:rsidRPr="008E5C96" w:rsidRDefault="00CD0A25" w:rsidP="00CD0A25">
      <w:pPr>
        <w:pStyle w:val="FootnoteText"/>
        <w:keepNext/>
        <w:keepLines/>
      </w:pPr>
      <w:r w:rsidRPr="008E5C96">
        <w:t>Hourly wages rates are fully loaded wage rates based on</w:t>
      </w:r>
      <w:r>
        <w:t xml:space="preserve"> NAICS code</w:t>
      </w:r>
      <w:r w:rsidRPr="008E5C96">
        <w:t xml:space="preserve"> </w:t>
      </w:r>
      <w:r w:rsidRPr="00E7036F">
        <w:t xml:space="preserve">999100 - Federal Executive Branch </w:t>
      </w:r>
      <w:r w:rsidRPr="008E5C96">
        <w:t>from U.S. Dept. of Labor, Bureau of Labor Statistics, May 201</w:t>
      </w:r>
      <w:r>
        <w:t>7. See Attachment E</w:t>
      </w:r>
      <w:r w:rsidRPr="008E5C96">
        <w:t xml:space="preserve"> for wage calculations. </w:t>
      </w:r>
    </w:p>
    <w:p w14:paraId="78753F27" w14:textId="77777777" w:rsidR="00CD0A25" w:rsidRDefault="00CD0A25" w:rsidP="00CD0A25">
      <w:pPr>
        <w:tabs>
          <w:tab w:val="left" w:pos="-1440"/>
        </w:tabs>
        <w:rPr>
          <w:sz w:val="20"/>
          <w:szCs w:val="20"/>
        </w:rPr>
      </w:pPr>
      <w:r w:rsidRPr="008E5C96">
        <w:rPr>
          <w:sz w:val="20"/>
          <w:szCs w:val="20"/>
        </w:rPr>
        <w:t>Totals may not sum due to rounding.</w:t>
      </w:r>
    </w:p>
    <w:p w14:paraId="4504A664" w14:textId="77777777" w:rsidR="00CD0A25" w:rsidRDefault="00CD0A25" w:rsidP="00CD0A25">
      <w:pPr>
        <w:rPr>
          <w:b/>
          <w:bCs/>
        </w:rPr>
      </w:pPr>
    </w:p>
    <w:p w14:paraId="5E702178" w14:textId="77777777" w:rsidR="00CD0A25" w:rsidRPr="00136769" w:rsidRDefault="00CD0A25" w:rsidP="00CD0A25">
      <w:pPr>
        <w:tabs>
          <w:tab w:val="left" w:pos="-1440"/>
        </w:tabs>
        <w:ind w:left="1440" w:hanging="720"/>
      </w:pPr>
      <w:r>
        <w:rPr>
          <w:b/>
          <w:bCs/>
        </w:rPr>
        <w:t xml:space="preserve">6(d) </w:t>
      </w:r>
      <w:r>
        <w:rPr>
          <w:b/>
          <w:bCs/>
        </w:rPr>
        <w:tab/>
        <w:t xml:space="preserve">Bottom Line Burden Hours and Cost </w:t>
      </w:r>
    </w:p>
    <w:p w14:paraId="0EC0DBF4" w14:textId="77777777" w:rsidR="00CD0A25" w:rsidRDefault="00CD0A25" w:rsidP="00CD0A25"/>
    <w:p w14:paraId="17C2CD93" w14:textId="77777777" w:rsidR="00CD0A25" w:rsidRDefault="00CD0A25" w:rsidP="00CD0A25">
      <w:pPr>
        <w:numPr>
          <w:ilvl w:val="0"/>
          <w:numId w:val="16"/>
        </w:numPr>
        <w:tabs>
          <w:tab w:val="left" w:pos="1080"/>
        </w:tabs>
        <w:rPr>
          <w:bCs/>
          <w:u w:val="single"/>
        </w:rPr>
      </w:pPr>
      <w:r w:rsidRPr="00136769">
        <w:rPr>
          <w:u w:val="single"/>
        </w:rPr>
        <w:t>Respondent Burden</w:t>
      </w:r>
      <w:r w:rsidRPr="00136769">
        <w:rPr>
          <w:b/>
          <w:bCs/>
          <w:u w:val="single"/>
        </w:rPr>
        <w:t xml:space="preserve"> </w:t>
      </w:r>
      <w:r w:rsidRPr="00136769">
        <w:rPr>
          <w:bCs/>
          <w:u w:val="single"/>
        </w:rPr>
        <w:t>by Information Collection (IC)</w:t>
      </w:r>
    </w:p>
    <w:p w14:paraId="27554124" w14:textId="77777777" w:rsidR="00CD0A25" w:rsidRDefault="00CD0A25" w:rsidP="00CD0A25">
      <w:pPr>
        <w:tabs>
          <w:tab w:val="left" w:pos="1080"/>
        </w:tabs>
      </w:pPr>
    </w:p>
    <w:p w14:paraId="0CB0D986" w14:textId="77777777" w:rsidR="00CD0A25" w:rsidRDefault="00CD0A25" w:rsidP="00CD0A25">
      <w:pPr>
        <w:ind w:firstLine="720"/>
      </w:pPr>
      <w:r>
        <w:t xml:space="preserve">The total annual respondent burden hours for this ICR are estimated at 16,660 hours.  This accounts for 2,940 hours for the FPAS requirement, 4,480 hours for the labeling of unregistered pesticides, and 9,240 hours for the labeling of registered pesticides.  </w:t>
      </w:r>
    </w:p>
    <w:p w14:paraId="77959C2E" w14:textId="77777777" w:rsidR="00CD0A25" w:rsidRDefault="00CD0A25" w:rsidP="00CD0A25">
      <w:pPr>
        <w:ind w:firstLine="720"/>
      </w:pPr>
    </w:p>
    <w:p w14:paraId="41957AE2" w14:textId="77777777" w:rsidR="00CD0A25" w:rsidRDefault="00CD0A25" w:rsidP="00CD0A25">
      <w:pPr>
        <w:ind w:firstLine="720"/>
      </w:pPr>
      <w:r>
        <w:t xml:space="preserve">The total annual respondent cost for this ICR is estimated to be $1,087,202.  This estimate is composed of the following costs:  $183,239 for the FPAS requirement, $308,653 for the labeling of unregistered pesticides, and $595,209 for the labeling of registered pesticides. </w:t>
      </w:r>
    </w:p>
    <w:p w14:paraId="1E9818C7" w14:textId="77777777" w:rsidR="00CD0A25" w:rsidRPr="00136769" w:rsidRDefault="00CD0A25" w:rsidP="00CD0A25">
      <w:pPr>
        <w:tabs>
          <w:tab w:val="left" w:pos="1080"/>
        </w:tabs>
      </w:pPr>
    </w:p>
    <w:p w14:paraId="04D02E74" w14:textId="77777777" w:rsidR="00CD0A25" w:rsidRDefault="00CD0A25" w:rsidP="00CD0A25">
      <w:pPr>
        <w:keepNext/>
        <w:keepLines/>
        <w:tabs>
          <w:tab w:val="left" w:pos="1080"/>
        </w:tabs>
        <w:rPr>
          <w:b/>
          <w:bCs/>
          <w:u w:val="single"/>
        </w:rPr>
      </w:pPr>
      <w:r w:rsidRPr="00641221">
        <w:rPr>
          <w:b/>
          <w:bCs/>
          <w:u w:val="single"/>
        </w:rPr>
        <w:t xml:space="preserve">Table 5. </w:t>
      </w:r>
      <w:r w:rsidRPr="00641221">
        <w:rPr>
          <w:b/>
          <w:bCs/>
          <w:u w:val="single"/>
        </w:rPr>
        <w:tab/>
      </w:r>
      <w:r w:rsidRPr="00641221">
        <w:rPr>
          <w:b/>
          <w:bCs/>
          <w:u w:val="single"/>
        </w:rPr>
        <w:tab/>
        <w:t>Total Annual Respondent Burden Hours and Cost</w:t>
      </w:r>
    </w:p>
    <w:tbl>
      <w:tblPr>
        <w:tblW w:w="9360" w:type="dxa"/>
        <w:tblInd w:w="85" w:type="dxa"/>
        <w:tblLook w:val="04A0" w:firstRow="1" w:lastRow="0" w:firstColumn="1" w:lastColumn="0" w:noHBand="0" w:noVBand="1"/>
      </w:tblPr>
      <w:tblGrid>
        <w:gridCol w:w="3141"/>
        <w:gridCol w:w="1568"/>
        <w:gridCol w:w="2120"/>
        <w:gridCol w:w="1056"/>
        <w:gridCol w:w="1475"/>
      </w:tblGrid>
      <w:tr w:rsidR="00CD0A25" w:rsidRPr="00641221" w14:paraId="6FAF18F5" w14:textId="77777777" w:rsidTr="008F67E9">
        <w:trPr>
          <w:trHeight w:val="458"/>
        </w:trPr>
        <w:tc>
          <w:tcPr>
            <w:tcW w:w="2759" w:type="dxa"/>
            <w:vMerge w:val="restart"/>
            <w:tcBorders>
              <w:top w:val="double" w:sz="6" w:space="0" w:color="auto"/>
              <w:left w:val="double" w:sz="6" w:space="0" w:color="auto"/>
              <w:bottom w:val="single" w:sz="18" w:space="0" w:color="auto"/>
              <w:right w:val="single" w:sz="4" w:space="0" w:color="auto"/>
            </w:tcBorders>
            <w:shd w:val="clear" w:color="auto" w:fill="auto"/>
            <w:vAlign w:val="center"/>
            <w:hideMark/>
          </w:tcPr>
          <w:p w14:paraId="4192BD75" w14:textId="77777777" w:rsidR="00CD0A25" w:rsidRPr="00641221" w:rsidRDefault="00CD0A25" w:rsidP="008F67E9">
            <w:pPr>
              <w:keepNext/>
              <w:keepLines/>
              <w:widowControl/>
              <w:autoSpaceDE/>
              <w:autoSpaceDN/>
              <w:adjustRightInd/>
              <w:jc w:val="center"/>
              <w:rPr>
                <w:color w:val="000000"/>
                <w:lang w:eastAsia="en-US"/>
              </w:rPr>
            </w:pPr>
            <w:r>
              <w:rPr>
                <w:color w:val="000000"/>
                <w:lang w:eastAsia="en-US"/>
              </w:rPr>
              <w:t>Information Collection</w:t>
            </w:r>
          </w:p>
        </w:tc>
        <w:tc>
          <w:tcPr>
            <w:tcW w:w="1378" w:type="dxa"/>
            <w:vMerge w:val="restart"/>
            <w:tcBorders>
              <w:top w:val="double" w:sz="6" w:space="0" w:color="auto"/>
              <w:left w:val="single" w:sz="4" w:space="0" w:color="auto"/>
              <w:bottom w:val="single" w:sz="18" w:space="0" w:color="auto"/>
              <w:right w:val="single" w:sz="4" w:space="0" w:color="auto"/>
            </w:tcBorders>
            <w:shd w:val="clear" w:color="auto" w:fill="auto"/>
            <w:vAlign w:val="center"/>
            <w:hideMark/>
          </w:tcPr>
          <w:p w14:paraId="357AF684" w14:textId="77777777" w:rsidR="00CD0A25" w:rsidRPr="00641221" w:rsidRDefault="00CD0A25" w:rsidP="008F67E9">
            <w:pPr>
              <w:keepNext/>
              <w:keepLines/>
              <w:widowControl/>
              <w:autoSpaceDE/>
              <w:autoSpaceDN/>
              <w:adjustRightInd/>
              <w:jc w:val="center"/>
              <w:rPr>
                <w:color w:val="000000"/>
                <w:lang w:eastAsia="en-US"/>
              </w:rPr>
            </w:pPr>
            <w:r w:rsidRPr="00641221">
              <w:rPr>
                <w:color w:val="000000"/>
                <w:lang w:eastAsia="en-US"/>
              </w:rPr>
              <w:t>Responses Per Year</w:t>
            </w:r>
          </w:p>
        </w:tc>
        <w:tc>
          <w:tcPr>
            <w:tcW w:w="1863" w:type="dxa"/>
            <w:vMerge w:val="restart"/>
            <w:tcBorders>
              <w:top w:val="double" w:sz="6" w:space="0" w:color="auto"/>
              <w:left w:val="single" w:sz="4" w:space="0" w:color="auto"/>
              <w:bottom w:val="single" w:sz="18" w:space="0" w:color="auto"/>
              <w:right w:val="single" w:sz="4" w:space="0" w:color="auto"/>
            </w:tcBorders>
            <w:shd w:val="clear" w:color="auto" w:fill="auto"/>
            <w:vAlign w:val="center"/>
            <w:hideMark/>
          </w:tcPr>
          <w:p w14:paraId="494FE498" w14:textId="77777777" w:rsidR="00CD0A25" w:rsidRPr="00641221" w:rsidRDefault="00CD0A25" w:rsidP="008F67E9">
            <w:pPr>
              <w:keepNext/>
              <w:keepLines/>
              <w:widowControl/>
              <w:autoSpaceDE/>
              <w:autoSpaceDN/>
              <w:adjustRightInd/>
              <w:jc w:val="center"/>
              <w:rPr>
                <w:color w:val="000000"/>
                <w:lang w:eastAsia="en-US"/>
              </w:rPr>
            </w:pPr>
            <w:r w:rsidRPr="00641221">
              <w:rPr>
                <w:color w:val="000000"/>
                <w:lang w:eastAsia="en-US"/>
              </w:rPr>
              <w:t>Burden Per Response (hours)</w:t>
            </w:r>
          </w:p>
        </w:tc>
        <w:tc>
          <w:tcPr>
            <w:tcW w:w="928" w:type="dxa"/>
            <w:vMerge w:val="restart"/>
            <w:tcBorders>
              <w:top w:val="double" w:sz="6" w:space="0" w:color="auto"/>
              <w:left w:val="single" w:sz="4" w:space="0" w:color="auto"/>
              <w:bottom w:val="single" w:sz="18" w:space="0" w:color="auto"/>
              <w:right w:val="single" w:sz="4" w:space="0" w:color="auto"/>
            </w:tcBorders>
            <w:shd w:val="clear" w:color="auto" w:fill="auto"/>
            <w:vAlign w:val="center"/>
            <w:hideMark/>
          </w:tcPr>
          <w:p w14:paraId="19016F5E" w14:textId="77777777" w:rsidR="00CD0A25" w:rsidRPr="00641221" w:rsidRDefault="00CD0A25" w:rsidP="008F67E9">
            <w:pPr>
              <w:keepNext/>
              <w:keepLines/>
              <w:widowControl/>
              <w:autoSpaceDE/>
              <w:autoSpaceDN/>
              <w:adjustRightInd/>
              <w:jc w:val="center"/>
              <w:rPr>
                <w:color w:val="000000"/>
                <w:lang w:eastAsia="en-US"/>
              </w:rPr>
            </w:pPr>
            <w:r w:rsidRPr="00641221">
              <w:rPr>
                <w:color w:val="000000"/>
                <w:lang w:eastAsia="en-US"/>
              </w:rPr>
              <w:t>Annual Burden (hours)</w:t>
            </w:r>
          </w:p>
        </w:tc>
        <w:tc>
          <w:tcPr>
            <w:tcW w:w="1176" w:type="dxa"/>
            <w:vMerge w:val="restart"/>
            <w:tcBorders>
              <w:top w:val="double" w:sz="6" w:space="0" w:color="auto"/>
              <w:left w:val="single" w:sz="4" w:space="0" w:color="auto"/>
              <w:bottom w:val="single" w:sz="18" w:space="0" w:color="auto"/>
              <w:right w:val="double" w:sz="6" w:space="0" w:color="auto"/>
            </w:tcBorders>
            <w:shd w:val="clear" w:color="auto" w:fill="auto"/>
            <w:vAlign w:val="center"/>
            <w:hideMark/>
          </w:tcPr>
          <w:p w14:paraId="671A1BF3" w14:textId="77777777" w:rsidR="00CD0A25" w:rsidRPr="00641221" w:rsidRDefault="00CD0A25" w:rsidP="008F67E9">
            <w:pPr>
              <w:keepNext/>
              <w:keepLines/>
              <w:widowControl/>
              <w:autoSpaceDE/>
              <w:autoSpaceDN/>
              <w:adjustRightInd/>
              <w:jc w:val="center"/>
              <w:rPr>
                <w:color w:val="000000"/>
                <w:lang w:eastAsia="en-US"/>
              </w:rPr>
            </w:pPr>
            <w:r w:rsidRPr="00641221">
              <w:rPr>
                <w:color w:val="000000"/>
                <w:lang w:eastAsia="en-US"/>
              </w:rPr>
              <w:t>Annual Cost ($)</w:t>
            </w:r>
          </w:p>
        </w:tc>
      </w:tr>
      <w:tr w:rsidR="00CD0A25" w:rsidRPr="00641221" w14:paraId="2A5FB218" w14:textId="77777777" w:rsidTr="008F67E9">
        <w:trPr>
          <w:trHeight w:val="458"/>
        </w:trPr>
        <w:tc>
          <w:tcPr>
            <w:tcW w:w="2759" w:type="dxa"/>
            <w:vMerge/>
            <w:tcBorders>
              <w:top w:val="single" w:sz="4" w:space="0" w:color="auto"/>
              <w:left w:val="double" w:sz="6" w:space="0" w:color="auto"/>
              <w:bottom w:val="single" w:sz="18" w:space="0" w:color="auto"/>
              <w:right w:val="single" w:sz="4" w:space="0" w:color="auto"/>
            </w:tcBorders>
            <w:vAlign w:val="center"/>
            <w:hideMark/>
          </w:tcPr>
          <w:p w14:paraId="2B5D6D7C" w14:textId="77777777" w:rsidR="00CD0A25" w:rsidRPr="00641221" w:rsidRDefault="00CD0A25" w:rsidP="008F67E9">
            <w:pPr>
              <w:keepNext/>
              <w:keepLines/>
              <w:widowControl/>
              <w:autoSpaceDE/>
              <w:autoSpaceDN/>
              <w:adjustRightInd/>
              <w:rPr>
                <w:color w:val="000000"/>
                <w:lang w:eastAsia="en-US"/>
              </w:rPr>
            </w:pPr>
          </w:p>
        </w:tc>
        <w:tc>
          <w:tcPr>
            <w:tcW w:w="1378" w:type="dxa"/>
            <w:vMerge/>
            <w:tcBorders>
              <w:top w:val="single" w:sz="4" w:space="0" w:color="auto"/>
              <w:left w:val="single" w:sz="4" w:space="0" w:color="auto"/>
              <w:bottom w:val="single" w:sz="18" w:space="0" w:color="auto"/>
              <w:right w:val="single" w:sz="4" w:space="0" w:color="auto"/>
            </w:tcBorders>
            <w:vAlign w:val="center"/>
            <w:hideMark/>
          </w:tcPr>
          <w:p w14:paraId="3A3DF8E7" w14:textId="77777777" w:rsidR="00CD0A25" w:rsidRPr="00641221" w:rsidRDefault="00CD0A25" w:rsidP="008F67E9">
            <w:pPr>
              <w:keepNext/>
              <w:keepLines/>
              <w:widowControl/>
              <w:autoSpaceDE/>
              <w:autoSpaceDN/>
              <w:adjustRightInd/>
              <w:rPr>
                <w:color w:val="000000"/>
                <w:lang w:eastAsia="en-US"/>
              </w:rPr>
            </w:pPr>
          </w:p>
        </w:tc>
        <w:tc>
          <w:tcPr>
            <w:tcW w:w="1863" w:type="dxa"/>
            <w:vMerge/>
            <w:tcBorders>
              <w:top w:val="single" w:sz="4" w:space="0" w:color="auto"/>
              <w:left w:val="single" w:sz="4" w:space="0" w:color="auto"/>
              <w:bottom w:val="single" w:sz="18" w:space="0" w:color="auto"/>
              <w:right w:val="single" w:sz="4" w:space="0" w:color="auto"/>
            </w:tcBorders>
            <w:vAlign w:val="center"/>
            <w:hideMark/>
          </w:tcPr>
          <w:p w14:paraId="76827B00" w14:textId="77777777" w:rsidR="00CD0A25" w:rsidRPr="00641221" w:rsidRDefault="00CD0A25" w:rsidP="008F67E9">
            <w:pPr>
              <w:keepNext/>
              <w:keepLines/>
              <w:widowControl/>
              <w:autoSpaceDE/>
              <w:autoSpaceDN/>
              <w:adjustRightInd/>
              <w:rPr>
                <w:color w:val="000000"/>
                <w:lang w:eastAsia="en-US"/>
              </w:rPr>
            </w:pPr>
          </w:p>
        </w:tc>
        <w:tc>
          <w:tcPr>
            <w:tcW w:w="928" w:type="dxa"/>
            <w:vMerge/>
            <w:tcBorders>
              <w:top w:val="single" w:sz="4" w:space="0" w:color="auto"/>
              <w:left w:val="single" w:sz="4" w:space="0" w:color="auto"/>
              <w:bottom w:val="single" w:sz="18" w:space="0" w:color="auto"/>
              <w:right w:val="single" w:sz="4" w:space="0" w:color="auto"/>
            </w:tcBorders>
            <w:vAlign w:val="center"/>
            <w:hideMark/>
          </w:tcPr>
          <w:p w14:paraId="06B59AFA" w14:textId="77777777" w:rsidR="00CD0A25" w:rsidRPr="00641221" w:rsidRDefault="00CD0A25" w:rsidP="008F67E9">
            <w:pPr>
              <w:keepNext/>
              <w:keepLines/>
              <w:widowControl/>
              <w:autoSpaceDE/>
              <w:autoSpaceDN/>
              <w:adjustRightInd/>
              <w:rPr>
                <w:color w:val="000000"/>
                <w:lang w:eastAsia="en-US"/>
              </w:rPr>
            </w:pPr>
          </w:p>
        </w:tc>
        <w:tc>
          <w:tcPr>
            <w:tcW w:w="1176" w:type="dxa"/>
            <w:vMerge/>
            <w:tcBorders>
              <w:top w:val="single" w:sz="4" w:space="0" w:color="auto"/>
              <w:left w:val="single" w:sz="4" w:space="0" w:color="auto"/>
              <w:bottom w:val="single" w:sz="18" w:space="0" w:color="auto"/>
              <w:right w:val="double" w:sz="6" w:space="0" w:color="auto"/>
            </w:tcBorders>
            <w:vAlign w:val="center"/>
            <w:hideMark/>
          </w:tcPr>
          <w:p w14:paraId="0007128F" w14:textId="77777777" w:rsidR="00CD0A25" w:rsidRPr="00641221" w:rsidRDefault="00CD0A25" w:rsidP="008F67E9">
            <w:pPr>
              <w:keepNext/>
              <w:keepLines/>
              <w:widowControl/>
              <w:autoSpaceDE/>
              <w:autoSpaceDN/>
              <w:adjustRightInd/>
              <w:rPr>
                <w:color w:val="000000"/>
                <w:lang w:eastAsia="en-US"/>
              </w:rPr>
            </w:pPr>
          </w:p>
        </w:tc>
      </w:tr>
      <w:tr w:rsidR="00CD0A25" w:rsidRPr="00641221" w14:paraId="76AA0088" w14:textId="77777777" w:rsidTr="008F67E9">
        <w:trPr>
          <w:trHeight w:val="621"/>
        </w:trPr>
        <w:tc>
          <w:tcPr>
            <w:tcW w:w="2759" w:type="dxa"/>
            <w:tcBorders>
              <w:top w:val="single" w:sz="18" w:space="0" w:color="auto"/>
              <w:left w:val="double" w:sz="6" w:space="0" w:color="auto"/>
              <w:bottom w:val="single" w:sz="4" w:space="0" w:color="auto"/>
              <w:right w:val="single" w:sz="4" w:space="0" w:color="auto"/>
            </w:tcBorders>
            <w:shd w:val="clear" w:color="auto" w:fill="auto"/>
            <w:hideMark/>
          </w:tcPr>
          <w:p w14:paraId="34401AC3" w14:textId="77777777" w:rsidR="00CD0A25" w:rsidRPr="00641221" w:rsidRDefault="00CD0A25" w:rsidP="008F67E9">
            <w:pPr>
              <w:keepNext/>
              <w:keepLines/>
              <w:widowControl/>
              <w:autoSpaceDE/>
              <w:autoSpaceDN/>
              <w:adjustRightInd/>
              <w:rPr>
                <w:color w:val="000000"/>
                <w:lang w:eastAsia="en-US"/>
              </w:rPr>
            </w:pPr>
            <w:r w:rsidRPr="00641221">
              <w:rPr>
                <w:color w:val="000000"/>
                <w:lang w:eastAsia="en-US"/>
              </w:rPr>
              <w:t>Foreign Purchaser Acknowledgment Statements</w:t>
            </w:r>
          </w:p>
        </w:tc>
        <w:tc>
          <w:tcPr>
            <w:tcW w:w="1378" w:type="dxa"/>
            <w:tcBorders>
              <w:top w:val="single" w:sz="18" w:space="0" w:color="auto"/>
              <w:left w:val="nil"/>
              <w:bottom w:val="single" w:sz="4" w:space="0" w:color="auto"/>
              <w:right w:val="single" w:sz="4" w:space="0" w:color="auto"/>
            </w:tcBorders>
            <w:shd w:val="clear" w:color="auto" w:fill="auto"/>
            <w:vAlign w:val="center"/>
            <w:hideMark/>
          </w:tcPr>
          <w:p w14:paraId="1A4F7C5D" w14:textId="77777777" w:rsidR="00CD0A25" w:rsidRPr="00641221" w:rsidRDefault="00CD0A25" w:rsidP="008F67E9">
            <w:pPr>
              <w:keepNext/>
              <w:keepLines/>
              <w:widowControl/>
              <w:autoSpaceDE/>
              <w:autoSpaceDN/>
              <w:adjustRightInd/>
              <w:jc w:val="center"/>
              <w:rPr>
                <w:color w:val="000000"/>
                <w:lang w:eastAsia="en-US"/>
              </w:rPr>
            </w:pPr>
            <w:r>
              <w:rPr>
                <w:color w:val="000000"/>
                <w:lang w:eastAsia="en-US"/>
              </w:rPr>
              <w:t>2,774</w:t>
            </w:r>
          </w:p>
        </w:tc>
        <w:tc>
          <w:tcPr>
            <w:tcW w:w="1863" w:type="dxa"/>
            <w:tcBorders>
              <w:top w:val="single" w:sz="18" w:space="0" w:color="auto"/>
              <w:left w:val="nil"/>
              <w:bottom w:val="single" w:sz="4" w:space="0" w:color="auto"/>
              <w:right w:val="single" w:sz="4" w:space="0" w:color="auto"/>
            </w:tcBorders>
            <w:shd w:val="clear" w:color="auto" w:fill="auto"/>
            <w:vAlign w:val="center"/>
            <w:hideMark/>
          </w:tcPr>
          <w:p w14:paraId="7662C73C" w14:textId="77777777" w:rsidR="00CD0A25" w:rsidRPr="00641221" w:rsidRDefault="00CD0A25" w:rsidP="008F67E9">
            <w:pPr>
              <w:keepNext/>
              <w:keepLines/>
              <w:widowControl/>
              <w:autoSpaceDE/>
              <w:autoSpaceDN/>
              <w:adjustRightInd/>
              <w:jc w:val="center"/>
              <w:rPr>
                <w:color w:val="000000"/>
                <w:lang w:eastAsia="en-US"/>
              </w:rPr>
            </w:pPr>
            <w:r w:rsidRPr="00641221">
              <w:rPr>
                <w:color w:val="000000"/>
                <w:lang w:eastAsia="en-US"/>
              </w:rPr>
              <w:t>1.06</w:t>
            </w:r>
          </w:p>
        </w:tc>
        <w:tc>
          <w:tcPr>
            <w:tcW w:w="928" w:type="dxa"/>
            <w:tcBorders>
              <w:top w:val="single" w:sz="18" w:space="0" w:color="auto"/>
              <w:left w:val="nil"/>
              <w:bottom w:val="single" w:sz="4" w:space="0" w:color="auto"/>
              <w:right w:val="single" w:sz="4" w:space="0" w:color="auto"/>
            </w:tcBorders>
            <w:shd w:val="clear" w:color="auto" w:fill="auto"/>
            <w:vAlign w:val="center"/>
            <w:hideMark/>
          </w:tcPr>
          <w:p w14:paraId="468245A1" w14:textId="77777777" w:rsidR="00CD0A25" w:rsidRPr="00641221" w:rsidRDefault="00CD0A25" w:rsidP="008F67E9">
            <w:pPr>
              <w:keepNext/>
              <w:keepLines/>
              <w:widowControl/>
              <w:autoSpaceDE/>
              <w:autoSpaceDN/>
              <w:adjustRightInd/>
              <w:jc w:val="center"/>
              <w:rPr>
                <w:color w:val="000000"/>
                <w:lang w:eastAsia="en-US"/>
              </w:rPr>
            </w:pPr>
            <w:r>
              <w:rPr>
                <w:color w:val="000000"/>
                <w:lang w:eastAsia="en-US"/>
              </w:rPr>
              <w:t>2,940</w:t>
            </w:r>
          </w:p>
        </w:tc>
        <w:tc>
          <w:tcPr>
            <w:tcW w:w="1176" w:type="dxa"/>
            <w:tcBorders>
              <w:top w:val="single" w:sz="18" w:space="0" w:color="auto"/>
              <w:left w:val="nil"/>
              <w:bottom w:val="single" w:sz="4" w:space="0" w:color="auto"/>
              <w:right w:val="double" w:sz="6" w:space="0" w:color="auto"/>
            </w:tcBorders>
            <w:shd w:val="clear" w:color="auto" w:fill="auto"/>
            <w:noWrap/>
            <w:vAlign w:val="center"/>
            <w:hideMark/>
          </w:tcPr>
          <w:p w14:paraId="0EB5FCA5" w14:textId="77777777" w:rsidR="00CD0A25" w:rsidRPr="00641221" w:rsidRDefault="00CD0A25" w:rsidP="008F67E9">
            <w:pPr>
              <w:keepNext/>
              <w:keepLines/>
              <w:widowControl/>
              <w:autoSpaceDE/>
              <w:autoSpaceDN/>
              <w:adjustRightInd/>
              <w:jc w:val="center"/>
              <w:rPr>
                <w:color w:val="000000"/>
                <w:lang w:eastAsia="en-US"/>
              </w:rPr>
            </w:pPr>
            <w:r w:rsidRPr="00641221">
              <w:rPr>
                <w:color w:val="000000"/>
                <w:lang w:eastAsia="en-US"/>
              </w:rPr>
              <w:t>$</w:t>
            </w:r>
            <w:r>
              <w:rPr>
                <w:color w:val="000000"/>
                <w:lang w:eastAsia="en-US"/>
              </w:rPr>
              <w:t>183,239</w:t>
            </w:r>
          </w:p>
        </w:tc>
      </w:tr>
      <w:tr w:rsidR="00CD0A25" w:rsidRPr="00641221" w14:paraId="6C4AC9F0" w14:textId="77777777" w:rsidTr="008F67E9">
        <w:trPr>
          <w:trHeight w:val="621"/>
        </w:trPr>
        <w:tc>
          <w:tcPr>
            <w:tcW w:w="2759" w:type="dxa"/>
            <w:tcBorders>
              <w:top w:val="nil"/>
              <w:left w:val="double" w:sz="6" w:space="0" w:color="auto"/>
              <w:bottom w:val="single" w:sz="4" w:space="0" w:color="auto"/>
              <w:right w:val="single" w:sz="4" w:space="0" w:color="auto"/>
            </w:tcBorders>
            <w:shd w:val="clear" w:color="auto" w:fill="auto"/>
            <w:hideMark/>
          </w:tcPr>
          <w:p w14:paraId="72E36341" w14:textId="77777777" w:rsidR="00CD0A25" w:rsidRPr="00641221" w:rsidRDefault="00CD0A25" w:rsidP="008F67E9">
            <w:pPr>
              <w:keepNext/>
              <w:keepLines/>
              <w:widowControl/>
              <w:autoSpaceDE/>
              <w:autoSpaceDN/>
              <w:adjustRightInd/>
              <w:rPr>
                <w:color w:val="000000"/>
                <w:lang w:eastAsia="en-US"/>
              </w:rPr>
            </w:pPr>
            <w:r w:rsidRPr="00641221">
              <w:rPr>
                <w:color w:val="000000"/>
                <w:lang w:eastAsia="en-US"/>
              </w:rPr>
              <w:t>Labeling for Unregistered Exported Pesticide Products</w:t>
            </w:r>
          </w:p>
        </w:tc>
        <w:tc>
          <w:tcPr>
            <w:tcW w:w="1378" w:type="dxa"/>
            <w:tcBorders>
              <w:top w:val="nil"/>
              <w:left w:val="nil"/>
              <w:bottom w:val="single" w:sz="4" w:space="0" w:color="auto"/>
              <w:right w:val="single" w:sz="4" w:space="0" w:color="auto"/>
            </w:tcBorders>
            <w:shd w:val="clear" w:color="auto" w:fill="auto"/>
            <w:vAlign w:val="center"/>
            <w:hideMark/>
          </w:tcPr>
          <w:p w14:paraId="1863AC94" w14:textId="77777777" w:rsidR="00CD0A25" w:rsidRPr="00641221" w:rsidRDefault="00CD0A25" w:rsidP="008F67E9">
            <w:pPr>
              <w:keepNext/>
              <w:keepLines/>
              <w:widowControl/>
              <w:autoSpaceDE/>
              <w:autoSpaceDN/>
              <w:adjustRightInd/>
              <w:jc w:val="center"/>
              <w:rPr>
                <w:color w:val="000000"/>
                <w:lang w:eastAsia="en-US"/>
              </w:rPr>
            </w:pPr>
            <w:r>
              <w:rPr>
                <w:color w:val="000000"/>
                <w:lang w:eastAsia="en-US"/>
              </w:rPr>
              <w:t>560</w:t>
            </w:r>
          </w:p>
        </w:tc>
        <w:tc>
          <w:tcPr>
            <w:tcW w:w="1863" w:type="dxa"/>
            <w:tcBorders>
              <w:top w:val="nil"/>
              <w:left w:val="nil"/>
              <w:bottom w:val="single" w:sz="4" w:space="0" w:color="auto"/>
              <w:right w:val="single" w:sz="4" w:space="0" w:color="auto"/>
            </w:tcBorders>
            <w:shd w:val="clear" w:color="auto" w:fill="auto"/>
            <w:vAlign w:val="center"/>
            <w:hideMark/>
          </w:tcPr>
          <w:p w14:paraId="42E055E6" w14:textId="77777777" w:rsidR="00CD0A25" w:rsidRPr="00641221" w:rsidRDefault="00CD0A25" w:rsidP="008F67E9">
            <w:pPr>
              <w:keepNext/>
              <w:keepLines/>
              <w:widowControl/>
              <w:autoSpaceDE/>
              <w:autoSpaceDN/>
              <w:adjustRightInd/>
              <w:jc w:val="center"/>
              <w:rPr>
                <w:color w:val="000000"/>
                <w:lang w:eastAsia="en-US"/>
              </w:rPr>
            </w:pPr>
            <w:r w:rsidRPr="00641221">
              <w:rPr>
                <w:color w:val="000000"/>
                <w:lang w:eastAsia="en-US"/>
              </w:rPr>
              <w:t>8</w:t>
            </w:r>
          </w:p>
        </w:tc>
        <w:tc>
          <w:tcPr>
            <w:tcW w:w="928" w:type="dxa"/>
            <w:tcBorders>
              <w:top w:val="nil"/>
              <w:left w:val="nil"/>
              <w:bottom w:val="single" w:sz="4" w:space="0" w:color="auto"/>
              <w:right w:val="single" w:sz="4" w:space="0" w:color="auto"/>
            </w:tcBorders>
            <w:shd w:val="clear" w:color="auto" w:fill="auto"/>
            <w:vAlign w:val="center"/>
            <w:hideMark/>
          </w:tcPr>
          <w:p w14:paraId="334C31DF" w14:textId="77777777" w:rsidR="00CD0A25" w:rsidRPr="00641221" w:rsidRDefault="00CD0A25" w:rsidP="008F67E9">
            <w:pPr>
              <w:keepNext/>
              <w:keepLines/>
              <w:widowControl/>
              <w:autoSpaceDE/>
              <w:autoSpaceDN/>
              <w:adjustRightInd/>
              <w:jc w:val="center"/>
              <w:rPr>
                <w:color w:val="000000"/>
                <w:lang w:eastAsia="en-US"/>
              </w:rPr>
            </w:pPr>
            <w:r>
              <w:rPr>
                <w:color w:val="000000"/>
                <w:lang w:eastAsia="en-US"/>
              </w:rPr>
              <w:t>4,480</w:t>
            </w:r>
          </w:p>
        </w:tc>
        <w:tc>
          <w:tcPr>
            <w:tcW w:w="1176" w:type="dxa"/>
            <w:tcBorders>
              <w:top w:val="nil"/>
              <w:left w:val="nil"/>
              <w:bottom w:val="single" w:sz="4" w:space="0" w:color="auto"/>
              <w:right w:val="double" w:sz="6" w:space="0" w:color="auto"/>
            </w:tcBorders>
            <w:shd w:val="clear" w:color="auto" w:fill="auto"/>
            <w:noWrap/>
            <w:vAlign w:val="center"/>
            <w:hideMark/>
          </w:tcPr>
          <w:p w14:paraId="0D21FF46" w14:textId="77777777" w:rsidR="00CD0A25" w:rsidRPr="00641221" w:rsidRDefault="00CD0A25" w:rsidP="008F67E9">
            <w:pPr>
              <w:keepNext/>
              <w:keepLines/>
              <w:widowControl/>
              <w:autoSpaceDE/>
              <w:autoSpaceDN/>
              <w:adjustRightInd/>
              <w:jc w:val="center"/>
              <w:rPr>
                <w:color w:val="000000"/>
                <w:lang w:eastAsia="en-US"/>
              </w:rPr>
            </w:pPr>
            <w:r>
              <w:rPr>
                <w:color w:val="000000"/>
                <w:lang w:eastAsia="en-US"/>
              </w:rPr>
              <w:t>$308,653</w:t>
            </w:r>
          </w:p>
        </w:tc>
      </w:tr>
      <w:tr w:rsidR="00CD0A25" w:rsidRPr="00641221" w14:paraId="17AF3CBB" w14:textId="77777777" w:rsidTr="008F67E9">
        <w:trPr>
          <w:trHeight w:val="931"/>
        </w:trPr>
        <w:tc>
          <w:tcPr>
            <w:tcW w:w="2759" w:type="dxa"/>
            <w:tcBorders>
              <w:top w:val="nil"/>
              <w:left w:val="double" w:sz="6" w:space="0" w:color="auto"/>
              <w:bottom w:val="single" w:sz="18" w:space="0" w:color="auto"/>
              <w:right w:val="single" w:sz="4" w:space="0" w:color="auto"/>
            </w:tcBorders>
            <w:shd w:val="clear" w:color="auto" w:fill="auto"/>
            <w:hideMark/>
          </w:tcPr>
          <w:p w14:paraId="0C31EE28" w14:textId="77777777" w:rsidR="00CD0A25" w:rsidRPr="00641221" w:rsidRDefault="00CD0A25" w:rsidP="008F67E9">
            <w:pPr>
              <w:widowControl/>
              <w:autoSpaceDE/>
              <w:autoSpaceDN/>
              <w:adjustRightInd/>
              <w:rPr>
                <w:color w:val="000000"/>
                <w:lang w:eastAsia="en-US"/>
              </w:rPr>
            </w:pPr>
            <w:r w:rsidRPr="00641221">
              <w:rPr>
                <w:color w:val="000000"/>
                <w:lang w:eastAsia="en-US"/>
              </w:rPr>
              <w:t>Multilingual Product Labeling for Registered Exported Pesticide Products</w:t>
            </w:r>
          </w:p>
        </w:tc>
        <w:tc>
          <w:tcPr>
            <w:tcW w:w="1378" w:type="dxa"/>
            <w:tcBorders>
              <w:top w:val="nil"/>
              <w:left w:val="nil"/>
              <w:bottom w:val="single" w:sz="18" w:space="0" w:color="auto"/>
              <w:right w:val="single" w:sz="4" w:space="0" w:color="auto"/>
            </w:tcBorders>
            <w:shd w:val="clear" w:color="auto" w:fill="auto"/>
            <w:vAlign w:val="center"/>
            <w:hideMark/>
          </w:tcPr>
          <w:p w14:paraId="728A32A5" w14:textId="77777777" w:rsidR="00CD0A25" w:rsidRPr="00641221" w:rsidRDefault="00CD0A25" w:rsidP="008F67E9">
            <w:pPr>
              <w:widowControl/>
              <w:autoSpaceDE/>
              <w:autoSpaceDN/>
              <w:adjustRightInd/>
              <w:jc w:val="center"/>
              <w:rPr>
                <w:color w:val="000000"/>
                <w:lang w:eastAsia="en-US"/>
              </w:rPr>
            </w:pPr>
            <w:r>
              <w:rPr>
                <w:color w:val="000000"/>
                <w:lang w:eastAsia="en-US"/>
              </w:rPr>
              <w:t>1,680</w:t>
            </w:r>
          </w:p>
        </w:tc>
        <w:tc>
          <w:tcPr>
            <w:tcW w:w="1863" w:type="dxa"/>
            <w:tcBorders>
              <w:top w:val="nil"/>
              <w:left w:val="nil"/>
              <w:bottom w:val="single" w:sz="18" w:space="0" w:color="auto"/>
              <w:right w:val="single" w:sz="4" w:space="0" w:color="auto"/>
            </w:tcBorders>
            <w:shd w:val="clear" w:color="auto" w:fill="auto"/>
            <w:vAlign w:val="center"/>
            <w:hideMark/>
          </w:tcPr>
          <w:p w14:paraId="3AC5D409" w14:textId="77777777" w:rsidR="00CD0A25" w:rsidRPr="00641221" w:rsidRDefault="00CD0A25" w:rsidP="008F67E9">
            <w:pPr>
              <w:widowControl/>
              <w:autoSpaceDE/>
              <w:autoSpaceDN/>
              <w:adjustRightInd/>
              <w:jc w:val="center"/>
              <w:rPr>
                <w:color w:val="000000"/>
                <w:lang w:eastAsia="en-US"/>
              </w:rPr>
            </w:pPr>
            <w:r w:rsidRPr="00641221">
              <w:rPr>
                <w:color w:val="000000"/>
                <w:lang w:eastAsia="en-US"/>
              </w:rPr>
              <w:t>5.5</w:t>
            </w:r>
          </w:p>
        </w:tc>
        <w:tc>
          <w:tcPr>
            <w:tcW w:w="928" w:type="dxa"/>
            <w:tcBorders>
              <w:top w:val="nil"/>
              <w:left w:val="nil"/>
              <w:bottom w:val="single" w:sz="18" w:space="0" w:color="auto"/>
              <w:right w:val="single" w:sz="4" w:space="0" w:color="auto"/>
            </w:tcBorders>
            <w:shd w:val="clear" w:color="auto" w:fill="auto"/>
            <w:vAlign w:val="center"/>
            <w:hideMark/>
          </w:tcPr>
          <w:p w14:paraId="52642CEB" w14:textId="77777777" w:rsidR="00CD0A25" w:rsidRPr="00641221" w:rsidRDefault="00CD0A25" w:rsidP="008F67E9">
            <w:pPr>
              <w:widowControl/>
              <w:autoSpaceDE/>
              <w:autoSpaceDN/>
              <w:adjustRightInd/>
              <w:jc w:val="center"/>
              <w:rPr>
                <w:color w:val="000000"/>
                <w:lang w:eastAsia="en-US"/>
              </w:rPr>
            </w:pPr>
            <w:r>
              <w:rPr>
                <w:color w:val="000000"/>
                <w:lang w:eastAsia="en-US"/>
              </w:rPr>
              <w:t>9,240</w:t>
            </w:r>
          </w:p>
        </w:tc>
        <w:tc>
          <w:tcPr>
            <w:tcW w:w="1176" w:type="dxa"/>
            <w:tcBorders>
              <w:top w:val="nil"/>
              <w:left w:val="nil"/>
              <w:bottom w:val="single" w:sz="18" w:space="0" w:color="auto"/>
              <w:right w:val="double" w:sz="6" w:space="0" w:color="auto"/>
            </w:tcBorders>
            <w:shd w:val="clear" w:color="auto" w:fill="auto"/>
            <w:noWrap/>
            <w:vAlign w:val="center"/>
            <w:hideMark/>
          </w:tcPr>
          <w:p w14:paraId="681C106E" w14:textId="77777777" w:rsidR="00CD0A25" w:rsidRPr="00641221" w:rsidRDefault="00CD0A25" w:rsidP="008F67E9">
            <w:pPr>
              <w:widowControl/>
              <w:autoSpaceDE/>
              <w:autoSpaceDN/>
              <w:adjustRightInd/>
              <w:jc w:val="center"/>
              <w:rPr>
                <w:color w:val="000000"/>
                <w:lang w:eastAsia="en-US"/>
              </w:rPr>
            </w:pPr>
            <w:r w:rsidRPr="00641221">
              <w:rPr>
                <w:color w:val="000000"/>
                <w:lang w:eastAsia="en-US"/>
              </w:rPr>
              <w:t>$</w:t>
            </w:r>
            <w:r>
              <w:rPr>
                <w:color w:val="000000"/>
                <w:lang w:eastAsia="en-US"/>
              </w:rPr>
              <w:t>595,209</w:t>
            </w:r>
          </w:p>
        </w:tc>
      </w:tr>
      <w:tr w:rsidR="00CD0A25" w:rsidRPr="00641221" w14:paraId="32E914FA" w14:textId="77777777" w:rsidTr="008F67E9">
        <w:trPr>
          <w:trHeight w:val="440"/>
        </w:trPr>
        <w:tc>
          <w:tcPr>
            <w:tcW w:w="6000" w:type="dxa"/>
            <w:gridSpan w:val="3"/>
            <w:tcBorders>
              <w:top w:val="single" w:sz="18" w:space="0" w:color="auto"/>
              <w:left w:val="double" w:sz="6" w:space="0" w:color="auto"/>
              <w:bottom w:val="single" w:sz="4" w:space="0" w:color="auto"/>
              <w:right w:val="single" w:sz="4" w:space="0" w:color="auto"/>
            </w:tcBorders>
            <w:shd w:val="clear" w:color="auto" w:fill="auto"/>
            <w:vAlign w:val="center"/>
            <w:hideMark/>
          </w:tcPr>
          <w:p w14:paraId="38B99392" w14:textId="77777777" w:rsidR="00CD0A25" w:rsidRPr="006B1172" w:rsidRDefault="00CD0A25" w:rsidP="008F67E9">
            <w:pPr>
              <w:widowControl/>
              <w:autoSpaceDE/>
              <w:autoSpaceDN/>
              <w:adjustRightInd/>
              <w:jc w:val="center"/>
              <w:rPr>
                <w:b/>
                <w:color w:val="000000"/>
                <w:lang w:eastAsia="en-US"/>
              </w:rPr>
            </w:pPr>
            <w:r w:rsidRPr="006B1172">
              <w:rPr>
                <w:b/>
                <w:color w:val="000000"/>
                <w:lang w:eastAsia="en-US"/>
              </w:rPr>
              <w:t>Total Annual Respondent Burden</w:t>
            </w:r>
          </w:p>
        </w:tc>
        <w:tc>
          <w:tcPr>
            <w:tcW w:w="928" w:type="dxa"/>
            <w:tcBorders>
              <w:top w:val="single" w:sz="18" w:space="0" w:color="auto"/>
              <w:left w:val="nil"/>
              <w:bottom w:val="single" w:sz="4" w:space="0" w:color="auto"/>
              <w:right w:val="single" w:sz="4" w:space="0" w:color="auto"/>
            </w:tcBorders>
            <w:shd w:val="clear" w:color="auto" w:fill="auto"/>
            <w:vAlign w:val="center"/>
            <w:hideMark/>
          </w:tcPr>
          <w:p w14:paraId="425F2660" w14:textId="77777777" w:rsidR="00CD0A25" w:rsidRPr="00641221" w:rsidRDefault="00CD0A25" w:rsidP="008F67E9">
            <w:pPr>
              <w:widowControl/>
              <w:autoSpaceDE/>
              <w:autoSpaceDN/>
              <w:adjustRightInd/>
              <w:jc w:val="center"/>
              <w:rPr>
                <w:color w:val="000000"/>
                <w:lang w:eastAsia="en-US"/>
              </w:rPr>
            </w:pPr>
            <w:r>
              <w:rPr>
                <w:color w:val="000000"/>
                <w:lang w:eastAsia="en-US"/>
              </w:rPr>
              <w:t>16,660</w:t>
            </w:r>
          </w:p>
        </w:tc>
        <w:tc>
          <w:tcPr>
            <w:tcW w:w="1176" w:type="dxa"/>
            <w:tcBorders>
              <w:top w:val="single" w:sz="18" w:space="0" w:color="auto"/>
              <w:left w:val="nil"/>
              <w:bottom w:val="single" w:sz="4" w:space="0" w:color="auto"/>
              <w:right w:val="double" w:sz="6" w:space="0" w:color="auto"/>
            </w:tcBorders>
            <w:shd w:val="clear" w:color="auto" w:fill="auto"/>
            <w:noWrap/>
            <w:vAlign w:val="center"/>
            <w:hideMark/>
          </w:tcPr>
          <w:p w14:paraId="574FFEA6" w14:textId="77777777" w:rsidR="00CD0A25" w:rsidRPr="00641221" w:rsidRDefault="00CD0A25" w:rsidP="008F67E9">
            <w:pPr>
              <w:widowControl/>
              <w:autoSpaceDE/>
              <w:autoSpaceDN/>
              <w:adjustRightInd/>
              <w:jc w:val="center"/>
              <w:rPr>
                <w:color w:val="000000"/>
                <w:lang w:eastAsia="en-US"/>
              </w:rPr>
            </w:pPr>
            <w:r>
              <w:rPr>
                <w:color w:val="000000"/>
                <w:lang w:eastAsia="en-US"/>
              </w:rPr>
              <w:t>$1,087,102</w:t>
            </w:r>
          </w:p>
        </w:tc>
      </w:tr>
    </w:tbl>
    <w:p w14:paraId="32D67929" w14:textId="77777777" w:rsidR="00CD0A25" w:rsidRDefault="00CD0A25" w:rsidP="00CD0A25">
      <w:pPr>
        <w:tabs>
          <w:tab w:val="left" w:pos="-1440"/>
        </w:tabs>
        <w:rPr>
          <w:sz w:val="20"/>
          <w:szCs w:val="20"/>
        </w:rPr>
      </w:pPr>
      <w:r>
        <w:rPr>
          <w:sz w:val="20"/>
          <w:szCs w:val="20"/>
          <w:vertAlign w:val="superscript"/>
        </w:rPr>
        <w:t>1</w:t>
      </w:r>
      <w:r w:rsidRPr="008E5C96">
        <w:rPr>
          <w:sz w:val="20"/>
          <w:szCs w:val="20"/>
        </w:rPr>
        <w:t xml:space="preserve"> Totals may not sum due to rounding.</w:t>
      </w:r>
    </w:p>
    <w:p w14:paraId="68F2F887" w14:textId="77777777" w:rsidR="00CD0A25" w:rsidRDefault="00CD0A25" w:rsidP="00CD0A25">
      <w:pPr>
        <w:tabs>
          <w:tab w:val="left" w:pos="-1440"/>
        </w:tabs>
        <w:ind w:left="4320" w:hanging="3240"/>
      </w:pPr>
    </w:p>
    <w:p w14:paraId="3166307D" w14:textId="77777777" w:rsidR="00CD0A25" w:rsidRDefault="00CD0A25" w:rsidP="00CD0A25">
      <w:pPr>
        <w:tabs>
          <w:tab w:val="left" w:pos="1080"/>
        </w:tabs>
        <w:ind w:firstLine="720"/>
      </w:pPr>
      <w:r>
        <w:tab/>
        <w:t>(ii)</w:t>
      </w:r>
      <w:r>
        <w:tab/>
      </w:r>
      <w:r>
        <w:rPr>
          <w:u w:val="single"/>
        </w:rPr>
        <w:t>Agency Burden</w:t>
      </w:r>
    </w:p>
    <w:p w14:paraId="385EEB40" w14:textId="77777777" w:rsidR="00CD0A25" w:rsidRDefault="00CD0A25" w:rsidP="00CD0A25"/>
    <w:p w14:paraId="2C73C6CD" w14:textId="4D3A9B72" w:rsidR="00CD0A25" w:rsidRDefault="00CD0A25" w:rsidP="00CD0A25">
      <w:pPr>
        <w:ind w:firstLine="720"/>
      </w:pPr>
      <w:r>
        <w:t xml:space="preserve">The total annual agency burden for this ICR is estimated to be 943 hours. This would result in a total annual agency cost of $78,932.  </w:t>
      </w:r>
    </w:p>
    <w:p w14:paraId="709E6410" w14:textId="77777777" w:rsidR="00CD0A25" w:rsidRDefault="00CD0A25" w:rsidP="00CD0A25"/>
    <w:p w14:paraId="07719F7E" w14:textId="77777777" w:rsidR="00CD0A25" w:rsidRDefault="00CD0A25" w:rsidP="00CD0A25">
      <w:r>
        <w:rPr>
          <w:b/>
          <w:bCs/>
        </w:rPr>
        <w:t>Table 6.</w:t>
      </w:r>
      <w:r>
        <w:tab/>
      </w:r>
      <w:r>
        <w:rPr>
          <w:b/>
          <w:bCs/>
        </w:rPr>
        <w:t>Bottom Line Burden Hours and Cost</w:t>
      </w:r>
    </w:p>
    <w:tbl>
      <w:tblPr>
        <w:tblW w:w="9360" w:type="dxa"/>
        <w:tblInd w:w="145" w:type="dxa"/>
        <w:tblLayout w:type="fixed"/>
        <w:tblCellMar>
          <w:left w:w="145" w:type="dxa"/>
          <w:right w:w="145" w:type="dxa"/>
        </w:tblCellMar>
        <w:tblLook w:val="0000" w:firstRow="0" w:lastRow="0" w:firstColumn="0" w:lastColumn="0" w:noHBand="0" w:noVBand="0"/>
      </w:tblPr>
      <w:tblGrid>
        <w:gridCol w:w="3420"/>
        <w:gridCol w:w="3060"/>
        <w:gridCol w:w="2880"/>
      </w:tblGrid>
      <w:tr w:rsidR="00CD0A25" w:rsidRPr="00C87F8C" w14:paraId="34C47FCA" w14:textId="77777777" w:rsidTr="008F67E9">
        <w:trPr>
          <w:cantSplit/>
        </w:trPr>
        <w:tc>
          <w:tcPr>
            <w:tcW w:w="3420" w:type="dxa"/>
            <w:vMerge w:val="restart"/>
            <w:tcBorders>
              <w:top w:val="double" w:sz="4" w:space="0" w:color="000000"/>
              <w:left w:val="double" w:sz="4" w:space="0" w:color="000000"/>
              <w:bottom w:val="nil"/>
              <w:right w:val="single" w:sz="6" w:space="0" w:color="FFFFFF"/>
            </w:tcBorders>
          </w:tcPr>
          <w:p w14:paraId="2D006AFC" w14:textId="77777777" w:rsidR="00CD0A25" w:rsidRPr="00C87F8C" w:rsidRDefault="00CD0A25" w:rsidP="008F67E9">
            <w:pPr>
              <w:rPr>
                <w:sz w:val="22"/>
                <w:szCs w:val="22"/>
              </w:rPr>
            </w:pPr>
          </w:p>
        </w:tc>
        <w:tc>
          <w:tcPr>
            <w:tcW w:w="3060" w:type="dxa"/>
            <w:gridSpan w:val="2"/>
            <w:tcBorders>
              <w:top w:val="double" w:sz="4" w:space="0" w:color="000000"/>
              <w:left w:val="single" w:sz="6" w:space="0" w:color="000000"/>
              <w:bottom w:val="single" w:sz="6" w:space="0" w:color="FFFFFF"/>
              <w:right w:val="double" w:sz="4" w:space="0" w:color="000000"/>
            </w:tcBorders>
          </w:tcPr>
          <w:p w14:paraId="04150098" w14:textId="77777777" w:rsidR="00CD0A25" w:rsidRPr="00C87F8C" w:rsidRDefault="00CD0A25" w:rsidP="008F67E9">
            <w:pPr>
              <w:tabs>
                <w:tab w:val="center" w:pos="1385"/>
              </w:tabs>
              <w:jc w:val="center"/>
              <w:rPr>
                <w:sz w:val="22"/>
                <w:szCs w:val="22"/>
              </w:rPr>
            </w:pPr>
            <w:r w:rsidRPr="00C87F8C">
              <w:rPr>
                <w:sz w:val="22"/>
                <w:szCs w:val="22"/>
              </w:rPr>
              <w:t>TOTAL</w:t>
            </w:r>
          </w:p>
        </w:tc>
      </w:tr>
      <w:tr w:rsidR="00CD0A25" w:rsidRPr="00C87F8C" w14:paraId="64162CFB" w14:textId="77777777" w:rsidTr="008F67E9">
        <w:trPr>
          <w:cantSplit/>
        </w:trPr>
        <w:tc>
          <w:tcPr>
            <w:tcW w:w="3420" w:type="dxa"/>
            <w:vMerge/>
            <w:tcBorders>
              <w:top w:val="nil"/>
              <w:left w:val="double" w:sz="4" w:space="0" w:color="000000"/>
              <w:bottom w:val="single" w:sz="18" w:space="0" w:color="000000"/>
              <w:right w:val="single" w:sz="6" w:space="0" w:color="FFFFFF"/>
            </w:tcBorders>
          </w:tcPr>
          <w:p w14:paraId="7167478A" w14:textId="77777777" w:rsidR="00CD0A25" w:rsidRPr="00C87F8C" w:rsidRDefault="00CD0A25" w:rsidP="008F67E9">
            <w:pPr>
              <w:rPr>
                <w:sz w:val="22"/>
                <w:szCs w:val="22"/>
              </w:rPr>
            </w:pPr>
          </w:p>
        </w:tc>
        <w:tc>
          <w:tcPr>
            <w:tcW w:w="3060" w:type="dxa"/>
            <w:tcBorders>
              <w:top w:val="single" w:sz="6" w:space="0" w:color="000000"/>
              <w:left w:val="single" w:sz="6" w:space="0" w:color="000000"/>
              <w:bottom w:val="single" w:sz="18" w:space="0" w:color="000000"/>
              <w:right w:val="single" w:sz="6" w:space="0" w:color="FFFFFF"/>
            </w:tcBorders>
          </w:tcPr>
          <w:p w14:paraId="22306D33" w14:textId="77777777" w:rsidR="00CD0A25" w:rsidRPr="00C87F8C" w:rsidRDefault="00CD0A25" w:rsidP="008F67E9">
            <w:pPr>
              <w:tabs>
                <w:tab w:val="center" w:pos="1385"/>
              </w:tabs>
              <w:jc w:val="center"/>
              <w:rPr>
                <w:sz w:val="22"/>
                <w:szCs w:val="22"/>
              </w:rPr>
            </w:pPr>
            <w:r w:rsidRPr="00C87F8C">
              <w:rPr>
                <w:sz w:val="22"/>
                <w:szCs w:val="22"/>
              </w:rPr>
              <w:t>Hours</w:t>
            </w:r>
          </w:p>
        </w:tc>
        <w:tc>
          <w:tcPr>
            <w:tcW w:w="2880" w:type="dxa"/>
            <w:tcBorders>
              <w:top w:val="single" w:sz="6" w:space="0" w:color="000000"/>
              <w:left w:val="single" w:sz="6" w:space="0" w:color="000000"/>
              <w:bottom w:val="single" w:sz="18" w:space="0" w:color="000000"/>
              <w:right w:val="double" w:sz="4" w:space="0" w:color="000000"/>
            </w:tcBorders>
          </w:tcPr>
          <w:p w14:paraId="36D9FEF1" w14:textId="77777777" w:rsidR="00CD0A25" w:rsidRPr="00C87F8C" w:rsidRDefault="00CD0A25" w:rsidP="008F67E9">
            <w:pPr>
              <w:tabs>
                <w:tab w:val="center" w:pos="1295"/>
              </w:tabs>
              <w:jc w:val="center"/>
              <w:rPr>
                <w:sz w:val="22"/>
                <w:szCs w:val="22"/>
              </w:rPr>
            </w:pPr>
            <w:r w:rsidRPr="00C87F8C">
              <w:rPr>
                <w:sz w:val="22"/>
                <w:szCs w:val="22"/>
              </w:rPr>
              <w:t>Costs</w:t>
            </w:r>
          </w:p>
        </w:tc>
      </w:tr>
      <w:tr w:rsidR="00CD0A25" w:rsidRPr="00C87F8C" w14:paraId="5C176B87" w14:textId="77777777" w:rsidTr="008F67E9">
        <w:trPr>
          <w:cantSplit/>
        </w:trPr>
        <w:tc>
          <w:tcPr>
            <w:tcW w:w="3420" w:type="dxa"/>
            <w:tcBorders>
              <w:top w:val="single" w:sz="18" w:space="0" w:color="000000"/>
              <w:left w:val="double" w:sz="4" w:space="0" w:color="000000"/>
              <w:bottom w:val="single" w:sz="6" w:space="0" w:color="FFFFFF"/>
              <w:right w:val="single" w:sz="6" w:space="0" w:color="FFFFFF"/>
            </w:tcBorders>
          </w:tcPr>
          <w:p w14:paraId="41C87353" w14:textId="77777777" w:rsidR="00CD0A25" w:rsidRPr="00C87F8C" w:rsidRDefault="00CD0A25" w:rsidP="008F67E9">
            <w:pPr>
              <w:rPr>
                <w:sz w:val="22"/>
                <w:szCs w:val="22"/>
              </w:rPr>
            </w:pPr>
            <w:r w:rsidRPr="00C87F8C">
              <w:rPr>
                <w:sz w:val="22"/>
                <w:szCs w:val="22"/>
              </w:rPr>
              <w:t>Respondent Burden Estimate</w:t>
            </w:r>
          </w:p>
        </w:tc>
        <w:tc>
          <w:tcPr>
            <w:tcW w:w="3060" w:type="dxa"/>
            <w:tcBorders>
              <w:top w:val="single" w:sz="18" w:space="0" w:color="000000"/>
              <w:left w:val="single" w:sz="6" w:space="0" w:color="000000"/>
              <w:bottom w:val="single" w:sz="6" w:space="0" w:color="FFFFFF"/>
              <w:right w:val="single" w:sz="6" w:space="0" w:color="FFFFFF"/>
            </w:tcBorders>
          </w:tcPr>
          <w:p w14:paraId="41FCFE56" w14:textId="77777777" w:rsidR="00CD0A25" w:rsidRPr="006B1172" w:rsidRDefault="00CD0A25" w:rsidP="008F67E9">
            <w:pPr>
              <w:jc w:val="center"/>
              <w:rPr>
                <w:sz w:val="22"/>
                <w:szCs w:val="22"/>
              </w:rPr>
            </w:pPr>
            <w:r>
              <w:rPr>
                <w:sz w:val="22"/>
                <w:szCs w:val="22"/>
              </w:rPr>
              <w:t>16,660</w:t>
            </w:r>
          </w:p>
        </w:tc>
        <w:tc>
          <w:tcPr>
            <w:tcW w:w="2880" w:type="dxa"/>
            <w:tcBorders>
              <w:top w:val="single" w:sz="18" w:space="0" w:color="000000"/>
              <w:left w:val="single" w:sz="6" w:space="0" w:color="000000"/>
              <w:bottom w:val="single" w:sz="6" w:space="0" w:color="FFFFFF"/>
              <w:right w:val="double" w:sz="4" w:space="0" w:color="000000"/>
            </w:tcBorders>
          </w:tcPr>
          <w:p w14:paraId="21B5F226" w14:textId="77777777" w:rsidR="00CD0A25" w:rsidRPr="006B1172" w:rsidRDefault="00CD0A25" w:rsidP="008F67E9">
            <w:pPr>
              <w:jc w:val="center"/>
              <w:rPr>
                <w:sz w:val="22"/>
                <w:szCs w:val="22"/>
              </w:rPr>
            </w:pPr>
            <w:r w:rsidRPr="006B1172">
              <w:rPr>
                <w:sz w:val="22"/>
                <w:szCs w:val="22"/>
              </w:rPr>
              <w:t>$</w:t>
            </w:r>
            <w:r>
              <w:rPr>
                <w:sz w:val="22"/>
                <w:szCs w:val="22"/>
              </w:rPr>
              <w:t>1,087,102</w:t>
            </w:r>
          </w:p>
        </w:tc>
      </w:tr>
      <w:tr w:rsidR="00CD0A25" w:rsidRPr="00C87F8C" w14:paraId="401F2A97" w14:textId="77777777" w:rsidTr="008F67E9">
        <w:trPr>
          <w:cantSplit/>
        </w:trPr>
        <w:tc>
          <w:tcPr>
            <w:tcW w:w="3420" w:type="dxa"/>
            <w:tcBorders>
              <w:top w:val="single" w:sz="6" w:space="0" w:color="000000"/>
              <w:left w:val="double" w:sz="4" w:space="0" w:color="000000"/>
              <w:bottom w:val="double" w:sz="4" w:space="0" w:color="000000"/>
              <w:right w:val="single" w:sz="6" w:space="0" w:color="FFFFFF"/>
            </w:tcBorders>
          </w:tcPr>
          <w:p w14:paraId="0984FE13" w14:textId="77777777" w:rsidR="00CD0A25" w:rsidRPr="00C87F8C" w:rsidRDefault="00CD0A25" w:rsidP="008F67E9">
            <w:pPr>
              <w:spacing w:after="58"/>
              <w:rPr>
                <w:sz w:val="22"/>
                <w:szCs w:val="22"/>
              </w:rPr>
            </w:pPr>
            <w:r w:rsidRPr="00C87F8C">
              <w:rPr>
                <w:sz w:val="22"/>
                <w:szCs w:val="22"/>
              </w:rPr>
              <w:t>Agency Burden Estimate</w:t>
            </w:r>
          </w:p>
        </w:tc>
        <w:tc>
          <w:tcPr>
            <w:tcW w:w="3060" w:type="dxa"/>
            <w:tcBorders>
              <w:top w:val="single" w:sz="6" w:space="0" w:color="000000"/>
              <w:left w:val="single" w:sz="6" w:space="0" w:color="000000"/>
              <w:bottom w:val="double" w:sz="4" w:space="0" w:color="000000"/>
              <w:right w:val="single" w:sz="6" w:space="0" w:color="FFFFFF"/>
            </w:tcBorders>
          </w:tcPr>
          <w:p w14:paraId="4E13E52F" w14:textId="77777777" w:rsidR="00CD0A25" w:rsidRPr="006B1172" w:rsidRDefault="00CD0A25" w:rsidP="008F67E9">
            <w:pPr>
              <w:spacing w:after="58"/>
              <w:jc w:val="center"/>
              <w:rPr>
                <w:sz w:val="22"/>
                <w:szCs w:val="22"/>
              </w:rPr>
            </w:pPr>
            <w:r>
              <w:rPr>
                <w:sz w:val="22"/>
                <w:szCs w:val="22"/>
              </w:rPr>
              <w:t>945</w:t>
            </w:r>
          </w:p>
        </w:tc>
        <w:tc>
          <w:tcPr>
            <w:tcW w:w="2880" w:type="dxa"/>
            <w:tcBorders>
              <w:top w:val="single" w:sz="6" w:space="0" w:color="000000"/>
              <w:left w:val="single" w:sz="6" w:space="0" w:color="000000"/>
              <w:bottom w:val="double" w:sz="4" w:space="0" w:color="000000"/>
              <w:right w:val="double" w:sz="4" w:space="0" w:color="000000"/>
            </w:tcBorders>
          </w:tcPr>
          <w:p w14:paraId="6C4C2472" w14:textId="77777777" w:rsidR="00CD0A25" w:rsidRPr="006B1172" w:rsidRDefault="00CD0A25" w:rsidP="008F67E9">
            <w:pPr>
              <w:spacing w:after="58"/>
              <w:jc w:val="center"/>
              <w:rPr>
                <w:sz w:val="22"/>
                <w:szCs w:val="22"/>
              </w:rPr>
            </w:pPr>
            <w:r w:rsidRPr="006B1172">
              <w:rPr>
                <w:sz w:val="22"/>
                <w:szCs w:val="22"/>
              </w:rPr>
              <w:t xml:space="preserve">     $</w:t>
            </w:r>
            <w:r>
              <w:rPr>
                <w:sz w:val="22"/>
                <w:szCs w:val="22"/>
              </w:rPr>
              <w:t>78,932</w:t>
            </w:r>
          </w:p>
        </w:tc>
      </w:tr>
    </w:tbl>
    <w:p w14:paraId="06B1C265" w14:textId="77777777" w:rsidR="00CD0A25" w:rsidRDefault="00CD0A25" w:rsidP="00CD0A25">
      <w:pPr>
        <w:tabs>
          <w:tab w:val="left" w:pos="-1440"/>
        </w:tabs>
        <w:ind w:firstLine="720"/>
        <w:rPr>
          <w:b/>
          <w:bCs/>
        </w:rPr>
      </w:pPr>
    </w:p>
    <w:p w14:paraId="6C7B4081" w14:textId="77777777" w:rsidR="00CD0A25" w:rsidRDefault="00CD0A25" w:rsidP="00CD0A25">
      <w:pPr>
        <w:tabs>
          <w:tab w:val="left" w:pos="-1440"/>
        </w:tabs>
        <w:ind w:firstLine="720"/>
      </w:pPr>
      <w:r>
        <w:rPr>
          <w:b/>
          <w:bCs/>
        </w:rPr>
        <w:t>6(e)</w:t>
      </w:r>
      <w:r>
        <w:rPr>
          <w:b/>
          <w:bCs/>
        </w:rPr>
        <w:tab/>
        <w:t>Reason for Changes in Burden</w:t>
      </w:r>
    </w:p>
    <w:p w14:paraId="4F668E52" w14:textId="77777777" w:rsidR="00CD0A25" w:rsidRDefault="00CD0A25" w:rsidP="00CD0A25"/>
    <w:p w14:paraId="2C6ECA90" w14:textId="3CEEAED9" w:rsidR="00CD0A25" w:rsidRDefault="00CD0A25" w:rsidP="00CD0A25">
      <w:pPr>
        <w:ind w:firstLine="720"/>
      </w:pPr>
      <w:r>
        <w:t xml:space="preserve">There was no change in the estimated average response time for respondents. </w:t>
      </w:r>
      <w:r w:rsidR="00482D5D" w:rsidRPr="006B798D">
        <w:t xml:space="preserve">There is a decrease of 1,333 hours in the total estimated respondent burden compared with the ICR currently approved by OMB. This decrease reflects </w:t>
      </w:r>
      <w:r w:rsidR="00482D5D">
        <w:t>a reduction</w:t>
      </w:r>
      <w:r w:rsidR="00482D5D" w:rsidRPr="006B798D">
        <w:t xml:space="preserve"> in the annual number of foreign purchaser acknowledgment statements </w:t>
      </w:r>
      <w:r w:rsidR="00482D5D">
        <w:t>received by EPA</w:t>
      </w:r>
      <w:r w:rsidR="00482D5D" w:rsidRPr="006B798D">
        <w:t xml:space="preserve"> (from 3,024 to 2,774)</w:t>
      </w:r>
      <w:r w:rsidR="00482D5D">
        <w:t xml:space="preserve">, </w:t>
      </w:r>
      <w:r w:rsidR="00482D5D" w:rsidRPr="006B798D">
        <w:t xml:space="preserve">which resulted in a </w:t>
      </w:r>
      <w:r w:rsidR="00482D5D">
        <w:t xml:space="preserve">corresponding decrease in the estimated </w:t>
      </w:r>
      <w:r w:rsidR="00482D5D" w:rsidRPr="006B798D">
        <w:t xml:space="preserve">annual burden hours for respondents </w:t>
      </w:r>
      <w:r w:rsidR="00482D5D">
        <w:t>(</w:t>
      </w:r>
      <w:r w:rsidR="00482D5D" w:rsidRPr="006B798D">
        <w:t>from 3,205 to 2,940</w:t>
      </w:r>
      <w:r w:rsidR="00482D5D">
        <w:t xml:space="preserve"> hours); and a reduction in the estimated annual burden associated with labeling requirements</w:t>
      </w:r>
      <w:r w:rsidR="00482D5D" w:rsidRPr="006B798D">
        <w:t xml:space="preserve">. The respondent burden associated with labeling requirements for unregistered exported pesticides decreased from 4,888 to 4,480 </w:t>
      </w:r>
      <w:r w:rsidR="00482D5D">
        <w:t xml:space="preserve">hours; and from </w:t>
      </w:r>
      <w:r w:rsidR="00482D5D" w:rsidRPr="006B798D">
        <w:t xml:space="preserve">9,900 to 9,240 </w:t>
      </w:r>
      <w:r w:rsidR="00482D5D">
        <w:t xml:space="preserve">hours </w:t>
      </w:r>
      <w:r w:rsidR="00482D5D" w:rsidRPr="006B798D">
        <w:t>associated with labeling requirements for registered exported pesticides</w:t>
      </w:r>
      <w:r w:rsidR="00482D5D">
        <w:t xml:space="preserve">. </w:t>
      </w:r>
      <w:r w:rsidR="00482D5D" w:rsidRPr="006B798D">
        <w:t xml:space="preserve">The decrease in burden associated with labeling requirements is due to a </w:t>
      </w:r>
      <w:r w:rsidR="00482D5D">
        <w:t>reduction</w:t>
      </w:r>
      <w:r w:rsidR="00482D5D" w:rsidRPr="006B798D">
        <w:t xml:space="preserve"> in the number of respondents per calendar year</w:t>
      </w:r>
      <w:r w:rsidR="00482D5D">
        <w:t xml:space="preserve">s </w:t>
      </w:r>
      <w:r w:rsidR="00482D5D" w:rsidRPr="006B798D">
        <w:t xml:space="preserve">2015-2017. Total labor costs for respondents decreased due to a decrease in the estimated number of respondents per calendar year from 2015-2017 and </w:t>
      </w:r>
      <w:r w:rsidR="00482D5D">
        <w:t xml:space="preserve">an update to the </w:t>
      </w:r>
      <w:r w:rsidR="00482D5D" w:rsidRPr="006B798D">
        <w:t>wage rate</w:t>
      </w:r>
      <w:r w:rsidR="00482D5D">
        <w:t xml:space="preserve"> </w:t>
      </w:r>
      <w:r w:rsidR="00482D5D" w:rsidRPr="006B798D">
        <w:t>estimates</w:t>
      </w:r>
      <w:r w:rsidR="00482D5D">
        <w:t>, which</w:t>
      </w:r>
      <w:r w:rsidR="00482D5D" w:rsidRPr="006B798D">
        <w:t xml:space="preserve"> incorporated higher estimates for benefits than was used in the previous renewal. Th</w:t>
      </w:r>
      <w:r w:rsidR="00482D5D">
        <w:t>ese</w:t>
      </w:r>
      <w:r w:rsidR="00482D5D" w:rsidRPr="006B798D">
        <w:t xml:space="preserve"> change</w:t>
      </w:r>
      <w:r w:rsidR="00482D5D">
        <w:t>s</w:t>
      </w:r>
      <w:r w:rsidR="00482D5D" w:rsidRPr="006B798D">
        <w:t xml:space="preserve"> </w:t>
      </w:r>
      <w:r w:rsidR="00482D5D">
        <w:t>qualify as</w:t>
      </w:r>
      <w:r w:rsidR="00482D5D" w:rsidRPr="006B798D">
        <w:t xml:space="preserve"> adjustment</w:t>
      </w:r>
      <w:r w:rsidR="00482D5D">
        <w:t>s</w:t>
      </w:r>
      <w:r w:rsidR="00482D5D" w:rsidRPr="006B798D">
        <w:t>.</w:t>
      </w:r>
    </w:p>
    <w:p w14:paraId="315DC9EF" w14:textId="77777777" w:rsidR="00CD0A25" w:rsidRDefault="00CD0A25" w:rsidP="00CD0A25">
      <w:pPr>
        <w:ind w:firstLine="720"/>
      </w:pPr>
    </w:p>
    <w:p w14:paraId="7618A492" w14:textId="77777777" w:rsidR="00CD0A25" w:rsidRDefault="00CD0A25" w:rsidP="00CD0A25">
      <w:pPr>
        <w:ind w:firstLine="720"/>
      </w:pPr>
      <w:r>
        <w:t>There were program changes affecting the Agency burden estimate. There is an increase of 421 hours in the total estimated Agency burden compared with that identified in the ICR currently approved by OMB. The total Agency burden increased due to an increase in the EPA estimated hourly burden from 0.17 hours (around 10 minutes) per statement to 0.33 hours (around 20 minutes) per statement. This increase is due to processes added to ensure proper review of FPAS statements before being sent to the importing country. There has also been a change in the system used and steps for storing digital copies of the FPAS. Total labor costs for the Agency also increased due to changes in the wage rates made to reflect current wage rates. The new wage estimates incorporated higher estimates for benefits than was used in the previous renewal. These changes are an adjustment.</w:t>
      </w:r>
    </w:p>
    <w:p w14:paraId="2A6E7192" w14:textId="77777777" w:rsidR="00CD0A25" w:rsidRDefault="00CD0A25" w:rsidP="00CD0A25">
      <w:pPr>
        <w:ind w:firstLine="720"/>
      </w:pPr>
    </w:p>
    <w:p w14:paraId="6A07C3AE" w14:textId="77777777" w:rsidR="00CD0A25" w:rsidRDefault="00CD0A25" w:rsidP="00CD0A25">
      <w:pPr>
        <w:ind w:firstLine="720"/>
      </w:pPr>
      <w:r>
        <w:rPr>
          <w:b/>
          <w:bCs/>
        </w:rPr>
        <w:t>6(f)</w:t>
      </w:r>
      <w:r>
        <w:rPr>
          <w:b/>
          <w:bCs/>
        </w:rPr>
        <w:tab/>
        <w:t>Burden Statement</w:t>
      </w:r>
    </w:p>
    <w:p w14:paraId="46EADBA7" w14:textId="77777777" w:rsidR="00CD0A25" w:rsidRDefault="00CD0A25" w:rsidP="00CD0A25"/>
    <w:p w14:paraId="3AF96FA8" w14:textId="2B3A7788" w:rsidR="00CD0A25" w:rsidRDefault="00CD0A25" w:rsidP="00CD0A25">
      <w:pPr>
        <w:ind w:firstLine="720"/>
      </w:pPr>
      <w:r>
        <w:t xml:space="preserve">Annual respondent burden for this collection of FPAS information requirements is estimated to average </w:t>
      </w:r>
      <w:r w:rsidRPr="008944EE">
        <w:t>1.06 hours (around 65 minutes)</w:t>
      </w:r>
      <w:r>
        <w:t xml:space="preserve"> per response and has not changed since the last renewal.  The annual respondent burden for meeting labeling requirements for unregistered and registered exported pesticide products is estimated to average 8.0 hours and 5.5 hours, respectively. </w:t>
      </w:r>
      <w:r w:rsidR="00482D5D" w:rsidRPr="006B798D">
        <w:t>Burden is defined at 5 CFR 1320.3(b).</w:t>
      </w:r>
      <w:r w:rsidR="00482D5D">
        <w:t xml:space="preserve"> </w:t>
      </w:r>
      <w:r>
        <w:t xml:space="preserve">This estimate includes the time for reviewing instructions, gathering and maintaining the data needed, and completing and reviewing the collection of information. </w:t>
      </w:r>
    </w:p>
    <w:p w14:paraId="7D0861A3" w14:textId="4596A420" w:rsidR="00482D5D" w:rsidRDefault="00482D5D" w:rsidP="00CD0A25">
      <w:pPr>
        <w:ind w:firstLine="720"/>
      </w:pPr>
    </w:p>
    <w:p w14:paraId="3F23277B" w14:textId="704C2242" w:rsidR="00482D5D" w:rsidRDefault="00482D5D" w:rsidP="00CD0A25">
      <w:pPr>
        <w:ind w:firstLine="720"/>
      </w:pPr>
      <w:r w:rsidRPr="006B798D">
        <w:t xml:space="preserve">Under PRA, 44 U.S.C. 3501 </w:t>
      </w:r>
      <w:r w:rsidRPr="006B798D">
        <w:rPr>
          <w:i/>
        </w:rPr>
        <w:t>et seq</w:t>
      </w:r>
      <w:r w:rsidRPr="006B798D">
        <w:t xml:space="preserve">., an agency may not conduct or sponsor, and a person is not required to respond to, a collection of information, unless it displays a currently valid OMB control number. The OMB control numbers are displayed either by publication in the </w:t>
      </w:r>
      <w:r w:rsidRPr="006B798D">
        <w:rPr>
          <w:rStyle w:val="GPOBold"/>
        </w:rPr>
        <w:t xml:space="preserve">Federal Register </w:t>
      </w:r>
      <w:r w:rsidRPr="006B798D">
        <w:t>or by other appropriate means, such as on the related collection instrument or form, if applicable. The display of OMB control numbers for certain EPA regulations is consolidated in 40 CFR part 9.</w:t>
      </w:r>
    </w:p>
    <w:p w14:paraId="53F5FA7F" w14:textId="77777777" w:rsidR="00482D5D" w:rsidRDefault="00482D5D" w:rsidP="00CD0A25">
      <w:pPr>
        <w:ind w:firstLine="720"/>
      </w:pPr>
    </w:p>
    <w:p w14:paraId="638AE7B9" w14:textId="62E23C0B" w:rsidR="00CD0A25" w:rsidRPr="005A3906" w:rsidRDefault="008D644E" w:rsidP="00CD0A25">
      <w:pPr>
        <w:pStyle w:val="PlainText"/>
        <w:ind w:firstLine="720"/>
        <w:rPr>
          <w:rFonts w:ascii="Times New Roman" w:hAnsi="Times New Roman" w:cs="Times New Roman"/>
          <w:sz w:val="24"/>
          <w:szCs w:val="24"/>
        </w:rPr>
      </w:pPr>
      <w:r>
        <w:rPr>
          <w:rFonts w:ascii="Times New Roman" w:hAnsi="Times New Roman" w:cs="Times New Roman"/>
          <w:sz w:val="24"/>
          <w:szCs w:val="24"/>
        </w:rPr>
        <w:t>EPA</w:t>
      </w:r>
      <w:r w:rsidR="00CD0A25" w:rsidRPr="005A3906">
        <w:rPr>
          <w:rFonts w:ascii="Times New Roman" w:hAnsi="Times New Roman" w:cs="Times New Roman"/>
          <w:sz w:val="24"/>
          <w:szCs w:val="24"/>
        </w:rPr>
        <w:t xml:space="preserve"> has established a public docket for this ICR under Docket ID No. EPA-HQ-OPP-</w:t>
      </w:r>
      <w:r w:rsidR="00CD0A25" w:rsidRPr="00B316BF">
        <w:rPr>
          <w:rFonts w:ascii="Times New Roman" w:hAnsi="Times New Roman" w:cs="Times New Roman"/>
          <w:sz w:val="24"/>
          <w:szCs w:val="24"/>
        </w:rPr>
        <w:t xml:space="preserve">2018-0266, </w:t>
      </w:r>
      <w:r w:rsidR="00CD0A25" w:rsidRPr="00B316BF">
        <w:rPr>
          <w:rFonts w:ascii="Times New Roman" w:hAnsi="Times New Roman"/>
          <w:sz w:val="24"/>
          <w:szCs w:val="24"/>
        </w:rPr>
        <w:t>which is</w:t>
      </w:r>
      <w:r w:rsidR="00CD0A25" w:rsidRPr="00F27E69">
        <w:rPr>
          <w:rFonts w:ascii="Times New Roman" w:hAnsi="Times New Roman"/>
          <w:sz w:val="24"/>
          <w:szCs w:val="24"/>
        </w:rPr>
        <w:t xml:space="preserve"> available for online viewing at</w:t>
      </w:r>
      <w:r w:rsidR="00525526">
        <w:rPr>
          <w:rFonts w:ascii="Times New Roman" w:hAnsi="Times New Roman"/>
          <w:sz w:val="24"/>
          <w:szCs w:val="24"/>
        </w:rPr>
        <w:t xml:space="preserve"> </w:t>
      </w:r>
      <w:hyperlink r:id="rId16" w:history="1">
        <w:r w:rsidR="00CD0A25" w:rsidRPr="00D13981">
          <w:rPr>
            <w:rStyle w:val="Hyperlink"/>
            <w:rFonts w:ascii="Times New Roman" w:hAnsi="Times New Roman"/>
            <w:sz w:val="24"/>
            <w:szCs w:val="24"/>
          </w:rPr>
          <w:t>http://www.regulations.gov</w:t>
        </w:r>
      </w:hyperlink>
      <w:r w:rsidR="00CD0A25">
        <w:rPr>
          <w:rFonts w:ascii="Times New Roman" w:hAnsi="Times New Roman"/>
          <w:sz w:val="24"/>
          <w:szCs w:val="24"/>
        </w:rPr>
        <w:t xml:space="preserve"> </w:t>
      </w:r>
      <w:r w:rsidR="00CD0A25" w:rsidRPr="00F27E69">
        <w:rPr>
          <w:rFonts w:ascii="Times New Roman" w:hAnsi="Times New Roman"/>
          <w:sz w:val="24"/>
          <w:szCs w:val="24"/>
        </w:rPr>
        <w:t xml:space="preserve">, or in person viewing at the EPA Docket Center-Public Reading Room, </w:t>
      </w:r>
      <w:r w:rsidR="00CD0A25">
        <w:rPr>
          <w:rFonts w:ascii="Times New Roman" w:hAnsi="Times New Roman"/>
          <w:sz w:val="24"/>
          <w:szCs w:val="24"/>
        </w:rPr>
        <w:t xml:space="preserve">William Jefferson Clinton (WJC) West </w:t>
      </w:r>
      <w:r w:rsidR="00CD0A25" w:rsidRPr="00F27E69">
        <w:rPr>
          <w:rFonts w:ascii="Times New Roman" w:hAnsi="Times New Roman"/>
          <w:sz w:val="24"/>
          <w:szCs w:val="24"/>
        </w:rPr>
        <w:t xml:space="preserve">Building, in Rm. 3334, 1301 Constitution Avenue, NW, Washington, DC. This docket facility is open from 8:30 a.m. to 4:30 p.m., Monday through Friday, excluding federal holidays. The docket telephone number is (202) 566-1744.  You may submit comments regarding the Agency's need for this information, the accuracy of the provided burden estimates and any suggested methods for minimizing respondent burden, including the use of automated collection techniques.  </w:t>
      </w:r>
    </w:p>
    <w:p w14:paraId="62E8998B" w14:textId="77777777" w:rsidR="00CD0A25" w:rsidRPr="005A3906" w:rsidRDefault="00CD0A25" w:rsidP="00CD0A25">
      <w:pPr>
        <w:pStyle w:val="PlainText"/>
        <w:ind w:firstLine="720"/>
        <w:rPr>
          <w:rFonts w:ascii="Times New Roman" w:hAnsi="Times New Roman" w:cs="Times New Roman"/>
          <w:sz w:val="24"/>
          <w:szCs w:val="24"/>
        </w:rPr>
      </w:pPr>
    </w:p>
    <w:p w14:paraId="10575492" w14:textId="7039CB2F" w:rsidR="00CD0A25" w:rsidRDefault="00CD0A25" w:rsidP="00CD0A25">
      <w:pPr>
        <w:pStyle w:val="PlainText"/>
        <w:ind w:firstLine="720"/>
        <w:rPr>
          <w:rFonts w:ascii="Times New Roman" w:hAnsi="Times New Roman" w:cs="Times New Roman"/>
          <w:sz w:val="24"/>
          <w:szCs w:val="24"/>
        </w:rPr>
      </w:pPr>
      <w:r w:rsidRPr="00F27E69">
        <w:rPr>
          <w:rFonts w:ascii="Times New Roman" w:hAnsi="Times New Roman"/>
          <w:sz w:val="24"/>
          <w:szCs w:val="24"/>
        </w:rPr>
        <w:t xml:space="preserve">Comments may be submitted to EPA electronically through </w:t>
      </w:r>
      <w:hyperlink r:id="rId17" w:history="1">
        <w:r w:rsidRPr="00234651">
          <w:rPr>
            <w:rStyle w:val="Hyperlink"/>
            <w:rFonts w:ascii="Times New Roman" w:hAnsi="Times New Roman" w:cs="Times New Roman"/>
            <w:sz w:val="24"/>
            <w:szCs w:val="24"/>
          </w:rPr>
          <w:t>http://www.regulations.gov</w:t>
        </w:r>
      </w:hyperlink>
      <w:r>
        <w:rPr>
          <w:rFonts w:ascii="Times New Roman" w:hAnsi="Times New Roman" w:cs="Times New Roman"/>
        </w:rPr>
        <w:t xml:space="preserve"> </w:t>
      </w:r>
      <w:r w:rsidRPr="00F27E69">
        <w:rPr>
          <w:rFonts w:ascii="Times New Roman" w:hAnsi="Times New Roman"/>
          <w:sz w:val="24"/>
          <w:szCs w:val="24"/>
        </w:rPr>
        <w:t xml:space="preserve">or by mail addressed to Director, </w:t>
      </w:r>
      <w:r w:rsidR="008D644E">
        <w:rPr>
          <w:rFonts w:ascii="Times New Roman" w:hAnsi="Times New Roman"/>
          <w:sz w:val="24"/>
          <w:szCs w:val="24"/>
        </w:rPr>
        <w:t>Regulatory Support</w:t>
      </w:r>
      <w:r w:rsidRPr="00F27E69">
        <w:rPr>
          <w:rFonts w:ascii="Times New Roman" w:hAnsi="Times New Roman"/>
          <w:sz w:val="24"/>
          <w:szCs w:val="24"/>
        </w:rPr>
        <w:t xml:space="preserve"> Division, U.S. Environmental Protection Agency (2822T), 1200 Pennsylvania Ave., NW, Washington, D.C. 20460. Include Docket ID No. EPA-HQ-OPP-</w:t>
      </w:r>
      <w:r>
        <w:rPr>
          <w:rFonts w:ascii="Times New Roman" w:hAnsi="Times New Roman"/>
          <w:sz w:val="24"/>
          <w:szCs w:val="24"/>
        </w:rPr>
        <w:t>2018-0266</w:t>
      </w:r>
      <w:r w:rsidRPr="00F27E69">
        <w:rPr>
          <w:rFonts w:ascii="Times New Roman" w:hAnsi="Times New Roman"/>
          <w:sz w:val="24"/>
          <w:szCs w:val="24"/>
        </w:rPr>
        <w:t xml:space="preserve"> and</w:t>
      </w:r>
      <w:r>
        <w:rPr>
          <w:rFonts w:ascii="Times New Roman" w:hAnsi="Times New Roman"/>
          <w:sz w:val="24"/>
          <w:szCs w:val="24"/>
        </w:rPr>
        <w:t xml:space="preserve"> OMB control number 2070-0</w:t>
      </w:r>
      <w:r w:rsidR="008D644E">
        <w:rPr>
          <w:rFonts w:ascii="Times New Roman" w:hAnsi="Times New Roman"/>
          <w:sz w:val="24"/>
          <w:szCs w:val="24"/>
        </w:rPr>
        <w:t>027</w:t>
      </w:r>
      <w:r w:rsidRPr="00F27E69">
        <w:rPr>
          <w:rFonts w:ascii="Times New Roman" w:hAnsi="Times New Roman"/>
          <w:sz w:val="24"/>
          <w:szCs w:val="24"/>
        </w:rPr>
        <w:t xml:space="preserve"> in any correspondence</w:t>
      </w:r>
      <w:r>
        <w:rPr>
          <w:rFonts w:ascii="Times New Roman" w:hAnsi="Times New Roman"/>
          <w:sz w:val="24"/>
          <w:szCs w:val="24"/>
        </w:rPr>
        <w:t>.</w:t>
      </w:r>
    </w:p>
    <w:p w14:paraId="01542E2C" w14:textId="77777777" w:rsidR="00CD0A25" w:rsidRPr="00342C34" w:rsidRDefault="00CD0A25" w:rsidP="00CD0A25">
      <w:pPr>
        <w:tabs>
          <w:tab w:val="left" w:pos="-1080"/>
        </w:tabs>
        <w:ind w:firstLine="720"/>
        <w:rPr>
          <w:color w:val="000000"/>
        </w:rPr>
      </w:pPr>
    </w:p>
    <w:p w14:paraId="157C0C41" w14:textId="77777777" w:rsidR="00CD0A25" w:rsidRPr="00342C34" w:rsidRDefault="00CD0A25" w:rsidP="00CD0A25">
      <w:pPr>
        <w:tabs>
          <w:tab w:val="left" w:pos="-1080"/>
        </w:tabs>
        <w:ind w:firstLine="720"/>
        <w:rPr>
          <w:color w:val="000000"/>
        </w:rPr>
      </w:pPr>
    </w:p>
    <w:p w14:paraId="52EECAEB" w14:textId="77777777" w:rsidR="00CD0A25" w:rsidRDefault="00CD0A25" w:rsidP="00CD0A25">
      <w:pPr>
        <w:widowControl/>
        <w:tabs>
          <w:tab w:val="left" w:pos="2160"/>
          <w:tab w:val="right" w:leader="dot" w:pos="9630"/>
        </w:tabs>
        <w:ind w:right="-270"/>
        <w:jc w:val="center"/>
        <w:rPr>
          <w:b/>
          <w:color w:val="000000"/>
        </w:rPr>
      </w:pPr>
      <w:r>
        <w:br w:type="page"/>
      </w:r>
      <w:r>
        <w:rPr>
          <w:b/>
          <w:color w:val="000000"/>
        </w:rPr>
        <w:t>ATTACHMENTS TO THE SUPPORTING STATEMENT</w:t>
      </w:r>
    </w:p>
    <w:p w14:paraId="2DEB6C48" w14:textId="77777777" w:rsidR="00CD0A25" w:rsidRDefault="00CD0A25" w:rsidP="00CD0A25">
      <w:pPr>
        <w:tabs>
          <w:tab w:val="left" w:pos="-1080"/>
          <w:tab w:val="left" w:pos="-720"/>
          <w:tab w:val="left" w:pos="0"/>
          <w:tab w:val="left" w:pos="360"/>
          <w:tab w:val="left" w:pos="720"/>
          <w:tab w:val="left" w:pos="1440"/>
          <w:tab w:val="left" w:pos="2160"/>
          <w:tab w:val="left" w:pos="2880"/>
          <w:tab w:val="left" w:pos="3600"/>
          <w:tab w:val="left" w:pos="4320"/>
          <w:tab w:val="left" w:pos="4680"/>
          <w:tab w:val="left" w:pos="4860"/>
          <w:tab w:val="left" w:pos="5040"/>
          <w:tab w:val="left" w:pos="5310"/>
          <w:tab w:val="left" w:pos="5490"/>
          <w:tab w:val="left" w:pos="5760"/>
          <w:tab w:val="left" w:pos="6480"/>
          <w:tab w:val="left" w:pos="720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rPr>
      </w:pPr>
    </w:p>
    <w:p w14:paraId="3BA5CC4A" w14:textId="408291F6" w:rsidR="00CD0A25" w:rsidRPr="004E5A84" w:rsidRDefault="00CD0A25" w:rsidP="00CD0A25">
      <w:pPr>
        <w:pStyle w:val="PlainText"/>
        <w:rPr>
          <w:rFonts w:ascii="Times New Roman" w:hAnsi="Times New Roman" w:cs="Times New Roman"/>
          <w:sz w:val="24"/>
          <w:szCs w:val="24"/>
        </w:rPr>
      </w:pPr>
      <w:r w:rsidRPr="004E5A84">
        <w:rPr>
          <w:rFonts w:ascii="Times New Roman" w:hAnsi="Times New Roman" w:cs="Times New Roman"/>
          <w:sz w:val="24"/>
          <w:szCs w:val="24"/>
        </w:rPr>
        <w:t xml:space="preserve">Attachments to the supporting statement are available in the public docket established for this ICR under docket identification number </w:t>
      </w:r>
      <w:r w:rsidRPr="005A3906">
        <w:rPr>
          <w:rFonts w:ascii="Times New Roman" w:hAnsi="Times New Roman" w:cs="Times New Roman"/>
          <w:sz w:val="24"/>
          <w:szCs w:val="24"/>
        </w:rPr>
        <w:t>EPA-HQ-OPP-</w:t>
      </w:r>
      <w:r>
        <w:rPr>
          <w:rFonts w:ascii="Times New Roman" w:hAnsi="Times New Roman" w:cs="Times New Roman"/>
          <w:sz w:val="24"/>
          <w:szCs w:val="24"/>
        </w:rPr>
        <w:t>2018-0266</w:t>
      </w:r>
      <w:r w:rsidRPr="004E5A84">
        <w:rPr>
          <w:rFonts w:ascii="Times New Roman" w:hAnsi="Times New Roman" w:cs="Times New Roman"/>
          <w:sz w:val="24"/>
          <w:szCs w:val="24"/>
        </w:rPr>
        <w:t xml:space="preserve">. These attachments are available for online viewing at </w:t>
      </w:r>
      <w:hyperlink r:id="rId18" w:history="1">
        <w:r w:rsidRPr="00234651">
          <w:rPr>
            <w:rStyle w:val="Hyperlink"/>
            <w:rFonts w:ascii="Times New Roman" w:hAnsi="Times New Roman" w:cs="Times New Roman"/>
            <w:sz w:val="24"/>
            <w:szCs w:val="24"/>
          </w:rPr>
          <w:t>http://www.regulations.gov</w:t>
        </w:r>
      </w:hyperlink>
      <w:r>
        <w:rPr>
          <w:rFonts w:ascii="Times New Roman" w:hAnsi="Times New Roman" w:cs="Times New Roman"/>
          <w:sz w:val="24"/>
          <w:szCs w:val="24"/>
        </w:rPr>
        <w:t xml:space="preserve"> </w:t>
      </w:r>
      <w:r w:rsidRPr="004E5A84">
        <w:rPr>
          <w:rFonts w:ascii="Times New Roman" w:hAnsi="Times New Roman" w:cs="Times New Roman"/>
          <w:sz w:val="24"/>
          <w:szCs w:val="24"/>
        </w:rPr>
        <w:t>or otherwise accessed as described in section 6(f) of the supporting statement.</w:t>
      </w:r>
    </w:p>
    <w:p w14:paraId="629B0D52" w14:textId="77777777" w:rsidR="00CD0A25" w:rsidRDefault="00CD0A25" w:rsidP="00CD0A25">
      <w:pPr>
        <w:widowControl/>
        <w:tabs>
          <w:tab w:val="left" w:pos="2160"/>
          <w:tab w:val="right" w:leader="dot" w:pos="9630"/>
        </w:tabs>
        <w:ind w:right="-270"/>
        <w:rPr>
          <w:color w:val="000000"/>
        </w:rPr>
      </w:pPr>
    </w:p>
    <w:p w14:paraId="715AE5D7" w14:textId="77777777" w:rsidR="00CD0A25" w:rsidRDefault="00CD0A25" w:rsidP="00CD0A25">
      <w:pPr>
        <w:widowControl/>
        <w:tabs>
          <w:tab w:val="left" w:pos="2160"/>
          <w:tab w:val="right" w:leader="dot" w:pos="9630"/>
        </w:tabs>
        <w:ind w:right="-270"/>
        <w:rPr>
          <w:color w:val="000000"/>
        </w:rPr>
      </w:pPr>
    </w:p>
    <w:tbl>
      <w:tblPr>
        <w:tblW w:w="9949" w:type="dxa"/>
        <w:tblLook w:val="01E0" w:firstRow="1" w:lastRow="1" w:firstColumn="1" w:lastColumn="1" w:noHBand="0" w:noVBand="0"/>
      </w:tblPr>
      <w:tblGrid>
        <w:gridCol w:w="1908"/>
        <w:gridCol w:w="8041"/>
      </w:tblGrid>
      <w:tr w:rsidR="00CD0A25" w14:paraId="5475196A" w14:textId="77777777" w:rsidTr="008F67E9">
        <w:tc>
          <w:tcPr>
            <w:tcW w:w="1908" w:type="dxa"/>
            <w:hideMark/>
          </w:tcPr>
          <w:p w14:paraId="47306E41" w14:textId="77777777" w:rsidR="00CD0A25" w:rsidRDefault="00CD0A25" w:rsidP="008F67E9">
            <w:pPr>
              <w:rPr>
                <w:b/>
                <w:bCs/>
              </w:rPr>
            </w:pPr>
            <w:r>
              <w:rPr>
                <w:b/>
                <w:bCs/>
              </w:rPr>
              <w:t>Attachment A:</w:t>
            </w:r>
          </w:p>
        </w:tc>
        <w:tc>
          <w:tcPr>
            <w:tcW w:w="0" w:type="auto"/>
          </w:tcPr>
          <w:p w14:paraId="280284EA" w14:textId="4F757E99" w:rsidR="00CD0A25" w:rsidRDefault="009C4930" w:rsidP="008F67E9">
            <w:r w:rsidRPr="009C4930">
              <w:rPr>
                <w:b/>
                <w:color w:val="000000"/>
              </w:rPr>
              <w:t>7 U.S.C. 136o - Section 17 of the Federal Insecticide, Fungicide, and Rodenticide Act</w:t>
            </w:r>
            <w:r w:rsidR="00AD742C">
              <w:rPr>
                <w:b/>
                <w:color w:val="000000"/>
              </w:rPr>
              <w:t xml:space="preserve"> </w:t>
            </w:r>
            <w:r w:rsidR="00CD0A25">
              <w:t xml:space="preserve">Also available online at the </w:t>
            </w:r>
            <w:hyperlink r:id="rId19" w:history="1">
              <w:r w:rsidR="00CD0A25">
                <w:rPr>
                  <w:rStyle w:val="Hyperlink"/>
                </w:rPr>
                <w:t>United States GPO website</w:t>
              </w:r>
            </w:hyperlink>
            <w:r w:rsidR="00CD0A25">
              <w:t>.</w:t>
            </w:r>
          </w:p>
          <w:p w14:paraId="03B1BB8F" w14:textId="77777777" w:rsidR="00CD0A25" w:rsidRDefault="00CD0A25" w:rsidP="008F67E9">
            <w:pPr>
              <w:rPr>
                <w:b/>
                <w:sz w:val="8"/>
                <w:szCs w:val="8"/>
              </w:rPr>
            </w:pPr>
          </w:p>
        </w:tc>
      </w:tr>
      <w:tr w:rsidR="00CD0A25" w14:paraId="450786F7" w14:textId="77777777" w:rsidTr="008F67E9">
        <w:tc>
          <w:tcPr>
            <w:tcW w:w="1908" w:type="dxa"/>
            <w:hideMark/>
          </w:tcPr>
          <w:p w14:paraId="2B5CE7C1" w14:textId="77777777" w:rsidR="00CD0A25" w:rsidRDefault="00CD0A25" w:rsidP="008F67E9">
            <w:pPr>
              <w:rPr>
                <w:b/>
                <w:bCs/>
              </w:rPr>
            </w:pPr>
            <w:r>
              <w:rPr>
                <w:b/>
                <w:bCs/>
              </w:rPr>
              <w:t>Attachment B:</w:t>
            </w:r>
          </w:p>
        </w:tc>
        <w:tc>
          <w:tcPr>
            <w:tcW w:w="0" w:type="auto"/>
          </w:tcPr>
          <w:p w14:paraId="26338E56" w14:textId="77777777" w:rsidR="00CD0A25" w:rsidRDefault="00CD0A25" w:rsidP="008F67E9">
            <w:r>
              <w:rPr>
                <w:b/>
                <w:color w:val="000000"/>
              </w:rPr>
              <w:t xml:space="preserve">40 CFR </w:t>
            </w:r>
            <w:r>
              <w:rPr>
                <w:b/>
                <w:bCs/>
              </w:rPr>
              <w:t>168.75</w:t>
            </w:r>
            <w:r>
              <w:rPr>
                <w:color w:val="000000"/>
              </w:rPr>
              <w:t xml:space="preserve"> </w:t>
            </w:r>
            <w:r>
              <w:rPr>
                <w:b/>
              </w:rPr>
              <w:t xml:space="preserve">- </w:t>
            </w:r>
            <w:r>
              <w:rPr>
                <w:bCs/>
                <w:i/>
              </w:rPr>
              <w:t xml:space="preserve">Procedures for exporting unregistered pesticides – purchaser acknowledgement statements. </w:t>
            </w:r>
            <w:r>
              <w:rPr>
                <w:bCs/>
              </w:rPr>
              <w:t>Also</w:t>
            </w:r>
            <w:r>
              <w:rPr>
                <w:bCs/>
                <w:i/>
              </w:rPr>
              <w:t xml:space="preserve"> </w:t>
            </w:r>
            <w:r>
              <w:t xml:space="preserve">available online at the </w:t>
            </w:r>
            <w:hyperlink r:id="rId20" w:history="1">
              <w:r>
                <w:rPr>
                  <w:rStyle w:val="Hyperlink"/>
                </w:rPr>
                <w:t>Electronic Code of Federal Regulations website.</w:t>
              </w:r>
            </w:hyperlink>
            <w:r>
              <w:t xml:space="preserve"> </w:t>
            </w:r>
          </w:p>
          <w:p w14:paraId="22E84E10" w14:textId="77777777" w:rsidR="00CD0A25" w:rsidRDefault="00CD0A25" w:rsidP="008F67E9">
            <w:pPr>
              <w:rPr>
                <w:b/>
                <w:bCs/>
                <w:sz w:val="8"/>
                <w:szCs w:val="8"/>
              </w:rPr>
            </w:pPr>
          </w:p>
        </w:tc>
      </w:tr>
      <w:tr w:rsidR="00CD0A25" w:rsidRPr="0013105E" w14:paraId="4275381F" w14:textId="77777777" w:rsidTr="00234651">
        <w:trPr>
          <w:trHeight w:hRule="exact" w:val="720"/>
        </w:trPr>
        <w:tc>
          <w:tcPr>
            <w:tcW w:w="1908" w:type="dxa"/>
          </w:tcPr>
          <w:p w14:paraId="4CD192B0" w14:textId="77777777" w:rsidR="00CD0A25" w:rsidRPr="0013105E" w:rsidRDefault="00CD0A25" w:rsidP="008F67E9">
            <w:pPr>
              <w:rPr>
                <w:b/>
                <w:bCs/>
              </w:rPr>
            </w:pPr>
            <w:r>
              <w:rPr>
                <w:b/>
                <w:bCs/>
              </w:rPr>
              <w:t>Attachment C:</w:t>
            </w:r>
          </w:p>
        </w:tc>
        <w:tc>
          <w:tcPr>
            <w:tcW w:w="0" w:type="auto"/>
          </w:tcPr>
          <w:p w14:paraId="1EF5456D" w14:textId="2B41D7BC" w:rsidR="00CD0A25" w:rsidRPr="0013105E" w:rsidRDefault="00E97364" w:rsidP="008F67E9">
            <w:pPr>
              <w:rPr>
                <w:b/>
              </w:rPr>
            </w:pPr>
            <w:r>
              <w:rPr>
                <w:b/>
              </w:rPr>
              <w:t>Consultation Summary</w:t>
            </w:r>
          </w:p>
        </w:tc>
      </w:tr>
      <w:tr w:rsidR="00CD0A25" w:rsidRPr="0013105E" w14:paraId="5703DA13" w14:textId="77777777" w:rsidTr="008F67E9">
        <w:trPr>
          <w:trHeight w:hRule="exact" w:val="432"/>
        </w:trPr>
        <w:tc>
          <w:tcPr>
            <w:tcW w:w="1908" w:type="dxa"/>
          </w:tcPr>
          <w:p w14:paraId="25F6C8B7" w14:textId="77777777" w:rsidR="00CD0A25" w:rsidRPr="0013105E" w:rsidRDefault="00CD0A25" w:rsidP="008F67E9">
            <w:pPr>
              <w:rPr>
                <w:b/>
                <w:bCs/>
              </w:rPr>
            </w:pPr>
            <w:r w:rsidRPr="0013105E">
              <w:rPr>
                <w:b/>
                <w:bCs/>
              </w:rPr>
              <w:t xml:space="preserve">Attachment </w:t>
            </w:r>
            <w:r>
              <w:rPr>
                <w:b/>
                <w:bCs/>
              </w:rPr>
              <w:t>D</w:t>
            </w:r>
            <w:r w:rsidRPr="00695460">
              <w:rPr>
                <w:b/>
                <w:bCs/>
              </w:rPr>
              <w:t>:</w:t>
            </w:r>
          </w:p>
        </w:tc>
        <w:tc>
          <w:tcPr>
            <w:tcW w:w="0" w:type="auto"/>
          </w:tcPr>
          <w:p w14:paraId="077EEAF4" w14:textId="77777777" w:rsidR="00CD0A25" w:rsidRDefault="00CD0A25" w:rsidP="008F67E9">
            <w:pPr>
              <w:rPr>
                <w:b/>
              </w:rPr>
            </w:pPr>
            <w:r w:rsidRPr="0013105E">
              <w:rPr>
                <w:b/>
              </w:rPr>
              <w:t xml:space="preserve">Work Sheets </w:t>
            </w:r>
            <w:r>
              <w:rPr>
                <w:b/>
              </w:rPr>
              <w:t xml:space="preserve">used </w:t>
            </w:r>
            <w:r w:rsidRPr="0013105E">
              <w:rPr>
                <w:b/>
              </w:rPr>
              <w:t>to Calculate I</w:t>
            </w:r>
            <w:r>
              <w:rPr>
                <w:b/>
              </w:rPr>
              <w:t>ndustry</w:t>
            </w:r>
            <w:r w:rsidRPr="0013105E">
              <w:rPr>
                <w:b/>
              </w:rPr>
              <w:t xml:space="preserve"> </w:t>
            </w:r>
            <w:r>
              <w:rPr>
                <w:b/>
              </w:rPr>
              <w:t>Labor</w:t>
            </w:r>
            <w:r w:rsidRPr="0013105E">
              <w:rPr>
                <w:b/>
              </w:rPr>
              <w:t xml:space="preserve"> Costs</w:t>
            </w:r>
          </w:p>
          <w:p w14:paraId="2B083748" w14:textId="77777777" w:rsidR="00CD0A25" w:rsidRDefault="00CD0A25" w:rsidP="008F67E9">
            <w:pPr>
              <w:rPr>
                <w:b/>
              </w:rPr>
            </w:pPr>
          </w:p>
          <w:p w14:paraId="753D982D" w14:textId="77777777" w:rsidR="00CD0A25" w:rsidRPr="00695460" w:rsidRDefault="00CD0A25" w:rsidP="008F67E9">
            <w:pPr>
              <w:rPr>
                <w:b/>
              </w:rPr>
            </w:pPr>
          </w:p>
        </w:tc>
      </w:tr>
      <w:tr w:rsidR="00CD0A25" w:rsidRPr="0013105E" w14:paraId="7D159131" w14:textId="77777777" w:rsidTr="008F67E9">
        <w:trPr>
          <w:trHeight w:hRule="exact" w:val="432"/>
        </w:trPr>
        <w:tc>
          <w:tcPr>
            <w:tcW w:w="1908" w:type="dxa"/>
          </w:tcPr>
          <w:p w14:paraId="49D2021D" w14:textId="77777777" w:rsidR="00CD0A25" w:rsidRPr="0013105E" w:rsidRDefault="00CD0A25" w:rsidP="008F67E9">
            <w:pPr>
              <w:rPr>
                <w:b/>
                <w:bCs/>
              </w:rPr>
            </w:pPr>
            <w:r>
              <w:rPr>
                <w:b/>
                <w:bCs/>
              </w:rPr>
              <w:t>Attachment E:</w:t>
            </w:r>
          </w:p>
        </w:tc>
        <w:tc>
          <w:tcPr>
            <w:tcW w:w="0" w:type="auto"/>
          </w:tcPr>
          <w:p w14:paraId="18A7EC01" w14:textId="77777777" w:rsidR="00CD0A25" w:rsidRPr="0013105E" w:rsidRDefault="00CD0A25" w:rsidP="008F67E9">
            <w:pPr>
              <w:rPr>
                <w:b/>
              </w:rPr>
            </w:pPr>
            <w:r>
              <w:rPr>
                <w:b/>
              </w:rPr>
              <w:t>Work Sheets used to Calculate EPA and Federal Government Labor Costs</w:t>
            </w:r>
          </w:p>
        </w:tc>
      </w:tr>
      <w:tr w:rsidR="00CD0A25" w:rsidRPr="0013105E" w14:paraId="21A8FB5A" w14:textId="77777777" w:rsidTr="00234651">
        <w:trPr>
          <w:trHeight w:hRule="exact" w:val="657"/>
        </w:trPr>
        <w:tc>
          <w:tcPr>
            <w:tcW w:w="1908" w:type="dxa"/>
          </w:tcPr>
          <w:p w14:paraId="3F6FF2CC" w14:textId="77777777" w:rsidR="00CD0A25" w:rsidRDefault="00CD0A25" w:rsidP="008F67E9">
            <w:pPr>
              <w:rPr>
                <w:b/>
                <w:bCs/>
              </w:rPr>
            </w:pPr>
            <w:r>
              <w:rPr>
                <w:b/>
                <w:bCs/>
              </w:rPr>
              <w:t>Attachment F:</w:t>
            </w:r>
          </w:p>
        </w:tc>
        <w:tc>
          <w:tcPr>
            <w:tcW w:w="0" w:type="auto"/>
          </w:tcPr>
          <w:p w14:paraId="44C24876" w14:textId="51D8C49F" w:rsidR="00CD0A25" w:rsidRDefault="00CD0A25" w:rsidP="008F67E9">
            <w:r>
              <w:rPr>
                <w:b/>
                <w:bCs/>
              </w:rPr>
              <w:t>Display Related to OMB Control #2070</w:t>
            </w:r>
            <w:r>
              <w:rPr>
                <w:b/>
                <w:bCs/>
              </w:rPr>
              <w:noBreakHyphen/>
              <w:t>0027</w:t>
            </w:r>
            <w:r>
              <w:t xml:space="preserve">  </w:t>
            </w:r>
          </w:p>
          <w:p w14:paraId="6C62B43A" w14:textId="77777777" w:rsidR="00CD0A25" w:rsidRDefault="00CD0A25" w:rsidP="008F67E9">
            <w:pPr>
              <w:rPr>
                <w:b/>
              </w:rPr>
            </w:pPr>
          </w:p>
        </w:tc>
      </w:tr>
    </w:tbl>
    <w:p w14:paraId="6ABF5CEC" w14:textId="77777777" w:rsidR="00CD0A25" w:rsidRDefault="00CD0A25" w:rsidP="00CD0A25">
      <w:pPr>
        <w:widowControl/>
        <w:tabs>
          <w:tab w:val="left" w:pos="2160"/>
          <w:tab w:val="right" w:leader="dot" w:pos="9630"/>
        </w:tabs>
        <w:ind w:right="-270"/>
        <w:rPr>
          <w:b/>
          <w:bCs/>
        </w:rPr>
      </w:pPr>
    </w:p>
    <w:p w14:paraId="4A5CB089" w14:textId="77777777" w:rsidR="00CD0A25" w:rsidRPr="000E331C" w:rsidRDefault="00CD0A25" w:rsidP="00CD0A25">
      <w:pPr>
        <w:jc w:val="center"/>
        <w:outlineLvl w:val="0"/>
        <w:rPr>
          <w:b/>
          <w:bCs/>
        </w:rPr>
      </w:pPr>
    </w:p>
    <w:p w14:paraId="60ED59B3" w14:textId="77777777" w:rsidR="008F67E9" w:rsidRDefault="008F67E9"/>
    <w:sectPr w:rsidR="008F67E9" w:rsidSect="008F67E9">
      <w:headerReference w:type="default" r:id="rId21"/>
      <w:footerReference w:type="default" r:id="rId22"/>
      <w:pgSz w:w="12240" w:h="15840"/>
      <w:pgMar w:top="1440" w:right="1440" w:bottom="1440" w:left="1440" w:header="720" w:footer="915"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7B292" w14:textId="77777777" w:rsidR="00796C46" w:rsidRDefault="00796C46" w:rsidP="00CD0A25">
      <w:r>
        <w:separator/>
      </w:r>
    </w:p>
  </w:endnote>
  <w:endnote w:type="continuationSeparator" w:id="0">
    <w:p w14:paraId="2A3B78D4" w14:textId="77777777" w:rsidR="00796C46" w:rsidRDefault="00796C46" w:rsidP="00CD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6F2B9" w14:textId="6B4FC594" w:rsidR="006D634A" w:rsidRPr="001359BF" w:rsidRDefault="006D634A" w:rsidP="00D45B8D">
    <w:pPr>
      <w:pStyle w:val="Footer"/>
      <w:jc w:val="center"/>
      <w:rPr>
        <w:b/>
        <w:sz w:val="20"/>
        <w:szCs w:val="20"/>
      </w:rPr>
    </w:pPr>
    <w:r>
      <w:fldChar w:fldCharType="begin"/>
    </w:r>
    <w:r>
      <w:instrText xml:space="preserve"> PAGE   \* MERGEFORMAT </w:instrText>
    </w:r>
    <w:r>
      <w:fldChar w:fldCharType="separate"/>
    </w:r>
    <w:r w:rsidR="00C44A8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48D4E" w14:textId="77777777" w:rsidR="00796C46" w:rsidRDefault="00796C46" w:rsidP="00CD0A25">
      <w:r>
        <w:separator/>
      </w:r>
    </w:p>
  </w:footnote>
  <w:footnote w:type="continuationSeparator" w:id="0">
    <w:p w14:paraId="4432DC58" w14:textId="77777777" w:rsidR="00796C46" w:rsidRDefault="00796C46" w:rsidP="00CD0A25">
      <w:r>
        <w:continuationSeparator/>
      </w:r>
    </w:p>
  </w:footnote>
  <w:footnote w:id="1">
    <w:p w14:paraId="38C3B0E4" w14:textId="77777777" w:rsidR="006D634A" w:rsidRPr="00DF0F9D" w:rsidRDefault="006D634A" w:rsidP="00CD0A25">
      <w:pPr>
        <w:pStyle w:val="HTMLPreformatted"/>
        <w:rPr>
          <w:rFonts w:ascii="Times New Roman" w:hAnsi="Times New Roman" w:cs="Times New Roman"/>
          <w:sz w:val="24"/>
          <w:szCs w:val="24"/>
        </w:rPr>
      </w:pPr>
      <w:r w:rsidRPr="00DF0F9D">
        <w:rPr>
          <w:rStyle w:val="FootnoteReference"/>
          <w:rFonts w:ascii="Times New Roman" w:hAnsi="Times New Roman" w:cs="Times New Roman"/>
          <w:sz w:val="24"/>
          <w:szCs w:val="24"/>
          <w:vertAlign w:val="superscript"/>
        </w:rPr>
        <w:footnoteRef/>
      </w:r>
      <w:r w:rsidRPr="00DF0F9D">
        <w:t xml:space="preserve"> </w:t>
      </w:r>
      <w:r w:rsidRPr="003C7EC4">
        <w:rPr>
          <w:rFonts w:ascii="Times New Roman" w:hAnsi="Times New Roman" w:cs="Times New Roman"/>
        </w:rPr>
        <w:t>OMB Control No. 2070</w:t>
      </w:r>
      <w:r w:rsidRPr="003C7EC4">
        <w:rPr>
          <w:rFonts w:ascii="Times New Roman" w:hAnsi="Times New Roman" w:cs="Times New Roman"/>
        </w:rPr>
        <w:noBreakHyphen/>
        <w:t>0028; EPA ICR 0143</w:t>
      </w:r>
      <w:r>
        <w:rPr>
          <w:rFonts w:ascii="Times New Roman" w:hAnsi="Times New Roman" w:cs="Times New Roman"/>
        </w:rPr>
        <w:t xml:space="preserve"> </w:t>
      </w:r>
      <w:r w:rsidRPr="003C7EC4">
        <w:rPr>
          <w:rFonts w:ascii="Times New Roman" w:hAnsi="Times New Roman" w:cs="Times New Roman"/>
        </w:rPr>
        <w:t>Recordkeeping Requirements for Producers of Pesticides under section 8 of the Federal Insecticide, Fungicide, and Rodenticide Act (FIFRA)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1598C" w14:textId="61129AF7" w:rsidR="006D634A" w:rsidRPr="00532DE7" w:rsidRDefault="008D644E" w:rsidP="008F67E9">
    <w:pPr>
      <w:jc w:val="right"/>
      <w:rPr>
        <w:sz w:val="20"/>
        <w:szCs w:val="20"/>
      </w:rPr>
    </w:pPr>
    <w:r>
      <w:rPr>
        <w:sz w:val="20"/>
        <w:szCs w:val="20"/>
      </w:rPr>
      <w:t>February 27,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24F64762"/>
    <w:name w:val="AutoList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nsid w:val="00000004"/>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6"/>
    <w:multiLevelType w:val="multilevel"/>
    <w:tmpl w:val="CE4CD014"/>
    <w:name w:val="AutoList9"/>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0000007"/>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8"/>
    <w:multiLevelType w:val="multilevel"/>
    <w:tmpl w:val="12104B24"/>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nsid w:val="00000009"/>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A"/>
    <w:multiLevelType w:val="multilevel"/>
    <w:tmpl w:val="00000000"/>
    <w:name w:val="AutoList14"/>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D081C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24D243B7"/>
    <w:multiLevelType w:val="hybridMultilevel"/>
    <w:tmpl w:val="044EA7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CDD2E4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3EB32A3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49FA48F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6C653B93"/>
    <w:multiLevelType w:val="hybridMultilevel"/>
    <w:tmpl w:val="CACEFE94"/>
    <w:lvl w:ilvl="0" w:tplc="B10492A2">
      <w:start w:val="1"/>
      <w:numFmt w:val="lowerRoman"/>
      <w:lvlText w:val="(%1)"/>
      <w:lvlJc w:val="left"/>
      <w:pPr>
        <w:ind w:left="1800" w:hanging="72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9A87E6B"/>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num w:numId="1">
    <w:abstractNumId w:val="0"/>
    <w:lvlOverride w:ilvl="0">
      <w:lvl w:ilvl="0">
        <w:start w:val="2"/>
        <w:numFmt w:val="decimal"/>
        <w:lvlText w:val="%1."/>
        <w:lvlJc w:val="left"/>
        <w:pPr>
          <w:tabs>
            <w:tab w:val="num" w:pos="360"/>
          </w:tabs>
          <w:ind w:left="360" w:hanging="360"/>
        </w:pPr>
        <w:rPr>
          <w:rFonts w:hint="default"/>
        </w:rPr>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1"/>
      <w:lvl w:ilvl="0">
        <w:start w:val="1"/>
        <w:numFmt w:val="upperLetter"/>
        <w:lvlText w:val="%1."/>
        <w:lvlJc w:val="left"/>
        <w:rPr>
          <w:b/>
        </w:rPr>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lvlOverride w:ilvl="0">
      <w:startOverride w:val="2"/>
      <w:lvl w:ilvl="0">
        <w:start w:val="2"/>
        <w:numFmt w:val="upperLetter"/>
        <w:lvlText w:val="%1."/>
        <w:lvlJc w:val="left"/>
        <w:rPr>
          <w:b/>
        </w:rPr>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6">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6"/>
    <w:lvlOverride w:ilvl="0">
      <w:startOverride w:val="3"/>
      <w:lvl w:ilvl="0">
        <w:start w:val="3"/>
        <w:numFmt w:val="upperLetter"/>
        <w:lvlText w:val="%1."/>
        <w:lvlJc w:val="left"/>
        <w:rPr>
          <w:b/>
        </w:rPr>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8">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8"/>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10"/>
  </w:num>
  <w:num w:numId="11">
    <w:abstractNumId w:val="15"/>
  </w:num>
  <w:num w:numId="12">
    <w:abstractNumId w:val="11"/>
  </w:num>
  <w:num w:numId="13">
    <w:abstractNumId w:val="9"/>
  </w:num>
  <w:num w:numId="14">
    <w:abstractNumId w:val="1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A25"/>
    <w:rsid w:val="00032F3E"/>
    <w:rsid w:val="00036DCE"/>
    <w:rsid w:val="00120D2A"/>
    <w:rsid w:val="0015427C"/>
    <w:rsid w:val="001752B8"/>
    <w:rsid w:val="0019610C"/>
    <w:rsid w:val="0021631F"/>
    <w:rsid w:val="00224E5F"/>
    <w:rsid w:val="00234651"/>
    <w:rsid w:val="002F08D6"/>
    <w:rsid w:val="00334FD8"/>
    <w:rsid w:val="0037360D"/>
    <w:rsid w:val="003A4B9C"/>
    <w:rsid w:val="00482D5D"/>
    <w:rsid w:val="004D4829"/>
    <w:rsid w:val="00525526"/>
    <w:rsid w:val="006D634A"/>
    <w:rsid w:val="00733B17"/>
    <w:rsid w:val="00796C46"/>
    <w:rsid w:val="007D4DEC"/>
    <w:rsid w:val="007E345C"/>
    <w:rsid w:val="0081240A"/>
    <w:rsid w:val="008924CE"/>
    <w:rsid w:val="008C3D38"/>
    <w:rsid w:val="008D644E"/>
    <w:rsid w:val="008E4B21"/>
    <w:rsid w:val="008F67E9"/>
    <w:rsid w:val="008F74C2"/>
    <w:rsid w:val="009660DA"/>
    <w:rsid w:val="009C4930"/>
    <w:rsid w:val="009D5DF5"/>
    <w:rsid w:val="00AD742C"/>
    <w:rsid w:val="00AE6990"/>
    <w:rsid w:val="00B473D0"/>
    <w:rsid w:val="00BB7B84"/>
    <w:rsid w:val="00BF3D37"/>
    <w:rsid w:val="00C16E62"/>
    <w:rsid w:val="00C344F8"/>
    <w:rsid w:val="00C44A8B"/>
    <w:rsid w:val="00CA0C9E"/>
    <w:rsid w:val="00CD0A25"/>
    <w:rsid w:val="00D45B8D"/>
    <w:rsid w:val="00DA3401"/>
    <w:rsid w:val="00DE5FCD"/>
    <w:rsid w:val="00DF62DA"/>
    <w:rsid w:val="00E31282"/>
    <w:rsid w:val="00E312AD"/>
    <w:rsid w:val="00E97364"/>
    <w:rsid w:val="00EE0933"/>
    <w:rsid w:val="00F4650D"/>
    <w:rsid w:val="00F7100C"/>
    <w:rsid w:val="00F86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A25"/>
    <w:pPr>
      <w:widowControl w:val="0"/>
      <w:autoSpaceDE w:val="0"/>
      <w:autoSpaceDN w:val="0"/>
      <w:adjustRightInd w:val="0"/>
      <w:spacing w:after="0" w:line="240" w:lineRule="auto"/>
    </w:pPr>
    <w:rPr>
      <w:rFonts w:ascii="Times New Roman" w:eastAsia="Times New Roman"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D0A25"/>
  </w:style>
  <w:style w:type="paragraph" w:customStyle="1" w:styleId="Level1">
    <w:name w:val="Level 1"/>
    <w:basedOn w:val="Normal"/>
    <w:rsid w:val="00CD0A25"/>
    <w:pPr>
      <w:numPr>
        <w:numId w:val="9"/>
      </w:numPr>
      <w:ind w:left="720" w:hanging="720"/>
      <w:outlineLvl w:val="0"/>
    </w:pPr>
  </w:style>
  <w:style w:type="character" w:customStyle="1" w:styleId="Hypertext">
    <w:name w:val="Hypertext"/>
    <w:rsid w:val="00CD0A25"/>
    <w:rPr>
      <w:color w:val="0000FF"/>
      <w:u w:val="single"/>
    </w:rPr>
  </w:style>
  <w:style w:type="paragraph" w:styleId="BalloonText">
    <w:name w:val="Balloon Text"/>
    <w:basedOn w:val="Normal"/>
    <w:link w:val="BalloonTextChar"/>
    <w:semiHidden/>
    <w:rsid w:val="00CD0A25"/>
    <w:rPr>
      <w:rFonts w:ascii="Tahoma" w:hAnsi="Tahoma" w:cs="Tahoma"/>
      <w:sz w:val="16"/>
      <w:szCs w:val="16"/>
    </w:rPr>
  </w:style>
  <w:style w:type="character" w:customStyle="1" w:styleId="BalloonTextChar">
    <w:name w:val="Balloon Text Char"/>
    <w:basedOn w:val="DefaultParagraphFont"/>
    <w:link w:val="BalloonText"/>
    <w:semiHidden/>
    <w:rsid w:val="00CD0A25"/>
    <w:rPr>
      <w:rFonts w:ascii="Tahoma" w:eastAsia="Times New Roman" w:hAnsi="Tahoma" w:cs="Tahoma"/>
      <w:sz w:val="16"/>
      <w:szCs w:val="16"/>
      <w:lang w:eastAsia="ko-KR"/>
    </w:rPr>
  </w:style>
  <w:style w:type="paragraph" w:styleId="Header">
    <w:name w:val="header"/>
    <w:basedOn w:val="Normal"/>
    <w:link w:val="HeaderChar"/>
    <w:rsid w:val="00CD0A25"/>
    <w:pPr>
      <w:tabs>
        <w:tab w:val="center" w:pos="4320"/>
        <w:tab w:val="right" w:pos="8640"/>
      </w:tabs>
    </w:pPr>
  </w:style>
  <w:style w:type="character" w:customStyle="1" w:styleId="HeaderChar">
    <w:name w:val="Header Char"/>
    <w:basedOn w:val="DefaultParagraphFont"/>
    <w:link w:val="Header"/>
    <w:rsid w:val="00CD0A25"/>
    <w:rPr>
      <w:rFonts w:ascii="Times New Roman" w:eastAsia="Times New Roman" w:hAnsi="Times New Roman" w:cs="Times New Roman"/>
      <w:sz w:val="24"/>
      <w:szCs w:val="24"/>
      <w:lang w:eastAsia="ko-KR"/>
    </w:rPr>
  </w:style>
  <w:style w:type="paragraph" w:styleId="Footer">
    <w:name w:val="footer"/>
    <w:basedOn w:val="Normal"/>
    <w:link w:val="FooterChar"/>
    <w:uiPriority w:val="99"/>
    <w:rsid w:val="00CD0A25"/>
    <w:pPr>
      <w:tabs>
        <w:tab w:val="center" w:pos="4320"/>
        <w:tab w:val="right" w:pos="8640"/>
      </w:tabs>
    </w:pPr>
  </w:style>
  <w:style w:type="character" w:customStyle="1" w:styleId="FooterChar">
    <w:name w:val="Footer Char"/>
    <w:basedOn w:val="DefaultParagraphFont"/>
    <w:link w:val="Footer"/>
    <w:uiPriority w:val="99"/>
    <w:rsid w:val="00CD0A25"/>
    <w:rPr>
      <w:rFonts w:ascii="Times New Roman" w:eastAsia="Times New Roman" w:hAnsi="Times New Roman" w:cs="Times New Roman"/>
      <w:sz w:val="24"/>
      <w:szCs w:val="24"/>
      <w:lang w:eastAsia="ko-KR"/>
    </w:rPr>
  </w:style>
  <w:style w:type="character" w:styleId="Hyperlink">
    <w:name w:val="Hyperlink"/>
    <w:uiPriority w:val="99"/>
    <w:rsid w:val="00CD0A25"/>
    <w:rPr>
      <w:color w:val="0000FF"/>
      <w:u w:val="single"/>
    </w:rPr>
  </w:style>
  <w:style w:type="paragraph" w:styleId="HTMLPreformatted">
    <w:name w:val="HTML Preformatted"/>
    <w:basedOn w:val="Normal"/>
    <w:link w:val="HTMLPreformattedChar"/>
    <w:rsid w:val="00CD0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CD0A25"/>
    <w:rPr>
      <w:rFonts w:ascii="Courier New" w:eastAsia="Times New Roman" w:hAnsi="Courier New" w:cs="Courier New"/>
      <w:sz w:val="20"/>
      <w:szCs w:val="20"/>
      <w:lang w:eastAsia="ko-KR"/>
    </w:rPr>
  </w:style>
  <w:style w:type="paragraph" w:styleId="Date">
    <w:name w:val="Date"/>
    <w:basedOn w:val="Normal"/>
    <w:next w:val="Normal"/>
    <w:link w:val="DateChar"/>
    <w:rsid w:val="00CD0A25"/>
  </w:style>
  <w:style w:type="character" w:customStyle="1" w:styleId="DateChar">
    <w:name w:val="Date Char"/>
    <w:basedOn w:val="DefaultParagraphFont"/>
    <w:link w:val="Date"/>
    <w:rsid w:val="00CD0A25"/>
    <w:rPr>
      <w:rFonts w:ascii="Times New Roman" w:eastAsia="Times New Roman" w:hAnsi="Times New Roman" w:cs="Times New Roman"/>
      <w:sz w:val="24"/>
      <w:szCs w:val="24"/>
      <w:lang w:eastAsia="ko-KR"/>
    </w:rPr>
  </w:style>
  <w:style w:type="table" w:styleId="TableGrid">
    <w:name w:val="Table Grid"/>
    <w:basedOn w:val="TableNormal"/>
    <w:rsid w:val="00CD0A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D0A25"/>
    <w:rPr>
      <w:sz w:val="16"/>
      <w:szCs w:val="16"/>
    </w:rPr>
  </w:style>
  <w:style w:type="paragraph" w:styleId="CommentText">
    <w:name w:val="annotation text"/>
    <w:basedOn w:val="Normal"/>
    <w:link w:val="CommentTextChar"/>
    <w:semiHidden/>
    <w:rsid w:val="00CD0A25"/>
    <w:rPr>
      <w:sz w:val="20"/>
      <w:szCs w:val="20"/>
    </w:rPr>
  </w:style>
  <w:style w:type="character" w:customStyle="1" w:styleId="CommentTextChar">
    <w:name w:val="Comment Text Char"/>
    <w:basedOn w:val="DefaultParagraphFont"/>
    <w:link w:val="CommentText"/>
    <w:semiHidden/>
    <w:rsid w:val="00CD0A25"/>
    <w:rPr>
      <w:rFonts w:ascii="Times New Roman" w:eastAsia="Times New Roman" w:hAnsi="Times New Roman" w:cs="Times New Roman"/>
      <w:sz w:val="20"/>
      <w:szCs w:val="20"/>
      <w:lang w:eastAsia="ko-KR"/>
    </w:rPr>
  </w:style>
  <w:style w:type="paragraph" w:styleId="CommentSubject">
    <w:name w:val="annotation subject"/>
    <w:basedOn w:val="CommentText"/>
    <w:next w:val="CommentText"/>
    <w:link w:val="CommentSubjectChar"/>
    <w:semiHidden/>
    <w:rsid w:val="00CD0A25"/>
    <w:rPr>
      <w:b/>
      <w:bCs/>
    </w:rPr>
  </w:style>
  <w:style w:type="character" w:customStyle="1" w:styleId="CommentSubjectChar">
    <w:name w:val="Comment Subject Char"/>
    <w:basedOn w:val="CommentTextChar"/>
    <w:link w:val="CommentSubject"/>
    <w:semiHidden/>
    <w:rsid w:val="00CD0A25"/>
    <w:rPr>
      <w:rFonts w:ascii="Times New Roman" w:eastAsia="Times New Roman" w:hAnsi="Times New Roman" w:cs="Times New Roman"/>
      <w:b/>
      <w:bCs/>
      <w:sz w:val="20"/>
      <w:szCs w:val="20"/>
      <w:lang w:eastAsia="ko-KR"/>
    </w:rPr>
  </w:style>
  <w:style w:type="paragraph" w:styleId="FootnoteText">
    <w:name w:val="footnote text"/>
    <w:basedOn w:val="Normal"/>
    <w:link w:val="FootnoteTextChar"/>
    <w:qFormat/>
    <w:rsid w:val="00CD0A25"/>
    <w:rPr>
      <w:sz w:val="20"/>
      <w:szCs w:val="20"/>
    </w:rPr>
  </w:style>
  <w:style w:type="character" w:customStyle="1" w:styleId="FootnoteTextChar">
    <w:name w:val="Footnote Text Char"/>
    <w:basedOn w:val="DefaultParagraphFont"/>
    <w:link w:val="FootnoteText"/>
    <w:rsid w:val="00CD0A25"/>
    <w:rPr>
      <w:rFonts w:ascii="Times New Roman" w:eastAsia="Times New Roman" w:hAnsi="Times New Roman" w:cs="Times New Roman"/>
      <w:sz w:val="20"/>
      <w:szCs w:val="20"/>
      <w:lang w:eastAsia="ko-KR"/>
    </w:rPr>
  </w:style>
  <w:style w:type="paragraph" w:styleId="Revision">
    <w:name w:val="Revision"/>
    <w:hidden/>
    <w:uiPriority w:val="99"/>
    <w:semiHidden/>
    <w:rsid w:val="00CD0A25"/>
    <w:pPr>
      <w:spacing w:after="0" w:line="240" w:lineRule="auto"/>
    </w:pPr>
    <w:rPr>
      <w:rFonts w:ascii="Times New Roman" w:eastAsia="Times New Roman" w:hAnsi="Times New Roman" w:cs="Times New Roman"/>
      <w:sz w:val="24"/>
      <w:szCs w:val="24"/>
      <w:lang w:eastAsia="ko-KR"/>
    </w:rPr>
  </w:style>
  <w:style w:type="character" w:styleId="FollowedHyperlink">
    <w:name w:val="FollowedHyperlink"/>
    <w:rsid w:val="00CD0A25"/>
    <w:rPr>
      <w:color w:val="800080"/>
      <w:u w:val="single"/>
    </w:rPr>
  </w:style>
  <w:style w:type="paragraph" w:styleId="PlainText">
    <w:name w:val="Plain Text"/>
    <w:basedOn w:val="Normal"/>
    <w:link w:val="PlainTextChar"/>
    <w:rsid w:val="00CD0A25"/>
    <w:pPr>
      <w:widowControl/>
      <w:autoSpaceDE/>
      <w:autoSpaceDN/>
      <w:adjustRightInd/>
    </w:pPr>
    <w:rPr>
      <w:rFonts w:ascii="Courier New" w:hAnsi="Courier New" w:cs="Courier New"/>
      <w:sz w:val="20"/>
      <w:szCs w:val="20"/>
      <w:lang w:eastAsia="en-US"/>
    </w:rPr>
  </w:style>
  <w:style w:type="character" w:customStyle="1" w:styleId="PlainTextChar">
    <w:name w:val="Plain Text Char"/>
    <w:basedOn w:val="DefaultParagraphFont"/>
    <w:link w:val="PlainText"/>
    <w:rsid w:val="00CD0A25"/>
    <w:rPr>
      <w:rFonts w:ascii="Courier New" w:eastAsia="Times New Roman" w:hAnsi="Courier New" w:cs="Courier New"/>
      <w:sz w:val="20"/>
      <w:szCs w:val="20"/>
    </w:rPr>
  </w:style>
  <w:style w:type="character" w:customStyle="1" w:styleId="UnresolvedMention">
    <w:name w:val="Unresolved Mention"/>
    <w:basedOn w:val="DefaultParagraphFont"/>
    <w:uiPriority w:val="99"/>
    <w:semiHidden/>
    <w:unhideWhenUsed/>
    <w:rsid w:val="00CD0A25"/>
    <w:rPr>
      <w:color w:val="808080"/>
      <w:shd w:val="clear" w:color="auto" w:fill="E6E6E6"/>
    </w:rPr>
  </w:style>
  <w:style w:type="character" w:customStyle="1" w:styleId="GPOBold">
    <w:name w:val="GPO Bold"/>
    <w:rsid w:val="00482D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A25"/>
    <w:pPr>
      <w:widowControl w:val="0"/>
      <w:autoSpaceDE w:val="0"/>
      <w:autoSpaceDN w:val="0"/>
      <w:adjustRightInd w:val="0"/>
      <w:spacing w:after="0" w:line="240" w:lineRule="auto"/>
    </w:pPr>
    <w:rPr>
      <w:rFonts w:ascii="Times New Roman" w:eastAsia="Times New Roman"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D0A25"/>
  </w:style>
  <w:style w:type="paragraph" w:customStyle="1" w:styleId="Level1">
    <w:name w:val="Level 1"/>
    <w:basedOn w:val="Normal"/>
    <w:rsid w:val="00CD0A25"/>
    <w:pPr>
      <w:numPr>
        <w:numId w:val="9"/>
      </w:numPr>
      <w:ind w:left="720" w:hanging="720"/>
      <w:outlineLvl w:val="0"/>
    </w:pPr>
  </w:style>
  <w:style w:type="character" w:customStyle="1" w:styleId="Hypertext">
    <w:name w:val="Hypertext"/>
    <w:rsid w:val="00CD0A25"/>
    <w:rPr>
      <w:color w:val="0000FF"/>
      <w:u w:val="single"/>
    </w:rPr>
  </w:style>
  <w:style w:type="paragraph" w:styleId="BalloonText">
    <w:name w:val="Balloon Text"/>
    <w:basedOn w:val="Normal"/>
    <w:link w:val="BalloonTextChar"/>
    <w:semiHidden/>
    <w:rsid w:val="00CD0A25"/>
    <w:rPr>
      <w:rFonts w:ascii="Tahoma" w:hAnsi="Tahoma" w:cs="Tahoma"/>
      <w:sz w:val="16"/>
      <w:szCs w:val="16"/>
    </w:rPr>
  </w:style>
  <w:style w:type="character" w:customStyle="1" w:styleId="BalloonTextChar">
    <w:name w:val="Balloon Text Char"/>
    <w:basedOn w:val="DefaultParagraphFont"/>
    <w:link w:val="BalloonText"/>
    <w:semiHidden/>
    <w:rsid w:val="00CD0A25"/>
    <w:rPr>
      <w:rFonts w:ascii="Tahoma" w:eastAsia="Times New Roman" w:hAnsi="Tahoma" w:cs="Tahoma"/>
      <w:sz w:val="16"/>
      <w:szCs w:val="16"/>
      <w:lang w:eastAsia="ko-KR"/>
    </w:rPr>
  </w:style>
  <w:style w:type="paragraph" w:styleId="Header">
    <w:name w:val="header"/>
    <w:basedOn w:val="Normal"/>
    <w:link w:val="HeaderChar"/>
    <w:rsid w:val="00CD0A25"/>
    <w:pPr>
      <w:tabs>
        <w:tab w:val="center" w:pos="4320"/>
        <w:tab w:val="right" w:pos="8640"/>
      </w:tabs>
    </w:pPr>
  </w:style>
  <w:style w:type="character" w:customStyle="1" w:styleId="HeaderChar">
    <w:name w:val="Header Char"/>
    <w:basedOn w:val="DefaultParagraphFont"/>
    <w:link w:val="Header"/>
    <w:rsid w:val="00CD0A25"/>
    <w:rPr>
      <w:rFonts w:ascii="Times New Roman" w:eastAsia="Times New Roman" w:hAnsi="Times New Roman" w:cs="Times New Roman"/>
      <w:sz w:val="24"/>
      <w:szCs w:val="24"/>
      <w:lang w:eastAsia="ko-KR"/>
    </w:rPr>
  </w:style>
  <w:style w:type="paragraph" w:styleId="Footer">
    <w:name w:val="footer"/>
    <w:basedOn w:val="Normal"/>
    <w:link w:val="FooterChar"/>
    <w:uiPriority w:val="99"/>
    <w:rsid w:val="00CD0A25"/>
    <w:pPr>
      <w:tabs>
        <w:tab w:val="center" w:pos="4320"/>
        <w:tab w:val="right" w:pos="8640"/>
      </w:tabs>
    </w:pPr>
  </w:style>
  <w:style w:type="character" w:customStyle="1" w:styleId="FooterChar">
    <w:name w:val="Footer Char"/>
    <w:basedOn w:val="DefaultParagraphFont"/>
    <w:link w:val="Footer"/>
    <w:uiPriority w:val="99"/>
    <w:rsid w:val="00CD0A25"/>
    <w:rPr>
      <w:rFonts w:ascii="Times New Roman" w:eastAsia="Times New Roman" w:hAnsi="Times New Roman" w:cs="Times New Roman"/>
      <w:sz w:val="24"/>
      <w:szCs w:val="24"/>
      <w:lang w:eastAsia="ko-KR"/>
    </w:rPr>
  </w:style>
  <w:style w:type="character" w:styleId="Hyperlink">
    <w:name w:val="Hyperlink"/>
    <w:uiPriority w:val="99"/>
    <w:rsid w:val="00CD0A25"/>
    <w:rPr>
      <w:color w:val="0000FF"/>
      <w:u w:val="single"/>
    </w:rPr>
  </w:style>
  <w:style w:type="paragraph" w:styleId="HTMLPreformatted">
    <w:name w:val="HTML Preformatted"/>
    <w:basedOn w:val="Normal"/>
    <w:link w:val="HTMLPreformattedChar"/>
    <w:rsid w:val="00CD0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CD0A25"/>
    <w:rPr>
      <w:rFonts w:ascii="Courier New" w:eastAsia="Times New Roman" w:hAnsi="Courier New" w:cs="Courier New"/>
      <w:sz w:val="20"/>
      <w:szCs w:val="20"/>
      <w:lang w:eastAsia="ko-KR"/>
    </w:rPr>
  </w:style>
  <w:style w:type="paragraph" w:styleId="Date">
    <w:name w:val="Date"/>
    <w:basedOn w:val="Normal"/>
    <w:next w:val="Normal"/>
    <w:link w:val="DateChar"/>
    <w:rsid w:val="00CD0A25"/>
  </w:style>
  <w:style w:type="character" w:customStyle="1" w:styleId="DateChar">
    <w:name w:val="Date Char"/>
    <w:basedOn w:val="DefaultParagraphFont"/>
    <w:link w:val="Date"/>
    <w:rsid w:val="00CD0A25"/>
    <w:rPr>
      <w:rFonts w:ascii="Times New Roman" w:eastAsia="Times New Roman" w:hAnsi="Times New Roman" w:cs="Times New Roman"/>
      <w:sz w:val="24"/>
      <w:szCs w:val="24"/>
      <w:lang w:eastAsia="ko-KR"/>
    </w:rPr>
  </w:style>
  <w:style w:type="table" w:styleId="TableGrid">
    <w:name w:val="Table Grid"/>
    <w:basedOn w:val="TableNormal"/>
    <w:rsid w:val="00CD0A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D0A25"/>
    <w:rPr>
      <w:sz w:val="16"/>
      <w:szCs w:val="16"/>
    </w:rPr>
  </w:style>
  <w:style w:type="paragraph" w:styleId="CommentText">
    <w:name w:val="annotation text"/>
    <w:basedOn w:val="Normal"/>
    <w:link w:val="CommentTextChar"/>
    <w:semiHidden/>
    <w:rsid w:val="00CD0A25"/>
    <w:rPr>
      <w:sz w:val="20"/>
      <w:szCs w:val="20"/>
    </w:rPr>
  </w:style>
  <w:style w:type="character" w:customStyle="1" w:styleId="CommentTextChar">
    <w:name w:val="Comment Text Char"/>
    <w:basedOn w:val="DefaultParagraphFont"/>
    <w:link w:val="CommentText"/>
    <w:semiHidden/>
    <w:rsid w:val="00CD0A25"/>
    <w:rPr>
      <w:rFonts w:ascii="Times New Roman" w:eastAsia="Times New Roman" w:hAnsi="Times New Roman" w:cs="Times New Roman"/>
      <w:sz w:val="20"/>
      <w:szCs w:val="20"/>
      <w:lang w:eastAsia="ko-KR"/>
    </w:rPr>
  </w:style>
  <w:style w:type="paragraph" w:styleId="CommentSubject">
    <w:name w:val="annotation subject"/>
    <w:basedOn w:val="CommentText"/>
    <w:next w:val="CommentText"/>
    <w:link w:val="CommentSubjectChar"/>
    <w:semiHidden/>
    <w:rsid w:val="00CD0A25"/>
    <w:rPr>
      <w:b/>
      <w:bCs/>
    </w:rPr>
  </w:style>
  <w:style w:type="character" w:customStyle="1" w:styleId="CommentSubjectChar">
    <w:name w:val="Comment Subject Char"/>
    <w:basedOn w:val="CommentTextChar"/>
    <w:link w:val="CommentSubject"/>
    <w:semiHidden/>
    <w:rsid w:val="00CD0A25"/>
    <w:rPr>
      <w:rFonts w:ascii="Times New Roman" w:eastAsia="Times New Roman" w:hAnsi="Times New Roman" w:cs="Times New Roman"/>
      <w:b/>
      <w:bCs/>
      <w:sz w:val="20"/>
      <w:szCs w:val="20"/>
      <w:lang w:eastAsia="ko-KR"/>
    </w:rPr>
  </w:style>
  <w:style w:type="paragraph" w:styleId="FootnoteText">
    <w:name w:val="footnote text"/>
    <w:basedOn w:val="Normal"/>
    <w:link w:val="FootnoteTextChar"/>
    <w:qFormat/>
    <w:rsid w:val="00CD0A25"/>
    <w:rPr>
      <w:sz w:val="20"/>
      <w:szCs w:val="20"/>
    </w:rPr>
  </w:style>
  <w:style w:type="character" w:customStyle="1" w:styleId="FootnoteTextChar">
    <w:name w:val="Footnote Text Char"/>
    <w:basedOn w:val="DefaultParagraphFont"/>
    <w:link w:val="FootnoteText"/>
    <w:rsid w:val="00CD0A25"/>
    <w:rPr>
      <w:rFonts w:ascii="Times New Roman" w:eastAsia="Times New Roman" w:hAnsi="Times New Roman" w:cs="Times New Roman"/>
      <w:sz w:val="20"/>
      <w:szCs w:val="20"/>
      <w:lang w:eastAsia="ko-KR"/>
    </w:rPr>
  </w:style>
  <w:style w:type="paragraph" w:styleId="Revision">
    <w:name w:val="Revision"/>
    <w:hidden/>
    <w:uiPriority w:val="99"/>
    <w:semiHidden/>
    <w:rsid w:val="00CD0A25"/>
    <w:pPr>
      <w:spacing w:after="0" w:line="240" w:lineRule="auto"/>
    </w:pPr>
    <w:rPr>
      <w:rFonts w:ascii="Times New Roman" w:eastAsia="Times New Roman" w:hAnsi="Times New Roman" w:cs="Times New Roman"/>
      <w:sz w:val="24"/>
      <w:szCs w:val="24"/>
      <w:lang w:eastAsia="ko-KR"/>
    </w:rPr>
  </w:style>
  <w:style w:type="character" w:styleId="FollowedHyperlink">
    <w:name w:val="FollowedHyperlink"/>
    <w:rsid w:val="00CD0A25"/>
    <w:rPr>
      <w:color w:val="800080"/>
      <w:u w:val="single"/>
    </w:rPr>
  </w:style>
  <w:style w:type="paragraph" w:styleId="PlainText">
    <w:name w:val="Plain Text"/>
    <w:basedOn w:val="Normal"/>
    <w:link w:val="PlainTextChar"/>
    <w:rsid w:val="00CD0A25"/>
    <w:pPr>
      <w:widowControl/>
      <w:autoSpaceDE/>
      <w:autoSpaceDN/>
      <w:adjustRightInd/>
    </w:pPr>
    <w:rPr>
      <w:rFonts w:ascii="Courier New" w:hAnsi="Courier New" w:cs="Courier New"/>
      <w:sz w:val="20"/>
      <w:szCs w:val="20"/>
      <w:lang w:eastAsia="en-US"/>
    </w:rPr>
  </w:style>
  <w:style w:type="character" w:customStyle="1" w:styleId="PlainTextChar">
    <w:name w:val="Plain Text Char"/>
    <w:basedOn w:val="DefaultParagraphFont"/>
    <w:link w:val="PlainText"/>
    <w:rsid w:val="00CD0A25"/>
    <w:rPr>
      <w:rFonts w:ascii="Courier New" w:eastAsia="Times New Roman" w:hAnsi="Courier New" w:cs="Courier New"/>
      <w:sz w:val="20"/>
      <w:szCs w:val="20"/>
    </w:rPr>
  </w:style>
  <w:style w:type="character" w:customStyle="1" w:styleId="UnresolvedMention">
    <w:name w:val="Unresolved Mention"/>
    <w:basedOn w:val="DefaultParagraphFont"/>
    <w:uiPriority w:val="99"/>
    <w:semiHidden/>
    <w:unhideWhenUsed/>
    <w:rsid w:val="00CD0A25"/>
    <w:rPr>
      <w:color w:val="808080"/>
      <w:shd w:val="clear" w:color="auto" w:fill="E6E6E6"/>
    </w:rPr>
  </w:style>
  <w:style w:type="character" w:customStyle="1" w:styleId="GPOBold">
    <w:name w:val="GPO Bold"/>
    <w:rsid w:val="00482D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s.gov/oes/current/oes_nat.htm" TargetMode="External"/><Relationship Id="rId18" Type="http://schemas.openxmlformats.org/officeDocument/2006/relationships/hyperlink" Target="http://www.regulations.gov"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www.regulations.gov" TargetMode="External"/><Relationship Id="rId17" Type="http://schemas.openxmlformats.org/officeDocument/2006/relationships/hyperlink" Target="http://www.regulations.gov" TargetMode="External"/><Relationship Id="rId2" Type="http://schemas.openxmlformats.org/officeDocument/2006/relationships/customXml" Target="../customXml/item2.xml"/><Relationship Id="rId16" Type="http://schemas.openxmlformats.org/officeDocument/2006/relationships/hyperlink" Target="http://www.regulations.gov" TargetMode="External"/><Relationship Id="rId20" Type="http://schemas.openxmlformats.org/officeDocument/2006/relationships/hyperlink" Target="http://www.ecfr.gov/cgi-bin/text-idx?SID=bd802f002b04ff5705798206fa2449a7&amp;mc=true&amp;node=se40.24.168_175&amp;rgn=div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ls.gov/news.release/ecec.t01.ht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gpo.gov/fdsys/pkg/USCODE-2010-title7/pdf/USCODE-2010-title7-chap6-subchapII-sec136o.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ls.gov/oes/current/oes_stru.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9" ma:contentTypeDescription="Create a new document." ma:contentTypeScope="" ma:versionID="2707284df70f95bd28a8b52049968bc2">
  <xsd:schema xmlns:xsd="http://www.w3.org/2001/XMLSchema" xmlns:xs="http://www.w3.org/2001/XMLSchema" xmlns:p="http://schemas.microsoft.com/office/2006/metadata/properties" xmlns:ns2="http://schemas.microsoft.com/sharepoint.v3" xmlns:ns3="4ffa91fb-a0ff-4ac5-b2db-65c790d184a4" xmlns:ns4="118f882f-1e32-4cf2-ad69-9de43d57f4c6" xmlns:ns5="a5d1ca4e-0a3f-4119-b619-e20b93ebd1aa" targetNamespace="http://schemas.microsoft.com/office/2006/metadata/properties" ma:root="true" ma:fieldsID="104dea3ad1832461a8c1e8a8c3930fe2" ns2:_="" ns3:_="" ns4:_="" ns5:_="">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ternalName="FRN_x0020_List_x0020_Item_x0020_ID">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FRN_x0020_List_x0020_Item_x0020_ID xmlns="118f882f-1e32-4cf2-ad69-9de43d57f4c6">1465</FRN_x0020_List_x0020_Item_x0020_ID>
  </documentManagement>
</p:properties>
</file>

<file path=customXml/itemProps1.xml><?xml version="1.0" encoding="utf-8"?>
<ds:datastoreItem xmlns:ds="http://schemas.openxmlformats.org/officeDocument/2006/customXml" ds:itemID="{9B2D3F8F-00AB-4433-B445-FF1BEF97C3F6}">
  <ds:schemaRefs>
    <ds:schemaRef ds:uri="http://schemas.microsoft.com/sharepoint/v3/contenttype/forms"/>
  </ds:schemaRefs>
</ds:datastoreItem>
</file>

<file path=customXml/itemProps2.xml><?xml version="1.0" encoding="utf-8"?>
<ds:datastoreItem xmlns:ds="http://schemas.openxmlformats.org/officeDocument/2006/customXml" ds:itemID="{5C982888-07A1-4FC3-851B-166D611BEAC3}">
  <ds:schemaRefs>
    <ds:schemaRef ds:uri="Microsoft.SharePoint.Taxonomy.ContentTypeSync"/>
  </ds:schemaRefs>
</ds:datastoreItem>
</file>

<file path=customXml/itemProps3.xml><?xml version="1.0" encoding="utf-8"?>
<ds:datastoreItem xmlns:ds="http://schemas.openxmlformats.org/officeDocument/2006/customXml" ds:itemID="{092F69BF-9AC8-4998-9863-529DA3100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107282-2DF3-42E0-99CC-6256D05B1E90}">
  <ds:schemaRefs>
    <ds:schemaRef ds:uri="http://schemas.microsoft.com/office/2006/metadata/properties"/>
    <ds:schemaRef ds:uri="http://schemas.microsoft.com/office/infopath/2007/PartnerControls"/>
    <ds:schemaRef ds:uri="http://schemas.microsoft.com/sharepoint.v3"/>
    <ds:schemaRef ds:uri="4ffa91fb-a0ff-4ac5-b2db-65c790d184a4"/>
    <ds:schemaRef ds:uri="118f882f-1e32-4cf2-ad69-9de43d57f4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6741</Words>
  <Characters>38428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 Carolyn</dc:creator>
  <cp:lastModifiedBy>SYSTEM</cp:lastModifiedBy>
  <cp:revision>2</cp:revision>
  <dcterms:created xsi:type="dcterms:W3CDTF">2019-03-12T20:16:00Z</dcterms:created>
  <dcterms:modified xsi:type="dcterms:W3CDTF">2019-03-12T20:16:00Z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ies>
</file>