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8B9FF" w14:textId="77777777" w:rsidR="00C53525" w:rsidRDefault="00C53525">
      <w:pPr>
        <w:jc w:val="center"/>
      </w:pPr>
      <w:bookmarkStart w:id="0" w:name="_GoBack"/>
      <w:bookmarkEnd w:id="0"/>
      <w:r>
        <w:rPr>
          <w:rFonts w:ascii="Helvetica" w:hAnsi="Helvetica"/>
          <w:b/>
          <w:sz w:val="28"/>
        </w:rPr>
        <w:t>Paperwork Reduction Act Submission</w:t>
      </w:r>
    </w:p>
    <w:p w14:paraId="73C44B51" w14:textId="77777777" w:rsidR="00C53525" w:rsidRDefault="00C53525">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C53525" w14:paraId="75EB159A" w14:textId="77777777">
        <w:tc>
          <w:tcPr>
            <w:tcW w:w="7428" w:type="dxa"/>
            <w:gridSpan w:val="2"/>
            <w:tcBorders>
              <w:top w:val="single" w:sz="6" w:space="0" w:color="auto"/>
            </w:tcBorders>
          </w:tcPr>
          <w:p w14:paraId="4C8A60E7" w14:textId="77777777" w:rsidR="00C53525" w:rsidRDefault="00C53525">
            <w:pPr>
              <w:ind w:left="-120"/>
              <w:rPr>
                <w:rFonts w:ascii="Helvetica" w:hAnsi="Helvetica"/>
                <w:sz w:val="14"/>
              </w:rPr>
            </w:pPr>
            <w:r>
              <w:rPr>
                <w:rFonts w:ascii="Helvetica" w:hAnsi="Helvetica"/>
                <w:sz w:val="14"/>
              </w:rPr>
              <w:t>1. Agency/Subagency Originating Request:</w:t>
            </w:r>
          </w:p>
          <w:p w14:paraId="73B46F22" w14:textId="77777777" w:rsidR="00C53525" w:rsidRDefault="00C53525">
            <w:pPr>
              <w:ind w:left="120"/>
              <w:rPr>
                <w:rFonts w:ascii="Helvetica" w:hAnsi="Helvetica"/>
                <w:bCs/>
                <w:sz w:val="18"/>
              </w:rPr>
            </w:pPr>
            <w:smartTag w:uri="urn:schemas-microsoft-com:office:smarttags" w:element="country-region">
              <w:smartTag w:uri="urn:schemas-microsoft-com:office:smarttags" w:element="place">
                <w:r>
                  <w:rPr>
                    <w:rFonts w:ascii="Helvetica" w:hAnsi="Helvetica"/>
                    <w:bCs/>
                    <w:sz w:val="18"/>
                  </w:rPr>
                  <w:t>U.S.</w:t>
                </w:r>
              </w:smartTag>
            </w:smartTag>
            <w:r>
              <w:rPr>
                <w:rFonts w:ascii="Helvetica" w:hAnsi="Helvetica"/>
                <w:bCs/>
                <w:sz w:val="18"/>
              </w:rPr>
              <w:t xml:space="preserve"> Department of Housing and Urban Development</w:t>
            </w:r>
          </w:p>
          <w:p w14:paraId="6C1856CC" w14:textId="77777777" w:rsidR="00C53525" w:rsidRDefault="00C53525">
            <w:pPr>
              <w:spacing w:before="40" w:after="40"/>
              <w:ind w:left="120"/>
              <w:rPr>
                <w:rFonts w:ascii="Helvetica" w:hAnsi="Helvetica"/>
                <w:sz w:val="16"/>
              </w:rPr>
            </w:pPr>
            <w:r>
              <w:rPr>
                <w:rFonts w:ascii="Helvetica" w:hAnsi="Helvetica"/>
                <w:sz w:val="18"/>
              </w:rPr>
              <w:t>Office of Public and Indian Housing, Office of Native American Programs</w:t>
            </w:r>
          </w:p>
        </w:tc>
        <w:tc>
          <w:tcPr>
            <w:tcW w:w="1800" w:type="dxa"/>
            <w:tcBorders>
              <w:top w:val="single" w:sz="6" w:space="0" w:color="auto"/>
              <w:left w:val="single" w:sz="6" w:space="0" w:color="auto"/>
            </w:tcBorders>
          </w:tcPr>
          <w:p w14:paraId="7CC6BC3A" w14:textId="77777777" w:rsidR="00C53525" w:rsidRDefault="00C53525">
            <w:pPr>
              <w:rPr>
                <w:rFonts w:ascii="Helvetica" w:hAnsi="Helvetica"/>
                <w:sz w:val="16"/>
              </w:rPr>
            </w:pPr>
            <w:r>
              <w:rPr>
                <w:rFonts w:ascii="Helvetica" w:hAnsi="Helvetica"/>
                <w:sz w:val="16"/>
              </w:rPr>
              <w:t xml:space="preserve">2. </w:t>
            </w:r>
            <w:r>
              <w:rPr>
                <w:rFonts w:ascii="Helvetica" w:hAnsi="Helvetica"/>
                <w:sz w:val="14"/>
              </w:rPr>
              <w:t>OMB Control Number:</w:t>
            </w:r>
          </w:p>
          <w:p w14:paraId="6F300177" w14:textId="77777777" w:rsidR="00C53525" w:rsidRDefault="00585225">
            <w:pPr>
              <w:spacing w:before="40" w:after="40"/>
              <w:ind w:left="132"/>
              <w:rPr>
                <w:rFonts w:ascii="Helvetica" w:hAnsi="Helvetica"/>
                <w:sz w:val="16"/>
              </w:rPr>
            </w:pPr>
            <w:r>
              <w:rPr>
                <w:rFonts w:ascii="Helvetica" w:hAnsi="Helvetica"/>
                <w:sz w:val="16"/>
              </w:rPr>
              <w:t>a.  2577-</w:t>
            </w:r>
            <w:r w:rsidR="00675F61">
              <w:rPr>
                <w:rFonts w:ascii="Helvetica" w:hAnsi="Helvetica"/>
                <w:sz w:val="16"/>
              </w:rPr>
              <w:t>0218</w:t>
            </w:r>
          </w:p>
          <w:p w14:paraId="1FB530F0" w14:textId="77777777" w:rsidR="00C53525" w:rsidRDefault="00C53525">
            <w:pPr>
              <w:spacing w:before="40" w:after="40"/>
              <w:ind w:left="132"/>
              <w:rPr>
                <w:rFonts w:ascii="Helvetica" w:hAnsi="Helvetica"/>
                <w:sz w:val="16"/>
              </w:rPr>
            </w:pPr>
            <w:r>
              <w:rPr>
                <w:rFonts w:ascii="Helvetica" w:hAnsi="Helvetica"/>
                <w:sz w:val="16"/>
              </w:rPr>
              <w:t xml:space="preserve">b.  </w:t>
            </w:r>
            <w:r w:rsidR="005F5306">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9609F7">
              <w:rPr>
                <w:rFonts w:ascii="Helvetica" w:hAnsi="Helvetica"/>
                <w:b/>
              </w:rPr>
            </w:r>
            <w:r w:rsidR="009609F7">
              <w:rPr>
                <w:rFonts w:ascii="Helvetica" w:hAnsi="Helvetica"/>
                <w:b/>
              </w:rPr>
              <w:fldChar w:fldCharType="separate"/>
            </w:r>
            <w:r w:rsidR="005F5306">
              <w:rPr>
                <w:rFonts w:ascii="Helvetica" w:hAnsi="Helvetica"/>
                <w:b/>
              </w:rPr>
              <w:fldChar w:fldCharType="end"/>
            </w:r>
            <w:r>
              <w:rPr>
                <w:rFonts w:ascii="Helvetica" w:hAnsi="Helvetica"/>
                <w:b/>
              </w:rPr>
              <w:t xml:space="preserve"> </w:t>
            </w:r>
            <w:r>
              <w:rPr>
                <w:rFonts w:ascii="Helvetica" w:hAnsi="Helvetica"/>
                <w:bCs/>
              </w:rPr>
              <w:t>None</w:t>
            </w:r>
          </w:p>
          <w:p w14:paraId="052320A9" w14:textId="77777777" w:rsidR="00C53525" w:rsidRDefault="00C53525">
            <w:pPr>
              <w:ind w:left="-120"/>
              <w:rPr>
                <w:rFonts w:ascii="Helvetica" w:hAnsi="Helvetica"/>
                <w:sz w:val="16"/>
              </w:rPr>
            </w:pPr>
          </w:p>
        </w:tc>
        <w:tc>
          <w:tcPr>
            <w:tcW w:w="1788" w:type="dxa"/>
            <w:tcBorders>
              <w:top w:val="single" w:sz="6" w:space="0" w:color="auto"/>
            </w:tcBorders>
          </w:tcPr>
          <w:p w14:paraId="2FA8B316" w14:textId="77777777" w:rsidR="00C53525" w:rsidRDefault="00C53525">
            <w:pPr>
              <w:spacing w:before="40" w:after="40"/>
              <w:rPr>
                <w:rFonts w:ascii="Helvetica" w:hAnsi="Helvetica"/>
                <w:sz w:val="16"/>
              </w:rPr>
            </w:pPr>
          </w:p>
        </w:tc>
      </w:tr>
      <w:tr w:rsidR="00C53525" w14:paraId="748BFDF9" w14:textId="77777777">
        <w:tc>
          <w:tcPr>
            <w:tcW w:w="5508" w:type="dxa"/>
            <w:tcBorders>
              <w:top w:val="single" w:sz="6" w:space="0" w:color="auto"/>
            </w:tcBorders>
          </w:tcPr>
          <w:p w14:paraId="56A8A124" w14:textId="77777777" w:rsidR="00C53525" w:rsidRDefault="00C53525">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14:paraId="1E3AC702" w14:textId="7B042205" w:rsidR="00C53525" w:rsidRDefault="005223B6">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1" w:name="Check3"/>
            <w:r>
              <w:rPr>
                <w:rFonts w:ascii="Helvetica" w:hAnsi="Helvetica"/>
                <w:b/>
              </w:rPr>
              <w:instrText xml:space="preserve"> FORMCHECKBOX </w:instrText>
            </w:r>
            <w:r w:rsidR="009609F7">
              <w:rPr>
                <w:rFonts w:ascii="Helvetica" w:hAnsi="Helvetica"/>
                <w:b/>
              </w:rPr>
            </w:r>
            <w:r w:rsidR="009609F7">
              <w:rPr>
                <w:rFonts w:ascii="Helvetica" w:hAnsi="Helvetica"/>
                <w:b/>
              </w:rPr>
              <w:fldChar w:fldCharType="separate"/>
            </w:r>
            <w:r>
              <w:rPr>
                <w:rFonts w:ascii="Helvetica" w:hAnsi="Helvetica"/>
                <w:b/>
              </w:rPr>
              <w:fldChar w:fldCharType="end"/>
            </w:r>
            <w:bookmarkEnd w:id="1"/>
            <w:r w:rsidR="00C53525">
              <w:rPr>
                <w:rFonts w:ascii="Helvetica" w:hAnsi="Helvetica"/>
                <w:sz w:val="16"/>
              </w:rPr>
              <w:t xml:space="preserve"> New Collection </w:t>
            </w:r>
          </w:p>
          <w:p w14:paraId="4FF164E7" w14:textId="34B7B883" w:rsidR="00C53525" w:rsidRDefault="005223B6">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9609F7">
              <w:rPr>
                <w:rFonts w:ascii="Helvetica" w:hAnsi="Helvetica"/>
                <w:b/>
              </w:rPr>
            </w:r>
            <w:r w:rsidR="009609F7">
              <w:rPr>
                <w:rFonts w:ascii="Helvetica" w:hAnsi="Helvetica"/>
                <w:b/>
              </w:rPr>
              <w:fldChar w:fldCharType="separate"/>
            </w:r>
            <w:r>
              <w:rPr>
                <w:rFonts w:ascii="Helvetica" w:hAnsi="Helvetica"/>
                <w:b/>
              </w:rPr>
              <w:fldChar w:fldCharType="end"/>
            </w:r>
            <w:r w:rsidR="00723A67">
              <w:rPr>
                <w:rFonts w:ascii="Helvetica" w:hAnsi="Helvetica"/>
                <w:b/>
              </w:rPr>
              <w:t xml:space="preserve"> </w:t>
            </w:r>
            <w:r w:rsidR="00C53525">
              <w:rPr>
                <w:rFonts w:ascii="Helvetica" w:hAnsi="Helvetica"/>
                <w:sz w:val="16"/>
              </w:rPr>
              <w:t>Revision of a currently approved collection</w:t>
            </w:r>
          </w:p>
          <w:p w14:paraId="7AB8CF33" w14:textId="7CECEC65" w:rsidR="00C53525" w:rsidRDefault="00723A67">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Pr>
                <w:rFonts w:ascii="Helvetica" w:hAnsi="Helvetica"/>
                <w:b/>
              </w:rPr>
              <w:instrText xml:space="preserve"> FORMCHECKBOX </w:instrText>
            </w:r>
            <w:r w:rsidR="009609F7">
              <w:rPr>
                <w:rFonts w:ascii="Helvetica" w:hAnsi="Helvetica"/>
                <w:b/>
              </w:rPr>
            </w:r>
            <w:r w:rsidR="009609F7">
              <w:rPr>
                <w:rFonts w:ascii="Helvetica" w:hAnsi="Helvetica"/>
                <w:b/>
              </w:rPr>
              <w:fldChar w:fldCharType="separate"/>
            </w:r>
            <w:r>
              <w:rPr>
                <w:rFonts w:ascii="Helvetica" w:hAnsi="Helvetica"/>
                <w:b/>
              </w:rPr>
              <w:fldChar w:fldCharType="end"/>
            </w:r>
            <w:r>
              <w:rPr>
                <w:rFonts w:ascii="Helvetica" w:hAnsi="Helvetica"/>
                <w:b/>
              </w:rPr>
              <w:t xml:space="preserve"> </w:t>
            </w:r>
            <w:r w:rsidR="00C53525">
              <w:rPr>
                <w:rFonts w:ascii="Helvetica" w:hAnsi="Helvetica"/>
                <w:sz w:val="16"/>
              </w:rPr>
              <w:t>Extension of a currently approved collection</w:t>
            </w:r>
          </w:p>
          <w:p w14:paraId="1EF1DD34" w14:textId="2835E411" w:rsidR="00C53525" w:rsidRDefault="00723A67">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Pr>
                <w:rFonts w:ascii="Helvetica" w:hAnsi="Helvetica"/>
                <w:b/>
              </w:rPr>
              <w:instrText xml:space="preserve"> FORMCHECKBOX </w:instrText>
            </w:r>
            <w:r w:rsidR="009609F7">
              <w:rPr>
                <w:rFonts w:ascii="Helvetica" w:hAnsi="Helvetica"/>
                <w:b/>
              </w:rPr>
            </w:r>
            <w:r w:rsidR="009609F7">
              <w:rPr>
                <w:rFonts w:ascii="Helvetica" w:hAnsi="Helvetica"/>
                <w:b/>
              </w:rPr>
              <w:fldChar w:fldCharType="separate"/>
            </w:r>
            <w:r>
              <w:rPr>
                <w:rFonts w:ascii="Helvetica" w:hAnsi="Helvetica"/>
                <w:b/>
              </w:rPr>
              <w:fldChar w:fldCharType="end"/>
            </w:r>
            <w:r>
              <w:rPr>
                <w:rFonts w:ascii="Helvetica" w:hAnsi="Helvetica"/>
                <w:b/>
              </w:rPr>
              <w:t xml:space="preserve"> </w:t>
            </w:r>
            <w:r w:rsidR="00C53525">
              <w:rPr>
                <w:rFonts w:ascii="Helvetica" w:hAnsi="Helvetica"/>
                <w:sz w:val="16"/>
              </w:rPr>
              <w:t xml:space="preserve">Reinstatement, </w:t>
            </w:r>
            <w:r w:rsidR="00C53525">
              <w:rPr>
                <w:rFonts w:ascii="Helvetica" w:hAnsi="Helvetica"/>
                <w:b/>
                <w:sz w:val="16"/>
              </w:rPr>
              <w:t>without change</w:t>
            </w:r>
            <w:r w:rsidR="00C53525">
              <w:rPr>
                <w:rFonts w:ascii="Helvetica" w:hAnsi="Helvetica"/>
                <w:sz w:val="16"/>
              </w:rPr>
              <w:t xml:space="preserve">, of previously approved </w:t>
            </w:r>
          </w:p>
          <w:p w14:paraId="3FBFC92A" w14:textId="77777777"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14:paraId="3B952FB8" w14:textId="77777777" w:rsidR="00C53525" w:rsidRDefault="005F5306">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C53525">
              <w:rPr>
                <w:rFonts w:ascii="Helvetica" w:hAnsi="Helvetica"/>
                <w:b/>
              </w:rPr>
              <w:instrText xml:space="preserve"> FORMCHECKBOX </w:instrText>
            </w:r>
            <w:r w:rsidR="009609F7">
              <w:rPr>
                <w:rFonts w:ascii="Helvetica" w:hAnsi="Helvetica"/>
                <w:b/>
              </w:rPr>
            </w:r>
            <w:r w:rsidR="009609F7">
              <w:rPr>
                <w:rFonts w:ascii="Helvetica" w:hAnsi="Helvetica"/>
                <w:b/>
              </w:rPr>
              <w:fldChar w:fldCharType="separate"/>
            </w:r>
            <w:r>
              <w:rPr>
                <w:rFonts w:ascii="Helvetica" w:hAnsi="Helvetica"/>
                <w:b/>
              </w:rPr>
              <w:fldChar w:fldCharType="end"/>
            </w:r>
            <w:r w:rsidR="00C53525">
              <w:rPr>
                <w:rFonts w:ascii="Helvetica" w:hAnsi="Helvetica"/>
                <w:sz w:val="16"/>
              </w:rPr>
              <w:t xml:space="preserve"> Reinstatement, </w:t>
            </w:r>
            <w:r w:rsidR="00C53525">
              <w:rPr>
                <w:rFonts w:ascii="Helvetica" w:hAnsi="Helvetica"/>
                <w:b/>
                <w:sz w:val="16"/>
              </w:rPr>
              <w:t>with change</w:t>
            </w:r>
            <w:r w:rsidR="00C53525">
              <w:rPr>
                <w:rFonts w:ascii="Helvetica" w:hAnsi="Helvetica"/>
                <w:sz w:val="16"/>
              </w:rPr>
              <w:t xml:space="preserve">, of previously approved collection </w:t>
            </w:r>
          </w:p>
          <w:p w14:paraId="6554690D" w14:textId="77777777"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14:paraId="724F154D" w14:textId="77777777" w:rsidR="00C53525" w:rsidRDefault="005F5306">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2" w:name="Check7"/>
            <w:r w:rsidR="00C53525">
              <w:rPr>
                <w:rFonts w:ascii="Helvetica" w:hAnsi="Helvetica"/>
                <w:b/>
              </w:rPr>
              <w:instrText xml:space="preserve"> FORMCHECKBOX </w:instrText>
            </w:r>
            <w:r w:rsidR="009609F7">
              <w:rPr>
                <w:rFonts w:ascii="Helvetica" w:hAnsi="Helvetica"/>
                <w:b/>
              </w:rPr>
            </w:r>
            <w:r w:rsidR="009609F7">
              <w:rPr>
                <w:rFonts w:ascii="Helvetica" w:hAnsi="Helvetica"/>
                <w:b/>
              </w:rPr>
              <w:fldChar w:fldCharType="separate"/>
            </w:r>
            <w:r>
              <w:rPr>
                <w:rFonts w:ascii="Helvetica" w:hAnsi="Helvetica"/>
                <w:b/>
              </w:rPr>
              <w:fldChar w:fldCharType="end"/>
            </w:r>
            <w:bookmarkEnd w:id="2"/>
            <w:r w:rsidR="00C53525">
              <w:rPr>
                <w:rFonts w:ascii="Helvetica" w:hAnsi="Helvetica"/>
                <w:sz w:val="16"/>
              </w:rPr>
              <w:t xml:space="preserve"> Existing collection in use without an OMB control number</w:t>
            </w:r>
          </w:p>
          <w:p w14:paraId="5EF1154B" w14:textId="77777777" w:rsidR="00C53525" w:rsidRDefault="00C53525">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14:paraId="61CAD4DB" w14:textId="77777777" w:rsidR="00C53525" w:rsidRDefault="00C53525">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14:paraId="3D54C401" w14:textId="77777777" w:rsidR="00C53525" w:rsidRDefault="005F5306">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sidR="00C53525">
              <w:rPr>
                <w:rFonts w:ascii="Helvetica" w:hAnsi="Helvetica"/>
                <w:b/>
              </w:rPr>
              <w:instrText xml:space="preserve"> FORMCHECKBOX </w:instrText>
            </w:r>
            <w:r w:rsidR="009609F7">
              <w:rPr>
                <w:rFonts w:ascii="Helvetica" w:hAnsi="Helvetica"/>
                <w:b/>
              </w:rPr>
            </w:r>
            <w:r w:rsidR="009609F7">
              <w:rPr>
                <w:rFonts w:ascii="Helvetica" w:hAnsi="Helvetica"/>
                <w:b/>
              </w:rPr>
              <w:fldChar w:fldCharType="separate"/>
            </w:r>
            <w:r>
              <w:rPr>
                <w:rFonts w:ascii="Helvetica" w:hAnsi="Helvetica"/>
                <w:b/>
              </w:rPr>
              <w:fldChar w:fldCharType="end"/>
            </w:r>
            <w:r w:rsidR="00C53525">
              <w:rPr>
                <w:rFonts w:ascii="Helvetica" w:hAnsi="Helvetica"/>
                <w:sz w:val="16"/>
              </w:rPr>
              <w:t xml:space="preserve"> Regular</w:t>
            </w:r>
          </w:p>
          <w:p w14:paraId="77F02A29" w14:textId="77777777" w:rsidR="00C53525" w:rsidRDefault="005F5306">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3" w:name="Check9"/>
            <w:r w:rsidR="00C53525">
              <w:rPr>
                <w:rFonts w:ascii="Helvetica" w:hAnsi="Helvetica"/>
                <w:b/>
                <w:sz w:val="18"/>
              </w:rPr>
              <w:instrText xml:space="preserve"> FORMCHECKBOX </w:instrText>
            </w:r>
            <w:r w:rsidR="009609F7">
              <w:rPr>
                <w:rFonts w:ascii="Helvetica" w:hAnsi="Helvetica"/>
                <w:b/>
                <w:sz w:val="18"/>
              </w:rPr>
            </w:r>
            <w:r w:rsidR="009609F7">
              <w:rPr>
                <w:rFonts w:ascii="Helvetica" w:hAnsi="Helvetica"/>
                <w:b/>
                <w:sz w:val="18"/>
              </w:rPr>
              <w:fldChar w:fldCharType="separate"/>
            </w:r>
            <w:r>
              <w:rPr>
                <w:rFonts w:ascii="Helvetica" w:hAnsi="Helvetica"/>
                <w:b/>
                <w:sz w:val="18"/>
              </w:rPr>
              <w:fldChar w:fldCharType="end"/>
            </w:r>
            <w:bookmarkEnd w:id="3"/>
            <w:r w:rsidR="00C53525">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4" w:name="Text4"/>
            <w:r w:rsidR="00C53525">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Pr>
                <w:rFonts w:ascii="Helvetica" w:hAnsi="Helvetica"/>
                <w:sz w:val="18"/>
              </w:rPr>
              <w:fldChar w:fldCharType="end"/>
            </w:r>
            <w:bookmarkEnd w:id="4"/>
          </w:p>
          <w:p w14:paraId="538E51E4" w14:textId="77777777" w:rsidR="00C53525" w:rsidRDefault="005F5306">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5" w:name="Check10"/>
            <w:r w:rsidR="00C53525">
              <w:rPr>
                <w:rFonts w:ascii="Helvetica" w:hAnsi="Helvetica"/>
                <w:b/>
                <w:sz w:val="18"/>
              </w:rPr>
              <w:instrText xml:space="preserve"> FORMCHECKBOX </w:instrText>
            </w:r>
            <w:r w:rsidR="009609F7">
              <w:rPr>
                <w:rFonts w:ascii="Helvetica" w:hAnsi="Helvetica"/>
                <w:b/>
                <w:sz w:val="18"/>
              </w:rPr>
            </w:r>
            <w:r w:rsidR="009609F7">
              <w:rPr>
                <w:rFonts w:ascii="Helvetica" w:hAnsi="Helvetica"/>
                <w:b/>
                <w:sz w:val="18"/>
              </w:rPr>
              <w:fldChar w:fldCharType="separate"/>
            </w:r>
            <w:r>
              <w:rPr>
                <w:rFonts w:ascii="Helvetica" w:hAnsi="Helvetica"/>
                <w:b/>
                <w:sz w:val="18"/>
              </w:rPr>
              <w:fldChar w:fldCharType="end"/>
            </w:r>
            <w:bookmarkEnd w:id="5"/>
            <w:r w:rsidR="00C53525">
              <w:rPr>
                <w:rFonts w:ascii="Helvetica" w:hAnsi="Helvetica"/>
                <w:sz w:val="18"/>
              </w:rPr>
              <w:t xml:space="preserve"> </w:t>
            </w:r>
            <w:r w:rsidR="00C53525">
              <w:rPr>
                <w:rFonts w:ascii="Helvetica" w:hAnsi="Helvetica"/>
                <w:sz w:val="16"/>
              </w:rPr>
              <w:t>Delegated</w:t>
            </w:r>
          </w:p>
          <w:p w14:paraId="15E8805B" w14:textId="77777777" w:rsidR="00C53525" w:rsidRDefault="00C53525">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14:paraId="1390E573" w14:textId="77777777" w:rsidR="00C53525" w:rsidRDefault="00675F61">
            <w:pPr>
              <w:tabs>
                <w:tab w:val="left" w:pos="240"/>
              </w:tabs>
              <w:ind w:left="252"/>
              <w:rPr>
                <w:rFonts w:ascii="Helvetica" w:hAnsi="Helvetica"/>
                <w:sz w:val="18"/>
              </w:rPr>
            </w:pPr>
            <w:r>
              <w:rPr>
                <w:rFonts w:ascii="Helvetica" w:hAnsi="Helvetica"/>
                <w:sz w:val="18"/>
              </w:rPr>
              <w:t xml:space="preserve">   Yes  </w:t>
            </w:r>
            <w:r w:rsidR="00C53525">
              <w:rPr>
                <w:rFonts w:ascii="Helvetica" w:hAnsi="Helvetica"/>
                <w:sz w:val="18"/>
              </w:rPr>
              <w:t xml:space="preserve">  No</w:t>
            </w:r>
            <w:r>
              <w:rPr>
                <w:rFonts w:ascii="Helvetica" w:hAnsi="Helvetica"/>
                <w:sz w:val="18"/>
              </w:rPr>
              <w:t xml:space="preserve"> X</w:t>
            </w:r>
          </w:p>
          <w:p w14:paraId="38BF1DB5" w14:textId="77777777" w:rsidR="00C53525" w:rsidRDefault="00C53525">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14:paraId="16E373AF" w14:textId="77777777" w:rsidR="00C53525" w:rsidRDefault="00C53525">
            <w:pPr>
              <w:tabs>
                <w:tab w:val="left" w:pos="240"/>
                <w:tab w:val="left" w:pos="3132"/>
              </w:tabs>
              <w:ind w:left="252"/>
              <w:rPr>
                <w:rFonts w:ascii="Helvetica" w:hAnsi="Helvetica"/>
                <w:sz w:val="16"/>
              </w:rPr>
            </w:pPr>
            <w:r>
              <w:rPr>
                <w:rFonts w:ascii="Helvetica" w:hAnsi="Helvetica"/>
                <w:sz w:val="16"/>
              </w:rPr>
              <w:t xml:space="preserve">a. </w:t>
            </w:r>
            <w:r w:rsidR="005F5306">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9609F7">
              <w:rPr>
                <w:rFonts w:ascii="Helvetica" w:hAnsi="Helvetica"/>
                <w:b/>
              </w:rPr>
            </w:r>
            <w:r w:rsidR="009609F7">
              <w:rPr>
                <w:rFonts w:ascii="Helvetica" w:hAnsi="Helvetica"/>
                <w:b/>
              </w:rPr>
              <w:fldChar w:fldCharType="separate"/>
            </w:r>
            <w:r w:rsidR="005F5306">
              <w:rPr>
                <w:rFonts w:ascii="Helvetica" w:hAnsi="Helvetica"/>
                <w:b/>
              </w:rPr>
              <w:fldChar w:fldCharType="end"/>
            </w:r>
            <w:r>
              <w:rPr>
                <w:rFonts w:ascii="Helvetica" w:hAnsi="Helvetica"/>
                <w:sz w:val="16"/>
              </w:rPr>
              <w:t xml:space="preserve"> Three years form approval date  </w:t>
            </w:r>
            <w:r>
              <w:rPr>
                <w:rFonts w:ascii="Helvetica" w:hAnsi="Helvetica"/>
                <w:sz w:val="16"/>
              </w:rPr>
              <w:tab/>
              <w:t xml:space="preserve">b. </w:t>
            </w:r>
            <w:r w:rsidR="005F5306">
              <w:rPr>
                <w:rFonts w:ascii="Helvetica" w:hAnsi="Helvetica"/>
                <w:b/>
                <w:sz w:val="18"/>
              </w:rPr>
              <w:fldChar w:fldCharType="begin">
                <w:ffData>
                  <w:name w:val="Check15"/>
                  <w:enabled/>
                  <w:calcOnExit w:val="0"/>
                  <w:checkBox>
                    <w:sizeAuto/>
                    <w:default w:val="0"/>
                  </w:checkBox>
                </w:ffData>
              </w:fldChar>
            </w:r>
            <w:bookmarkStart w:id="6" w:name="Check15"/>
            <w:r>
              <w:rPr>
                <w:rFonts w:ascii="Helvetica" w:hAnsi="Helvetica"/>
                <w:b/>
                <w:sz w:val="18"/>
              </w:rPr>
              <w:instrText xml:space="preserve"> FORMCHECKBOX </w:instrText>
            </w:r>
            <w:r w:rsidR="009609F7">
              <w:rPr>
                <w:rFonts w:ascii="Helvetica" w:hAnsi="Helvetica"/>
                <w:b/>
                <w:sz w:val="18"/>
              </w:rPr>
            </w:r>
            <w:r w:rsidR="009609F7">
              <w:rPr>
                <w:rFonts w:ascii="Helvetica" w:hAnsi="Helvetica"/>
                <w:b/>
                <w:sz w:val="18"/>
              </w:rPr>
              <w:fldChar w:fldCharType="separate"/>
            </w:r>
            <w:r w:rsidR="005F5306">
              <w:rPr>
                <w:rFonts w:ascii="Helvetica" w:hAnsi="Helvetica"/>
                <w:b/>
                <w:sz w:val="18"/>
              </w:rPr>
              <w:fldChar w:fldCharType="end"/>
            </w:r>
            <w:bookmarkEnd w:id="6"/>
            <w:r>
              <w:rPr>
                <w:rFonts w:ascii="Helvetica" w:hAnsi="Helvetica"/>
                <w:sz w:val="16"/>
              </w:rPr>
              <w:t xml:space="preserve"> Other (specify)</w:t>
            </w:r>
          </w:p>
          <w:p w14:paraId="2ED9CCA1" w14:textId="77777777" w:rsidR="00C53525" w:rsidRDefault="00C53525">
            <w:pPr>
              <w:tabs>
                <w:tab w:val="left" w:pos="3252"/>
              </w:tabs>
              <w:spacing w:after="60"/>
              <w:rPr>
                <w:rFonts w:ascii="Helvetica" w:hAnsi="Helvetica"/>
                <w:sz w:val="16"/>
              </w:rPr>
            </w:pPr>
            <w:r>
              <w:rPr>
                <w:rFonts w:ascii="Helvetica" w:hAnsi="Helvetica"/>
                <w:sz w:val="18"/>
              </w:rPr>
              <w:tab/>
              <w:t xml:space="preserve"> </w:t>
            </w:r>
            <w:r w:rsidR="005F5306">
              <w:rPr>
                <w:rFonts w:ascii="Helvetica" w:hAnsi="Helvetica"/>
                <w:sz w:val="18"/>
              </w:rPr>
              <w:fldChar w:fldCharType="begin">
                <w:ffData>
                  <w:name w:val="Text5"/>
                  <w:enabled/>
                  <w:calcOnExit w:val="0"/>
                  <w:textInput/>
                </w:ffData>
              </w:fldChar>
            </w:r>
            <w:bookmarkStart w:id="7" w:name="Text5"/>
            <w:r>
              <w:rPr>
                <w:rFonts w:ascii="Helvetica" w:hAnsi="Helvetica"/>
                <w:sz w:val="18"/>
              </w:rPr>
              <w:instrText xml:space="preserve"> FORMTEXT </w:instrText>
            </w:r>
            <w:r w:rsidR="005F5306">
              <w:rPr>
                <w:rFonts w:ascii="Helvetica" w:hAnsi="Helvetica"/>
                <w:sz w:val="18"/>
              </w:rPr>
            </w:r>
            <w:r w:rsidR="005F5306">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5F5306">
              <w:rPr>
                <w:rFonts w:ascii="Helvetica" w:hAnsi="Helvetica"/>
                <w:sz w:val="18"/>
              </w:rPr>
              <w:fldChar w:fldCharType="end"/>
            </w:r>
            <w:bookmarkEnd w:id="7"/>
          </w:p>
        </w:tc>
      </w:tr>
    </w:tbl>
    <w:p w14:paraId="399B3038" w14:textId="77777777" w:rsidR="00C53525" w:rsidRDefault="00C53525">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 xml:space="preserve">Title:   </w:t>
      </w:r>
    </w:p>
    <w:p w14:paraId="1195AA71" w14:textId="58664138" w:rsidR="00C53525" w:rsidRDefault="00675F61" w:rsidP="00F739A8">
      <w:pPr>
        <w:tabs>
          <w:tab w:val="left" w:pos="240"/>
        </w:tabs>
        <w:spacing w:after="40"/>
        <w:ind w:left="120" w:right="-120"/>
        <w:rPr>
          <w:rFonts w:ascii="Helvetica" w:hAnsi="Helvetica"/>
          <w:sz w:val="18"/>
        </w:rPr>
      </w:pPr>
      <w:r>
        <w:rPr>
          <w:rFonts w:ascii="Helvetica" w:hAnsi="Helvetica"/>
          <w:sz w:val="18"/>
        </w:rPr>
        <w:t>Indian Housing Bl</w:t>
      </w:r>
      <w:r w:rsidR="00442817">
        <w:rPr>
          <w:rFonts w:ascii="Helvetica" w:hAnsi="Helvetica"/>
          <w:sz w:val="18"/>
        </w:rPr>
        <w:t xml:space="preserve">ock Grant (IHBG) </w:t>
      </w:r>
      <w:r w:rsidR="003C649F">
        <w:rPr>
          <w:rFonts w:ascii="Helvetica" w:hAnsi="Helvetica"/>
          <w:sz w:val="18"/>
        </w:rPr>
        <w:t>Information Collectio</w:t>
      </w:r>
      <w:r w:rsidR="006917FB">
        <w:rPr>
          <w:rFonts w:ascii="Helvetica" w:hAnsi="Helvetica"/>
          <w:sz w:val="18"/>
        </w:rPr>
        <w:t>n</w:t>
      </w:r>
    </w:p>
    <w:p w14:paraId="24A0AC3F" w14:textId="0011B478" w:rsidR="00BE021C" w:rsidRPr="0053442B" w:rsidRDefault="00C53525" w:rsidP="00BE021C">
      <w:pPr>
        <w:rPr>
          <w:color w:val="000000"/>
          <w:sz w:val="14"/>
          <w:szCs w:val="14"/>
        </w:rPr>
      </w:pPr>
      <w:r>
        <w:rPr>
          <w:rFonts w:ascii="Helvetica" w:hAnsi="Helvetica"/>
          <w:sz w:val="16"/>
        </w:rPr>
        <w:t xml:space="preserve">8. </w:t>
      </w:r>
      <w:r>
        <w:rPr>
          <w:rFonts w:ascii="Helvetica" w:hAnsi="Helvetica"/>
          <w:sz w:val="14"/>
        </w:rPr>
        <w:t>Agency form number(s):  (if applicable)</w:t>
      </w:r>
      <w:bookmarkStart w:id="8" w:name="_Hlk528241847"/>
      <w:r w:rsidR="0048334E" w:rsidRPr="006917FB">
        <w:rPr>
          <w:rFonts w:ascii="Helvetica" w:hAnsi="Helvetica"/>
          <w:sz w:val="28"/>
          <w:szCs w:val="28"/>
        </w:rPr>
        <w:t xml:space="preserve">, </w:t>
      </w:r>
      <w:bookmarkStart w:id="9" w:name="_Hlk528245616"/>
      <w:r w:rsidR="00BA6F67" w:rsidRPr="0053442B">
        <w:rPr>
          <w:rFonts w:ascii="Helvetica" w:hAnsi="Helvetica"/>
          <w:sz w:val="14"/>
          <w:szCs w:val="14"/>
        </w:rPr>
        <w:t>HUD-4117, HUD-4119</w:t>
      </w:r>
      <w:r w:rsidR="00D67737" w:rsidRPr="0053442B">
        <w:rPr>
          <w:rFonts w:ascii="Helvetica" w:hAnsi="Helvetica"/>
          <w:sz w:val="14"/>
          <w:szCs w:val="14"/>
        </w:rPr>
        <w:t>,</w:t>
      </w:r>
      <w:r w:rsidR="0053442B" w:rsidRPr="0053442B">
        <w:rPr>
          <w:rFonts w:ascii="Helvetica" w:hAnsi="Helvetica" w:cs="Helvetica"/>
          <w:color w:val="000000"/>
          <w:sz w:val="14"/>
          <w:szCs w:val="14"/>
        </w:rPr>
        <w:t xml:space="preserve"> H</w:t>
      </w:r>
      <w:r w:rsidR="00D67737" w:rsidRPr="0053442B">
        <w:rPr>
          <w:rFonts w:ascii="Helvetica" w:hAnsi="Helvetica"/>
          <w:sz w:val="14"/>
          <w:szCs w:val="14"/>
        </w:rPr>
        <w:t>UD-52736-A, HUD-52736-B</w:t>
      </w:r>
      <w:r w:rsidR="00D8276F" w:rsidRPr="0053442B">
        <w:rPr>
          <w:rFonts w:ascii="Helvetica" w:hAnsi="Helvetica"/>
          <w:sz w:val="14"/>
          <w:szCs w:val="14"/>
        </w:rPr>
        <w:t xml:space="preserve">, </w:t>
      </w:r>
      <w:r w:rsidR="006917FB" w:rsidRPr="0053442B">
        <w:rPr>
          <w:rFonts w:ascii="Helvetica" w:hAnsi="Helvetica"/>
          <w:sz w:val="14"/>
          <w:szCs w:val="14"/>
        </w:rPr>
        <w:t>HUD-52737</w:t>
      </w:r>
      <w:bookmarkEnd w:id="8"/>
      <w:bookmarkEnd w:id="9"/>
      <w:r w:rsidR="00184F86">
        <w:rPr>
          <w:rFonts w:ascii="Helvetica" w:hAnsi="Helvetica"/>
          <w:sz w:val="14"/>
          <w:szCs w:val="14"/>
        </w:rPr>
        <w:t xml:space="preserve">, HUD-53246, </w:t>
      </w:r>
      <w:r w:rsidR="0063273E">
        <w:rPr>
          <w:rFonts w:ascii="Helvetica" w:hAnsi="Helvetica"/>
          <w:sz w:val="14"/>
          <w:szCs w:val="14"/>
        </w:rPr>
        <w:t>HUD-53247</w:t>
      </w:r>
    </w:p>
    <w:p w14:paraId="35B85937" w14:textId="52F151B8" w:rsidR="00C53525" w:rsidRDefault="00C53525">
      <w:pPr>
        <w:pBdr>
          <w:top w:val="single" w:sz="6" w:space="0" w:color="auto"/>
        </w:pBdr>
        <w:tabs>
          <w:tab w:val="left" w:pos="240"/>
        </w:tabs>
        <w:spacing w:line="180" w:lineRule="exact"/>
        <w:ind w:left="-120" w:right="-120"/>
        <w:rPr>
          <w:rFonts w:ascii="Helvetica" w:hAnsi="Helvetica"/>
          <w:sz w:val="14"/>
        </w:rPr>
      </w:pPr>
    </w:p>
    <w:p w14:paraId="7C43543D" w14:textId="54149AAB" w:rsidR="00C53525" w:rsidRDefault="00C53525">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r w:rsidR="00675F61">
        <w:rPr>
          <w:rFonts w:ascii="Helvetica" w:hAnsi="Helvetica"/>
          <w:sz w:val="14"/>
        </w:rPr>
        <w:t xml:space="preserve"> </w:t>
      </w:r>
      <w:r w:rsidR="00675F61" w:rsidRPr="00675F61">
        <w:rPr>
          <w:rFonts w:ascii="Helvetica" w:hAnsi="Helvetica"/>
          <w:sz w:val="14"/>
        </w:rPr>
        <w:t>Housing, low</w:t>
      </w:r>
      <w:r w:rsidR="0053442B">
        <w:rPr>
          <w:rFonts w:ascii="Helvetica" w:hAnsi="Helvetica"/>
          <w:sz w:val="14"/>
        </w:rPr>
        <w:t>-</w:t>
      </w:r>
      <w:r w:rsidR="00675F61" w:rsidRPr="00675F61">
        <w:rPr>
          <w:rFonts w:ascii="Helvetica" w:hAnsi="Helvetica"/>
          <w:sz w:val="14"/>
        </w:rPr>
        <w:t>and moderate</w:t>
      </w:r>
      <w:r w:rsidR="0053442B">
        <w:rPr>
          <w:rFonts w:ascii="Helvetica" w:hAnsi="Helvetica"/>
          <w:sz w:val="14"/>
        </w:rPr>
        <w:t>-</w:t>
      </w:r>
      <w:r w:rsidR="00675F61" w:rsidRPr="00675F61">
        <w:rPr>
          <w:rFonts w:ascii="Helvetica" w:hAnsi="Helvetica"/>
          <w:sz w:val="14"/>
        </w:rPr>
        <w:t xml:space="preserve">income housing, housing and community development, NAHASDA, </w:t>
      </w:r>
      <w:r w:rsidR="0063273E">
        <w:rPr>
          <w:rFonts w:ascii="Helvetica" w:hAnsi="Helvetica"/>
          <w:sz w:val="14"/>
        </w:rPr>
        <w:t xml:space="preserve">IHBG, IHBG Competitive, </w:t>
      </w:r>
      <w:r w:rsidR="00D8276F">
        <w:rPr>
          <w:rFonts w:ascii="Helvetica" w:hAnsi="Helvetica"/>
          <w:sz w:val="14"/>
        </w:rPr>
        <w:t xml:space="preserve">IHBG </w:t>
      </w:r>
      <w:r w:rsidR="00675F61" w:rsidRPr="00675F61">
        <w:rPr>
          <w:rFonts w:ascii="Helvetica" w:hAnsi="Helvetica"/>
          <w:sz w:val="14"/>
        </w:rPr>
        <w:t>Native American housing, Indians</w:t>
      </w:r>
      <w:r w:rsidR="00D8276F">
        <w:rPr>
          <w:rFonts w:ascii="Helvetica" w:hAnsi="Helvetica"/>
          <w:sz w:val="14"/>
        </w:rPr>
        <w:t xml:space="preserve"> </w:t>
      </w:r>
    </w:p>
    <w:p w14:paraId="3E03B061" w14:textId="4A8AF8FC" w:rsidR="00C53525" w:rsidRPr="003C649F" w:rsidRDefault="00C53525">
      <w:pPr>
        <w:pBdr>
          <w:top w:val="single" w:sz="6" w:space="0" w:color="auto"/>
        </w:pBdr>
        <w:tabs>
          <w:tab w:val="left" w:pos="240"/>
        </w:tabs>
        <w:ind w:left="-120" w:right="-120"/>
        <w:rPr>
          <w:rFonts w:ascii="Helvetica" w:hAnsi="Helvetica"/>
          <w:caps/>
          <w:sz w:val="14"/>
        </w:rPr>
      </w:pPr>
      <w:r>
        <w:rPr>
          <w:rFonts w:ascii="Helvetica" w:hAnsi="Helvetica"/>
          <w:sz w:val="16"/>
        </w:rPr>
        <w:t xml:space="preserve">10. </w:t>
      </w:r>
      <w:r>
        <w:rPr>
          <w:rFonts w:ascii="Helvetica" w:hAnsi="Helvetica"/>
          <w:sz w:val="14"/>
        </w:rPr>
        <w:t xml:space="preserve">Abstract:  </w:t>
      </w:r>
      <w:r w:rsidR="003C649F">
        <w:rPr>
          <w:rFonts w:ascii="Helvetica" w:hAnsi="Helvetica"/>
          <w:sz w:val="14"/>
        </w:rPr>
        <w:t xml:space="preserve">This information collection includes forms associated with </w:t>
      </w:r>
      <w:r w:rsidR="00CB33E5">
        <w:rPr>
          <w:rFonts w:ascii="Helvetica" w:hAnsi="Helvetica"/>
          <w:sz w:val="14"/>
        </w:rPr>
        <w:t xml:space="preserve">the Indian Housing Block Grant </w:t>
      </w:r>
      <w:r w:rsidR="003C649F">
        <w:rPr>
          <w:rFonts w:ascii="Helvetica" w:hAnsi="Helvetica"/>
          <w:sz w:val="14"/>
        </w:rPr>
        <w:t>program</w:t>
      </w:r>
      <w:r w:rsidR="0063273E">
        <w:rPr>
          <w:rFonts w:ascii="Helvetica" w:hAnsi="Helvetica"/>
          <w:sz w:val="14"/>
        </w:rPr>
        <w:t xml:space="preserve"> (formula and competitive)</w:t>
      </w:r>
      <w:r w:rsidR="00CB33E5">
        <w:rPr>
          <w:rFonts w:ascii="Helvetica" w:hAnsi="Helvetica"/>
          <w:sz w:val="14"/>
        </w:rPr>
        <w:t xml:space="preserve"> as</w:t>
      </w:r>
      <w:r w:rsidR="003C649F">
        <w:rPr>
          <w:rFonts w:ascii="Helvetica" w:hAnsi="Helvetica"/>
          <w:sz w:val="14"/>
        </w:rPr>
        <w:t xml:space="preserve"> authorized under</w:t>
      </w:r>
      <w:r w:rsidR="00D8276F">
        <w:rPr>
          <w:rFonts w:ascii="Helvetica" w:hAnsi="Helvetica"/>
          <w:sz w:val="14"/>
        </w:rPr>
        <w:t xml:space="preserve"> the Native American Housing Assistance and Self-Determination Act of 1996 (25 USC 4212)</w:t>
      </w:r>
      <w:r w:rsidR="00CB33E5">
        <w:rPr>
          <w:rFonts w:ascii="Helvetica" w:hAnsi="Helvetica"/>
          <w:sz w:val="14"/>
        </w:rPr>
        <w:t>.</w:t>
      </w:r>
    </w:p>
    <w:tbl>
      <w:tblPr>
        <w:tblW w:w="0" w:type="auto"/>
        <w:tblLayout w:type="fixed"/>
        <w:tblLook w:val="0000" w:firstRow="0" w:lastRow="0" w:firstColumn="0" w:lastColumn="0" w:noHBand="0" w:noVBand="0"/>
      </w:tblPr>
      <w:tblGrid>
        <w:gridCol w:w="4908"/>
        <w:gridCol w:w="720"/>
        <w:gridCol w:w="5388"/>
      </w:tblGrid>
      <w:tr w:rsidR="00C53525" w14:paraId="098254D5" w14:textId="77777777">
        <w:trPr>
          <w:trHeight w:val="1129"/>
        </w:trPr>
        <w:tc>
          <w:tcPr>
            <w:tcW w:w="5628" w:type="dxa"/>
            <w:gridSpan w:val="2"/>
            <w:tcBorders>
              <w:top w:val="single" w:sz="6" w:space="0" w:color="auto"/>
              <w:right w:val="single" w:sz="6" w:space="0" w:color="auto"/>
            </w:tcBorders>
          </w:tcPr>
          <w:p w14:paraId="2E925BC5" w14:textId="77777777" w:rsidR="00C53525" w:rsidRDefault="00C53525">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14:paraId="3FD768F0" w14:textId="77777777" w:rsidR="00C53525" w:rsidRDefault="00C53525">
            <w:pPr>
              <w:tabs>
                <w:tab w:val="left" w:pos="240"/>
                <w:tab w:val="left" w:pos="480"/>
                <w:tab w:val="left" w:pos="2640"/>
                <w:tab w:val="left" w:pos="3000"/>
              </w:tabs>
              <w:ind w:left="120" w:right="-108"/>
              <w:rPr>
                <w:rFonts w:ascii="Helvetica" w:hAnsi="Helvetica"/>
                <w:sz w:val="16"/>
              </w:rPr>
            </w:pPr>
            <w:r>
              <w:rPr>
                <w:rFonts w:ascii="Helvetica" w:hAnsi="Helvetica"/>
                <w:sz w:val="16"/>
              </w:rPr>
              <w:t>a. X</w:t>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Farms</w:t>
            </w:r>
          </w:p>
          <w:p w14:paraId="45E186E5" w14:textId="77777777" w:rsidR="00C53525" w:rsidRDefault="00C53525">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Federal Government</w:t>
            </w:r>
          </w:p>
          <w:p w14:paraId="7800D282" w14:textId="77777777" w:rsidR="00C53525" w:rsidRDefault="00C53525">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5F5306">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P</w:t>
            </w:r>
            <w:r w:rsidR="005F5306">
              <w:rPr>
                <w:rFonts w:ascii="Helvetica" w:hAnsi="Helvetica"/>
                <w:b/>
                <w:sz w:val="18"/>
              </w:rPr>
              <w:fldChar w:fldCharType="end"/>
            </w:r>
            <w:r>
              <w:rPr>
                <w:rFonts w:ascii="Helvetica" w:hAnsi="Helvetica"/>
                <w:sz w:val="16"/>
              </w:rPr>
              <w:t xml:space="preserve"> </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14:paraId="5298C4D4" w14:textId="77777777" w:rsidR="00C53525" w:rsidRDefault="00C53525">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14:paraId="49C3DFBE" w14:textId="77777777" w:rsidR="00C53525" w:rsidRDefault="00C53525">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5F5306">
              <w:rPr>
                <w:rFonts w:ascii="Helvetica" w:hAnsi="Helvetica"/>
                <w:b/>
                <w:sz w:val="18"/>
              </w:rPr>
              <w:fldChar w:fldCharType="begin">
                <w:ffData>
                  <w:name w:val="Text25"/>
                  <w:enabled/>
                  <w:calcOnExit w:val="0"/>
                  <w:textInput>
                    <w:maxLength w:val="1"/>
                  </w:textInput>
                </w:ffData>
              </w:fldChar>
            </w:r>
            <w:bookmarkStart w:id="10" w:name="Text25"/>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bookmarkEnd w:id="10"/>
            <w:r>
              <w:rPr>
                <w:rFonts w:ascii="Helvetica" w:hAnsi="Helvetica"/>
                <w:sz w:val="14"/>
              </w:rPr>
              <w:tab/>
            </w:r>
            <w:r>
              <w:rPr>
                <w:rFonts w:ascii="Helvetica" w:hAnsi="Helvetica"/>
                <w:sz w:val="16"/>
              </w:rPr>
              <w:t>Voluntary</w:t>
            </w:r>
          </w:p>
          <w:p w14:paraId="7A6B56FC" w14:textId="77777777" w:rsidR="00C53525" w:rsidRDefault="00C53525">
            <w:pPr>
              <w:tabs>
                <w:tab w:val="left" w:pos="492"/>
                <w:tab w:val="left" w:pos="2520"/>
              </w:tabs>
              <w:ind w:left="120"/>
              <w:rPr>
                <w:rFonts w:ascii="Helvetica" w:hAnsi="Helvetica"/>
                <w:sz w:val="16"/>
              </w:rPr>
            </w:pPr>
            <w:r>
              <w:rPr>
                <w:rFonts w:ascii="Helvetica" w:hAnsi="Helvetica"/>
                <w:sz w:val="16"/>
              </w:rPr>
              <w:t>b.</w:t>
            </w:r>
            <w:r>
              <w:rPr>
                <w:rFonts w:ascii="Helvetica" w:hAnsi="Helvetica"/>
                <w:sz w:val="14"/>
              </w:rPr>
              <w:t xml:space="preserve"> </w:t>
            </w:r>
            <w:r w:rsidR="005F5306">
              <w:rPr>
                <w:rFonts w:ascii="Helvetica" w:hAnsi="Helvetica"/>
                <w:b/>
                <w:sz w:val="18"/>
              </w:rPr>
              <w:fldChar w:fldCharType="begin">
                <w:ffData>
                  <w:name w:val="Text27"/>
                  <w:enabled/>
                  <w:calcOnExit w:val="0"/>
                  <w:textInput>
                    <w:default w:val="P"/>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P</w:t>
            </w:r>
            <w:r w:rsidR="005F5306">
              <w:rPr>
                <w:rFonts w:ascii="Helvetica" w:hAnsi="Helvetica"/>
                <w:b/>
                <w:sz w:val="18"/>
              </w:rPr>
              <w:fldChar w:fldCharType="end"/>
            </w:r>
            <w:r>
              <w:rPr>
                <w:rFonts w:ascii="Helvetica" w:hAnsi="Helvetica"/>
                <w:sz w:val="16"/>
              </w:rPr>
              <w:tab/>
              <w:t>Required to obtain or retain benefits</w:t>
            </w:r>
          </w:p>
          <w:p w14:paraId="02F4EF05" w14:textId="77777777" w:rsidR="00C53525" w:rsidRDefault="00C53525">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t>X</w:t>
            </w:r>
            <w:r>
              <w:rPr>
                <w:rFonts w:ascii="Helvetica" w:hAnsi="Helvetica"/>
                <w:sz w:val="16"/>
              </w:rPr>
              <w:tab/>
              <w:t>Mandatory</w:t>
            </w:r>
          </w:p>
        </w:tc>
      </w:tr>
      <w:tr w:rsidR="00C53525" w14:paraId="545E155D" w14:textId="77777777">
        <w:trPr>
          <w:trHeight w:val="2146"/>
        </w:trPr>
        <w:tc>
          <w:tcPr>
            <w:tcW w:w="5628" w:type="dxa"/>
            <w:gridSpan w:val="2"/>
            <w:tcBorders>
              <w:top w:val="single" w:sz="6" w:space="0" w:color="auto"/>
              <w:right w:val="single" w:sz="6" w:space="0" w:color="auto"/>
            </w:tcBorders>
          </w:tcPr>
          <w:p w14:paraId="67FD23D4" w14:textId="77777777" w:rsidR="00C53525" w:rsidRPr="00A838BA" w:rsidRDefault="00C53525">
            <w:pPr>
              <w:tabs>
                <w:tab w:val="left" w:pos="240"/>
              </w:tabs>
              <w:ind w:left="-120"/>
              <w:rPr>
                <w:rFonts w:ascii="Helvetica" w:hAnsi="Helvetica"/>
                <w:sz w:val="14"/>
              </w:rPr>
            </w:pPr>
            <w:r w:rsidRPr="00A838BA">
              <w:rPr>
                <w:rFonts w:ascii="Helvetica" w:hAnsi="Helvetica"/>
                <w:sz w:val="16"/>
              </w:rPr>
              <w:t xml:space="preserve">13. </w:t>
            </w:r>
            <w:r w:rsidRPr="00A838BA">
              <w:rPr>
                <w:rFonts w:ascii="Helvetica" w:hAnsi="Helvetica"/>
                <w:sz w:val="14"/>
              </w:rPr>
              <w:t>Annual reporting and recordkeeping hour burden:</w:t>
            </w:r>
          </w:p>
          <w:p w14:paraId="7554728A" w14:textId="477FB7FD" w:rsidR="00C53525" w:rsidRPr="00A838BA" w:rsidRDefault="00C53525" w:rsidP="00E73E85">
            <w:pPr>
              <w:shd w:val="clear" w:color="auto" w:fill="FFFFFF"/>
              <w:tabs>
                <w:tab w:val="left" w:pos="240"/>
                <w:tab w:val="right" w:pos="5040"/>
              </w:tabs>
              <w:ind w:left="120"/>
              <w:rPr>
                <w:rFonts w:ascii="Helvetica" w:hAnsi="Helvetica"/>
                <w:sz w:val="16"/>
                <w:szCs w:val="16"/>
              </w:rPr>
            </w:pPr>
            <w:r w:rsidRPr="00A838BA">
              <w:rPr>
                <w:rFonts w:ascii="Helvetica" w:hAnsi="Helvetica"/>
                <w:sz w:val="16"/>
              </w:rPr>
              <w:t>a. Number of respondents</w:t>
            </w:r>
            <w:r w:rsidRPr="00A838BA">
              <w:rPr>
                <w:rFonts w:ascii="Helvetica" w:hAnsi="Helvetica"/>
                <w:sz w:val="16"/>
              </w:rPr>
              <w:tab/>
            </w:r>
            <w:r w:rsidR="00AB3B29">
              <w:rPr>
                <w:rFonts w:ascii="Helvetica" w:hAnsi="Helvetica"/>
                <w:sz w:val="16"/>
                <w:szCs w:val="16"/>
              </w:rPr>
              <w:t>7</w:t>
            </w:r>
            <w:r w:rsidR="00765C1C">
              <w:rPr>
                <w:rFonts w:ascii="Helvetica" w:hAnsi="Helvetica"/>
                <w:sz w:val="16"/>
                <w:szCs w:val="16"/>
              </w:rPr>
              <w:t>92</w:t>
            </w:r>
          </w:p>
          <w:p w14:paraId="33464F11" w14:textId="7E0AD8DC" w:rsidR="00F2588B" w:rsidRPr="00F2588B" w:rsidRDefault="00C53525" w:rsidP="00F2588B">
            <w:pPr>
              <w:shd w:val="clear" w:color="auto" w:fill="FFFFFF"/>
              <w:tabs>
                <w:tab w:val="left" w:pos="240"/>
                <w:tab w:val="right" w:pos="5040"/>
              </w:tabs>
              <w:ind w:left="120"/>
              <w:rPr>
                <w:rFonts w:ascii="Helvetica" w:hAnsi="Helvetica"/>
                <w:sz w:val="16"/>
                <w:szCs w:val="16"/>
              </w:rPr>
            </w:pPr>
            <w:r w:rsidRPr="00A838BA">
              <w:rPr>
                <w:rFonts w:ascii="Helvetica" w:hAnsi="Helvetica"/>
                <w:sz w:val="16"/>
                <w:szCs w:val="16"/>
              </w:rPr>
              <w:t>b. Total annual responses</w:t>
            </w:r>
            <w:r w:rsidRPr="00A838BA">
              <w:rPr>
                <w:rFonts w:ascii="Helvetica" w:hAnsi="Helvetica"/>
                <w:sz w:val="16"/>
                <w:szCs w:val="16"/>
              </w:rPr>
              <w:tab/>
            </w:r>
            <w:r w:rsidR="00BC136F">
              <w:rPr>
                <w:rFonts w:ascii="Helvetica" w:hAnsi="Helvetica" w:cs="Helvetica"/>
                <w:color w:val="000000"/>
                <w:sz w:val="16"/>
                <w:szCs w:val="16"/>
              </w:rPr>
              <w:t>2,395</w:t>
            </w:r>
            <w:r w:rsidR="00F2588B" w:rsidRPr="00F2588B">
              <w:rPr>
                <w:rFonts w:ascii="Helvetica" w:hAnsi="Helvetica" w:cs="Helvetica"/>
                <w:color w:val="000000"/>
                <w:sz w:val="16"/>
                <w:szCs w:val="16"/>
              </w:rPr>
              <w:t xml:space="preserve"> </w:t>
            </w:r>
          </w:p>
          <w:p w14:paraId="43BB16B0" w14:textId="24FA2DA5" w:rsidR="00C53525" w:rsidRPr="00A838BA" w:rsidRDefault="00C53525" w:rsidP="00E73E85">
            <w:pPr>
              <w:shd w:val="clear" w:color="auto" w:fill="FFFFFF"/>
              <w:tabs>
                <w:tab w:val="left" w:pos="240"/>
                <w:tab w:val="right" w:pos="5040"/>
              </w:tabs>
              <w:ind w:left="120"/>
              <w:rPr>
                <w:rFonts w:ascii="Helvetica" w:hAnsi="Helvetica"/>
                <w:sz w:val="16"/>
                <w:szCs w:val="16"/>
              </w:rPr>
            </w:pPr>
          </w:p>
          <w:p w14:paraId="7B622FD5" w14:textId="733AA7C3" w:rsidR="00C53525" w:rsidRPr="00A838BA" w:rsidRDefault="00C53525" w:rsidP="00E73E85">
            <w:pPr>
              <w:numPr>
                <w:ilvl w:val="12"/>
                <w:numId w:val="0"/>
              </w:numPr>
              <w:shd w:val="clear" w:color="auto" w:fill="FFFFFF"/>
              <w:tabs>
                <w:tab w:val="left" w:pos="240"/>
                <w:tab w:val="right" w:pos="5040"/>
              </w:tabs>
              <w:ind w:left="360" w:hanging="360"/>
              <w:rPr>
                <w:rFonts w:ascii="Helvetica" w:hAnsi="Helvetica"/>
                <w:sz w:val="16"/>
                <w:szCs w:val="16"/>
              </w:rPr>
            </w:pPr>
            <w:r w:rsidRPr="00A838BA">
              <w:rPr>
                <w:rFonts w:ascii="Helvetica" w:hAnsi="Helvetica"/>
                <w:sz w:val="16"/>
                <w:szCs w:val="16"/>
              </w:rPr>
              <w:t xml:space="preserve">Percentage of these responses collected electronically </w:t>
            </w:r>
            <w:r w:rsidRPr="00A838BA">
              <w:rPr>
                <w:rFonts w:ascii="Helvetica" w:hAnsi="Helvetica"/>
                <w:sz w:val="16"/>
                <w:szCs w:val="16"/>
              </w:rPr>
              <w:tab/>
            </w:r>
            <w:r w:rsidR="00B13452" w:rsidRPr="00A838BA">
              <w:rPr>
                <w:rFonts w:ascii="Helvetica" w:hAnsi="Helvetica"/>
                <w:sz w:val="16"/>
                <w:szCs w:val="16"/>
              </w:rPr>
              <w:t>90</w:t>
            </w:r>
          </w:p>
          <w:p w14:paraId="00D1ECAD" w14:textId="17958E42" w:rsidR="00C53525" w:rsidRPr="00A838BA" w:rsidRDefault="00C53525" w:rsidP="00E73E85">
            <w:pPr>
              <w:numPr>
                <w:ilvl w:val="12"/>
                <w:numId w:val="0"/>
              </w:numPr>
              <w:shd w:val="clear" w:color="auto" w:fill="FFFFFF"/>
              <w:tabs>
                <w:tab w:val="left" w:pos="240"/>
                <w:tab w:val="right" w:pos="5040"/>
              </w:tabs>
              <w:ind w:left="120" w:hanging="360"/>
              <w:rPr>
                <w:rFonts w:ascii="Helvetica" w:hAnsi="Helvetica"/>
                <w:sz w:val="16"/>
                <w:szCs w:val="16"/>
              </w:rPr>
            </w:pPr>
            <w:r w:rsidRPr="00A838BA">
              <w:rPr>
                <w:rFonts w:ascii="Helvetica" w:hAnsi="Helvetica"/>
                <w:sz w:val="16"/>
                <w:szCs w:val="16"/>
              </w:rPr>
              <w:t>c. Total annual hours requested</w:t>
            </w:r>
            <w:r w:rsidRPr="00A838BA">
              <w:rPr>
                <w:rFonts w:ascii="Helvetica" w:hAnsi="Helvetica"/>
                <w:sz w:val="16"/>
                <w:szCs w:val="16"/>
              </w:rPr>
              <w:tab/>
            </w:r>
            <w:r w:rsidR="00184F86">
              <w:rPr>
                <w:rFonts w:ascii="Helvetica" w:eastAsia="Calibri" w:hAnsi="Helvetica" w:cs="Helvetica"/>
                <w:color w:val="000000"/>
                <w:sz w:val="16"/>
                <w:szCs w:val="16"/>
              </w:rPr>
              <w:t>140,805</w:t>
            </w:r>
          </w:p>
          <w:p w14:paraId="10716AB6" w14:textId="0218D833" w:rsidR="00C53525" w:rsidRPr="00A838BA" w:rsidRDefault="00C53525" w:rsidP="00CF0948">
            <w:pPr>
              <w:numPr>
                <w:ilvl w:val="12"/>
                <w:numId w:val="0"/>
              </w:numPr>
              <w:shd w:val="clear" w:color="auto" w:fill="FFFFFF"/>
              <w:tabs>
                <w:tab w:val="left" w:pos="240"/>
                <w:tab w:val="right" w:pos="5040"/>
              </w:tabs>
              <w:ind w:left="120" w:hanging="360"/>
              <w:rPr>
                <w:rFonts w:ascii="Helvetica" w:hAnsi="Helvetica"/>
                <w:sz w:val="16"/>
                <w:szCs w:val="16"/>
              </w:rPr>
            </w:pPr>
            <w:r w:rsidRPr="00A838BA">
              <w:rPr>
                <w:rFonts w:ascii="Helvetica" w:hAnsi="Helvetica"/>
                <w:sz w:val="16"/>
                <w:szCs w:val="16"/>
              </w:rPr>
              <w:t>d. Current OMB inventory</w:t>
            </w:r>
            <w:r w:rsidRPr="00A838BA">
              <w:rPr>
                <w:rFonts w:ascii="Helvetica" w:hAnsi="Helvetica"/>
                <w:sz w:val="16"/>
                <w:szCs w:val="16"/>
              </w:rPr>
              <w:tab/>
            </w:r>
            <w:r w:rsidR="0063273E">
              <w:rPr>
                <w:rFonts w:ascii="Helvetica" w:hAnsi="Helvetica" w:cs="Helvetica"/>
                <w:color w:val="000000"/>
                <w:sz w:val="16"/>
                <w:szCs w:val="16"/>
              </w:rPr>
              <w:t>94,367</w:t>
            </w:r>
          </w:p>
          <w:p w14:paraId="0FF89740" w14:textId="4F93D864" w:rsidR="00765C1C" w:rsidRPr="00765C1C" w:rsidRDefault="00C53525" w:rsidP="00765C1C">
            <w:pPr>
              <w:shd w:val="clear" w:color="auto" w:fill="FFFFFF"/>
              <w:tabs>
                <w:tab w:val="left" w:pos="240"/>
                <w:tab w:val="right" w:pos="5040"/>
              </w:tabs>
              <w:ind w:left="120"/>
              <w:rPr>
                <w:rFonts w:ascii="Helvetica" w:hAnsi="Helvetica"/>
                <w:sz w:val="16"/>
                <w:szCs w:val="16"/>
              </w:rPr>
            </w:pPr>
            <w:r w:rsidRPr="00A838BA">
              <w:rPr>
                <w:rFonts w:ascii="Helvetica" w:hAnsi="Helvetica"/>
                <w:sz w:val="16"/>
                <w:szCs w:val="16"/>
              </w:rPr>
              <w:t>e. Difference (+,-)</w:t>
            </w:r>
            <w:r w:rsidRPr="00A838BA">
              <w:rPr>
                <w:rFonts w:ascii="Helvetica" w:hAnsi="Helvetica"/>
                <w:sz w:val="16"/>
                <w:szCs w:val="16"/>
              </w:rPr>
              <w:tab/>
            </w:r>
            <w:r w:rsidR="000528DE" w:rsidRPr="0063273E">
              <w:rPr>
                <w:rFonts w:ascii="Helvetica" w:hAnsi="Helvetica"/>
                <w:sz w:val="16"/>
                <w:szCs w:val="16"/>
              </w:rPr>
              <w:t>+</w:t>
            </w:r>
            <w:r w:rsidR="0063273E">
              <w:rPr>
                <w:rFonts w:ascii="Helvetica" w:hAnsi="Helvetica" w:cs="Helvetica"/>
                <w:color w:val="000000"/>
                <w:sz w:val="16"/>
                <w:szCs w:val="16"/>
              </w:rPr>
              <w:t>46,438</w:t>
            </w:r>
            <w:r w:rsidR="00765C1C" w:rsidRPr="00765C1C">
              <w:rPr>
                <w:rFonts w:ascii="Helvetica" w:hAnsi="Helvetica" w:cs="Helvetica"/>
                <w:color w:val="000000"/>
                <w:sz w:val="16"/>
                <w:szCs w:val="16"/>
              </w:rPr>
              <w:t xml:space="preserve"> </w:t>
            </w:r>
          </w:p>
          <w:p w14:paraId="6A1794FE" w14:textId="1491D6DA" w:rsidR="00C53525" w:rsidRPr="00A838BA" w:rsidRDefault="00C53525" w:rsidP="00E73E85">
            <w:pPr>
              <w:shd w:val="clear" w:color="auto" w:fill="FFFFFF"/>
              <w:tabs>
                <w:tab w:val="left" w:pos="240"/>
                <w:tab w:val="right" w:pos="5040"/>
              </w:tabs>
              <w:ind w:left="120"/>
              <w:rPr>
                <w:rFonts w:ascii="Helvetica" w:hAnsi="Helvetica"/>
                <w:sz w:val="16"/>
                <w:szCs w:val="16"/>
              </w:rPr>
            </w:pPr>
          </w:p>
          <w:p w14:paraId="25BBC78D" w14:textId="77777777" w:rsidR="00C53525" w:rsidRPr="00A838BA" w:rsidRDefault="00C53525" w:rsidP="00E73E85">
            <w:pPr>
              <w:numPr>
                <w:ilvl w:val="12"/>
                <w:numId w:val="0"/>
              </w:numPr>
              <w:shd w:val="clear" w:color="auto" w:fill="FFFFFF"/>
              <w:tabs>
                <w:tab w:val="left" w:pos="240"/>
                <w:tab w:val="right" w:pos="4800"/>
              </w:tabs>
              <w:ind w:left="120" w:hanging="360"/>
              <w:rPr>
                <w:rFonts w:ascii="Helvetica" w:hAnsi="Helvetica"/>
                <w:sz w:val="16"/>
                <w:szCs w:val="16"/>
              </w:rPr>
            </w:pPr>
            <w:r w:rsidRPr="00A838BA">
              <w:rPr>
                <w:rFonts w:ascii="Helvetica" w:hAnsi="Helvetica"/>
                <w:sz w:val="16"/>
                <w:szCs w:val="16"/>
              </w:rPr>
              <w:t>f. Explanation of difference:</w:t>
            </w:r>
          </w:p>
          <w:p w14:paraId="2FE34457" w14:textId="77777777" w:rsidR="00C53525" w:rsidRPr="00A838BA" w:rsidRDefault="00C53525" w:rsidP="00E73E85">
            <w:pPr>
              <w:numPr>
                <w:ilvl w:val="12"/>
                <w:numId w:val="0"/>
              </w:numPr>
              <w:shd w:val="clear" w:color="auto" w:fill="FFFFFF"/>
              <w:tabs>
                <w:tab w:val="left" w:pos="240"/>
                <w:tab w:val="right" w:pos="5040"/>
              </w:tabs>
              <w:ind w:left="360" w:hanging="360"/>
              <w:rPr>
                <w:rFonts w:ascii="Helvetica" w:hAnsi="Helvetica"/>
                <w:sz w:val="16"/>
                <w:szCs w:val="16"/>
              </w:rPr>
            </w:pPr>
            <w:r w:rsidRPr="00A838BA">
              <w:rPr>
                <w:rFonts w:ascii="Helvetica" w:hAnsi="Helvetica"/>
                <w:sz w:val="16"/>
                <w:szCs w:val="16"/>
              </w:rPr>
              <w:t>1. Program change:</w:t>
            </w:r>
            <w:r w:rsidRPr="00A838BA">
              <w:rPr>
                <w:rFonts w:ascii="Helvetica" w:hAnsi="Helvetica"/>
                <w:sz w:val="16"/>
                <w:szCs w:val="16"/>
              </w:rPr>
              <w:tab/>
            </w:r>
            <w:r w:rsidR="001E7234" w:rsidRPr="00A838BA">
              <w:rPr>
                <w:rFonts w:ascii="Helvetica" w:hAnsi="Helvetica"/>
                <w:sz w:val="16"/>
                <w:szCs w:val="16"/>
              </w:rPr>
              <w:t>0</w:t>
            </w:r>
          </w:p>
          <w:p w14:paraId="3CC18876" w14:textId="5889E85E" w:rsidR="00C53525" w:rsidRPr="00A838BA" w:rsidRDefault="00C53525" w:rsidP="000663BC">
            <w:pPr>
              <w:numPr>
                <w:ilvl w:val="12"/>
                <w:numId w:val="0"/>
              </w:numPr>
              <w:shd w:val="clear" w:color="auto" w:fill="FFFFFF"/>
              <w:tabs>
                <w:tab w:val="left" w:pos="240"/>
                <w:tab w:val="right" w:pos="5040"/>
              </w:tabs>
              <w:spacing w:after="60"/>
              <w:ind w:left="360" w:hanging="360"/>
              <w:rPr>
                <w:rFonts w:ascii="Helvetica" w:hAnsi="Helvetica"/>
                <w:sz w:val="16"/>
              </w:rPr>
            </w:pPr>
            <w:r w:rsidRPr="00A838BA">
              <w:rPr>
                <w:rFonts w:ascii="Helvetica" w:hAnsi="Helvetica"/>
                <w:sz w:val="16"/>
                <w:szCs w:val="16"/>
              </w:rPr>
              <w:t>2. Adjustment</w:t>
            </w:r>
            <w:r w:rsidRPr="0063273E">
              <w:rPr>
                <w:rFonts w:ascii="Helvetica" w:hAnsi="Helvetica"/>
                <w:sz w:val="16"/>
                <w:szCs w:val="16"/>
              </w:rPr>
              <w:t>:</w:t>
            </w:r>
            <w:r w:rsidR="001F365B" w:rsidRPr="0063273E">
              <w:rPr>
                <w:rFonts w:ascii="Helvetica" w:hAnsi="Helvetica"/>
                <w:sz w:val="16"/>
                <w:szCs w:val="16"/>
              </w:rPr>
              <w:t xml:space="preserve">                                             </w:t>
            </w:r>
            <w:r w:rsidR="0013649D" w:rsidRPr="0063273E">
              <w:rPr>
                <w:rFonts w:ascii="Helvetica" w:hAnsi="Helvetica"/>
                <w:sz w:val="16"/>
                <w:szCs w:val="16"/>
              </w:rPr>
              <w:t xml:space="preserve">                     </w:t>
            </w:r>
            <w:r w:rsidR="00B13452" w:rsidRPr="0063273E">
              <w:rPr>
                <w:rFonts w:ascii="Helvetica" w:hAnsi="Helvetica"/>
                <w:sz w:val="16"/>
                <w:szCs w:val="16"/>
              </w:rPr>
              <w:t xml:space="preserve">       </w:t>
            </w:r>
            <w:r w:rsidR="0034473C" w:rsidRPr="0063273E">
              <w:rPr>
                <w:rFonts w:ascii="Helvetica" w:hAnsi="Helvetica"/>
                <w:sz w:val="16"/>
                <w:szCs w:val="16"/>
              </w:rPr>
              <w:t xml:space="preserve"> </w:t>
            </w:r>
            <w:r w:rsidR="00B13452" w:rsidRPr="0063273E">
              <w:rPr>
                <w:rFonts w:ascii="Helvetica" w:hAnsi="Helvetica"/>
                <w:sz w:val="16"/>
                <w:szCs w:val="16"/>
              </w:rPr>
              <w:t xml:space="preserve">   </w:t>
            </w:r>
            <w:r w:rsidR="000528DE" w:rsidRPr="0063273E">
              <w:rPr>
                <w:rFonts w:ascii="Helvetica" w:hAnsi="Helvetica"/>
                <w:sz w:val="16"/>
                <w:szCs w:val="16"/>
              </w:rPr>
              <w:t>+</w:t>
            </w:r>
            <w:r w:rsidR="0063273E">
              <w:rPr>
                <w:rFonts w:ascii="Helvetica" w:hAnsi="Helvetica"/>
                <w:sz w:val="16"/>
                <w:szCs w:val="16"/>
              </w:rPr>
              <w:t>46,438</w:t>
            </w:r>
          </w:p>
        </w:tc>
        <w:tc>
          <w:tcPr>
            <w:tcW w:w="5388" w:type="dxa"/>
            <w:tcBorders>
              <w:top w:val="single" w:sz="6" w:space="0" w:color="auto"/>
              <w:left w:val="nil"/>
            </w:tcBorders>
          </w:tcPr>
          <w:p w14:paraId="679CDBF3" w14:textId="77777777" w:rsidR="00F82E31" w:rsidRPr="00A838BA" w:rsidRDefault="00F82E31" w:rsidP="00F82E31">
            <w:pPr>
              <w:tabs>
                <w:tab w:val="left" w:pos="240"/>
              </w:tabs>
              <w:ind w:left="-120"/>
              <w:rPr>
                <w:rFonts w:ascii="Helvetica" w:hAnsi="Helvetica"/>
                <w:sz w:val="14"/>
              </w:rPr>
            </w:pPr>
            <w:r w:rsidRPr="00A838BA">
              <w:rPr>
                <w:rFonts w:ascii="Helvetica" w:hAnsi="Helvetica"/>
                <w:sz w:val="16"/>
              </w:rPr>
              <w:t xml:space="preserve">14. </w:t>
            </w:r>
            <w:r w:rsidRPr="00A838BA">
              <w:rPr>
                <w:rFonts w:ascii="Helvetica" w:hAnsi="Helvetica"/>
                <w:sz w:val="14"/>
              </w:rPr>
              <w:t>Annual reporting and recordkeeping cost burden: (in thousands of dollars)</w:t>
            </w:r>
          </w:p>
          <w:p w14:paraId="07AEE541" w14:textId="77777777" w:rsidR="00F82E31" w:rsidRPr="00A838BA" w:rsidRDefault="00F82E31" w:rsidP="00F82E31">
            <w:pPr>
              <w:tabs>
                <w:tab w:val="left" w:pos="240"/>
                <w:tab w:val="right" w:pos="4800"/>
              </w:tabs>
              <w:ind w:left="120"/>
              <w:rPr>
                <w:rFonts w:ascii="Helvetica" w:hAnsi="Helvetica"/>
                <w:sz w:val="16"/>
              </w:rPr>
            </w:pPr>
            <w:r w:rsidRPr="00A838BA">
              <w:rPr>
                <w:rFonts w:ascii="Helvetica" w:hAnsi="Helvetica"/>
                <w:sz w:val="16"/>
              </w:rPr>
              <w:t>a. Total annualized capital/startup costs</w:t>
            </w:r>
            <w:r w:rsidRPr="00A838BA">
              <w:rPr>
                <w:rFonts w:ascii="Helvetica" w:hAnsi="Helvetica"/>
                <w:sz w:val="16"/>
              </w:rPr>
              <w:tab/>
            </w:r>
            <w:r w:rsidRPr="00A838BA">
              <w:rPr>
                <w:rFonts w:ascii="Helvetica" w:hAnsi="Helvetica"/>
                <w:sz w:val="18"/>
              </w:rPr>
              <w:t>0</w:t>
            </w:r>
          </w:p>
          <w:p w14:paraId="5B9D9846" w14:textId="77777777" w:rsidR="00F82E31" w:rsidRPr="00A838BA" w:rsidRDefault="00F82E31" w:rsidP="00F82E31">
            <w:pPr>
              <w:tabs>
                <w:tab w:val="left" w:pos="240"/>
                <w:tab w:val="right" w:pos="4800"/>
              </w:tabs>
              <w:ind w:left="132"/>
              <w:rPr>
                <w:rFonts w:ascii="Helvetica" w:hAnsi="Helvetica"/>
                <w:sz w:val="16"/>
              </w:rPr>
            </w:pPr>
            <w:r w:rsidRPr="00A838BA">
              <w:rPr>
                <w:rFonts w:ascii="Helvetica" w:hAnsi="Helvetica"/>
                <w:sz w:val="16"/>
              </w:rPr>
              <w:t>b. Total annual costs (O&amp;M)</w:t>
            </w:r>
            <w:r w:rsidRPr="00A838BA">
              <w:rPr>
                <w:rFonts w:ascii="Helvetica" w:hAnsi="Helvetica"/>
                <w:sz w:val="16"/>
              </w:rPr>
              <w:tab/>
            </w:r>
            <w:r w:rsidRPr="00A838BA">
              <w:rPr>
                <w:rFonts w:ascii="Helvetica" w:hAnsi="Helvetica"/>
                <w:sz w:val="18"/>
              </w:rPr>
              <w:t>0</w:t>
            </w:r>
          </w:p>
          <w:p w14:paraId="47E78EF8" w14:textId="77777777" w:rsidR="00F82E31" w:rsidRPr="00431D14" w:rsidRDefault="00F82E31" w:rsidP="00F82E31">
            <w:pPr>
              <w:tabs>
                <w:tab w:val="left" w:pos="240"/>
                <w:tab w:val="right" w:pos="4800"/>
              </w:tabs>
              <w:ind w:left="132"/>
              <w:rPr>
                <w:rFonts w:ascii="Helvetica" w:hAnsi="Helvetica"/>
                <w:sz w:val="16"/>
              </w:rPr>
            </w:pPr>
            <w:r w:rsidRPr="00A838BA">
              <w:rPr>
                <w:rFonts w:ascii="Helvetica" w:hAnsi="Helvetica"/>
                <w:sz w:val="16"/>
              </w:rPr>
              <w:t>c. Total annualized cost requested</w:t>
            </w:r>
            <w:r w:rsidRPr="00A838BA">
              <w:rPr>
                <w:rFonts w:ascii="Helvetica" w:hAnsi="Helvetica"/>
                <w:sz w:val="16"/>
              </w:rPr>
              <w:tab/>
            </w:r>
            <w:r w:rsidRPr="00431D14">
              <w:rPr>
                <w:rFonts w:ascii="Helvetica" w:hAnsi="Helvetica"/>
                <w:sz w:val="18"/>
              </w:rPr>
              <w:t>0</w:t>
            </w:r>
          </w:p>
          <w:p w14:paraId="19649C42" w14:textId="78F80681" w:rsidR="00F82E31" w:rsidRPr="00431D14" w:rsidRDefault="00F82E31" w:rsidP="00765C1C">
            <w:pPr>
              <w:tabs>
                <w:tab w:val="left" w:pos="240"/>
                <w:tab w:val="right" w:pos="4800"/>
              </w:tabs>
              <w:ind w:left="132"/>
              <w:rPr>
                <w:color w:val="000000"/>
              </w:rPr>
            </w:pPr>
            <w:r w:rsidRPr="00431D14">
              <w:rPr>
                <w:rFonts w:ascii="Helvetica" w:hAnsi="Helvetica"/>
                <w:sz w:val="16"/>
              </w:rPr>
              <w:t>d. Total annual cost requested</w:t>
            </w:r>
            <w:r w:rsidR="005A0B9C" w:rsidRPr="00431D14">
              <w:rPr>
                <w:rFonts w:ascii="Helvetica" w:hAnsi="Helvetica"/>
                <w:sz w:val="16"/>
              </w:rPr>
              <w:t xml:space="preserve">                  </w:t>
            </w:r>
            <w:r w:rsidR="005B63FA" w:rsidRPr="00431D14">
              <w:rPr>
                <w:rFonts w:ascii="Helvetica" w:hAnsi="Helvetica"/>
                <w:sz w:val="16"/>
              </w:rPr>
              <w:t xml:space="preserve">                     $</w:t>
            </w:r>
            <w:r w:rsidR="00431D14" w:rsidRPr="00431D14">
              <w:rPr>
                <w:rFonts w:ascii="Helvetica" w:hAnsi="Helvetica" w:cs="Helvetica"/>
                <w:color w:val="000000"/>
                <w:sz w:val="16"/>
                <w:szCs w:val="16"/>
              </w:rPr>
              <w:t>5,068,980</w:t>
            </w:r>
            <w:r w:rsidR="00765C1C" w:rsidRPr="00431D14">
              <w:rPr>
                <w:color w:val="000000"/>
              </w:rPr>
              <w:t xml:space="preserve"> </w:t>
            </w:r>
          </w:p>
          <w:p w14:paraId="43CB537D" w14:textId="196EAD53" w:rsidR="00F82E31" w:rsidRPr="00431D14" w:rsidRDefault="00F82E31" w:rsidP="00BD2240">
            <w:pPr>
              <w:tabs>
                <w:tab w:val="left" w:pos="132"/>
                <w:tab w:val="right" w:pos="4800"/>
              </w:tabs>
              <w:ind w:left="132"/>
              <w:rPr>
                <w:rFonts w:ascii="Helvetica" w:hAnsi="Helvetica"/>
                <w:sz w:val="16"/>
              </w:rPr>
            </w:pPr>
            <w:r w:rsidRPr="00431D14">
              <w:rPr>
                <w:rFonts w:ascii="Helvetica" w:hAnsi="Helvetica"/>
                <w:sz w:val="16"/>
              </w:rPr>
              <w:t>e. Current OMB inventory</w:t>
            </w:r>
            <w:r w:rsidR="005A0B9C" w:rsidRPr="00431D14">
              <w:rPr>
                <w:rFonts w:ascii="Helvetica" w:hAnsi="Helvetica"/>
                <w:sz w:val="16"/>
              </w:rPr>
              <w:t xml:space="preserve">                                               </w:t>
            </w:r>
            <w:r w:rsidR="00F739A8" w:rsidRPr="00431D14">
              <w:rPr>
                <w:rFonts w:ascii="Helvetica" w:hAnsi="Helvetica"/>
                <w:sz w:val="16"/>
              </w:rPr>
              <w:t xml:space="preserve"> </w:t>
            </w:r>
            <w:r w:rsidR="00B13452" w:rsidRPr="00431D14">
              <w:rPr>
                <w:rFonts w:ascii="Helvetica" w:hAnsi="Helvetica"/>
                <w:sz w:val="16"/>
              </w:rPr>
              <w:t xml:space="preserve">  </w:t>
            </w:r>
            <w:r w:rsidR="005A0B9C" w:rsidRPr="00431D14">
              <w:rPr>
                <w:rFonts w:ascii="Helvetica" w:hAnsi="Helvetica"/>
                <w:sz w:val="16"/>
              </w:rPr>
              <w:t>$</w:t>
            </w:r>
            <w:r w:rsidR="00F2588B" w:rsidRPr="00431D14">
              <w:rPr>
                <w:rFonts w:ascii="Helvetica" w:hAnsi="Helvetica"/>
                <w:sz w:val="16"/>
              </w:rPr>
              <w:t>729,585</w:t>
            </w:r>
          </w:p>
          <w:p w14:paraId="6A4EAF22" w14:textId="77777777" w:rsidR="00F82E31" w:rsidRPr="00431D14" w:rsidRDefault="00F82E31" w:rsidP="00F82E31">
            <w:pPr>
              <w:tabs>
                <w:tab w:val="left" w:pos="240"/>
                <w:tab w:val="right" w:pos="4800"/>
              </w:tabs>
              <w:ind w:left="132"/>
              <w:rPr>
                <w:rFonts w:ascii="Helvetica" w:hAnsi="Helvetica"/>
                <w:sz w:val="16"/>
              </w:rPr>
            </w:pPr>
            <w:r w:rsidRPr="00431D14">
              <w:rPr>
                <w:rFonts w:ascii="Helvetica" w:hAnsi="Helvetica"/>
                <w:sz w:val="16"/>
              </w:rPr>
              <w:t xml:space="preserve">f. Explanation of difference: </w:t>
            </w:r>
          </w:p>
          <w:p w14:paraId="67A1AB8D" w14:textId="77777777" w:rsidR="00F82E31" w:rsidRPr="00431D14" w:rsidRDefault="00F82E31" w:rsidP="00F82E31">
            <w:pPr>
              <w:numPr>
                <w:ilvl w:val="12"/>
                <w:numId w:val="0"/>
              </w:numPr>
              <w:tabs>
                <w:tab w:val="left" w:pos="240"/>
                <w:tab w:val="right" w:pos="4800"/>
              </w:tabs>
              <w:ind w:left="360" w:hanging="360"/>
              <w:rPr>
                <w:rFonts w:ascii="Helvetica" w:hAnsi="Helvetica"/>
                <w:sz w:val="16"/>
              </w:rPr>
            </w:pPr>
            <w:r w:rsidRPr="00431D14">
              <w:rPr>
                <w:rFonts w:ascii="Helvetica" w:hAnsi="Helvetica"/>
                <w:sz w:val="16"/>
              </w:rPr>
              <w:t>1. Program change:</w:t>
            </w:r>
            <w:r w:rsidRPr="00431D14">
              <w:rPr>
                <w:rFonts w:ascii="Helvetica" w:hAnsi="Helvetica"/>
                <w:sz w:val="16"/>
              </w:rPr>
              <w:tab/>
            </w:r>
            <w:r w:rsidR="005F5306" w:rsidRPr="00431D14">
              <w:rPr>
                <w:rFonts w:ascii="Helvetica" w:hAnsi="Helvetica"/>
                <w:sz w:val="18"/>
              </w:rPr>
              <w:fldChar w:fldCharType="begin">
                <w:ffData>
                  <w:name w:val=""/>
                  <w:enabled/>
                  <w:calcOnExit w:val="0"/>
                  <w:textInput/>
                </w:ffData>
              </w:fldChar>
            </w:r>
            <w:r w:rsidRPr="00431D14">
              <w:rPr>
                <w:rFonts w:ascii="Helvetica" w:hAnsi="Helvetica"/>
                <w:sz w:val="18"/>
              </w:rPr>
              <w:instrText xml:space="preserve"> FORMTEXT </w:instrText>
            </w:r>
            <w:r w:rsidR="005F5306" w:rsidRPr="00431D14">
              <w:rPr>
                <w:rFonts w:ascii="Helvetica" w:hAnsi="Helvetica"/>
                <w:sz w:val="18"/>
              </w:rPr>
            </w:r>
            <w:r w:rsidR="005F5306" w:rsidRPr="00431D14">
              <w:rPr>
                <w:rFonts w:ascii="Helvetica" w:hAnsi="Helvetica"/>
                <w:sz w:val="18"/>
              </w:rPr>
              <w:fldChar w:fldCharType="separate"/>
            </w:r>
            <w:r w:rsidRPr="00431D14">
              <w:rPr>
                <w:rFonts w:ascii="Helvetica" w:hAnsi="Helvetica"/>
                <w:noProof/>
                <w:sz w:val="18"/>
              </w:rPr>
              <w:t> </w:t>
            </w:r>
            <w:r w:rsidRPr="00431D14">
              <w:rPr>
                <w:rFonts w:ascii="Helvetica" w:hAnsi="Helvetica"/>
                <w:noProof/>
                <w:sz w:val="18"/>
              </w:rPr>
              <w:t> </w:t>
            </w:r>
            <w:r w:rsidRPr="00431D14">
              <w:rPr>
                <w:rFonts w:ascii="Helvetica" w:hAnsi="Helvetica"/>
                <w:noProof/>
                <w:sz w:val="18"/>
              </w:rPr>
              <w:t> </w:t>
            </w:r>
            <w:r w:rsidRPr="00431D14">
              <w:rPr>
                <w:rFonts w:ascii="Helvetica" w:hAnsi="Helvetica"/>
                <w:noProof/>
                <w:sz w:val="18"/>
              </w:rPr>
              <w:t> </w:t>
            </w:r>
            <w:r w:rsidRPr="00431D14">
              <w:rPr>
                <w:rFonts w:ascii="Helvetica" w:hAnsi="Helvetica"/>
                <w:noProof/>
                <w:sz w:val="18"/>
              </w:rPr>
              <w:t> </w:t>
            </w:r>
            <w:r w:rsidR="005F5306" w:rsidRPr="00431D14">
              <w:rPr>
                <w:rFonts w:ascii="Helvetica" w:hAnsi="Helvetica"/>
                <w:sz w:val="18"/>
              </w:rPr>
              <w:fldChar w:fldCharType="end"/>
            </w:r>
          </w:p>
          <w:p w14:paraId="310124B8" w14:textId="3AC59BFE" w:rsidR="00314A03" w:rsidRPr="00314A03" w:rsidRDefault="00F82E31" w:rsidP="00314A03">
            <w:pPr>
              <w:numPr>
                <w:ilvl w:val="12"/>
                <w:numId w:val="0"/>
              </w:numPr>
              <w:tabs>
                <w:tab w:val="left" w:pos="240"/>
                <w:tab w:val="right" w:pos="4800"/>
              </w:tabs>
              <w:spacing w:after="60"/>
              <w:ind w:left="360" w:hanging="360"/>
              <w:rPr>
                <w:rFonts w:ascii="Calibri" w:hAnsi="Calibri" w:cs="Calibri"/>
                <w:color w:val="000000"/>
                <w:sz w:val="22"/>
                <w:szCs w:val="22"/>
              </w:rPr>
            </w:pPr>
            <w:r w:rsidRPr="00431D14">
              <w:rPr>
                <w:rFonts w:ascii="Helvetica" w:hAnsi="Helvetica"/>
                <w:sz w:val="16"/>
              </w:rPr>
              <w:t>2. Adjustment:</w:t>
            </w:r>
            <w:r w:rsidRPr="00431D14">
              <w:rPr>
                <w:rFonts w:ascii="Helvetica" w:hAnsi="Helvetica"/>
                <w:sz w:val="16"/>
              </w:rPr>
              <w:tab/>
            </w:r>
            <w:r w:rsidR="000528DE" w:rsidRPr="00431D14">
              <w:rPr>
                <w:rFonts w:ascii="Helvetica" w:hAnsi="Helvetica"/>
                <w:sz w:val="16"/>
                <w:szCs w:val="16"/>
              </w:rPr>
              <w:t>+</w:t>
            </w:r>
            <w:r w:rsidR="00F739A8" w:rsidRPr="00431D14">
              <w:rPr>
                <w:rFonts w:ascii="Helvetica" w:hAnsi="Helvetica" w:cs="Helvetica"/>
                <w:color w:val="000000"/>
                <w:sz w:val="16"/>
                <w:szCs w:val="16"/>
              </w:rPr>
              <w:t>$</w:t>
            </w:r>
            <w:r w:rsidR="00431D14" w:rsidRPr="00431D14">
              <w:rPr>
                <w:rFonts w:ascii="Helvetica" w:hAnsi="Helvetica" w:cs="Helvetica"/>
                <w:color w:val="000000"/>
                <w:sz w:val="16"/>
                <w:szCs w:val="16"/>
              </w:rPr>
              <w:t>4,339,395</w:t>
            </w:r>
          </w:p>
          <w:p w14:paraId="7D756461" w14:textId="70C2EC0F" w:rsidR="00765C1C" w:rsidRDefault="00765C1C" w:rsidP="00765C1C">
            <w:pPr>
              <w:numPr>
                <w:ilvl w:val="12"/>
                <w:numId w:val="0"/>
              </w:numPr>
              <w:tabs>
                <w:tab w:val="left" w:pos="240"/>
                <w:tab w:val="right" w:pos="4800"/>
              </w:tabs>
              <w:spacing w:after="60"/>
              <w:ind w:left="360" w:hanging="360"/>
              <w:rPr>
                <w:rFonts w:ascii="Calibri" w:hAnsi="Calibri" w:cs="Calibri"/>
                <w:color w:val="000000"/>
                <w:sz w:val="22"/>
                <w:szCs w:val="22"/>
              </w:rPr>
            </w:pPr>
          </w:p>
          <w:p w14:paraId="62A5B75D" w14:textId="34F2C302" w:rsidR="00F2588B" w:rsidRDefault="00F2588B" w:rsidP="00F2588B">
            <w:pPr>
              <w:numPr>
                <w:ilvl w:val="12"/>
                <w:numId w:val="0"/>
              </w:numPr>
              <w:tabs>
                <w:tab w:val="left" w:pos="240"/>
                <w:tab w:val="right" w:pos="4800"/>
              </w:tabs>
              <w:spacing w:after="60"/>
              <w:ind w:left="360" w:hanging="360"/>
              <w:rPr>
                <w:rFonts w:ascii="Calibri" w:hAnsi="Calibri" w:cs="Calibri"/>
                <w:color w:val="000000"/>
                <w:sz w:val="22"/>
                <w:szCs w:val="22"/>
              </w:rPr>
            </w:pPr>
          </w:p>
          <w:p w14:paraId="0724C6C4" w14:textId="5D7017F7" w:rsidR="00F739A8" w:rsidRPr="00F739A8" w:rsidRDefault="00F739A8" w:rsidP="00F739A8">
            <w:pPr>
              <w:numPr>
                <w:ilvl w:val="12"/>
                <w:numId w:val="0"/>
              </w:numPr>
              <w:tabs>
                <w:tab w:val="left" w:pos="240"/>
                <w:tab w:val="right" w:pos="4800"/>
              </w:tabs>
              <w:spacing w:after="60"/>
              <w:ind w:left="360" w:hanging="360"/>
              <w:rPr>
                <w:rFonts w:ascii="Helvetica" w:hAnsi="Helvetica"/>
                <w:sz w:val="16"/>
              </w:rPr>
            </w:pPr>
            <w:r>
              <w:rPr>
                <w:rFonts w:ascii="Calibri" w:hAnsi="Calibri" w:cs="Calibri"/>
                <w:color w:val="000000"/>
                <w:sz w:val="22"/>
                <w:szCs w:val="22"/>
              </w:rPr>
              <w:t xml:space="preserve"> </w:t>
            </w:r>
          </w:p>
          <w:p w14:paraId="403F3842" w14:textId="3026E568" w:rsidR="00C53525" w:rsidRPr="00A838BA" w:rsidRDefault="00C53525" w:rsidP="00F82E31">
            <w:pPr>
              <w:numPr>
                <w:ilvl w:val="12"/>
                <w:numId w:val="0"/>
              </w:numPr>
              <w:tabs>
                <w:tab w:val="left" w:pos="240"/>
                <w:tab w:val="right" w:pos="4800"/>
              </w:tabs>
              <w:spacing w:after="60"/>
              <w:ind w:left="360" w:hanging="360"/>
              <w:rPr>
                <w:rFonts w:ascii="Helvetica" w:hAnsi="Helvetica"/>
                <w:sz w:val="16"/>
              </w:rPr>
            </w:pPr>
          </w:p>
        </w:tc>
      </w:tr>
      <w:tr w:rsidR="00C53525" w14:paraId="20B393AD" w14:textId="77777777">
        <w:trPr>
          <w:trHeight w:val="1474"/>
        </w:trPr>
        <w:tc>
          <w:tcPr>
            <w:tcW w:w="5628" w:type="dxa"/>
            <w:gridSpan w:val="2"/>
            <w:tcBorders>
              <w:top w:val="single" w:sz="6" w:space="0" w:color="auto"/>
              <w:right w:val="single" w:sz="6" w:space="0" w:color="auto"/>
            </w:tcBorders>
          </w:tcPr>
          <w:p w14:paraId="38668560" w14:textId="77777777" w:rsidR="00C53525" w:rsidRDefault="00C53525">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14:paraId="50177FA0" w14:textId="77777777" w:rsidR="00C53525" w:rsidRDefault="00C53525">
            <w:pPr>
              <w:tabs>
                <w:tab w:val="left" w:pos="480"/>
                <w:tab w:val="left" w:pos="2520"/>
                <w:tab w:val="left" w:pos="2880"/>
              </w:tabs>
              <w:ind w:left="120"/>
              <w:rPr>
                <w:rFonts w:ascii="Helvetica" w:hAnsi="Helvetica"/>
                <w:sz w:val="16"/>
              </w:rPr>
            </w:pPr>
            <w:r>
              <w:rPr>
                <w:rFonts w:ascii="Helvetica" w:hAnsi="Helvetica"/>
                <w:sz w:val="16"/>
              </w:rPr>
              <w:t xml:space="preserve">a. </w:t>
            </w:r>
            <w:r w:rsidR="005F5306">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P</w:t>
            </w:r>
            <w:r w:rsidR="005F5306">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5F5306">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X</w:t>
            </w:r>
            <w:r w:rsidR="005F5306">
              <w:rPr>
                <w:rFonts w:ascii="Helvetica" w:hAnsi="Helvetica"/>
                <w:b/>
                <w:sz w:val="18"/>
              </w:rPr>
              <w:fldChar w:fldCharType="end"/>
            </w:r>
            <w:r>
              <w:rPr>
                <w:rFonts w:ascii="Helvetica" w:hAnsi="Helvetica"/>
                <w:b/>
                <w:sz w:val="18"/>
              </w:rPr>
              <w:tab/>
            </w:r>
            <w:r>
              <w:rPr>
                <w:rFonts w:ascii="Helvetica" w:hAnsi="Helvetica"/>
                <w:sz w:val="16"/>
              </w:rPr>
              <w:t>Program planning or management</w:t>
            </w:r>
          </w:p>
          <w:p w14:paraId="30880F78" w14:textId="77777777" w:rsidR="00C53525" w:rsidRDefault="00C53525">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Research</w:t>
            </w:r>
          </w:p>
          <w:p w14:paraId="6EC6291C" w14:textId="77777777" w:rsidR="00C53525" w:rsidRDefault="00C53525">
            <w:pPr>
              <w:tabs>
                <w:tab w:val="left" w:pos="480"/>
                <w:tab w:val="left" w:pos="2520"/>
                <w:tab w:val="left" w:pos="2880"/>
              </w:tabs>
              <w:ind w:left="120"/>
              <w:rPr>
                <w:rFonts w:ascii="Helvetica" w:hAnsi="Helvetica"/>
                <w:sz w:val="16"/>
              </w:rPr>
            </w:pPr>
            <w:r>
              <w:rPr>
                <w:rFonts w:ascii="Helvetica" w:hAnsi="Helvetica"/>
                <w:sz w:val="16"/>
              </w:rPr>
              <w:t xml:space="preserve">c. </w:t>
            </w:r>
            <w:r w:rsidR="005F5306">
              <w:rPr>
                <w:rFonts w:ascii="Helvetica" w:hAnsi="Helvetica"/>
                <w:b/>
                <w:sz w:val="18"/>
              </w:rPr>
              <w:fldChar w:fldCharType="begin">
                <w:ffData>
                  <w:name w:val=""/>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5F5306">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X</w:t>
            </w:r>
            <w:r w:rsidR="005F5306">
              <w:rPr>
                <w:rFonts w:ascii="Helvetica" w:hAnsi="Helvetica"/>
                <w:b/>
                <w:sz w:val="18"/>
              </w:rPr>
              <w:fldChar w:fldCharType="end"/>
            </w:r>
            <w:r>
              <w:rPr>
                <w:rFonts w:ascii="Helvetica" w:hAnsi="Helvetica"/>
                <w:b/>
                <w:sz w:val="18"/>
              </w:rPr>
              <w:tab/>
            </w:r>
            <w:r>
              <w:rPr>
                <w:rFonts w:ascii="Helvetica" w:hAnsi="Helvetica"/>
                <w:sz w:val="16"/>
              </w:rPr>
              <w:t>Regulatory or compliance</w:t>
            </w:r>
          </w:p>
          <w:p w14:paraId="4324120E" w14:textId="77777777" w:rsidR="00C53525" w:rsidRDefault="00C53525">
            <w:pPr>
              <w:tabs>
                <w:tab w:val="left" w:pos="480"/>
                <w:tab w:val="left" w:pos="2880"/>
              </w:tabs>
              <w:spacing w:after="60"/>
              <w:ind w:left="120"/>
              <w:rPr>
                <w:rFonts w:ascii="Helvetica" w:hAnsi="Helvetica"/>
                <w:sz w:val="16"/>
              </w:rPr>
            </w:pPr>
            <w:r>
              <w:rPr>
                <w:rFonts w:ascii="Helvetica" w:hAnsi="Helvetica"/>
                <w:sz w:val="16"/>
              </w:rPr>
              <w:t xml:space="preserve">d.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14:paraId="59D578BA" w14:textId="77777777" w:rsidR="00C53525" w:rsidRDefault="00C53525">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14:paraId="6D856902" w14:textId="77777777" w:rsidR="00C53525" w:rsidRDefault="00C53525">
            <w:pPr>
              <w:tabs>
                <w:tab w:val="left" w:pos="240"/>
                <w:tab w:val="left" w:pos="1932"/>
              </w:tabs>
              <w:ind w:left="120"/>
              <w:rPr>
                <w:rFonts w:ascii="Helvetica" w:hAnsi="Helvetica"/>
                <w:sz w:val="16"/>
              </w:rPr>
            </w:pPr>
            <w:r>
              <w:rPr>
                <w:rFonts w:ascii="Helvetica" w:hAnsi="Helvetica"/>
                <w:sz w:val="16"/>
              </w:rPr>
              <w:t xml:space="preserve">a. </w:t>
            </w:r>
            <w:r w:rsidR="005F5306">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9609F7">
              <w:rPr>
                <w:rFonts w:ascii="Helvetica" w:hAnsi="Helvetica"/>
                <w:b/>
                <w:sz w:val="18"/>
              </w:rPr>
            </w:r>
            <w:r w:rsidR="009609F7">
              <w:rPr>
                <w:rFonts w:ascii="Helvetica" w:hAnsi="Helvetica"/>
                <w:b/>
                <w:sz w:val="18"/>
              </w:rPr>
              <w:fldChar w:fldCharType="separate"/>
            </w:r>
            <w:r w:rsidR="005F5306">
              <w:rPr>
                <w:rFonts w:ascii="Helvetica" w:hAnsi="Helvetica"/>
                <w:b/>
                <w:sz w:val="18"/>
              </w:rPr>
              <w:fldChar w:fldCharType="end"/>
            </w:r>
            <w:r>
              <w:rPr>
                <w:rFonts w:ascii="Helvetica" w:hAnsi="Helvetica"/>
                <w:sz w:val="16"/>
              </w:rPr>
              <w:t xml:space="preserve"> Recordkeeping</w:t>
            </w:r>
            <w:r>
              <w:rPr>
                <w:rFonts w:ascii="Helvetica" w:hAnsi="Helvetica"/>
                <w:sz w:val="16"/>
              </w:rPr>
              <w:tab/>
              <w:t xml:space="preserve">b. Third party disclosure </w:t>
            </w:r>
          </w:p>
          <w:p w14:paraId="321A7214" w14:textId="77777777" w:rsidR="00C53525" w:rsidRDefault="00C53525">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5F5306">
              <w:rPr>
                <w:rFonts w:ascii="Helvetica" w:hAnsi="Helvetica"/>
                <w:b/>
                <w:sz w:val="18"/>
              </w:rPr>
              <w:fldChar w:fldCharType="begin">
                <w:ffData>
                  <w:name w:val="Check21"/>
                  <w:enabled/>
                  <w:calcOnExit w:val="0"/>
                  <w:checkBox>
                    <w:sizeAuto/>
                    <w:default w:val="1"/>
                  </w:checkBox>
                </w:ffData>
              </w:fldChar>
            </w:r>
            <w:bookmarkStart w:id="11" w:name="Check21"/>
            <w:r>
              <w:rPr>
                <w:rFonts w:ascii="Helvetica" w:hAnsi="Helvetica"/>
                <w:b/>
                <w:sz w:val="18"/>
              </w:rPr>
              <w:instrText xml:space="preserve"> FORMCHECKBOX </w:instrText>
            </w:r>
            <w:r w:rsidR="009609F7">
              <w:rPr>
                <w:rFonts w:ascii="Helvetica" w:hAnsi="Helvetica"/>
                <w:b/>
                <w:sz w:val="18"/>
              </w:rPr>
            </w:r>
            <w:r w:rsidR="009609F7">
              <w:rPr>
                <w:rFonts w:ascii="Helvetica" w:hAnsi="Helvetica"/>
                <w:b/>
                <w:sz w:val="18"/>
              </w:rPr>
              <w:fldChar w:fldCharType="separate"/>
            </w:r>
            <w:r w:rsidR="005F5306">
              <w:rPr>
                <w:rFonts w:ascii="Helvetica" w:hAnsi="Helvetica"/>
                <w:b/>
                <w:sz w:val="18"/>
              </w:rPr>
              <w:fldChar w:fldCharType="end"/>
            </w:r>
            <w:bookmarkEnd w:id="11"/>
            <w:r>
              <w:rPr>
                <w:rFonts w:ascii="Helvetica" w:hAnsi="Helvetica"/>
                <w:b/>
                <w:sz w:val="18"/>
              </w:rPr>
              <w:t xml:space="preserve"> </w:t>
            </w:r>
            <w:r>
              <w:rPr>
                <w:rFonts w:ascii="Helvetica" w:hAnsi="Helvetica"/>
                <w:sz w:val="16"/>
              </w:rPr>
              <w:t>Reporting:</w:t>
            </w:r>
          </w:p>
          <w:p w14:paraId="3B9748F3" w14:textId="0F0760F5"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1. </w:t>
            </w:r>
            <w:r w:rsidR="005F5306">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9609F7">
              <w:rPr>
                <w:rFonts w:ascii="Helvetica" w:hAnsi="Helvetica"/>
                <w:sz w:val="16"/>
              </w:rPr>
            </w:r>
            <w:r w:rsidR="009609F7">
              <w:rPr>
                <w:rFonts w:ascii="Helvetica" w:hAnsi="Helvetica"/>
                <w:sz w:val="16"/>
              </w:rPr>
              <w:fldChar w:fldCharType="separate"/>
            </w:r>
            <w:r w:rsidR="005F5306">
              <w:rPr>
                <w:rFonts w:ascii="Helvetica" w:hAnsi="Helvetica"/>
                <w:sz w:val="16"/>
              </w:rPr>
              <w:fldChar w:fldCharType="end"/>
            </w:r>
            <w:r>
              <w:rPr>
                <w:rFonts w:ascii="Helvetica" w:hAnsi="Helvetica"/>
                <w:sz w:val="16"/>
              </w:rPr>
              <w:t xml:space="preserve"> On occasion</w:t>
            </w:r>
            <w:r>
              <w:rPr>
                <w:rFonts w:ascii="Helvetica" w:hAnsi="Helvetica"/>
                <w:sz w:val="16"/>
              </w:rPr>
              <w:tab/>
              <w:t xml:space="preserve">2. </w:t>
            </w:r>
            <w:r w:rsidR="005F5306">
              <w:rPr>
                <w:rFonts w:ascii="Helvetica" w:hAnsi="Helvetica"/>
                <w:sz w:val="16"/>
              </w:rPr>
              <w:fldChar w:fldCharType="begin">
                <w:ffData>
                  <w:name w:val="Check23"/>
                  <w:enabled/>
                  <w:calcOnExit w:val="0"/>
                  <w:checkBox>
                    <w:sizeAuto/>
                    <w:default w:val="0"/>
                  </w:checkBox>
                </w:ffData>
              </w:fldChar>
            </w:r>
            <w:bookmarkStart w:id="12" w:name="Check23"/>
            <w:r>
              <w:rPr>
                <w:rFonts w:ascii="Helvetica" w:hAnsi="Helvetica"/>
                <w:sz w:val="16"/>
              </w:rPr>
              <w:instrText xml:space="preserve"> FORMCHECKBOX </w:instrText>
            </w:r>
            <w:r w:rsidR="009609F7">
              <w:rPr>
                <w:rFonts w:ascii="Helvetica" w:hAnsi="Helvetica"/>
                <w:sz w:val="16"/>
              </w:rPr>
            </w:r>
            <w:r w:rsidR="009609F7">
              <w:rPr>
                <w:rFonts w:ascii="Helvetica" w:hAnsi="Helvetica"/>
                <w:sz w:val="16"/>
              </w:rPr>
              <w:fldChar w:fldCharType="separate"/>
            </w:r>
            <w:r w:rsidR="005F5306">
              <w:rPr>
                <w:rFonts w:ascii="Helvetica" w:hAnsi="Helvetica"/>
                <w:sz w:val="16"/>
              </w:rPr>
              <w:fldChar w:fldCharType="end"/>
            </w:r>
            <w:bookmarkEnd w:id="12"/>
            <w:r>
              <w:rPr>
                <w:rFonts w:ascii="Helvetica" w:hAnsi="Helvetica"/>
                <w:sz w:val="16"/>
              </w:rPr>
              <w:t xml:space="preserve"> Weekly</w:t>
            </w:r>
            <w:r>
              <w:rPr>
                <w:rFonts w:ascii="Helvetica" w:hAnsi="Helvetica"/>
                <w:sz w:val="16"/>
              </w:rPr>
              <w:tab/>
              <w:t xml:space="preserve">3. </w:t>
            </w:r>
            <w:r w:rsidR="005F5306">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9609F7">
              <w:rPr>
                <w:rFonts w:ascii="Helvetica" w:hAnsi="Helvetica"/>
                <w:b/>
                <w:sz w:val="18"/>
              </w:rPr>
            </w:r>
            <w:r w:rsidR="009609F7">
              <w:rPr>
                <w:rFonts w:ascii="Helvetica" w:hAnsi="Helvetica"/>
                <w:b/>
                <w:sz w:val="18"/>
              </w:rPr>
              <w:fldChar w:fldCharType="separate"/>
            </w:r>
            <w:r w:rsidR="005F5306">
              <w:rPr>
                <w:rFonts w:ascii="Helvetica" w:hAnsi="Helvetica"/>
                <w:b/>
                <w:sz w:val="18"/>
              </w:rPr>
              <w:fldChar w:fldCharType="end"/>
            </w:r>
            <w:r>
              <w:rPr>
                <w:rFonts w:ascii="Helvetica" w:hAnsi="Helvetica"/>
                <w:sz w:val="16"/>
              </w:rPr>
              <w:t xml:space="preserve"> Monthly</w:t>
            </w:r>
          </w:p>
          <w:p w14:paraId="35D66A65" w14:textId="73C2B0D9"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4. </w:t>
            </w:r>
            <w:r w:rsidR="006D7A80">
              <w:rPr>
                <w:rFonts w:ascii="Helvetica" w:hAnsi="Helvetica"/>
                <w:b/>
                <w:sz w:val="18"/>
              </w:rPr>
              <w:fldChar w:fldCharType="begin">
                <w:ffData>
                  <w:name w:val=""/>
                  <w:enabled/>
                  <w:calcOnExit w:val="0"/>
                  <w:checkBox>
                    <w:sizeAuto/>
                    <w:default w:val="1"/>
                  </w:checkBox>
                </w:ffData>
              </w:fldChar>
            </w:r>
            <w:r w:rsidR="006D7A80">
              <w:rPr>
                <w:rFonts w:ascii="Helvetica" w:hAnsi="Helvetica"/>
                <w:b/>
                <w:sz w:val="18"/>
              </w:rPr>
              <w:instrText xml:space="preserve"> FORMCHECKBOX </w:instrText>
            </w:r>
            <w:r w:rsidR="009609F7">
              <w:rPr>
                <w:rFonts w:ascii="Helvetica" w:hAnsi="Helvetica"/>
                <w:b/>
                <w:sz w:val="18"/>
              </w:rPr>
            </w:r>
            <w:r w:rsidR="009609F7">
              <w:rPr>
                <w:rFonts w:ascii="Helvetica" w:hAnsi="Helvetica"/>
                <w:b/>
                <w:sz w:val="18"/>
              </w:rPr>
              <w:fldChar w:fldCharType="separate"/>
            </w:r>
            <w:r w:rsidR="006D7A80">
              <w:rPr>
                <w:rFonts w:ascii="Helvetica" w:hAnsi="Helvetica"/>
                <w:b/>
                <w:sz w:val="18"/>
              </w:rPr>
              <w:fldChar w:fldCharType="end"/>
            </w:r>
            <w:r>
              <w:rPr>
                <w:rFonts w:ascii="Helvetica" w:hAnsi="Helvetica"/>
                <w:sz w:val="16"/>
              </w:rPr>
              <w:t xml:space="preserve"> Quarterly</w:t>
            </w:r>
            <w:r>
              <w:rPr>
                <w:rFonts w:ascii="Helvetica" w:hAnsi="Helvetica"/>
                <w:sz w:val="16"/>
              </w:rPr>
              <w:tab/>
              <w:t xml:space="preserve">5. </w:t>
            </w:r>
            <w:r w:rsidR="005F5306">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9609F7">
              <w:rPr>
                <w:rFonts w:ascii="Helvetica" w:hAnsi="Helvetica"/>
                <w:sz w:val="16"/>
              </w:rPr>
            </w:r>
            <w:r w:rsidR="009609F7">
              <w:rPr>
                <w:rFonts w:ascii="Helvetica" w:hAnsi="Helvetica"/>
                <w:sz w:val="16"/>
              </w:rPr>
              <w:fldChar w:fldCharType="separate"/>
            </w:r>
            <w:r w:rsidR="005F5306">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5F5306">
              <w:rPr>
                <w:rFonts w:ascii="Helvetica" w:hAnsi="Helvetica"/>
                <w:sz w:val="16"/>
              </w:rPr>
              <w:fldChar w:fldCharType="begin">
                <w:ffData>
                  <w:name w:val="Check24"/>
                  <w:enabled/>
                  <w:calcOnExit w:val="0"/>
                  <w:checkBox>
                    <w:sizeAuto/>
                    <w:default w:val="1"/>
                  </w:checkBox>
                </w:ffData>
              </w:fldChar>
            </w:r>
            <w:bookmarkStart w:id="13" w:name="Check24"/>
            <w:r>
              <w:rPr>
                <w:rFonts w:ascii="Helvetica" w:hAnsi="Helvetica"/>
                <w:sz w:val="16"/>
              </w:rPr>
              <w:instrText xml:space="preserve"> FORMCHECKBOX </w:instrText>
            </w:r>
            <w:r w:rsidR="009609F7">
              <w:rPr>
                <w:rFonts w:ascii="Helvetica" w:hAnsi="Helvetica"/>
                <w:sz w:val="16"/>
              </w:rPr>
            </w:r>
            <w:r w:rsidR="009609F7">
              <w:rPr>
                <w:rFonts w:ascii="Helvetica" w:hAnsi="Helvetica"/>
                <w:sz w:val="16"/>
              </w:rPr>
              <w:fldChar w:fldCharType="separate"/>
            </w:r>
            <w:r w:rsidR="005F5306">
              <w:rPr>
                <w:rFonts w:ascii="Helvetica" w:hAnsi="Helvetica"/>
                <w:sz w:val="16"/>
              </w:rPr>
              <w:fldChar w:fldCharType="end"/>
            </w:r>
            <w:bookmarkEnd w:id="13"/>
            <w:r>
              <w:rPr>
                <w:rFonts w:ascii="Helvetica" w:hAnsi="Helvetica"/>
                <w:sz w:val="16"/>
              </w:rPr>
              <w:t xml:space="preserve"> Annually</w:t>
            </w:r>
          </w:p>
          <w:p w14:paraId="7DBC6F8B" w14:textId="77777777"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7. </w:t>
            </w:r>
            <w:r w:rsidR="005F5306">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9609F7">
              <w:rPr>
                <w:rFonts w:ascii="Helvetica" w:hAnsi="Helvetica"/>
                <w:sz w:val="16"/>
              </w:rPr>
            </w:r>
            <w:r w:rsidR="009609F7">
              <w:rPr>
                <w:rFonts w:ascii="Helvetica" w:hAnsi="Helvetica"/>
                <w:sz w:val="16"/>
              </w:rPr>
              <w:fldChar w:fldCharType="separate"/>
            </w:r>
            <w:r w:rsidR="005F5306">
              <w:rPr>
                <w:rFonts w:ascii="Helvetica" w:hAnsi="Helvetica"/>
                <w:sz w:val="16"/>
              </w:rPr>
              <w:fldChar w:fldCharType="end"/>
            </w:r>
            <w:r w:rsidR="00A55E0F">
              <w:rPr>
                <w:rFonts w:ascii="Helvetica" w:hAnsi="Helvetica"/>
                <w:sz w:val="16"/>
              </w:rPr>
              <w:t xml:space="preserve"> Bia</w:t>
            </w:r>
            <w:r>
              <w:rPr>
                <w:rFonts w:ascii="Helvetica" w:hAnsi="Helvetica"/>
                <w:sz w:val="16"/>
              </w:rPr>
              <w:t>nnually</w:t>
            </w:r>
            <w:r>
              <w:rPr>
                <w:rFonts w:ascii="Helvetica" w:hAnsi="Helvetica"/>
                <w:sz w:val="16"/>
              </w:rPr>
              <w:tab/>
              <w:t xml:space="preserve">8. </w:t>
            </w:r>
            <w:r w:rsidR="005F5306">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9609F7">
              <w:rPr>
                <w:rFonts w:ascii="Helvetica" w:hAnsi="Helvetica"/>
                <w:sz w:val="16"/>
              </w:rPr>
            </w:r>
            <w:r w:rsidR="009609F7">
              <w:rPr>
                <w:rFonts w:ascii="Helvetica" w:hAnsi="Helvetica"/>
                <w:sz w:val="16"/>
              </w:rPr>
              <w:fldChar w:fldCharType="separate"/>
            </w:r>
            <w:r w:rsidR="005F5306">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5F5306">
              <w:rPr>
                <w:rFonts w:ascii="Helvetica" w:hAnsi="Helvetica"/>
                <w:sz w:val="16"/>
              </w:rPr>
              <w:fldChar w:fldCharType="begin">
                <w:ffData>
                  <w:name w:val="Text18"/>
                  <w:enabled/>
                  <w:calcOnExit w:val="0"/>
                  <w:textInput/>
                </w:ffData>
              </w:fldChar>
            </w:r>
            <w:bookmarkStart w:id="14" w:name="Text18"/>
            <w:r>
              <w:rPr>
                <w:rFonts w:ascii="Helvetica" w:hAnsi="Helvetica"/>
                <w:sz w:val="16"/>
              </w:rPr>
              <w:instrText xml:space="preserve"> FORMTEXT </w:instrText>
            </w:r>
            <w:r w:rsidR="005F5306">
              <w:rPr>
                <w:rFonts w:ascii="Helvetica" w:hAnsi="Helvetica"/>
                <w:sz w:val="16"/>
              </w:rPr>
            </w:r>
            <w:r w:rsidR="005F5306">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sidR="005F5306">
              <w:rPr>
                <w:rFonts w:ascii="Helvetica" w:hAnsi="Helvetica"/>
                <w:sz w:val="16"/>
              </w:rPr>
              <w:fldChar w:fldCharType="end"/>
            </w:r>
            <w:bookmarkEnd w:id="14"/>
          </w:p>
          <w:p w14:paraId="411012F2" w14:textId="77777777" w:rsidR="00C53525" w:rsidRDefault="00C53525">
            <w:pPr>
              <w:tabs>
                <w:tab w:val="left" w:pos="240"/>
              </w:tabs>
              <w:rPr>
                <w:rFonts w:ascii="Helvetica" w:hAnsi="Helvetica"/>
                <w:sz w:val="16"/>
              </w:rPr>
            </w:pPr>
          </w:p>
        </w:tc>
      </w:tr>
      <w:tr w:rsidR="00C53525" w14:paraId="4662C681" w14:textId="77777777">
        <w:tc>
          <w:tcPr>
            <w:tcW w:w="4908" w:type="dxa"/>
            <w:tcBorders>
              <w:top w:val="single" w:sz="6" w:space="0" w:color="auto"/>
              <w:bottom w:val="single" w:sz="6" w:space="0" w:color="auto"/>
            </w:tcBorders>
          </w:tcPr>
          <w:p w14:paraId="24350B72" w14:textId="77777777" w:rsidR="00C53525" w:rsidRDefault="00C53525">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14:paraId="2204E5B7" w14:textId="77777777" w:rsidR="00C53525" w:rsidRDefault="00C53525">
            <w:pPr>
              <w:ind w:left="240"/>
              <w:rPr>
                <w:rFonts w:ascii="Helvetica" w:hAnsi="Helvetica"/>
                <w:sz w:val="16"/>
              </w:rPr>
            </w:pPr>
            <w:r>
              <w:rPr>
                <w:rFonts w:ascii="Helvetica" w:hAnsi="Helvetica"/>
                <w:sz w:val="16"/>
              </w:rPr>
              <w:t>Does this information collection employ statistical methods?</w:t>
            </w:r>
          </w:p>
          <w:p w14:paraId="30ED5408" w14:textId="77777777" w:rsidR="00C53525" w:rsidRDefault="005F5306">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C53525">
              <w:rPr>
                <w:rFonts w:ascii="Helvetica" w:hAnsi="Helvetica"/>
                <w:b/>
                <w:sz w:val="18"/>
              </w:rPr>
              <w:instrText xml:space="preserve"> FORMCHECKBOX </w:instrText>
            </w:r>
            <w:r w:rsidR="009609F7">
              <w:rPr>
                <w:rFonts w:ascii="Helvetica" w:hAnsi="Helvetica"/>
                <w:b/>
                <w:sz w:val="18"/>
              </w:rPr>
            </w:r>
            <w:r w:rsidR="009609F7">
              <w:rPr>
                <w:rFonts w:ascii="Helvetica" w:hAnsi="Helvetica"/>
                <w:b/>
                <w:sz w:val="18"/>
              </w:rPr>
              <w:fldChar w:fldCharType="separate"/>
            </w:r>
            <w:r>
              <w:rPr>
                <w:rFonts w:ascii="Helvetica" w:hAnsi="Helvetica"/>
                <w:b/>
                <w:sz w:val="18"/>
              </w:rPr>
              <w:fldChar w:fldCharType="end"/>
            </w:r>
            <w:r w:rsidR="00C53525">
              <w:rPr>
                <w:rFonts w:ascii="Helvetica" w:hAnsi="Helvetica"/>
                <w:sz w:val="18"/>
              </w:rPr>
              <w:t xml:space="preserve"> Yes    </w:t>
            </w:r>
            <w:r>
              <w:rPr>
                <w:rFonts w:ascii="Helvetica" w:hAnsi="Helvetica"/>
                <w:b/>
                <w:sz w:val="18"/>
              </w:rPr>
              <w:fldChar w:fldCharType="begin">
                <w:ffData>
                  <w:name w:val=""/>
                  <w:enabled/>
                  <w:calcOnExit w:val="0"/>
                  <w:checkBox>
                    <w:sizeAuto/>
                    <w:default w:val="1"/>
                  </w:checkBox>
                </w:ffData>
              </w:fldChar>
            </w:r>
            <w:r w:rsidR="00C53525">
              <w:rPr>
                <w:rFonts w:ascii="Helvetica" w:hAnsi="Helvetica"/>
                <w:b/>
                <w:sz w:val="18"/>
              </w:rPr>
              <w:instrText xml:space="preserve"> FORMCHECKBOX </w:instrText>
            </w:r>
            <w:r w:rsidR="009609F7">
              <w:rPr>
                <w:rFonts w:ascii="Helvetica" w:hAnsi="Helvetica"/>
                <w:b/>
                <w:sz w:val="18"/>
              </w:rPr>
            </w:r>
            <w:r w:rsidR="009609F7">
              <w:rPr>
                <w:rFonts w:ascii="Helvetica" w:hAnsi="Helvetica"/>
                <w:b/>
                <w:sz w:val="18"/>
              </w:rPr>
              <w:fldChar w:fldCharType="separate"/>
            </w:r>
            <w:r>
              <w:rPr>
                <w:rFonts w:ascii="Helvetica" w:hAnsi="Helvetica"/>
                <w:b/>
                <w:sz w:val="18"/>
              </w:rPr>
              <w:fldChar w:fldCharType="end"/>
            </w:r>
            <w:r w:rsidR="00C53525">
              <w:rPr>
                <w:rFonts w:ascii="Helvetica" w:hAnsi="Helvetica"/>
                <w:sz w:val="18"/>
              </w:rPr>
              <w:t xml:space="preserve"> No</w:t>
            </w:r>
          </w:p>
          <w:p w14:paraId="1BBD7360" w14:textId="77777777" w:rsidR="00C53525" w:rsidRDefault="00C53525">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14:paraId="4DFFF3C1" w14:textId="77777777" w:rsidR="00C53525" w:rsidRDefault="00C53525">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14:paraId="6F3710B2" w14:textId="130833F6" w:rsidR="00C53525" w:rsidRDefault="00C53525">
            <w:pPr>
              <w:tabs>
                <w:tab w:val="left" w:pos="240"/>
              </w:tabs>
              <w:ind w:left="132"/>
              <w:rPr>
                <w:rFonts w:ascii="Helvetica" w:hAnsi="Helvetica"/>
                <w:sz w:val="16"/>
              </w:rPr>
            </w:pPr>
            <w:r>
              <w:rPr>
                <w:rFonts w:ascii="Helvetica" w:hAnsi="Helvetica"/>
                <w:sz w:val="16"/>
              </w:rPr>
              <w:t xml:space="preserve">Name:  </w:t>
            </w:r>
            <w:r w:rsidR="00F057E9">
              <w:rPr>
                <w:rFonts w:ascii="Helvetica" w:hAnsi="Helvetica"/>
                <w:sz w:val="16"/>
              </w:rPr>
              <w:t>Gary Nemec</w:t>
            </w:r>
          </w:p>
          <w:p w14:paraId="2E8877D9" w14:textId="730DB8F8" w:rsidR="00C53525" w:rsidRDefault="00C53525">
            <w:pPr>
              <w:tabs>
                <w:tab w:val="left" w:pos="240"/>
              </w:tabs>
              <w:ind w:left="132"/>
              <w:rPr>
                <w:rFonts w:ascii="Helvetica" w:hAnsi="Helvetica"/>
                <w:sz w:val="16"/>
              </w:rPr>
            </w:pPr>
            <w:r>
              <w:rPr>
                <w:rFonts w:ascii="Helvetica" w:hAnsi="Helvetica"/>
                <w:sz w:val="16"/>
              </w:rPr>
              <w:t>Phone: (</w:t>
            </w:r>
            <w:r w:rsidR="005F6E8B">
              <w:rPr>
                <w:rFonts w:ascii="Helvetica" w:hAnsi="Helvetica"/>
                <w:sz w:val="16"/>
              </w:rPr>
              <w:t>202) 402-</w:t>
            </w:r>
            <w:r w:rsidR="00F057E9">
              <w:rPr>
                <w:rFonts w:ascii="Helvetica" w:hAnsi="Helvetica"/>
                <w:sz w:val="16"/>
              </w:rPr>
              <w:t>2988</w:t>
            </w:r>
          </w:p>
          <w:p w14:paraId="446A8AFC" w14:textId="77777777" w:rsidR="00C53525" w:rsidRDefault="00C53525">
            <w:pPr>
              <w:tabs>
                <w:tab w:val="left" w:pos="240"/>
              </w:tabs>
              <w:rPr>
                <w:rFonts w:ascii="Helvetica" w:hAnsi="Helvetica"/>
                <w:sz w:val="16"/>
              </w:rPr>
            </w:pPr>
          </w:p>
        </w:tc>
      </w:tr>
    </w:tbl>
    <w:p w14:paraId="56661E5A" w14:textId="77777777" w:rsidR="00C53525" w:rsidRDefault="00C53525">
      <w:pPr>
        <w:tabs>
          <w:tab w:val="left" w:pos="240"/>
        </w:tabs>
        <w:rPr>
          <w:rFonts w:ascii="Helvetica" w:hAnsi="Helvetica"/>
          <w:sz w:val="16"/>
        </w:rPr>
      </w:pPr>
    </w:p>
    <w:p w14:paraId="26A73438" w14:textId="77777777" w:rsidR="00C53525" w:rsidRDefault="00C53525">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14:paraId="778B13CB" w14:textId="77777777" w:rsidR="00C53525" w:rsidRDefault="00C53525">
      <w:pPr>
        <w:tabs>
          <w:tab w:val="left" w:pos="240"/>
        </w:tabs>
        <w:spacing w:line="280" w:lineRule="exact"/>
        <w:rPr>
          <w:sz w:val="22"/>
        </w:rPr>
      </w:pPr>
      <w:r>
        <w:rPr>
          <w:sz w:val="22"/>
        </w:rPr>
        <w:t>On behalf of this Federal Agency, I certify that the collection of information encompassed by this request complies with 5 CFR 1320.9.</w:t>
      </w:r>
    </w:p>
    <w:p w14:paraId="2D834F94" w14:textId="77777777" w:rsidR="00C53525" w:rsidRDefault="00C53525">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14:paraId="2190ABEC" w14:textId="77777777" w:rsidR="00C53525" w:rsidRDefault="00C53525">
      <w:pPr>
        <w:tabs>
          <w:tab w:val="left" w:pos="240"/>
        </w:tabs>
        <w:spacing w:line="280" w:lineRule="exact"/>
        <w:rPr>
          <w:sz w:val="22"/>
        </w:rPr>
      </w:pPr>
    </w:p>
    <w:p w14:paraId="46203754" w14:textId="77777777" w:rsidR="00C53525" w:rsidRDefault="00C53525">
      <w:pPr>
        <w:tabs>
          <w:tab w:val="left" w:pos="240"/>
        </w:tabs>
        <w:spacing w:line="280" w:lineRule="exact"/>
        <w:rPr>
          <w:sz w:val="22"/>
        </w:rPr>
      </w:pPr>
      <w:r>
        <w:rPr>
          <w:sz w:val="22"/>
        </w:rPr>
        <w:t>The following is a summary of the topics, regarding the propo</w:t>
      </w:r>
      <w:r w:rsidR="00561440">
        <w:rPr>
          <w:sz w:val="22"/>
        </w:rPr>
        <w:t xml:space="preserve">sed collections of information </w:t>
      </w:r>
      <w:r>
        <w:rPr>
          <w:sz w:val="22"/>
        </w:rPr>
        <w:t>that the certification covers:</w:t>
      </w:r>
    </w:p>
    <w:p w14:paraId="5CF76D00" w14:textId="77777777" w:rsidR="00C53525" w:rsidRDefault="00C53525">
      <w:pPr>
        <w:numPr>
          <w:ilvl w:val="0"/>
          <w:numId w:val="3"/>
        </w:numPr>
        <w:tabs>
          <w:tab w:val="left" w:pos="720"/>
        </w:tabs>
        <w:spacing w:line="280" w:lineRule="exact"/>
        <w:rPr>
          <w:sz w:val="22"/>
        </w:rPr>
      </w:pPr>
      <w:r>
        <w:rPr>
          <w:sz w:val="22"/>
        </w:rPr>
        <w:t>It is necessary for the proper performance of agency functions;</w:t>
      </w:r>
    </w:p>
    <w:p w14:paraId="1B1D90E3" w14:textId="77777777" w:rsidR="00C53525" w:rsidRDefault="00C53525">
      <w:pPr>
        <w:numPr>
          <w:ilvl w:val="0"/>
          <w:numId w:val="3"/>
        </w:numPr>
        <w:tabs>
          <w:tab w:val="left" w:pos="720"/>
        </w:tabs>
        <w:spacing w:line="280" w:lineRule="exact"/>
        <w:rPr>
          <w:sz w:val="22"/>
        </w:rPr>
      </w:pPr>
      <w:r>
        <w:rPr>
          <w:sz w:val="22"/>
        </w:rPr>
        <w:t>It avoids unnecessary duplication;</w:t>
      </w:r>
    </w:p>
    <w:p w14:paraId="584C1FEB" w14:textId="77777777" w:rsidR="00C53525" w:rsidRDefault="00C53525">
      <w:pPr>
        <w:numPr>
          <w:ilvl w:val="0"/>
          <w:numId w:val="3"/>
        </w:numPr>
        <w:tabs>
          <w:tab w:val="left" w:pos="720"/>
        </w:tabs>
        <w:spacing w:line="280" w:lineRule="exact"/>
        <w:rPr>
          <w:sz w:val="22"/>
        </w:rPr>
      </w:pPr>
      <w:r>
        <w:rPr>
          <w:sz w:val="22"/>
        </w:rPr>
        <w:t>It reduces burden on small entities;</w:t>
      </w:r>
    </w:p>
    <w:p w14:paraId="7B7150D6" w14:textId="77777777" w:rsidR="00C53525" w:rsidRDefault="00C53525">
      <w:pPr>
        <w:numPr>
          <w:ilvl w:val="0"/>
          <w:numId w:val="3"/>
        </w:numPr>
        <w:tabs>
          <w:tab w:val="left" w:pos="720"/>
        </w:tabs>
        <w:spacing w:line="280" w:lineRule="exact"/>
        <w:rPr>
          <w:sz w:val="22"/>
        </w:rPr>
      </w:pPr>
      <w:r>
        <w:rPr>
          <w:sz w:val="22"/>
        </w:rPr>
        <w:t>It uses plain, coherent, and unambiguous terminology that is understandable to respondents;</w:t>
      </w:r>
    </w:p>
    <w:p w14:paraId="4537131C" w14:textId="77777777" w:rsidR="00C53525" w:rsidRDefault="00C53525">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14:paraId="6CE4EC44" w14:textId="77777777" w:rsidR="00C53525" w:rsidRDefault="00C53525">
      <w:pPr>
        <w:numPr>
          <w:ilvl w:val="0"/>
          <w:numId w:val="3"/>
        </w:numPr>
        <w:tabs>
          <w:tab w:val="left" w:pos="720"/>
        </w:tabs>
        <w:spacing w:line="280" w:lineRule="exact"/>
        <w:rPr>
          <w:sz w:val="22"/>
        </w:rPr>
      </w:pPr>
      <w:r>
        <w:rPr>
          <w:sz w:val="22"/>
        </w:rPr>
        <w:t>It indicates the retention periods for recordkeeping requirements;</w:t>
      </w:r>
    </w:p>
    <w:p w14:paraId="2548D767" w14:textId="77777777" w:rsidR="00C53525" w:rsidRDefault="00C53525">
      <w:pPr>
        <w:numPr>
          <w:ilvl w:val="0"/>
          <w:numId w:val="3"/>
        </w:numPr>
        <w:tabs>
          <w:tab w:val="left" w:pos="720"/>
        </w:tabs>
        <w:spacing w:line="280" w:lineRule="exact"/>
        <w:rPr>
          <w:sz w:val="22"/>
        </w:rPr>
      </w:pPr>
      <w:r>
        <w:rPr>
          <w:sz w:val="22"/>
        </w:rPr>
        <w:t>It informs respondents of the information called for under 5 CFR 1320.8(b)(3):</w:t>
      </w:r>
    </w:p>
    <w:p w14:paraId="767C5711" w14:textId="77777777" w:rsidR="00C53525" w:rsidRDefault="00C53525">
      <w:pPr>
        <w:numPr>
          <w:ilvl w:val="0"/>
          <w:numId w:val="4"/>
        </w:numPr>
        <w:tabs>
          <w:tab w:val="left" w:pos="720"/>
        </w:tabs>
        <w:spacing w:line="280" w:lineRule="exact"/>
        <w:rPr>
          <w:sz w:val="22"/>
        </w:rPr>
      </w:pPr>
      <w:r>
        <w:rPr>
          <w:sz w:val="22"/>
        </w:rPr>
        <w:t>Why the information is being collected;</w:t>
      </w:r>
    </w:p>
    <w:p w14:paraId="1B25206A" w14:textId="77777777" w:rsidR="00C53525" w:rsidRDefault="00C53525">
      <w:pPr>
        <w:numPr>
          <w:ilvl w:val="0"/>
          <w:numId w:val="4"/>
        </w:numPr>
        <w:tabs>
          <w:tab w:val="left" w:pos="720"/>
        </w:tabs>
        <w:spacing w:line="280" w:lineRule="exact"/>
        <w:rPr>
          <w:sz w:val="22"/>
        </w:rPr>
      </w:pPr>
      <w:r>
        <w:rPr>
          <w:sz w:val="22"/>
        </w:rPr>
        <w:t>Use of the information;</w:t>
      </w:r>
    </w:p>
    <w:p w14:paraId="7A593216" w14:textId="77777777" w:rsidR="00C53525" w:rsidRDefault="00C53525">
      <w:pPr>
        <w:numPr>
          <w:ilvl w:val="0"/>
          <w:numId w:val="4"/>
        </w:numPr>
        <w:tabs>
          <w:tab w:val="left" w:pos="720"/>
        </w:tabs>
        <w:spacing w:line="280" w:lineRule="exact"/>
        <w:rPr>
          <w:sz w:val="22"/>
        </w:rPr>
      </w:pPr>
      <w:r>
        <w:rPr>
          <w:sz w:val="22"/>
        </w:rPr>
        <w:t>burden estimate;</w:t>
      </w:r>
    </w:p>
    <w:p w14:paraId="4AE35CF1" w14:textId="77777777" w:rsidR="00C53525" w:rsidRDefault="00C53525">
      <w:pPr>
        <w:numPr>
          <w:ilvl w:val="0"/>
          <w:numId w:val="4"/>
        </w:numPr>
        <w:tabs>
          <w:tab w:val="left" w:pos="720"/>
        </w:tabs>
        <w:spacing w:line="280" w:lineRule="exact"/>
        <w:rPr>
          <w:sz w:val="22"/>
        </w:rPr>
      </w:pPr>
      <w:r>
        <w:rPr>
          <w:sz w:val="22"/>
        </w:rPr>
        <w:t>Nature of response (voluntary, required for a benefit, or mandatory);</w:t>
      </w:r>
    </w:p>
    <w:p w14:paraId="0F717992" w14:textId="77777777" w:rsidR="00C53525" w:rsidRDefault="00C53525">
      <w:pPr>
        <w:numPr>
          <w:ilvl w:val="0"/>
          <w:numId w:val="4"/>
        </w:numPr>
        <w:tabs>
          <w:tab w:val="left" w:pos="720"/>
        </w:tabs>
        <w:spacing w:line="280" w:lineRule="exact"/>
        <w:rPr>
          <w:sz w:val="22"/>
        </w:rPr>
      </w:pPr>
      <w:r>
        <w:rPr>
          <w:sz w:val="22"/>
        </w:rPr>
        <w:t>Nature and extent of confidentiality; and</w:t>
      </w:r>
    </w:p>
    <w:p w14:paraId="0F519EB9" w14:textId="77777777" w:rsidR="00C53525" w:rsidRDefault="00C53525">
      <w:pPr>
        <w:numPr>
          <w:ilvl w:val="0"/>
          <w:numId w:val="4"/>
        </w:numPr>
        <w:tabs>
          <w:tab w:val="left" w:pos="720"/>
        </w:tabs>
        <w:spacing w:line="280" w:lineRule="exact"/>
        <w:rPr>
          <w:sz w:val="22"/>
        </w:rPr>
      </w:pPr>
      <w:r>
        <w:rPr>
          <w:sz w:val="22"/>
        </w:rPr>
        <w:t>Need to display currently valid OMB control number;</w:t>
      </w:r>
    </w:p>
    <w:p w14:paraId="4942DA07" w14:textId="77777777" w:rsidR="00C53525" w:rsidRDefault="00C53525">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14:paraId="24B30893" w14:textId="77777777" w:rsidR="00C53525" w:rsidRDefault="00C53525">
      <w:pPr>
        <w:numPr>
          <w:ilvl w:val="0"/>
          <w:numId w:val="6"/>
        </w:numPr>
        <w:tabs>
          <w:tab w:val="left" w:pos="720"/>
        </w:tabs>
        <w:spacing w:line="280" w:lineRule="exact"/>
        <w:rPr>
          <w:sz w:val="22"/>
        </w:rPr>
      </w:pPr>
      <w:r>
        <w:rPr>
          <w:sz w:val="22"/>
        </w:rPr>
        <w:t>It uses effective and efficient statistical survey methodology; and</w:t>
      </w:r>
    </w:p>
    <w:p w14:paraId="035CB491" w14:textId="77777777" w:rsidR="00C53525" w:rsidRDefault="00C53525">
      <w:pPr>
        <w:numPr>
          <w:ilvl w:val="0"/>
          <w:numId w:val="6"/>
        </w:numPr>
        <w:tabs>
          <w:tab w:val="left" w:pos="720"/>
        </w:tabs>
        <w:spacing w:line="280" w:lineRule="exact"/>
        <w:rPr>
          <w:sz w:val="22"/>
        </w:rPr>
      </w:pPr>
      <w:r>
        <w:rPr>
          <w:sz w:val="22"/>
        </w:rPr>
        <w:t>It makes appropriate use of information technology.</w:t>
      </w:r>
    </w:p>
    <w:p w14:paraId="1687C4E4" w14:textId="77777777" w:rsidR="00C53525" w:rsidRDefault="00C53525">
      <w:pPr>
        <w:tabs>
          <w:tab w:val="left" w:pos="600"/>
        </w:tabs>
        <w:spacing w:line="280" w:lineRule="exact"/>
        <w:rPr>
          <w:sz w:val="22"/>
        </w:rPr>
      </w:pPr>
    </w:p>
    <w:p w14:paraId="71992ABA" w14:textId="77777777" w:rsidR="00C53525" w:rsidRDefault="00C53525">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14:paraId="1C0921DA" w14:textId="77777777" w:rsidR="00C53525" w:rsidRDefault="005F5306">
      <w:pPr>
        <w:tabs>
          <w:tab w:val="left" w:pos="240"/>
        </w:tabs>
        <w:ind w:left="240"/>
      </w:pPr>
      <w:r>
        <w:fldChar w:fldCharType="begin">
          <w:ffData>
            <w:name w:val="Text20"/>
            <w:enabled/>
            <w:calcOnExit w:val="0"/>
            <w:textInput/>
          </w:ffData>
        </w:fldChar>
      </w:r>
      <w:bookmarkStart w:id="15" w:name="Text20"/>
      <w:r w:rsidR="00C53525">
        <w:instrText xml:space="preserve"> FORMTEXT </w:instrText>
      </w:r>
      <w:r>
        <w:fldChar w:fldCharType="separate"/>
      </w:r>
      <w:r w:rsidR="00C53525">
        <w:rPr>
          <w:noProof/>
        </w:rPr>
        <w:t> </w:t>
      </w:r>
      <w:r w:rsidR="00C53525">
        <w:rPr>
          <w:noProof/>
        </w:rPr>
        <w:t> </w:t>
      </w:r>
      <w:r w:rsidR="00C53525">
        <w:rPr>
          <w:noProof/>
        </w:rPr>
        <w:t> </w:t>
      </w:r>
      <w:r w:rsidR="00C53525">
        <w:rPr>
          <w:noProof/>
        </w:rPr>
        <w:t> </w:t>
      </w:r>
      <w:r w:rsidR="00C53525">
        <w:rPr>
          <w:noProof/>
        </w:rPr>
        <w:t> </w:t>
      </w:r>
      <w:r>
        <w:fldChar w:fldCharType="end"/>
      </w:r>
      <w:bookmarkEnd w:id="15"/>
    </w:p>
    <w:p w14:paraId="25645A79" w14:textId="77777777" w:rsidR="00C53525" w:rsidRDefault="00C53525">
      <w:pPr>
        <w:tabs>
          <w:tab w:val="left" w:pos="240"/>
        </w:tabs>
      </w:pPr>
    </w:p>
    <w:tbl>
      <w:tblPr>
        <w:tblW w:w="0" w:type="auto"/>
        <w:tblLayout w:type="fixed"/>
        <w:tblLook w:val="0000" w:firstRow="0" w:lastRow="0" w:firstColumn="0" w:lastColumn="0" w:noHBand="0" w:noVBand="0"/>
      </w:tblPr>
      <w:tblGrid>
        <w:gridCol w:w="8388"/>
        <w:gridCol w:w="2628"/>
      </w:tblGrid>
      <w:tr w:rsidR="00C53525" w14:paraId="4634700E" w14:textId="77777777">
        <w:tc>
          <w:tcPr>
            <w:tcW w:w="8388" w:type="dxa"/>
            <w:tcBorders>
              <w:top w:val="single" w:sz="6" w:space="0" w:color="auto"/>
            </w:tcBorders>
          </w:tcPr>
          <w:p w14:paraId="15EFA93A" w14:textId="77777777" w:rsidR="00C53525" w:rsidRDefault="00C53525">
            <w:pPr>
              <w:tabs>
                <w:tab w:val="left" w:pos="240"/>
              </w:tabs>
              <w:ind w:left="-120"/>
              <w:rPr>
                <w:rFonts w:ascii="Helvetica" w:hAnsi="Helvetica"/>
                <w:sz w:val="16"/>
              </w:rPr>
            </w:pPr>
            <w:r>
              <w:rPr>
                <w:rFonts w:ascii="Helvetica" w:hAnsi="Helvetica"/>
                <w:sz w:val="16"/>
              </w:rPr>
              <w:t>Signature of Program Official:</w:t>
            </w:r>
          </w:p>
          <w:p w14:paraId="263BE4AC" w14:textId="77777777" w:rsidR="00C53525" w:rsidRDefault="00C53525">
            <w:pPr>
              <w:tabs>
                <w:tab w:val="left" w:pos="240"/>
              </w:tabs>
              <w:rPr>
                <w:rFonts w:ascii="Helvetica" w:hAnsi="Helvetica"/>
                <w:sz w:val="16"/>
              </w:rPr>
            </w:pPr>
          </w:p>
          <w:p w14:paraId="62C062B7" w14:textId="77777777" w:rsidR="00C53525" w:rsidRDefault="00C53525">
            <w:pPr>
              <w:tabs>
                <w:tab w:val="left" w:pos="240"/>
              </w:tabs>
              <w:rPr>
                <w:rFonts w:ascii="Helvetica" w:hAnsi="Helvetica"/>
                <w:sz w:val="16"/>
              </w:rPr>
            </w:pPr>
          </w:p>
          <w:p w14:paraId="0997E438" w14:textId="77777777" w:rsidR="00C53525" w:rsidRDefault="00C53525">
            <w:pPr>
              <w:tabs>
                <w:tab w:val="left" w:pos="240"/>
              </w:tabs>
              <w:rPr>
                <w:rFonts w:ascii="Helvetica" w:hAnsi="Helvetica"/>
                <w:sz w:val="16"/>
              </w:rPr>
            </w:pPr>
            <w:r>
              <w:rPr>
                <w:rFonts w:ascii="Helvetica" w:hAnsi="Helvetica"/>
                <w:sz w:val="16"/>
              </w:rPr>
              <w:t>X</w:t>
            </w:r>
          </w:p>
          <w:p w14:paraId="231AF4BD" w14:textId="78C098E8" w:rsidR="00E726D9" w:rsidRDefault="004A636D">
            <w:pPr>
              <w:tabs>
                <w:tab w:val="left" w:pos="240"/>
              </w:tabs>
              <w:rPr>
                <w:rFonts w:ascii="Helvetica" w:hAnsi="Helvetica"/>
                <w:sz w:val="16"/>
              </w:rPr>
            </w:pPr>
            <w:r>
              <w:rPr>
                <w:rFonts w:ascii="Helvetica" w:hAnsi="Helvetica"/>
                <w:sz w:val="16"/>
              </w:rPr>
              <w:t>Heidi Frechette</w:t>
            </w:r>
            <w:r w:rsidR="00441F7F">
              <w:rPr>
                <w:rFonts w:ascii="Helvetica" w:hAnsi="Helvetica"/>
                <w:sz w:val="16"/>
              </w:rPr>
              <w:t xml:space="preserve">, </w:t>
            </w:r>
            <w:r w:rsidR="00E726D9">
              <w:rPr>
                <w:rFonts w:ascii="Helvetica" w:hAnsi="Helvetica"/>
                <w:sz w:val="16"/>
              </w:rPr>
              <w:t>Deputy Assistant Secretary</w:t>
            </w:r>
          </w:p>
          <w:p w14:paraId="5C2BB992" w14:textId="77777777" w:rsidR="00441F7F" w:rsidRDefault="00441F7F">
            <w:pPr>
              <w:tabs>
                <w:tab w:val="left" w:pos="240"/>
              </w:tabs>
              <w:rPr>
                <w:rFonts w:ascii="Helvetica" w:hAnsi="Helvetica"/>
                <w:sz w:val="16"/>
              </w:rPr>
            </w:pPr>
            <w:r>
              <w:rPr>
                <w:rFonts w:ascii="Helvetica" w:hAnsi="Helvetica"/>
                <w:sz w:val="16"/>
              </w:rPr>
              <w:t>Office of Native American Program (ONAP)</w:t>
            </w:r>
          </w:p>
          <w:p w14:paraId="147AF7C0" w14:textId="77777777" w:rsidR="00C53525" w:rsidRDefault="00C53525">
            <w:pPr>
              <w:tabs>
                <w:tab w:val="left" w:pos="240"/>
              </w:tabs>
              <w:rPr>
                <w:rFonts w:ascii="Helvetica" w:hAnsi="Helvetica"/>
                <w:sz w:val="16"/>
              </w:rPr>
            </w:pPr>
          </w:p>
        </w:tc>
        <w:tc>
          <w:tcPr>
            <w:tcW w:w="2628" w:type="dxa"/>
            <w:tcBorders>
              <w:top w:val="single" w:sz="6" w:space="0" w:color="auto"/>
              <w:left w:val="single" w:sz="6" w:space="0" w:color="auto"/>
              <w:bottom w:val="single" w:sz="6" w:space="0" w:color="auto"/>
            </w:tcBorders>
          </w:tcPr>
          <w:p w14:paraId="4C7F2ED5" w14:textId="77777777" w:rsidR="00C53525" w:rsidRDefault="00C53525">
            <w:pPr>
              <w:tabs>
                <w:tab w:val="left" w:pos="240"/>
              </w:tabs>
              <w:rPr>
                <w:rFonts w:ascii="Helvetica" w:hAnsi="Helvetica"/>
                <w:sz w:val="16"/>
              </w:rPr>
            </w:pPr>
            <w:r>
              <w:rPr>
                <w:rFonts w:ascii="Helvetica" w:hAnsi="Helvetica"/>
                <w:sz w:val="16"/>
              </w:rPr>
              <w:t>Date:</w:t>
            </w:r>
          </w:p>
        </w:tc>
      </w:tr>
      <w:tr w:rsidR="00C53525" w14:paraId="4248CD10" w14:textId="77777777">
        <w:tc>
          <w:tcPr>
            <w:tcW w:w="8388" w:type="dxa"/>
            <w:tcBorders>
              <w:top w:val="single" w:sz="6" w:space="0" w:color="auto"/>
              <w:bottom w:val="single" w:sz="6" w:space="0" w:color="auto"/>
            </w:tcBorders>
          </w:tcPr>
          <w:p w14:paraId="64BB9849" w14:textId="77777777" w:rsidR="00C53525" w:rsidRDefault="00C53525">
            <w:pPr>
              <w:tabs>
                <w:tab w:val="left" w:pos="240"/>
              </w:tabs>
              <w:ind w:left="-120"/>
              <w:rPr>
                <w:rFonts w:ascii="Helvetica" w:hAnsi="Helvetica"/>
                <w:sz w:val="16"/>
              </w:rPr>
            </w:pPr>
            <w:r>
              <w:rPr>
                <w:rFonts w:ascii="Helvetica" w:hAnsi="Helvetica"/>
                <w:sz w:val="16"/>
              </w:rPr>
              <w:t>Signature of Senior Officer or Designee:</w:t>
            </w:r>
          </w:p>
          <w:p w14:paraId="0BCE0223" w14:textId="77777777" w:rsidR="00C53525" w:rsidRDefault="00C53525">
            <w:pPr>
              <w:tabs>
                <w:tab w:val="left" w:pos="240"/>
              </w:tabs>
              <w:rPr>
                <w:rFonts w:ascii="Helvetica" w:hAnsi="Helvetica"/>
                <w:sz w:val="16"/>
              </w:rPr>
            </w:pPr>
          </w:p>
          <w:p w14:paraId="7934B57B" w14:textId="77777777" w:rsidR="00C53525" w:rsidRDefault="00C53525">
            <w:pPr>
              <w:tabs>
                <w:tab w:val="left" w:pos="240"/>
              </w:tabs>
              <w:rPr>
                <w:rFonts w:ascii="Helvetica" w:hAnsi="Helvetica"/>
                <w:sz w:val="16"/>
              </w:rPr>
            </w:pPr>
          </w:p>
          <w:p w14:paraId="7623156F" w14:textId="77777777" w:rsidR="00C53525" w:rsidRDefault="00C53525">
            <w:pPr>
              <w:tabs>
                <w:tab w:val="left" w:pos="240"/>
              </w:tabs>
              <w:rPr>
                <w:rFonts w:ascii="Helvetica" w:hAnsi="Helvetica"/>
                <w:sz w:val="16"/>
              </w:rPr>
            </w:pPr>
            <w:r>
              <w:rPr>
                <w:rFonts w:ascii="Helvetica" w:hAnsi="Helvetica"/>
                <w:sz w:val="16"/>
              </w:rPr>
              <w:t>X</w:t>
            </w:r>
          </w:p>
          <w:p w14:paraId="3AFA36F0" w14:textId="77777777" w:rsidR="00C53525" w:rsidRDefault="00441F7F">
            <w:pPr>
              <w:tabs>
                <w:tab w:val="left" w:pos="240"/>
              </w:tabs>
              <w:rPr>
                <w:rFonts w:ascii="Helvetica" w:hAnsi="Helvetica"/>
                <w:sz w:val="16"/>
              </w:rPr>
            </w:pPr>
            <w:r>
              <w:rPr>
                <w:rFonts w:ascii="Helvetica" w:hAnsi="Helvetica"/>
                <w:sz w:val="16"/>
              </w:rPr>
              <w:t>Colette Pollard, Departmental Reports Management Officer</w:t>
            </w:r>
          </w:p>
          <w:p w14:paraId="2C1A7985" w14:textId="77777777" w:rsidR="00441F7F" w:rsidRDefault="00441F7F">
            <w:pPr>
              <w:tabs>
                <w:tab w:val="left" w:pos="240"/>
              </w:tabs>
              <w:rPr>
                <w:rFonts w:ascii="Helvetica" w:hAnsi="Helvetica"/>
                <w:sz w:val="16"/>
              </w:rPr>
            </w:pPr>
            <w:r>
              <w:rPr>
                <w:rFonts w:ascii="Helvetica" w:hAnsi="Helvetica"/>
                <w:sz w:val="16"/>
              </w:rPr>
              <w:t>Office of Chief Information Officer</w:t>
            </w:r>
          </w:p>
        </w:tc>
        <w:tc>
          <w:tcPr>
            <w:tcW w:w="2628" w:type="dxa"/>
            <w:tcBorders>
              <w:left w:val="single" w:sz="6" w:space="0" w:color="auto"/>
              <w:bottom w:val="single" w:sz="6" w:space="0" w:color="auto"/>
            </w:tcBorders>
          </w:tcPr>
          <w:p w14:paraId="0EB49F1D" w14:textId="77777777" w:rsidR="00C53525" w:rsidRDefault="00C53525">
            <w:pPr>
              <w:tabs>
                <w:tab w:val="left" w:pos="240"/>
              </w:tabs>
              <w:rPr>
                <w:rFonts w:ascii="Helvetica" w:hAnsi="Helvetica"/>
                <w:sz w:val="16"/>
              </w:rPr>
            </w:pPr>
            <w:r>
              <w:rPr>
                <w:rFonts w:ascii="Helvetica" w:hAnsi="Helvetica"/>
                <w:sz w:val="16"/>
              </w:rPr>
              <w:t>Date:</w:t>
            </w:r>
          </w:p>
        </w:tc>
      </w:tr>
    </w:tbl>
    <w:p w14:paraId="7DEFBB1F" w14:textId="77777777"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14:paraId="70EA8C12" w14:textId="77777777"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14:paraId="710C7976" w14:textId="77777777" w:rsidR="00CA05B7" w:rsidRPr="00323CD4" w:rsidRDefault="00CA05B7" w:rsidP="00CA05B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323CD4">
        <w:rPr>
          <w:b/>
          <w:sz w:val="24"/>
          <w:szCs w:val="24"/>
        </w:rPr>
        <w:t xml:space="preserve">A. </w:t>
      </w:r>
      <w:r w:rsidRPr="00323CD4">
        <w:rPr>
          <w:b/>
          <w:sz w:val="24"/>
          <w:szCs w:val="24"/>
        </w:rPr>
        <w:tab/>
        <w:t>Justification</w:t>
      </w:r>
    </w:p>
    <w:p w14:paraId="069C8581" w14:textId="77777777" w:rsidR="00CA05B7" w:rsidRPr="009C3914" w:rsidRDefault="00CA05B7" w:rsidP="00CA0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14:paraId="3DBA4D0D" w14:textId="77777777" w:rsidR="00CA05B7" w:rsidRPr="00323CD4" w:rsidRDefault="00CA05B7" w:rsidP="00CA05B7">
      <w:pPr>
        <w:tabs>
          <w:tab w:val="left" w:pos="360"/>
        </w:tabs>
        <w:ind w:left="360" w:hanging="360"/>
        <w:rPr>
          <w:b/>
          <w:sz w:val="18"/>
        </w:rPr>
      </w:pPr>
      <w:r w:rsidRPr="009C3914">
        <w:rPr>
          <w:sz w:val="24"/>
          <w:szCs w:val="24"/>
        </w:rPr>
        <w:t>1.</w:t>
      </w:r>
      <w:r w:rsidRPr="009C3914">
        <w:rPr>
          <w:sz w:val="24"/>
          <w:szCs w:val="24"/>
        </w:rPr>
        <w:tab/>
      </w:r>
      <w:r w:rsidRPr="00323CD4">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323CD4">
        <w:rPr>
          <w:b/>
          <w:sz w:val="18"/>
        </w:rPr>
        <w:t>.</w:t>
      </w:r>
    </w:p>
    <w:p w14:paraId="2F2AC57D" w14:textId="77777777" w:rsidR="005F6E8B" w:rsidRDefault="005F6E8B" w:rsidP="005F6E8B">
      <w:pPr>
        <w:rPr>
          <w:color w:val="000000"/>
          <w:sz w:val="24"/>
          <w:szCs w:val="24"/>
        </w:rPr>
      </w:pPr>
    </w:p>
    <w:p w14:paraId="16E7171E" w14:textId="7E6A55F6" w:rsidR="00C2769F" w:rsidRDefault="00C2769F" w:rsidP="0035440C">
      <w:pPr>
        <w:rPr>
          <w:color w:val="000000"/>
          <w:sz w:val="24"/>
          <w:szCs w:val="24"/>
        </w:rPr>
      </w:pPr>
      <w:bookmarkStart w:id="16" w:name="_Hlk1719755"/>
      <w:r>
        <w:rPr>
          <w:color w:val="000000"/>
          <w:sz w:val="24"/>
          <w:szCs w:val="24"/>
        </w:rPr>
        <w:t xml:space="preserve">The forms included in this collection are associated with </w:t>
      </w:r>
      <w:r w:rsidR="004B79F1">
        <w:rPr>
          <w:color w:val="000000"/>
          <w:sz w:val="24"/>
          <w:szCs w:val="24"/>
        </w:rPr>
        <w:t>the Indian Housing Block Grant (IHBG)</w:t>
      </w:r>
      <w:r w:rsidR="00075FEE">
        <w:rPr>
          <w:color w:val="000000"/>
          <w:sz w:val="24"/>
          <w:szCs w:val="24"/>
        </w:rPr>
        <w:t xml:space="preserve"> program</w:t>
      </w:r>
      <w:r w:rsidR="004B79F1">
        <w:rPr>
          <w:color w:val="000000"/>
          <w:sz w:val="24"/>
          <w:szCs w:val="24"/>
        </w:rPr>
        <w:t>, a</w:t>
      </w:r>
      <w:r>
        <w:rPr>
          <w:color w:val="000000"/>
          <w:sz w:val="24"/>
          <w:szCs w:val="24"/>
        </w:rPr>
        <w:t xml:space="preserve">s authorized under </w:t>
      </w:r>
      <w:r w:rsidR="006C61B9">
        <w:rPr>
          <w:color w:val="000000"/>
          <w:sz w:val="24"/>
          <w:szCs w:val="24"/>
        </w:rPr>
        <w:t xml:space="preserve">Title I of </w:t>
      </w:r>
      <w:r>
        <w:rPr>
          <w:color w:val="000000"/>
          <w:sz w:val="24"/>
          <w:szCs w:val="24"/>
        </w:rPr>
        <w:t>the</w:t>
      </w:r>
      <w:r w:rsidR="005F6E8B" w:rsidRPr="00F42B53">
        <w:rPr>
          <w:color w:val="000000"/>
          <w:sz w:val="24"/>
          <w:szCs w:val="24"/>
        </w:rPr>
        <w:t xml:space="preserve"> Native American Housing Assistance </w:t>
      </w:r>
      <w:r w:rsidR="00561440">
        <w:rPr>
          <w:color w:val="000000"/>
          <w:sz w:val="24"/>
          <w:szCs w:val="24"/>
        </w:rPr>
        <w:t xml:space="preserve">and </w:t>
      </w:r>
      <w:r w:rsidR="005F6E8B" w:rsidRPr="00F42B53">
        <w:rPr>
          <w:color w:val="000000"/>
          <w:sz w:val="24"/>
          <w:szCs w:val="24"/>
        </w:rPr>
        <w:t xml:space="preserve">Self-Determination </w:t>
      </w:r>
      <w:r w:rsidR="00D54B1C">
        <w:rPr>
          <w:color w:val="000000"/>
          <w:sz w:val="24"/>
          <w:szCs w:val="24"/>
        </w:rPr>
        <w:t>Reauthorization Act</w:t>
      </w:r>
      <w:r w:rsidR="005F6E8B" w:rsidRPr="00F42B53">
        <w:rPr>
          <w:color w:val="000000"/>
          <w:sz w:val="24"/>
          <w:szCs w:val="24"/>
        </w:rPr>
        <w:t xml:space="preserve"> (NAHASDA)</w:t>
      </w:r>
      <w:r w:rsidR="00D04640">
        <w:rPr>
          <w:color w:val="000000"/>
          <w:sz w:val="24"/>
          <w:szCs w:val="24"/>
        </w:rPr>
        <w:t xml:space="preserve"> </w:t>
      </w:r>
      <w:r w:rsidR="00D04640" w:rsidRPr="00D04640">
        <w:rPr>
          <w:sz w:val="24"/>
          <w:szCs w:val="24"/>
        </w:rPr>
        <w:t>(25 U.S.C. 4</w:t>
      </w:r>
      <w:r w:rsidR="003940ED">
        <w:rPr>
          <w:sz w:val="24"/>
          <w:szCs w:val="24"/>
        </w:rPr>
        <w:t>101</w:t>
      </w:r>
      <w:r w:rsidR="00D04640" w:rsidRPr="00D04640">
        <w:rPr>
          <w:sz w:val="24"/>
          <w:szCs w:val="24"/>
        </w:rPr>
        <w:t>)</w:t>
      </w:r>
      <w:r>
        <w:rPr>
          <w:color w:val="000000"/>
          <w:sz w:val="24"/>
          <w:szCs w:val="24"/>
        </w:rPr>
        <w:t xml:space="preserve">.  </w:t>
      </w:r>
      <w:r w:rsidR="00075FEE">
        <w:rPr>
          <w:color w:val="000000"/>
          <w:sz w:val="24"/>
          <w:szCs w:val="24"/>
        </w:rPr>
        <w:t xml:space="preserve">The IHBG program </w:t>
      </w:r>
      <w:r w:rsidR="0072327C">
        <w:rPr>
          <w:color w:val="000000"/>
          <w:sz w:val="24"/>
          <w:szCs w:val="24"/>
        </w:rPr>
        <w:t>provides funding to eligible Native American tribes and tribal</w:t>
      </w:r>
      <w:r w:rsidR="00811CCC">
        <w:rPr>
          <w:color w:val="000000"/>
          <w:sz w:val="24"/>
          <w:szCs w:val="24"/>
        </w:rPr>
        <w:t>ly designated housing entities (TDHEs)</w:t>
      </w:r>
      <w:r w:rsidR="0072327C">
        <w:rPr>
          <w:color w:val="000000"/>
          <w:sz w:val="24"/>
          <w:szCs w:val="24"/>
        </w:rPr>
        <w:t xml:space="preserve"> in the form of f</w:t>
      </w:r>
      <w:r w:rsidR="00075FEE">
        <w:rPr>
          <w:color w:val="000000"/>
          <w:sz w:val="24"/>
          <w:szCs w:val="24"/>
        </w:rPr>
        <w:t>ormula</w:t>
      </w:r>
      <w:r w:rsidR="0072327C">
        <w:rPr>
          <w:color w:val="000000"/>
          <w:sz w:val="24"/>
          <w:szCs w:val="24"/>
        </w:rPr>
        <w:t>-based</w:t>
      </w:r>
      <w:r w:rsidR="00075FEE">
        <w:rPr>
          <w:color w:val="000000"/>
          <w:sz w:val="24"/>
          <w:szCs w:val="24"/>
        </w:rPr>
        <w:t xml:space="preserve"> </w:t>
      </w:r>
      <w:r w:rsidR="0072327C">
        <w:rPr>
          <w:color w:val="000000"/>
          <w:sz w:val="24"/>
          <w:szCs w:val="24"/>
        </w:rPr>
        <w:t>allocations</w:t>
      </w:r>
      <w:r w:rsidR="00075FEE">
        <w:rPr>
          <w:color w:val="000000"/>
          <w:sz w:val="24"/>
          <w:szCs w:val="24"/>
        </w:rPr>
        <w:t xml:space="preserve"> and competitive </w:t>
      </w:r>
      <w:r w:rsidR="0072327C">
        <w:rPr>
          <w:color w:val="000000"/>
          <w:sz w:val="24"/>
          <w:szCs w:val="24"/>
        </w:rPr>
        <w:t>awards</w:t>
      </w:r>
      <w:r w:rsidR="00075FEE">
        <w:rPr>
          <w:color w:val="000000"/>
          <w:sz w:val="24"/>
          <w:szCs w:val="24"/>
        </w:rPr>
        <w:t xml:space="preserve">. </w:t>
      </w:r>
    </w:p>
    <w:p w14:paraId="11F01A64" w14:textId="433122EE" w:rsidR="006C61B9" w:rsidRDefault="006C61B9" w:rsidP="0035440C">
      <w:pPr>
        <w:rPr>
          <w:color w:val="000000"/>
          <w:sz w:val="24"/>
          <w:szCs w:val="24"/>
        </w:rPr>
      </w:pPr>
    </w:p>
    <w:p w14:paraId="1846F5B1" w14:textId="23576E5F" w:rsidR="00075FEE" w:rsidRPr="00075FEE" w:rsidRDefault="00075FEE" w:rsidP="006C61B9">
      <w:pPr>
        <w:rPr>
          <w:b/>
          <w:sz w:val="24"/>
          <w:szCs w:val="24"/>
        </w:rPr>
      </w:pPr>
      <w:r w:rsidRPr="00075FEE">
        <w:rPr>
          <w:b/>
          <w:sz w:val="24"/>
          <w:szCs w:val="24"/>
        </w:rPr>
        <w:t>IHBG</w:t>
      </w:r>
      <w:r w:rsidR="0072327C">
        <w:rPr>
          <w:b/>
          <w:sz w:val="24"/>
          <w:szCs w:val="24"/>
        </w:rPr>
        <w:t xml:space="preserve"> Formula Allocations</w:t>
      </w:r>
    </w:p>
    <w:p w14:paraId="3ECE87AA" w14:textId="1C826B2E" w:rsidR="006C61B9" w:rsidRDefault="00A230D7" w:rsidP="006C61B9">
      <w:pPr>
        <w:rPr>
          <w:sz w:val="24"/>
          <w:szCs w:val="24"/>
        </w:rPr>
      </w:pPr>
      <w:r>
        <w:rPr>
          <w:sz w:val="24"/>
          <w:szCs w:val="24"/>
        </w:rPr>
        <w:t xml:space="preserve">NAHASDA authorizes </w:t>
      </w:r>
      <w:r w:rsidR="006C61B9" w:rsidRPr="006C61B9">
        <w:rPr>
          <w:sz w:val="24"/>
          <w:szCs w:val="24"/>
        </w:rPr>
        <w:t xml:space="preserve">HUD </w:t>
      </w:r>
      <w:r>
        <w:rPr>
          <w:sz w:val="24"/>
          <w:szCs w:val="24"/>
        </w:rPr>
        <w:t>to allocate</w:t>
      </w:r>
      <w:r w:rsidR="006C61B9" w:rsidRPr="006C61B9">
        <w:rPr>
          <w:sz w:val="24"/>
          <w:szCs w:val="24"/>
        </w:rPr>
        <w:t xml:space="preserve"> </w:t>
      </w:r>
      <w:r w:rsidR="006C61B9">
        <w:rPr>
          <w:sz w:val="24"/>
          <w:szCs w:val="24"/>
        </w:rPr>
        <w:t>IHBG funds</w:t>
      </w:r>
      <w:r w:rsidR="006C61B9" w:rsidRPr="006C61B9">
        <w:rPr>
          <w:sz w:val="24"/>
          <w:szCs w:val="24"/>
        </w:rPr>
        <w:t xml:space="preserve"> by formula annually</w:t>
      </w:r>
      <w:r w:rsidR="00811CCC">
        <w:rPr>
          <w:sz w:val="24"/>
          <w:szCs w:val="24"/>
        </w:rPr>
        <w:t>.  R</w:t>
      </w:r>
      <w:r w:rsidR="006C61B9" w:rsidRPr="006C61B9">
        <w:rPr>
          <w:sz w:val="24"/>
          <w:szCs w:val="24"/>
        </w:rPr>
        <w:t xml:space="preserve">ecipients may use their IHBG funds to carry out a range of affordable housing activities that benefit low-income Indian families living on Indian reservations or in other Indian areas.  </w:t>
      </w:r>
      <w:r w:rsidR="00765C1C">
        <w:rPr>
          <w:sz w:val="24"/>
          <w:szCs w:val="24"/>
        </w:rPr>
        <w:t xml:space="preserve">HUD’s Fiscal Year 2018 Report to Congress states that there are </w:t>
      </w:r>
      <w:r w:rsidR="006C61B9" w:rsidRPr="006C61B9">
        <w:rPr>
          <w:sz w:val="24"/>
          <w:szCs w:val="24"/>
        </w:rPr>
        <w:t xml:space="preserve">approximately </w:t>
      </w:r>
      <w:r w:rsidR="00811CCC">
        <w:rPr>
          <w:sz w:val="24"/>
          <w:szCs w:val="24"/>
        </w:rPr>
        <w:t>5</w:t>
      </w:r>
      <w:r w:rsidR="006C61B9" w:rsidRPr="00765C1C">
        <w:rPr>
          <w:sz w:val="24"/>
          <w:szCs w:val="24"/>
        </w:rPr>
        <w:t>92</w:t>
      </w:r>
      <w:r w:rsidR="006C61B9" w:rsidRPr="006C61B9">
        <w:rPr>
          <w:sz w:val="24"/>
          <w:szCs w:val="24"/>
        </w:rPr>
        <w:t xml:space="preserve"> Indian tribes in 34 states</w:t>
      </w:r>
      <w:r w:rsidR="00765C1C">
        <w:rPr>
          <w:sz w:val="24"/>
          <w:szCs w:val="24"/>
        </w:rPr>
        <w:t xml:space="preserve"> that are</w:t>
      </w:r>
      <w:r w:rsidR="006C61B9" w:rsidRPr="006C61B9">
        <w:rPr>
          <w:sz w:val="24"/>
          <w:szCs w:val="24"/>
        </w:rPr>
        <w:t xml:space="preserve"> eligible to participate in the program.</w:t>
      </w:r>
    </w:p>
    <w:p w14:paraId="75DB403E" w14:textId="773C785E" w:rsidR="00A230D7" w:rsidRDefault="00A230D7" w:rsidP="006C61B9">
      <w:pPr>
        <w:rPr>
          <w:sz w:val="24"/>
          <w:szCs w:val="24"/>
        </w:rPr>
      </w:pPr>
    </w:p>
    <w:p w14:paraId="40313384" w14:textId="77777777" w:rsidR="00A230D7" w:rsidRPr="006C61B9" w:rsidRDefault="00A230D7" w:rsidP="00A230D7">
      <w:pPr>
        <w:rPr>
          <w:sz w:val="24"/>
          <w:szCs w:val="24"/>
        </w:rPr>
      </w:pPr>
      <w:r w:rsidRPr="006C61B9">
        <w:rPr>
          <w:sz w:val="24"/>
          <w:szCs w:val="24"/>
        </w:rPr>
        <w:t xml:space="preserve">To receive an IHBG, a recipient is required to submit an Indian Housing Plan (IHP) annually to the Office of Native American Programs (ONAP).  The IHP describes its planned affordable housing activities for its upcoming program year.  The IHP is due to ONAP at least 75 days before the recipient’s program year begins.  </w:t>
      </w:r>
    </w:p>
    <w:p w14:paraId="3A923335" w14:textId="77777777" w:rsidR="00A230D7" w:rsidRPr="006C61B9" w:rsidRDefault="00A230D7" w:rsidP="00A230D7">
      <w:pPr>
        <w:rPr>
          <w:sz w:val="24"/>
          <w:szCs w:val="24"/>
        </w:rPr>
      </w:pPr>
    </w:p>
    <w:p w14:paraId="65E29313" w14:textId="0FEC3B65" w:rsidR="00A230D7" w:rsidRDefault="00A230D7" w:rsidP="006C61B9">
      <w:pPr>
        <w:rPr>
          <w:sz w:val="24"/>
          <w:szCs w:val="24"/>
        </w:rPr>
      </w:pPr>
      <w:r w:rsidRPr="006C61B9">
        <w:rPr>
          <w:sz w:val="24"/>
          <w:szCs w:val="24"/>
        </w:rPr>
        <w:t xml:space="preserve">Recipients must also submit an Annual Performance Report (APR) to ONAP within 90 days of the end of their program year.  The APR details the actual activities and accomplishments of their IHBG-funded housing programs.  </w:t>
      </w:r>
    </w:p>
    <w:p w14:paraId="74AF3FEC" w14:textId="2BA0CC3C" w:rsidR="00DE3841" w:rsidRDefault="00DE3841" w:rsidP="006C61B9">
      <w:pPr>
        <w:rPr>
          <w:sz w:val="24"/>
          <w:szCs w:val="24"/>
        </w:rPr>
      </w:pPr>
    </w:p>
    <w:p w14:paraId="52C7E0E7" w14:textId="3A45024D" w:rsidR="00811CCC" w:rsidRPr="00811CCC" w:rsidRDefault="00811CCC" w:rsidP="006C61B9">
      <w:pPr>
        <w:rPr>
          <w:b/>
          <w:color w:val="000000"/>
          <w:sz w:val="24"/>
          <w:szCs w:val="24"/>
        </w:rPr>
      </w:pPr>
      <w:r w:rsidRPr="00075FEE">
        <w:rPr>
          <w:b/>
          <w:color w:val="000000"/>
          <w:sz w:val="24"/>
          <w:szCs w:val="24"/>
        </w:rPr>
        <w:t>IHBG Competitive</w:t>
      </w:r>
      <w:r>
        <w:rPr>
          <w:b/>
          <w:color w:val="000000"/>
          <w:sz w:val="24"/>
          <w:szCs w:val="24"/>
        </w:rPr>
        <w:t xml:space="preserve"> Awards</w:t>
      </w:r>
    </w:p>
    <w:p w14:paraId="3D665E39" w14:textId="6535CA43" w:rsidR="00DE3841" w:rsidRPr="00DE3841" w:rsidRDefault="00DE3841" w:rsidP="00DE3841">
      <w:pPr>
        <w:rPr>
          <w:sz w:val="24"/>
          <w:szCs w:val="24"/>
        </w:rPr>
      </w:pPr>
      <w:bookmarkStart w:id="17" w:name="_Hlk519578368"/>
      <w:r w:rsidRPr="00702146">
        <w:rPr>
          <w:color w:val="000000"/>
          <w:sz w:val="24"/>
          <w:szCs w:val="24"/>
        </w:rPr>
        <w:t>In Fiscal Year</w:t>
      </w:r>
      <w:r>
        <w:rPr>
          <w:color w:val="000000"/>
          <w:sz w:val="24"/>
          <w:szCs w:val="24"/>
        </w:rPr>
        <w:t>s</w:t>
      </w:r>
      <w:r w:rsidRPr="00702146">
        <w:rPr>
          <w:color w:val="000000"/>
          <w:sz w:val="24"/>
          <w:szCs w:val="24"/>
        </w:rPr>
        <w:t xml:space="preserve"> 2018</w:t>
      </w:r>
      <w:r>
        <w:rPr>
          <w:color w:val="000000"/>
          <w:sz w:val="24"/>
          <w:szCs w:val="24"/>
        </w:rPr>
        <w:t xml:space="preserve"> and 2019</w:t>
      </w:r>
      <w:r w:rsidRPr="00702146">
        <w:rPr>
          <w:color w:val="000000"/>
          <w:sz w:val="24"/>
          <w:szCs w:val="24"/>
        </w:rPr>
        <w:t xml:space="preserve">, Congress enacted </w:t>
      </w:r>
      <w:r w:rsidRPr="00702146">
        <w:rPr>
          <w:sz w:val="24"/>
          <w:szCs w:val="24"/>
        </w:rPr>
        <w:t>H.R. 1625- Consolidated Appropriations Act, 2018 (P.L. 115-141)</w:t>
      </w:r>
      <w:r>
        <w:rPr>
          <w:sz w:val="24"/>
          <w:szCs w:val="24"/>
        </w:rPr>
        <w:t xml:space="preserve"> </w:t>
      </w:r>
      <w:r w:rsidRPr="00702146">
        <w:rPr>
          <w:sz w:val="24"/>
          <w:szCs w:val="24"/>
        </w:rPr>
        <w:t xml:space="preserve">(Effective: 3/23/18) that </w:t>
      </w:r>
      <w:r w:rsidRPr="00702146">
        <w:rPr>
          <w:color w:val="000000"/>
          <w:sz w:val="24"/>
          <w:szCs w:val="24"/>
        </w:rPr>
        <w:t>appropriated $</w:t>
      </w:r>
      <w:r>
        <w:rPr>
          <w:color w:val="000000"/>
          <w:sz w:val="24"/>
          <w:szCs w:val="24"/>
        </w:rPr>
        <w:t>99,000,000 each fiscal year</w:t>
      </w:r>
      <w:r w:rsidRPr="00702146">
        <w:rPr>
          <w:color w:val="000000"/>
          <w:sz w:val="24"/>
          <w:szCs w:val="24"/>
        </w:rPr>
        <w:t xml:space="preserve"> for </w:t>
      </w:r>
      <w:r w:rsidR="00811CCC">
        <w:rPr>
          <w:color w:val="000000"/>
          <w:sz w:val="24"/>
          <w:szCs w:val="24"/>
        </w:rPr>
        <w:t xml:space="preserve">IHBGs awarded on a </w:t>
      </w:r>
      <w:r w:rsidRPr="00702146">
        <w:rPr>
          <w:color w:val="000000"/>
          <w:sz w:val="24"/>
          <w:szCs w:val="24"/>
        </w:rPr>
        <w:t xml:space="preserve">competitive </w:t>
      </w:r>
      <w:r w:rsidR="00811CCC">
        <w:rPr>
          <w:color w:val="000000"/>
          <w:sz w:val="24"/>
          <w:szCs w:val="24"/>
        </w:rPr>
        <w:t>basis</w:t>
      </w:r>
      <w:r w:rsidRPr="00702146">
        <w:rPr>
          <w:color w:val="000000"/>
          <w:sz w:val="24"/>
          <w:szCs w:val="24"/>
        </w:rPr>
        <w:t xml:space="preserve">.  </w:t>
      </w:r>
      <w:r w:rsidRPr="00A529BC">
        <w:rPr>
          <w:color w:val="000000"/>
          <w:sz w:val="24"/>
          <w:szCs w:val="24"/>
        </w:rPr>
        <w:t xml:space="preserve">The </w:t>
      </w:r>
      <w:r>
        <w:rPr>
          <w:color w:val="000000"/>
          <w:sz w:val="24"/>
          <w:szCs w:val="24"/>
        </w:rPr>
        <w:t>IHBG Competitive</w:t>
      </w:r>
      <w:r w:rsidRPr="00A529BC">
        <w:rPr>
          <w:color w:val="000000"/>
          <w:sz w:val="24"/>
          <w:szCs w:val="24"/>
        </w:rPr>
        <w:t xml:space="preserve"> </w:t>
      </w:r>
      <w:r>
        <w:rPr>
          <w:color w:val="000000"/>
          <w:sz w:val="24"/>
          <w:szCs w:val="24"/>
        </w:rPr>
        <w:t xml:space="preserve">program </w:t>
      </w:r>
      <w:r w:rsidRPr="00A529BC">
        <w:rPr>
          <w:color w:val="000000"/>
          <w:sz w:val="24"/>
          <w:szCs w:val="24"/>
        </w:rPr>
        <w:t xml:space="preserve">will give priority to projects that will spur construction and rehabilitation from NAHASDA-eligible recipients while considering need and administrative capacity. Additionally, applicants may apply for other eligible activities under Section 202 of NAHASDA. </w:t>
      </w:r>
      <w:r>
        <w:rPr>
          <w:color w:val="000000"/>
          <w:sz w:val="24"/>
          <w:szCs w:val="24"/>
        </w:rPr>
        <w:t xml:space="preserve"> </w:t>
      </w:r>
    </w:p>
    <w:p w14:paraId="1B3973EC" w14:textId="77777777" w:rsidR="00DE3841" w:rsidRDefault="00DE3841" w:rsidP="00DE3841">
      <w:pPr>
        <w:rPr>
          <w:color w:val="000000"/>
          <w:sz w:val="24"/>
          <w:szCs w:val="24"/>
        </w:rPr>
      </w:pPr>
    </w:p>
    <w:p w14:paraId="0620D597" w14:textId="734F465D" w:rsidR="00DE3841" w:rsidRPr="00702146" w:rsidRDefault="00075FEE" w:rsidP="00DE3841">
      <w:pPr>
        <w:rPr>
          <w:sz w:val="24"/>
          <w:szCs w:val="24"/>
        </w:rPr>
      </w:pPr>
      <w:r>
        <w:rPr>
          <w:color w:val="000000"/>
          <w:sz w:val="24"/>
          <w:szCs w:val="24"/>
        </w:rPr>
        <w:t xml:space="preserve">In Fiscal Year 2019, </w:t>
      </w:r>
      <w:r w:rsidR="00DE3841" w:rsidRPr="00702146">
        <w:rPr>
          <w:color w:val="000000"/>
          <w:sz w:val="24"/>
          <w:szCs w:val="24"/>
        </w:rPr>
        <w:t xml:space="preserve">HUD will make </w:t>
      </w:r>
      <w:r w:rsidR="00DE3841">
        <w:rPr>
          <w:color w:val="000000"/>
          <w:sz w:val="24"/>
          <w:szCs w:val="24"/>
        </w:rPr>
        <w:t>IHBG Competitive funds</w:t>
      </w:r>
      <w:r w:rsidR="00DE3841" w:rsidRPr="00702146">
        <w:rPr>
          <w:color w:val="000000"/>
          <w:sz w:val="24"/>
          <w:szCs w:val="24"/>
        </w:rPr>
        <w:t xml:space="preserve"> available under a Notice of Funding Availability (NOFA) and will award the funds to the applicants with the highest rated applications, particularly those with the greatest housing need and administrative capacity. </w:t>
      </w:r>
      <w:r w:rsidR="00DE3841">
        <w:rPr>
          <w:color w:val="000000"/>
          <w:sz w:val="24"/>
          <w:szCs w:val="24"/>
        </w:rPr>
        <w:t>The regulations and requirements governing the formula-driven IHBG program will apply to the competitive IHBG program</w:t>
      </w:r>
    </w:p>
    <w:bookmarkEnd w:id="17"/>
    <w:p w14:paraId="34AEC5D1" w14:textId="77777777" w:rsidR="00DE3841" w:rsidRPr="00F42B53" w:rsidRDefault="00DE3841" w:rsidP="00DE3841">
      <w:pPr>
        <w:rPr>
          <w:color w:val="000000"/>
          <w:sz w:val="24"/>
          <w:szCs w:val="24"/>
        </w:rPr>
      </w:pPr>
    </w:p>
    <w:p w14:paraId="2FE7B31A" w14:textId="004E41D0" w:rsidR="00DE3841" w:rsidRPr="008E65FC" w:rsidRDefault="00DE3841" w:rsidP="00DE3841">
      <w:pPr>
        <w:ind w:right="-120"/>
        <w:rPr>
          <w:rFonts w:ascii="Helvetica" w:hAnsi="Helvetica"/>
          <w:sz w:val="14"/>
          <w:szCs w:val="14"/>
        </w:rPr>
      </w:pPr>
      <w:bookmarkStart w:id="18" w:name="_Hlk519843909"/>
      <w:r w:rsidRPr="001C43FC">
        <w:rPr>
          <w:sz w:val="24"/>
          <w:szCs w:val="24"/>
        </w:rPr>
        <w:t xml:space="preserve">IHBG applicants must submit a complete application package which includes </w:t>
      </w:r>
      <w:r>
        <w:rPr>
          <w:sz w:val="24"/>
          <w:szCs w:val="24"/>
        </w:rPr>
        <w:t>a narrative response to the NOFA requirements, Application for Federal Assistance (</w:t>
      </w:r>
      <w:r w:rsidRPr="00113E92">
        <w:rPr>
          <w:color w:val="000000"/>
          <w:sz w:val="24"/>
          <w:szCs w:val="24"/>
        </w:rPr>
        <w:t>SF-424</w:t>
      </w:r>
      <w:r>
        <w:rPr>
          <w:color w:val="000000"/>
          <w:sz w:val="24"/>
          <w:szCs w:val="24"/>
        </w:rPr>
        <w:t>)</w:t>
      </w:r>
      <w:r w:rsidRPr="00113E92">
        <w:rPr>
          <w:color w:val="000000"/>
          <w:sz w:val="24"/>
          <w:szCs w:val="24"/>
        </w:rPr>
        <w:t xml:space="preserve">, </w:t>
      </w:r>
      <w:r w:rsidRPr="00A9619A">
        <w:rPr>
          <w:color w:val="525252"/>
          <w:sz w:val="24"/>
          <w:szCs w:val="24"/>
        </w:rPr>
        <w:t>Applicant/Recipient Disclosure/Update Report</w:t>
      </w:r>
      <w:r>
        <w:rPr>
          <w:color w:val="525252"/>
        </w:rPr>
        <w:t xml:space="preserve"> (</w:t>
      </w:r>
      <w:r w:rsidRPr="00113E92">
        <w:rPr>
          <w:color w:val="000000"/>
          <w:sz w:val="24"/>
          <w:szCs w:val="24"/>
        </w:rPr>
        <w:t>HUD-2880</w:t>
      </w:r>
      <w:r>
        <w:rPr>
          <w:color w:val="000000"/>
          <w:sz w:val="24"/>
          <w:szCs w:val="24"/>
        </w:rPr>
        <w:t>)</w:t>
      </w:r>
      <w:r w:rsidRPr="00113E92">
        <w:rPr>
          <w:color w:val="000000"/>
          <w:sz w:val="24"/>
          <w:szCs w:val="24"/>
        </w:rPr>
        <w:t>,</w:t>
      </w:r>
      <w:r>
        <w:rPr>
          <w:color w:val="000000"/>
          <w:sz w:val="24"/>
          <w:szCs w:val="24"/>
        </w:rPr>
        <w:t xml:space="preserve"> Acknowledgement of Application Receipt (</w:t>
      </w:r>
      <w:r w:rsidRPr="00113E92">
        <w:rPr>
          <w:color w:val="000000"/>
          <w:sz w:val="24"/>
          <w:szCs w:val="24"/>
        </w:rPr>
        <w:t>HUD-2993</w:t>
      </w:r>
      <w:r>
        <w:rPr>
          <w:color w:val="000000"/>
          <w:sz w:val="24"/>
          <w:szCs w:val="24"/>
        </w:rPr>
        <w:t xml:space="preserve">), and two new forms: </w:t>
      </w:r>
      <w:r w:rsidRPr="001C43FC">
        <w:rPr>
          <w:sz w:val="24"/>
          <w:szCs w:val="24"/>
        </w:rPr>
        <w:t>IHBG Cost Summary (HUD-</w:t>
      </w:r>
      <w:r w:rsidRPr="009C3914">
        <w:rPr>
          <w:sz w:val="24"/>
          <w:szCs w:val="24"/>
        </w:rPr>
        <w:t>53246</w:t>
      </w:r>
      <w:r>
        <w:rPr>
          <w:sz w:val="24"/>
          <w:szCs w:val="24"/>
        </w:rPr>
        <w:t xml:space="preserve">), and </w:t>
      </w:r>
      <w:r w:rsidRPr="001C43FC">
        <w:rPr>
          <w:sz w:val="24"/>
          <w:szCs w:val="24"/>
        </w:rPr>
        <w:t>IHBG Implementation Schedule (HUD</w:t>
      </w:r>
      <w:r w:rsidRPr="009C3914">
        <w:rPr>
          <w:sz w:val="24"/>
          <w:szCs w:val="24"/>
        </w:rPr>
        <w:t>-</w:t>
      </w:r>
      <w:r>
        <w:rPr>
          <w:sz w:val="24"/>
          <w:szCs w:val="24"/>
        </w:rPr>
        <w:t>53247</w:t>
      </w:r>
      <w:r w:rsidRPr="001C43FC">
        <w:rPr>
          <w:sz w:val="24"/>
          <w:szCs w:val="24"/>
        </w:rPr>
        <w:t>).</w:t>
      </w:r>
      <w:r>
        <w:rPr>
          <w:sz w:val="24"/>
          <w:szCs w:val="24"/>
        </w:rPr>
        <w:t xml:space="preserve">  </w:t>
      </w:r>
      <w:bookmarkStart w:id="19" w:name="_Hlk520270800"/>
      <w:r>
        <w:rPr>
          <w:sz w:val="24"/>
          <w:szCs w:val="24"/>
        </w:rPr>
        <w:t>At the end of the 12-month program year, grant recipients submit A</w:t>
      </w:r>
      <w:bookmarkEnd w:id="19"/>
      <w:r>
        <w:rPr>
          <w:sz w:val="24"/>
          <w:szCs w:val="24"/>
        </w:rPr>
        <w:t xml:space="preserve">PRs describing accomplishments, outcomes, and outputs. </w:t>
      </w:r>
    </w:p>
    <w:bookmarkEnd w:id="18"/>
    <w:p w14:paraId="66CEAD8E" w14:textId="77777777" w:rsidR="00DE3841" w:rsidRPr="00926246" w:rsidRDefault="00DE3841" w:rsidP="00DE3841">
      <w:pPr>
        <w:pStyle w:val="Document1"/>
        <w:keepNext w:val="0"/>
        <w:keepLines w:val="0"/>
        <w:widowControl/>
        <w:tabs>
          <w:tab w:val="clear" w:pos="0"/>
          <w:tab w:val="left" w:pos="-720"/>
        </w:tabs>
        <w:autoSpaceDE/>
        <w:autoSpaceDN/>
        <w:adjustRightInd/>
        <w:spacing w:line="240" w:lineRule="auto"/>
        <w:rPr>
          <w:rFonts w:ascii="Times New Roman" w:hAnsi="Times New Roman"/>
          <w:sz w:val="24"/>
          <w:szCs w:val="24"/>
        </w:rPr>
      </w:pPr>
    </w:p>
    <w:p w14:paraId="21E51ADF" w14:textId="2F46251C" w:rsidR="00DE3841" w:rsidRPr="00926246" w:rsidRDefault="00DE3841" w:rsidP="00DE384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Times New Roman" w:hAnsi="Times New Roman"/>
          <w:szCs w:val="24"/>
        </w:rPr>
      </w:pPr>
      <w:r>
        <w:rPr>
          <w:rFonts w:ascii="Times New Roman" w:hAnsi="Times New Roman"/>
          <w:szCs w:val="24"/>
        </w:rPr>
        <w:t>Attached to this submission are c</w:t>
      </w:r>
      <w:r w:rsidRPr="00926246">
        <w:rPr>
          <w:rFonts w:ascii="Times New Roman" w:hAnsi="Times New Roman"/>
          <w:szCs w:val="24"/>
        </w:rPr>
        <w:t>opies of the</w:t>
      </w:r>
      <w:r>
        <w:rPr>
          <w:rFonts w:ascii="Times New Roman" w:hAnsi="Times New Roman"/>
          <w:szCs w:val="24"/>
        </w:rPr>
        <w:t xml:space="preserve"> FY 2018 Appropriations language for the competitive IHBG program</w:t>
      </w:r>
      <w:r w:rsidRPr="00926246">
        <w:rPr>
          <w:rFonts w:ascii="Times New Roman" w:hAnsi="Times New Roman"/>
          <w:szCs w:val="24"/>
        </w:rPr>
        <w:t>, FY 201</w:t>
      </w:r>
      <w:r w:rsidR="00075FEE">
        <w:rPr>
          <w:rFonts w:ascii="Times New Roman" w:hAnsi="Times New Roman"/>
          <w:szCs w:val="24"/>
        </w:rPr>
        <w:t>9</w:t>
      </w:r>
      <w:r w:rsidRPr="00926246">
        <w:rPr>
          <w:rFonts w:ascii="Times New Roman" w:hAnsi="Times New Roman"/>
          <w:szCs w:val="24"/>
        </w:rPr>
        <w:t xml:space="preserve"> </w:t>
      </w:r>
      <w:r>
        <w:rPr>
          <w:rFonts w:ascii="Times New Roman" w:hAnsi="Times New Roman"/>
          <w:szCs w:val="24"/>
        </w:rPr>
        <w:t xml:space="preserve">Competitive IHBG </w:t>
      </w:r>
      <w:r w:rsidRPr="00926246">
        <w:rPr>
          <w:rFonts w:ascii="Times New Roman" w:hAnsi="Times New Roman"/>
          <w:szCs w:val="24"/>
        </w:rPr>
        <w:t>NOFA</w:t>
      </w:r>
      <w:r>
        <w:rPr>
          <w:rFonts w:ascii="Times New Roman" w:hAnsi="Times New Roman"/>
          <w:szCs w:val="24"/>
        </w:rPr>
        <w:t>, NAHASDA</w:t>
      </w:r>
      <w:r w:rsidR="00075FEE">
        <w:rPr>
          <w:rFonts w:ascii="Times New Roman" w:hAnsi="Times New Roman"/>
          <w:szCs w:val="24"/>
        </w:rPr>
        <w:t xml:space="preserve"> statute</w:t>
      </w:r>
      <w:r>
        <w:rPr>
          <w:rFonts w:ascii="Times New Roman" w:hAnsi="Times New Roman"/>
          <w:szCs w:val="24"/>
        </w:rPr>
        <w:t xml:space="preserve">, </w:t>
      </w:r>
      <w:r w:rsidRPr="00926246">
        <w:rPr>
          <w:rFonts w:ascii="Times New Roman" w:hAnsi="Times New Roman"/>
          <w:szCs w:val="24"/>
        </w:rPr>
        <w:t xml:space="preserve">and </w:t>
      </w:r>
      <w:r>
        <w:rPr>
          <w:rFonts w:ascii="Times New Roman" w:hAnsi="Times New Roman"/>
          <w:szCs w:val="24"/>
        </w:rPr>
        <w:t>NAHASDA</w:t>
      </w:r>
      <w:r w:rsidRPr="00926246">
        <w:rPr>
          <w:rFonts w:ascii="Times New Roman" w:hAnsi="Times New Roman"/>
          <w:szCs w:val="24"/>
        </w:rPr>
        <w:t xml:space="preserve"> regulations</w:t>
      </w:r>
      <w:r>
        <w:rPr>
          <w:rFonts w:ascii="Times New Roman" w:hAnsi="Times New Roman"/>
          <w:szCs w:val="24"/>
        </w:rPr>
        <w:t xml:space="preserve"> at 24 CFR Part 1000</w:t>
      </w:r>
      <w:r w:rsidRPr="00926246">
        <w:rPr>
          <w:rFonts w:ascii="Times New Roman" w:hAnsi="Times New Roman"/>
          <w:szCs w:val="24"/>
        </w:rPr>
        <w:t>.</w:t>
      </w:r>
    </w:p>
    <w:p w14:paraId="785A254B" w14:textId="4A5E164F" w:rsidR="005F6E8B" w:rsidRDefault="005F6E8B" w:rsidP="00DE3841">
      <w:pPr>
        <w:rPr>
          <w:color w:val="000000"/>
          <w:sz w:val="24"/>
          <w:szCs w:val="24"/>
        </w:rPr>
      </w:pPr>
    </w:p>
    <w:p w14:paraId="168A9F08" w14:textId="77777777" w:rsidR="00C1015C" w:rsidRPr="00F42B53" w:rsidRDefault="00C1015C" w:rsidP="00DE3841">
      <w:pPr>
        <w:rPr>
          <w:color w:val="000000"/>
          <w:sz w:val="24"/>
          <w:szCs w:val="24"/>
        </w:rPr>
      </w:pPr>
    </w:p>
    <w:p w14:paraId="3555A9CE" w14:textId="777651DB" w:rsidR="004477D1" w:rsidRDefault="00CC40D9" w:rsidP="0035440C">
      <w:pPr>
        <w:rPr>
          <w:color w:val="000000"/>
          <w:sz w:val="24"/>
          <w:szCs w:val="24"/>
        </w:rPr>
      </w:pPr>
      <w:r>
        <w:rPr>
          <w:i/>
          <w:color w:val="000000"/>
          <w:sz w:val="24"/>
          <w:szCs w:val="24"/>
          <w:u w:val="single"/>
        </w:rPr>
        <w:t xml:space="preserve">HUD-52737: </w:t>
      </w:r>
      <w:r w:rsidR="00FA3C22" w:rsidRPr="003459BB">
        <w:rPr>
          <w:i/>
          <w:color w:val="000000"/>
          <w:sz w:val="24"/>
          <w:szCs w:val="24"/>
          <w:u w:val="single"/>
        </w:rPr>
        <w:t>Indian Housing Plan /Annual Performance Report (IHP/APR</w:t>
      </w:r>
      <w:r>
        <w:rPr>
          <w:i/>
          <w:color w:val="000000"/>
          <w:sz w:val="24"/>
          <w:szCs w:val="24"/>
          <w:u w:val="single"/>
        </w:rPr>
        <w:t>)</w:t>
      </w:r>
      <w:r w:rsidR="00FA3C22" w:rsidRPr="003459BB">
        <w:rPr>
          <w:rFonts w:eastAsia="Calibri"/>
          <w:i/>
          <w:color w:val="000000"/>
          <w:sz w:val="24"/>
          <w:szCs w:val="24"/>
        </w:rPr>
        <w:t>.</w:t>
      </w:r>
      <w:r w:rsidR="00FA3C22">
        <w:rPr>
          <w:rFonts w:eastAsia="Calibri"/>
          <w:color w:val="000000"/>
          <w:sz w:val="24"/>
          <w:szCs w:val="24"/>
        </w:rPr>
        <w:t xml:space="preserve">  </w:t>
      </w:r>
      <w:r w:rsidR="006C61B9">
        <w:rPr>
          <w:color w:val="000000"/>
          <w:sz w:val="24"/>
          <w:szCs w:val="24"/>
        </w:rPr>
        <w:t>A</w:t>
      </w:r>
      <w:r w:rsidR="00CC1A0A">
        <w:rPr>
          <w:color w:val="000000"/>
          <w:sz w:val="24"/>
          <w:szCs w:val="24"/>
        </w:rPr>
        <w:t xml:space="preserve"> recipient</w:t>
      </w:r>
      <w:r w:rsidR="001F365B">
        <w:rPr>
          <w:color w:val="000000"/>
          <w:sz w:val="24"/>
          <w:szCs w:val="24"/>
        </w:rPr>
        <w:t xml:space="preserve"> of IHBG funds</w:t>
      </w:r>
      <w:r w:rsidR="00CC1A0A">
        <w:rPr>
          <w:color w:val="000000"/>
          <w:sz w:val="24"/>
          <w:szCs w:val="24"/>
        </w:rPr>
        <w:t xml:space="preserve"> is</w:t>
      </w:r>
      <w:r w:rsidR="005F6E8B" w:rsidRPr="00F42B53">
        <w:rPr>
          <w:color w:val="000000"/>
          <w:sz w:val="24"/>
          <w:szCs w:val="24"/>
        </w:rPr>
        <w:t xml:space="preserve"> </w:t>
      </w:r>
      <w:r w:rsidR="001F365B">
        <w:rPr>
          <w:color w:val="000000"/>
          <w:sz w:val="24"/>
          <w:szCs w:val="24"/>
        </w:rPr>
        <w:t xml:space="preserve">required </w:t>
      </w:r>
      <w:r w:rsidR="00D12EC4">
        <w:rPr>
          <w:color w:val="000000"/>
          <w:sz w:val="24"/>
          <w:szCs w:val="24"/>
        </w:rPr>
        <w:t xml:space="preserve">to submit </w:t>
      </w:r>
      <w:r w:rsidR="003459BB">
        <w:rPr>
          <w:color w:val="000000"/>
          <w:sz w:val="24"/>
          <w:szCs w:val="24"/>
        </w:rPr>
        <w:t>an IHP/APR (</w:t>
      </w:r>
      <w:r w:rsidR="00CC1A0A">
        <w:rPr>
          <w:sz w:val="24"/>
          <w:szCs w:val="24"/>
        </w:rPr>
        <w:t>HUD-52737</w:t>
      </w:r>
      <w:r w:rsidR="003459BB">
        <w:rPr>
          <w:sz w:val="24"/>
          <w:szCs w:val="24"/>
        </w:rPr>
        <w:t xml:space="preserve">) that </w:t>
      </w:r>
      <w:r w:rsidR="0014773E">
        <w:rPr>
          <w:color w:val="000000"/>
          <w:sz w:val="24"/>
          <w:szCs w:val="24"/>
        </w:rPr>
        <w:t xml:space="preserve">consists of two components.  The Indian Housing Plan </w:t>
      </w:r>
      <w:r w:rsidR="00BC2063">
        <w:rPr>
          <w:color w:val="000000"/>
          <w:sz w:val="24"/>
          <w:szCs w:val="24"/>
        </w:rPr>
        <w:t xml:space="preserve">(IHP) </w:t>
      </w:r>
      <w:r w:rsidR="0014773E">
        <w:rPr>
          <w:color w:val="000000"/>
          <w:sz w:val="24"/>
          <w:szCs w:val="24"/>
        </w:rPr>
        <w:t xml:space="preserve">component </w:t>
      </w:r>
      <w:r w:rsidR="0043335A">
        <w:rPr>
          <w:color w:val="000000"/>
          <w:sz w:val="24"/>
          <w:szCs w:val="24"/>
        </w:rPr>
        <w:t>describes the eligible IHBG-funded</w:t>
      </w:r>
      <w:r w:rsidR="00065991">
        <w:rPr>
          <w:color w:val="000000"/>
          <w:sz w:val="24"/>
          <w:szCs w:val="24"/>
        </w:rPr>
        <w:t>,</w:t>
      </w:r>
      <w:r w:rsidR="0043335A">
        <w:rPr>
          <w:color w:val="000000"/>
          <w:sz w:val="24"/>
          <w:szCs w:val="24"/>
        </w:rPr>
        <w:t xml:space="preserve"> affordable housing activities the recipient plans to conduct for the benefit of low and modera</w:t>
      </w:r>
      <w:r w:rsidR="00065991">
        <w:rPr>
          <w:color w:val="000000"/>
          <w:sz w:val="24"/>
          <w:szCs w:val="24"/>
        </w:rPr>
        <w:t>te income tribal members and identifies the</w:t>
      </w:r>
      <w:r w:rsidR="0043335A">
        <w:rPr>
          <w:color w:val="000000"/>
          <w:sz w:val="24"/>
          <w:szCs w:val="24"/>
        </w:rPr>
        <w:t xml:space="preserve"> intended outcomes and outputs for the upcoming 12-month </w:t>
      </w:r>
      <w:r w:rsidR="002B2D72">
        <w:rPr>
          <w:color w:val="000000"/>
          <w:sz w:val="24"/>
          <w:szCs w:val="24"/>
        </w:rPr>
        <w:t xml:space="preserve">program </w:t>
      </w:r>
      <w:r w:rsidR="0043335A">
        <w:rPr>
          <w:color w:val="000000"/>
          <w:sz w:val="24"/>
          <w:szCs w:val="24"/>
        </w:rPr>
        <w:t>year</w:t>
      </w:r>
      <w:r w:rsidR="0014773E">
        <w:rPr>
          <w:color w:val="000000"/>
          <w:sz w:val="24"/>
          <w:szCs w:val="24"/>
        </w:rPr>
        <w:t xml:space="preserve">.  </w:t>
      </w:r>
      <w:r w:rsidR="0014773E" w:rsidRPr="00F42B53">
        <w:rPr>
          <w:color w:val="000000"/>
          <w:sz w:val="24"/>
          <w:szCs w:val="24"/>
        </w:rPr>
        <w:t>At th</w:t>
      </w:r>
      <w:r w:rsidR="0043335A">
        <w:rPr>
          <w:color w:val="000000"/>
          <w:sz w:val="24"/>
          <w:szCs w:val="24"/>
        </w:rPr>
        <w:t>e end of the 12-month</w:t>
      </w:r>
      <w:r w:rsidR="0014773E" w:rsidRPr="00F42B53">
        <w:rPr>
          <w:color w:val="000000"/>
          <w:sz w:val="24"/>
          <w:szCs w:val="24"/>
        </w:rPr>
        <w:t xml:space="preserve"> peri</w:t>
      </w:r>
      <w:r w:rsidR="0043335A">
        <w:rPr>
          <w:color w:val="000000"/>
          <w:sz w:val="24"/>
          <w:szCs w:val="24"/>
        </w:rPr>
        <w:t>od</w:t>
      </w:r>
      <w:r w:rsidR="00CF688E">
        <w:rPr>
          <w:color w:val="000000"/>
          <w:sz w:val="24"/>
          <w:szCs w:val="24"/>
        </w:rPr>
        <w:t>,</w:t>
      </w:r>
      <w:r w:rsidR="0043335A">
        <w:rPr>
          <w:color w:val="000000"/>
          <w:sz w:val="24"/>
          <w:szCs w:val="24"/>
        </w:rPr>
        <w:t xml:space="preserve"> the recipient </w:t>
      </w:r>
      <w:r w:rsidR="0014773E">
        <w:rPr>
          <w:color w:val="000000"/>
          <w:sz w:val="24"/>
          <w:szCs w:val="24"/>
        </w:rPr>
        <w:t>submit</w:t>
      </w:r>
      <w:r w:rsidR="0043335A">
        <w:rPr>
          <w:color w:val="000000"/>
          <w:sz w:val="24"/>
          <w:szCs w:val="24"/>
        </w:rPr>
        <w:t>s</w:t>
      </w:r>
      <w:r w:rsidR="0014773E">
        <w:rPr>
          <w:color w:val="000000"/>
          <w:sz w:val="24"/>
          <w:szCs w:val="24"/>
        </w:rPr>
        <w:t xml:space="preserve"> the</w:t>
      </w:r>
      <w:r w:rsidR="0014773E" w:rsidRPr="00F42B53">
        <w:rPr>
          <w:color w:val="000000"/>
          <w:sz w:val="24"/>
          <w:szCs w:val="24"/>
        </w:rPr>
        <w:t xml:space="preserve"> </w:t>
      </w:r>
      <w:r w:rsidR="0014773E" w:rsidRPr="0014773E">
        <w:rPr>
          <w:iCs/>
          <w:color w:val="000000"/>
          <w:sz w:val="24"/>
          <w:szCs w:val="24"/>
        </w:rPr>
        <w:t xml:space="preserve">Annual Performance Report </w:t>
      </w:r>
      <w:r w:rsidR="00BC2063">
        <w:rPr>
          <w:iCs/>
          <w:color w:val="000000"/>
          <w:sz w:val="24"/>
          <w:szCs w:val="24"/>
        </w:rPr>
        <w:t xml:space="preserve">(APR) </w:t>
      </w:r>
      <w:r w:rsidR="0014773E">
        <w:rPr>
          <w:iCs/>
          <w:color w:val="000000"/>
          <w:sz w:val="24"/>
          <w:szCs w:val="24"/>
        </w:rPr>
        <w:t>component</w:t>
      </w:r>
      <w:r w:rsidR="0014773E">
        <w:rPr>
          <w:i/>
          <w:iCs/>
          <w:color w:val="000000"/>
          <w:sz w:val="24"/>
          <w:szCs w:val="24"/>
        </w:rPr>
        <w:t xml:space="preserve"> </w:t>
      </w:r>
      <w:r w:rsidR="0014773E" w:rsidRPr="00F42B53">
        <w:rPr>
          <w:color w:val="000000"/>
          <w:sz w:val="24"/>
          <w:szCs w:val="24"/>
        </w:rPr>
        <w:t xml:space="preserve">to </w:t>
      </w:r>
      <w:r w:rsidR="00CF688E">
        <w:rPr>
          <w:color w:val="000000"/>
          <w:sz w:val="24"/>
          <w:szCs w:val="24"/>
        </w:rPr>
        <w:t>describe (1) t</w:t>
      </w:r>
      <w:r w:rsidR="0014773E" w:rsidRPr="00F42B53">
        <w:rPr>
          <w:color w:val="000000"/>
          <w:sz w:val="24"/>
          <w:szCs w:val="24"/>
        </w:rPr>
        <w:t>he use of grant funds</w:t>
      </w:r>
      <w:r w:rsidR="00CF688E">
        <w:rPr>
          <w:color w:val="000000"/>
          <w:sz w:val="24"/>
          <w:szCs w:val="24"/>
        </w:rPr>
        <w:t xml:space="preserve"> during the prior 12-month period; (2)</w:t>
      </w:r>
      <w:r w:rsidR="0043335A">
        <w:rPr>
          <w:color w:val="000000"/>
          <w:sz w:val="24"/>
          <w:szCs w:val="24"/>
        </w:rPr>
        <w:t xml:space="preserve"> the actual outcomes and outputs achieved</w:t>
      </w:r>
      <w:r w:rsidR="00CF688E">
        <w:rPr>
          <w:color w:val="000000"/>
          <w:sz w:val="24"/>
          <w:szCs w:val="24"/>
        </w:rPr>
        <w:t xml:space="preserve">; (3) </w:t>
      </w:r>
      <w:r w:rsidR="0014773E" w:rsidRPr="00F42B53">
        <w:rPr>
          <w:color w:val="000000"/>
          <w:sz w:val="24"/>
          <w:szCs w:val="24"/>
        </w:rPr>
        <w:t xml:space="preserve">program accomplishments; and (4) </w:t>
      </w:r>
      <w:r w:rsidR="00CF688E">
        <w:rPr>
          <w:color w:val="000000"/>
          <w:sz w:val="24"/>
          <w:szCs w:val="24"/>
        </w:rPr>
        <w:t xml:space="preserve">jobs supported by IHBG-funded activities.  </w:t>
      </w:r>
      <w:r w:rsidR="0014773E" w:rsidRPr="00F42B53">
        <w:rPr>
          <w:color w:val="000000"/>
          <w:sz w:val="24"/>
          <w:szCs w:val="24"/>
        </w:rPr>
        <w:t>(NAHASDA §</w:t>
      </w:r>
      <w:r w:rsidR="00BC2063" w:rsidRPr="00F42B53">
        <w:rPr>
          <w:color w:val="000000"/>
          <w:sz w:val="24"/>
          <w:szCs w:val="24"/>
        </w:rPr>
        <w:t xml:space="preserve">§ </w:t>
      </w:r>
      <w:r w:rsidR="00BC2063">
        <w:rPr>
          <w:color w:val="000000"/>
          <w:sz w:val="24"/>
          <w:szCs w:val="24"/>
        </w:rPr>
        <w:t xml:space="preserve">102 and </w:t>
      </w:r>
      <w:r w:rsidR="0014773E" w:rsidRPr="00F42B53">
        <w:rPr>
          <w:color w:val="000000"/>
          <w:sz w:val="24"/>
          <w:szCs w:val="24"/>
        </w:rPr>
        <w:t>404).</w:t>
      </w:r>
      <w:r w:rsidR="003459BB">
        <w:rPr>
          <w:color w:val="000000"/>
          <w:sz w:val="24"/>
          <w:szCs w:val="24"/>
        </w:rPr>
        <w:t xml:space="preserve">  </w:t>
      </w:r>
    </w:p>
    <w:p w14:paraId="32600B8B" w14:textId="77777777" w:rsidR="00F82E31" w:rsidRDefault="00F82E31" w:rsidP="00115079">
      <w:pPr>
        <w:rPr>
          <w:color w:val="000000"/>
          <w:sz w:val="24"/>
          <w:szCs w:val="24"/>
        </w:rPr>
      </w:pPr>
    </w:p>
    <w:p w14:paraId="29A7A6D1" w14:textId="2A73315F" w:rsidR="007168C1" w:rsidRDefault="00CC40D9" w:rsidP="0035440C">
      <w:pPr>
        <w:rPr>
          <w:color w:val="000000"/>
          <w:sz w:val="24"/>
          <w:szCs w:val="24"/>
        </w:rPr>
      </w:pPr>
      <w:r>
        <w:rPr>
          <w:i/>
          <w:color w:val="000000"/>
          <w:sz w:val="24"/>
          <w:szCs w:val="24"/>
          <w:u w:val="single"/>
        </w:rPr>
        <w:t xml:space="preserve">HUD-4117 and HUD-4119: </w:t>
      </w:r>
      <w:r w:rsidR="00FA3C22" w:rsidRPr="00FA3C22">
        <w:rPr>
          <w:i/>
          <w:color w:val="000000"/>
          <w:sz w:val="24"/>
          <w:szCs w:val="24"/>
          <w:u w:val="single"/>
        </w:rPr>
        <w:t>Formula Response Form</w:t>
      </w:r>
      <w:r w:rsidR="00FA3C22" w:rsidRPr="00FA3C22">
        <w:rPr>
          <w:color w:val="000000"/>
          <w:sz w:val="24"/>
          <w:szCs w:val="24"/>
          <w:u w:val="single"/>
        </w:rPr>
        <w:t xml:space="preserve"> and </w:t>
      </w:r>
      <w:r w:rsidR="00FA3C22" w:rsidRPr="00FA3C22">
        <w:rPr>
          <w:i/>
          <w:color w:val="000000"/>
          <w:sz w:val="24"/>
          <w:szCs w:val="24"/>
          <w:u w:val="single"/>
        </w:rPr>
        <w:t>Guidelines for Challenging U.S. Decennial Census Data Document</w:t>
      </w:r>
      <w:r w:rsidR="00FA3C22" w:rsidRPr="00FA3C22">
        <w:rPr>
          <w:color w:val="000000"/>
          <w:sz w:val="24"/>
          <w:szCs w:val="24"/>
          <w:u w:val="single"/>
        </w:rPr>
        <w:t>.</w:t>
      </w:r>
      <w:r w:rsidR="00FA3C22">
        <w:rPr>
          <w:color w:val="000000"/>
          <w:sz w:val="24"/>
          <w:szCs w:val="24"/>
        </w:rPr>
        <w:t xml:space="preserve">  </w:t>
      </w:r>
      <w:r w:rsidR="007168C1">
        <w:rPr>
          <w:color w:val="000000"/>
          <w:sz w:val="24"/>
          <w:szCs w:val="24"/>
        </w:rPr>
        <w:t xml:space="preserve">IHBG recipients are responsible for notifying HUD of changes to the Formula Current Assisted Stock (FCAS) component of the IHBG formula.  HUD is notified of changes in the FCAS through the </w:t>
      </w:r>
      <w:r w:rsidR="007168C1" w:rsidRPr="00FA3C22">
        <w:rPr>
          <w:color w:val="000000"/>
          <w:sz w:val="24"/>
          <w:szCs w:val="24"/>
        </w:rPr>
        <w:t>Formula Response Form</w:t>
      </w:r>
      <w:r w:rsidR="007168C1" w:rsidRPr="007168C1">
        <w:rPr>
          <w:i/>
          <w:color w:val="000000"/>
          <w:sz w:val="24"/>
          <w:szCs w:val="24"/>
        </w:rPr>
        <w:t xml:space="preserve"> </w:t>
      </w:r>
      <w:r w:rsidR="007168C1">
        <w:rPr>
          <w:color w:val="000000"/>
          <w:sz w:val="24"/>
          <w:szCs w:val="24"/>
        </w:rPr>
        <w:t xml:space="preserve">(HUD-4117).  IHBG recipients or HUD may challenge the data from the U.S. Decennial Census or provide an alternative source of data by submitting the </w:t>
      </w:r>
      <w:r w:rsidR="007168C1" w:rsidRPr="00FA3C22">
        <w:rPr>
          <w:color w:val="000000"/>
          <w:sz w:val="24"/>
          <w:szCs w:val="24"/>
        </w:rPr>
        <w:t xml:space="preserve">Guidelines for Challenging U.S. Decennial Census Data Document.  Census challenges </w:t>
      </w:r>
      <w:r w:rsidR="00F82E31" w:rsidRPr="00FA3C22">
        <w:rPr>
          <w:color w:val="000000"/>
          <w:sz w:val="24"/>
          <w:szCs w:val="24"/>
        </w:rPr>
        <w:t>(HUD-</w:t>
      </w:r>
      <w:r w:rsidR="00BC2063" w:rsidRPr="00FA3C22">
        <w:rPr>
          <w:color w:val="000000"/>
          <w:sz w:val="24"/>
          <w:szCs w:val="24"/>
        </w:rPr>
        <w:t xml:space="preserve">4119) </w:t>
      </w:r>
      <w:r w:rsidR="007168C1" w:rsidRPr="00FA3C22">
        <w:rPr>
          <w:color w:val="000000"/>
          <w:sz w:val="24"/>
          <w:szCs w:val="24"/>
        </w:rPr>
        <w:t xml:space="preserve">are due to HUD by </w:t>
      </w:r>
      <w:r w:rsidR="00DF0E51" w:rsidRPr="00FA3C22">
        <w:rPr>
          <w:color w:val="000000"/>
          <w:sz w:val="24"/>
          <w:szCs w:val="24"/>
        </w:rPr>
        <w:t>March</w:t>
      </w:r>
      <w:r w:rsidR="00DF0E51">
        <w:rPr>
          <w:color w:val="000000"/>
          <w:sz w:val="24"/>
          <w:szCs w:val="24"/>
        </w:rPr>
        <w:t xml:space="preserve"> 30</w:t>
      </w:r>
      <w:r w:rsidR="00DF0E51" w:rsidRPr="00DF0E51">
        <w:rPr>
          <w:color w:val="000000"/>
          <w:sz w:val="24"/>
          <w:szCs w:val="24"/>
          <w:vertAlign w:val="superscript"/>
        </w:rPr>
        <w:t>th</w:t>
      </w:r>
      <w:r w:rsidR="007168C1">
        <w:rPr>
          <w:color w:val="000000"/>
          <w:sz w:val="24"/>
          <w:szCs w:val="24"/>
        </w:rPr>
        <w:t xml:space="preserve"> of each fiscal year, as stipulated at 24 CFR </w:t>
      </w:r>
      <w:r w:rsidR="007168C1" w:rsidRPr="00F42B53">
        <w:rPr>
          <w:color w:val="000000"/>
          <w:sz w:val="24"/>
          <w:szCs w:val="24"/>
        </w:rPr>
        <w:t>§</w:t>
      </w:r>
      <w:r w:rsidR="007168C1">
        <w:rPr>
          <w:color w:val="000000"/>
          <w:sz w:val="24"/>
          <w:szCs w:val="24"/>
        </w:rPr>
        <w:t xml:space="preserve"> 1000.336.  </w:t>
      </w:r>
    </w:p>
    <w:p w14:paraId="1FB7792B" w14:textId="77777777" w:rsidR="00D67737" w:rsidRDefault="00D67737" w:rsidP="00F82E31">
      <w:pPr>
        <w:ind w:firstLine="720"/>
        <w:rPr>
          <w:color w:val="000000"/>
          <w:sz w:val="24"/>
          <w:szCs w:val="24"/>
        </w:rPr>
      </w:pPr>
    </w:p>
    <w:p w14:paraId="1804E845" w14:textId="1C931F74" w:rsidR="00AB709E" w:rsidRDefault="00CC40D9" w:rsidP="00DE3841">
      <w:pPr>
        <w:rPr>
          <w:color w:val="000000"/>
          <w:sz w:val="24"/>
          <w:szCs w:val="24"/>
        </w:rPr>
      </w:pPr>
      <w:r w:rsidRPr="003459BB">
        <w:rPr>
          <w:i/>
          <w:color w:val="000000"/>
          <w:sz w:val="24"/>
          <w:szCs w:val="24"/>
          <w:u w:val="single"/>
        </w:rPr>
        <w:t>HUD-52736-A and B</w:t>
      </w:r>
      <w:r>
        <w:rPr>
          <w:i/>
          <w:color w:val="000000"/>
          <w:sz w:val="24"/>
          <w:szCs w:val="24"/>
          <w:u w:val="single"/>
        </w:rPr>
        <w:t xml:space="preserve">: </w:t>
      </w:r>
      <w:r w:rsidR="003459BB" w:rsidRPr="003459BB">
        <w:rPr>
          <w:i/>
          <w:color w:val="000000"/>
          <w:sz w:val="24"/>
          <w:szCs w:val="24"/>
          <w:u w:val="single"/>
        </w:rPr>
        <w:t>Depository Agreements</w:t>
      </w:r>
      <w:r w:rsidR="003459BB">
        <w:rPr>
          <w:color w:val="000000"/>
          <w:sz w:val="24"/>
          <w:szCs w:val="24"/>
        </w:rPr>
        <w:t xml:space="preserve">.  </w:t>
      </w:r>
      <w:r w:rsidR="00D67737">
        <w:rPr>
          <w:color w:val="000000"/>
          <w:sz w:val="24"/>
          <w:szCs w:val="24"/>
        </w:rPr>
        <w:t>IHBG recipients have the option of investing IHBG funds in eligible instruments with bankers and brokers by using the Depository Agreement for bankers (HUD-52736-A) and the Depository Agreement for brokers (HUD-52736-B). These agreements may be executed at any time.</w:t>
      </w:r>
    </w:p>
    <w:bookmarkEnd w:id="16"/>
    <w:p w14:paraId="532A64E7" w14:textId="77777777" w:rsidR="00DE3841" w:rsidRPr="00DE3841" w:rsidRDefault="00DE3841" w:rsidP="00DE3841">
      <w:pPr>
        <w:rPr>
          <w:color w:val="000000"/>
          <w:sz w:val="24"/>
          <w:szCs w:val="24"/>
        </w:rPr>
      </w:pPr>
    </w:p>
    <w:p w14:paraId="3EB681E2" w14:textId="77777777" w:rsidR="003459BB" w:rsidRDefault="003459BB" w:rsidP="007A1939">
      <w:pPr>
        <w:tabs>
          <w:tab w:val="left" w:pos="360"/>
        </w:tabs>
        <w:rPr>
          <w:sz w:val="18"/>
        </w:rPr>
      </w:pPr>
    </w:p>
    <w:p w14:paraId="7AA1A20D" w14:textId="77777777" w:rsidR="00CA05B7" w:rsidRDefault="00CA05B7" w:rsidP="00CA05B7">
      <w:pPr>
        <w:tabs>
          <w:tab w:val="left" w:pos="360"/>
        </w:tabs>
        <w:ind w:left="360" w:hanging="360"/>
        <w:rPr>
          <w:sz w:val="18"/>
        </w:rPr>
      </w:pPr>
      <w:r w:rsidRPr="009C3914">
        <w:rPr>
          <w:sz w:val="24"/>
          <w:szCs w:val="24"/>
        </w:rPr>
        <w:t>2.</w:t>
      </w:r>
      <w:r w:rsidRPr="009C3914">
        <w:rPr>
          <w:sz w:val="24"/>
          <w:szCs w:val="24"/>
        </w:rPr>
        <w:tab/>
      </w:r>
      <w:r w:rsidRPr="00323CD4">
        <w:rPr>
          <w:b/>
          <w:sz w:val="24"/>
          <w:szCs w:val="24"/>
        </w:rPr>
        <w:t>Indicate how, by whom and for what purpose the information is to be used.  Except for a new collection, indicate the actual use the agency has made of the information</w:t>
      </w:r>
      <w:r w:rsidRPr="00323CD4">
        <w:rPr>
          <w:b/>
          <w:sz w:val="18"/>
        </w:rPr>
        <w:t xml:space="preserve"> </w:t>
      </w:r>
      <w:r w:rsidRPr="00323CD4">
        <w:rPr>
          <w:b/>
          <w:sz w:val="24"/>
          <w:szCs w:val="24"/>
        </w:rPr>
        <w:t>received from the current collection.</w:t>
      </w:r>
    </w:p>
    <w:p w14:paraId="25D2BC98" w14:textId="77777777" w:rsidR="00C53525" w:rsidRDefault="00C53525">
      <w:pPr>
        <w:rPr>
          <w:rFonts w:ascii="Arial" w:hAnsi="Arial"/>
          <w:sz w:val="24"/>
        </w:rPr>
      </w:pPr>
    </w:p>
    <w:p w14:paraId="2099CE0A" w14:textId="6FA7A521" w:rsidR="00AA48F4" w:rsidRDefault="00AA48F4" w:rsidP="00AA48F4">
      <w:pPr>
        <w:rPr>
          <w:color w:val="000000"/>
          <w:sz w:val="24"/>
          <w:szCs w:val="24"/>
        </w:rPr>
      </w:pPr>
      <w:r>
        <w:rPr>
          <w:color w:val="000000"/>
          <w:sz w:val="24"/>
          <w:szCs w:val="24"/>
        </w:rPr>
        <w:t xml:space="preserve">Recipients of </w:t>
      </w:r>
      <w:r w:rsidR="00952C29">
        <w:rPr>
          <w:color w:val="000000"/>
          <w:sz w:val="24"/>
          <w:szCs w:val="24"/>
        </w:rPr>
        <w:t xml:space="preserve">IHBG formula and IHBG Competitive funds are </w:t>
      </w:r>
      <w:r w:rsidR="00893393" w:rsidRPr="00652C65">
        <w:rPr>
          <w:color w:val="000000"/>
          <w:sz w:val="24"/>
          <w:szCs w:val="24"/>
        </w:rPr>
        <w:t xml:space="preserve">required to submit periodic information to </w:t>
      </w:r>
      <w:r w:rsidR="00952C29">
        <w:rPr>
          <w:color w:val="000000"/>
          <w:sz w:val="24"/>
          <w:szCs w:val="24"/>
        </w:rPr>
        <w:t>HUD.  HUD uses the information collected t</w:t>
      </w:r>
      <w:r w:rsidR="00893393">
        <w:rPr>
          <w:color w:val="000000"/>
          <w:sz w:val="24"/>
          <w:szCs w:val="24"/>
        </w:rPr>
        <w:t xml:space="preserve">o </w:t>
      </w:r>
      <w:r w:rsidR="00952C29">
        <w:rPr>
          <w:color w:val="000000"/>
          <w:sz w:val="24"/>
          <w:szCs w:val="24"/>
        </w:rPr>
        <w:t xml:space="preserve">make grant awards, monitor a </w:t>
      </w:r>
      <w:r w:rsidR="00893393">
        <w:rPr>
          <w:color w:val="000000"/>
          <w:sz w:val="24"/>
          <w:szCs w:val="24"/>
        </w:rPr>
        <w:t xml:space="preserve">recipient’s performance, determine program compliance, </w:t>
      </w:r>
      <w:r w:rsidR="00952C29">
        <w:rPr>
          <w:color w:val="000000"/>
          <w:sz w:val="24"/>
          <w:szCs w:val="24"/>
        </w:rPr>
        <w:t xml:space="preserve">and report annually to Congress. </w:t>
      </w:r>
    </w:p>
    <w:p w14:paraId="75EBF5DE" w14:textId="5C069D1E" w:rsidR="00C53525" w:rsidRDefault="00C53525" w:rsidP="00952C29">
      <w:pPr>
        <w:rPr>
          <w:sz w:val="24"/>
          <w:szCs w:val="24"/>
        </w:rPr>
      </w:pPr>
    </w:p>
    <w:p w14:paraId="78444759" w14:textId="77777777" w:rsidR="00AA48F4" w:rsidRDefault="00AA48F4">
      <w:pPr>
        <w:tabs>
          <w:tab w:val="left" w:pos="360"/>
        </w:tabs>
        <w:rPr>
          <w:sz w:val="18"/>
        </w:rPr>
      </w:pPr>
    </w:p>
    <w:p w14:paraId="6E720B5A" w14:textId="77777777" w:rsidR="00FB5BE1" w:rsidRPr="009C3914" w:rsidRDefault="00FB5BE1" w:rsidP="00FB5BE1">
      <w:pPr>
        <w:tabs>
          <w:tab w:val="left" w:pos="360"/>
        </w:tabs>
        <w:ind w:left="360" w:hanging="360"/>
        <w:rPr>
          <w:sz w:val="24"/>
          <w:szCs w:val="24"/>
        </w:rPr>
      </w:pPr>
      <w:r w:rsidRPr="009C3914">
        <w:rPr>
          <w:sz w:val="24"/>
          <w:szCs w:val="24"/>
        </w:rPr>
        <w:t>3.</w:t>
      </w:r>
      <w:r w:rsidRPr="009C3914">
        <w:rPr>
          <w:sz w:val="24"/>
          <w:szCs w:val="24"/>
        </w:rPr>
        <w:tab/>
      </w:r>
      <w:r w:rsidRPr="00323CD4">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E4C7013" w14:textId="77777777" w:rsidR="004B79F1" w:rsidRDefault="004B79F1" w:rsidP="0038322E">
      <w:pPr>
        <w:rPr>
          <w:b/>
          <w:color w:val="000000"/>
          <w:sz w:val="24"/>
          <w:szCs w:val="24"/>
        </w:rPr>
      </w:pPr>
    </w:p>
    <w:p w14:paraId="38968FBD" w14:textId="3E4FD328" w:rsidR="003E56F3" w:rsidRDefault="00952C29" w:rsidP="0038322E">
      <w:pPr>
        <w:rPr>
          <w:color w:val="000000"/>
          <w:sz w:val="24"/>
          <w:szCs w:val="24"/>
        </w:rPr>
      </w:pPr>
      <w:r>
        <w:rPr>
          <w:color w:val="000000"/>
          <w:sz w:val="24"/>
          <w:szCs w:val="24"/>
        </w:rPr>
        <w:t>For the IHBG program, a</w:t>
      </w:r>
      <w:r w:rsidR="00944409">
        <w:rPr>
          <w:color w:val="000000"/>
          <w:sz w:val="24"/>
          <w:szCs w:val="24"/>
        </w:rPr>
        <w:t>pproximately 90</w:t>
      </w:r>
      <w:r w:rsidR="00352400" w:rsidRPr="00F82E31">
        <w:rPr>
          <w:color w:val="000000"/>
          <w:sz w:val="24"/>
          <w:szCs w:val="24"/>
        </w:rPr>
        <w:t xml:space="preserve">% of </w:t>
      </w:r>
      <w:r w:rsidR="00A07F7E">
        <w:rPr>
          <w:color w:val="000000"/>
          <w:sz w:val="24"/>
          <w:szCs w:val="24"/>
        </w:rPr>
        <w:t xml:space="preserve">the </w:t>
      </w:r>
      <w:r w:rsidR="00352400" w:rsidRPr="00F82E31">
        <w:rPr>
          <w:color w:val="000000"/>
          <w:sz w:val="24"/>
          <w:szCs w:val="24"/>
        </w:rPr>
        <w:t xml:space="preserve">information </w:t>
      </w:r>
      <w:r w:rsidR="00A07F7E">
        <w:rPr>
          <w:color w:val="000000"/>
          <w:sz w:val="24"/>
          <w:szCs w:val="24"/>
        </w:rPr>
        <w:t xml:space="preserve">is collected </w:t>
      </w:r>
      <w:r w:rsidR="00352400" w:rsidRPr="00F82E31">
        <w:rPr>
          <w:color w:val="000000"/>
          <w:sz w:val="24"/>
          <w:szCs w:val="24"/>
        </w:rPr>
        <w:t>electr</w:t>
      </w:r>
      <w:r w:rsidR="00D4606C" w:rsidRPr="00F82E31">
        <w:rPr>
          <w:color w:val="000000"/>
          <w:sz w:val="24"/>
          <w:szCs w:val="24"/>
        </w:rPr>
        <w:t>onically</w:t>
      </w:r>
      <w:r w:rsidR="00944409">
        <w:rPr>
          <w:color w:val="000000"/>
          <w:sz w:val="24"/>
          <w:szCs w:val="24"/>
        </w:rPr>
        <w:t xml:space="preserve">. </w:t>
      </w:r>
      <w:r w:rsidR="00D32BE8">
        <w:rPr>
          <w:color w:val="000000"/>
          <w:sz w:val="24"/>
          <w:szCs w:val="24"/>
        </w:rPr>
        <w:t>All IHP/APRs</w:t>
      </w:r>
      <w:r w:rsidR="002B2D72">
        <w:rPr>
          <w:color w:val="000000"/>
          <w:sz w:val="24"/>
          <w:szCs w:val="24"/>
        </w:rPr>
        <w:t xml:space="preserve"> </w:t>
      </w:r>
      <w:r w:rsidR="0038322E">
        <w:rPr>
          <w:color w:val="000000"/>
          <w:sz w:val="24"/>
          <w:szCs w:val="24"/>
        </w:rPr>
        <w:t xml:space="preserve">are </w:t>
      </w:r>
      <w:r w:rsidR="002B2D72">
        <w:rPr>
          <w:color w:val="000000"/>
          <w:sz w:val="24"/>
          <w:szCs w:val="24"/>
        </w:rPr>
        <w:t xml:space="preserve">submitted </w:t>
      </w:r>
      <w:r w:rsidR="0038322E">
        <w:rPr>
          <w:color w:val="000000"/>
          <w:sz w:val="24"/>
          <w:szCs w:val="24"/>
        </w:rPr>
        <w:t>electronically using the EPIC website</w:t>
      </w:r>
      <w:r w:rsidR="00A07F7E">
        <w:rPr>
          <w:color w:val="000000"/>
          <w:sz w:val="24"/>
          <w:szCs w:val="24"/>
        </w:rPr>
        <w:t xml:space="preserve"> or a fillable PDF that is submitted as an electronic mail attachment. </w:t>
      </w:r>
      <w:r w:rsidR="003E56F3">
        <w:rPr>
          <w:color w:val="000000"/>
          <w:sz w:val="24"/>
          <w:szCs w:val="24"/>
        </w:rPr>
        <w:t>The For</w:t>
      </w:r>
      <w:r w:rsidR="00D67737">
        <w:rPr>
          <w:color w:val="000000"/>
          <w:sz w:val="24"/>
          <w:szCs w:val="24"/>
        </w:rPr>
        <w:t xml:space="preserve">mula Response form, </w:t>
      </w:r>
      <w:r w:rsidR="003E56F3">
        <w:rPr>
          <w:color w:val="000000"/>
          <w:sz w:val="24"/>
          <w:szCs w:val="24"/>
        </w:rPr>
        <w:t>Census Challenge forms</w:t>
      </w:r>
      <w:r w:rsidR="00D67737">
        <w:rPr>
          <w:color w:val="000000"/>
          <w:sz w:val="24"/>
          <w:szCs w:val="24"/>
        </w:rPr>
        <w:t>, and Depository Agreements</w:t>
      </w:r>
      <w:r w:rsidR="003E56F3">
        <w:rPr>
          <w:color w:val="000000"/>
          <w:sz w:val="24"/>
          <w:szCs w:val="24"/>
        </w:rPr>
        <w:t xml:space="preserve"> are most frequently submitted by facsimile or as an electronic mail attachment.  </w:t>
      </w:r>
    </w:p>
    <w:p w14:paraId="4BEAC6F3" w14:textId="08DF34F8" w:rsidR="00952C29" w:rsidRDefault="00952C29" w:rsidP="0038322E">
      <w:pPr>
        <w:rPr>
          <w:color w:val="000000"/>
          <w:sz w:val="24"/>
          <w:szCs w:val="24"/>
        </w:rPr>
      </w:pPr>
    </w:p>
    <w:p w14:paraId="15BE8DF8" w14:textId="5B5FA991" w:rsidR="00952C29" w:rsidRDefault="00952C29" w:rsidP="00952C29">
      <w:pPr>
        <w:rPr>
          <w:color w:val="000000"/>
          <w:sz w:val="24"/>
          <w:szCs w:val="24"/>
        </w:rPr>
      </w:pPr>
      <w:r>
        <w:rPr>
          <w:color w:val="000000"/>
          <w:sz w:val="24"/>
          <w:szCs w:val="24"/>
        </w:rPr>
        <w:t xml:space="preserve">For the IHBG Competitive program, all required </w:t>
      </w:r>
      <w:r w:rsidR="00075FEE">
        <w:rPr>
          <w:color w:val="000000"/>
          <w:sz w:val="24"/>
          <w:szCs w:val="24"/>
        </w:rPr>
        <w:t xml:space="preserve">application </w:t>
      </w:r>
      <w:r>
        <w:rPr>
          <w:color w:val="000000"/>
          <w:sz w:val="24"/>
          <w:szCs w:val="24"/>
        </w:rPr>
        <w:t xml:space="preserve">documentation will be submitted electronically through Grants.gov. </w:t>
      </w:r>
      <w:r w:rsidR="00075FEE">
        <w:rPr>
          <w:color w:val="000000"/>
          <w:sz w:val="24"/>
          <w:szCs w:val="24"/>
        </w:rPr>
        <w:t xml:space="preserve">The APRs and SF-425s will be submitted electronically through HUD’s </w:t>
      </w:r>
      <w:r w:rsidR="00811CCC">
        <w:rPr>
          <w:color w:val="000000"/>
          <w:sz w:val="24"/>
          <w:szCs w:val="24"/>
        </w:rPr>
        <w:t xml:space="preserve">web-based </w:t>
      </w:r>
      <w:r w:rsidR="00075FEE">
        <w:rPr>
          <w:color w:val="000000"/>
          <w:sz w:val="24"/>
          <w:szCs w:val="24"/>
        </w:rPr>
        <w:t>E</w:t>
      </w:r>
      <w:r w:rsidR="00811CCC">
        <w:rPr>
          <w:color w:val="000000"/>
          <w:sz w:val="24"/>
          <w:szCs w:val="24"/>
        </w:rPr>
        <w:t>nergy and Performance Information Center</w:t>
      </w:r>
      <w:r w:rsidR="00075FEE">
        <w:rPr>
          <w:color w:val="000000"/>
          <w:sz w:val="24"/>
          <w:szCs w:val="24"/>
        </w:rPr>
        <w:t>.</w:t>
      </w:r>
    </w:p>
    <w:p w14:paraId="03151B88" w14:textId="77777777" w:rsidR="00A07F7E" w:rsidRDefault="00A07F7E" w:rsidP="0038322E">
      <w:pPr>
        <w:rPr>
          <w:color w:val="000000"/>
          <w:sz w:val="24"/>
          <w:szCs w:val="24"/>
        </w:rPr>
      </w:pPr>
    </w:p>
    <w:p w14:paraId="5EADE6C1" w14:textId="77777777" w:rsidR="00C53525" w:rsidRDefault="00C53525">
      <w:pPr>
        <w:tabs>
          <w:tab w:val="left" w:pos="360"/>
        </w:tabs>
        <w:ind w:left="360" w:hanging="360"/>
        <w:rPr>
          <w:sz w:val="18"/>
        </w:rPr>
      </w:pPr>
    </w:p>
    <w:p w14:paraId="507A505B" w14:textId="77777777" w:rsidR="00BF7057" w:rsidRPr="00323CD4" w:rsidRDefault="00BF7057" w:rsidP="00BF7057">
      <w:pPr>
        <w:tabs>
          <w:tab w:val="left" w:pos="360"/>
        </w:tabs>
        <w:ind w:left="360" w:hanging="360"/>
        <w:rPr>
          <w:b/>
          <w:sz w:val="24"/>
          <w:szCs w:val="24"/>
        </w:rPr>
      </w:pPr>
      <w:r w:rsidRPr="00323CD4">
        <w:rPr>
          <w:b/>
          <w:sz w:val="24"/>
          <w:szCs w:val="24"/>
        </w:rPr>
        <w:t>4.</w:t>
      </w:r>
      <w:r w:rsidRPr="00323CD4">
        <w:rPr>
          <w:b/>
          <w:sz w:val="24"/>
          <w:szCs w:val="24"/>
        </w:rPr>
        <w:tab/>
        <w:t>Describe efforts to identify duplication.  Show specifically why any similar information already available cannot be used or modified for use for the purposes described in Item 2 above.</w:t>
      </w:r>
    </w:p>
    <w:p w14:paraId="68C3439D" w14:textId="77777777" w:rsidR="00E9075E" w:rsidRDefault="00E9075E" w:rsidP="00A07F7E">
      <w:pPr>
        <w:rPr>
          <w:b/>
          <w:color w:val="000000"/>
          <w:sz w:val="24"/>
          <w:szCs w:val="24"/>
        </w:rPr>
      </w:pPr>
    </w:p>
    <w:p w14:paraId="7DF475B4" w14:textId="7FF9075F" w:rsidR="005F6E8B" w:rsidRDefault="005F6E8B" w:rsidP="00A07F7E">
      <w:pPr>
        <w:rPr>
          <w:color w:val="000000"/>
          <w:sz w:val="24"/>
          <w:szCs w:val="24"/>
        </w:rPr>
      </w:pPr>
      <w:r w:rsidRPr="00F42B53">
        <w:rPr>
          <w:color w:val="000000"/>
          <w:sz w:val="24"/>
          <w:szCs w:val="24"/>
        </w:rPr>
        <w:t>There are no other sources of information that are being submitted to HUD that du</w:t>
      </w:r>
      <w:r w:rsidR="00065991">
        <w:rPr>
          <w:color w:val="000000"/>
          <w:sz w:val="24"/>
          <w:szCs w:val="24"/>
        </w:rPr>
        <w:t>plicate the inform</w:t>
      </w:r>
      <w:r w:rsidR="007F3808">
        <w:rPr>
          <w:color w:val="000000"/>
          <w:sz w:val="24"/>
          <w:szCs w:val="24"/>
        </w:rPr>
        <w:t>ation in the IHP/APR</w:t>
      </w:r>
      <w:r w:rsidRPr="00F42B53">
        <w:rPr>
          <w:color w:val="000000"/>
          <w:sz w:val="24"/>
          <w:szCs w:val="24"/>
        </w:rPr>
        <w:t xml:space="preserve">.  </w:t>
      </w:r>
      <w:r w:rsidR="005D6E42">
        <w:rPr>
          <w:color w:val="000000"/>
          <w:sz w:val="24"/>
          <w:szCs w:val="24"/>
        </w:rPr>
        <w:t xml:space="preserve">IHBG recipients do not have to challenge formula data and, if a recipient opts not to challenge the formula data, HUD will rely on the currently available data for determining a recipient’s allocation.  </w:t>
      </w:r>
    </w:p>
    <w:p w14:paraId="5E2E0FB3" w14:textId="281D2EDB" w:rsidR="00952C29" w:rsidRDefault="00952C29" w:rsidP="00A07F7E">
      <w:pPr>
        <w:rPr>
          <w:color w:val="000000"/>
          <w:sz w:val="24"/>
          <w:szCs w:val="24"/>
        </w:rPr>
      </w:pPr>
    </w:p>
    <w:p w14:paraId="597380C7" w14:textId="7231746D" w:rsidR="00952C29" w:rsidRDefault="00952C29" w:rsidP="00952C29">
      <w:pPr>
        <w:rPr>
          <w:color w:val="000000"/>
          <w:sz w:val="24"/>
          <w:szCs w:val="24"/>
        </w:rPr>
      </w:pPr>
      <w:r>
        <w:rPr>
          <w:color w:val="000000"/>
          <w:sz w:val="24"/>
          <w:szCs w:val="24"/>
        </w:rPr>
        <w:t>For the IHBG Competitive program, t</w:t>
      </w:r>
      <w:r w:rsidRPr="00F42B53">
        <w:rPr>
          <w:color w:val="000000"/>
          <w:sz w:val="24"/>
          <w:szCs w:val="24"/>
        </w:rPr>
        <w:t>here are no other sources of information that are being submitted to HUD that du</w:t>
      </w:r>
      <w:r>
        <w:rPr>
          <w:color w:val="000000"/>
          <w:sz w:val="24"/>
          <w:szCs w:val="24"/>
        </w:rPr>
        <w:t xml:space="preserve">plicate the information in the grant applications. </w:t>
      </w:r>
    </w:p>
    <w:p w14:paraId="480C5446" w14:textId="77777777" w:rsidR="00E9075E" w:rsidRDefault="00E9075E" w:rsidP="005149C2">
      <w:pPr>
        <w:tabs>
          <w:tab w:val="left" w:pos="360"/>
        </w:tabs>
        <w:rPr>
          <w:b/>
          <w:sz w:val="24"/>
          <w:szCs w:val="24"/>
        </w:rPr>
      </w:pPr>
    </w:p>
    <w:p w14:paraId="70B5B29D" w14:textId="77777777" w:rsidR="00BF7057" w:rsidRPr="00323CD4" w:rsidRDefault="00BF7057" w:rsidP="00BF7057">
      <w:pPr>
        <w:tabs>
          <w:tab w:val="left" w:pos="360"/>
        </w:tabs>
        <w:ind w:left="360" w:hanging="360"/>
        <w:rPr>
          <w:b/>
          <w:sz w:val="24"/>
          <w:szCs w:val="24"/>
        </w:rPr>
      </w:pPr>
      <w:r w:rsidRPr="00323CD4">
        <w:rPr>
          <w:b/>
          <w:sz w:val="24"/>
          <w:szCs w:val="24"/>
        </w:rPr>
        <w:t>5.</w:t>
      </w:r>
      <w:r w:rsidRPr="00323CD4">
        <w:rPr>
          <w:b/>
          <w:sz w:val="24"/>
          <w:szCs w:val="24"/>
        </w:rPr>
        <w:tab/>
        <w:t>If the collection of information impacts small businesses or other small entities (Item 5 of OMB Form 83-I) describe any methods used to minimize burden.</w:t>
      </w:r>
    </w:p>
    <w:p w14:paraId="42DA0478" w14:textId="77777777" w:rsidR="00E9075E" w:rsidRDefault="00E9075E" w:rsidP="001E03DC">
      <w:pPr>
        <w:rPr>
          <w:b/>
          <w:color w:val="000000"/>
          <w:sz w:val="24"/>
          <w:szCs w:val="24"/>
        </w:rPr>
      </w:pPr>
    </w:p>
    <w:p w14:paraId="7E1DBE8C" w14:textId="3966DE76" w:rsidR="00D746F6" w:rsidRDefault="00D746F6" w:rsidP="001E03DC">
      <w:pPr>
        <w:rPr>
          <w:color w:val="000000"/>
          <w:sz w:val="24"/>
          <w:szCs w:val="24"/>
        </w:rPr>
      </w:pPr>
      <w:r w:rsidRPr="00F42B53">
        <w:rPr>
          <w:color w:val="000000"/>
          <w:sz w:val="24"/>
          <w:szCs w:val="24"/>
        </w:rPr>
        <w:t xml:space="preserve">Most </w:t>
      </w:r>
      <w:r w:rsidR="001E03DC">
        <w:rPr>
          <w:color w:val="000000"/>
          <w:sz w:val="24"/>
          <w:szCs w:val="24"/>
        </w:rPr>
        <w:t xml:space="preserve">recipients of funds authorized by NAHASDA represent entities that </w:t>
      </w:r>
      <w:r w:rsidRPr="00F42B53">
        <w:rPr>
          <w:color w:val="000000"/>
          <w:sz w:val="24"/>
          <w:szCs w:val="24"/>
        </w:rPr>
        <w:t>are small</w:t>
      </w:r>
      <w:r>
        <w:rPr>
          <w:color w:val="000000"/>
          <w:sz w:val="24"/>
          <w:szCs w:val="24"/>
        </w:rPr>
        <w:t xml:space="preserve"> in </w:t>
      </w:r>
      <w:r w:rsidR="001E03DC">
        <w:rPr>
          <w:color w:val="000000"/>
          <w:sz w:val="24"/>
          <w:szCs w:val="24"/>
        </w:rPr>
        <w:t xml:space="preserve">scale and </w:t>
      </w:r>
      <w:r>
        <w:rPr>
          <w:color w:val="000000"/>
          <w:sz w:val="24"/>
          <w:szCs w:val="24"/>
        </w:rPr>
        <w:t>populati</w:t>
      </w:r>
      <w:r w:rsidR="001E03DC">
        <w:rPr>
          <w:color w:val="000000"/>
          <w:sz w:val="24"/>
          <w:szCs w:val="24"/>
        </w:rPr>
        <w:t>on numbers</w:t>
      </w:r>
      <w:r w:rsidRPr="00F42B53">
        <w:rPr>
          <w:color w:val="000000"/>
          <w:sz w:val="24"/>
          <w:szCs w:val="24"/>
        </w:rPr>
        <w:t>.  HUD has minimize</w:t>
      </w:r>
      <w:r>
        <w:rPr>
          <w:color w:val="000000"/>
          <w:sz w:val="24"/>
          <w:szCs w:val="24"/>
        </w:rPr>
        <w:t>d the burden on all recipients by allowing the recipient</w:t>
      </w:r>
      <w:r w:rsidRPr="00F42B53">
        <w:rPr>
          <w:color w:val="000000"/>
          <w:sz w:val="24"/>
          <w:szCs w:val="24"/>
        </w:rPr>
        <w:t xml:space="preserve"> to determine the complexity </w:t>
      </w:r>
      <w:r w:rsidR="00952C29">
        <w:rPr>
          <w:color w:val="000000"/>
          <w:sz w:val="24"/>
          <w:szCs w:val="24"/>
        </w:rPr>
        <w:t>and scale of its housing plans and programs</w:t>
      </w:r>
      <w:r w:rsidRPr="00F42B53">
        <w:rPr>
          <w:color w:val="000000"/>
          <w:sz w:val="24"/>
          <w:szCs w:val="24"/>
        </w:rPr>
        <w:t>.  Additionally, ONAP staff is available to provide one-on-on</w:t>
      </w:r>
      <w:r w:rsidR="00BC2063">
        <w:rPr>
          <w:color w:val="000000"/>
          <w:sz w:val="24"/>
          <w:szCs w:val="24"/>
        </w:rPr>
        <w:t xml:space="preserve">e assistance if needed. </w:t>
      </w:r>
    </w:p>
    <w:p w14:paraId="329C485D" w14:textId="77777777" w:rsidR="00C53525" w:rsidRDefault="00C53525" w:rsidP="00E9075E">
      <w:pPr>
        <w:tabs>
          <w:tab w:val="left" w:pos="360"/>
          <w:tab w:val="left" w:pos="720"/>
        </w:tabs>
        <w:rPr>
          <w:sz w:val="18"/>
        </w:rPr>
      </w:pPr>
    </w:p>
    <w:p w14:paraId="3090DB86" w14:textId="77777777" w:rsidR="00C53525" w:rsidRDefault="00C53525">
      <w:pPr>
        <w:tabs>
          <w:tab w:val="left" w:pos="360"/>
        </w:tabs>
        <w:ind w:left="360" w:hanging="360"/>
        <w:rPr>
          <w:sz w:val="18"/>
        </w:rPr>
      </w:pPr>
    </w:p>
    <w:p w14:paraId="40425EF3" w14:textId="77777777" w:rsidR="00BF7057" w:rsidRPr="00323CD4" w:rsidRDefault="00BF7057" w:rsidP="00BF7057">
      <w:pPr>
        <w:tabs>
          <w:tab w:val="left" w:pos="360"/>
        </w:tabs>
        <w:ind w:left="360" w:hanging="360"/>
        <w:rPr>
          <w:b/>
          <w:sz w:val="24"/>
          <w:szCs w:val="24"/>
        </w:rPr>
      </w:pPr>
      <w:r w:rsidRPr="00323CD4">
        <w:rPr>
          <w:b/>
          <w:sz w:val="24"/>
          <w:szCs w:val="24"/>
        </w:rPr>
        <w:t>6.</w:t>
      </w:r>
      <w:r w:rsidRPr="00323CD4">
        <w:rPr>
          <w:b/>
          <w:sz w:val="24"/>
          <w:szCs w:val="24"/>
        </w:rPr>
        <w:tab/>
        <w:t>Describe the consequence to Federal program or policy activities if the collection is not conducted or is conducted less frequently, as well as any technical or legal obstacles to reducing burden.</w:t>
      </w:r>
    </w:p>
    <w:p w14:paraId="4D415DC1" w14:textId="4864DDF7" w:rsidR="00BD3756" w:rsidRDefault="00BD3756" w:rsidP="00BD3756">
      <w:pPr>
        <w:rPr>
          <w:b/>
          <w:color w:val="000000"/>
          <w:sz w:val="24"/>
          <w:szCs w:val="24"/>
        </w:rPr>
      </w:pPr>
    </w:p>
    <w:p w14:paraId="120CE756" w14:textId="50648987" w:rsidR="009341BE" w:rsidRDefault="009341BE" w:rsidP="009341BE">
      <w:pPr>
        <w:rPr>
          <w:color w:val="000000"/>
          <w:sz w:val="24"/>
          <w:szCs w:val="24"/>
        </w:rPr>
      </w:pPr>
      <w:r>
        <w:rPr>
          <w:color w:val="000000"/>
          <w:sz w:val="24"/>
          <w:szCs w:val="24"/>
        </w:rPr>
        <w:t xml:space="preserve">The IHBG </w:t>
      </w:r>
      <w:r w:rsidR="002D4837">
        <w:rPr>
          <w:color w:val="000000"/>
          <w:sz w:val="24"/>
          <w:szCs w:val="24"/>
        </w:rPr>
        <w:t xml:space="preserve">formula and </w:t>
      </w:r>
      <w:r>
        <w:rPr>
          <w:color w:val="000000"/>
          <w:sz w:val="24"/>
          <w:szCs w:val="24"/>
        </w:rPr>
        <w:t>Competitive program</w:t>
      </w:r>
      <w:r w:rsidR="002D4837">
        <w:rPr>
          <w:color w:val="000000"/>
          <w:sz w:val="24"/>
          <w:szCs w:val="24"/>
        </w:rPr>
        <w:t>s</w:t>
      </w:r>
      <w:r>
        <w:rPr>
          <w:color w:val="000000"/>
          <w:sz w:val="24"/>
          <w:szCs w:val="24"/>
        </w:rPr>
        <w:t xml:space="preserve"> </w:t>
      </w:r>
      <w:r w:rsidR="002D4837">
        <w:rPr>
          <w:color w:val="000000"/>
          <w:sz w:val="24"/>
          <w:szCs w:val="24"/>
        </w:rPr>
        <w:t>are</w:t>
      </w:r>
      <w:r>
        <w:rPr>
          <w:color w:val="000000"/>
          <w:sz w:val="24"/>
          <w:szCs w:val="24"/>
        </w:rPr>
        <w:t xml:space="preserve"> authorized by Congress and the information collected is required for annual reports to Congress.  </w:t>
      </w:r>
    </w:p>
    <w:p w14:paraId="31E60CBB" w14:textId="77777777" w:rsidR="00BD3756" w:rsidRDefault="00BD3756" w:rsidP="001E03DC">
      <w:pPr>
        <w:rPr>
          <w:color w:val="000000"/>
          <w:sz w:val="24"/>
          <w:szCs w:val="24"/>
        </w:rPr>
      </w:pPr>
    </w:p>
    <w:p w14:paraId="3F4F92F9" w14:textId="77777777" w:rsidR="00C53525" w:rsidRDefault="00C53525" w:rsidP="00C85B92">
      <w:pPr>
        <w:tabs>
          <w:tab w:val="left" w:pos="360"/>
        </w:tabs>
        <w:rPr>
          <w:sz w:val="18"/>
        </w:rPr>
      </w:pPr>
    </w:p>
    <w:p w14:paraId="6AC62323" w14:textId="77777777" w:rsidR="00C53525" w:rsidRPr="00BF7057" w:rsidRDefault="00BF7057" w:rsidP="00BF7057">
      <w:pPr>
        <w:pStyle w:val="ListParagraph"/>
        <w:numPr>
          <w:ilvl w:val="0"/>
          <w:numId w:val="14"/>
        </w:numPr>
        <w:overflowPunct/>
        <w:autoSpaceDE/>
        <w:autoSpaceDN/>
        <w:adjustRightInd/>
        <w:spacing w:after="200" w:line="276" w:lineRule="auto"/>
        <w:textAlignment w:val="auto"/>
        <w:rPr>
          <w:rFonts w:ascii="Times New Roman" w:eastAsia="Calibri" w:hAnsi="Times New Roman"/>
        </w:rPr>
      </w:pPr>
      <w:r w:rsidRPr="009C3914">
        <w:rPr>
          <w:rFonts w:ascii="Times New Roman" w:eastAsia="Calibri" w:hAnsi="Times New Roman"/>
          <w:b/>
        </w:rPr>
        <w:t>Explain any special circumstances that would cause an information to be collected in a manner:</w:t>
      </w:r>
    </w:p>
    <w:p w14:paraId="4E3ED6E5" w14:textId="77777777" w:rsidR="00C85B92" w:rsidRPr="009C3914" w:rsidRDefault="00C85B92" w:rsidP="00C85B92">
      <w:pPr>
        <w:numPr>
          <w:ilvl w:val="0"/>
          <w:numId w:val="12"/>
        </w:numPr>
        <w:overflowPunct/>
        <w:autoSpaceDE/>
        <w:autoSpaceDN/>
        <w:adjustRightInd/>
        <w:spacing w:after="200" w:line="276" w:lineRule="auto"/>
        <w:contextualSpacing/>
        <w:textAlignment w:val="auto"/>
        <w:rPr>
          <w:rFonts w:eastAsia="Calibri"/>
          <w:sz w:val="24"/>
          <w:szCs w:val="24"/>
        </w:rPr>
      </w:pPr>
      <w:r w:rsidRPr="009C3914">
        <w:rPr>
          <w:rFonts w:eastAsia="Calibri"/>
          <w:sz w:val="24"/>
          <w:szCs w:val="24"/>
        </w:rPr>
        <w:t xml:space="preserve">requiring respondents to report information to the agency more than quarterly; </w:t>
      </w:r>
    </w:p>
    <w:p w14:paraId="5BC6FFA8" w14:textId="7B49514A" w:rsidR="00C85B92" w:rsidRPr="00F76F53" w:rsidRDefault="00C85B92" w:rsidP="00C85B92">
      <w:pPr>
        <w:overflowPunct/>
        <w:autoSpaceDE/>
        <w:autoSpaceDN/>
        <w:adjustRightInd/>
        <w:spacing w:after="200" w:line="276" w:lineRule="auto"/>
        <w:ind w:left="1485"/>
        <w:contextualSpacing/>
        <w:textAlignment w:val="auto"/>
        <w:rPr>
          <w:rFonts w:eastAsia="Calibri"/>
          <w:sz w:val="24"/>
          <w:szCs w:val="24"/>
        </w:rPr>
      </w:pPr>
      <w:r w:rsidRPr="00F76F53">
        <w:rPr>
          <w:rFonts w:eastAsia="Calibri"/>
          <w:sz w:val="24"/>
          <w:szCs w:val="24"/>
        </w:rPr>
        <w:t xml:space="preserve">Recipients </w:t>
      </w:r>
      <w:r>
        <w:rPr>
          <w:rFonts w:eastAsia="Calibri"/>
          <w:sz w:val="24"/>
          <w:szCs w:val="24"/>
        </w:rPr>
        <w:t>of IHBG</w:t>
      </w:r>
      <w:r w:rsidR="00E9075E">
        <w:rPr>
          <w:rFonts w:eastAsia="Calibri"/>
          <w:sz w:val="24"/>
          <w:szCs w:val="24"/>
        </w:rPr>
        <w:t xml:space="preserve"> </w:t>
      </w:r>
      <w:r w:rsidR="002D4837">
        <w:rPr>
          <w:rFonts w:eastAsia="Calibri"/>
          <w:sz w:val="24"/>
          <w:szCs w:val="24"/>
        </w:rPr>
        <w:t xml:space="preserve">formula and Competitive </w:t>
      </w:r>
      <w:r w:rsidR="00E9075E">
        <w:rPr>
          <w:rFonts w:eastAsia="Calibri"/>
          <w:sz w:val="24"/>
          <w:szCs w:val="24"/>
        </w:rPr>
        <w:t xml:space="preserve">funds </w:t>
      </w:r>
      <w:r w:rsidRPr="00F76F53">
        <w:rPr>
          <w:rFonts w:eastAsia="Calibri"/>
          <w:sz w:val="24"/>
          <w:szCs w:val="24"/>
        </w:rPr>
        <w:t>are required to submit SF-425s quarterly and within 90 days of project completion.</w:t>
      </w:r>
    </w:p>
    <w:p w14:paraId="7C4AC285" w14:textId="77777777" w:rsidR="00C85B92" w:rsidRPr="009C3914" w:rsidRDefault="00C85B92" w:rsidP="00C85B92">
      <w:pPr>
        <w:numPr>
          <w:ilvl w:val="0"/>
          <w:numId w:val="12"/>
        </w:numPr>
        <w:overflowPunct/>
        <w:autoSpaceDE/>
        <w:autoSpaceDN/>
        <w:adjustRightInd/>
        <w:spacing w:after="200" w:line="276" w:lineRule="auto"/>
        <w:contextualSpacing/>
        <w:textAlignment w:val="auto"/>
        <w:rPr>
          <w:rFonts w:eastAsia="Calibri"/>
          <w:sz w:val="24"/>
          <w:szCs w:val="24"/>
        </w:rPr>
      </w:pPr>
      <w:r w:rsidRPr="009C3914">
        <w:rPr>
          <w:rFonts w:eastAsia="Calibri"/>
          <w:sz w:val="24"/>
          <w:szCs w:val="24"/>
        </w:rPr>
        <w:t>requiring respondents to prepare a written response to a collection of information in fewer than 30 days after receipt of it;</w:t>
      </w:r>
    </w:p>
    <w:p w14:paraId="5B155722" w14:textId="77777777" w:rsidR="00C85B92" w:rsidRPr="009C3914" w:rsidRDefault="00C85B92" w:rsidP="00C85B92">
      <w:pPr>
        <w:overflowPunct/>
        <w:autoSpaceDE/>
        <w:autoSpaceDN/>
        <w:adjustRightInd/>
        <w:spacing w:after="200" w:line="276" w:lineRule="auto"/>
        <w:ind w:left="1485"/>
        <w:contextualSpacing/>
        <w:textAlignment w:val="auto"/>
        <w:rPr>
          <w:rFonts w:eastAsia="Calibri"/>
          <w:sz w:val="24"/>
          <w:szCs w:val="24"/>
        </w:rPr>
      </w:pPr>
      <w:r w:rsidRPr="009C3914">
        <w:rPr>
          <w:rFonts w:eastAsia="Calibri"/>
          <w:b/>
          <w:sz w:val="24"/>
          <w:szCs w:val="24"/>
        </w:rPr>
        <w:t>Not Applicable</w:t>
      </w:r>
    </w:p>
    <w:p w14:paraId="5CBCA611" w14:textId="77777777" w:rsidR="00C85B92" w:rsidRPr="009C3914" w:rsidRDefault="00C85B92" w:rsidP="00C85B92">
      <w:pPr>
        <w:numPr>
          <w:ilvl w:val="0"/>
          <w:numId w:val="12"/>
        </w:numPr>
        <w:overflowPunct/>
        <w:autoSpaceDE/>
        <w:autoSpaceDN/>
        <w:adjustRightInd/>
        <w:spacing w:after="200" w:line="276" w:lineRule="auto"/>
        <w:contextualSpacing/>
        <w:textAlignment w:val="auto"/>
        <w:rPr>
          <w:rFonts w:eastAsia="Calibri"/>
          <w:sz w:val="24"/>
          <w:szCs w:val="24"/>
        </w:rPr>
      </w:pPr>
      <w:r w:rsidRPr="009C3914">
        <w:rPr>
          <w:rFonts w:eastAsia="Calibri"/>
          <w:sz w:val="24"/>
          <w:szCs w:val="24"/>
        </w:rPr>
        <w:t>requiring respondents to submit more than an original and two copies of any document;</w:t>
      </w:r>
    </w:p>
    <w:p w14:paraId="4C3BB789" w14:textId="77777777" w:rsidR="00C85B92" w:rsidRPr="009C3914" w:rsidRDefault="00C85B92" w:rsidP="00C85B92">
      <w:pPr>
        <w:overflowPunct/>
        <w:autoSpaceDE/>
        <w:autoSpaceDN/>
        <w:adjustRightInd/>
        <w:spacing w:after="200" w:line="276" w:lineRule="auto"/>
        <w:ind w:left="1485"/>
        <w:contextualSpacing/>
        <w:textAlignment w:val="auto"/>
        <w:rPr>
          <w:rFonts w:eastAsia="Calibri"/>
          <w:sz w:val="24"/>
          <w:szCs w:val="24"/>
        </w:rPr>
      </w:pPr>
      <w:r w:rsidRPr="009C3914">
        <w:rPr>
          <w:rFonts w:eastAsia="Calibri"/>
          <w:b/>
          <w:sz w:val="24"/>
          <w:szCs w:val="24"/>
        </w:rPr>
        <w:t>Not Applicable</w:t>
      </w:r>
    </w:p>
    <w:p w14:paraId="29FCE90C" w14:textId="77777777" w:rsidR="00C85B92" w:rsidRPr="009C3914" w:rsidRDefault="00C85B92" w:rsidP="00C85B92">
      <w:pPr>
        <w:numPr>
          <w:ilvl w:val="0"/>
          <w:numId w:val="12"/>
        </w:numPr>
        <w:overflowPunct/>
        <w:autoSpaceDE/>
        <w:autoSpaceDN/>
        <w:adjustRightInd/>
        <w:spacing w:after="200" w:line="276" w:lineRule="auto"/>
        <w:contextualSpacing/>
        <w:textAlignment w:val="auto"/>
        <w:rPr>
          <w:rFonts w:eastAsia="Calibri"/>
          <w:sz w:val="24"/>
          <w:szCs w:val="24"/>
        </w:rPr>
      </w:pPr>
      <w:r w:rsidRPr="009C3914">
        <w:rPr>
          <w:rFonts w:eastAsia="Calibri"/>
          <w:sz w:val="24"/>
          <w:szCs w:val="24"/>
        </w:rPr>
        <w:t>requiring respondents to retain records other than health, medical, government contract, grant-in-aid, or tax records for more than three years;</w:t>
      </w:r>
    </w:p>
    <w:p w14:paraId="668548E0" w14:textId="77777777" w:rsidR="00C85B92" w:rsidRPr="009C3914" w:rsidRDefault="00C85B92" w:rsidP="00C85B92">
      <w:pPr>
        <w:overflowPunct/>
        <w:autoSpaceDE/>
        <w:autoSpaceDN/>
        <w:adjustRightInd/>
        <w:spacing w:after="200" w:line="276" w:lineRule="auto"/>
        <w:ind w:left="1485"/>
        <w:contextualSpacing/>
        <w:textAlignment w:val="auto"/>
        <w:rPr>
          <w:rFonts w:eastAsia="Calibri"/>
          <w:sz w:val="24"/>
          <w:szCs w:val="24"/>
        </w:rPr>
      </w:pPr>
      <w:r w:rsidRPr="009C3914">
        <w:rPr>
          <w:rFonts w:eastAsia="Calibri"/>
          <w:b/>
          <w:sz w:val="24"/>
          <w:szCs w:val="24"/>
        </w:rPr>
        <w:t>Not Applicable</w:t>
      </w:r>
    </w:p>
    <w:p w14:paraId="22499936" w14:textId="77777777" w:rsidR="00C85B92" w:rsidRPr="009C3914" w:rsidRDefault="00C85B92" w:rsidP="00C85B92">
      <w:pPr>
        <w:numPr>
          <w:ilvl w:val="0"/>
          <w:numId w:val="12"/>
        </w:numPr>
        <w:overflowPunct/>
        <w:autoSpaceDE/>
        <w:autoSpaceDN/>
        <w:adjustRightInd/>
        <w:spacing w:after="200" w:line="276" w:lineRule="auto"/>
        <w:contextualSpacing/>
        <w:textAlignment w:val="auto"/>
        <w:rPr>
          <w:rFonts w:eastAsia="Calibri"/>
          <w:sz w:val="24"/>
          <w:szCs w:val="24"/>
        </w:rPr>
      </w:pPr>
      <w:r w:rsidRPr="009C3914">
        <w:rPr>
          <w:rFonts w:eastAsia="Calibri"/>
          <w:sz w:val="24"/>
          <w:szCs w:val="24"/>
        </w:rPr>
        <w:t>in connection with a statistical survey, that is not designed to produce valid and reliable results than can be generalized to the universe of the study;</w:t>
      </w:r>
    </w:p>
    <w:p w14:paraId="7C876C4E" w14:textId="77777777" w:rsidR="00C85B92" w:rsidRPr="009C3914" w:rsidRDefault="00C85B92" w:rsidP="00C85B92">
      <w:pPr>
        <w:overflowPunct/>
        <w:autoSpaceDE/>
        <w:autoSpaceDN/>
        <w:adjustRightInd/>
        <w:spacing w:after="200" w:line="276" w:lineRule="auto"/>
        <w:ind w:left="1485"/>
        <w:contextualSpacing/>
        <w:textAlignment w:val="auto"/>
        <w:rPr>
          <w:rFonts w:eastAsia="Calibri"/>
          <w:sz w:val="24"/>
          <w:szCs w:val="24"/>
        </w:rPr>
      </w:pPr>
      <w:r w:rsidRPr="009C3914">
        <w:rPr>
          <w:rFonts w:eastAsia="Calibri"/>
          <w:b/>
          <w:sz w:val="24"/>
          <w:szCs w:val="24"/>
        </w:rPr>
        <w:t>Not Applicable</w:t>
      </w:r>
    </w:p>
    <w:p w14:paraId="7252D54F" w14:textId="77777777" w:rsidR="00C85B92" w:rsidRPr="009C3914" w:rsidRDefault="00C85B92" w:rsidP="00C85B92">
      <w:pPr>
        <w:numPr>
          <w:ilvl w:val="0"/>
          <w:numId w:val="12"/>
        </w:numPr>
        <w:overflowPunct/>
        <w:autoSpaceDE/>
        <w:autoSpaceDN/>
        <w:adjustRightInd/>
        <w:spacing w:after="200" w:line="276" w:lineRule="auto"/>
        <w:contextualSpacing/>
        <w:textAlignment w:val="auto"/>
        <w:rPr>
          <w:rFonts w:eastAsia="Calibri"/>
          <w:sz w:val="24"/>
          <w:szCs w:val="24"/>
        </w:rPr>
      </w:pPr>
      <w:r w:rsidRPr="009C3914">
        <w:rPr>
          <w:rFonts w:eastAsia="Calibri"/>
          <w:sz w:val="24"/>
          <w:szCs w:val="24"/>
        </w:rPr>
        <w:t>requiring the use of statistical data classification that has not been reviewed and approved by OMB;</w:t>
      </w:r>
    </w:p>
    <w:p w14:paraId="6ECE23F8" w14:textId="77777777" w:rsidR="00C85B92" w:rsidRPr="009C3914" w:rsidRDefault="00C85B92" w:rsidP="00C85B92">
      <w:pPr>
        <w:overflowPunct/>
        <w:autoSpaceDE/>
        <w:autoSpaceDN/>
        <w:adjustRightInd/>
        <w:spacing w:after="200" w:line="276" w:lineRule="auto"/>
        <w:ind w:left="1485"/>
        <w:contextualSpacing/>
        <w:textAlignment w:val="auto"/>
        <w:rPr>
          <w:rFonts w:eastAsia="Calibri"/>
          <w:sz w:val="24"/>
          <w:szCs w:val="24"/>
        </w:rPr>
      </w:pPr>
      <w:r w:rsidRPr="009C3914">
        <w:rPr>
          <w:rFonts w:eastAsia="Calibri"/>
          <w:b/>
          <w:sz w:val="24"/>
          <w:szCs w:val="24"/>
        </w:rPr>
        <w:t>Not Applicable</w:t>
      </w:r>
    </w:p>
    <w:p w14:paraId="7546CD10" w14:textId="77777777" w:rsidR="00C85B92" w:rsidRPr="009C3914" w:rsidRDefault="00C85B92" w:rsidP="00C85B92">
      <w:pPr>
        <w:numPr>
          <w:ilvl w:val="0"/>
          <w:numId w:val="12"/>
        </w:numPr>
        <w:overflowPunct/>
        <w:autoSpaceDE/>
        <w:autoSpaceDN/>
        <w:adjustRightInd/>
        <w:spacing w:after="200" w:line="276" w:lineRule="auto"/>
        <w:contextualSpacing/>
        <w:textAlignment w:val="auto"/>
        <w:rPr>
          <w:rFonts w:eastAsia="Calibri"/>
          <w:sz w:val="24"/>
          <w:szCs w:val="24"/>
        </w:rPr>
      </w:pPr>
      <w:r w:rsidRPr="009C3914">
        <w:rPr>
          <w:rFonts w:eastAsia="Calibr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835D546" w14:textId="77777777" w:rsidR="00C85B92" w:rsidRPr="009C3914" w:rsidRDefault="00C85B92" w:rsidP="00C85B92">
      <w:pPr>
        <w:overflowPunct/>
        <w:autoSpaceDE/>
        <w:autoSpaceDN/>
        <w:adjustRightInd/>
        <w:spacing w:after="200" w:line="276" w:lineRule="auto"/>
        <w:ind w:left="1485"/>
        <w:contextualSpacing/>
        <w:textAlignment w:val="auto"/>
        <w:rPr>
          <w:rFonts w:eastAsia="Calibri"/>
          <w:sz w:val="24"/>
          <w:szCs w:val="24"/>
        </w:rPr>
      </w:pPr>
      <w:r w:rsidRPr="009C3914">
        <w:rPr>
          <w:rFonts w:eastAsia="Calibri"/>
          <w:b/>
          <w:sz w:val="24"/>
          <w:szCs w:val="24"/>
        </w:rPr>
        <w:t>Not Applicable</w:t>
      </w:r>
    </w:p>
    <w:p w14:paraId="0443BF04" w14:textId="00B5129C" w:rsidR="00C85B92" w:rsidRDefault="00C85B92" w:rsidP="00C85B92">
      <w:pPr>
        <w:numPr>
          <w:ilvl w:val="0"/>
          <w:numId w:val="12"/>
        </w:numPr>
        <w:overflowPunct/>
        <w:autoSpaceDE/>
        <w:autoSpaceDN/>
        <w:adjustRightInd/>
        <w:spacing w:after="200" w:line="276" w:lineRule="auto"/>
        <w:contextualSpacing/>
        <w:textAlignment w:val="auto"/>
        <w:rPr>
          <w:rFonts w:eastAsia="Calibri"/>
          <w:sz w:val="24"/>
          <w:szCs w:val="24"/>
        </w:rPr>
      </w:pPr>
      <w:r w:rsidRPr="009C3914">
        <w:rPr>
          <w:rFonts w:eastAsia="Calibri"/>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7AAC7FB8" w14:textId="77777777" w:rsidR="002D4837" w:rsidRPr="002D4837" w:rsidRDefault="002D4837" w:rsidP="002D4837">
      <w:pPr>
        <w:overflowPunct/>
        <w:autoSpaceDE/>
        <w:autoSpaceDN/>
        <w:adjustRightInd/>
        <w:spacing w:after="200" w:line="276" w:lineRule="auto"/>
        <w:ind w:left="720" w:firstLine="720"/>
        <w:textAlignment w:val="auto"/>
        <w:rPr>
          <w:rFonts w:eastAsia="Calibri"/>
          <w:sz w:val="24"/>
          <w:szCs w:val="24"/>
        </w:rPr>
      </w:pPr>
      <w:r w:rsidRPr="002D4837">
        <w:rPr>
          <w:rFonts w:eastAsia="Calibri"/>
          <w:b/>
          <w:sz w:val="24"/>
          <w:szCs w:val="24"/>
        </w:rPr>
        <w:t>Not Applicable</w:t>
      </w:r>
    </w:p>
    <w:p w14:paraId="3603B51A" w14:textId="77777777" w:rsidR="00C53525" w:rsidRDefault="00C53525" w:rsidP="00CA05B7">
      <w:pPr>
        <w:tabs>
          <w:tab w:val="left" w:pos="360"/>
        </w:tabs>
        <w:rPr>
          <w:sz w:val="18"/>
        </w:rPr>
      </w:pPr>
    </w:p>
    <w:p w14:paraId="47476636" w14:textId="77777777" w:rsidR="00BF7057" w:rsidRPr="00323CD4" w:rsidRDefault="00BF7057" w:rsidP="00BF70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50" w:hanging="450"/>
        <w:rPr>
          <w:b/>
          <w:sz w:val="24"/>
          <w:szCs w:val="24"/>
        </w:rPr>
      </w:pPr>
      <w:r w:rsidRPr="00323CD4">
        <w:rPr>
          <w:b/>
          <w:sz w:val="24"/>
          <w:szCs w:val="24"/>
        </w:rPr>
        <w:t>8.    If applicable, provide a copy and identify the date and page number of publication in the Federal Register of the agency’s notice, required by 5 CFR §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928EF33" w14:textId="77777777" w:rsidR="00BF7057" w:rsidRPr="009C3914" w:rsidRDefault="00BF7057" w:rsidP="00BF7057">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Times New Roman" w:hAnsi="Times New Roman"/>
          <w:szCs w:val="24"/>
        </w:rPr>
      </w:pPr>
      <w:r w:rsidRPr="009C3914">
        <w:rPr>
          <w:rFonts w:ascii="Times New Roman" w:hAnsi="Times New Roman"/>
          <w:szCs w:val="24"/>
        </w:rPr>
        <w:t>Describe efforts to consult with persons outside the agency to obtain their views on the availability of data, frequency of collection, the clarity of instructions and recordkeeping disclosure, or reporting format (if any) and the data elements to recorded, disclosed, or reported.</w:t>
      </w:r>
    </w:p>
    <w:p w14:paraId="526D393D" w14:textId="77777777" w:rsidR="00BF7057" w:rsidRPr="009C3914" w:rsidRDefault="00BF7057" w:rsidP="00BF7057">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Times New Roman" w:hAnsi="Times New Roman"/>
          <w:szCs w:val="24"/>
        </w:rPr>
      </w:pPr>
      <w:r w:rsidRPr="009C3914">
        <w:rPr>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14:paraId="4339BE77" w14:textId="77777777" w:rsidR="00CA05B7" w:rsidRDefault="00CA05B7" w:rsidP="000527ED">
      <w:pPr>
        <w:rPr>
          <w:sz w:val="24"/>
          <w:szCs w:val="24"/>
        </w:rPr>
      </w:pPr>
    </w:p>
    <w:p w14:paraId="194CA4E3" w14:textId="2D51A613" w:rsidR="000527ED" w:rsidRPr="00D67005" w:rsidRDefault="000527ED" w:rsidP="000527ED">
      <w:pPr>
        <w:rPr>
          <w:sz w:val="24"/>
          <w:szCs w:val="24"/>
        </w:rPr>
      </w:pPr>
      <w:r>
        <w:rPr>
          <w:sz w:val="24"/>
          <w:szCs w:val="24"/>
        </w:rPr>
        <w:t xml:space="preserve">HUD published a Notice of Proposed Information Collection for Public Comments in the </w:t>
      </w:r>
      <w:r w:rsidRPr="00DC7470">
        <w:rPr>
          <w:i/>
          <w:sz w:val="24"/>
          <w:szCs w:val="24"/>
        </w:rPr>
        <w:t>Federal Register</w:t>
      </w:r>
      <w:r w:rsidR="00610A1C">
        <w:rPr>
          <w:sz w:val="24"/>
          <w:szCs w:val="24"/>
        </w:rPr>
        <w:t xml:space="preserve">, </w:t>
      </w:r>
      <w:r w:rsidR="00610A1C" w:rsidRPr="00913980">
        <w:rPr>
          <w:sz w:val="24"/>
          <w:szCs w:val="24"/>
        </w:rPr>
        <w:t xml:space="preserve">Volume </w:t>
      </w:r>
      <w:r w:rsidR="001B3E35">
        <w:rPr>
          <w:sz w:val="24"/>
          <w:szCs w:val="24"/>
        </w:rPr>
        <w:t>84</w:t>
      </w:r>
      <w:r w:rsidR="00610A1C" w:rsidRPr="00913980">
        <w:rPr>
          <w:sz w:val="24"/>
          <w:szCs w:val="24"/>
        </w:rPr>
        <w:t>; No.</w:t>
      </w:r>
      <w:r w:rsidR="001B3E35">
        <w:rPr>
          <w:sz w:val="24"/>
          <w:szCs w:val="24"/>
        </w:rPr>
        <w:t xml:space="preserve"> 53</w:t>
      </w:r>
      <w:r w:rsidR="00610A1C" w:rsidRPr="00913980">
        <w:rPr>
          <w:sz w:val="24"/>
          <w:szCs w:val="24"/>
        </w:rPr>
        <w:t xml:space="preserve">; Page </w:t>
      </w:r>
      <w:r w:rsidR="001B3E35">
        <w:rPr>
          <w:sz w:val="24"/>
          <w:szCs w:val="24"/>
        </w:rPr>
        <w:t>10117</w:t>
      </w:r>
      <w:r w:rsidR="00610A1C" w:rsidRPr="00913980">
        <w:rPr>
          <w:sz w:val="24"/>
          <w:szCs w:val="24"/>
        </w:rPr>
        <w:t xml:space="preserve"> on </w:t>
      </w:r>
      <w:r w:rsidR="001B3E35">
        <w:rPr>
          <w:sz w:val="24"/>
          <w:szCs w:val="24"/>
        </w:rPr>
        <w:t>March 19,</w:t>
      </w:r>
      <w:r w:rsidRPr="00913980">
        <w:rPr>
          <w:sz w:val="24"/>
          <w:szCs w:val="24"/>
        </w:rPr>
        <w:t xml:space="preserve"> 201</w:t>
      </w:r>
      <w:r w:rsidR="00913980" w:rsidRPr="00913980">
        <w:rPr>
          <w:sz w:val="24"/>
          <w:szCs w:val="24"/>
        </w:rPr>
        <w:t>9</w:t>
      </w:r>
      <w:r w:rsidRPr="00913980">
        <w:rPr>
          <w:sz w:val="24"/>
          <w:szCs w:val="24"/>
        </w:rPr>
        <w:t>.</w:t>
      </w:r>
      <w:r>
        <w:rPr>
          <w:sz w:val="24"/>
          <w:szCs w:val="24"/>
        </w:rPr>
        <w:t xml:space="preserve">  Th</w:t>
      </w:r>
      <w:r w:rsidR="00610A1C">
        <w:rPr>
          <w:sz w:val="24"/>
          <w:szCs w:val="24"/>
        </w:rPr>
        <w:t xml:space="preserve">e public was given until </w:t>
      </w:r>
      <w:r w:rsidR="001B3E35">
        <w:rPr>
          <w:sz w:val="24"/>
          <w:szCs w:val="24"/>
        </w:rPr>
        <w:t>May 20,</w:t>
      </w:r>
      <w:r w:rsidRPr="00913980">
        <w:rPr>
          <w:sz w:val="24"/>
          <w:szCs w:val="24"/>
        </w:rPr>
        <w:t xml:space="preserve"> 201</w:t>
      </w:r>
      <w:r w:rsidR="00913980" w:rsidRPr="00913980">
        <w:rPr>
          <w:sz w:val="24"/>
          <w:szCs w:val="24"/>
        </w:rPr>
        <w:t xml:space="preserve">9 </w:t>
      </w:r>
      <w:r w:rsidRPr="00913980">
        <w:rPr>
          <w:sz w:val="24"/>
          <w:szCs w:val="24"/>
        </w:rPr>
        <w:t xml:space="preserve">to submit comments on the proposed information collection. </w:t>
      </w:r>
      <w:r w:rsidR="00610A1C" w:rsidRPr="00913980">
        <w:rPr>
          <w:sz w:val="24"/>
          <w:szCs w:val="24"/>
        </w:rPr>
        <w:t xml:space="preserve"> HUD received </w:t>
      </w:r>
      <w:r w:rsidR="001B3E35">
        <w:rPr>
          <w:sz w:val="24"/>
          <w:szCs w:val="24"/>
        </w:rPr>
        <w:t xml:space="preserve">and responded to </w:t>
      </w:r>
      <w:r w:rsidR="00DD7F44">
        <w:rPr>
          <w:sz w:val="24"/>
          <w:szCs w:val="24"/>
        </w:rPr>
        <w:t xml:space="preserve">public </w:t>
      </w:r>
      <w:r w:rsidR="00610A1C" w:rsidRPr="00913980">
        <w:rPr>
          <w:sz w:val="24"/>
          <w:szCs w:val="24"/>
        </w:rPr>
        <w:t>comments</w:t>
      </w:r>
      <w:r w:rsidR="001B3E35">
        <w:rPr>
          <w:sz w:val="24"/>
          <w:szCs w:val="24"/>
        </w:rPr>
        <w:t xml:space="preserve"> from National Low</w:t>
      </w:r>
      <w:r w:rsidR="00C1015C">
        <w:rPr>
          <w:sz w:val="24"/>
          <w:szCs w:val="24"/>
        </w:rPr>
        <w:t>-</w:t>
      </w:r>
      <w:r w:rsidR="001B3E35">
        <w:rPr>
          <w:sz w:val="24"/>
          <w:szCs w:val="24"/>
        </w:rPr>
        <w:t>Income Housing Co</w:t>
      </w:r>
      <w:r w:rsidR="00DD7F44">
        <w:rPr>
          <w:sz w:val="24"/>
          <w:szCs w:val="24"/>
        </w:rPr>
        <w:t>alition (NLIHC), and Santa Clara Pueblo Housing Authority.</w:t>
      </w:r>
    </w:p>
    <w:p w14:paraId="2C5E6126" w14:textId="77777777" w:rsidR="00D746F6" w:rsidRPr="00827857" w:rsidRDefault="00A23370" w:rsidP="00BF7057">
      <w:pPr>
        <w:tabs>
          <w:tab w:val="left" w:pos="360"/>
        </w:tabs>
        <w:ind w:left="360" w:hanging="360"/>
        <w:rPr>
          <w:sz w:val="24"/>
          <w:szCs w:val="24"/>
        </w:rPr>
      </w:pPr>
      <w:r w:rsidRPr="00827857">
        <w:rPr>
          <w:sz w:val="24"/>
          <w:szCs w:val="24"/>
        </w:rPr>
        <w:t xml:space="preserve"> </w:t>
      </w:r>
    </w:p>
    <w:p w14:paraId="3BC1A9A0" w14:textId="77777777" w:rsidR="00BF7057" w:rsidRPr="00323CD4" w:rsidRDefault="00BF7057" w:rsidP="00BF7057">
      <w:pPr>
        <w:tabs>
          <w:tab w:val="left" w:pos="360"/>
        </w:tabs>
        <w:ind w:left="360" w:hanging="360"/>
        <w:rPr>
          <w:b/>
          <w:sz w:val="24"/>
          <w:szCs w:val="24"/>
        </w:rPr>
      </w:pPr>
      <w:r w:rsidRPr="00323CD4">
        <w:rPr>
          <w:b/>
          <w:sz w:val="24"/>
          <w:szCs w:val="24"/>
        </w:rPr>
        <w:t>9.</w:t>
      </w:r>
      <w:r w:rsidRPr="00323CD4">
        <w:rPr>
          <w:b/>
          <w:sz w:val="24"/>
          <w:szCs w:val="24"/>
        </w:rPr>
        <w:tab/>
        <w:t>Explain any decision to provide any payment or gift to respondents, other than remuneration of contractors or grantees.</w:t>
      </w:r>
    </w:p>
    <w:p w14:paraId="0F952928" w14:textId="77777777" w:rsidR="00C53525" w:rsidRPr="00827857" w:rsidRDefault="00C53525">
      <w:pPr>
        <w:tabs>
          <w:tab w:val="left" w:pos="360"/>
          <w:tab w:val="left" w:pos="720"/>
        </w:tabs>
        <w:ind w:left="360"/>
        <w:rPr>
          <w:rFonts w:ascii="Arial" w:hAnsi="Arial"/>
          <w:sz w:val="24"/>
          <w:szCs w:val="24"/>
        </w:rPr>
      </w:pPr>
    </w:p>
    <w:p w14:paraId="6858A8B0" w14:textId="77777777" w:rsidR="00D746F6" w:rsidRPr="00DA1AEC" w:rsidRDefault="00D746F6" w:rsidP="00D746F6">
      <w:pPr>
        <w:rPr>
          <w:sz w:val="24"/>
          <w:szCs w:val="24"/>
        </w:rPr>
      </w:pPr>
      <w:r w:rsidRPr="00DA1AEC">
        <w:rPr>
          <w:color w:val="000000"/>
          <w:sz w:val="24"/>
          <w:szCs w:val="24"/>
        </w:rPr>
        <w:t>There are no provisions to provide any payments or gifts to respondents, other than remuner</w:t>
      </w:r>
      <w:r w:rsidR="00914910">
        <w:rPr>
          <w:color w:val="000000"/>
          <w:sz w:val="24"/>
          <w:szCs w:val="24"/>
        </w:rPr>
        <w:t>ation of contractors or recipients</w:t>
      </w:r>
      <w:r w:rsidRPr="00DA1AEC">
        <w:rPr>
          <w:color w:val="000000"/>
          <w:sz w:val="24"/>
          <w:szCs w:val="24"/>
        </w:rPr>
        <w:t>.</w:t>
      </w:r>
    </w:p>
    <w:p w14:paraId="2C4C5AE1" w14:textId="77777777" w:rsidR="00C53525" w:rsidRDefault="00C53525" w:rsidP="00BF7057">
      <w:pPr>
        <w:tabs>
          <w:tab w:val="left" w:pos="360"/>
        </w:tabs>
        <w:rPr>
          <w:sz w:val="18"/>
        </w:rPr>
      </w:pPr>
    </w:p>
    <w:p w14:paraId="084735A5" w14:textId="77777777" w:rsidR="00BF7057" w:rsidRPr="00323CD4" w:rsidRDefault="00BF7057" w:rsidP="00BF7057">
      <w:pPr>
        <w:tabs>
          <w:tab w:val="left" w:pos="360"/>
        </w:tabs>
        <w:ind w:left="360" w:hanging="360"/>
        <w:rPr>
          <w:b/>
          <w:sz w:val="24"/>
          <w:szCs w:val="24"/>
        </w:rPr>
      </w:pPr>
      <w:r w:rsidRPr="00323CD4">
        <w:rPr>
          <w:b/>
          <w:sz w:val="24"/>
          <w:szCs w:val="24"/>
        </w:rPr>
        <w:t>10.</w:t>
      </w:r>
      <w:r w:rsidRPr="00323CD4">
        <w:rPr>
          <w:b/>
          <w:sz w:val="24"/>
          <w:szCs w:val="24"/>
        </w:rPr>
        <w:tab/>
        <w:t>Describe any assurance of confidentiality provided to respondents and the basis for assurance in statute, regulation or agency policy.</w:t>
      </w:r>
    </w:p>
    <w:p w14:paraId="2EE1AE7E" w14:textId="77777777" w:rsidR="00C53525" w:rsidRDefault="00C53525">
      <w:pPr>
        <w:rPr>
          <w:rFonts w:ascii="Arial" w:hAnsi="Arial"/>
          <w:sz w:val="24"/>
        </w:rPr>
      </w:pPr>
    </w:p>
    <w:p w14:paraId="69E6E7C6" w14:textId="77777777" w:rsidR="00D746F6" w:rsidRDefault="00D746F6" w:rsidP="00B4564D">
      <w:pPr>
        <w:rPr>
          <w:color w:val="000000"/>
          <w:sz w:val="24"/>
          <w:szCs w:val="24"/>
        </w:rPr>
      </w:pPr>
      <w:r w:rsidRPr="00DA1AEC">
        <w:rPr>
          <w:color w:val="000000"/>
          <w:sz w:val="24"/>
          <w:szCs w:val="24"/>
        </w:rPr>
        <w:t xml:space="preserve">The information collection </w:t>
      </w:r>
      <w:r w:rsidR="00B4564D">
        <w:rPr>
          <w:color w:val="000000"/>
          <w:sz w:val="24"/>
          <w:szCs w:val="24"/>
        </w:rPr>
        <w:t xml:space="preserve">for these programs </w:t>
      </w:r>
      <w:r w:rsidRPr="00DA1AEC">
        <w:rPr>
          <w:color w:val="000000"/>
          <w:sz w:val="24"/>
          <w:szCs w:val="24"/>
        </w:rPr>
        <w:t>is public information; therefore, there is no assurance of confidentiality.</w:t>
      </w:r>
    </w:p>
    <w:p w14:paraId="7A3FC0D9" w14:textId="77777777" w:rsidR="00C53525" w:rsidRDefault="00C53525" w:rsidP="00E9075E">
      <w:pPr>
        <w:tabs>
          <w:tab w:val="left" w:pos="360"/>
        </w:tabs>
        <w:rPr>
          <w:sz w:val="18"/>
        </w:rPr>
      </w:pPr>
    </w:p>
    <w:p w14:paraId="7AD62E1B" w14:textId="77777777" w:rsidR="00BF7057" w:rsidRPr="00323CD4" w:rsidRDefault="00BF7057" w:rsidP="00BF7057">
      <w:pPr>
        <w:tabs>
          <w:tab w:val="left" w:pos="360"/>
        </w:tabs>
        <w:ind w:left="360" w:hanging="360"/>
        <w:rPr>
          <w:b/>
          <w:sz w:val="24"/>
          <w:szCs w:val="24"/>
        </w:rPr>
      </w:pPr>
      <w:r w:rsidRPr="00323CD4">
        <w:rPr>
          <w:b/>
          <w:sz w:val="24"/>
          <w:szCs w:val="24"/>
        </w:rPr>
        <w:t>11.</w:t>
      </w:r>
      <w:r w:rsidRPr="00323CD4">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5B3AF22" w14:textId="77777777" w:rsidR="00C53525" w:rsidRDefault="00C53525">
      <w:pPr>
        <w:rPr>
          <w:rFonts w:ascii="Arial" w:hAnsi="Arial"/>
          <w:sz w:val="24"/>
        </w:rPr>
      </w:pPr>
    </w:p>
    <w:p w14:paraId="59525F6D" w14:textId="77777777" w:rsidR="00441F7F" w:rsidRDefault="00D746F6" w:rsidP="00D746F6">
      <w:pPr>
        <w:rPr>
          <w:rFonts w:eastAsia="Calibri"/>
          <w:color w:val="000000"/>
          <w:sz w:val="24"/>
          <w:szCs w:val="24"/>
        </w:rPr>
      </w:pPr>
      <w:r w:rsidRPr="00FE3406">
        <w:rPr>
          <w:rFonts w:eastAsia="Calibri"/>
          <w:color w:val="000000"/>
          <w:sz w:val="24"/>
          <w:szCs w:val="24"/>
        </w:rPr>
        <w:t>There are no questions of a sensitive nature included in the information to be collected.</w:t>
      </w:r>
    </w:p>
    <w:p w14:paraId="4823BBA7" w14:textId="77777777" w:rsidR="00D746F6" w:rsidRDefault="00D746F6" w:rsidP="00DC2479">
      <w:pPr>
        <w:rPr>
          <w:rFonts w:eastAsia="Calibri"/>
          <w:color w:val="000000"/>
          <w:sz w:val="24"/>
          <w:szCs w:val="24"/>
        </w:rPr>
      </w:pPr>
    </w:p>
    <w:p w14:paraId="1DE2D474" w14:textId="77777777" w:rsidR="00BF7057" w:rsidRPr="00323CD4" w:rsidRDefault="00BF7057" w:rsidP="00BF7057">
      <w:pPr>
        <w:tabs>
          <w:tab w:val="left" w:pos="360"/>
        </w:tabs>
        <w:ind w:left="360" w:hanging="360"/>
        <w:rPr>
          <w:b/>
          <w:sz w:val="24"/>
          <w:szCs w:val="24"/>
        </w:rPr>
      </w:pPr>
      <w:r w:rsidRPr="00323CD4">
        <w:rPr>
          <w:b/>
          <w:sz w:val="24"/>
          <w:szCs w:val="24"/>
        </w:rPr>
        <w:t>12.</w:t>
      </w:r>
      <w:r w:rsidRPr="00323CD4">
        <w:rPr>
          <w:b/>
          <w:sz w:val="24"/>
          <w:szCs w:val="24"/>
        </w:rPr>
        <w:tab/>
        <w:t xml:space="preserve">Provide estimates of the hour burden of the collection of information.  The statement should: </w:t>
      </w:r>
    </w:p>
    <w:p w14:paraId="21FD375D" w14:textId="77777777" w:rsidR="00BF7057" w:rsidRPr="00323CD4" w:rsidRDefault="00BF7057" w:rsidP="00BF7057">
      <w:pPr>
        <w:numPr>
          <w:ilvl w:val="0"/>
          <w:numId w:val="16"/>
        </w:numPr>
        <w:ind w:left="540" w:hanging="180"/>
        <w:rPr>
          <w:b/>
          <w:sz w:val="24"/>
          <w:szCs w:val="24"/>
        </w:rPr>
      </w:pPr>
      <w:r w:rsidRPr="00323CD4">
        <w:rPr>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0A41C0BB" w14:textId="77777777" w:rsidR="00BF7057" w:rsidRPr="00323CD4" w:rsidRDefault="00BF7057" w:rsidP="00BF7057">
      <w:pPr>
        <w:numPr>
          <w:ilvl w:val="0"/>
          <w:numId w:val="16"/>
        </w:numPr>
        <w:ind w:left="540" w:hanging="180"/>
        <w:rPr>
          <w:b/>
          <w:sz w:val="24"/>
          <w:szCs w:val="24"/>
        </w:rPr>
      </w:pPr>
      <w:r w:rsidRPr="00323CD4">
        <w:rPr>
          <w:b/>
          <w:sz w:val="24"/>
          <w:szCs w:val="24"/>
        </w:rPr>
        <w:t xml:space="preserve">if this request covers more than one form, provide separate hour burden estimates for each form and aggregate the hour burdens in Item 13 of OMB Form 83-I; and </w:t>
      </w:r>
    </w:p>
    <w:p w14:paraId="178B8686" w14:textId="77777777" w:rsidR="009E59D8" w:rsidRDefault="00BF7057" w:rsidP="009E59D8">
      <w:pPr>
        <w:numPr>
          <w:ilvl w:val="0"/>
          <w:numId w:val="16"/>
        </w:numPr>
        <w:ind w:left="540" w:hanging="180"/>
        <w:rPr>
          <w:b/>
          <w:sz w:val="24"/>
          <w:szCs w:val="24"/>
        </w:rPr>
      </w:pPr>
      <w:r w:rsidRPr="00323CD4">
        <w:rPr>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5EB48C2F" w14:textId="77777777" w:rsidR="009E59D8" w:rsidRPr="009E59D8" w:rsidRDefault="009E59D8" w:rsidP="009E59D8">
      <w:pPr>
        <w:ind w:left="540"/>
        <w:rPr>
          <w:b/>
          <w:sz w:val="24"/>
          <w:szCs w:val="24"/>
        </w:rPr>
      </w:pPr>
    </w:p>
    <w:p w14:paraId="4F72C82E" w14:textId="6A043D1C" w:rsidR="00B4564D" w:rsidRDefault="00B4564D" w:rsidP="00B4564D">
      <w:pPr>
        <w:shd w:val="clear" w:color="auto" w:fill="FFFFFF"/>
        <w:rPr>
          <w:sz w:val="24"/>
          <w:szCs w:val="24"/>
        </w:rPr>
      </w:pPr>
      <w:r w:rsidRPr="00097122">
        <w:rPr>
          <w:color w:val="000000"/>
          <w:sz w:val="24"/>
          <w:szCs w:val="24"/>
        </w:rPr>
        <w:t xml:space="preserve">The </w:t>
      </w:r>
      <w:r w:rsidR="009E59D8">
        <w:rPr>
          <w:color w:val="000000"/>
          <w:sz w:val="24"/>
          <w:szCs w:val="24"/>
        </w:rPr>
        <w:t xml:space="preserve">following </w:t>
      </w:r>
      <w:r w:rsidRPr="00097122">
        <w:rPr>
          <w:color w:val="000000"/>
          <w:sz w:val="24"/>
          <w:szCs w:val="24"/>
        </w:rPr>
        <w:t>table</w:t>
      </w:r>
      <w:r w:rsidRPr="00097122">
        <w:rPr>
          <w:rFonts w:eastAsia="Calibri"/>
          <w:color w:val="000000"/>
          <w:sz w:val="24"/>
          <w:szCs w:val="24"/>
        </w:rPr>
        <w:t xml:space="preserve"> provides estimates on the number of respondents, frequency of submissions, total responses, and the estimated annual burden</w:t>
      </w:r>
      <w:r w:rsidR="005149C2">
        <w:rPr>
          <w:rFonts w:eastAsia="Calibri"/>
          <w:color w:val="000000"/>
          <w:sz w:val="24"/>
          <w:szCs w:val="24"/>
        </w:rPr>
        <w:t xml:space="preserve"> and costs</w:t>
      </w:r>
      <w:r w:rsidRPr="00097122">
        <w:rPr>
          <w:rFonts w:eastAsia="Calibri"/>
          <w:color w:val="000000"/>
          <w:sz w:val="24"/>
          <w:szCs w:val="24"/>
        </w:rPr>
        <w:t xml:space="preserve">.  </w:t>
      </w:r>
      <w:r w:rsidRPr="00097122">
        <w:rPr>
          <w:sz w:val="24"/>
          <w:szCs w:val="24"/>
        </w:rPr>
        <w:t xml:space="preserve">The estimated levels of effort are based on </w:t>
      </w:r>
      <w:r>
        <w:rPr>
          <w:sz w:val="24"/>
          <w:szCs w:val="24"/>
        </w:rPr>
        <w:t xml:space="preserve">recent </w:t>
      </w:r>
      <w:r w:rsidRPr="00097122">
        <w:rPr>
          <w:sz w:val="24"/>
          <w:szCs w:val="24"/>
        </w:rPr>
        <w:t xml:space="preserve">discussions with ONAP staff and their interactions with tribes and tribally designated housing entities. </w:t>
      </w:r>
    </w:p>
    <w:p w14:paraId="0F4398E9" w14:textId="15893945" w:rsidR="005149C2" w:rsidRDefault="005149C2" w:rsidP="00B4564D">
      <w:pPr>
        <w:shd w:val="clear" w:color="auto" w:fill="FFFFFF"/>
        <w:rPr>
          <w:b/>
          <w:sz w:val="24"/>
          <w:szCs w:val="24"/>
        </w:rPr>
      </w:pPr>
    </w:p>
    <w:p w14:paraId="4C66BA26" w14:textId="607CEA58" w:rsidR="005149C2" w:rsidRDefault="005149C2" w:rsidP="00B4564D">
      <w:pPr>
        <w:shd w:val="clear" w:color="auto" w:fill="FFFFFF"/>
        <w:rPr>
          <w:b/>
          <w:sz w:val="24"/>
          <w:szCs w:val="24"/>
        </w:rPr>
      </w:pPr>
      <w:r>
        <w:rPr>
          <w:b/>
          <w:sz w:val="24"/>
          <w:szCs w:val="24"/>
        </w:rPr>
        <w:t xml:space="preserve">Estimated Hourly Rates: </w:t>
      </w:r>
    </w:p>
    <w:p w14:paraId="5AC9388B" w14:textId="29692688" w:rsidR="005149C2" w:rsidRDefault="005149C2" w:rsidP="00B4564D">
      <w:pPr>
        <w:shd w:val="clear" w:color="auto" w:fill="FFFFFF"/>
        <w:rPr>
          <w:sz w:val="24"/>
          <w:szCs w:val="24"/>
        </w:rPr>
      </w:pPr>
      <w:r w:rsidRPr="005149C2">
        <w:rPr>
          <w:sz w:val="24"/>
          <w:szCs w:val="24"/>
        </w:rPr>
        <w:t>$</w:t>
      </w:r>
      <w:r w:rsidR="00BA076B">
        <w:rPr>
          <w:sz w:val="24"/>
          <w:szCs w:val="24"/>
        </w:rPr>
        <w:t>36</w:t>
      </w:r>
      <w:r w:rsidRPr="005149C2">
        <w:rPr>
          <w:sz w:val="24"/>
          <w:szCs w:val="24"/>
        </w:rPr>
        <w:t xml:space="preserve">/hour represents a mid-level staff position in a mid-sized tribal government at an average annual salary of </w:t>
      </w:r>
      <w:r w:rsidR="00BA076B">
        <w:rPr>
          <w:sz w:val="24"/>
          <w:szCs w:val="24"/>
        </w:rPr>
        <w:t>approximately $75,000</w:t>
      </w:r>
      <w:r w:rsidRPr="005149C2">
        <w:rPr>
          <w:sz w:val="24"/>
          <w:szCs w:val="24"/>
        </w:rPr>
        <w:t>.</w:t>
      </w:r>
    </w:p>
    <w:p w14:paraId="631AA572" w14:textId="1049F84F" w:rsidR="005149C2" w:rsidRDefault="005149C2" w:rsidP="00B4564D">
      <w:pPr>
        <w:shd w:val="clear" w:color="auto" w:fill="FFFFFF"/>
        <w:rPr>
          <w:rFonts w:eastAsia="Calibri"/>
          <w:color w:val="000000"/>
          <w:sz w:val="24"/>
          <w:szCs w:val="24"/>
        </w:rPr>
      </w:pPr>
    </w:p>
    <w:p w14:paraId="00C7A5C7" w14:textId="69914053" w:rsidR="005149C2" w:rsidRPr="005149C2" w:rsidRDefault="005149C2" w:rsidP="00B4564D">
      <w:pPr>
        <w:shd w:val="clear" w:color="auto" w:fill="FFFFFF"/>
        <w:rPr>
          <w:b/>
          <w:sz w:val="24"/>
          <w:szCs w:val="24"/>
        </w:rPr>
      </w:pPr>
      <w:r w:rsidRPr="005149C2">
        <w:rPr>
          <w:b/>
          <w:sz w:val="24"/>
          <w:szCs w:val="24"/>
        </w:rPr>
        <w:t>Estimated Number of Respondents, Responses, and Annual Burden Hours and Costs</w:t>
      </w:r>
    </w:p>
    <w:p w14:paraId="1A9E1A0B" w14:textId="3A66FCE3" w:rsidR="00B26545" w:rsidRDefault="00B26545" w:rsidP="00284658">
      <w:pPr>
        <w:tabs>
          <w:tab w:val="left" w:pos="360"/>
        </w:tabs>
        <w:rPr>
          <w:rFonts w:eastAsia="Calibri"/>
          <w:color w:val="000000"/>
          <w:sz w:val="24"/>
          <w:szCs w:val="24"/>
        </w:rPr>
      </w:pPr>
    </w:p>
    <w:p w14:paraId="3198349A" w14:textId="4EFDBDE2" w:rsidR="00F51E74" w:rsidRPr="00CB33E5" w:rsidRDefault="002D4837" w:rsidP="00CB33E5">
      <w:pPr>
        <w:tabs>
          <w:tab w:val="left" w:pos="9195"/>
        </w:tabs>
      </w:pPr>
      <w:bookmarkStart w:id="20" w:name="_Hlk530556711"/>
      <w:r>
        <w:rPr>
          <w:noProof/>
        </w:rPr>
        <w:drawing>
          <wp:inline distT="0" distB="0" distL="0" distR="0" wp14:anchorId="776A5CE4" wp14:editId="36CEC771">
            <wp:extent cx="6858000" cy="35185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3518535"/>
                    </a:xfrm>
                    <a:prstGeom prst="rect">
                      <a:avLst/>
                    </a:prstGeom>
                  </pic:spPr>
                </pic:pic>
              </a:graphicData>
            </a:graphic>
          </wp:inline>
        </w:drawing>
      </w:r>
    </w:p>
    <w:bookmarkEnd w:id="20"/>
    <w:p w14:paraId="3E59DC2E" w14:textId="77777777" w:rsidR="00C53525" w:rsidRDefault="00C53525" w:rsidP="00BF7057">
      <w:pPr>
        <w:tabs>
          <w:tab w:val="left" w:pos="360"/>
        </w:tabs>
        <w:rPr>
          <w:sz w:val="18"/>
        </w:rPr>
      </w:pPr>
    </w:p>
    <w:p w14:paraId="1860B5CB" w14:textId="77777777" w:rsidR="00BF7057" w:rsidRPr="00BF7057" w:rsidRDefault="00BF7057" w:rsidP="00BF7057">
      <w:pPr>
        <w:tabs>
          <w:tab w:val="left" w:pos="360"/>
        </w:tabs>
        <w:ind w:left="360" w:hanging="360"/>
        <w:rPr>
          <w:b/>
          <w:sz w:val="24"/>
          <w:szCs w:val="24"/>
        </w:rPr>
      </w:pPr>
      <w:r w:rsidRPr="00BF7057">
        <w:rPr>
          <w:b/>
          <w:sz w:val="24"/>
          <w:szCs w:val="24"/>
        </w:rPr>
        <w:t>13.</w:t>
      </w:r>
      <w:r w:rsidRPr="00BF7057">
        <w:rPr>
          <w:b/>
          <w:sz w:val="24"/>
          <w:szCs w:val="24"/>
        </w:rPr>
        <w:tab/>
        <w:t xml:space="preserve">Provide an estimate of the total annual cost burden to respondents or record keepers resulting from the collection of information (do not include the cost of any hour burden shown in Items 12 and 14). </w:t>
      </w:r>
    </w:p>
    <w:p w14:paraId="512AE17F" w14:textId="77777777" w:rsidR="00BF7057" w:rsidRPr="00BF7057" w:rsidRDefault="00BF7057" w:rsidP="00BF7057">
      <w:pPr>
        <w:numPr>
          <w:ilvl w:val="0"/>
          <w:numId w:val="8"/>
        </w:numPr>
        <w:tabs>
          <w:tab w:val="left" w:pos="360"/>
        </w:tabs>
        <w:ind w:left="480"/>
        <w:rPr>
          <w:b/>
          <w:sz w:val="24"/>
          <w:szCs w:val="24"/>
        </w:rPr>
      </w:pPr>
      <w:r w:rsidRPr="00BF7057">
        <w:rPr>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75199A2D" w14:textId="77777777" w:rsidR="00BF7057" w:rsidRPr="00BF7057" w:rsidRDefault="00BF7057" w:rsidP="00BF7057">
      <w:pPr>
        <w:numPr>
          <w:ilvl w:val="0"/>
          <w:numId w:val="8"/>
        </w:numPr>
        <w:tabs>
          <w:tab w:val="left" w:pos="360"/>
        </w:tabs>
        <w:ind w:left="480"/>
        <w:rPr>
          <w:b/>
          <w:sz w:val="24"/>
          <w:szCs w:val="24"/>
        </w:rPr>
      </w:pPr>
      <w:r w:rsidRPr="00BF7057">
        <w:rPr>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723CB6C4" w14:textId="77777777" w:rsidR="00BF7057" w:rsidRPr="00BF7057" w:rsidRDefault="00BF7057" w:rsidP="00BF7057">
      <w:pPr>
        <w:numPr>
          <w:ilvl w:val="0"/>
          <w:numId w:val="8"/>
        </w:numPr>
        <w:tabs>
          <w:tab w:val="left" w:pos="360"/>
        </w:tabs>
        <w:ind w:left="480"/>
        <w:rPr>
          <w:b/>
          <w:sz w:val="24"/>
          <w:szCs w:val="24"/>
        </w:rPr>
      </w:pPr>
      <w:r w:rsidRPr="00BF7057">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E3C7850" w14:textId="77777777" w:rsidR="00BF7057" w:rsidRDefault="00BF7057">
      <w:pPr>
        <w:tabs>
          <w:tab w:val="left" w:pos="360"/>
        </w:tabs>
        <w:ind w:left="336"/>
        <w:rPr>
          <w:sz w:val="18"/>
        </w:rPr>
      </w:pPr>
    </w:p>
    <w:p w14:paraId="10E05953" w14:textId="77777777" w:rsidR="00020F12" w:rsidRDefault="00B26545">
      <w:pPr>
        <w:tabs>
          <w:tab w:val="left" w:pos="360"/>
          <w:tab w:val="left" w:pos="720"/>
        </w:tabs>
        <w:ind w:left="360"/>
        <w:rPr>
          <w:rFonts w:eastAsia="Calibri"/>
          <w:color w:val="000000"/>
          <w:sz w:val="24"/>
          <w:szCs w:val="24"/>
        </w:rPr>
      </w:pPr>
      <w:r>
        <w:rPr>
          <w:rFonts w:eastAsia="Calibri"/>
          <w:color w:val="000000"/>
          <w:sz w:val="24"/>
          <w:szCs w:val="24"/>
        </w:rPr>
        <w:t>See table above.</w:t>
      </w:r>
    </w:p>
    <w:p w14:paraId="09CF8AD7" w14:textId="77777777" w:rsidR="00B26545" w:rsidRDefault="00B26545">
      <w:pPr>
        <w:tabs>
          <w:tab w:val="left" w:pos="360"/>
          <w:tab w:val="left" w:pos="720"/>
        </w:tabs>
        <w:ind w:left="360"/>
        <w:rPr>
          <w:sz w:val="18"/>
        </w:rPr>
      </w:pPr>
    </w:p>
    <w:p w14:paraId="7A0E0ABB" w14:textId="77777777" w:rsidR="00BF7057" w:rsidRPr="00BF7057" w:rsidRDefault="00BF7057" w:rsidP="00BF7057">
      <w:pPr>
        <w:tabs>
          <w:tab w:val="left" w:pos="360"/>
        </w:tabs>
        <w:ind w:left="360" w:hanging="360"/>
        <w:rPr>
          <w:b/>
          <w:sz w:val="24"/>
          <w:szCs w:val="24"/>
        </w:rPr>
      </w:pPr>
      <w:r w:rsidRPr="00BF7057">
        <w:rPr>
          <w:b/>
          <w:sz w:val="24"/>
          <w:szCs w:val="24"/>
        </w:rPr>
        <w:t>14.</w:t>
      </w:r>
      <w:r w:rsidRPr="00BF7057">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7BEA3B8" w14:textId="2FA8F3C6" w:rsidR="00C53525" w:rsidRDefault="00C53525">
      <w:pPr>
        <w:tabs>
          <w:tab w:val="left" w:pos="360"/>
          <w:tab w:val="left" w:pos="720"/>
        </w:tabs>
        <w:ind w:left="360"/>
        <w:rPr>
          <w:sz w:val="18"/>
        </w:rPr>
      </w:pPr>
    </w:p>
    <w:p w14:paraId="3940E317" w14:textId="77777777" w:rsidR="00C27AB3" w:rsidRDefault="00C27AB3" w:rsidP="00C27AB3">
      <w:pPr>
        <w:shd w:val="clear" w:color="auto" w:fill="FFFFFF"/>
        <w:ind w:left="360"/>
        <w:rPr>
          <w:b/>
          <w:sz w:val="24"/>
          <w:szCs w:val="24"/>
        </w:rPr>
      </w:pPr>
      <w:r>
        <w:rPr>
          <w:b/>
          <w:sz w:val="24"/>
          <w:szCs w:val="24"/>
        </w:rPr>
        <w:t xml:space="preserve">Estimated Hourly Rates: </w:t>
      </w:r>
    </w:p>
    <w:p w14:paraId="124A386D" w14:textId="1C92D5ED" w:rsidR="00C27AB3" w:rsidRDefault="00C27AB3" w:rsidP="00C27AB3">
      <w:pPr>
        <w:shd w:val="clear" w:color="auto" w:fill="FFFFFF"/>
        <w:ind w:left="360"/>
        <w:rPr>
          <w:sz w:val="24"/>
          <w:szCs w:val="24"/>
        </w:rPr>
      </w:pPr>
      <w:r w:rsidRPr="005149C2">
        <w:rPr>
          <w:sz w:val="24"/>
          <w:szCs w:val="24"/>
        </w:rPr>
        <w:t>$</w:t>
      </w:r>
      <w:r w:rsidR="00314A03">
        <w:rPr>
          <w:sz w:val="24"/>
          <w:szCs w:val="24"/>
        </w:rPr>
        <w:t>25</w:t>
      </w:r>
      <w:r w:rsidRPr="005149C2">
        <w:rPr>
          <w:sz w:val="24"/>
          <w:szCs w:val="24"/>
        </w:rPr>
        <w:t>/hour represents the mean in the FY 2019 GS-1</w:t>
      </w:r>
      <w:r w:rsidR="00314A03">
        <w:rPr>
          <w:sz w:val="24"/>
          <w:szCs w:val="24"/>
        </w:rPr>
        <w:t>1, Step 1</w:t>
      </w:r>
      <w:r w:rsidRPr="005149C2">
        <w:rPr>
          <w:sz w:val="24"/>
          <w:szCs w:val="24"/>
        </w:rPr>
        <w:t xml:space="preserve"> schedule for an Area ONAP.</w:t>
      </w:r>
    </w:p>
    <w:p w14:paraId="36FF8000" w14:textId="5D3CE516" w:rsidR="00C27AB3" w:rsidRPr="005149C2" w:rsidRDefault="00C27AB3" w:rsidP="00C27AB3">
      <w:pPr>
        <w:overflowPunct/>
        <w:autoSpaceDE/>
        <w:autoSpaceDN/>
        <w:adjustRightInd/>
        <w:ind w:left="360"/>
        <w:textAlignment w:val="auto"/>
        <w:rPr>
          <w:color w:val="000000"/>
          <w:sz w:val="24"/>
          <w:szCs w:val="24"/>
        </w:rPr>
      </w:pPr>
      <w:r w:rsidRPr="005149C2">
        <w:rPr>
          <w:color w:val="000000"/>
          <w:sz w:val="24"/>
          <w:szCs w:val="24"/>
        </w:rPr>
        <w:t>$46/hour represents the mean in the FY 2019 GS-13</w:t>
      </w:r>
      <w:r w:rsidR="00314A03">
        <w:rPr>
          <w:color w:val="000000"/>
          <w:sz w:val="24"/>
          <w:szCs w:val="24"/>
        </w:rPr>
        <w:t xml:space="preserve"> Step 1</w:t>
      </w:r>
      <w:r w:rsidRPr="005149C2">
        <w:rPr>
          <w:color w:val="000000"/>
          <w:sz w:val="24"/>
          <w:szCs w:val="24"/>
        </w:rPr>
        <w:t xml:space="preserve"> schedule for HQ ONAP.</w:t>
      </w:r>
    </w:p>
    <w:p w14:paraId="7F9CB10B" w14:textId="77777777" w:rsidR="00C27AB3" w:rsidRDefault="00C27AB3" w:rsidP="00C27AB3">
      <w:pPr>
        <w:tabs>
          <w:tab w:val="left" w:pos="360"/>
          <w:tab w:val="left" w:pos="720"/>
        </w:tabs>
        <w:ind w:left="360"/>
        <w:rPr>
          <w:sz w:val="18"/>
        </w:rPr>
      </w:pPr>
    </w:p>
    <w:p w14:paraId="56B91D49" w14:textId="34F911D7" w:rsidR="00C27AB3" w:rsidRDefault="00C27AB3" w:rsidP="00C27AB3">
      <w:pPr>
        <w:overflowPunct/>
        <w:autoSpaceDE/>
        <w:autoSpaceDN/>
        <w:adjustRightInd/>
        <w:ind w:left="360"/>
        <w:textAlignment w:val="auto"/>
        <w:rPr>
          <w:b/>
          <w:bCs/>
          <w:color w:val="000000"/>
          <w:sz w:val="24"/>
          <w:szCs w:val="24"/>
        </w:rPr>
      </w:pPr>
      <w:r w:rsidRPr="00C27AB3">
        <w:rPr>
          <w:b/>
          <w:bCs/>
          <w:color w:val="000000"/>
          <w:sz w:val="24"/>
          <w:szCs w:val="24"/>
        </w:rPr>
        <w:t>Annualized Cost to the Federal Government</w:t>
      </w:r>
    </w:p>
    <w:p w14:paraId="522E3667" w14:textId="35C60654" w:rsidR="00C27AB3" w:rsidRDefault="00C27AB3" w:rsidP="00C27AB3">
      <w:pPr>
        <w:overflowPunct/>
        <w:autoSpaceDE/>
        <w:autoSpaceDN/>
        <w:adjustRightInd/>
        <w:ind w:left="360"/>
        <w:textAlignment w:val="auto"/>
        <w:rPr>
          <w:b/>
          <w:bCs/>
          <w:color w:val="000000"/>
          <w:sz w:val="24"/>
          <w:szCs w:val="24"/>
        </w:rPr>
      </w:pPr>
    </w:p>
    <w:p w14:paraId="08ED9AE9" w14:textId="336077F3" w:rsidR="002D4837" w:rsidRDefault="002D4837" w:rsidP="00C27AB3">
      <w:pPr>
        <w:overflowPunct/>
        <w:autoSpaceDE/>
        <w:autoSpaceDN/>
        <w:adjustRightInd/>
        <w:ind w:left="360"/>
        <w:textAlignment w:val="auto"/>
        <w:rPr>
          <w:b/>
          <w:bCs/>
          <w:color w:val="000000"/>
          <w:sz w:val="24"/>
          <w:szCs w:val="24"/>
        </w:rPr>
      </w:pPr>
      <w:r>
        <w:rPr>
          <w:noProof/>
        </w:rPr>
        <w:drawing>
          <wp:inline distT="0" distB="0" distL="0" distR="0" wp14:anchorId="16E66DD0" wp14:editId="127A6E80">
            <wp:extent cx="6858000" cy="381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3810000"/>
                    </a:xfrm>
                    <a:prstGeom prst="rect">
                      <a:avLst/>
                    </a:prstGeom>
                  </pic:spPr>
                </pic:pic>
              </a:graphicData>
            </a:graphic>
          </wp:inline>
        </w:drawing>
      </w:r>
    </w:p>
    <w:p w14:paraId="55028104" w14:textId="77777777" w:rsidR="002D4837" w:rsidRDefault="002D4837" w:rsidP="00C27AB3">
      <w:pPr>
        <w:overflowPunct/>
        <w:autoSpaceDE/>
        <w:autoSpaceDN/>
        <w:adjustRightInd/>
        <w:ind w:left="360"/>
        <w:textAlignment w:val="auto"/>
        <w:rPr>
          <w:b/>
          <w:bCs/>
          <w:color w:val="000000"/>
          <w:sz w:val="24"/>
          <w:szCs w:val="24"/>
        </w:rPr>
      </w:pPr>
    </w:p>
    <w:p w14:paraId="66846052" w14:textId="77777777" w:rsidR="0009602E" w:rsidRPr="0009602E" w:rsidRDefault="0009602E" w:rsidP="00BF7057">
      <w:pPr>
        <w:tabs>
          <w:tab w:val="left" w:pos="360"/>
        </w:tabs>
        <w:rPr>
          <w:rFonts w:eastAsia="Calibri"/>
          <w:color w:val="1F497D"/>
          <w:sz w:val="22"/>
          <w:szCs w:val="22"/>
        </w:rPr>
      </w:pPr>
    </w:p>
    <w:p w14:paraId="7F70057F" w14:textId="77777777" w:rsidR="00C53525" w:rsidRDefault="00BF7057" w:rsidP="00BF7057">
      <w:pPr>
        <w:tabs>
          <w:tab w:val="left" w:pos="360"/>
        </w:tabs>
        <w:ind w:left="360" w:hanging="360"/>
        <w:rPr>
          <w:b/>
          <w:sz w:val="24"/>
          <w:szCs w:val="24"/>
        </w:rPr>
      </w:pPr>
      <w:r w:rsidRPr="00BF7057">
        <w:rPr>
          <w:b/>
          <w:sz w:val="24"/>
          <w:szCs w:val="24"/>
        </w:rPr>
        <w:t>15.</w:t>
      </w:r>
      <w:r w:rsidRPr="00BF7057">
        <w:rPr>
          <w:b/>
          <w:sz w:val="24"/>
          <w:szCs w:val="24"/>
        </w:rPr>
        <w:tab/>
        <w:t>Explain the reasons for any program changes or adjustments reported in Items 13 and 14 of the OMB Form 83-I.</w:t>
      </w:r>
    </w:p>
    <w:p w14:paraId="078FE5EE" w14:textId="77777777" w:rsidR="00BF7057" w:rsidRPr="00BF7057" w:rsidRDefault="00BF7057" w:rsidP="00BF7057">
      <w:pPr>
        <w:tabs>
          <w:tab w:val="left" w:pos="360"/>
        </w:tabs>
        <w:ind w:left="360" w:hanging="360"/>
        <w:rPr>
          <w:b/>
          <w:sz w:val="24"/>
          <w:szCs w:val="24"/>
        </w:rPr>
      </w:pPr>
    </w:p>
    <w:p w14:paraId="4DD50616" w14:textId="246B8388" w:rsidR="002D4837" w:rsidRDefault="002D4837" w:rsidP="000528DE">
      <w:pPr>
        <w:rPr>
          <w:sz w:val="24"/>
        </w:rPr>
      </w:pPr>
      <w:r>
        <w:rPr>
          <w:sz w:val="24"/>
        </w:rPr>
        <w:t>The number of respondents increased due to two factors: increased number of IHBG recipients and the inclusion of the IHBG Competitive program</w:t>
      </w:r>
    </w:p>
    <w:p w14:paraId="0D366C67" w14:textId="77777777" w:rsidR="002D4837" w:rsidRDefault="002D4837" w:rsidP="000528DE">
      <w:pPr>
        <w:rPr>
          <w:sz w:val="24"/>
        </w:rPr>
      </w:pPr>
    </w:p>
    <w:p w14:paraId="0DD0A012" w14:textId="13089622" w:rsidR="002B67AD" w:rsidRDefault="004A636D" w:rsidP="000528DE">
      <w:pPr>
        <w:rPr>
          <w:sz w:val="24"/>
        </w:rPr>
      </w:pPr>
      <w:r>
        <w:rPr>
          <w:sz w:val="24"/>
        </w:rPr>
        <w:t>The t</w:t>
      </w:r>
      <w:r w:rsidR="002B67AD">
        <w:rPr>
          <w:sz w:val="24"/>
        </w:rPr>
        <w:t xml:space="preserve">otal number of respondents </w:t>
      </w:r>
      <w:r w:rsidR="006C61B9">
        <w:rPr>
          <w:sz w:val="24"/>
        </w:rPr>
        <w:t>in the previously approved collection</w:t>
      </w:r>
      <w:r w:rsidR="00811CCC">
        <w:rPr>
          <w:sz w:val="24"/>
        </w:rPr>
        <w:t xml:space="preserve"> (366)</w:t>
      </w:r>
      <w:r w:rsidR="006C61B9">
        <w:rPr>
          <w:sz w:val="24"/>
        </w:rPr>
        <w:t xml:space="preserve"> was based on the actual number of tribes/TDHEs participating in the program at that time.  This information collection bases the number of respondents on the total number of tribes/TDHEs that are eligible to participate </w:t>
      </w:r>
      <w:r w:rsidR="00765C1C">
        <w:rPr>
          <w:sz w:val="24"/>
        </w:rPr>
        <w:t xml:space="preserve">in the program </w:t>
      </w:r>
      <w:r w:rsidR="006C61B9">
        <w:rPr>
          <w:sz w:val="24"/>
        </w:rPr>
        <w:t xml:space="preserve">(592).  While this is a significant adjustment, the updated number </w:t>
      </w:r>
      <w:r w:rsidR="00E4214E">
        <w:rPr>
          <w:sz w:val="24"/>
        </w:rPr>
        <w:t>is more accurate in that it represents the total number of potential program recipients, whether they choose to participate or not.</w:t>
      </w:r>
    </w:p>
    <w:p w14:paraId="182E6208" w14:textId="4673797D" w:rsidR="002D4837" w:rsidRDefault="002D4837" w:rsidP="000528DE">
      <w:pPr>
        <w:rPr>
          <w:sz w:val="24"/>
        </w:rPr>
      </w:pPr>
    </w:p>
    <w:p w14:paraId="7DD06583" w14:textId="77777777" w:rsidR="004A4729" w:rsidRDefault="002D4837" w:rsidP="000528DE">
      <w:pPr>
        <w:rPr>
          <w:sz w:val="24"/>
        </w:rPr>
      </w:pPr>
      <w:r>
        <w:rPr>
          <w:sz w:val="24"/>
        </w:rPr>
        <w:t>The inclusion of the IHBG Competitive program in this information collection increased</w:t>
      </w:r>
      <w:r w:rsidR="00075FEE">
        <w:rPr>
          <w:sz w:val="24"/>
        </w:rPr>
        <w:t xml:space="preserve"> the number of respondents.  </w:t>
      </w:r>
      <w:r w:rsidR="00811CCC">
        <w:rPr>
          <w:sz w:val="24"/>
        </w:rPr>
        <w:t xml:space="preserve">ONAP assumes it will receive 500 grant applications and make 200 awards. </w:t>
      </w:r>
      <w:r w:rsidR="004A4729">
        <w:rPr>
          <w:sz w:val="24"/>
        </w:rPr>
        <w:t>T</w:t>
      </w:r>
      <w:r w:rsidR="00811CCC">
        <w:rPr>
          <w:sz w:val="24"/>
        </w:rPr>
        <w:t>he</w:t>
      </w:r>
      <w:r w:rsidR="004A4729">
        <w:rPr>
          <w:sz w:val="24"/>
        </w:rPr>
        <w:t>refore, the</w:t>
      </w:r>
      <w:r w:rsidR="00811CCC">
        <w:rPr>
          <w:sz w:val="24"/>
        </w:rPr>
        <w:t xml:space="preserve"> number of respondents </w:t>
      </w:r>
      <w:r w:rsidR="004A4729">
        <w:rPr>
          <w:sz w:val="24"/>
        </w:rPr>
        <w:t xml:space="preserve">submitting an IHP/APR increased </w:t>
      </w:r>
      <w:r w:rsidR="00811CCC">
        <w:rPr>
          <w:sz w:val="24"/>
        </w:rPr>
        <w:t xml:space="preserve">from 592 to 792. </w:t>
      </w:r>
    </w:p>
    <w:p w14:paraId="57088D2C" w14:textId="2BF8AB4D" w:rsidR="002D4837" w:rsidRDefault="00075FEE" w:rsidP="000528DE">
      <w:pPr>
        <w:rPr>
          <w:sz w:val="24"/>
        </w:rPr>
      </w:pPr>
      <w:r>
        <w:rPr>
          <w:sz w:val="24"/>
        </w:rPr>
        <w:t xml:space="preserve">ONAP seeks to include this new program in the IHBG information collection because both programs are authorized by the same statute, are governed by the same regulations, and share the same OMB control number. </w:t>
      </w:r>
    </w:p>
    <w:p w14:paraId="325CCAB0" w14:textId="77777777" w:rsidR="00C53525" w:rsidRDefault="00C53525">
      <w:pPr>
        <w:rPr>
          <w:rFonts w:ascii="Arial" w:hAnsi="Arial"/>
          <w:sz w:val="24"/>
        </w:rPr>
      </w:pPr>
    </w:p>
    <w:p w14:paraId="2CD87E42" w14:textId="77777777" w:rsidR="00BF7057" w:rsidRPr="00BF7057" w:rsidRDefault="00BF7057" w:rsidP="00BF7057">
      <w:pPr>
        <w:tabs>
          <w:tab w:val="left" w:pos="360"/>
        </w:tabs>
        <w:ind w:left="360" w:hanging="360"/>
        <w:rPr>
          <w:b/>
          <w:sz w:val="24"/>
          <w:szCs w:val="24"/>
        </w:rPr>
      </w:pPr>
      <w:r w:rsidRPr="00BF7057">
        <w:rPr>
          <w:b/>
          <w:sz w:val="24"/>
          <w:szCs w:val="24"/>
        </w:rPr>
        <w:t>16.</w:t>
      </w:r>
      <w:r w:rsidRPr="00BF7057">
        <w:rPr>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87065EC" w14:textId="77777777" w:rsidR="00BF7057" w:rsidRDefault="00BF7057">
      <w:pPr>
        <w:rPr>
          <w:rFonts w:ascii="Arial" w:hAnsi="Arial"/>
          <w:sz w:val="24"/>
        </w:rPr>
      </w:pPr>
    </w:p>
    <w:p w14:paraId="5B02CE33" w14:textId="77777777" w:rsidR="00D746F6" w:rsidRPr="00DD7DB4" w:rsidRDefault="00D746F6" w:rsidP="00BF7057">
      <w:pPr>
        <w:rPr>
          <w:sz w:val="24"/>
          <w:szCs w:val="24"/>
        </w:rPr>
      </w:pPr>
      <w:r w:rsidRPr="00DD7DB4">
        <w:rPr>
          <w:rFonts w:eastAsia="Calibri"/>
          <w:color w:val="000000"/>
          <w:sz w:val="24"/>
          <w:szCs w:val="24"/>
        </w:rPr>
        <w:t xml:space="preserve">Section 407 of NAHASDA requires the Secretary to prepare an annual report to Congress; the information </w:t>
      </w:r>
      <w:r w:rsidR="00B26545">
        <w:rPr>
          <w:rFonts w:eastAsia="Calibri"/>
          <w:color w:val="000000"/>
          <w:sz w:val="24"/>
          <w:szCs w:val="24"/>
        </w:rPr>
        <w:t>in this collection</w:t>
      </w:r>
      <w:r w:rsidRPr="00DD7DB4">
        <w:rPr>
          <w:rFonts w:eastAsia="Calibri"/>
          <w:color w:val="000000"/>
          <w:sz w:val="24"/>
          <w:szCs w:val="24"/>
        </w:rPr>
        <w:t xml:space="preserve"> will be used to prepare that report.  The Secretary is required to include a description of the progress made in accomplishing the objectives of NAHASDA and to summarize the use of funds during the preceding 12-month period.  </w:t>
      </w:r>
    </w:p>
    <w:p w14:paraId="15AD4E9A" w14:textId="77777777" w:rsidR="00C53525" w:rsidRDefault="00C53525">
      <w:pPr>
        <w:tabs>
          <w:tab w:val="left" w:pos="360"/>
          <w:tab w:val="left" w:pos="720"/>
        </w:tabs>
        <w:ind w:left="360"/>
        <w:rPr>
          <w:sz w:val="18"/>
        </w:rPr>
      </w:pPr>
    </w:p>
    <w:p w14:paraId="34AD15C8" w14:textId="77777777" w:rsidR="00C53525" w:rsidRDefault="00C53525">
      <w:pPr>
        <w:tabs>
          <w:tab w:val="left" w:pos="360"/>
          <w:tab w:val="left" w:pos="720"/>
        </w:tabs>
        <w:ind w:left="360"/>
      </w:pPr>
    </w:p>
    <w:p w14:paraId="6F295718" w14:textId="77777777" w:rsidR="00BF7057" w:rsidRPr="00BF7057" w:rsidRDefault="00BF7057" w:rsidP="00BF7057">
      <w:pPr>
        <w:tabs>
          <w:tab w:val="left" w:pos="360"/>
        </w:tabs>
        <w:ind w:left="360" w:hanging="360"/>
        <w:rPr>
          <w:b/>
          <w:sz w:val="24"/>
          <w:szCs w:val="24"/>
        </w:rPr>
      </w:pPr>
      <w:r w:rsidRPr="00BF7057">
        <w:rPr>
          <w:b/>
          <w:sz w:val="24"/>
          <w:szCs w:val="24"/>
        </w:rPr>
        <w:t>17.</w:t>
      </w:r>
      <w:r w:rsidRPr="00BF7057">
        <w:rPr>
          <w:b/>
          <w:sz w:val="24"/>
          <w:szCs w:val="24"/>
        </w:rPr>
        <w:tab/>
        <w:t>If seeking approval to not display the expiration date for OMB approval of the information collection, explain the reasons that display would be inappropriate.</w:t>
      </w:r>
    </w:p>
    <w:p w14:paraId="1FFF31D3" w14:textId="77777777" w:rsidR="00BF7057" w:rsidRDefault="00BF7057">
      <w:pPr>
        <w:tabs>
          <w:tab w:val="left" w:pos="360"/>
          <w:tab w:val="left" w:pos="720"/>
        </w:tabs>
        <w:ind w:left="360"/>
      </w:pPr>
    </w:p>
    <w:p w14:paraId="1C273A1B" w14:textId="77777777" w:rsidR="00D746F6" w:rsidRPr="0058125C" w:rsidRDefault="00D746F6" w:rsidP="00D746F6">
      <w:pPr>
        <w:rPr>
          <w:sz w:val="24"/>
          <w:szCs w:val="24"/>
        </w:rPr>
      </w:pPr>
      <w:r w:rsidRPr="0058125C">
        <w:rPr>
          <w:rFonts w:eastAsia="Calibri"/>
          <w:color w:val="000000"/>
          <w:sz w:val="24"/>
          <w:szCs w:val="24"/>
        </w:rPr>
        <w:t xml:space="preserve">The OMB number and expiration date of the information collection will be displayed on the forms.  </w:t>
      </w:r>
    </w:p>
    <w:p w14:paraId="27ECD81B" w14:textId="77777777" w:rsidR="00C53525" w:rsidRDefault="00C53525">
      <w:pPr>
        <w:pStyle w:val="BodyTextIndent"/>
      </w:pPr>
    </w:p>
    <w:p w14:paraId="442B436C" w14:textId="77777777" w:rsidR="00C53525" w:rsidRDefault="00C53525">
      <w:pPr>
        <w:tabs>
          <w:tab w:val="left" w:pos="360"/>
        </w:tabs>
        <w:rPr>
          <w:sz w:val="18"/>
        </w:rPr>
      </w:pPr>
    </w:p>
    <w:p w14:paraId="4AC6683E" w14:textId="77777777" w:rsidR="00B4564D" w:rsidRPr="00B4564D" w:rsidRDefault="00B4564D" w:rsidP="00B4564D">
      <w:pPr>
        <w:numPr>
          <w:ilvl w:val="0"/>
          <w:numId w:val="9"/>
        </w:numPr>
        <w:tabs>
          <w:tab w:val="left" w:pos="360"/>
        </w:tabs>
        <w:rPr>
          <w:b/>
          <w:sz w:val="24"/>
          <w:szCs w:val="24"/>
        </w:rPr>
      </w:pPr>
      <w:r w:rsidRPr="00B4564D">
        <w:rPr>
          <w:b/>
          <w:sz w:val="24"/>
          <w:szCs w:val="24"/>
        </w:rPr>
        <w:t>Explain each exception to the certification statement identified in item 19.</w:t>
      </w:r>
    </w:p>
    <w:p w14:paraId="3899DC7A" w14:textId="77777777" w:rsidR="00B4564D" w:rsidRDefault="00B4564D">
      <w:pPr>
        <w:tabs>
          <w:tab w:val="left" w:pos="360"/>
        </w:tabs>
        <w:rPr>
          <w:sz w:val="18"/>
        </w:rPr>
      </w:pPr>
    </w:p>
    <w:p w14:paraId="01AC18E1" w14:textId="77777777" w:rsidR="00D746F6" w:rsidRPr="0058125C" w:rsidRDefault="00D746F6" w:rsidP="00D746F6">
      <w:pPr>
        <w:tabs>
          <w:tab w:val="left" w:pos="360"/>
        </w:tabs>
        <w:ind w:left="360" w:hanging="360"/>
        <w:rPr>
          <w:rFonts w:eastAsia="Calibri"/>
          <w:color w:val="000000"/>
          <w:sz w:val="24"/>
          <w:szCs w:val="24"/>
        </w:rPr>
      </w:pPr>
      <w:r w:rsidRPr="0058125C">
        <w:rPr>
          <w:rFonts w:eastAsia="Calibri"/>
          <w:color w:val="000000"/>
          <w:sz w:val="24"/>
          <w:szCs w:val="24"/>
        </w:rPr>
        <w:t>There are no exceptions to the certification identified in Item 19 of the OMB 83-i.</w:t>
      </w:r>
    </w:p>
    <w:p w14:paraId="42431A13" w14:textId="77777777" w:rsidR="00C53525" w:rsidRDefault="00C53525">
      <w:pPr>
        <w:tabs>
          <w:tab w:val="left" w:pos="360"/>
          <w:tab w:val="left" w:pos="720"/>
        </w:tabs>
      </w:pPr>
    </w:p>
    <w:p w14:paraId="234C166F" w14:textId="77777777" w:rsidR="00B4564D" w:rsidRDefault="00B4564D">
      <w:pPr>
        <w:tabs>
          <w:tab w:val="left" w:pos="360"/>
          <w:tab w:val="left" w:pos="720"/>
        </w:tabs>
      </w:pPr>
    </w:p>
    <w:p w14:paraId="39056E66" w14:textId="77777777" w:rsidR="00B4564D" w:rsidRPr="009C3914" w:rsidRDefault="00B4564D" w:rsidP="00B4564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9C3914">
        <w:rPr>
          <w:b/>
          <w:sz w:val="24"/>
          <w:szCs w:val="24"/>
        </w:rPr>
        <w:t xml:space="preserve">B. </w:t>
      </w:r>
      <w:r w:rsidRPr="009C3914">
        <w:rPr>
          <w:b/>
          <w:sz w:val="24"/>
          <w:szCs w:val="24"/>
        </w:rPr>
        <w:tab/>
        <w:t>Collections of Information Employing Statistical Methods</w:t>
      </w:r>
    </w:p>
    <w:p w14:paraId="2069233C" w14:textId="77777777" w:rsidR="00B4564D" w:rsidRDefault="00B4564D" w:rsidP="00B45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14:paraId="7C798903" w14:textId="4654585D" w:rsidR="00B4564D" w:rsidRPr="009C3914" w:rsidRDefault="00B4564D" w:rsidP="00B4564D">
      <w:pPr>
        <w:rPr>
          <w:sz w:val="24"/>
          <w:szCs w:val="24"/>
        </w:rPr>
      </w:pPr>
      <w:r w:rsidRPr="009C3914">
        <w:rPr>
          <w:sz w:val="24"/>
          <w:szCs w:val="24"/>
        </w:rPr>
        <w:t>The information will not be published for statistical purposes</w:t>
      </w:r>
      <w:r w:rsidR="004A636D">
        <w:rPr>
          <w:sz w:val="24"/>
          <w:szCs w:val="24"/>
        </w:rPr>
        <w:t>.</w:t>
      </w:r>
    </w:p>
    <w:p w14:paraId="5D8A3E96" w14:textId="77777777" w:rsidR="00D746F6" w:rsidRDefault="00D746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sectPr w:rsidR="00D746F6" w:rsidSect="000E72F1">
      <w:footerReference w:type="default" r:id="rId10"/>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888DE" w14:textId="77777777" w:rsidR="007F65B7" w:rsidRDefault="007F65B7">
      <w:r>
        <w:separator/>
      </w:r>
    </w:p>
  </w:endnote>
  <w:endnote w:type="continuationSeparator" w:id="0">
    <w:p w14:paraId="16A09150" w14:textId="77777777" w:rsidR="007F65B7" w:rsidRDefault="007F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94191" w14:textId="77777777" w:rsidR="007F65B7" w:rsidRDefault="007F65B7">
    <w:pPr>
      <w:pStyle w:val="Footer"/>
      <w:tabs>
        <w:tab w:val="clear" w:pos="4320"/>
        <w:tab w:val="clear" w:pos="8640"/>
        <w:tab w:val="right" w:pos="10920"/>
      </w:tabs>
      <w:spacing w:line="120" w:lineRule="exact"/>
      <w:ind w:left="-120" w:right="-120"/>
      <w:rPr>
        <w:rFonts w:ascii="Helvetica" w:hAnsi="Helvetica"/>
        <w:b/>
        <w:sz w:val="18"/>
      </w:rPr>
    </w:pPr>
  </w:p>
  <w:p w14:paraId="44550A1A" w14:textId="77777777" w:rsidR="007F65B7" w:rsidRDefault="007F65B7">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87A04" w14:textId="77777777" w:rsidR="007F65B7" w:rsidRDefault="007F65B7">
      <w:r>
        <w:separator/>
      </w:r>
    </w:p>
  </w:footnote>
  <w:footnote w:type="continuationSeparator" w:id="0">
    <w:p w14:paraId="5D683A69" w14:textId="77777777" w:rsidR="007F65B7" w:rsidRDefault="007F6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8CB8A0"/>
    <w:lvl w:ilvl="0">
      <w:numFmt w:val="decimal"/>
      <w:lvlText w:val="*"/>
      <w:lvlJc w:val="left"/>
    </w:lvl>
  </w:abstractNum>
  <w:abstractNum w:abstractNumId="1">
    <w:nsid w:val="04392C60"/>
    <w:multiLevelType w:val="hybridMultilevel"/>
    <w:tmpl w:val="0BB2F1BE"/>
    <w:lvl w:ilvl="0" w:tplc="E4BED1FA">
      <w:start w:val="7"/>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B0F75B7"/>
    <w:multiLevelType w:val="hybridMultilevel"/>
    <w:tmpl w:val="6F627B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9383473"/>
    <w:multiLevelType w:val="hybridMultilevel"/>
    <w:tmpl w:val="BDB8B3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20F874AB"/>
    <w:multiLevelType w:val="singleLevel"/>
    <w:tmpl w:val="0E0096A2"/>
    <w:lvl w:ilvl="0">
      <w:start w:val="1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nsid w:val="2391E960"/>
    <w:multiLevelType w:val="multilevel"/>
    <w:tmpl w:val="BB2282D8"/>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9">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56932061"/>
    <w:multiLevelType w:val="singleLevel"/>
    <w:tmpl w:val="568CB8A0"/>
    <w:lvl w:ilvl="0">
      <w:numFmt w:val="decimal"/>
      <w:lvlText w:val="*"/>
      <w:lvlJc w:val="left"/>
    </w:lvl>
  </w:abstractNum>
  <w:abstractNum w:abstractNumId="12">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3">
    <w:nsid w:val="6447430C"/>
    <w:multiLevelType w:val="hybridMultilevel"/>
    <w:tmpl w:val="E2E2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CB1E14"/>
    <w:multiLevelType w:val="hybridMultilevel"/>
    <w:tmpl w:val="1D1AA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8"/>
  </w:num>
  <w:num w:numId="2">
    <w:abstractNumId w:val="15"/>
  </w:num>
  <w:num w:numId="3">
    <w:abstractNumId w:val="4"/>
  </w:num>
  <w:num w:numId="4">
    <w:abstractNumId w:val="7"/>
  </w:num>
  <w:num w:numId="5">
    <w:abstractNumId w:val="10"/>
  </w:num>
  <w:num w:numId="6">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5"/>
  </w:num>
  <w:num w:numId="10">
    <w:abstractNumId w:val="13"/>
  </w:num>
  <w:num w:numId="11">
    <w:abstractNumId w:val="14"/>
  </w:num>
  <w:num w:numId="12">
    <w:abstractNumId w:val="9"/>
  </w:num>
  <w:num w:numId="13">
    <w:abstractNumId w:val="3"/>
  </w:num>
  <w:num w:numId="14">
    <w:abstractNumId w:val="1"/>
  </w:num>
  <w:num w:numId="15">
    <w:abstractNumId w:val="1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73"/>
    <w:rsid w:val="00001DB8"/>
    <w:rsid w:val="00007881"/>
    <w:rsid w:val="00020F12"/>
    <w:rsid w:val="000258BF"/>
    <w:rsid w:val="00035DED"/>
    <w:rsid w:val="00036BC0"/>
    <w:rsid w:val="00041F1B"/>
    <w:rsid w:val="000527ED"/>
    <w:rsid w:val="000528DE"/>
    <w:rsid w:val="00060230"/>
    <w:rsid w:val="00065991"/>
    <w:rsid w:val="000663BC"/>
    <w:rsid w:val="0007467B"/>
    <w:rsid w:val="00075FEE"/>
    <w:rsid w:val="0009602E"/>
    <w:rsid w:val="000E3880"/>
    <w:rsid w:val="000E495D"/>
    <w:rsid w:val="000E72F1"/>
    <w:rsid w:val="000F2736"/>
    <w:rsid w:val="00100C45"/>
    <w:rsid w:val="00102C0A"/>
    <w:rsid w:val="0010626F"/>
    <w:rsid w:val="0011311C"/>
    <w:rsid w:val="00115079"/>
    <w:rsid w:val="0013649D"/>
    <w:rsid w:val="001418D6"/>
    <w:rsid w:val="00142222"/>
    <w:rsid w:val="001445DE"/>
    <w:rsid w:val="0014640C"/>
    <w:rsid w:val="0014773E"/>
    <w:rsid w:val="00151D19"/>
    <w:rsid w:val="00184F86"/>
    <w:rsid w:val="001B3E35"/>
    <w:rsid w:val="001E03DC"/>
    <w:rsid w:val="001E45D4"/>
    <w:rsid w:val="001E7234"/>
    <w:rsid w:val="001F365B"/>
    <w:rsid w:val="001F3789"/>
    <w:rsid w:val="00202971"/>
    <w:rsid w:val="00233E23"/>
    <w:rsid w:val="002436F0"/>
    <w:rsid w:val="0024506E"/>
    <w:rsid w:val="002713E8"/>
    <w:rsid w:val="00282A59"/>
    <w:rsid w:val="00284658"/>
    <w:rsid w:val="00296B7F"/>
    <w:rsid w:val="002A255F"/>
    <w:rsid w:val="002B2D72"/>
    <w:rsid w:val="002B67AD"/>
    <w:rsid w:val="002C4781"/>
    <w:rsid w:val="002C4A99"/>
    <w:rsid w:val="002D2733"/>
    <w:rsid w:val="002D4837"/>
    <w:rsid w:val="002E02F2"/>
    <w:rsid w:val="002E69A3"/>
    <w:rsid w:val="002F6812"/>
    <w:rsid w:val="003047CE"/>
    <w:rsid w:val="0031489D"/>
    <w:rsid w:val="00314A03"/>
    <w:rsid w:val="00322BE0"/>
    <w:rsid w:val="003244A6"/>
    <w:rsid w:val="0034473C"/>
    <w:rsid w:val="003459BB"/>
    <w:rsid w:val="00352400"/>
    <w:rsid w:val="0035440C"/>
    <w:rsid w:val="0036261D"/>
    <w:rsid w:val="00365B87"/>
    <w:rsid w:val="0038322E"/>
    <w:rsid w:val="00384C62"/>
    <w:rsid w:val="00393447"/>
    <w:rsid w:val="003940ED"/>
    <w:rsid w:val="003C649F"/>
    <w:rsid w:val="003D1318"/>
    <w:rsid w:val="003E56F3"/>
    <w:rsid w:val="00400E38"/>
    <w:rsid w:val="004202C0"/>
    <w:rsid w:val="00422141"/>
    <w:rsid w:val="004314B9"/>
    <w:rsid w:val="00431D14"/>
    <w:rsid w:val="0043335A"/>
    <w:rsid w:val="00436B7B"/>
    <w:rsid w:val="00441F7F"/>
    <w:rsid w:val="00442817"/>
    <w:rsid w:val="004477D1"/>
    <w:rsid w:val="00454B77"/>
    <w:rsid w:val="00476BB5"/>
    <w:rsid w:val="0048334E"/>
    <w:rsid w:val="00491DB6"/>
    <w:rsid w:val="004A4729"/>
    <w:rsid w:val="004A636D"/>
    <w:rsid w:val="004B2E8B"/>
    <w:rsid w:val="004B79F1"/>
    <w:rsid w:val="004F2585"/>
    <w:rsid w:val="004F2EF2"/>
    <w:rsid w:val="005029E5"/>
    <w:rsid w:val="00506E0E"/>
    <w:rsid w:val="005149C2"/>
    <w:rsid w:val="005223B6"/>
    <w:rsid w:val="0053442B"/>
    <w:rsid w:val="00561440"/>
    <w:rsid w:val="00564459"/>
    <w:rsid w:val="00585225"/>
    <w:rsid w:val="005866F9"/>
    <w:rsid w:val="00591B3C"/>
    <w:rsid w:val="005A0B9C"/>
    <w:rsid w:val="005B312E"/>
    <w:rsid w:val="005B63FA"/>
    <w:rsid w:val="005D6E42"/>
    <w:rsid w:val="005E4523"/>
    <w:rsid w:val="005F5306"/>
    <w:rsid w:val="005F6DF8"/>
    <w:rsid w:val="005F6E8B"/>
    <w:rsid w:val="006012A0"/>
    <w:rsid w:val="00610A1C"/>
    <w:rsid w:val="006110B7"/>
    <w:rsid w:val="006179E1"/>
    <w:rsid w:val="00617CF3"/>
    <w:rsid w:val="0063273E"/>
    <w:rsid w:val="00647A97"/>
    <w:rsid w:val="00652C65"/>
    <w:rsid w:val="00663A5A"/>
    <w:rsid w:val="00663C44"/>
    <w:rsid w:val="00673648"/>
    <w:rsid w:val="00675E59"/>
    <w:rsid w:val="00675E60"/>
    <w:rsid w:val="00675F61"/>
    <w:rsid w:val="006917FB"/>
    <w:rsid w:val="006935B6"/>
    <w:rsid w:val="006A2EB2"/>
    <w:rsid w:val="006A71C9"/>
    <w:rsid w:val="006C0DF6"/>
    <w:rsid w:val="006C61B9"/>
    <w:rsid w:val="006C6E0C"/>
    <w:rsid w:val="006D278A"/>
    <w:rsid w:val="006D7A80"/>
    <w:rsid w:val="006E0F64"/>
    <w:rsid w:val="006E5454"/>
    <w:rsid w:val="006F3441"/>
    <w:rsid w:val="006F360A"/>
    <w:rsid w:val="00704536"/>
    <w:rsid w:val="00714693"/>
    <w:rsid w:val="007168C1"/>
    <w:rsid w:val="0072327C"/>
    <w:rsid w:val="00723A67"/>
    <w:rsid w:val="00756424"/>
    <w:rsid w:val="00765C1C"/>
    <w:rsid w:val="00770BBC"/>
    <w:rsid w:val="007750B9"/>
    <w:rsid w:val="0079406E"/>
    <w:rsid w:val="00795DA0"/>
    <w:rsid w:val="0079718F"/>
    <w:rsid w:val="007A1939"/>
    <w:rsid w:val="007A236B"/>
    <w:rsid w:val="007B6107"/>
    <w:rsid w:val="007C5580"/>
    <w:rsid w:val="007F0FCD"/>
    <w:rsid w:val="007F3060"/>
    <w:rsid w:val="007F3808"/>
    <w:rsid w:val="007F65B7"/>
    <w:rsid w:val="00811CCC"/>
    <w:rsid w:val="0082293E"/>
    <w:rsid w:val="00827857"/>
    <w:rsid w:val="008449CC"/>
    <w:rsid w:val="00863B0C"/>
    <w:rsid w:val="0086639D"/>
    <w:rsid w:val="00871412"/>
    <w:rsid w:val="00890478"/>
    <w:rsid w:val="00893393"/>
    <w:rsid w:val="008A0D7D"/>
    <w:rsid w:val="008A4E9E"/>
    <w:rsid w:val="008A6836"/>
    <w:rsid w:val="008C510D"/>
    <w:rsid w:val="008D0370"/>
    <w:rsid w:val="008D1857"/>
    <w:rsid w:val="008D3D8F"/>
    <w:rsid w:val="008F1563"/>
    <w:rsid w:val="00900E4C"/>
    <w:rsid w:val="00907830"/>
    <w:rsid w:val="00913980"/>
    <w:rsid w:val="00914910"/>
    <w:rsid w:val="009208C0"/>
    <w:rsid w:val="00922E54"/>
    <w:rsid w:val="009341BE"/>
    <w:rsid w:val="00944409"/>
    <w:rsid w:val="00952C29"/>
    <w:rsid w:val="009600DA"/>
    <w:rsid w:val="009609F7"/>
    <w:rsid w:val="00971349"/>
    <w:rsid w:val="00994094"/>
    <w:rsid w:val="00994578"/>
    <w:rsid w:val="00997964"/>
    <w:rsid w:val="009C52CD"/>
    <w:rsid w:val="009D2CE1"/>
    <w:rsid w:val="009E23E3"/>
    <w:rsid w:val="009E59D8"/>
    <w:rsid w:val="00A07F7E"/>
    <w:rsid w:val="00A1013A"/>
    <w:rsid w:val="00A230D7"/>
    <w:rsid w:val="00A23370"/>
    <w:rsid w:val="00A24526"/>
    <w:rsid w:val="00A32209"/>
    <w:rsid w:val="00A42A21"/>
    <w:rsid w:val="00A501DC"/>
    <w:rsid w:val="00A50210"/>
    <w:rsid w:val="00A55E0F"/>
    <w:rsid w:val="00A61BBC"/>
    <w:rsid w:val="00A838BA"/>
    <w:rsid w:val="00A9520B"/>
    <w:rsid w:val="00AA0DCC"/>
    <w:rsid w:val="00AA48F4"/>
    <w:rsid w:val="00AA6744"/>
    <w:rsid w:val="00AA7F23"/>
    <w:rsid w:val="00AB2AC9"/>
    <w:rsid w:val="00AB3B29"/>
    <w:rsid w:val="00AB4D73"/>
    <w:rsid w:val="00AB709E"/>
    <w:rsid w:val="00AB7B00"/>
    <w:rsid w:val="00AE1985"/>
    <w:rsid w:val="00AF01CE"/>
    <w:rsid w:val="00B13452"/>
    <w:rsid w:val="00B24E6F"/>
    <w:rsid w:val="00B26545"/>
    <w:rsid w:val="00B4564D"/>
    <w:rsid w:val="00B47679"/>
    <w:rsid w:val="00B850D4"/>
    <w:rsid w:val="00B86605"/>
    <w:rsid w:val="00BA076B"/>
    <w:rsid w:val="00BA3705"/>
    <w:rsid w:val="00BA4A2A"/>
    <w:rsid w:val="00BA6F67"/>
    <w:rsid w:val="00BC136F"/>
    <w:rsid w:val="00BC2063"/>
    <w:rsid w:val="00BC5FB8"/>
    <w:rsid w:val="00BD2240"/>
    <w:rsid w:val="00BD34F3"/>
    <w:rsid w:val="00BD3756"/>
    <w:rsid w:val="00BE021C"/>
    <w:rsid w:val="00BF1F01"/>
    <w:rsid w:val="00BF7057"/>
    <w:rsid w:val="00C02037"/>
    <w:rsid w:val="00C07558"/>
    <w:rsid w:val="00C1015C"/>
    <w:rsid w:val="00C245C6"/>
    <w:rsid w:val="00C2769F"/>
    <w:rsid w:val="00C27AB3"/>
    <w:rsid w:val="00C477D6"/>
    <w:rsid w:val="00C53525"/>
    <w:rsid w:val="00C723DA"/>
    <w:rsid w:val="00C74430"/>
    <w:rsid w:val="00C85B92"/>
    <w:rsid w:val="00C91B81"/>
    <w:rsid w:val="00C94185"/>
    <w:rsid w:val="00CA05B7"/>
    <w:rsid w:val="00CA3455"/>
    <w:rsid w:val="00CB2C47"/>
    <w:rsid w:val="00CB33E5"/>
    <w:rsid w:val="00CC1A0A"/>
    <w:rsid w:val="00CC40D9"/>
    <w:rsid w:val="00CF0948"/>
    <w:rsid w:val="00CF688E"/>
    <w:rsid w:val="00D04640"/>
    <w:rsid w:val="00D068BA"/>
    <w:rsid w:val="00D12EC4"/>
    <w:rsid w:val="00D266D1"/>
    <w:rsid w:val="00D32BE8"/>
    <w:rsid w:val="00D455D0"/>
    <w:rsid w:val="00D4606C"/>
    <w:rsid w:val="00D54B1C"/>
    <w:rsid w:val="00D67061"/>
    <w:rsid w:val="00D672B9"/>
    <w:rsid w:val="00D67737"/>
    <w:rsid w:val="00D7211F"/>
    <w:rsid w:val="00D7292B"/>
    <w:rsid w:val="00D733E1"/>
    <w:rsid w:val="00D73B91"/>
    <w:rsid w:val="00D746F6"/>
    <w:rsid w:val="00D8276F"/>
    <w:rsid w:val="00D84F73"/>
    <w:rsid w:val="00DC2479"/>
    <w:rsid w:val="00DD7F44"/>
    <w:rsid w:val="00DE28EB"/>
    <w:rsid w:val="00DE3841"/>
    <w:rsid w:val="00DE39E9"/>
    <w:rsid w:val="00DF0E51"/>
    <w:rsid w:val="00DF5B90"/>
    <w:rsid w:val="00E12C04"/>
    <w:rsid w:val="00E21F4E"/>
    <w:rsid w:val="00E30C75"/>
    <w:rsid w:val="00E41A2C"/>
    <w:rsid w:val="00E4214E"/>
    <w:rsid w:val="00E42AB4"/>
    <w:rsid w:val="00E726D9"/>
    <w:rsid w:val="00E73E85"/>
    <w:rsid w:val="00E9075E"/>
    <w:rsid w:val="00E93C6E"/>
    <w:rsid w:val="00EC5C62"/>
    <w:rsid w:val="00ED08B9"/>
    <w:rsid w:val="00F057E9"/>
    <w:rsid w:val="00F14C3F"/>
    <w:rsid w:val="00F2588B"/>
    <w:rsid w:val="00F3063C"/>
    <w:rsid w:val="00F453DC"/>
    <w:rsid w:val="00F51E74"/>
    <w:rsid w:val="00F6266F"/>
    <w:rsid w:val="00F739A8"/>
    <w:rsid w:val="00F81D81"/>
    <w:rsid w:val="00F82E31"/>
    <w:rsid w:val="00F84AA4"/>
    <w:rsid w:val="00FA3C22"/>
    <w:rsid w:val="00FA6644"/>
    <w:rsid w:val="00FB5BE1"/>
    <w:rsid w:val="00FB7E01"/>
    <w:rsid w:val="00FD0D8B"/>
    <w:rsid w:val="00FD532F"/>
    <w:rsid w:val="00FE3BE4"/>
    <w:rsid w:val="00FE46AC"/>
    <w:rsid w:val="00FF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14:docId w14:val="1554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uiPriority w:val="39"/>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15079"/>
    <w:pPr>
      <w:ind w:left="720"/>
      <w:contextualSpacing/>
    </w:pPr>
    <w:rPr>
      <w:rFonts w:ascii="CG Times (W1)" w:hAnsi="CG Times (W1)"/>
      <w:sz w:val="24"/>
    </w:rPr>
  </w:style>
  <w:style w:type="paragraph" w:styleId="NoSpacing">
    <w:name w:val="No Spacing"/>
    <w:uiPriority w:val="1"/>
    <w:qFormat/>
    <w:rsid w:val="00610A1C"/>
    <w:pPr>
      <w:overflowPunct w:val="0"/>
      <w:autoSpaceDE w:val="0"/>
      <w:autoSpaceDN w:val="0"/>
      <w:adjustRightInd w:val="0"/>
      <w:textAlignment w:val="baseline"/>
    </w:pPr>
  </w:style>
  <w:style w:type="character" w:styleId="CommentReference">
    <w:name w:val="annotation reference"/>
    <w:basedOn w:val="DefaultParagraphFont"/>
    <w:rsid w:val="001418D6"/>
    <w:rPr>
      <w:sz w:val="16"/>
      <w:szCs w:val="16"/>
    </w:rPr>
  </w:style>
  <w:style w:type="paragraph" w:styleId="CommentText">
    <w:name w:val="annotation text"/>
    <w:basedOn w:val="Normal"/>
    <w:link w:val="CommentTextChar"/>
    <w:rsid w:val="001418D6"/>
  </w:style>
  <w:style w:type="character" w:customStyle="1" w:styleId="CommentTextChar">
    <w:name w:val="Comment Text Char"/>
    <w:basedOn w:val="DefaultParagraphFont"/>
    <w:link w:val="CommentText"/>
    <w:rsid w:val="001418D6"/>
  </w:style>
  <w:style w:type="paragraph" w:styleId="CommentSubject">
    <w:name w:val="annotation subject"/>
    <w:basedOn w:val="CommentText"/>
    <w:next w:val="CommentText"/>
    <w:link w:val="CommentSubjectChar"/>
    <w:rsid w:val="001418D6"/>
    <w:rPr>
      <w:b/>
      <w:bCs/>
    </w:rPr>
  </w:style>
  <w:style w:type="character" w:customStyle="1" w:styleId="CommentSubjectChar">
    <w:name w:val="Comment Subject Char"/>
    <w:basedOn w:val="CommentTextChar"/>
    <w:link w:val="CommentSubject"/>
    <w:rsid w:val="001418D6"/>
    <w:rPr>
      <w:b/>
      <w:bCs/>
    </w:rPr>
  </w:style>
  <w:style w:type="paragraph" w:styleId="BodyText2">
    <w:name w:val="Body Text 2"/>
    <w:basedOn w:val="Normal"/>
    <w:link w:val="BodyText2Char"/>
    <w:unhideWhenUsed/>
    <w:rsid w:val="0035440C"/>
    <w:pPr>
      <w:spacing w:after="120" w:line="480" w:lineRule="auto"/>
    </w:pPr>
  </w:style>
  <w:style w:type="character" w:customStyle="1" w:styleId="BodyText2Char">
    <w:name w:val="Body Text 2 Char"/>
    <w:basedOn w:val="DefaultParagraphFont"/>
    <w:link w:val="BodyText2"/>
    <w:rsid w:val="0035440C"/>
  </w:style>
  <w:style w:type="paragraph" w:styleId="BodyText">
    <w:name w:val="Body Text"/>
    <w:basedOn w:val="Normal"/>
    <w:link w:val="BodyTextChar"/>
    <w:semiHidden/>
    <w:unhideWhenUsed/>
    <w:rsid w:val="00D04640"/>
    <w:pPr>
      <w:spacing w:after="120"/>
    </w:pPr>
  </w:style>
  <w:style w:type="character" w:customStyle="1" w:styleId="BodyTextChar">
    <w:name w:val="Body Text Char"/>
    <w:basedOn w:val="DefaultParagraphFont"/>
    <w:link w:val="BodyText"/>
    <w:semiHidden/>
    <w:rsid w:val="00D04640"/>
  </w:style>
  <w:style w:type="paragraph" w:customStyle="1" w:styleId="HUDNorm">
    <w:name w:val="HUD Norm"/>
    <w:basedOn w:val="Normal"/>
    <w:link w:val="HUDNormChar"/>
    <w:qFormat/>
    <w:rsid w:val="00A07F7E"/>
    <w:pPr>
      <w:overflowPunct/>
      <w:autoSpaceDE/>
      <w:autoSpaceDN/>
      <w:adjustRightInd/>
      <w:spacing w:after="160" w:line="276" w:lineRule="auto"/>
      <w:textAlignment w:val="auto"/>
    </w:pPr>
    <w:rPr>
      <w:rFonts w:asciiTheme="minorHAnsi" w:eastAsiaTheme="minorHAnsi" w:hAnsiTheme="minorHAnsi" w:cs="Arial"/>
    </w:rPr>
  </w:style>
  <w:style w:type="character" w:customStyle="1" w:styleId="HUDNormChar">
    <w:name w:val="HUD Norm Char"/>
    <w:basedOn w:val="DefaultParagraphFont"/>
    <w:link w:val="HUDNorm"/>
    <w:rsid w:val="00A07F7E"/>
    <w:rPr>
      <w:rFonts w:asciiTheme="minorHAnsi" w:eastAsiaTheme="minorHAnsi" w:hAnsiTheme="minorHAnsi" w:cs="Arial"/>
    </w:rPr>
  </w:style>
  <w:style w:type="character" w:customStyle="1" w:styleId="apple-converted-space">
    <w:name w:val="apple-converted-space"/>
    <w:basedOn w:val="DefaultParagraphFont"/>
    <w:rsid w:val="00B4564D"/>
  </w:style>
  <w:style w:type="character" w:styleId="Hyperlink">
    <w:name w:val="Hyperlink"/>
    <w:basedOn w:val="DefaultParagraphFont"/>
    <w:rsid w:val="008449CC"/>
    <w:rPr>
      <w:color w:val="0000FF"/>
      <w:u w:val="single"/>
    </w:rPr>
  </w:style>
  <w:style w:type="paragraph" w:customStyle="1" w:styleId="Default">
    <w:name w:val="Default"/>
    <w:rsid w:val="008449CC"/>
    <w:pPr>
      <w:autoSpaceDE w:val="0"/>
      <w:autoSpaceDN w:val="0"/>
      <w:adjustRightInd w:val="0"/>
    </w:pPr>
    <w:rPr>
      <w:rFonts w:eastAsiaTheme="minorEastAsia"/>
      <w:color w:val="000000"/>
      <w:sz w:val="24"/>
      <w:szCs w:val="24"/>
    </w:rPr>
  </w:style>
  <w:style w:type="paragraph" w:styleId="Revision">
    <w:name w:val="Revision"/>
    <w:hidden/>
    <w:uiPriority w:val="99"/>
    <w:semiHidden/>
    <w:rsid w:val="006935B6"/>
  </w:style>
  <w:style w:type="paragraph" w:customStyle="1" w:styleId="Document1">
    <w:name w:val="Document 1"/>
    <w:rsid w:val="00DE3841"/>
    <w:pPr>
      <w:keepNext/>
      <w:keepLines/>
      <w:widowControl w:val="0"/>
      <w:tabs>
        <w:tab w:val="left" w:pos="0"/>
      </w:tabs>
      <w:suppressAutoHyphens/>
      <w:autoSpaceDE w:val="0"/>
      <w:autoSpaceDN w:val="0"/>
      <w:adjustRightInd w:val="0"/>
      <w:spacing w:line="240" w:lineRule="atLeast"/>
    </w:pPr>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uiPriority w:val="39"/>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15079"/>
    <w:pPr>
      <w:ind w:left="720"/>
      <w:contextualSpacing/>
    </w:pPr>
    <w:rPr>
      <w:rFonts w:ascii="CG Times (W1)" w:hAnsi="CG Times (W1)"/>
      <w:sz w:val="24"/>
    </w:rPr>
  </w:style>
  <w:style w:type="paragraph" w:styleId="NoSpacing">
    <w:name w:val="No Spacing"/>
    <w:uiPriority w:val="1"/>
    <w:qFormat/>
    <w:rsid w:val="00610A1C"/>
    <w:pPr>
      <w:overflowPunct w:val="0"/>
      <w:autoSpaceDE w:val="0"/>
      <w:autoSpaceDN w:val="0"/>
      <w:adjustRightInd w:val="0"/>
      <w:textAlignment w:val="baseline"/>
    </w:pPr>
  </w:style>
  <w:style w:type="character" w:styleId="CommentReference">
    <w:name w:val="annotation reference"/>
    <w:basedOn w:val="DefaultParagraphFont"/>
    <w:rsid w:val="001418D6"/>
    <w:rPr>
      <w:sz w:val="16"/>
      <w:szCs w:val="16"/>
    </w:rPr>
  </w:style>
  <w:style w:type="paragraph" w:styleId="CommentText">
    <w:name w:val="annotation text"/>
    <w:basedOn w:val="Normal"/>
    <w:link w:val="CommentTextChar"/>
    <w:rsid w:val="001418D6"/>
  </w:style>
  <w:style w:type="character" w:customStyle="1" w:styleId="CommentTextChar">
    <w:name w:val="Comment Text Char"/>
    <w:basedOn w:val="DefaultParagraphFont"/>
    <w:link w:val="CommentText"/>
    <w:rsid w:val="001418D6"/>
  </w:style>
  <w:style w:type="paragraph" w:styleId="CommentSubject">
    <w:name w:val="annotation subject"/>
    <w:basedOn w:val="CommentText"/>
    <w:next w:val="CommentText"/>
    <w:link w:val="CommentSubjectChar"/>
    <w:rsid w:val="001418D6"/>
    <w:rPr>
      <w:b/>
      <w:bCs/>
    </w:rPr>
  </w:style>
  <w:style w:type="character" w:customStyle="1" w:styleId="CommentSubjectChar">
    <w:name w:val="Comment Subject Char"/>
    <w:basedOn w:val="CommentTextChar"/>
    <w:link w:val="CommentSubject"/>
    <w:rsid w:val="001418D6"/>
    <w:rPr>
      <w:b/>
      <w:bCs/>
    </w:rPr>
  </w:style>
  <w:style w:type="paragraph" w:styleId="BodyText2">
    <w:name w:val="Body Text 2"/>
    <w:basedOn w:val="Normal"/>
    <w:link w:val="BodyText2Char"/>
    <w:unhideWhenUsed/>
    <w:rsid w:val="0035440C"/>
    <w:pPr>
      <w:spacing w:after="120" w:line="480" w:lineRule="auto"/>
    </w:pPr>
  </w:style>
  <w:style w:type="character" w:customStyle="1" w:styleId="BodyText2Char">
    <w:name w:val="Body Text 2 Char"/>
    <w:basedOn w:val="DefaultParagraphFont"/>
    <w:link w:val="BodyText2"/>
    <w:rsid w:val="0035440C"/>
  </w:style>
  <w:style w:type="paragraph" w:styleId="BodyText">
    <w:name w:val="Body Text"/>
    <w:basedOn w:val="Normal"/>
    <w:link w:val="BodyTextChar"/>
    <w:semiHidden/>
    <w:unhideWhenUsed/>
    <w:rsid w:val="00D04640"/>
    <w:pPr>
      <w:spacing w:after="120"/>
    </w:pPr>
  </w:style>
  <w:style w:type="character" w:customStyle="1" w:styleId="BodyTextChar">
    <w:name w:val="Body Text Char"/>
    <w:basedOn w:val="DefaultParagraphFont"/>
    <w:link w:val="BodyText"/>
    <w:semiHidden/>
    <w:rsid w:val="00D04640"/>
  </w:style>
  <w:style w:type="paragraph" w:customStyle="1" w:styleId="HUDNorm">
    <w:name w:val="HUD Norm"/>
    <w:basedOn w:val="Normal"/>
    <w:link w:val="HUDNormChar"/>
    <w:qFormat/>
    <w:rsid w:val="00A07F7E"/>
    <w:pPr>
      <w:overflowPunct/>
      <w:autoSpaceDE/>
      <w:autoSpaceDN/>
      <w:adjustRightInd/>
      <w:spacing w:after="160" w:line="276" w:lineRule="auto"/>
      <w:textAlignment w:val="auto"/>
    </w:pPr>
    <w:rPr>
      <w:rFonts w:asciiTheme="minorHAnsi" w:eastAsiaTheme="minorHAnsi" w:hAnsiTheme="minorHAnsi" w:cs="Arial"/>
    </w:rPr>
  </w:style>
  <w:style w:type="character" w:customStyle="1" w:styleId="HUDNormChar">
    <w:name w:val="HUD Norm Char"/>
    <w:basedOn w:val="DefaultParagraphFont"/>
    <w:link w:val="HUDNorm"/>
    <w:rsid w:val="00A07F7E"/>
    <w:rPr>
      <w:rFonts w:asciiTheme="minorHAnsi" w:eastAsiaTheme="minorHAnsi" w:hAnsiTheme="minorHAnsi" w:cs="Arial"/>
    </w:rPr>
  </w:style>
  <w:style w:type="character" w:customStyle="1" w:styleId="apple-converted-space">
    <w:name w:val="apple-converted-space"/>
    <w:basedOn w:val="DefaultParagraphFont"/>
    <w:rsid w:val="00B4564D"/>
  </w:style>
  <w:style w:type="character" w:styleId="Hyperlink">
    <w:name w:val="Hyperlink"/>
    <w:basedOn w:val="DefaultParagraphFont"/>
    <w:rsid w:val="008449CC"/>
    <w:rPr>
      <w:color w:val="0000FF"/>
      <w:u w:val="single"/>
    </w:rPr>
  </w:style>
  <w:style w:type="paragraph" w:customStyle="1" w:styleId="Default">
    <w:name w:val="Default"/>
    <w:rsid w:val="008449CC"/>
    <w:pPr>
      <w:autoSpaceDE w:val="0"/>
      <w:autoSpaceDN w:val="0"/>
      <w:adjustRightInd w:val="0"/>
    </w:pPr>
    <w:rPr>
      <w:rFonts w:eastAsiaTheme="minorEastAsia"/>
      <w:color w:val="000000"/>
      <w:sz w:val="24"/>
      <w:szCs w:val="24"/>
    </w:rPr>
  </w:style>
  <w:style w:type="paragraph" w:styleId="Revision">
    <w:name w:val="Revision"/>
    <w:hidden/>
    <w:uiPriority w:val="99"/>
    <w:semiHidden/>
    <w:rsid w:val="006935B6"/>
  </w:style>
  <w:style w:type="paragraph" w:customStyle="1" w:styleId="Document1">
    <w:name w:val="Document 1"/>
    <w:rsid w:val="00DE3841"/>
    <w:pPr>
      <w:keepNext/>
      <w:keepLines/>
      <w:widowControl w:val="0"/>
      <w:tabs>
        <w:tab w:val="left" w:pos="0"/>
      </w:tabs>
      <w:suppressAutoHyphens/>
      <w:autoSpaceDE w:val="0"/>
      <w:autoSpaceDN w:val="0"/>
      <w:adjustRightInd w:val="0"/>
      <w:spacing w:line="240" w:lineRule="atLeast"/>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96427">
      <w:bodyDiv w:val="1"/>
      <w:marLeft w:val="0"/>
      <w:marRight w:val="0"/>
      <w:marTop w:val="0"/>
      <w:marBottom w:val="0"/>
      <w:divBdr>
        <w:top w:val="none" w:sz="0" w:space="0" w:color="auto"/>
        <w:left w:val="none" w:sz="0" w:space="0" w:color="auto"/>
        <w:bottom w:val="none" w:sz="0" w:space="0" w:color="auto"/>
        <w:right w:val="none" w:sz="0" w:space="0" w:color="auto"/>
      </w:divBdr>
    </w:div>
    <w:div w:id="227544757">
      <w:bodyDiv w:val="1"/>
      <w:marLeft w:val="0"/>
      <w:marRight w:val="0"/>
      <w:marTop w:val="0"/>
      <w:marBottom w:val="0"/>
      <w:divBdr>
        <w:top w:val="none" w:sz="0" w:space="0" w:color="auto"/>
        <w:left w:val="none" w:sz="0" w:space="0" w:color="auto"/>
        <w:bottom w:val="none" w:sz="0" w:space="0" w:color="auto"/>
        <w:right w:val="none" w:sz="0" w:space="0" w:color="auto"/>
      </w:divBdr>
    </w:div>
    <w:div w:id="303439019">
      <w:bodyDiv w:val="1"/>
      <w:marLeft w:val="0"/>
      <w:marRight w:val="0"/>
      <w:marTop w:val="0"/>
      <w:marBottom w:val="0"/>
      <w:divBdr>
        <w:top w:val="none" w:sz="0" w:space="0" w:color="auto"/>
        <w:left w:val="none" w:sz="0" w:space="0" w:color="auto"/>
        <w:bottom w:val="none" w:sz="0" w:space="0" w:color="auto"/>
        <w:right w:val="none" w:sz="0" w:space="0" w:color="auto"/>
      </w:divBdr>
    </w:div>
    <w:div w:id="434323503">
      <w:bodyDiv w:val="1"/>
      <w:marLeft w:val="0"/>
      <w:marRight w:val="0"/>
      <w:marTop w:val="0"/>
      <w:marBottom w:val="0"/>
      <w:divBdr>
        <w:top w:val="none" w:sz="0" w:space="0" w:color="auto"/>
        <w:left w:val="none" w:sz="0" w:space="0" w:color="auto"/>
        <w:bottom w:val="none" w:sz="0" w:space="0" w:color="auto"/>
        <w:right w:val="none" w:sz="0" w:space="0" w:color="auto"/>
      </w:divBdr>
    </w:div>
    <w:div w:id="484660467">
      <w:bodyDiv w:val="1"/>
      <w:marLeft w:val="0"/>
      <w:marRight w:val="0"/>
      <w:marTop w:val="0"/>
      <w:marBottom w:val="0"/>
      <w:divBdr>
        <w:top w:val="none" w:sz="0" w:space="0" w:color="auto"/>
        <w:left w:val="none" w:sz="0" w:space="0" w:color="auto"/>
        <w:bottom w:val="none" w:sz="0" w:space="0" w:color="auto"/>
        <w:right w:val="none" w:sz="0" w:space="0" w:color="auto"/>
      </w:divBdr>
    </w:div>
    <w:div w:id="558514509">
      <w:bodyDiv w:val="1"/>
      <w:marLeft w:val="0"/>
      <w:marRight w:val="0"/>
      <w:marTop w:val="0"/>
      <w:marBottom w:val="0"/>
      <w:divBdr>
        <w:top w:val="none" w:sz="0" w:space="0" w:color="auto"/>
        <w:left w:val="none" w:sz="0" w:space="0" w:color="auto"/>
        <w:bottom w:val="none" w:sz="0" w:space="0" w:color="auto"/>
        <w:right w:val="none" w:sz="0" w:space="0" w:color="auto"/>
      </w:divBdr>
    </w:div>
    <w:div w:id="583994094">
      <w:bodyDiv w:val="1"/>
      <w:marLeft w:val="0"/>
      <w:marRight w:val="0"/>
      <w:marTop w:val="0"/>
      <w:marBottom w:val="0"/>
      <w:divBdr>
        <w:top w:val="none" w:sz="0" w:space="0" w:color="auto"/>
        <w:left w:val="none" w:sz="0" w:space="0" w:color="auto"/>
        <w:bottom w:val="none" w:sz="0" w:space="0" w:color="auto"/>
        <w:right w:val="none" w:sz="0" w:space="0" w:color="auto"/>
      </w:divBdr>
    </w:div>
    <w:div w:id="584535973">
      <w:bodyDiv w:val="1"/>
      <w:marLeft w:val="0"/>
      <w:marRight w:val="0"/>
      <w:marTop w:val="0"/>
      <w:marBottom w:val="0"/>
      <w:divBdr>
        <w:top w:val="none" w:sz="0" w:space="0" w:color="auto"/>
        <w:left w:val="none" w:sz="0" w:space="0" w:color="auto"/>
        <w:bottom w:val="none" w:sz="0" w:space="0" w:color="auto"/>
        <w:right w:val="none" w:sz="0" w:space="0" w:color="auto"/>
      </w:divBdr>
    </w:div>
    <w:div w:id="589851580">
      <w:bodyDiv w:val="1"/>
      <w:marLeft w:val="0"/>
      <w:marRight w:val="0"/>
      <w:marTop w:val="0"/>
      <w:marBottom w:val="0"/>
      <w:divBdr>
        <w:top w:val="none" w:sz="0" w:space="0" w:color="auto"/>
        <w:left w:val="none" w:sz="0" w:space="0" w:color="auto"/>
        <w:bottom w:val="none" w:sz="0" w:space="0" w:color="auto"/>
        <w:right w:val="none" w:sz="0" w:space="0" w:color="auto"/>
      </w:divBdr>
    </w:div>
    <w:div w:id="679550392">
      <w:bodyDiv w:val="1"/>
      <w:marLeft w:val="0"/>
      <w:marRight w:val="0"/>
      <w:marTop w:val="0"/>
      <w:marBottom w:val="0"/>
      <w:divBdr>
        <w:top w:val="none" w:sz="0" w:space="0" w:color="auto"/>
        <w:left w:val="none" w:sz="0" w:space="0" w:color="auto"/>
        <w:bottom w:val="none" w:sz="0" w:space="0" w:color="auto"/>
        <w:right w:val="none" w:sz="0" w:space="0" w:color="auto"/>
      </w:divBdr>
    </w:div>
    <w:div w:id="697851096">
      <w:bodyDiv w:val="1"/>
      <w:marLeft w:val="0"/>
      <w:marRight w:val="0"/>
      <w:marTop w:val="0"/>
      <w:marBottom w:val="0"/>
      <w:divBdr>
        <w:top w:val="none" w:sz="0" w:space="0" w:color="auto"/>
        <w:left w:val="none" w:sz="0" w:space="0" w:color="auto"/>
        <w:bottom w:val="none" w:sz="0" w:space="0" w:color="auto"/>
        <w:right w:val="none" w:sz="0" w:space="0" w:color="auto"/>
      </w:divBdr>
    </w:div>
    <w:div w:id="711881201">
      <w:bodyDiv w:val="1"/>
      <w:marLeft w:val="0"/>
      <w:marRight w:val="0"/>
      <w:marTop w:val="0"/>
      <w:marBottom w:val="0"/>
      <w:divBdr>
        <w:top w:val="none" w:sz="0" w:space="0" w:color="auto"/>
        <w:left w:val="none" w:sz="0" w:space="0" w:color="auto"/>
        <w:bottom w:val="none" w:sz="0" w:space="0" w:color="auto"/>
        <w:right w:val="none" w:sz="0" w:space="0" w:color="auto"/>
      </w:divBdr>
    </w:div>
    <w:div w:id="844635336">
      <w:bodyDiv w:val="1"/>
      <w:marLeft w:val="0"/>
      <w:marRight w:val="0"/>
      <w:marTop w:val="0"/>
      <w:marBottom w:val="0"/>
      <w:divBdr>
        <w:top w:val="none" w:sz="0" w:space="0" w:color="auto"/>
        <w:left w:val="none" w:sz="0" w:space="0" w:color="auto"/>
        <w:bottom w:val="none" w:sz="0" w:space="0" w:color="auto"/>
        <w:right w:val="none" w:sz="0" w:space="0" w:color="auto"/>
      </w:divBdr>
    </w:div>
    <w:div w:id="1163620124">
      <w:bodyDiv w:val="1"/>
      <w:marLeft w:val="0"/>
      <w:marRight w:val="0"/>
      <w:marTop w:val="0"/>
      <w:marBottom w:val="0"/>
      <w:divBdr>
        <w:top w:val="none" w:sz="0" w:space="0" w:color="auto"/>
        <w:left w:val="none" w:sz="0" w:space="0" w:color="auto"/>
        <w:bottom w:val="none" w:sz="0" w:space="0" w:color="auto"/>
        <w:right w:val="none" w:sz="0" w:space="0" w:color="auto"/>
      </w:divBdr>
    </w:div>
    <w:div w:id="1300573370">
      <w:bodyDiv w:val="1"/>
      <w:marLeft w:val="0"/>
      <w:marRight w:val="0"/>
      <w:marTop w:val="0"/>
      <w:marBottom w:val="0"/>
      <w:divBdr>
        <w:top w:val="none" w:sz="0" w:space="0" w:color="auto"/>
        <w:left w:val="none" w:sz="0" w:space="0" w:color="auto"/>
        <w:bottom w:val="none" w:sz="0" w:space="0" w:color="auto"/>
        <w:right w:val="none" w:sz="0" w:space="0" w:color="auto"/>
      </w:divBdr>
    </w:div>
    <w:div w:id="1376659962">
      <w:bodyDiv w:val="1"/>
      <w:marLeft w:val="0"/>
      <w:marRight w:val="0"/>
      <w:marTop w:val="0"/>
      <w:marBottom w:val="0"/>
      <w:divBdr>
        <w:top w:val="none" w:sz="0" w:space="0" w:color="auto"/>
        <w:left w:val="none" w:sz="0" w:space="0" w:color="auto"/>
        <w:bottom w:val="none" w:sz="0" w:space="0" w:color="auto"/>
        <w:right w:val="none" w:sz="0" w:space="0" w:color="auto"/>
      </w:divBdr>
    </w:div>
    <w:div w:id="1591306200">
      <w:bodyDiv w:val="1"/>
      <w:marLeft w:val="0"/>
      <w:marRight w:val="0"/>
      <w:marTop w:val="0"/>
      <w:marBottom w:val="0"/>
      <w:divBdr>
        <w:top w:val="none" w:sz="0" w:space="0" w:color="auto"/>
        <w:left w:val="none" w:sz="0" w:space="0" w:color="auto"/>
        <w:bottom w:val="none" w:sz="0" w:space="0" w:color="auto"/>
        <w:right w:val="none" w:sz="0" w:space="0" w:color="auto"/>
      </w:divBdr>
    </w:div>
    <w:div w:id="1595089943">
      <w:bodyDiv w:val="1"/>
      <w:marLeft w:val="0"/>
      <w:marRight w:val="0"/>
      <w:marTop w:val="0"/>
      <w:marBottom w:val="0"/>
      <w:divBdr>
        <w:top w:val="none" w:sz="0" w:space="0" w:color="auto"/>
        <w:left w:val="none" w:sz="0" w:space="0" w:color="auto"/>
        <w:bottom w:val="none" w:sz="0" w:space="0" w:color="auto"/>
        <w:right w:val="none" w:sz="0" w:space="0" w:color="auto"/>
      </w:divBdr>
    </w:div>
    <w:div w:id="1661037270">
      <w:bodyDiv w:val="1"/>
      <w:marLeft w:val="0"/>
      <w:marRight w:val="0"/>
      <w:marTop w:val="0"/>
      <w:marBottom w:val="0"/>
      <w:divBdr>
        <w:top w:val="none" w:sz="0" w:space="0" w:color="auto"/>
        <w:left w:val="none" w:sz="0" w:space="0" w:color="auto"/>
        <w:bottom w:val="none" w:sz="0" w:space="0" w:color="auto"/>
        <w:right w:val="none" w:sz="0" w:space="0" w:color="auto"/>
      </w:divBdr>
    </w:div>
    <w:div w:id="1669167281">
      <w:bodyDiv w:val="1"/>
      <w:marLeft w:val="0"/>
      <w:marRight w:val="0"/>
      <w:marTop w:val="0"/>
      <w:marBottom w:val="0"/>
      <w:divBdr>
        <w:top w:val="none" w:sz="0" w:space="0" w:color="auto"/>
        <w:left w:val="none" w:sz="0" w:space="0" w:color="auto"/>
        <w:bottom w:val="none" w:sz="0" w:space="0" w:color="auto"/>
        <w:right w:val="none" w:sz="0" w:space="0" w:color="auto"/>
      </w:divBdr>
    </w:div>
    <w:div w:id="1819689398">
      <w:bodyDiv w:val="1"/>
      <w:marLeft w:val="0"/>
      <w:marRight w:val="0"/>
      <w:marTop w:val="0"/>
      <w:marBottom w:val="0"/>
      <w:divBdr>
        <w:top w:val="none" w:sz="0" w:space="0" w:color="auto"/>
        <w:left w:val="none" w:sz="0" w:space="0" w:color="auto"/>
        <w:bottom w:val="none" w:sz="0" w:space="0" w:color="auto"/>
        <w:right w:val="none" w:sz="0" w:space="0" w:color="auto"/>
      </w:divBdr>
    </w:div>
    <w:div w:id="1830947385">
      <w:bodyDiv w:val="1"/>
      <w:marLeft w:val="0"/>
      <w:marRight w:val="0"/>
      <w:marTop w:val="0"/>
      <w:marBottom w:val="0"/>
      <w:divBdr>
        <w:top w:val="none" w:sz="0" w:space="0" w:color="auto"/>
        <w:left w:val="none" w:sz="0" w:space="0" w:color="auto"/>
        <w:bottom w:val="none" w:sz="0" w:space="0" w:color="auto"/>
        <w:right w:val="none" w:sz="0" w:space="0" w:color="auto"/>
      </w:divBdr>
    </w:div>
    <w:div w:id="1836610265">
      <w:bodyDiv w:val="1"/>
      <w:marLeft w:val="0"/>
      <w:marRight w:val="0"/>
      <w:marTop w:val="0"/>
      <w:marBottom w:val="0"/>
      <w:divBdr>
        <w:top w:val="none" w:sz="0" w:space="0" w:color="auto"/>
        <w:left w:val="none" w:sz="0" w:space="0" w:color="auto"/>
        <w:bottom w:val="none" w:sz="0" w:space="0" w:color="auto"/>
        <w:right w:val="none" w:sz="0" w:space="0" w:color="auto"/>
      </w:divBdr>
    </w:div>
    <w:div w:id="1895121351">
      <w:bodyDiv w:val="1"/>
      <w:marLeft w:val="0"/>
      <w:marRight w:val="0"/>
      <w:marTop w:val="0"/>
      <w:marBottom w:val="0"/>
      <w:divBdr>
        <w:top w:val="none" w:sz="0" w:space="0" w:color="auto"/>
        <w:left w:val="none" w:sz="0" w:space="0" w:color="auto"/>
        <w:bottom w:val="none" w:sz="0" w:space="0" w:color="auto"/>
        <w:right w:val="none" w:sz="0" w:space="0" w:color="auto"/>
      </w:divBdr>
    </w:div>
    <w:div w:id="1945309730">
      <w:bodyDiv w:val="1"/>
      <w:marLeft w:val="0"/>
      <w:marRight w:val="0"/>
      <w:marTop w:val="0"/>
      <w:marBottom w:val="0"/>
      <w:divBdr>
        <w:top w:val="none" w:sz="0" w:space="0" w:color="auto"/>
        <w:left w:val="none" w:sz="0" w:space="0" w:color="auto"/>
        <w:bottom w:val="none" w:sz="0" w:space="0" w:color="auto"/>
        <w:right w:val="none" w:sz="0" w:space="0" w:color="auto"/>
      </w:divBdr>
    </w:div>
    <w:div w:id="2077045401">
      <w:bodyDiv w:val="1"/>
      <w:marLeft w:val="0"/>
      <w:marRight w:val="0"/>
      <w:marTop w:val="0"/>
      <w:marBottom w:val="0"/>
      <w:divBdr>
        <w:top w:val="none" w:sz="0" w:space="0" w:color="auto"/>
        <w:left w:val="none" w:sz="0" w:space="0" w:color="auto"/>
        <w:bottom w:val="none" w:sz="0" w:space="0" w:color="auto"/>
        <w:right w:val="none" w:sz="0" w:space="0" w:color="auto"/>
      </w:divBdr>
    </w:div>
    <w:div w:id="2106025725">
      <w:bodyDiv w:val="1"/>
      <w:marLeft w:val="0"/>
      <w:marRight w:val="0"/>
      <w:marTop w:val="0"/>
      <w:marBottom w:val="0"/>
      <w:divBdr>
        <w:top w:val="none" w:sz="0" w:space="0" w:color="auto"/>
        <w:left w:val="none" w:sz="0" w:space="0" w:color="auto"/>
        <w:bottom w:val="none" w:sz="0" w:space="0" w:color="auto"/>
        <w:right w:val="none" w:sz="0" w:space="0" w:color="auto"/>
      </w:divBdr>
    </w:div>
    <w:div w:id="211197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83-i-omb%20MOA-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83-i-omb MOA-IP</Template>
  <TotalTime>0</TotalTime>
  <Pages>3</Pages>
  <Words>3922</Words>
  <Characters>22360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Gary L. Murphy</dc:creator>
  <cp:lastModifiedBy>SYSTEM</cp:lastModifiedBy>
  <cp:revision>2</cp:revision>
  <cp:lastPrinted>2019-02-21T19:27:00Z</cp:lastPrinted>
  <dcterms:created xsi:type="dcterms:W3CDTF">2019-05-20T16:02:00Z</dcterms:created>
  <dcterms:modified xsi:type="dcterms:W3CDTF">2019-05-20T16:02:00Z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