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C1522" w14:textId="52E2B6EE" w:rsidR="00E6326A" w:rsidRPr="00173D3E" w:rsidRDefault="00AC1F5B" w:rsidP="007C23F0">
      <w:pPr>
        <w:tabs>
          <w:tab w:val="left" w:pos="547"/>
          <w:tab w:val="left" w:pos="1080"/>
          <w:tab w:val="left" w:pos="1627"/>
          <w:tab w:val="left" w:pos="2160"/>
          <w:tab w:val="left" w:pos="2880"/>
        </w:tabs>
        <w:jc w:val="center"/>
        <w:rPr>
          <w:b/>
          <w:bCs/>
        </w:rPr>
      </w:pPr>
      <w:bookmarkStart w:id="0" w:name="_GoBack"/>
      <w:bookmarkEnd w:id="0"/>
      <w:r w:rsidRPr="00173D3E">
        <w:rPr>
          <w:b/>
          <w:bCs/>
        </w:rPr>
        <w:t xml:space="preserve">Airborne Hazards </w:t>
      </w:r>
      <w:r w:rsidR="00067B56" w:rsidRPr="00173D3E">
        <w:rPr>
          <w:b/>
          <w:bCs/>
        </w:rPr>
        <w:t>a</w:t>
      </w:r>
      <w:r w:rsidRPr="00173D3E">
        <w:rPr>
          <w:b/>
          <w:bCs/>
        </w:rPr>
        <w:t xml:space="preserve">nd </w:t>
      </w:r>
      <w:r w:rsidR="00326682" w:rsidRPr="00173D3E">
        <w:rPr>
          <w:b/>
          <w:bCs/>
        </w:rPr>
        <w:t>Open Burn Pit Registry</w:t>
      </w:r>
      <w:r w:rsidR="00BA4B08" w:rsidRPr="00173D3E">
        <w:rPr>
          <w:b/>
          <w:bCs/>
        </w:rPr>
        <w:br/>
        <w:t>Self-Assessment Questionnaire</w:t>
      </w:r>
    </w:p>
    <w:p w14:paraId="5D8B10ED" w14:textId="77777777" w:rsidR="00067B56" w:rsidRPr="00173D3E" w:rsidRDefault="00067B56" w:rsidP="007C23F0">
      <w:pPr>
        <w:tabs>
          <w:tab w:val="left" w:pos="547"/>
          <w:tab w:val="left" w:pos="1080"/>
          <w:tab w:val="left" w:pos="1627"/>
          <w:tab w:val="left" w:pos="2160"/>
          <w:tab w:val="left" w:pos="2880"/>
        </w:tabs>
        <w:jc w:val="center"/>
        <w:rPr>
          <w:b/>
          <w:bCs/>
        </w:rPr>
      </w:pPr>
    </w:p>
    <w:p w14:paraId="76E3A878" w14:textId="0508288C" w:rsidR="00A77A80" w:rsidRPr="00173D3E" w:rsidRDefault="00A77A80" w:rsidP="002379B1">
      <w:pPr>
        <w:tabs>
          <w:tab w:val="left" w:pos="547"/>
          <w:tab w:val="left" w:pos="1080"/>
          <w:tab w:val="left" w:pos="1627"/>
          <w:tab w:val="left" w:pos="2160"/>
          <w:tab w:val="left" w:pos="2880"/>
        </w:tabs>
        <w:jc w:val="center"/>
        <w:rPr>
          <w:b/>
          <w:bCs/>
        </w:rPr>
      </w:pPr>
      <w:r w:rsidRPr="00173D3E">
        <w:rPr>
          <w:b/>
          <w:bCs/>
        </w:rPr>
        <w:t>Web-Accessible</w:t>
      </w:r>
      <w:r w:rsidR="00D546A2" w:rsidRPr="00173D3E">
        <w:rPr>
          <w:b/>
          <w:bCs/>
        </w:rPr>
        <w:t xml:space="preserve">: </w:t>
      </w:r>
      <w:r w:rsidR="008C5660" w:rsidRPr="00173D3E">
        <w:rPr>
          <w:b/>
          <w:bCs/>
        </w:rPr>
        <w:t xml:space="preserve"> </w:t>
      </w:r>
      <w:r w:rsidRPr="00173D3E">
        <w:rPr>
          <w:b/>
          <w:bCs/>
        </w:rPr>
        <w:t>VA Form 10-10066</w:t>
      </w:r>
    </w:p>
    <w:p w14:paraId="16C2EBBF" w14:textId="77777777" w:rsidR="00A77A80" w:rsidRPr="00173D3E" w:rsidRDefault="00A77A80" w:rsidP="002379B1">
      <w:pPr>
        <w:tabs>
          <w:tab w:val="left" w:pos="547"/>
          <w:tab w:val="left" w:pos="1080"/>
          <w:tab w:val="left" w:pos="1627"/>
          <w:tab w:val="left" w:pos="2160"/>
          <w:tab w:val="left" w:pos="2880"/>
        </w:tabs>
        <w:jc w:val="center"/>
        <w:rPr>
          <w:b/>
          <w:bCs/>
        </w:rPr>
      </w:pPr>
    </w:p>
    <w:p w14:paraId="4EDAC44B" w14:textId="5D8C1612" w:rsidR="00E6326A" w:rsidRPr="00173D3E" w:rsidRDefault="002D63BC" w:rsidP="002379B1">
      <w:pPr>
        <w:tabs>
          <w:tab w:val="left" w:pos="547"/>
          <w:tab w:val="left" w:pos="1080"/>
          <w:tab w:val="left" w:pos="1627"/>
          <w:tab w:val="left" w:pos="2160"/>
          <w:tab w:val="left" w:pos="2880"/>
        </w:tabs>
        <w:jc w:val="center"/>
        <w:rPr>
          <w:b/>
          <w:bCs/>
        </w:rPr>
      </w:pPr>
      <w:r w:rsidRPr="00173D3E">
        <w:rPr>
          <w:b/>
          <w:bCs/>
        </w:rPr>
        <w:t>OMB</w:t>
      </w:r>
      <w:r w:rsidR="00063F3C" w:rsidRPr="00173D3E">
        <w:rPr>
          <w:b/>
          <w:bCs/>
        </w:rPr>
        <w:t xml:space="preserve"> 2900-0800</w:t>
      </w:r>
      <w:r w:rsidR="00326682" w:rsidRPr="00173D3E">
        <w:rPr>
          <w:b/>
          <w:bCs/>
        </w:rPr>
        <w:br/>
      </w:r>
    </w:p>
    <w:p w14:paraId="39A95D25" w14:textId="77777777" w:rsidR="00536A11" w:rsidRPr="00173D3E" w:rsidRDefault="00536A11" w:rsidP="007C23F0">
      <w:pPr>
        <w:tabs>
          <w:tab w:val="left" w:pos="547"/>
          <w:tab w:val="left" w:pos="1080"/>
          <w:tab w:val="left" w:pos="1627"/>
          <w:tab w:val="left" w:pos="2160"/>
          <w:tab w:val="left" w:pos="2880"/>
        </w:tabs>
        <w:jc w:val="center"/>
      </w:pPr>
    </w:p>
    <w:p w14:paraId="5BE36ECC" w14:textId="7B3F636A" w:rsidR="00536A11" w:rsidRPr="00173D3E" w:rsidRDefault="00067B56" w:rsidP="005D625F">
      <w:pPr>
        <w:tabs>
          <w:tab w:val="left" w:pos="360"/>
          <w:tab w:val="left" w:pos="547"/>
          <w:tab w:val="left" w:pos="1080"/>
          <w:tab w:val="left" w:pos="1627"/>
          <w:tab w:val="left" w:pos="2160"/>
          <w:tab w:val="left" w:pos="2880"/>
        </w:tabs>
        <w:rPr>
          <w:b/>
        </w:rPr>
      </w:pPr>
      <w:r w:rsidRPr="00173D3E">
        <w:rPr>
          <w:b/>
        </w:rPr>
        <w:t>A.</w:t>
      </w:r>
      <w:r w:rsidRPr="00173D3E">
        <w:rPr>
          <w:b/>
        </w:rPr>
        <w:tab/>
        <w:t>JUSTIFICATION</w:t>
      </w:r>
    </w:p>
    <w:p w14:paraId="06856B40" w14:textId="77777777" w:rsidR="00067B56" w:rsidRPr="00173D3E" w:rsidRDefault="00067B56">
      <w:pPr>
        <w:tabs>
          <w:tab w:val="left" w:pos="547"/>
          <w:tab w:val="left" w:pos="1080"/>
          <w:tab w:val="left" w:pos="1627"/>
          <w:tab w:val="left" w:pos="2160"/>
          <w:tab w:val="left" w:pos="2880"/>
        </w:tabs>
      </w:pPr>
    </w:p>
    <w:p w14:paraId="3F1E63E6" w14:textId="49D5C22F"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b/>
          <w:sz w:val="24"/>
          <w:szCs w:val="24"/>
        </w:rPr>
      </w:pPr>
      <w:r w:rsidRPr="00173D3E">
        <w:rPr>
          <w:b/>
          <w:sz w:val="24"/>
          <w:szCs w:val="24"/>
        </w:rPr>
        <w:t>Explain the circumstances that make the collection of information necessary.  Identify legal or administrative requirements that necessitate the collection of information.</w:t>
      </w:r>
    </w:p>
    <w:p w14:paraId="0BEB3597" w14:textId="77777777" w:rsidR="00536A11" w:rsidRPr="00173D3E" w:rsidRDefault="00536A11" w:rsidP="00067B56">
      <w:pPr>
        <w:tabs>
          <w:tab w:val="left" w:pos="547"/>
          <w:tab w:val="left" w:pos="1080"/>
          <w:tab w:val="left" w:pos="1627"/>
          <w:tab w:val="left" w:pos="2160"/>
          <w:tab w:val="left" w:pos="2880"/>
        </w:tabs>
      </w:pPr>
    </w:p>
    <w:p w14:paraId="0DC0EAAF" w14:textId="78B4406B" w:rsidR="00D876FB" w:rsidRPr="00173D3E" w:rsidRDefault="00696BBC" w:rsidP="005D625F">
      <w:pPr>
        <w:widowControl w:val="0"/>
        <w:tabs>
          <w:tab w:val="left" w:pos="540"/>
        </w:tabs>
        <w:ind w:left="360"/>
        <w:rPr>
          <w:bCs/>
        </w:rPr>
      </w:pPr>
      <w:r w:rsidRPr="00173D3E">
        <w:rPr>
          <w:bCs/>
        </w:rPr>
        <w:t>1.1</w:t>
      </w:r>
      <w:r w:rsidR="001A05E0" w:rsidRPr="00173D3E">
        <w:rPr>
          <w:bCs/>
        </w:rPr>
        <w:tab/>
      </w:r>
      <w:r w:rsidR="004F0DF1">
        <w:rPr>
          <w:bCs/>
        </w:rPr>
        <w:t xml:space="preserve"> </w:t>
      </w:r>
      <w:r w:rsidR="009C2C4E" w:rsidRPr="00173D3E">
        <w:rPr>
          <w:bCs/>
        </w:rPr>
        <w:t xml:space="preserve">Public Law 112-260 Section 201, </w:t>
      </w:r>
      <w:r w:rsidR="009164EE" w:rsidRPr="00173D3E">
        <w:rPr>
          <w:bCs/>
        </w:rPr>
        <w:t>enacted</w:t>
      </w:r>
      <w:r w:rsidR="009C2C4E" w:rsidRPr="00173D3E">
        <w:rPr>
          <w:bCs/>
        </w:rPr>
        <w:t xml:space="preserve"> by President Obama on 10 January 2013, require</w:t>
      </w:r>
      <w:r w:rsidR="00CA6834" w:rsidRPr="00173D3E">
        <w:rPr>
          <w:bCs/>
        </w:rPr>
        <w:t>d</w:t>
      </w:r>
      <w:r w:rsidR="009C2C4E" w:rsidRPr="00173D3E">
        <w:rPr>
          <w:bCs/>
        </w:rPr>
        <w:t xml:space="preserve"> </w:t>
      </w:r>
      <w:r w:rsidR="00067B56" w:rsidRPr="00173D3E">
        <w:rPr>
          <w:bCs/>
        </w:rPr>
        <w:t>Department of Veterans Affairs (</w:t>
      </w:r>
      <w:r w:rsidR="009C2C4E" w:rsidRPr="00173D3E">
        <w:rPr>
          <w:bCs/>
        </w:rPr>
        <w:t>VA</w:t>
      </w:r>
      <w:r w:rsidR="00067B56" w:rsidRPr="00173D3E">
        <w:rPr>
          <w:bCs/>
        </w:rPr>
        <w:t>)</w:t>
      </w:r>
      <w:r w:rsidR="009C2C4E" w:rsidRPr="00173D3E">
        <w:rPr>
          <w:bCs/>
        </w:rPr>
        <w:t xml:space="preserve"> to establish and maintain an “</w:t>
      </w:r>
      <w:r w:rsidR="00DA0190" w:rsidRPr="00173D3E">
        <w:rPr>
          <w:bCs/>
        </w:rPr>
        <w:t xml:space="preserve">Airborne Hazards and </w:t>
      </w:r>
      <w:r w:rsidR="009C2C4E" w:rsidRPr="00173D3E">
        <w:rPr>
          <w:bCs/>
        </w:rPr>
        <w:t>Open Burn Pit Registry</w:t>
      </w:r>
      <w:r w:rsidR="004B6254" w:rsidRPr="00173D3E">
        <w:rPr>
          <w:bCs/>
        </w:rPr>
        <w:t xml:space="preserve"> (AHOBPR)</w:t>
      </w:r>
      <w:r w:rsidR="009C2C4E" w:rsidRPr="00173D3E">
        <w:rPr>
          <w:bCs/>
        </w:rPr>
        <w:t>” no later than one year from enactment.</w:t>
      </w:r>
      <w:r w:rsidR="008A324C" w:rsidRPr="00173D3E">
        <w:rPr>
          <w:bCs/>
        </w:rPr>
        <w:t xml:space="preserve">  </w:t>
      </w:r>
      <w:r w:rsidR="00CA6834" w:rsidRPr="00173D3E">
        <w:rPr>
          <w:bCs/>
        </w:rPr>
        <w:t xml:space="preserve">VA launched the AHOBPR in June 2014.  There is no sunset date identified in the law.  </w:t>
      </w:r>
      <w:r w:rsidR="008A324C" w:rsidRPr="00173D3E">
        <w:rPr>
          <w:bCs/>
        </w:rPr>
        <w:t xml:space="preserve">The Secretary of Veterans Affairs may “include any information in such </w:t>
      </w:r>
      <w:r w:rsidR="00783823" w:rsidRPr="00173D3E">
        <w:rPr>
          <w:bCs/>
        </w:rPr>
        <w:t>registry that the Secretary of V</w:t>
      </w:r>
      <w:r w:rsidR="008A324C" w:rsidRPr="00173D3E">
        <w:rPr>
          <w:bCs/>
        </w:rPr>
        <w:t>eterans Affairs determines necessary to ascertain and monitor the health effects of the exposure of members of the Armed Forces to toxic airborne chemicals and fumes caused by open burn pits</w:t>
      </w:r>
      <w:r w:rsidR="002163C3">
        <w:rPr>
          <w:bCs/>
        </w:rPr>
        <w:t>.</w:t>
      </w:r>
      <w:r w:rsidR="008A324C" w:rsidRPr="00173D3E">
        <w:rPr>
          <w:bCs/>
        </w:rPr>
        <w:t>”</w:t>
      </w:r>
      <w:r w:rsidR="002163C3">
        <w:rPr>
          <w:bCs/>
        </w:rPr>
        <w:t xml:space="preserve"> </w:t>
      </w:r>
      <w:r w:rsidR="00035B46" w:rsidRPr="00173D3E">
        <w:rPr>
          <w:bCs/>
        </w:rPr>
        <w:t xml:space="preserve"> Currently, VA plans to op</w:t>
      </w:r>
      <w:r w:rsidR="00066BFE" w:rsidRPr="00173D3E">
        <w:rPr>
          <w:bCs/>
        </w:rPr>
        <w:t>erate the AHOBPR indefinitely</w:t>
      </w:r>
      <w:r w:rsidR="002163C3">
        <w:rPr>
          <w:bCs/>
        </w:rPr>
        <w:t>,</w:t>
      </w:r>
      <w:r w:rsidR="00066BFE" w:rsidRPr="00173D3E">
        <w:rPr>
          <w:bCs/>
        </w:rPr>
        <w:t xml:space="preserve"> and we request </w:t>
      </w:r>
      <w:r w:rsidR="00035B46" w:rsidRPr="00173D3E">
        <w:rPr>
          <w:bCs/>
        </w:rPr>
        <w:t>approval to continue administer</w:t>
      </w:r>
      <w:r w:rsidR="00AA310D" w:rsidRPr="00173D3E">
        <w:rPr>
          <w:bCs/>
        </w:rPr>
        <w:t>ing</w:t>
      </w:r>
      <w:r w:rsidR="00035B46" w:rsidRPr="00173D3E">
        <w:rPr>
          <w:bCs/>
        </w:rPr>
        <w:t xml:space="preserve"> the questionnaire</w:t>
      </w:r>
      <w:r w:rsidR="00066BFE" w:rsidRPr="00173D3E">
        <w:rPr>
          <w:bCs/>
        </w:rPr>
        <w:t>.</w:t>
      </w:r>
      <w:r w:rsidR="00035B46" w:rsidRPr="00173D3E">
        <w:rPr>
          <w:bCs/>
        </w:rPr>
        <w:t xml:space="preserve">  </w:t>
      </w:r>
    </w:p>
    <w:p w14:paraId="3CF7E28A" w14:textId="77777777" w:rsidR="00640262" w:rsidRPr="00173D3E" w:rsidRDefault="00640262" w:rsidP="00A63C7F">
      <w:pPr>
        <w:widowControl w:val="0"/>
        <w:tabs>
          <w:tab w:val="left" w:pos="540"/>
        </w:tabs>
        <w:rPr>
          <w:bCs/>
        </w:rPr>
      </w:pPr>
    </w:p>
    <w:p w14:paraId="1D277C57" w14:textId="0E2AD4EA" w:rsidR="00B33477" w:rsidRPr="00173D3E" w:rsidRDefault="00696BBC" w:rsidP="005D625F">
      <w:pPr>
        <w:tabs>
          <w:tab w:val="left" w:pos="547"/>
          <w:tab w:val="left" w:pos="1080"/>
          <w:tab w:val="left" w:pos="1627"/>
          <w:tab w:val="left" w:pos="2160"/>
          <w:tab w:val="left" w:pos="2880"/>
        </w:tabs>
        <w:ind w:left="360"/>
      </w:pPr>
      <w:r w:rsidRPr="00173D3E">
        <w:t xml:space="preserve">1.2   Qarmat Ali:  </w:t>
      </w:r>
      <w:r w:rsidR="004B6254" w:rsidRPr="00173D3E">
        <w:t>This program is a new request for</w:t>
      </w:r>
      <w:r w:rsidRPr="00173D3E">
        <w:t xml:space="preserve"> </w:t>
      </w:r>
      <w:r w:rsidR="00ED1DEA">
        <w:t xml:space="preserve">a </w:t>
      </w:r>
      <w:r w:rsidRPr="00173D3E">
        <w:t>follow-</w:t>
      </w:r>
      <w:r w:rsidRPr="002163C3">
        <w:t>up information collection for a subset of Veterans impacted by</w:t>
      </w:r>
      <w:r w:rsidR="00AA310D" w:rsidRPr="002163C3">
        <w:t xml:space="preserve"> </w:t>
      </w:r>
      <w:r w:rsidR="00227262">
        <w:t xml:space="preserve">a </w:t>
      </w:r>
      <w:r w:rsidR="00AA310D" w:rsidRPr="002163C3">
        <w:t>specific</w:t>
      </w:r>
      <w:r w:rsidRPr="002163C3">
        <w:t xml:space="preserve"> airborne hazard.  In the spring and summer of 2003, approximately 700 U</w:t>
      </w:r>
      <w:r w:rsidR="00227262">
        <w:t>.</w:t>
      </w:r>
      <w:r w:rsidRPr="002163C3">
        <w:t>S</w:t>
      </w:r>
      <w:r w:rsidR="00227262">
        <w:t>.</w:t>
      </w:r>
      <w:r w:rsidRPr="002163C3">
        <w:t xml:space="preserve"> Servicemembers may have been impacted by a specific airborne</w:t>
      </w:r>
      <w:r w:rsidRPr="00173D3E">
        <w:t xml:space="preserve"> hazard</w:t>
      </w:r>
      <w:r w:rsidR="002B53A6">
        <w:t xml:space="preserve"> </w:t>
      </w:r>
      <w:r w:rsidRPr="00173D3E">
        <w:t xml:space="preserve">while serving at a water injection plant in Qarmat Ali (QA), Iraq. </w:t>
      </w:r>
      <w:r w:rsidR="00067B56" w:rsidRPr="00173D3E">
        <w:t xml:space="preserve"> </w:t>
      </w:r>
      <w:r w:rsidRPr="00173D3E">
        <w:t>The Department of Defense (DoD) was unable to determine specific exposure levels near the water treatment facility.  In 2010, in response to DoD’s notification, the VA offered no-cost medical evaluations and encouraged the cohort to enroll in a new Qarmat Ali medical surveillance program within the Gulf War Registry.  The QA cohort is also eligible to participate in the AHOBPR program</w:t>
      </w:r>
      <w:r w:rsidR="004B6254" w:rsidRPr="00173D3E">
        <w:t xml:space="preserve"> due to their deployment to Iraq</w:t>
      </w:r>
      <w:r w:rsidRPr="00173D3E">
        <w:t>.  As part of the planned 5-year periodic medical follow-up and surveillance program, self-reported information will be collected through the AHOBPR</w:t>
      </w:r>
      <w:r w:rsidR="004B6254" w:rsidRPr="00173D3E">
        <w:t xml:space="preserve"> as outlined above.  </w:t>
      </w:r>
      <w:r w:rsidRPr="00173D3E">
        <w:t xml:space="preserve">Additional information on the Qarmat Ali </w:t>
      </w:r>
      <w:r w:rsidR="00ED1DEA">
        <w:t>w</w:t>
      </w:r>
      <w:r w:rsidRPr="00173D3E">
        <w:t>ater treatment facility can be found at the following link</w:t>
      </w:r>
      <w:r w:rsidR="00B33477" w:rsidRPr="00173D3E">
        <w:t xml:space="preserve"> at:</w:t>
      </w:r>
      <w:r w:rsidRPr="00173D3E">
        <w:t xml:space="preserve">  </w:t>
      </w:r>
      <w:hyperlink r:id="rId10" w:history="1">
        <w:r w:rsidR="00B33477" w:rsidRPr="00173D3E">
          <w:rPr>
            <w:rStyle w:val="Hyperlink"/>
          </w:rPr>
          <w:t>https://phc.amedd.army.mil/PHC%20Resource%20Library/QarmatAliWTPChromiumAssessmentMay2010.pdf</w:t>
        </w:r>
      </w:hyperlink>
      <w:r w:rsidR="00B33477" w:rsidRPr="00173D3E">
        <w:t>.</w:t>
      </w:r>
    </w:p>
    <w:p w14:paraId="62F0FFD9" w14:textId="77777777" w:rsidR="00696BBC" w:rsidRPr="00173D3E" w:rsidRDefault="00696BBC" w:rsidP="005D625F">
      <w:pPr>
        <w:tabs>
          <w:tab w:val="left" w:pos="540"/>
          <w:tab w:val="left" w:pos="1080"/>
          <w:tab w:val="left" w:pos="1627"/>
          <w:tab w:val="left" w:pos="2160"/>
          <w:tab w:val="left" w:pos="2880"/>
        </w:tabs>
        <w:ind w:left="360"/>
        <w:rPr>
          <w:bCs/>
        </w:rPr>
      </w:pPr>
    </w:p>
    <w:p w14:paraId="36B5BCFE" w14:textId="54D129D6"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b/>
          <w:sz w:val="24"/>
          <w:szCs w:val="24"/>
        </w:rPr>
      </w:pPr>
      <w:r w:rsidRPr="00173D3E">
        <w:rPr>
          <w:b/>
          <w:sz w:val="24"/>
          <w:szCs w:val="24"/>
        </w:rPr>
        <w:t>Indicate how, by whom, and for what purposes the information is to be used; indicate actual use the agency has made of the information received from current collection.</w:t>
      </w:r>
    </w:p>
    <w:p w14:paraId="752034C3" w14:textId="77777777" w:rsidR="009C233A" w:rsidRPr="00173D3E" w:rsidRDefault="009C233A">
      <w:pPr>
        <w:tabs>
          <w:tab w:val="left" w:pos="547"/>
          <w:tab w:val="left" w:pos="1080"/>
          <w:tab w:val="left" w:pos="1627"/>
          <w:tab w:val="left" w:pos="2160"/>
          <w:tab w:val="left" w:pos="2880"/>
        </w:tabs>
        <w:rPr>
          <w:b/>
        </w:rPr>
      </w:pPr>
    </w:p>
    <w:p w14:paraId="0AD7FA7B" w14:textId="0FF87CC5" w:rsidR="00CA6834" w:rsidRPr="00173D3E" w:rsidRDefault="009C233A" w:rsidP="005D625F">
      <w:pPr>
        <w:ind w:left="360"/>
      </w:pPr>
      <w:r w:rsidRPr="00173D3E">
        <w:t xml:space="preserve">Information collected </w:t>
      </w:r>
      <w:r w:rsidR="00426787" w:rsidRPr="00173D3E">
        <w:t>is voluntary and</w:t>
      </w:r>
      <w:r w:rsidR="0041002E" w:rsidRPr="00173D3E">
        <w:t xml:space="preserve"> is </w:t>
      </w:r>
      <w:r w:rsidRPr="00173D3E">
        <w:t xml:space="preserve">used to provide outreach and quality health services to </w:t>
      </w:r>
      <w:r w:rsidR="00CA6834" w:rsidRPr="00173D3E">
        <w:t xml:space="preserve">AHOBPR </w:t>
      </w:r>
      <w:r w:rsidRPr="00173D3E">
        <w:t>participants</w:t>
      </w:r>
      <w:r w:rsidR="0041002E" w:rsidRPr="00173D3E">
        <w:t>.  Collected data</w:t>
      </w:r>
      <w:r w:rsidR="00CA6834" w:rsidRPr="00173D3E">
        <w:t xml:space="preserve"> </w:t>
      </w:r>
      <w:r w:rsidR="00804201" w:rsidRPr="00173D3E">
        <w:t>contribute</w:t>
      </w:r>
      <w:r w:rsidR="0041002E" w:rsidRPr="00173D3E">
        <w:t>s</w:t>
      </w:r>
      <w:r w:rsidR="00804201" w:rsidRPr="00173D3E">
        <w:t xml:space="preserve"> to </w:t>
      </w:r>
      <w:r w:rsidRPr="00173D3E">
        <w:t xml:space="preserve">VA’s ability to understand the </w:t>
      </w:r>
      <w:r w:rsidR="00804201" w:rsidRPr="00173D3E">
        <w:t xml:space="preserve">potential </w:t>
      </w:r>
      <w:r w:rsidR="00F147AB" w:rsidRPr="00173D3E">
        <w:t xml:space="preserve">health </w:t>
      </w:r>
      <w:r w:rsidRPr="00173D3E">
        <w:t xml:space="preserve">effects of the exposure </w:t>
      </w:r>
      <w:r w:rsidR="00AA310D" w:rsidRPr="00173D3E">
        <w:t xml:space="preserve">to burn pit emissions and other airborne </w:t>
      </w:r>
      <w:r w:rsidR="00D74074" w:rsidRPr="00173D3E">
        <w:t>hazards</w:t>
      </w:r>
      <w:r w:rsidR="00D74074">
        <w:t xml:space="preserve"> </w:t>
      </w:r>
      <w:r w:rsidR="00CA6834" w:rsidRPr="00173D3E">
        <w:t>during deployment</w:t>
      </w:r>
      <w:r w:rsidR="007B627A">
        <w:t xml:space="preserve">, </w:t>
      </w:r>
      <w:r w:rsidRPr="00173D3E">
        <w:t xml:space="preserve">such as </w:t>
      </w:r>
      <w:r w:rsidR="004B6254" w:rsidRPr="00173D3E">
        <w:t xml:space="preserve">particulate matter </w:t>
      </w:r>
      <w:r w:rsidRPr="00173D3E">
        <w:t xml:space="preserve">(PM). </w:t>
      </w:r>
      <w:r w:rsidR="00926BAF" w:rsidRPr="00173D3E">
        <w:t xml:space="preserve"> </w:t>
      </w:r>
    </w:p>
    <w:p w14:paraId="17B8FAE2" w14:textId="77777777" w:rsidR="00CA6834" w:rsidRPr="00173D3E" w:rsidRDefault="00CA6834" w:rsidP="009164EE"/>
    <w:p w14:paraId="33D92312" w14:textId="5EA9B996" w:rsidR="00804201" w:rsidRPr="00173D3E" w:rsidRDefault="00804201" w:rsidP="005D625F">
      <w:pPr>
        <w:ind w:left="360"/>
      </w:pPr>
      <w:r w:rsidRPr="00173D3E">
        <w:t>Because of self-selection bias, the registry is unlikely to provide data generalizable to the</w:t>
      </w:r>
      <w:r w:rsidR="00AA310D" w:rsidRPr="00173D3E">
        <w:t xml:space="preserve"> entire eligible</w:t>
      </w:r>
      <w:r w:rsidRPr="00173D3E">
        <w:t xml:space="preserve"> population.</w:t>
      </w:r>
      <w:r w:rsidR="00CA6834" w:rsidRPr="00173D3E">
        <w:t xml:space="preserve"> </w:t>
      </w:r>
      <w:r w:rsidR="0041002E" w:rsidRPr="00173D3E">
        <w:t xml:space="preserve">This point was </w:t>
      </w:r>
      <w:r w:rsidR="00AA310D" w:rsidRPr="00173D3E">
        <w:t xml:space="preserve">emphasized </w:t>
      </w:r>
      <w:r w:rsidR="0041002E" w:rsidRPr="00173D3E">
        <w:t xml:space="preserve">in </w:t>
      </w:r>
      <w:r w:rsidR="00AA310D" w:rsidRPr="00173D3E">
        <w:t>a recent report on the first year of operation, completed by</w:t>
      </w:r>
      <w:r w:rsidR="0041002E" w:rsidRPr="00173D3E">
        <w:t xml:space="preserve"> National Academies of Sciences, Engineering and </w:t>
      </w:r>
      <w:r w:rsidR="008022D0" w:rsidRPr="00173D3E">
        <w:t>Medicine</w:t>
      </w:r>
      <w:r w:rsidR="00702B0F" w:rsidRPr="00173D3E">
        <w:t xml:space="preserve"> </w:t>
      </w:r>
      <w:r w:rsidR="00AA310D" w:rsidRPr="00173D3E">
        <w:t>(NAM)</w:t>
      </w:r>
      <w:r w:rsidR="0041002E" w:rsidRPr="00173D3E">
        <w:t xml:space="preserve">.  </w:t>
      </w:r>
    </w:p>
    <w:p w14:paraId="5CDD3470" w14:textId="77777777" w:rsidR="00804201" w:rsidRPr="00173D3E" w:rsidRDefault="00804201" w:rsidP="009164EE"/>
    <w:p w14:paraId="503D69A1" w14:textId="455C65FD" w:rsidR="00804201" w:rsidRPr="00173D3E" w:rsidRDefault="00D636D4" w:rsidP="005D625F">
      <w:pPr>
        <w:ind w:left="360"/>
      </w:pPr>
      <w:r w:rsidRPr="00173D3E">
        <w:t xml:space="preserve">Participant </w:t>
      </w:r>
      <w:r w:rsidR="009164EE" w:rsidRPr="00173D3E">
        <w:t xml:space="preserve">health concerns, </w:t>
      </w:r>
      <w:r w:rsidRPr="00173D3E">
        <w:t xml:space="preserve">demographics, </w:t>
      </w:r>
      <w:r w:rsidR="009164EE" w:rsidRPr="00173D3E">
        <w:t xml:space="preserve">deployment information, environmental monitoring data, self-reported </w:t>
      </w:r>
      <w:r w:rsidRPr="00173D3E">
        <w:t>exposure</w:t>
      </w:r>
      <w:r w:rsidR="009164EE" w:rsidRPr="00173D3E">
        <w:t>s</w:t>
      </w:r>
      <w:r w:rsidRPr="00173D3E">
        <w:t xml:space="preserve">, health </w:t>
      </w:r>
      <w:r w:rsidR="004825EB" w:rsidRPr="00173D3E">
        <w:t>status,</w:t>
      </w:r>
      <w:r w:rsidRPr="00173D3E">
        <w:t xml:space="preserve"> and </w:t>
      </w:r>
      <w:r w:rsidR="009C233A" w:rsidRPr="00173D3E">
        <w:t>health care u</w:t>
      </w:r>
      <w:r w:rsidR="00931E3B" w:rsidRPr="00173D3E">
        <w:t xml:space="preserve">tilization </w:t>
      </w:r>
      <w:r w:rsidR="008022D0" w:rsidRPr="00173D3E">
        <w:t>are</w:t>
      </w:r>
      <w:r w:rsidR="00931E3B" w:rsidRPr="00173D3E">
        <w:t xml:space="preserve"> monitored</w:t>
      </w:r>
      <w:r w:rsidR="00AA310D" w:rsidRPr="00173D3E">
        <w:t>,</w:t>
      </w:r>
      <w:r w:rsidR="00931E3B" w:rsidRPr="00173D3E">
        <w:t xml:space="preserve"> </w:t>
      </w:r>
      <w:r w:rsidR="009C233A" w:rsidRPr="00173D3E">
        <w:t>over time</w:t>
      </w:r>
      <w:r w:rsidR="00AA310D" w:rsidRPr="00173D3E">
        <w:t>,</w:t>
      </w:r>
      <w:r w:rsidR="009164EE" w:rsidRPr="00173D3E">
        <w:t xml:space="preserve"> through </w:t>
      </w:r>
      <w:r w:rsidR="009164EE" w:rsidRPr="00173D3E">
        <w:lastRenderedPageBreak/>
        <w:t>routine and ad</w:t>
      </w:r>
      <w:r w:rsidR="00BF4631" w:rsidRPr="00173D3E">
        <w:t xml:space="preserve"> </w:t>
      </w:r>
      <w:r w:rsidR="009164EE" w:rsidRPr="00173D3E">
        <w:t>hoc analysis</w:t>
      </w:r>
      <w:r w:rsidR="00AA310D" w:rsidRPr="00173D3E">
        <w:t>.</w:t>
      </w:r>
      <w:r w:rsidR="00756489" w:rsidRPr="00173D3E">
        <w:t xml:space="preserve"> </w:t>
      </w:r>
      <w:r w:rsidR="00AA310D" w:rsidRPr="00173D3E">
        <w:t xml:space="preserve"> The process helps to</w:t>
      </w:r>
      <w:r w:rsidR="002A5259" w:rsidRPr="00173D3E">
        <w:t xml:space="preserve"> </w:t>
      </w:r>
      <w:r w:rsidR="009C233A" w:rsidRPr="00173D3E">
        <w:t xml:space="preserve">improve health care </w:t>
      </w:r>
      <w:r w:rsidR="00BC4BC7" w:rsidRPr="00173D3E">
        <w:t xml:space="preserve">services </w:t>
      </w:r>
      <w:r w:rsidR="009C233A" w:rsidRPr="00173D3E">
        <w:t>an</w:t>
      </w:r>
      <w:r w:rsidR="009164EE" w:rsidRPr="00173D3E">
        <w:t>d</w:t>
      </w:r>
      <w:r w:rsidR="00BC4BC7" w:rsidRPr="00173D3E">
        <w:t xml:space="preserve"> </w:t>
      </w:r>
      <w:r w:rsidR="00AA310D" w:rsidRPr="00173D3E">
        <w:t xml:space="preserve">to </w:t>
      </w:r>
      <w:r w:rsidR="00BC4BC7" w:rsidRPr="00173D3E">
        <w:t>generate</w:t>
      </w:r>
      <w:r w:rsidR="009164EE" w:rsidRPr="00173D3E">
        <w:t xml:space="preserve"> hypothese</w:t>
      </w:r>
      <w:r w:rsidR="009C233A" w:rsidRPr="00173D3E">
        <w:t>s</w:t>
      </w:r>
      <w:r w:rsidR="00AA310D" w:rsidRPr="00173D3E">
        <w:t xml:space="preserve"> concerning</w:t>
      </w:r>
      <w:r w:rsidR="009C233A" w:rsidRPr="00173D3E">
        <w:t xml:space="preserve"> </w:t>
      </w:r>
      <w:r w:rsidR="00AA310D" w:rsidRPr="00173D3E">
        <w:t>exposure health</w:t>
      </w:r>
      <w:r w:rsidR="009C233A" w:rsidRPr="00173D3E">
        <w:t xml:space="preserve"> effects</w:t>
      </w:r>
      <w:r w:rsidR="00092F59" w:rsidRPr="00173D3E">
        <w:t>.</w:t>
      </w:r>
      <w:r w:rsidRPr="00173D3E">
        <w:t xml:space="preserve">  </w:t>
      </w:r>
    </w:p>
    <w:p w14:paraId="24439576" w14:textId="77777777" w:rsidR="00804201" w:rsidRPr="00173D3E" w:rsidRDefault="00804201" w:rsidP="009164EE"/>
    <w:p w14:paraId="07423DBA" w14:textId="4AD74A5D" w:rsidR="00124D71" w:rsidRPr="00173D3E" w:rsidRDefault="00804201" w:rsidP="005D625F">
      <w:pPr>
        <w:ind w:left="360"/>
      </w:pPr>
      <w:r w:rsidRPr="00173D3E">
        <w:t>VA r</w:t>
      </w:r>
      <w:r w:rsidR="005B4808" w:rsidRPr="00173D3E">
        <w:t>esearchers may access the</w:t>
      </w:r>
      <w:r w:rsidRPr="00173D3E">
        <w:t xml:space="preserve"> identifiable</w:t>
      </w:r>
      <w:r w:rsidR="005B4808" w:rsidRPr="00173D3E">
        <w:t xml:space="preserve"> data</w:t>
      </w:r>
      <w:r w:rsidRPr="00173D3E">
        <w:t xml:space="preserve"> in a secure environment and may</w:t>
      </w:r>
      <w:r w:rsidR="005B4808" w:rsidRPr="00173D3E">
        <w:t xml:space="preserve"> merge</w:t>
      </w:r>
      <w:r w:rsidRPr="00173D3E">
        <w:t xml:space="preserve"> it</w:t>
      </w:r>
      <w:r w:rsidR="005B4808" w:rsidRPr="00173D3E">
        <w:t xml:space="preserve"> with other data sets in </w:t>
      </w:r>
      <w:r w:rsidR="00BC4BC7" w:rsidRPr="00173D3E">
        <w:t>Institutional Review Board (</w:t>
      </w:r>
      <w:r w:rsidR="005B4808" w:rsidRPr="00173D3E">
        <w:t>IRB</w:t>
      </w:r>
      <w:r w:rsidR="00BC4BC7" w:rsidRPr="00173D3E">
        <w:t>)</w:t>
      </w:r>
      <w:r w:rsidR="005B4808" w:rsidRPr="00173D3E">
        <w:t xml:space="preserve"> approved research studies to test hypothes</w:t>
      </w:r>
      <w:r w:rsidR="00BC4BC7" w:rsidRPr="00173D3E">
        <w:t>e</w:t>
      </w:r>
      <w:r w:rsidR="005B4808" w:rsidRPr="00173D3E">
        <w:t>s or solicit participation in research studies</w:t>
      </w:r>
      <w:r w:rsidRPr="00173D3E">
        <w:t xml:space="preserve"> (which may require approval under the Paperwork Reduction Act)</w:t>
      </w:r>
      <w:r w:rsidR="005B4808" w:rsidRPr="00173D3E">
        <w:t xml:space="preserve">.  </w:t>
      </w:r>
      <w:r w:rsidR="00D636D4" w:rsidRPr="00173D3E">
        <w:t xml:space="preserve">Data </w:t>
      </w:r>
      <w:r w:rsidR="00AA310D" w:rsidRPr="00173D3E">
        <w:t>are</w:t>
      </w:r>
      <w:r w:rsidR="00D636D4" w:rsidRPr="00173D3E">
        <w:t xml:space="preserve"> used </w:t>
      </w:r>
      <w:r w:rsidR="00972EDE" w:rsidRPr="00173D3E">
        <w:t xml:space="preserve">for </w:t>
      </w:r>
      <w:r w:rsidR="00D636D4" w:rsidRPr="00173D3E">
        <w:t>target</w:t>
      </w:r>
      <w:r w:rsidR="00AA310D" w:rsidRPr="00173D3E">
        <w:t>ed</w:t>
      </w:r>
      <w:r w:rsidR="00D636D4" w:rsidRPr="00173D3E">
        <w:t xml:space="preserve"> outreach</w:t>
      </w:r>
      <w:r w:rsidR="009164EE" w:rsidRPr="00173D3E">
        <w:t xml:space="preserve"> to Veterans with specific exposures or health status</w:t>
      </w:r>
      <w:r w:rsidR="00AA310D" w:rsidRPr="00173D3E">
        <w:t>es</w:t>
      </w:r>
      <w:r w:rsidR="009164EE" w:rsidRPr="00173D3E">
        <w:t xml:space="preserve"> of concern.  </w:t>
      </w:r>
      <w:r w:rsidR="009C233A" w:rsidRPr="00173D3E">
        <w:t xml:space="preserve">Registry data </w:t>
      </w:r>
      <w:r w:rsidR="00AA310D" w:rsidRPr="00173D3E">
        <w:t>are</w:t>
      </w:r>
      <w:r w:rsidR="009C233A" w:rsidRPr="00173D3E">
        <w:t xml:space="preserve"> maintained in accordance with federal privacy and information security standards</w:t>
      </w:r>
      <w:r w:rsidR="004825EB" w:rsidRPr="00173D3E">
        <w:t xml:space="preserve">.  </w:t>
      </w:r>
      <w:r w:rsidRPr="00173D3E">
        <w:t xml:space="preserve">Participant questionnaires </w:t>
      </w:r>
      <w:r w:rsidR="008022D0" w:rsidRPr="00173D3E">
        <w:t xml:space="preserve">are </w:t>
      </w:r>
      <w:r w:rsidRPr="00173D3E">
        <w:t>administered</w:t>
      </w:r>
      <w:r w:rsidR="00092F59" w:rsidRPr="00173D3E">
        <w:t xml:space="preserve"> securely</w:t>
      </w:r>
      <w:r w:rsidR="009164EE" w:rsidRPr="00173D3E">
        <w:t xml:space="preserve"> via </w:t>
      </w:r>
      <w:r w:rsidR="00BC4BC7" w:rsidRPr="00173D3E">
        <w:t xml:space="preserve">the </w:t>
      </w:r>
      <w:r w:rsidR="009164EE" w:rsidRPr="00173D3E">
        <w:t>W</w:t>
      </w:r>
      <w:r w:rsidR="009C233A" w:rsidRPr="00173D3E">
        <w:t>orld</w:t>
      </w:r>
      <w:r w:rsidR="009164EE" w:rsidRPr="00173D3E">
        <w:t xml:space="preserve"> Wide W</w:t>
      </w:r>
      <w:r w:rsidR="009C233A" w:rsidRPr="00173D3E">
        <w:t>eb</w:t>
      </w:r>
      <w:r w:rsidR="00CF7CD7" w:rsidRPr="00173D3E">
        <w:t xml:space="preserve">.  </w:t>
      </w:r>
      <w:r w:rsidR="009C233A" w:rsidRPr="00173D3E">
        <w:t>Data elements</w:t>
      </w:r>
      <w:r w:rsidR="00CF7CD7" w:rsidRPr="00173D3E">
        <w:t xml:space="preserve"> </w:t>
      </w:r>
      <w:r w:rsidR="009C233A" w:rsidRPr="00173D3E">
        <w:t xml:space="preserve">include individual </w:t>
      </w:r>
      <w:r w:rsidR="009164EE" w:rsidRPr="00173D3E">
        <w:t xml:space="preserve">health concerns, </w:t>
      </w:r>
      <w:r w:rsidR="009C233A" w:rsidRPr="00173D3E">
        <w:t xml:space="preserve">demographic, </w:t>
      </w:r>
      <w:r w:rsidR="009164EE" w:rsidRPr="00173D3E">
        <w:t xml:space="preserve">self-reported exposures, </w:t>
      </w:r>
      <w:r w:rsidR="00433884" w:rsidRPr="00173D3E">
        <w:t>communication preference</w:t>
      </w:r>
      <w:r w:rsidR="00E54B55" w:rsidRPr="00173D3E">
        <w:t>, and</w:t>
      </w:r>
      <w:r w:rsidR="0090193B" w:rsidRPr="00173D3E">
        <w:t xml:space="preserve"> </w:t>
      </w:r>
      <w:r w:rsidR="009C233A" w:rsidRPr="00173D3E">
        <w:t>health</w:t>
      </w:r>
      <w:r w:rsidR="00D636D4" w:rsidRPr="00173D3E">
        <w:t xml:space="preserve"> status</w:t>
      </w:r>
      <w:r w:rsidR="00CF7CD7" w:rsidRPr="00173D3E">
        <w:t xml:space="preserve">.  Subsequent studies may include </w:t>
      </w:r>
      <w:r w:rsidR="00433884" w:rsidRPr="00173D3E">
        <w:t xml:space="preserve">measures of </w:t>
      </w:r>
      <w:r w:rsidR="00CF7CD7" w:rsidRPr="00173D3E">
        <w:t>environmental</w:t>
      </w:r>
      <w:r w:rsidR="00E54B55" w:rsidRPr="00173D3E">
        <w:t xml:space="preserve"> </w:t>
      </w:r>
      <w:r w:rsidR="00931E3B" w:rsidRPr="00173D3E">
        <w:t>exposure,</w:t>
      </w:r>
      <w:r w:rsidR="00433884" w:rsidRPr="00173D3E">
        <w:t xml:space="preserve"> and</w:t>
      </w:r>
      <w:r w:rsidR="00E54B55" w:rsidRPr="00173D3E">
        <w:t xml:space="preserve"> </w:t>
      </w:r>
      <w:r w:rsidR="00124D71" w:rsidRPr="00173D3E">
        <w:t xml:space="preserve">questions about health care. </w:t>
      </w:r>
      <w:r w:rsidR="00926BAF" w:rsidRPr="00173D3E">
        <w:t xml:space="preserve"> </w:t>
      </w:r>
      <w:r w:rsidR="00124D71" w:rsidRPr="00173D3E">
        <w:t>Additional clearance would be required for such collections.</w:t>
      </w:r>
    </w:p>
    <w:p w14:paraId="13FA43BA" w14:textId="19FC9D4E" w:rsidR="00124D71" w:rsidRPr="00173D3E" w:rsidRDefault="00124D71" w:rsidP="009164EE"/>
    <w:p w14:paraId="14F93F20" w14:textId="6B3BA7EE" w:rsidR="00CF7CD7" w:rsidRPr="00173D3E" w:rsidRDefault="00124D71" w:rsidP="005D625F">
      <w:pPr>
        <w:ind w:left="360"/>
      </w:pPr>
      <w:r w:rsidRPr="00173D3E">
        <w:t xml:space="preserve">The data collected via participant </w:t>
      </w:r>
      <w:r w:rsidR="003A1F7C" w:rsidRPr="00173D3E">
        <w:t>questionnaires</w:t>
      </w:r>
      <w:r w:rsidRPr="00173D3E">
        <w:t xml:space="preserve"> </w:t>
      </w:r>
      <w:r w:rsidR="00AA310D" w:rsidRPr="00173D3E">
        <w:t>are</w:t>
      </w:r>
      <w:r w:rsidRPr="00173D3E">
        <w:t xml:space="preserve"> analyzed in concert with data available from VA patient health records and DoD personnel and other administrative records.  If VA actively recruits participants to </w:t>
      </w:r>
      <w:r w:rsidR="003A1F7C" w:rsidRPr="00173D3E">
        <w:t>engage in</w:t>
      </w:r>
      <w:r w:rsidR="00931E3B" w:rsidRPr="00173D3E">
        <w:t xml:space="preserve"> follow-</w:t>
      </w:r>
      <w:r w:rsidRPr="00173D3E">
        <w:t>up</w:t>
      </w:r>
      <w:r w:rsidR="009164EE" w:rsidRPr="00173D3E">
        <w:t xml:space="preserve"> clinical evaluation</w:t>
      </w:r>
      <w:r w:rsidR="004825EB" w:rsidRPr="00173D3E">
        <w:t>, medical</w:t>
      </w:r>
      <w:r w:rsidR="00D636D4" w:rsidRPr="00173D3E">
        <w:t xml:space="preserve"> diagnosis, medical procedure</w:t>
      </w:r>
      <w:r w:rsidRPr="00173D3E">
        <w:t xml:space="preserve">s or </w:t>
      </w:r>
      <w:r w:rsidR="00D636D4" w:rsidRPr="00173D3E">
        <w:t>other ancillary health care,</w:t>
      </w:r>
      <w:r w:rsidR="009C233A" w:rsidRPr="00173D3E">
        <w:t xml:space="preserve"> </w:t>
      </w:r>
      <w:r w:rsidRPr="00173D3E">
        <w:t>VA</w:t>
      </w:r>
      <w:r w:rsidR="003A1F7C" w:rsidRPr="00173D3E">
        <w:t xml:space="preserve"> understands that participants need to be informed that the information collected during these procedures will be used in the aforementioned study, and that, depending on the study design, </w:t>
      </w:r>
      <w:r w:rsidR="00BC4BC7" w:rsidRPr="00173D3E">
        <w:t>specific</w:t>
      </w:r>
      <w:r w:rsidR="000C29D8" w:rsidRPr="00173D3E">
        <w:t xml:space="preserve"> </w:t>
      </w:r>
      <w:r w:rsidR="003A1F7C" w:rsidRPr="00173D3E">
        <w:t>clearance may be necessary.</w:t>
      </w:r>
      <w:r w:rsidR="00A55AFD" w:rsidRPr="00173D3E">
        <w:t xml:space="preserve"> </w:t>
      </w:r>
      <w:r w:rsidR="009C233A" w:rsidRPr="00173D3E">
        <w:t xml:space="preserve"> </w:t>
      </w:r>
    </w:p>
    <w:p w14:paraId="6D462F08" w14:textId="77777777" w:rsidR="00124D71" w:rsidRPr="00173D3E" w:rsidRDefault="00124D71" w:rsidP="009164EE"/>
    <w:p w14:paraId="6F950A88" w14:textId="708ED52D" w:rsidR="009C233A" w:rsidRPr="00173D3E" w:rsidRDefault="00A55AFD" w:rsidP="005D625F">
      <w:pPr>
        <w:ind w:left="360"/>
      </w:pPr>
      <w:r w:rsidRPr="00173D3E">
        <w:t>I</w:t>
      </w:r>
      <w:r w:rsidR="009C233A" w:rsidRPr="00173D3E">
        <w:t>ndividuals</w:t>
      </w:r>
      <w:r w:rsidRPr="00173D3E">
        <w:t xml:space="preserve"> eligible for the registry include </w:t>
      </w:r>
      <w:r w:rsidR="00CC24ED" w:rsidRPr="00173D3E">
        <w:t xml:space="preserve">members of the Armed Forces who may have been exposed to burn pit emissions or other potential airborne environmental hazards while deployed </w:t>
      </w:r>
      <w:r w:rsidR="009C233A" w:rsidRPr="00173D3E">
        <w:t xml:space="preserve">to </w:t>
      </w:r>
      <w:r w:rsidR="00931E3B" w:rsidRPr="00173D3E">
        <w:t>the</w:t>
      </w:r>
      <w:r w:rsidR="003F7085" w:rsidRPr="00173D3E">
        <w:t xml:space="preserve"> </w:t>
      </w:r>
      <w:r w:rsidR="00931E3B" w:rsidRPr="00173D3E">
        <w:t>S</w:t>
      </w:r>
      <w:r w:rsidR="00DC13F8" w:rsidRPr="00173D3E">
        <w:t xml:space="preserve">outhwest Asia </w:t>
      </w:r>
      <w:r w:rsidR="00931E3B" w:rsidRPr="00173D3E">
        <w:t xml:space="preserve">theater of operations </w:t>
      </w:r>
      <w:r w:rsidR="003F7085" w:rsidRPr="00173D3E">
        <w:t>(Iraq, Kuwait, Saudi Arabia, Bahrain, Qatar, the United Arab Emirates, Oman, Gulf of Aden, Gulf of Oman, waters of the Persian Gulf, the Arabian Sea, and the Red Sea)</w:t>
      </w:r>
      <w:r w:rsidR="00DC13F8" w:rsidRPr="00173D3E">
        <w:t xml:space="preserve"> on or after August 2, 1990 (as defined in 38 CFR 3.317(e)(2))</w:t>
      </w:r>
      <w:r w:rsidR="003F7085" w:rsidRPr="00173D3E">
        <w:t xml:space="preserve">, </w:t>
      </w:r>
      <w:r w:rsidR="00F4687D" w:rsidRPr="00173D3E">
        <w:t xml:space="preserve">or </w:t>
      </w:r>
      <w:r w:rsidR="009C233A" w:rsidRPr="00173D3E">
        <w:t>Afghanistan</w:t>
      </w:r>
      <w:r w:rsidR="00931E3B" w:rsidRPr="00173D3E">
        <w:t xml:space="preserve"> or</w:t>
      </w:r>
      <w:r w:rsidR="003F7085" w:rsidRPr="00173D3E">
        <w:t xml:space="preserve"> Djibouti</w:t>
      </w:r>
      <w:r w:rsidR="00931E3B" w:rsidRPr="00173D3E">
        <w:t>, Africa</w:t>
      </w:r>
      <w:r w:rsidR="009C233A" w:rsidRPr="00173D3E">
        <w:t xml:space="preserve"> </w:t>
      </w:r>
      <w:r w:rsidR="00A11391" w:rsidRPr="00173D3E">
        <w:t xml:space="preserve">on or </w:t>
      </w:r>
      <w:r w:rsidR="009C233A" w:rsidRPr="00173D3E">
        <w:t>after September 11, 2001.</w:t>
      </w:r>
      <w:r w:rsidR="00426787" w:rsidRPr="00173D3E">
        <w:t xml:space="preserve"> </w:t>
      </w:r>
    </w:p>
    <w:p w14:paraId="049E4E98" w14:textId="08D251AE" w:rsidR="00536A11" w:rsidRPr="00173D3E" w:rsidRDefault="00536A11">
      <w:pPr>
        <w:pStyle w:val="Header"/>
        <w:tabs>
          <w:tab w:val="clear" w:pos="4320"/>
          <w:tab w:val="clear" w:pos="8640"/>
          <w:tab w:val="left" w:pos="547"/>
          <w:tab w:val="left" w:pos="1080"/>
          <w:tab w:val="left" w:pos="1627"/>
          <w:tab w:val="left" w:pos="2160"/>
          <w:tab w:val="left" w:pos="2880"/>
        </w:tabs>
        <w:rPr>
          <w:sz w:val="24"/>
          <w:szCs w:val="24"/>
        </w:rPr>
      </w:pPr>
    </w:p>
    <w:p w14:paraId="4839E29A" w14:textId="5AD1F933"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sz w:val="24"/>
          <w:szCs w:val="24"/>
        </w:rPr>
      </w:pPr>
      <w:r w:rsidRPr="00173D3E">
        <w:rPr>
          <w:b/>
          <w:sz w:val="24"/>
          <w:szCs w:val="24"/>
        </w:rPr>
        <w:t>Describe whether, and to what extent, the collection of information involves the use of automated, electronic, mechanical, or other technological collection techniques or other forms of information technology, e.g.</w:t>
      </w:r>
      <w:r w:rsidR="009F1453">
        <w:rPr>
          <w:b/>
          <w:sz w:val="24"/>
          <w:szCs w:val="24"/>
        </w:rPr>
        <w:t>,</w:t>
      </w:r>
      <w:r w:rsidRPr="00173D3E">
        <w:rPr>
          <w:b/>
          <w:sz w:val="24"/>
          <w:szCs w:val="24"/>
        </w:rPr>
        <w:t xml:space="preserve"> permitting electronic submission of responses, and the basis for the decision for adopting this means of collection.  Also describe any consideration of using information technology to reduce burden.</w:t>
      </w:r>
    </w:p>
    <w:p w14:paraId="6FB70F6D" w14:textId="77777777" w:rsidR="00536A11" w:rsidRPr="00173D3E" w:rsidRDefault="00536A11" w:rsidP="00926BAF">
      <w:pPr>
        <w:tabs>
          <w:tab w:val="left" w:pos="547"/>
          <w:tab w:val="left" w:pos="1080"/>
          <w:tab w:val="left" w:pos="1627"/>
          <w:tab w:val="left" w:pos="2160"/>
          <w:tab w:val="left" w:pos="2880"/>
        </w:tabs>
      </w:pPr>
    </w:p>
    <w:p w14:paraId="5CD7AE80" w14:textId="029D49F8" w:rsidR="00536A11" w:rsidRPr="00173D3E" w:rsidRDefault="00931E3B" w:rsidP="005D625F">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360"/>
        <w:rPr>
          <w:color w:val="auto"/>
        </w:rPr>
      </w:pPr>
      <w:r w:rsidRPr="00173D3E">
        <w:rPr>
          <w:color w:val="auto"/>
        </w:rPr>
        <w:t>Self-assessment questionnaires</w:t>
      </w:r>
      <w:r w:rsidR="009C233A" w:rsidRPr="00173D3E">
        <w:rPr>
          <w:color w:val="auto"/>
        </w:rPr>
        <w:t xml:space="preserve"> </w:t>
      </w:r>
      <w:r w:rsidR="00BC4BC7" w:rsidRPr="00173D3E">
        <w:rPr>
          <w:color w:val="auto"/>
        </w:rPr>
        <w:t>are</w:t>
      </w:r>
      <w:r w:rsidR="008022D0" w:rsidRPr="00173D3E">
        <w:rPr>
          <w:color w:val="auto"/>
        </w:rPr>
        <w:t xml:space="preserve"> </w:t>
      </w:r>
      <w:r w:rsidR="009C233A" w:rsidRPr="00173D3E">
        <w:rPr>
          <w:color w:val="auto"/>
        </w:rPr>
        <w:t xml:space="preserve">completed using </w:t>
      </w:r>
      <w:r w:rsidR="005C4DFE" w:rsidRPr="00173D3E">
        <w:rPr>
          <w:color w:val="auto"/>
        </w:rPr>
        <w:t>a</w:t>
      </w:r>
      <w:r w:rsidR="00056B5A" w:rsidRPr="00173D3E">
        <w:rPr>
          <w:color w:val="auto"/>
        </w:rPr>
        <w:t>n</w:t>
      </w:r>
      <w:r w:rsidR="005C4DFE" w:rsidRPr="00173D3E">
        <w:rPr>
          <w:color w:val="auto"/>
        </w:rPr>
        <w:t xml:space="preserve"> internet </w:t>
      </w:r>
      <w:r w:rsidR="00092F59" w:rsidRPr="00173D3E">
        <w:rPr>
          <w:color w:val="auto"/>
        </w:rPr>
        <w:t>information technology</w:t>
      </w:r>
      <w:r w:rsidR="008022D0" w:rsidRPr="00173D3E">
        <w:rPr>
          <w:color w:val="auto"/>
        </w:rPr>
        <w:t>.  Internet access has</w:t>
      </w:r>
      <w:r w:rsidR="009C233A" w:rsidRPr="00173D3E">
        <w:rPr>
          <w:color w:val="auto"/>
        </w:rPr>
        <w:t xml:space="preserve"> </w:t>
      </w:r>
      <w:r w:rsidR="005C4DFE" w:rsidRPr="00173D3E">
        <w:rPr>
          <w:color w:val="auto"/>
        </w:rPr>
        <w:t>improve</w:t>
      </w:r>
      <w:r w:rsidR="008022D0" w:rsidRPr="00173D3E">
        <w:rPr>
          <w:color w:val="auto"/>
        </w:rPr>
        <w:t>d</w:t>
      </w:r>
      <w:r w:rsidR="005C4DFE" w:rsidRPr="00173D3E">
        <w:rPr>
          <w:color w:val="auto"/>
        </w:rPr>
        <w:t xml:space="preserve"> </w:t>
      </w:r>
      <w:r w:rsidR="009F1453">
        <w:rPr>
          <w:color w:val="auto"/>
        </w:rPr>
        <w:t xml:space="preserve">Veteran </w:t>
      </w:r>
      <w:r w:rsidR="005C4DFE" w:rsidRPr="00173D3E">
        <w:rPr>
          <w:color w:val="auto"/>
        </w:rPr>
        <w:t xml:space="preserve">access by removing </w:t>
      </w:r>
      <w:r w:rsidR="000C2B14" w:rsidRPr="00173D3E">
        <w:rPr>
          <w:color w:val="auto"/>
        </w:rPr>
        <w:t>the</w:t>
      </w:r>
      <w:r w:rsidR="005C4DFE" w:rsidRPr="00173D3E">
        <w:rPr>
          <w:color w:val="auto"/>
        </w:rPr>
        <w:t xml:space="preserve"> requirement</w:t>
      </w:r>
      <w:r w:rsidR="009C233A" w:rsidRPr="00173D3E">
        <w:rPr>
          <w:color w:val="auto"/>
        </w:rPr>
        <w:t xml:space="preserve"> to travel to VA facilities</w:t>
      </w:r>
      <w:r w:rsidR="005C4DFE" w:rsidRPr="00173D3E">
        <w:rPr>
          <w:color w:val="auto"/>
        </w:rPr>
        <w:t xml:space="preserve"> to </w:t>
      </w:r>
      <w:r w:rsidR="004825EB" w:rsidRPr="00173D3E">
        <w:rPr>
          <w:color w:val="auto"/>
        </w:rPr>
        <w:t>complete the</w:t>
      </w:r>
      <w:r w:rsidR="005C4DFE" w:rsidRPr="00173D3E">
        <w:rPr>
          <w:color w:val="auto"/>
        </w:rPr>
        <w:t xml:space="preserve"> questionnaire</w:t>
      </w:r>
      <w:r w:rsidR="009C233A" w:rsidRPr="00173D3E">
        <w:rPr>
          <w:color w:val="auto"/>
        </w:rPr>
        <w:t>.</w:t>
      </w:r>
    </w:p>
    <w:p w14:paraId="594E3F89" w14:textId="77777777" w:rsidR="00536A11" w:rsidRPr="00173D3E" w:rsidRDefault="00536A11">
      <w:pPr>
        <w:tabs>
          <w:tab w:val="left" w:pos="547"/>
          <w:tab w:val="left" w:pos="1080"/>
          <w:tab w:val="left" w:pos="1627"/>
          <w:tab w:val="left" w:pos="2160"/>
          <w:tab w:val="left" w:pos="2880"/>
        </w:tabs>
      </w:pPr>
    </w:p>
    <w:p w14:paraId="29E85F36" w14:textId="29EA93C3"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b/>
          <w:sz w:val="24"/>
          <w:szCs w:val="24"/>
        </w:rPr>
      </w:pPr>
      <w:r w:rsidRPr="00173D3E">
        <w:rPr>
          <w:b/>
          <w:sz w:val="24"/>
          <w:szCs w:val="24"/>
        </w:rPr>
        <w:t>Describe efforts to identify duplication.  Show specifically why any similar information already available cannot be used or modified for use for the purposes described in Item 2 above.</w:t>
      </w:r>
    </w:p>
    <w:p w14:paraId="5299586F" w14:textId="77777777" w:rsidR="009C233A" w:rsidRPr="00173D3E" w:rsidRDefault="009C233A">
      <w:pPr>
        <w:pStyle w:val="Header"/>
        <w:tabs>
          <w:tab w:val="clear" w:pos="4320"/>
          <w:tab w:val="clear" w:pos="8640"/>
          <w:tab w:val="left" w:pos="547"/>
          <w:tab w:val="left" w:pos="1080"/>
          <w:tab w:val="left" w:pos="1627"/>
          <w:tab w:val="left" w:pos="2160"/>
          <w:tab w:val="left" w:pos="2880"/>
        </w:tabs>
        <w:rPr>
          <w:sz w:val="24"/>
          <w:szCs w:val="24"/>
        </w:rPr>
      </w:pPr>
    </w:p>
    <w:p w14:paraId="5FE26E8B" w14:textId="27336467" w:rsidR="009C233A" w:rsidRPr="00173D3E" w:rsidRDefault="00972EDE" w:rsidP="005D625F">
      <w:pPr>
        <w:pStyle w:val="Header"/>
        <w:tabs>
          <w:tab w:val="clear" w:pos="4320"/>
          <w:tab w:val="clear" w:pos="8640"/>
          <w:tab w:val="left" w:pos="547"/>
          <w:tab w:val="left" w:pos="1080"/>
          <w:tab w:val="left" w:pos="1627"/>
          <w:tab w:val="left" w:pos="2160"/>
          <w:tab w:val="left" w:pos="2880"/>
        </w:tabs>
        <w:ind w:left="360"/>
        <w:rPr>
          <w:sz w:val="24"/>
          <w:szCs w:val="24"/>
        </w:rPr>
      </w:pPr>
      <w:r w:rsidRPr="00173D3E">
        <w:rPr>
          <w:sz w:val="24"/>
          <w:szCs w:val="24"/>
        </w:rPr>
        <w:t>At the time of the AHOBPR launch, t</w:t>
      </w:r>
      <w:r w:rsidR="009C233A" w:rsidRPr="00173D3E">
        <w:rPr>
          <w:sz w:val="24"/>
          <w:szCs w:val="24"/>
        </w:rPr>
        <w:t xml:space="preserve">here </w:t>
      </w:r>
      <w:r w:rsidRPr="00173D3E">
        <w:rPr>
          <w:sz w:val="24"/>
          <w:szCs w:val="24"/>
        </w:rPr>
        <w:t>were</w:t>
      </w:r>
      <w:r w:rsidR="009C233A" w:rsidRPr="00173D3E">
        <w:rPr>
          <w:sz w:val="24"/>
          <w:szCs w:val="24"/>
        </w:rPr>
        <w:t xml:space="preserve"> no existing registries </w:t>
      </w:r>
      <w:r w:rsidRPr="00173D3E">
        <w:rPr>
          <w:sz w:val="24"/>
          <w:szCs w:val="24"/>
        </w:rPr>
        <w:t>to</w:t>
      </w:r>
      <w:r w:rsidR="009C233A" w:rsidRPr="00173D3E">
        <w:rPr>
          <w:sz w:val="24"/>
          <w:szCs w:val="24"/>
        </w:rPr>
        <w:t xml:space="preserve"> satisfy the legislative mandate </w:t>
      </w:r>
      <w:r w:rsidR="00AA310D" w:rsidRPr="00173D3E">
        <w:rPr>
          <w:sz w:val="24"/>
          <w:szCs w:val="24"/>
        </w:rPr>
        <w:t>outlined in</w:t>
      </w:r>
      <w:r w:rsidR="009C233A" w:rsidRPr="00173D3E">
        <w:rPr>
          <w:sz w:val="24"/>
          <w:szCs w:val="24"/>
        </w:rPr>
        <w:t xml:space="preserve"> Pub L</w:t>
      </w:r>
      <w:r w:rsidR="00BF4631" w:rsidRPr="00173D3E">
        <w:rPr>
          <w:sz w:val="24"/>
          <w:szCs w:val="24"/>
        </w:rPr>
        <w:t>aw</w:t>
      </w:r>
      <w:r w:rsidR="009C233A" w:rsidRPr="00173D3E">
        <w:rPr>
          <w:sz w:val="24"/>
          <w:szCs w:val="24"/>
        </w:rPr>
        <w:t xml:space="preserve"> 112-260 section 2</w:t>
      </w:r>
      <w:r w:rsidR="00FE3FFB" w:rsidRPr="00173D3E">
        <w:rPr>
          <w:sz w:val="24"/>
          <w:szCs w:val="24"/>
        </w:rPr>
        <w:t>01</w:t>
      </w:r>
      <w:r w:rsidR="009C233A" w:rsidRPr="00173D3E">
        <w:rPr>
          <w:sz w:val="24"/>
          <w:szCs w:val="24"/>
        </w:rPr>
        <w:t>.</w:t>
      </w:r>
      <w:r w:rsidRPr="00173D3E">
        <w:rPr>
          <w:sz w:val="24"/>
          <w:szCs w:val="24"/>
        </w:rPr>
        <w:t xml:space="preserve">  The AHOBPR continues to grow at a rapid pace and provides a model for future data collection requirements.   </w:t>
      </w:r>
    </w:p>
    <w:p w14:paraId="0CB7AAA2" w14:textId="77777777" w:rsidR="009C233A" w:rsidRPr="00173D3E" w:rsidRDefault="009C233A" w:rsidP="00926BAF">
      <w:pPr>
        <w:pStyle w:val="Header"/>
        <w:tabs>
          <w:tab w:val="clear" w:pos="4320"/>
          <w:tab w:val="clear" w:pos="8640"/>
          <w:tab w:val="left" w:pos="547"/>
          <w:tab w:val="left" w:pos="1080"/>
          <w:tab w:val="left" w:pos="1627"/>
          <w:tab w:val="left" w:pos="2160"/>
          <w:tab w:val="left" w:pos="2880"/>
        </w:tabs>
        <w:rPr>
          <w:sz w:val="24"/>
          <w:szCs w:val="24"/>
        </w:rPr>
      </w:pPr>
    </w:p>
    <w:p w14:paraId="7D19BE0C" w14:textId="799F7E9C"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b/>
          <w:sz w:val="24"/>
          <w:szCs w:val="24"/>
        </w:rPr>
      </w:pPr>
      <w:r w:rsidRPr="00173D3E">
        <w:rPr>
          <w:b/>
          <w:sz w:val="24"/>
          <w:szCs w:val="24"/>
        </w:rPr>
        <w:t>If the collection of information impacts small businesses or other small entities, describe any methods used to minimize burden.</w:t>
      </w:r>
      <w:r w:rsidR="00926BAF" w:rsidRPr="00173D3E">
        <w:rPr>
          <w:sz w:val="24"/>
          <w:szCs w:val="24"/>
        </w:rPr>
        <w:t xml:space="preserve">  </w:t>
      </w:r>
    </w:p>
    <w:p w14:paraId="5F9CD136" w14:textId="77777777" w:rsidR="00536A11" w:rsidRPr="00F606B9" w:rsidRDefault="00536A11" w:rsidP="00926BAF">
      <w:pPr>
        <w:pStyle w:val="Header"/>
        <w:tabs>
          <w:tab w:val="clear" w:pos="4320"/>
          <w:tab w:val="clear" w:pos="8640"/>
          <w:tab w:val="left" w:pos="547"/>
          <w:tab w:val="left" w:pos="1080"/>
          <w:tab w:val="left" w:pos="1627"/>
          <w:tab w:val="left" w:pos="2160"/>
          <w:tab w:val="left" w:pos="2880"/>
        </w:tabs>
        <w:rPr>
          <w:sz w:val="24"/>
          <w:szCs w:val="24"/>
        </w:rPr>
      </w:pPr>
    </w:p>
    <w:p w14:paraId="1E12F264" w14:textId="0721A1EA" w:rsidR="008618F0" w:rsidRPr="00F606B9" w:rsidRDefault="002C4F10" w:rsidP="005D62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pPr>
      <w:r w:rsidRPr="00F606B9">
        <w:rPr>
          <w:sz w:val="22"/>
          <w:szCs w:val="22"/>
        </w:rPr>
        <w:t>Because th</w:t>
      </w:r>
      <w:r w:rsidR="00D32F54">
        <w:rPr>
          <w:sz w:val="22"/>
          <w:szCs w:val="22"/>
        </w:rPr>
        <w:t>is registry</w:t>
      </w:r>
      <w:r w:rsidR="00F606B9" w:rsidRPr="00F606B9">
        <w:rPr>
          <w:sz w:val="22"/>
          <w:szCs w:val="22"/>
        </w:rPr>
        <w:t xml:space="preserve"> appl</w:t>
      </w:r>
      <w:r w:rsidR="00D32F54">
        <w:rPr>
          <w:sz w:val="22"/>
          <w:szCs w:val="22"/>
        </w:rPr>
        <w:t>ies</w:t>
      </w:r>
      <w:r w:rsidR="00F606B9" w:rsidRPr="00F606B9">
        <w:rPr>
          <w:sz w:val="22"/>
          <w:szCs w:val="22"/>
        </w:rPr>
        <w:t xml:space="preserve"> to</w:t>
      </w:r>
      <w:r w:rsidRPr="00F606B9">
        <w:rPr>
          <w:sz w:val="22"/>
          <w:szCs w:val="22"/>
        </w:rPr>
        <w:t xml:space="preserve"> individual</w:t>
      </w:r>
      <w:r w:rsidR="00F606B9" w:rsidRPr="00F606B9">
        <w:rPr>
          <w:sz w:val="22"/>
          <w:szCs w:val="22"/>
        </w:rPr>
        <w:t>s</w:t>
      </w:r>
      <w:r w:rsidRPr="00F606B9">
        <w:rPr>
          <w:sz w:val="22"/>
          <w:szCs w:val="22"/>
        </w:rPr>
        <w:t xml:space="preserve">, </w:t>
      </w:r>
      <w:r w:rsidR="008618F0" w:rsidRPr="00F606B9">
        <w:t>small businesses or other small entities are impacted by the information collection</w:t>
      </w:r>
      <w:r w:rsidR="00931E3B" w:rsidRPr="00F606B9">
        <w:t>.</w:t>
      </w:r>
    </w:p>
    <w:p w14:paraId="57E99DC6" w14:textId="77777777" w:rsidR="009C233A" w:rsidRPr="00F606B9" w:rsidRDefault="009C233A" w:rsidP="00926BA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8569EA8" w14:textId="15330164"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b/>
          <w:sz w:val="24"/>
          <w:szCs w:val="24"/>
        </w:rPr>
      </w:pPr>
      <w:r w:rsidRPr="00173D3E">
        <w:rPr>
          <w:b/>
          <w:sz w:val="24"/>
          <w:szCs w:val="24"/>
        </w:rPr>
        <w:t>Describe the consequences to Federal program or policy activities if the collection is not conducted or is conducted less frequently</w:t>
      </w:r>
      <w:r w:rsidR="000D5D9D">
        <w:rPr>
          <w:b/>
          <w:sz w:val="24"/>
          <w:szCs w:val="24"/>
        </w:rPr>
        <w:t>,</w:t>
      </w:r>
      <w:r w:rsidRPr="00173D3E">
        <w:rPr>
          <w:b/>
          <w:sz w:val="24"/>
          <w:szCs w:val="24"/>
        </w:rPr>
        <w:t xml:space="preserve"> as well as any technical or legal obstacles to reducing burden.</w:t>
      </w:r>
    </w:p>
    <w:p w14:paraId="6E1151D2" w14:textId="77777777" w:rsidR="00536A11" w:rsidRPr="00173D3E" w:rsidRDefault="00536A11" w:rsidP="00926BAF">
      <w:pPr>
        <w:tabs>
          <w:tab w:val="left" w:pos="547"/>
          <w:tab w:val="left" w:pos="1080"/>
          <w:tab w:val="left" w:pos="1627"/>
          <w:tab w:val="left" w:pos="2160"/>
          <w:tab w:val="left" w:pos="2880"/>
        </w:tabs>
      </w:pPr>
    </w:p>
    <w:p w14:paraId="297CC75F" w14:textId="3122996C" w:rsidR="00536A11" w:rsidRPr="00173D3E" w:rsidRDefault="00536A11" w:rsidP="005D625F">
      <w:pPr>
        <w:tabs>
          <w:tab w:val="left" w:pos="547"/>
          <w:tab w:val="left" w:pos="1080"/>
          <w:tab w:val="left" w:pos="1627"/>
          <w:tab w:val="left" w:pos="2160"/>
          <w:tab w:val="left" w:pos="2880"/>
        </w:tabs>
        <w:ind w:left="360"/>
      </w:pPr>
      <w:r w:rsidRPr="00173D3E">
        <w:t xml:space="preserve">VA </w:t>
      </w:r>
      <w:r w:rsidR="00972EDE" w:rsidRPr="00173D3E">
        <w:t>was</w:t>
      </w:r>
      <w:r w:rsidR="00940108" w:rsidRPr="00173D3E">
        <w:t xml:space="preserve"> required to establish the registry by 10 January 2014</w:t>
      </w:r>
      <w:r w:rsidR="00B33477" w:rsidRPr="00173D3E">
        <w:t>,</w:t>
      </w:r>
      <w:r w:rsidR="00940108" w:rsidRPr="00173D3E">
        <w:t xml:space="preserve"> per Public Law 112-260.</w:t>
      </w:r>
      <w:r w:rsidR="00972EDE" w:rsidRPr="00173D3E">
        <w:t xml:space="preserve">  The registry began on 14 June 2014.  At the current time</w:t>
      </w:r>
      <w:r w:rsidR="00702B0F" w:rsidRPr="00173D3E">
        <w:t>,</w:t>
      </w:r>
      <w:r w:rsidR="00972EDE" w:rsidRPr="00173D3E">
        <w:t xml:space="preserve"> there is no legislation under consideration to end the registry.  </w:t>
      </w:r>
    </w:p>
    <w:p w14:paraId="32F95883" w14:textId="77777777" w:rsidR="00536A11" w:rsidRPr="00173D3E" w:rsidRDefault="00536A11">
      <w:pPr>
        <w:tabs>
          <w:tab w:val="left" w:pos="547"/>
          <w:tab w:val="left" w:pos="1080"/>
          <w:tab w:val="left" w:pos="1627"/>
          <w:tab w:val="left" w:pos="2160"/>
          <w:tab w:val="left" w:pos="2880"/>
        </w:tabs>
      </w:pPr>
    </w:p>
    <w:p w14:paraId="22C55AA1" w14:textId="2B8E266B" w:rsidR="00536A11" w:rsidRPr="00173D3E" w:rsidRDefault="00536A11" w:rsidP="005D625F">
      <w:pPr>
        <w:pStyle w:val="ListParagraph"/>
        <w:numPr>
          <w:ilvl w:val="0"/>
          <w:numId w:val="13"/>
        </w:numPr>
        <w:tabs>
          <w:tab w:val="left" w:pos="547"/>
          <w:tab w:val="left" w:pos="1080"/>
          <w:tab w:val="left" w:pos="1627"/>
          <w:tab w:val="left" w:pos="2160"/>
          <w:tab w:val="left" w:pos="2880"/>
        </w:tabs>
        <w:spacing w:after="0" w:line="240" w:lineRule="auto"/>
        <w:rPr>
          <w:b/>
          <w:sz w:val="24"/>
          <w:szCs w:val="24"/>
        </w:rPr>
      </w:pPr>
      <w:r w:rsidRPr="00173D3E">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sidR="00B33477" w:rsidRPr="00173D3E">
        <w:rPr>
          <w:b/>
          <w:sz w:val="24"/>
          <w:szCs w:val="24"/>
        </w:rPr>
        <w:t xml:space="preserve">  </w:t>
      </w:r>
    </w:p>
    <w:p w14:paraId="08329F72" w14:textId="77777777" w:rsidR="00536A11" w:rsidRPr="00173D3E" w:rsidRDefault="00536A11">
      <w:pPr>
        <w:tabs>
          <w:tab w:val="left" w:pos="547"/>
          <w:tab w:val="left" w:pos="1080"/>
          <w:tab w:val="left" w:pos="1627"/>
          <w:tab w:val="left" w:pos="2160"/>
          <w:tab w:val="left" w:pos="2880"/>
        </w:tabs>
      </w:pPr>
    </w:p>
    <w:p w14:paraId="191B7A6F" w14:textId="0764A493" w:rsidR="00536A11" w:rsidRPr="00173D3E" w:rsidRDefault="00536A11" w:rsidP="005D625F">
      <w:pPr>
        <w:tabs>
          <w:tab w:val="left" w:pos="547"/>
          <w:tab w:val="left" w:pos="1080"/>
          <w:tab w:val="left" w:pos="1627"/>
          <w:tab w:val="left" w:pos="2160"/>
          <w:tab w:val="left" w:pos="2880"/>
        </w:tabs>
        <w:ind w:left="360"/>
      </w:pPr>
      <w:r w:rsidRPr="00173D3E">
        <w:t>There are no such special circumstances.</w:t>
      </w:r>
    </w:p>
    <w:p w14:paraId="4E34B9A2" w14:textId="77777777" w:rsidR="00536A11" w:rsidRPr="00173D3E" w:rsidRDefault="00536A11">
      <w:pPr>
        <w:tabs>
          <w:tab w:val="left" w:pos="547"/>
          <w:tab w:val="left" w:pos="1080"/>
          <w:tab w:val="left" w:pos="1627"/>
          <w:tab w:val="left" w:pos="2160"/>
          <w:tab w:val="left" w:pos="2880"/>
        </w:tabs>
      </w:pPr>
    </w:p>
    <w:p w14:paraId="35269F40" w14:textId="40955065" w:rsidR="00A100A0" w:rsidRPr="00CF7F2D" w:rsidRDefault="00A100A0" w:rsidP="00D12AD1">
      <w:pPr>
        <w:pStyle w:val="ListParagraph"/>
        <w:numPr>
          <w:ilvl w:val="0"/>
          <w:numId w:val="13"/>
        </w:numPr>
        <w:tabs>
          <w:tab w:val="left" w:pos="547"/>
          <w:tab w:val="left" w:pos="1080"/>
          <w:tab w:val="left" w:pos="1627"/>
          <w:tab w:val="left" w:pos="2160"/>
          <w:tab w:val="left" w:pos="2880"/>
        </w:tabs>
        <w:rPr>
          <w:b/>
          <w:sz w:val="24"/>
          <w:szCs w:val="24"/>
        </w:rPr>
      </w:pPr>
      <w:r w:rsidRPr="00173D3E">
        <w:rPr>
          <w:b/>
          <w:sz w:val="24"/>
          <w:szCs w:val="24"/>
        </w:rPr>
        <w:t>a.</w:t>
      </w:r>
      <w:r w:rsidRPr="00173D3E">
        <w:rPr>
          <w:b/>
          <w:sz w:val="24"/>
          <w:szCs w:val="24"/>
        </w:rPr>
        <w:tab/>
        <w:t xml:space="preserve"> </w:t>
      </w:r>
      <w:r w:rsidR="00C95181">
        <w:rPr>
          <w:b/>
          <w:sz w:val="24"/>
          <w:szCs w:val="24"/>
        </w:rPr>
        <w:t xml:space="preserve">     </w:t>
      </w:r>
      <w:r w:rsidRPr="00173D3E">
        <w:rPr>
          <w:b/>
          <w:sz w:val="24"/>
          <w:szCs w:val="24"/>
        </w:rPr>
        <w:t xml:space="preserve">If applicable, provide a copy and identify the date and page </w:t>
      </w:r>
      <w:r w:rsidRPr="00173D3E">
        <w:rPr>
          <w:b/>
          <w:color w:val="000000"/>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173D3E">
        <w:rPr>
          <w:b/>
          <w:sz w:val="24"/>
          <w:szCs w:val="24"/>
        </w:rPr>
        <w:t xml:space="preserve"> comments.  Specifically address comments received on cost and hour burden.</w:t>
      </w:r>
    </w:p>
    <w:p w14:paraId="7A85E34D" w14:textId="516BBB93" w:rsidR="00B44EF2" w:rsidRPr="00B44EF2" w:rsidRDefault="00B44EF2" w:rsidP="00B44EF2">
      <w:pPr>
        <w:tabs>
          <w:tab w:val="left" w:pos="547"/>
          <w:tab w:val="left" w:pos="1080"/>
          <w:tab w:val="left" w:pos="1627"/>
          <w:tab w:val="left" w:pos="2160"/>
          <w:tab w:val="left" w:pos="2880"/>
        </w:tabs>
        <w:ind w:left="547"/>
        <w:rPr>
          <w:rFonts w:cs="Arial"/>
        </w:rPr>
      </w:pPr>
      <w:r>
        <w:rPr>
          <w:rFonts w:cs="Arial"/>
        </w:rPr>
        <w:tab/>
      </w:r>
      <w:r w:rsidRPr="00B44EF2">
        <w:rPr>
          <w:rFonts w:cs="Arial"/>
        </w:rPr>
        <w:t>The 60-day notice of Proposed Agency Information Collection Activity was published in the Federal Register on May 6, 2019 (84 FR 198</w:t>
      </w:r>
      <w:r>
        <w:rPr>
          <w:rFonts w:cs="Arial"/>
        </w:rPr>
        <w:t>29</w:t>
      </w:r>
      <w:r w:rsidRPr="00B44EF2">
        <w:rPr>
          <w:rFonts w:cs="Arial"/>
        </w:rPr>
        <w:t>-198</w:t>
      </w:r>
      <w:r>
        <w:rPr>
          <w:rFonts w:cs="Arial"/>
        </w:rPr>
        <w:t>30</w:t>
      </w:r>
      <w:r w:rsidRPr="00B44EF2">
        <w:rPr>
          <w:rFonts w:cs="Arial"/>
        </w:rPr>
        <w:t>).  We received no comments in response to this notice.</w:t>
      </w:r>
    </w:p>
    <w:p w14:paraId="7D6E0D89" w14:textId="77777777" w:rsidR="00B44EF2" w:rsidRPr="00B44EF2" w:rsidRDefault="00B44EF2" w:rsidP="00B44EF2">
      <w:pPr>
        <w:tabs>
          <w:tab w:val="left" w:pos="547"/>
          <w:tab w:val="left" w:pos="1080"/>
          <w:tab w:val="left" w:pos="1627"/>
          <w:tab w:val="left" w:pos="2160"/>
          <w:tab w:val="left" w:pos="2880"/>
        </w:tabs>
        <w:rPr>
          <w:rFonts w:cs="Arial"/>
        </w:rPr>
      </w:pPr>
    </w:p>
    <w:p w14:paraId="020A37AF" w14:textId="0FF05A09" w:rsidR="00B44EF2" w:rsidRPr="00B44EF2" w:rsidRDefault="00B44EF2" w:rsidP="00B44EF2">
      <w:pPr>
        <w:tabs>
          <w:tab w:val="left" w:pos="547"/>
          <w:tab w:val="left" w:pos="1080"/>
          <w:tab w:val="left" w:pos="1627"/>
          <w:tab w:val="left" w:pos="2160"/>
          <w:tab w:val="left" w:pos="2880"/>
        </w:tabs>
        <w:ind w:left="547"/>
        <w:rPr>
          <w:rFonts w:cs="Arial"/>
        </w:rPr>
      </w:pPr>
      <w:r w:rsidRPr="00B44EF2">
        <w:rPr>
          <w:rFonts w:cs="Arial"/>
        </w:rPr>
        <w:tab/>
        <w:t xml:space="preserve">The 30-day notice of Agency Information Collection Activity under OMB Review was published in the Federal Register on July </w:t>
      </w:r>
      <w:r>
        <w:rPr>
          <w:rFonts w:cs="Arial"/>
        </w:rPr>
        <w:t>25</w:t>
      </w:r>
      <w:r w:rsidRPr="00B44EF2">
        <w:rPr>
          <w:rFonts w:cs="Arial"/>
        </w:rPr>
        <w:t>, 2019 (84 FR 3</w:t>
      </w:r>
      <w:r>
        <w:rPr>
          <w:rFonts w:cs="Arial"/>
        </w:rPr>
        <w:t>5930-35931</w:t>
      </w:r>
      <w:r w:rsidRPr="00B44EF2">
        <w:rPr>
          <w:rFonts w:cs="Arial"/>
        </w:rPr>
        <w:t>).  We have received no comments to date in response to this notice.</w:t>
      </w:r>
    </w:p>
    <w:p w14:paraId="060BA9F0" w14:textId="77777777" w:rsidR="00173D3E" w:rsidRPr="00173D3E" w:rsidRDefault="00173D3E" w:rsidP="00173D3E">
      <w:pPr>
        <w:tabs>
          <w:tab w:val="left" w:pos="547"/>
          <w:tab w:val="left" w:pos="1080"/>
          <w:tab w:val="left" w:pos="1627"/>
          <w:tab w:val="left" w:pos="2160"/>
          <w:tab w:val="left" w:pos="2880"/>
        </w:tabs>
        <w:ind w:left="547"/>
      </w:pPr>
    </w:p>
    <w:p w14:paraId="766361CF" w14:textId="77777777" w:rsidR="00486027" w:rsidRPr="00173D3E" w:rsidRDefault="00486027" w:rsidP="007364FA">
      <w:pPr>
        <w:tabs>
          <w:tab w:val="left" w:pos="547"/>
          <w:tab w:val="left" w:pos="1080"/>
          <w:tab w:val="left" w:pos="1627"/>
          <w:tab w:val="left" w:pos="2160"/>
          <w:tab w:val="left" w:pos="2880"/>
        </w:tabs>
      </w:pPr>
    </w:p>
    <w:p w14:paraId="041A43F1" w14:textId="7B47883A" w:rsidR="00A100A0" w:rsidRPr="00173D3E" w:rsidRDefault="00A100A0" w:rsidP="00173D3E">
      <w:pPr>
        <w:tabs>
          <w:tab w:val="left" w:pos="547"/>
          <w:tab w:val="left" w:pos="1080"/>
          <w:tab w:val="left" w:pos="1627"/>
          <w:tab w:val="left" w:pos="2160"/>
          <w:tab w:val="left" w:pos="2880"/>
        </w:tabs>
        <w:ind w:left="547" w:hanging="547"/>
        <w:rPr>
          <w:b/>
        </w:rPr>
      </w:pPr>
      <w:r w:rsidRPr="00173D3E">
        <w:rPr>
          <w:b/>
        </w:rPr>
        <w:tab/>
        <w:t>b.</w:t>
      </w:r>
      <w:r w:rsidRPr="00173D3E">
        <w:rPr>
          <w:b/>
        </w:rPr>
        <w:tab/>
      </w:r>
      <w:r w:rsidRPr="00173D3E">
        <w:rPr>
          <w:b/>
          <w:color w:val="000000"/>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t>
      </w:r>
      <w:r w:rsidR="009336A2">
        <w:rPr>
          <w:b/>
          <w:color w:val="000000"/>
        </w:rPr>
        <w:t>that</w:t>
      </w:r>
      <w:r w:rsidRPr="00173D3E">
        <w:rPr>
          <w:b/>
          <w:color w:val="000000"/>
        </w:rPr>
        <w:t xml:space="preserve"> preclude consultation</w:t>
      </w:r>
      <w:r w:rsidRPr="00173D3E">
        <w:rPr>
          <w:b/>
        </w:rPr>
        <w:t xml:space="preserve"> every three years with representatives of those from whom information is to be obtained.</w:t>
      </w:r>
    </w:p>
    <w:p w14:paraId="79F01B0E" w14:textId="1DF7B632" w:rsidR="00B47D0D" w:rsidRPr="00173D3E" w:rsidRDefault="00B47D0D" w:rsidP="00B47D0D">
      <w:pPr>
        <w:tabs>
          <w:tab w:val="left" w:pos="547"/>
          <w:tab w:val="left" w:pos="1080"/>
          <w:tab w:val="left" w:pos="1627"/>
          <w:tab w:val="left" w:pos="2160"/>
          <w:tab w:val="left" w:pos="2880"/>
        </w:tabs>
        <w:rPr>
          <w:b/>
        </w:rPr>
      </w:pPr>
    </w:p>
    <w:p w14:paraId="431567EB" w14:textId="3B3A03C4" w:rsidR="00A100A0" w:rsidRPr="009336A2" w:rsidRDefault="009336A2" w:rsidP="00CF7F2D">
      <w:pPr>
        <w:tabs>
          <w:tab w:val="left" w:pos="547"/>
          <w:tab w:val="left" w:pos="1080"/>
          <w:tab w:val="left" w:pos="1627"/>
          <w:tab w:val="left" w:pos="2160"/>
          <w:tab w:val="left" w:pos="2880"/>
        </w:tabs>
        <w:ind w:left="547"/>
        <w:rPr>
          <w:b/>
        </w:rPr>
      </w:pPr>
      <w:r w:rsidRPr="009336A2">
        <w:rPr>
          <w:color w:val="000000"/>
        </w:rPr>
        <w:t>Outside consultation is conducted with the public through the 60- and 30-day Federal Register notices.</w:t>
      </w:r>
    </w:p>
    <w:p w14:paraId="6DD62D36" w14:textId="4C916B80" w:rsidR="00A100A0" w:rsidRPr="00173D3E" w:rsidRDefault="00A100A0" w:rsidP="00B47D0D">
      <w:pPr>
        <w:tabs>
          <w:tab w:val="left" w:pos="547"/>
          <w:tab w:val="left" w:pos="1080"/>
          <w:tab w:val="left" w:pos="1627"/>
          <w:tab w:val="left" w:pos="2160"/>
          <w:tab w:val="left" w:pos="2880"/>
        </w:tabs>
        <w:rPr>
          <w:b/>
        </w:rPr>
      </w:pPr>
    </w:p>
    <w:p w14:paraId="01D5E326" w14:textId="77777777" w:rsidR="00A100A0" w:rsidRPr="00173D3E" w:rsidRDefault="00A100A0" w:rsidP="00B47D0D">
      <w:pPr>
        <w:tabs>
          <w:tab w:val="left" w:pos="547"/>
          <w:tab w:val="left" w:pos="1080"/>
          <w:tab w:val="left" w:pos="1627"/>
          <w:tab w:val="left" w:pos="2160"/>
          <w:tab w:val="left" w:pos="2880"/>
        </w:tabs>
        <w:rPr>
          <w:b/>
        </w:rPr>
      </w:pPr>
    </w:p>
    <w:p w14:paraId="0B4AD5B6" w14:textId="0CF463A4" w:rsidR="00536A11" w:rsidRPr="00173D3E" w:rsidRDefault="004618DE" w:rsidP="005D625F">
      <w:pPr>
        <w:tabs>
          <w:tab w:val="left" w:pos="360"/>
          <w:tab w:val="left" w:pos="547"/>
          <w:tab w:val="left" w:pos="1080"/>
          <w:tab w:val="left" w:pos="1627"/>
          <w:tab w:val="left" w:pos="2160"/>
          <w:tab w:val="left" w:pos="2880"/>
        </w:tabs>
        <w:ind w:left="360" w:hanging="360"/>
      </w:pPr>
      <w:r w:rsidRPr="00173D3E">
        <w:rPr>
          <w:b/>
        </w:rPr>
        <w:t>9.</w:t>
      </w:r>
      <w:r w:rsidRPr="00173D3E">
        <w:rPr>
          <w:b/>
        </w:rPr>
        <w:tab/>
      </w:r>
      <w:r w:rsidR="00536A11" w:rsidRPr="00173D3E">
        <w:rPr>
          <w:b/>
        </w:rPr>
        <w:t>Explain any decision to provide any payment or gift to respondents, other than remuneration of contractors or grantees.</w:t>
      </w:r>
    </w:p>
    <w:p w14:paraId="50F550B4" w14:textId="77777777" w:rsidR="00536A11" w:rsidRPr="00173D3E" w:rsidRDefault="00536A11">
      <w:pPr>
        <w:tabs>
          <w:tab w:val="left" w:pos="547"/>
          <w:tab w:val="left" w:pos="1080"/>
          <w:tab w:val="left" w:pos="1627"/>
          <w:tab w:val="left" w:pos="2160"/>
          <w:tab w:val="left" w:pos="2880"/>
        </w:tabs>
      </w:pPr>
    </w:p>
    <w:p w14:paraId="6E25DBF6" w14:textId="169F54EA" w:rsidR="00407746" w:rsidRPr="00173D3E" w:rsidRDefault="00536A11" w:rsidP="005D625F">
      <w:pPr>
        <w:tabs>
          <w:tab w:val="left" w:pos="547"/>
          <w:tab w:val="left" w:pos="1080"/>
          <w:tab w:val="left" w:pos="1627"/>
          <w:tab w:val="left" w:pos="2160"/>
          <w:tab w:val="left" w:pos="2880"/>
        </w:tabs>
        <w:ind w:left="360"/>
      </w:pPr>
      <w:r w:rsidRPr="00173D3E">
        <w:t>No payment or gift is provided to respondents.</w:t>
      </w:r>
      <w:r w:rsidR="00407746" w:rsidRPr="00173D3E">
        <w:t xml:space="preserve"> </w:t>
      </w:r>
    </w:p>
    <w:p w14:paraId="3D744CA7" w14:textId="77777777" w:rsidR="00536A11" w:rsidRPr="00173D3E" w:rsidRDefault="00536A11">
      <w:pPr>
        <w:tabs>
          <w:tab w:val="left" w:pos="547"/>
          <w:tab w:val="left" w:pos="1080"/>
          <w:tab w:val="left" w:pos="1627"/>
          <w:tab w:val="left" w:pos="2160"/>
          <w:tab w:val="left" w:pos="2880"/>
        </w:tabs>
      </w:pPr>
    </w:p>
    <w:p w14:paraId="31AD65E1" w14:textId="7989404E" w:rsidR="00536A11" w:rsidRPr="00173D3E" w:rsidRDefault="004618DE" w:rsidP="005D625F">
      <w:pPr>
        <w:tabs>
          <w:tab w:val="left" w:pos="360"/>
          <w:tab w:val="left" w:pos="547"/>
          <w:tab w:val="left" w:pos="1080"/>
          <w:tab w:val="left" w:pos="1627"/>
          <w:tab w:val="left" w:pos="2160"/>
          <w:tab w:val="left" w:pos="2880"/>
        </w:tabs>
        <w:ind w:left="360" w:hanging="360"/>
        <w:rPr>
          <w:b/>
        </w:rPr>
      </w:pPr>
      <w:r w:rsidRPr="00173D3E">
        <w:rPr>
          <w:b/>
        </w:rPr>
        <w:t>10.</w:t>
      </w:r>
      <w:r w:rsidRPr="00173D3E">
        <w:rPr>
          <w:b/>
        </w:rPr>
        <w:tab/>
      </w:r>
      <w:r w:rsidR="00536A11" w:rsidRPr="00173D3E">
        <w:rPr>
          <w:b/>
        </w:rPr>
        <w:t xml:space="preserve">Describe any assurance of </w:t>
      </w:r>
      <w:r w:rsidR="00AE459B" w:rsidRPr="00173D3E">
        <w:rPr>
          <w:b/>
        </w:rPr>
        <w:t>privacy to the extent permitted by law</w:t>
      </w:r>
      <w:r w:rsidR="00536A11" w:rsidRPr="00173D3E">
        <w:rPr>
          <w:b/>
        </w:rPr>
        <w:t xml:space="preserve"> provided to respondents and the basis for the assurance in statu</w:t>
      </w:r>
      <w:r w:rsidR="00F6088C" w:rsidRPr="00173D3E">
        <w:rPr>
          <w:b/>
        </w:rPr>
        <w:t>t</w:t>
      </w:r>
      <w:r w:rsidR="00536A11" w:rsidRPr="00173D3E">
        <w:rPr>
          <w:b/>
        </w:rPr>
        <w:t>e, regulation, or agency policy.</w:t>
      </w:r>
    </w:p>
    <w:p w14:paraId="642A3FF4" w14:textId="2174E0D8" w:rsidR="0009405D" w:rsidRPr="00173D3E" w:rsidRDefault="0009405D" w:rsidP="0009405D">
      <w:pPr>
        <w:tabs>
          <w:tab w:val="left" w:pos="547"/>
          <w:tab w:val="left" w:pos="1080"/>
          <w:tab w:val="left" w:pos="1627"/>
          <w:tab w:val="left" w:pos="2160"/>
          <w:tab w:val="left" w:pos="2880"/>
        </w:tabs>
        <w:rPr>
          <w:i/>
        </w:rPr>
      </w:pPr>
    </w:p>
    <w:p w14:paraId="43E45DF7" w14:textId="1BD33A53" w:rsidR="00407746" w:rsidRPr="00173D3E" w:rsidRDefault="00870E98" w:rsidP="005D625F">
      <w:pPr>
        <w:widowControl w:val="0"/>
        <w:tabs>
          <w:tab w:val="left" w:pos="540"/>
          <w:tab w:val="left" w:pos="1080"/>
          <w:tab w:val="left" w:pos="1620"/>
          <w:tab w:val="left" w:pos="2160"/>
          <w:tab w:val="left" w:pos="2880"/>
        </w:tabs>
        <w:ind w:left="360"/>
      </w:pPr>
      <w:r w:rsidRPr="00173D3E">
        <w:rPr>
          <w:snapToGrid w:val="0"/>
        </w:rPr>
        <w:t>Registry information and applicant completed questionnaires</w:t>
      </w:r>
      <w:r w:rsidR="00536A11" w:rsidRPr="00173D3E">
        <w:rPr>
          <w:snapToGrid w:val="0"/>
        </w:rPr>
        <w:t xml:space="preserve"> become part of a </w:t>
      </w:r>
      <w:r w:rsidR="00536A11" w:rsidRPr="00173D3E">
        <w:rPr>
          <w:noProof/>
          <w:snapToGrid w:val="0"/>
        </w:rPr>
        <w:t xml:space="preserve">system of records </w:t>
      </w:r>
      <w:r w:rsidR="00827B32">
        <w:t>that</w:t>
      </w:r>
      <w:r w:rsidR="00536A11" w:rsidRPr="00173D3E">
        <w:t xml:space="preserve"> complies with the Privacy Act of 1974.  This system is </w:t>
      </w:r>
      <w:r w:rsidR="00536A11" w:rsidRPr="00173D3E">
        <w:rPr>
          <w:noProof/>
          <w:snapToGrid w:val="0"/>
        </w:rPr>
        <w:t>identified as "</w:t>
      </w:r>
      <w:r w:rsidR="0054255C" w:rsidRPr="00173D3E">
        <w:rPr>
          <w:noProof/>
          <w:snapToGrid w:val="0"/>
        </w:rPr>
        <w:t xml:space="preserve">VA Mobile Application Environment (MAE)-VA” (173VA005OP2) </w:t>
      </w:r>
      <w:r w:rsidR="00536A11" w:rsidRPr="00173D3E">
        <w:rPr>
          <w:noProof/>
          <w:snapToGrid w:val="0"/>
        </w:rPr>
        <w:t>as set forth in the Compilation</w:t>
      </w:r>
      <w:r w:rsidR="00536A11" w:rsidRPr="00173D3E">
        <w:t xml:space="preserve"> of Privacy Act Issuances via online GPO access</w:t>
      </w:r>
      <w:r w:rsidR="00E03D90" w:rsidRPr="00173D3E">
        <w:t xml:space="preserve">. </w:t>
      </w:r>
    </w:p>
    <w:p w14:paraId="2AF59CE8" w14:textId="77777777" w:rsidR="001A05E0" w:rsidRPr="00173D3E" w:rsidRDefault="001A05E0">
      <w:pPr>
        <w:widowControl w:val="0"/>
        <w:tabs>
          <w:tab w:val="left" w:pos="547"/>
          <w:tab w:val="left" w:pos="1080"/>
          <w:tab w:val="left" w:pos="1627"/>
          <w:tab w:val="left" w:pos="2160"/>
          <w:tab w:val="left" w:pos="2880"/>
        </w:tabs>
      </w:pPr>
    </w:p>
    <w:p w14:paraId="2B913165" w14:textId="1BE27AF0" w:rsidR="00536A11" w:rsidRPr="00173D3E" w:rsidRDefault="00536A11" w:rsidP="005D625F">
      <w:pPr>
        <w:pStyle w:val="NormalWeb"/>
        <w:tabs>
          <w:tab w:val="left" w:pos="360"/>
        </w:tabs>
        <w:spacing w:before="0" w:beforeAutospacing="0" w:after="0" w:afterAutospacing="0"/>
        <w:ind w:left="360" w:hanging="360"/>
        <w:rPr>
          <w:b/>
          <w:color w:val="auto"/>
          <w:sz w:val="24"/>
          <w:szCs w:val="24"/>
        </w:rPr>
      </w:pPr>
      <w:r w:rsidRPr="00173D3E">
        <w:rPr>
          <w:b/>
          <w:color w:val="auto"/>
          <w:sz w:val="24"/>
          <w:szCs w:val="24"/>
        </w:rPr>
        <w:t>11.</w:t>
      </w:r>
      <w:r w:rsidR="00B43CE9" w:rsidRPr="00173D3E">
        <w:rPr>
          <w:b/>
          <w:color w:val="auto"/>
          <w:sz w:val="24"/>
          <w:szCs w:val="24"/>
        </w:rPr>
        <w:tab/>
      </w:r>
      <w:r w:rsidRPr="00173D3E">
        <w:rPr>
          <w:b/>
          <w:color w:val="auto"/>
          <w:sz w:val="24"/>
          <w:szCs w:val="24"/>
        </w:rPr>
        <w:t>Provide additional justification for any questions of a sensitive nature</w:t>
      </w:r>
      <w:r w:rsidR="005D5EF6" w:rsidRPr="00173D3E">
        <w:rPr>
          <w:b/>
          <w:color w:val="auto"/>
          <w:sz w:val="24"/>
          <w:szCs w:val="24"/>
        </w:rPr>
        <w:t xml:space="preserve"> (Information that, with a reasonable degree of medical certainty, is likely to have a serious adverse effect on an individual's mental or physical health if revealed to him or her)</w:t>
      </w:r>
      <w:r w:rsidRPr="00173D3E">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C20C39C" w14:textId="77777777" w:rsidR="00536A11" w:rsidRPr="00173D3E"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1561EB5A" w14:textId="4E1886D1" w:rsidR="002B040C" w:rsidRPr="00173D3E" w:rsidRDefault="00E54B55" w:rsidP="005D625F">
      <w:pPr>
        <w:tabs>
          <w:tab w:val="left" w:pos="547"/>
          <w:tab w:val="left" w:pos="1080"/>
          <w:tab w:val="left" w:pos="1627"/>
          <w:tab w:val="left" w:pos="2160"/>
          <w:tab w:val="left" w:pos="2880"/>
        </w:tabs>
        <w:ind w:left="360"/>
      </w:pPr>
      <w:r w:rsidRPr="00173D3E">
        <w:t xml:space="preserve">Information regarding sexual behavior and attitudes, religious beliefs, or mental health issues </w:t>
      </w:r>
      <w:r w:rsidR="00870E98" w:rsidRPr="00173D3E">
        <w:t xml:space="preserve">are </w:t>
      </w:r>
      <w:r w:rsidRPr="00173D3E">
        <w:t xml:space="preserve">not collected. </w:t>
      </w:r>
      <w:r w:rsidR="00B43CE9" w:rsidRPr="00173D3E">
        <w:t xml:space="preserve"> </w:t>
      </w:r>
      <w:r w:rsidR="00171B19" w:rsidRPr="00173D3E">
        <w:t>Collected data</w:t>
      </w:r>
      <w:r w:rsidR="00DE63A5" w:rsidRPr="00173D3E">
        <w:t xml:space="preserve"> are</w:t>
      </w:r>
      <w:r w:rsidR="00581039" w:rsidRPr="00173D3E">
        <w:t xml:space="preserve"> </w:t>
      </w:r>
      <w:r w:rsidR="00171B19" w:rsidRPr="00173D3E">
        <w:t xml:space="preserve">secured in accordance with VHA Systems of Record Notices. </w:t>
      </w:r>
      <w:r w:rsidR="00B43CE9" w:rsidRPr="00173D3E">
        <w:t xml:space="preserve"> </w:t>
      </w:r>
      <w:r w:rsidR="00171B19" w:rsidRPr="00173D3E">
        <w:t>Refer to 173VA005OP2 MAE) –VA, 172VA10P2 VHA Corporate Data Warehouse-VA, and 24VA10P2 Patient Medical Record –VA)</w:t>
      </w:r>
      <w:r w:rsidRPr="00173D3E">
        <w:t>.</w:t>
      </w:r>
      <w:r w:rsidR="00171B19" w:rsidRPr="00173D3E">
        <w:t xml:space="preserve"> </w:t>
      </w:r>
      <w:r w:rsidR="002B040C" w:rsidRPr="00173D3E">
        <w:t xml:space="preserve"> The benefits of responding to the </w:t>
      </w:r>
      <w:r w:rsidR="00B43CE9" w:rsidRPr="00173D3E">
        <w:t>W</w:t>
      </w:r>
      <w:r w:rsidR="002B040C" w:rsidRPr="00173D3E">
        <w:t xml:space="preserve">eb </w:t>
      </w:r>
      <w:r w:rsidR="00B43CE9" w:rsidRPr="00173D3E">
        <w:t>S</w:t>
      </w:r>
      <w:r w:rsidR="002B040C" w:rsidRPr="00173D3E">
        <w:t xml:space="preserve">urvey </w:t>
      </w:r>
      <w:r w:rsidR="000F022F" w:rsidRPr="00173D3E">
        <w:t>include</w:t>
      </w:r>
      <w:r w:rsidR="00AA310D" w:rsidRPr="00173D3E">
        <w:t>s</w:t>
      </w:r>
      <w:r w:rsidR="000F022F" w:rsidRPr="00173D3E">
        <w:t xml:space="preserve"> helping</w:t>
      </w:r>
      <w:r w:rsidR="002B040C" w:rsidRPr="00173D3E">
        <w:t xml:space="preserve"> VA </w:t>
      </w:r>
      <w:r w:rsidR="00AA310D" w:rsidRPr="00173D3E">
        <w:t xml:space="preserve">to </w:t>
      </w:r>
      <w:r w:rsidR="002B040C" w:rsidRPr="00173D3E">
        <w:t xml:space="preserve">answer important questions </w:t>
      </w:r>
      <w:r w:rsidR="00AA310D" w:rsidRPr="00173D3E">
        <w:t xml:space="preserve">concerning </w:t>
      </w:r>
      <w:r w:rsidR="002B040C" w:rsidRPr="00173D3E">
        <w:t>the health effects of airborne hazard exposures and provid</w:t>
      </w:r>
      <w:r w:rsidR="000F022F" w:rsidRPr="00173D3E">
        <w:t>ing</w:t>
      </w:r>
      <w:r w:rsidR="002B040C" w:rsidRPr="00173D3E">
        <w:t xml:space="preserve"> an evidence base for policy recommendations and research.</w:t>
      </w:r>
      <w:r w:rsidR="00B43CE9" w:rsidRPr="00173D3E">
        <w:t xml:space="preserve">  </w:t>
      </w:r>
    </w:p>
    <w:p w14:paraId="56D18B1C" w14:textId="77777777" w:rsidR="00536A11" w:rsidRPr="00173D3E" w:rsidRDefault="00536A11">
      <w:pPr>
        <w:tabs>
          <w:tab w:val="left" w:pos="547"/>
          <w:tab w:val="left" w:pos="1080"/>
          <w:tab w:val="left" w:pos="1627"/>
          <w:tab w:val="left" w:pos="2160"/>
          <w:tab w:val="left" w:pos="2880"/>
        </w:tabs>
        <w:ind w:right="3744"/>
      </w:pPr>
    </w:p>
    <w:p w14:paraId="3FD28278" w14:textId="61B8CDA7" w:rsidR="00536A11" w:rsidRPr="005B71E2" w:rsidRDefault="00B43CE9" w:rsidP="005D625F">
      <w:pPr>
        <w:tabs>
          <w:tab w:val="left" w:pos="360"/>
          <w:tab w:val="left" w:pos="547"/>
          <w:tab w:val="left" w:pos="1080"/>
          <w:tab w:val="left" w:pos="1627"/>
          <w:tab w:val="left" w:pos="2160"/>
          <w:tab w:val="left" w:pos="2880"/>
        </w:tabs>
        <w:rPr>
          <w:b/>
        </w:rPr>
      </w:pPr>
      <w:r w:rsidRPr="00173D3E">
        <w:rPr>
          <w:b/>
        </w:rPr>
        <w:t>12.</w:t>
      </w:r>
      <w:r w:rsidRPr="00173D3E">
        <w:rPr>
          <w:b/>
        </w:rPr>
        <w:tab/>
      </w:r>
      <w:r w:rsidR="00536A11" w:rsidRPr="005B71E2">
        <w:rPr>
          <w:b/>
        </w:rPr>
        <w:t>Estimate of the hour burden of the collection of information:</w:t>
      </w:r>
      <w:r w:rsidRPr="005B71E2">
        <w:rPr>
          <w:b/>
        </w:rPr>
        <w:t xml:space="preserve">  </w:t>
      </w:r>
    </w:p>
    <w:p w14:paraId="39FE0FF4" w14:textId="77777777" w:rsidR="00B43CE9" w:rsidRPr="005B71E2" w:rsidRDefault="00B43CE9" w:rsidP="005D625F">
      <w:pPr>
        <w:tabs>
          <w:tab w:val="left" w:pos="360"/>
          <w:tab w:val="left" w:pos="547"/>
          <w:tab w:val="left" w:pos="1080"/>
          <w:tab w:val="left" w:pos="1627"/>
          <w:tab w:val="left" w:pos="2160"/>
          <w:tab w:val="left" w:pos="2880"/>
        </w:tabs>
        <w:rPr>
          <w:b/>
        </w:rPr>
      </w:pPr>
    </w:p>
    <w:p w14:paraId="5E4DEFA8" w14:textId="18B3829A" w:rsidR="005B71E2" w:rsidRPr="005B71E2" w:rsidRDefault="00B43CE9" w:rsidP="005B71E2">
      <w:pPr>
        <w:tabs>
          <w:tab w:val="left" w:pos="540"/>
          <w:tab w:val="left" w:pos="720"/>
          <w:tab w:val="left" w:pos="1080"/>
          <w:tab w:val="left" w:pos="1620"/>
          <w:tab w:val="left" w:pos="2160"/>
          <w:tab w:val="left" w:pos="2880"/>
        </w:tabs>
        <w:ind w:left="360" w:hanging="360"/>
        <w:rPr>
          <w:b/>
        </w:rPr>
      </w:pPr>
      <w:r w:rsidRPr="005B71E2">
        <w:tab/>
      </w:r>
      <w:r w:rsidR="005B71E2" w:rsidRPr="005B71E2">
        <w:rPr>
          <w:b/>
          <w:color w:val="000000"/>
        </w:rPr>
        <w:t>a.</w:t>
      </w:r>
      <w:r w:rsidR="005B71E2" w:rsidRPr="005B71E2">
        <w:rPr>
          <w:b/>
          <w:color w:val="000000"/>
        </w:rPr>
        <w:tab/>
        <w:t>The number of respondents, frequency of responses, annual hour burden, and explanation for each form is reported as follows</w:t>
      </w:r>
      <w:r w:rsidR="005B71E2" w:rsidRPr="005B71E2">
        <w:rPr>
          <w:b/>
        </w:rPr>
        <w:t xml:space="preserve">:  </w:t>
      </w:r>
    </w:p>
    <w:p w14:paraId="01E518EE" w14:textId="77777777" w:rsidR="005B71E2" w:rsidRPr="005B71E2" w:rsidRDefault="005B71E2"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613D5C76" w14:textId="1E004689" w:rsidR="002A5259" w:rsidRPr="00173D3E" w:rsidRDefault="00C44462"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rPr>
        <w:t xml:space="preserve">      </w:t>
      </w:r>
      <w:r w:rsidR="002A5259" w:rsidRPr="00C44462">
        <w:rPr>
          <w:b/>
          <w:u w:val="single"/>
        </w:rPr>
        <w:t>Airborne Hazards</w:t>
      </w:r>
      <w:r w:rsidR="002A5259" w:rsidRPr="00173D3E">
        <w:rPr>
          <w:b/>
          <w:u w:val="single"/>
        </w:rPr>
        <w:t xml:space="preserve"> and Open Burn Pit Registry Questionnaire</w:t>
      </w:r>
      <w:r w:rsidR="005B2EE0">
        <w:rPr>
          <w:b/>
        </w:rPr>
        <w:t>:</w:t>
      </w:r>
      <w:r w:rsidR="002A5259" w:rsidRPr="00173D3E">
        <w:rPr>
          <w:b/>
          <w:u w:val="single"/>
        </w:rPr>
        <w:t xml:space="preserve"> </w:t>
      </w:r>
    </w:p>
    <w:p w14:paraId="6F9BCE02" w14:textId="5F5845B9" w:rsidR="00CD4EC5" w:rsidRPr="00173D3E" w:rsidRDefault="00CD4EC5"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5877B3DB" w14:textId="0676EAA0" w:rsidR="00CD4EC5" w:rsidRPr="00173D3E" w:rsidRDefault="00CD4EC5"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u w:val="single"/>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17"/>
        <w:gridCol w:w="1170"/>
        <w:gridCol w:w="1013"/>
        <w:gridCol w:w="1080"/>
        <w:gridCol w:w="1237"/>
        <w:gridCol w:w="743"/>
        <w:gridCol w:w="1170"/>
      </w:tblGrid>
      <w:tr w:rsidR="00C059DB" w:rsidRPr="00173D3E" w14:paraId="2737CE9F" w14:textId="77777777" w:rsidTr="00F7536F">
        <w:trPr>
          <w:trHeight w:val="602"/>
        </w:trPr>
        <w:tc>
          <w:tcPr>
            <w:tcW w:w="1530" w:type="dxa"/>
            <w:shd w:val="clear" w:color="auto" w:fill="DBE5F1" w:themeFill="accent1" w:themeFillTint="33"/>
            <w:vAlign w:val="center"/>
          </w:tcPr>
          <w:p w14:paraId="3CCD3659"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Open Pit Burn Registry</w:t>
            </w:r>
          </w:p>
        </w:tc>
        <w:tc>
          <w:tcPr>
            <w:tcW w:w="1417" w:type="dxa"/>
            <w:shd w:val="clear" w:color="auto" w:fill="DBE5F1" w:themeFill="accent1" w:themeFillTint="33"/>
            <w:vAlign w:val="center"/>
          </w:tcPr>
          <w:p w14:paraId="27AABD8A"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No. of respondents</w:t>
            </w:r>
          </w:p>
        </w:tc>
        <w:tc>
          <w:tcPr>
            <w:tcW w:w="1170" w:type="dxa"/>
            <w:shd w:val="clear" w:color="auto" w:fill="DBE5F1" w:themeFill="accent1" w:themeFillTint="33"/>
            <w:vAlign w:val="center"/>
          </w:tcPr>
          <w:p w14:paraId="5C361C5D"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x No. of responses</w:t>
            </w:r>
          </w:p>
        </w:tc>
        <w:tc>
          <w:tcPr>
            <w:tcW w:w="1013" w:type="dxa"/>
            <w:shd w:val="clear" w:color="auto" w:fill="DBE5F1" w:themeFill="accent1" w:themeFillTint="33"/>
            <w:vAlign w:val="center"/>
          </w:tcPr>
          <w:p w14:paraId="22EB15B2"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Equals</w:t>
            </w:r>
          </w:p>
        </w:tc>
        <w:tc>
          <w:tcPr>
            <w:tcW w:w="1080" w:type="dxa"/>
            <w:shd w:val="clear" w:color="auto" w:fill="DBE5F1" w:themeFill="accent1" w:themeFillTint="33"/>
            <w:vAlign w:val="center"/>
          </w:tcPr>
          <w:p w14:paraId="2FAC1572"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x No. of minutes</w:t>
            </w:r>
          </w:p>
        </w:tc>
        <w:tc>
          <w:tcPr>
            <w:tcW w:w="1237" w:type="dxa"/>
            <w:shd w:val="clear" w:color="auto" w:fill="DBE5F1" w:themeFill="accent1" w:themeFillTint="33"/>
            <w:vAlign w:val="center"/>
          </w:tcPr>
          <w:p w14:paraId="77BF90B3"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Equals</w:t>
            </w:r>
          </w:p>
        </w:tc>
        <w:tc>
          <w:tcPr>
            <w:tcW w:w="743" w:type="dxa"/>
            <w:vMerge w:val="restart"/>
            <w:vAlign w:val="center"/>
          </w:tcPr>
          <w:p w14:paraId="0B1F1E83"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w:t>
            </w:r>
          </w:p>
          <w:p w14:paraId="43E24841" w14:textId="245F125C"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by 60</w:t>
            </w:r>
            <w:r w:rsidR="00C059DB">
              <w:rPr>
                <w:b/>
                <w:sz w:val="22"/>
                <w:szCs w:val="22"/>
              </w:rPr>
              <w:t xml:space="preserve"> </w:t>
            </w:r>
            <w:r w:rsidRPr="00C059DB">
              <w:rPr>
                <w:b/>
                <w:sz w:val="22"/>
                <w:szCs w:val="22"/>
              </w:rPr>
              <w:t>=</w:t>
            </w:r>
          </w:p>
          <w:p w14:paraId="5AFAB616"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170" w:type="dxa"/>
            <w:shd w:val="clear" w:color="auto" w:fill="DBE5F1" w:themeFill="accent1" w:themeFillTint="33"/>
            <w:vAlign w:val="center"/>
          </w:tcPr>
          <w:p w14:paraId="5F2846FA" w14:textId="77777777" w:rsidR="00CD4EC5" w:rsidRPr="00C059DB"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Number of Hours</w:t>
            </w:r>
          </w:p>
        </w:tc>
      </w:tr>
      <w:tr w:rsidR="00CD4EC5" w:rsidRPr="00173D3E" w14:paraId="6BD26159" w14:textId="77777777" w:rsidTr="00F7536F">
        <w:trPr>
          <w:trHeight w:val="530"/>
        </w:trPr>
        <w:tc>
          <w:tcPr>
            <w:tcW w:w="1530" w:type="dxa"/>
            <w:vAlign w:val="center"/>
          </w:tcPr>
          <w:p w14:paraId="22FE6F86"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pPr>
            <w:r w:rsidRPr="00173D3E">
              <w:t>VA Form</w:t>
            </w:r>
          </w:p>
          <w:p w14:paraId="16091F48"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10-10066</w:t>
            </w:r>
          </w:p>
        </w:tc>
        <w:tc>
          <w:tcPr>
            <w:tcW w:w="1417" w:type="dxa"/>
            <w:vAlign w:val="center"/>
          </w:tcPr>
          <w:p w14:paraId="7701B816"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50,000</w:t>
            </w:r>
          </w:p>
        </w:tc>
        <w:tc>
          <w:tcPr>
            <w:tcW w:w="1170" w:type="dxa"/>
            <w:vAlign w:val="center"/>
          </w:tcPr>
          <w:p w14:paraId="18002745"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1</w:t>
            </w:r>
          </w:p>
        </w:tc>
        <w:tc>
          <w:tcPr>
            <w:tcW w:w="1013" w:type="dxa"/>
            <w:vAlign w:val="center"/>
          </w:tcPr>
          <w:p w14:paraId="58EF3E88"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50,000</w:t>
            </w:r>
          </w:p>
        </w:tc>
        <w:tc>
          <w:tcPr>
            <w:tcW w:w="1080" w:type="dxa"/>
            <w:vAlign w:val="center"/>
          </w:tcPr>
          <w:p w14:paraId="6D3ED7A5"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40</w:t>
            </w:r>
          </w:p>
        </w:tc>
        <w:tc>
          <w:tcPr>
            <w:tcW w:w="1237" w:type="dxa"/>
            <w:vAlign w:val="center"/>
          </w:tcPr>
          <w:p w14:paraId="1EE3D8E4"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2,000,000</w:t>
            </w:r>
          </w:p>
        </w:tc>
        <w:tc>
          <w:tcPr>
            <w:tcW w:w="743" w:type="dxa"/>
            <w:vMerge/>
            <w:vAlign w:val="center"/>
          </w:tcPr>
          <w:p w14:paraId="260477B9"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vAlign w:val="center"/>
          </w:tcPr>
          <w:p w14:paraId="1471C655" w14:textId="77777777" w:rsidR="00CD4EC5" w:rsidRPr="00173D3E" w:rsidRDefault="00CD4EC5" w:rsidP="00180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33,333</w:t>
            </w:r>
          </w:p>
        </w:tc>
      </w:tr>
    </w:tbl>
    <w:p w14:paraId="41FD9588" w14:textId="14099D22" w:rsidR="002A65F0" w:rsidRPr="00173D3E" w:rsidRDefault="00AA310D" w:rsidP="00173D3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173D3E">
        <w:t xml:space="preserve"> </w:t>
      </w:r>
    </w:p>
    <w:p w14:paraId="60BA8998" w14:textId="77777777" w:rsidR="002A5259" w:rsidRPr="00173D3E" w:rsidRDefault="002A5259">
      <w:pPr>
        <w:tabs>
          <w:tab w:val="left" w:pos="547"/>
          <w:tab w:val="left" w:pos="1080"/>
          <w:tab w:val="left" w:pos="1627"/>
          <w:tab w:val="left" w:pos="2160"/>
          <w:tab w:val="left" w:pos="2880"/>
        </w:tabs>
      </w:pPr>
    </w:p>
    <w:p w14:paraId="4FDC51C5" w14:textId="0511FC14" w:rsidR="002A5259" w:rsidRPr="00173D3E" w:rsidRDefault="00C44462">
      <w:pPr>
        <w:tabs>
          <w:tab w:val="left" w:pos="547"/>
          <w:tab w:val="left" w:pos="1080"/>
          <w:tab w:val="left" w:pos="1627"/>
          <w:tab w:val="left" w:pos="2160"/>
          <w:tab w:val="left" w:pos="2880"/>
        </w:tabs>
        <w:rPr>
          <w:b/>
          <w:u w:val="single"/>
        </w:rPr>
      </w:pPr>
      <w:r w:rsidRPr="00C44462">
        <w:rPr>
          <w:b/>
        </w:rPr>
        <w:t xml:space="preserve">     </w:t>
      </w:r>
      <w:r w:rsidR="002A5259" w:rsidRPr="00173D3E">
        <w:rPr>
          <w:b/>
          <w:u w:val="single"/>
        </w:rPr>
        <w:t>Subset of AHOBPR , Qarmat Ali Questionnaire</w:t>
      </w:r>
      <w:r w:rsidR="005B2EE0">
        <w:rPr>
          <w:b/>
        </w:rPr>
        <w:t>:</w:t>
      </w:r>
      <w:r w:rsidR="002A5259" w:rsidRPr="00173D3E">
        <w:rPr>
          <w:b/>
          <w:u w:val="single"/>
        </w:rPr>
        <w:t xml:space="preserve">  </w:t>
      </w:r>
    </w:p>
    <w:p w14:paraId="00BC0A34" w14:textId="77777777" w:rsidR="003C05CC" w:rsidRPr="00173D3E" w:rsidRDefault="003C05CC">
      <w:pPr>
        <w:tabs>
          <w:tab w:val="left" w:pos="547"/>
          <w:tab w:val="left" w:pos="1080"/>
          <w:tab w:val="left" w:pos="1627"/>
          <w:tab w:val="left" w:pos="2160"/>
          <w:tab w:val="left" w:pos="2880"/>
        </w:tabs>
        <w:rPr>
          <w:b/>
          <w:u w:val="single"/>
        </w:rPr>
      </w:pPr>
    </w:p>
    <w:p w14:paraId="119C7E57" w14:textId="77777777" w:rsidR="002A5259" w:rsidRPr="00173D3E" w:rsidRDefault="002A5259">
      <w:pPr>
        <w:tabs>
          <w:tab w:val="left" w:pos="547"/>
          <w:tab w:val="left" w:pos="1080"/>
          <w:tab w:val="left" w:pos="1627"/>
          <w:tab w:val="left" w:pos="2160"/>
          <w:tab w:val="left" w:pos="2880"/>
        </w:tabs>
        <w:rPr>
          <w:b/>
          <w:u w:val="single"/>
        </w:rPr>
      </w:pPr>
    </w:p>
    <w:tbl>
      <w:tblPr>
        <w:tblW w:w="93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409"/>
        <w:gridCol w:w="1201"/>
        <w:gridCol w:w="900"/>
        <w:gridCol w:w="1170"/>
        <w:gridCol w:w="990"/>
        <w:gridCol w:w="810"/>
        <w:gridCol w:w="1260"/>
      </w:tblGrid>
      <w:tr w:rsidR="00C059DB" w:rsidRPr="00173D3E" w14:paraId="53C058C7" w14:textId="77777777" w:rsidTr="00A113AB">
        <w:trPr>
          <w:trHeight w:val="586"/>
        </w:trPr>
        <w:tc>
          <w:tcPr>
            <w:tcW w:w="1597" w:type="dxa"/>
            <w:shd w:val="clear" w:color="auto" w:fill="DBE5F1" w:themeFill="accent1" w:themeFillTint="33"/>
            <w:vAlign w:val="center"/>
          </w:tcPr>
          <w:p w14:paraId="24BCF9E1" w14:textId="27E2E928"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Qarmat Ali Cohort Questionnaire</w:t>
            </w:r>
          </w:p>
        </w:tc>
        <w:tc>
          <w:tcPr>
            <w:tcW w:w="1409" w:type="dxa"/>
            <w:shd w:val="clear" w:color="auto" w:fill="DBE5F1" w:themeFill="accent1" w:themeFillTint="33"/>
            <w:vAlign w:val="center"/>
          </w:tcPr>
          <w:p w14:paraId="00CAE22B"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No. of respondents</w:t>
            </w:r>
          </w:p>
        </w:tc>
        <w:tc>
          <w:tcPr>
            <w:tcW w:w="1201" w:type="dxa"/>
            <w:shd w:val="clear" w:color="auto" w:fill="DBE5F1" w:themeFill="accent1" w:themeFillTint="33"/>
            <w:vAlign w:val="center"/>
          </w:tcPr>
          <w:p w14:paraId="02532C4B"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x No. of responses</w:t>
            </w:r>
          </w:p>
        </w:tc>
        <w:tc>
          <w:tcPr>
            <w:tcW w:w="900" w:type="dxa"/>
            <w:shd w:val="clear" w:color="auto" w:fill="DBE5F1" w:themeFill="accent1" w:themeFillTint="33"/>
            <w:vAlign w:val="center"/>
          </w:tcPr>
          <w:p w14:paraId="4BD6F437"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Equals</w:t>
            </w:r>
          </w:p>
        </w:tc>
        <w:tc>
          <w:tcPr>
            <w:tcW w:w="1170" w:type="dxa"/>
            <w:shd w:val="clear" w:color="auto" w:fill="DBE5F1" w:themeFill="accent1" w:themeFillTint="33"/>
            <w:vAlign w:val="center"/>
          </w:tcPr>
          <w:p w14:paraId="1063C573"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x No. of minutes</w:t>
            </w:r>
          </w:p>
        </w:tc>
        <w:tc>
          <w:tcPr>
            <w:tcW w:w="990" w:type="dxa"/>
            <w:shd w:val="clear" w:color="auto" w:fill="DBE5F1" w:themeFill="accent1" w:themeFillTint="33"/>
            <w:vAlign w:val="center"/>
          </w:tcPr>
          <w:p w14:paraId="5E9A8160"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Equals</w:t>
            </w:r>
          </w:p>
        </w:tc>
        <w:tc>
          <w:tcPr>
            <w:tcW w:w="810" w:type="dxa"/>
            <w:vMerge w:val="restart"/>
            <w:shd w:val="clear" w:color="auto" w:fill="DBE5F1" w:themeFill="accent1" w:themeFillTint="33"/>
            <w:vAlign w:val="center"/>
          </w:tcPr>
          <w:p w14:paraId="68622D58"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w:t>
            </w:r>
          </w:p>
          <w:p w14:paraId="19727146" w14:textId="0AF6426D"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by 60</w:t>
            </w:r>
            <w:r w:rsidR="00C059DB">
              <w:rPr>
                <w:b/>
                <w:sz w:val="22"/>
                <w:szCs w:val="22"/>
              </w:rPr>
              <w:t xml:space="preserve"> </w:t>
            </w:r>
            <w:r w:rsidRPr="00C059DB">
              <w:rPr>
                <w:b/>
                <w:sz w:val="22"/>
                <w:szCs w:val="22"/>
              </w:rPr>
              <w:t>=</w:t>
            </w:r>
          </w:p>
          <w:p w14:paraId="567037E9"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260" w:type="dxa"/>
            <w:shd w:val="clear" w:color="auto" w:fill="DBE5F1" w:themeFill="accent1" w:themeFillTint="33"/>
            <w:vAlign w:val="center"/>
          </w:tcPr>
          <w:p w14:paraId="2A1DC94D" w14:textId="77777777" w:rsidR="002A5259" w:rsidRPr="00C059DB"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C059DB">
              <w:rPr>
                <w:b/>
                <w:sz w:val="22"/>
                <w:szCs w:val="22"/>
              </w:rPr>
              <w:t>Number of Hours</w:t>
            </w:r>
          </w:p>
        </w:tc>
      </w:tr>
      <w:tr w:rsidR="00C059DB" w:rsidRPr="00173D3E" w14:paraId="009F50D7" w14:textId="77777777" w:rsidTr="00817078">
        <w:trPr>
          <w:trHeight w:val="516"/>
        </w:trPr>
        <w:tc>
          <w:tcPr>
            <w:tcW w:w="1597" w:type="dxa"/>
            <w:shd w:val="clear" w:color="auto" w:fill="auto"/>
            <w:vAlign w:val="center"/>
          </w:tcPr>
          <w:p w14:paraId="151AA0EA" w14:textId="77777777"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pPr>
            <w:r w:rsidRPr="00173D3E">
              <w:t>Original VA Form</w:t>
            </w:r>
          </w:p>
          <w:p w14:paraId="399BE396" w14:textId="5F942547"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Estimate</w:t>
            </w:r>
          </w:p>
        </w:tc>
        <w:tc>
          <w:tcPr>
            <w:tcW w:w="1409" w:type="dxa"/>
            <w:shd w:val="clear" w:color="auto" w:fill="auto"/>
            <w:vAlign w:val="center"/>
          </w:tcPr>
          <w:p w14:paraId="2C76BC46" w14:textId="4F66DF10"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686</w:t>
            </w:r>
          </w:p>
        </w:tc>
        <w:tc>
          <w:tcPr>
            <w:tcW w:w="1201" w:type="dxa"/>
            <w:shd w:val="clear" w:color="auto" w:fill="auto"/>
            <w:vAlign w:val="center"/>
          </w:tcPr>
          <w:p w14:paraId="6221878B" w14:textId="77777777"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1</w:t>
            </w:r>
          </w:p>
        </w:tc>
        <w:tc>
          <w:tcPr>
            <w:tcW w:w="900" w:type="dxa"/>
            <w:shd w:val="clear" w:color="auto" w:fill="auto"/>
            <w:vAlign w:val="center"/>
          </w:tcPr>
          <w:p w14:paraId="3B59CF97" w14:textId="094EB32A"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686</w:t>
            </w:r>
          </w:p>
        </w:tc>
        <w:tc>
          <w:tcPr>
            <w:tcW w:w="1170" w:type="dxa"/>
            <w:shd w:val="clear" w:color="auto" w:fill="auto"/>
            <w:vAlign w:val="center"/>
          </w:tcPr>
          <w:p w14:paraId="7F7DA380" w14:textId="75AF4108"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10</w:t>
            </w:r>
          </w:p>
        </w:tc>
        <w:tc>
          <w:tcPr>
            <w:tcW w:w="990" w:type="dxa"/>
            <w:shd w:val="clear" w:color="auto" w:fill="auto"/>
            <w:vAlign w:val="center"/>
          </w:tcPr>
          <w:p w14:paraId="11F668ED" w14:textId="61F7246D"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6860</w:t>
            </w:r>
          </w:p>
        </w:tc>
        <w:tc>
          <w:tcPr>
            <w:tcW w:w="810" w:type="dxa"/>
            <w:vMerge/>
            <w:shd w:val="clear" w:color="auto" w:fill="auto"/>
            <w:vAlign w:val="center"/>
          </w:tcPr>
          <w:p w14:paraId="35241681" w14:textId="77777777"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260" w:type="dxa"/>
            <w:shd w:val="clear" w:color="auto" w:fill="auto"/>
            <w:vAlign w:val="center"/>
          </w:tcPr>
          <w:p w14:paraId="44801480" w14:textId="23AF19BD" w:rsidR="002A5259" w:rsidRPr="00173D3E" w:rsidRDefault="002A5259" w:rsidP="00B43C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173D3E">
              <w:t>1</w:t>
            </w:r>
            <w:r w:rsidR="00A80F37">
              <w:t>1</w:t>
            </w:r>
            <w:r w:rsidRPr="00173D3E">
              <w:t>4</w:t>
            </w:r>
          </w:p>
        </w:tc>
      </w:tr>
    </w:tbl>
    <w:p w14:paraId="197292A0" w14:textId="77777777" w:rsidR="002A65F0" w:rsidRPr="00173D3E" w:rsidRDefault="002A65F0">
      <w:pPr>
        <w:tabs>
          <w:tab w:val="left" w:pos="547"/>
          <w:tab w:val="left" w:pos="1080"/>
          <w:tab w:val="left" w:pos="1627"/>
          <w:tab w:val="left" w:pos="2160"/>
          <w:tab w:val="left" w:pos="2880"/>
        </w:tabs>
      </w:pPr>
    </w:p>
    <w:p w14:paraId="03FBA835" w14:textId="77777777" w:rsidR="00D22E94" w:rsidRDefault="00D22E94" w:rsidP="00D22E94">
      <w:pPr>
        <w:tabs>
          <w:tab w:val="left" w:pos="547"/>
          <w:tab w:val="left" w:pos="1080"/>
          <w:tab w:val="left" w:pos="1627"/>
          <w:tab w:val="left" w:pos="2160"/>
          <w:tab w:val="left" w:pos="2880"/>
        </w:tabs>
        <w:rPr>
          <w:color w:val="FF0000"/>
        </w:rPr>
      </w:pPr>
    </w:p>
    <w:p w14:paraId="6870B50B" w14:textId="6459D591" w:rsidR="00D22E94" w:rsidRDefault="00D22E94" w:rsidP="00D22E94">
      <w:pPr>
        <w:tabs>
          <w:tab w:val="left" w:pos="547"/>
          <w:tab w:val="left" w:pos="1080"/>
          <w:tab w:val="left" w:pos="1627"/>
          <w:tab w:val="left" w:pos="2160"/>
          <w:tab w:val="left" w:pos="2880"/>
        </w:tabs>
        <w:ind w:left="547"/>
        <w:rPr>
          <w:b/>
        </w:rPr>
      </w:pPr>
      <w:r>
        <w:rPr>
          <w:b/>
        </w:rPr>
        <w:t xml:space="preserve">b.    If this request for </w:t>
      </w:r>
      <w:r w:rsidRPr="00EA6F4F">
        <w:rPr>
          <w:b/>
          <w:color w:val="000000"/>
        </w:rPr>
        <w:t>approval covers more than one form, provide separate hour burden estimates for each form and aggregate the hour burdens in Item 13</w:t>
      </w:r>
      <w:r>
        <w:rPr>
          <w:b/>
        </w:rPr>
        <w:t>.</w:t>
      </w:r>
    </w:p>
    <w:p w14:paraId="46DE6540" w14:textId="77777777" w:rsidR="00D22E94" w:rsidRDefault="00D22E94" w:rsidP="00D22E94">
      <w:pPr>
        <w:pStyle w:val="Header"/>
        <w:tabs>
          <w:tab w:val="clear" w:pos="4320"/>
          <w:tab w:val="clear" w:pos="8640"/>
          <w:tab w:val="left" w:pos="547"/>
          <w:tab w:val="left" w:pos="1080"/>
          <w:tab w:val="left" w:pos="1627"/>
          <w:tab w:val="left" w:pos="2160"/>
          <w:tab w:val="left" w:pos="2880"/>
        </w:tabs>
        <w:rPr>
          <w:sz w:val="24"/>
        </w:rPr>
      </w:pPr>
    </w:p>
    <w:p w14:paraId="5CDF248F" w14:textId="13E590E8" w:rsidR="00D22E94" w:rsidRPr="00C8633E" w:rsidRDefault="00D22E94" w:rsidP="00D22E9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color w:val="FF0000"/>
        </w:rPr>
        <w:tab/>
      </w:r>
      <w:r w:rsidRPr="00C8633E">
        <w:t>See chart</w:t>
      </w:r>
      <w:r w:rsidR="00C8633E" w:rsidRPr="00C8633E">
        <w:t>s</w:t>
      </w:r>
      <w:r w:rsidRPr="00C8633E">
        <w:t xml:space="preserve"> in subparagraph 12a above.</w:t>
      </w:r>
    </w:p>
    <w:p w14:paraId="778A79C2" w14:textId="77777777" w:rsidR="00D22E94" w:rsidRPr="00C8633E" w:rsidRDefault="00D22E94" w:rsidP="00D22E9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66DF254" w14:textId="4CB11A33" w:rsidR="00D22E94" w:rsidRDefault="00D22E94" w:rsidP="00D22E94">
      <w:pPr>
        <w:tabs>
          <w:tab w:val="left" w:pos="547"/>
          <w:tab w:val="left" w:pos="1080"/>
          <w:tab w:val="left" w:pos="1627"/>
          <w:tab w:val="left" w:pos="2160"/>
          <w:tab w:val="left" w:pos="2880"/>
        </w:tabs>
        <w:ind w:left="547" w:hanging="547"/>
        <w:rPr>
          <w:b/>
        </w:rPr>
      </w:pPr>
      <w:r>
        <w:rPr>
          <w:b/>
        </w:rPr>
        <w:t xml:space="preserve">     </w:t>
      </w: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14:paraId="12F634E5" w14:textId="77777777" w:rsidR="00D22E94" w:rsidRPr="00B12E10" w:rsidRDefault="00D22E94" w:rsidP="00D22E94">
      <w:pPr>
        <w:tabs>
          <w:tab w:val="left" w:pos="547"/>
          <w:tab w:val="left" w:pos="1080"/>
          <w:tab w:val="left" w:pos="1627"/>
          <w:tab w:val="left" w:pos="2160"/>
          <w:tab w:val="left" w:pos="2880"/>
        </w:tabs>
        <w:rPr>
          <w:b/>
        </w:rPr>
      </w:pPr>
    </w:p>
    <w:p w14:paraId="2B69369B" w14:textId="77777777" w:rsidR="00EC7F0B" w:rsidRPr="00EC7F0B" w:rsidRDefault="00EC7F0B" w:rsidP="00EC7F0B">
      <w:pPr>
        <w:ind w:left="547" w:right="684"/>
        <w:rPr>
          <w:rFonts w:cs="Arial"/>
          <w:color w:val="FF0000"/>
          <w:u w:val="single"/>
        </w:rPr>
      </w:pPr>
      <w:bookmarkStart w:id="1" w:name="_Hlk8118801"/>
      <w:r w:rsidRPr="00EC7F0B">
        <w:rPr>
          <w:rFonts w:cs="Arial"/>
        </w:rPr>
        <w:t xml:space="preserve">VHA uses general wage data to estimate the respondents’ costs associated with completing the information collection.  </w:t>
      </w:r>
      <w:r w:rsidRPr="00EC7F0B">
        <w:rPr>
          <w:rFonts w:cs="Arial"/>
          <w:szCs w:val="20"/>
        </w:rPr>
        <w:t>In accordance with the Bureau of Labor Statistics (BLS) May 2018 Occupational Wage Code Median Hourly,</w:t>
      </w:r>
      <w:r w:rsidRPr="00EC7F0B">
        <w:rPr>
          <w:rFonts w:cs="Arial"/>
        </w:rPr>
        <w:t xml:space="preserve"> the mean hourly wage is $24.98 based on the BLS wage code – “00-0000 All Occupations.”  This information was taken from the following website: </w:t>
      </w:r>
      <w:hyperlink r:id="rId11" w:history="1">
        <w:r w:rsidRPr="00EC7F0B">
          <w:rPr>
            <w:rFonts w:cs="Arial"/>
            <w:color w:val="0000FF"/>
            <w:u w:val="single"/>
          </w:rPr>
          <w:t>https://www.bls.gov/oes/2018/may/oes_nat.htm</w:t>
        </w:r>
      </w:hyperlink>
      <w:r w:rsidRPr="00EC7F0B">
        <w:rPr>
          <w:rFonts w:cs="Arial"/>
          <w:color w:val="FF0000"/>
        </w:rPr>
        <w:t>.</w:t>
      </w:r>
    </w:p>
    <w:p w14:paraId="7E6090E0" w14:textId="77777777" w:rsidR="00EC7F0B" w:rsidRPr="00EC7F0B" w:rsidRDefault="00EC7F0B" w:rsidP="00EC7F0B">
      <w:pPr>
        <w:ind w:left="720" w:right="54"/>
        <w:rPr>
          <w:rFonts w:cs="Arial"/>
        </w:rPr>
      </w:pPr>
    </w:p>
    <w:p w14:paraId="59A2E6E5" w14:textId="1975207B" w:rsidR="00EC7F0B" w:rsidRPr="00EC7F0B" w:rsidRDefault="00EC7F0B" w:rsidP="00EC7F0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rFonts w:cs="Arial"/>
        </w:rPr>
      </w:pPr>
      <w:r w:rsidRPr="00EC7F0B">
        <w:rPr>
          <w:rFonts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w:t>
      </w:r>
    </w:p>
    <w:p w14:paraId="5980D367" w14:textId="77777777" w:rsidR="00EC7F0B" w:rsidRPr="00EC7F0B" w:rsidRDefault="00EC7F0B" w:rsidP="00EC7F0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E3B0C0E" w14:textId="1A106829" w:rsidR="00EC7F0B" w:rsidRPr="00EC7F0B" w:rsidRDefault="00EC7F0B" w:rsidP="00EC7F0B">
      <w:pPr>
        <w:tabs>
          <w:tab w:val="left" w:pos="540"/>
          <w:tab w:val="left" w:pos="1080"/>
          <w:tab w:val="left" w:pos="1638"/>
          <w:tab w:val="left" w:pos="2160"/>
          <w:tab w:val="left" w:pos="2880"/>
          <w:tab w:val="left" w:pos="3600"/>
          <w:tab w:val="left" w:pos="4320"/>
          <w:tab w:val="left" w:pos="5040"/>
          <w:tab w:val="left" w:pos="5760"/>
          <w:tab w:val="left" w:pos="6480"/>
          <w:tab w:val="left" w:pos="7200"/>
          <w:tab w:val="left" w:pos="7920"/>
          <w:tab w:val="left" w:pos="8640"/>
        </w:tabs>
        <w:ind w:left="540"/>
        <w:rPr>
          <w:rFonts w:cs="Arial"/>
        </w:rPr>
      </w:pPr>
      <w:r w:rsidRPr="00EC7F0B">
        <w:rPr>
          <w:rFonts w:cs="Arial"/>
        </w:rPr>
        <w:t xml:space="preserve">VHA estimates the total </w:t>
      </w:r>
      <w:r w:rsidRPr="00EC7F0B">
        <w:rPr>
          <w:rFonts w:cs="Arial"/>
          <w:szCs w:val="20"/>
        </w:rPr>
        <w:t xml:space="preserve">annualized cost to respondents to be </w:t>
      </w:r>
      <w:r w:rsidRPr="00EC7F0B">
        <w:rPr>
          <w:rFonts w:cs="Arial"/>
        </w:rPr>
        <w:t>$</w:t>
      </w:r>
      <w:bookmarkEnd w:id="1"/>
      <w:r w:rsidR="0023193B">
        <w:rPr>
          <w:rFonts w:cs="Arial"/>
        </w:rPr>
        <w:t>835,506.06</w:t>
      </w:r>
      <w:r>
        <w:rPr>
          <w:rFonts w:cs="Arial"/>
        </w:rPr>
        <w:t xml:space="preserve"> (33,447 total burden hours x $24.98 per hour).</w:t>
      </w:r>
      <w:r w:rsidRPr="00EC7F0B">
        <w:rPr>
          <w:rFonts w:cs="Arial"/>
        </w:rPr>
        <w:t xml:space="preserve">  VA does not require any additional recordkeeping.  </w:t>
      </w:r>
    </w:p>
    <w:p w14:paraId="7A4A55AA" w14:textId="77777777" w:rsidR="00EC7F0B" w:rsidRPr="00EC7F0B" w:rsidRDefault="00EC7F0B" w:rsidP="00EC7F0B">
      <w:pPr>
        <w:tabs>
          <w:tab w:val="left" w:pos="540"/>
          <w:tab w:val="left" w:pos="1080"/>
          <w:tab w:val="left" w:pos="1638"/>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A07355C" w14:textId="77777777" w:rsidR="00A7283F" w:rsidRDefault="00A7283F" w:rsidP="00D22E94">
      <w:pPr>
        <w:ind w:left="547" w:right="684"/>
      </w:pPr>
    </w:p>
    <w:p w14:paraId="54C2ED1B" w14:textId="3C267FA7" w:rsidR="00536A11" w:rsidRPr="00173D3E" w:rsidRDefault="006747B7" w:rsidP="005D625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ind w:left="360" w:hanging="360"/>
        <w:rPr>
          <w:sz w:val="24"/>
          <w:szCs w:val="24"/>
        </w:rPr>
      </w:pPr>
      <w:r w:rsidRPr="00173D3E">
        <w:rPr>
          <w:sz w:val="24"/>
          <w:szCs w:val="24"/>
        </w:rPr>
        <w:t>13.</w:t>
      </w:r>
      <w:r w:rsidRPr="00173D3E">
        <w:rPr>
          <w:sz w:val="24"/>
          <w:szCs w:val="24"/>
        </w:rPr>
        <w:tab/>
      </w:r>
      <w:r w:rsidR="00536A11" w:rsidRPr="00173D3E">
        <w:rPr>
          <w:sz w:val="24"/>
          <w:szCs w:val="24"/>
        </w:rPr>
        <w:t xml:space="preserve">Provide an estimate of the total annual cost burden to respondents or </w:t>
      </w:r>
      <w:r w:rsidR="002748E0" w:rsidRPr="00173D3E">
        <w:rPr>
          <w:sz w:val="24"/>
          <w:szCs w:val="24"/>
        </w:rPr>
        <w:t>record keepers</w:t>
      </w:r>
      <w:r w:rsidR="00536A11" w:rsidRPr="00173D3E">
        <w:rPr>
          <w:sz w:val="24"/>
          <w:szCs w:val="24"/>
        </w:rPr>
        <w:t xml:space="preserve"> resulting from the collection of information.  (Do not include the cost of any hour burden shown in Items 12 and 14).</w:t>
      </w:r>
    </w:p>
    <w:p w14:paraId="085F61F8" w14:textId="77777777" w:rsidR="00906D79" w:rsidRPr="00906D79" w:rsidRDefault="00906D79" w:rsidP="00906D79">
      <w:pPr>
        <w:tabs>
          <w:tab w:val="left" w:pos="547"/>
          <w:tab w:val="left" w:pos="1080"/>
          <w:tab w:val="left" w:pos="1627"/>
          <w:tab w:val="left" w:pos="2160"/>
          <w:tab w:val="left" w:pos="2880"/>
        </w:tabs>
      </w:pPr>
    </w:p>
    <w:p w14:paraId="4E3E11E1" w14:textId="77777777" w:rsidR="00906D79" w:rsidRPr="00906D79" w:rsidRDefault="00906D79" w:rsidP="00906D7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6D79">
        <w:rPr>
          <w:b w:val="0"/>
          <w:sz w:val="24"/>
        </w:rPr>
        <w:tab/>
        <w:t>a.</w:t>
      </w:r>
      <w:r w:rsidRPr="00906D79">
        <w:rPr>
          <w:b w:val="0"/>
          <w:sz w:val="24"/>
        </w:rPr>
        <w:tab/>
        <w:t>There are no capital, start-up, operation or maintenance costs.</w:t>
      </w:r>
    </w:p>
    <w:p w14:paraId="3E40B3B7" w14:textId="77777777" w:rsidR="00906D79" w:rsidRPr="00906D79" w:rsidRDefault="00906D79" w:rsidP="00906D7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906D79">
        <w:rPr>
          <w:b w:val="0"/>
          <w:sz w:val="24"/>
        </w:rPr>
        <w:tab/>
        <w:t>b.</w:t>
      </w:r>
      <w:r w:rsidRPr="00906D79">
        <w:rPr>
          <w:b w:val="0"/>
          <w:sz w:val="24"/>
        </w:rPr>
        <w:tab/>
        <w:t>Cost estimates are not expected to vary widely.  The only cost is that for the time of the respondent.</w:t>
      </w:r>
    </w:p>
    <w:p w14:paraId="533B3830" w14:textId="77777777" w:rsidR="00906D79" w:rsidRPr="00906D79" w:rsidRDefault="00906D79" w:rsidP="00906D79">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906D79">
        <w:rPr>
          <w:b w:val="0"/>
          <w:sz w:val="24"/>
        </w:rPr>
        <w:tab/>
        <w:t>c.</w:t>
      </w:r>
      <w:r w:rsidRPr="00906D79">
        <w:rPr>
          <w:b w:val="0"/>
          <w:sz w:val="24"/>
        </w:rPr>
        <w:tab/>
        <w:t xml:space="preserve">There is no anticipated recordkeeping burden </w:t>
      </w:r>
      <w:r w:rsidRPr="00906D79">
        <w:rPr>
          <w:b w:val="0"/>
          <w:sz w:val="24"/>
          <w:szCs w:val="24"/>
        </w:rPr>
        <w:t xml:space="preserve">beyond that which is considered usual and customary. </w:t>
      </w:r>
    </w:p>
    <w:p w14:paraId="31F52B95" w14:textId="77777777" w:rsidR="00536A11" w:rsidRPr="00173D3E" w:rsidRDefault="00536A11">
      <w:pPr>
        <w:tabs>
          <w:tab w:val="left" w:pos="547"/>
          <w:tab w:val="left" w:pos="1080"/>
          <w:tab w:val="left" w:pos="1627"/>
          <w:tab w:val="left" w:pos="2160"/>
          <w:tab w:val="left" w:pos="2880"/>
        </w:tabs>
      </w:pPr>
    </w:p>
    <w:p w14:paraId="2595C7E0" w14:textId="53604BB4" w:rsidR="00536A11" w:rsidRPr="00173D3E" w:rsidRDefault="006747B7" w:rsidP="005D625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ind w:left="360" w:hanging="360"/>
        <w:rPr>
          <w:sz w:val="24"/>
          <w:szCs w:val="24"/>
        </w:rPr>
      </w:pPr>
      <w:r w:rsidRPr="00173D3E">
        <w:rPr>
          <w:sz w:val="24"/>
          <w:szCs w:val="24"/>
        </w:rPr>
        <w:t>14.</w:t>
      </w:r>
      <w:r w:rsidRPr="00173D3E">
        <w:rPr>
          <w:sz w:val="24"/>
          <w:szCs w:val="24"/>
        </w:rPr>
        <w:tab/>
      </w:r>
      <w:r w:rsidR="00536A11" w:rsidRPr="00173D3E">
        <w:rPr>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E21A08E" w14:textId="77777777" w:rsidR="004825EB" w:rsidRPr="00173D3E" w:rsidRDefault="004825EB" w:rsidP="006A3524"/>
    <w:p w14:paraId="6BBEEC08" w14:textId="0058A2E1" w:rsidR="007D632F" w:rsidRPr="00173D3E" w:rsidRDefault="006747B7" w:rsidP="003C2233">
      <w:pPr>
        <w:tabs>
          <w:tab w:val="left" w:pos="360"/>
        </w:tabs>
        <w:ind w:left="360" w:hanging="360"/>
      </w:pPr>
      <w:r w:rsidRPr="00173D3E">
        <w:tab/>
      </w:r>
      <w:r w:rsidR="006A3524" w:rsidRPr="00173D3E">
        <w:t xml:space="preserve">An IT development </w:t>
      </w:r>
      <w:r w:rsidR="00E03D90" w:rsidRPr="00173D3E">
        <w:t xml:space="preserve">was used </w:t>
      </w:r>
      <w:r w:rsidR="006A3524" w:rsidRPr="00173D3E">
        <w:t xml:space="preserve">to support this </w:t>
      </w:r>
      <w:r w:rsidR="00AD304F" w:rsidRPr="00173D3E">
        <w:t>assessment</w:t>
      </w:r>
      <w:r w:rsidR="006A3524" w:rsidRPr="00173D3E">
        <w:t xml:space="preserve">. </w:t>
      </w:r>
      <w:r w:rsidR="008C5660" w:rsidRPr="00173D3E">
        <w:t xml:space="preserve"> </w:t>
      </w:r>
      <w:r w:rsidR="006A3524" w:rsidRPr="00173D3E">
        <w:t xml:space="preserve">Costs for similar </w:t>
      </w:r>
      <w:r w:rsidR="008C5660" w:rsidRPr="00173D3E">
        <w:t>W</w:t>
      </w:r>
      <w:r w:rsidR="004825EB" w:rsidRPr="00173D3E">
        <w:t>eb solution and registry database</w:t>
      </w:r>
      <w:r w:rsidR="006A3524" w:rsidRPr="00173D3E">
        <w:t xml:space="preserve"> project development, operations, and sustainment were used.</w:t>
      </w:r>
      <w:r w:rsidR="00DB0775">
        <w:t xml:space="preserve"> </w:t>
      </w:r>
      <w:r w:rsidR="006A3524" w:rsidRPr="00173D3E">
        <w:t xml:space="preserve"> </w:t>
      </w:r>
      <w:r w:rsidR="00820858" w:rsidRPr="00173D3E">
        <w:t>A</w:t>
      </w:r>
      <w:r w:rsidR="004825EB" w:rsidRPr="00173D3E">
        <w:t xml:space="preserve">nalysis of the data </w:t>
      </w:r>
      <w:r w:rsidR="006A3524" w:rsidRPr="00173D3E">
        <w:t xml:space="preserve">and </w:t>
      </w:r>
      <w:r w:rsidR="008910D9" w:rsidRPr="00173D3E">
        <w:t xml:space="preserve">staff </w:t>
      </w:r>
      <w:r w:rsidR="006A3524" w:rsidRPr="00173D3E">
        <w:t xml:space="preserve">education </w:t>
      </w:r>
      <w:r w:rsidR="004825EB" w:rsidRPr="00173D3E">
        <w:t>may</w:t>
      </w:r>
      <w:r w:rsidR="006A3524" w:rsidRPr="00173D3E">
        <w:t xml:space="preserve"> require </w:t>
      </w:r>
      <w:r w:rsidR="004825EB" w:rsidRPr="00173D3E">
        <w:t>additional resources</w:t>
      </w:r>
      <w:r w:rsidR="006A3524" w:rsidRPr="00173D3E">
        <w:t>.  VA Veteran outreach costs are based on current registry programs (e.g.</w:t>
      </w:r>
      <w:r w:rsidR="003C2233">
        <w:t>,</w:t>
      </w:r>
      <w:r w:rsidR="006A3524" w:rsidRPr="00173D3E">
        <w:t xml:space="preserve"> Agent Orange, Gulf War</w:t>
      </w:r>
      <w:r w:rsidR="00AA310D" w:rsidRPr="00173D3E">
        <w:t>, Ionizing Radiation</w:t>
      </w:r>
      <w:r w:rsidR="006A3524" w:rsidRPr="00173D3E">
        <w:t xml:space="preserve">) within the </w:t>
      </w:r>
      <w:r w:rsidR="00AA310D" w:rsidRPr="00173D3E">
        <w:t xml:space="preserve">VHA Patient Care Services </w:t>
      </w:r>
      <w:r w:rsidR="003C2233">
        <w:t>O</w:t>
      </w:r>
      <w:r w:rsidR="00AA310D" w:rsidRPr="00173D3E">
        <w:t>ffice for Post Deployment Health Services</w:t>
      </w:r>
      <w:r w:rsidR="003C2233">
        <w:t>.</w:t>
      </w:r>
    </w:p>
    <w:p w14:paraId="1E91BAA9" w14:textId="77777777" w:rsidR="007D632F" w:rsidRPr="00173D3E" w:rsidRDefault="007D632F" w:rsidP="005D625F"/>
    <w:p w14:paraId="27405AB9" w14:textId="66AE9B21" w:rsidR="007B4B8B" w:rsidRPr="00173D3E" w:rsidRDefault="00D546A2" w:rsidP="008C3916">
      <w:pPr>
        <w:ind w:firstLine="360"/>
        <w:rPr>
          <w:b/>
        </w:rPr>
      </w:pPr>
      <w:r w:rsidRPr="00173D3E">
        <w:rPr>
          <w:b/>
        </w:rPr>
        <w:t xml:space="preserve">Table: </w:t>
      </w:r>
      <w:r w:rsidR="00777D17">
        <w:rPr>
          <w:b/>
        </w:rPr>
        <w:t xml:space="preserve">Annual </w:t>
      </w:r>
      <w:r w:rsidRPr="00173D3E">
        <w:rPr>
          <w:b/>
        </w:rPr>
        <w:t>Cost Estimate</w:t>
      </w: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1710"/>
        <w:gridCol w:w="1890"/>
        <w:gridCol w:w="1800"/>
      </w:tblGrid>
      <w:tr w:rsidR="00777D17" w:rsidRPr="00173D3E" w14:paraId="251EC416" w14:textId="77777777" w:rsidTr="00A113AB">
        <w:trPr>
          <w:trHeight w:val="440"/>
        </w:trPr>
        <w:tc>
          <w:tcPr>
            <w:tcW w:w="3240" w:type="dxa"/>
            <w:shd w:val="clear" w:color="auto" w:fill="DBE5F1" w:themeFill="accent1" w:themeFillTint="33"/>
            <w:vAlign w:val="center"/>
          </w:tcPr>
          <w:p w14:paraId="1CD57A8A" w14:textId="77777777" w:rsidR="00777D17" w:rsidRDefault="00777D17" w:rsidP="00C4634C">
            <w:pPr>
              <w:rPr>
                <w:b/>
                <w:bCs/>
              </w:rPr>
            </w:pPr>
            <w:r w:rsidRPr="00173D3E">
              <w:rPr>
                <w:b/>
                <w:bCs/>
              </w:rPr>
              <w:t>Analysis, Reporting</w:t>
            </w:r>
            <w:r>
              <w:rPr>
                <w:b/>
                <w:bCs/>
              </w:rPr>
              <w:t xml:space="preserve"> </w:t>
            </w:r>
          </w:p>
          <w:p w14:paraId="2BED8DC0" w14:textId="2069FB2C" w:rsidR="00777D17" w:rsidRPr="00173D3E" w:rsidRDefault="00777D17" w:rsidP="00C4634C">
            <w:pPr>
              <w:rPr>
                <w:b/>
                <w:bCs/>
              </w:rPr>
            </w:pPr>
            <w:r w:rsidRPr="00173D3E">
              <w:rPr>
                <w:b/>
                <w:bCs/>
              </w:rPr>
              <w:t>Staff Education</w:t>
            </w:r>
          </w:p>
          <w:p w14:paraId="16C3FC6B" w14:textId="066975CD" w:rsidR="00777D17" w:rsidRPr="00173D3E" w:rsidRDefault="00777D17" w:rsidP="00C4634C">
            <w:pPr>
              <w:rPr>
                <w:b/>
                <w:bCs/>
              </w:rPr>
            </w:pPr>
            <w:r w:rsidRPr="00173D3E">
              <w:rPr>
                <w:b/>
                <w:bCs/>
              </w:rPr>
              <w:t>Congress Mandated Reports</w:t>
            </w:r>
          </w:p>
        </w:tc>
        <w:tc>
          <w:tcPr>
            <w:tcW w:w="1710" w:type="dxa"/>
            <w:shd w:val="clear" w:color="auto" w:fill="DBE5F1" w:themeFill="accent1" w:themeFillTint="33"/>
            <w:vAlign w:val="center"/>
          </w:tcPr>
          <w:p w14:paraId="77B75C93" w14:textId="77777777" w:rsidR="00777D17" w:rsidRPr="00173D3E" w:rsidRDefault="00777D17" w:rsidP="00C4634C">
            <w:pPr>
              <w:rPr>
                <w:b/>
                <w:bCs/>
              </w:rPr>
            </w:pPr>
            <w:r w:rsidRPr="00173D3E">
              <w:rPr>
                <w:b/>
                <w:bCs/>
              </w:rPr>
              <w:t>IT Development</w:t>
            </w:r>
          </w:p>
        </w:tc>
        <w:tc>
          <w:tcPr>
            <w:tcW w:w="1890" w:type="dxa"/>
            <w:shd w:val="clear" w:color="auto" w:fill="DBE5F1" w:themeFill="accent1" w:themeFillTint="33"/>
            <w:vAlign w:val="center"/>
          </w:tcPr>
          <w:p w14:paraId="50676D16" w14:textId="1DC761CB" w:rsidR="00777D17" w:rsidRPr="00173D3E" w:rsidRDefault="00777D17" w:rsidP="00C4634C">
            <w:pPr>
              <w:rPr>
                <w:b/>
                <w:bCs/>
              </w:rPr>
            </w:pPr>
            <w:r w:rsidRPr="00173D3E">
              <w:rPr>
                <w:b/>
                <w:bCs/>
              </w:rPr>
              <w:t>IT Sustainment</w:t>
            </w:r>
          </w:p>
        </w:tc>
        <w:tc>
          <w:tcPr>
            <w:tcW w:w="1800" w:type="dxa"/>
            <w:shd w:val="clear" w:color="auto" w:fill="DBE5F1" w:themeFill="accent1" w:themeFillTint="33"/>
            <w:vAlign w:val="center"/>
          </w:tcPr>
          <w:p w14:paraId="2AD0BE3C" w14:textId="77777777" w:rsidR="00777D17" w:rsidRPr="00173D3E" w:rsidRDefault="00777D17" w:rsidP="00C4634C">
            <w:pPr>
              <w:rPr>
                <w:b/>
                <w:bCs/>
              </w:rPr>
            </w:pPr>
            <w:r w:rsidRPr="00173D3E">
              <w:rPr>
                <w:b/>
                <w:bCs/>
              </w:rPr>
              <w:t>Total</w:t>
            </w:r>
          </w:p>
        </w:tc>
      </w:tr>
      <w:tr w:rsidR="00777D17" w:rsidRPr="00173D3E" w14:paraId="511E9000" w14:textId="77777777" w:rsidTr="008C3916">
        <w:trPr>
          <w:trHeight w:val="300"/>
        </w:trPr>
        <w:tc>
          <w:tcPr>
            <w:tcW w:w="3240" w:type="dxa"/>
            <w:tcBorders>
              <w:top w:val="single" w:sz="4" w:space="0" w:color="auto"/>
              <w:left w:val="single" w:sz="4" w:space="0" w:color="auto"/>
              <w:bottom w:val="single" w:sz="4" w:space="0" w:color="auto"/>
              <w:right w:val="single" w:sz="4" w:space="0" w:color="auto"/>
            </w:tcBorders>
            <w:noWrap/>
          </w:tcPr>
          <w:p w14:paraId="6952F266" w14:textId="221C6FF3" w:rsidR="00777D17" w:rsidRPr="00173D3E" w:rsidRDefault="00777D17">
            <w:r w:rsidRPr="00173D3E">
              <w:t>$350,000</w:t>
            </w:r>
          </w:p>
        </w:tc>
        <w:tc>
          <w:tcPr>
            <w:tcW w:w="1710" w:type="dxa"/>
            <w:tcBorders>
              <w:top w:val="single" w:sz="4" w:space="0" w:color="auto"/>
              <w:left w:val="single" w:sz="4" w:space="0" w:color="auto"/>
              <w:bottom w:val="single" w:sz="4" w:space="0" w:color="auto"/>
              <w:right w:val="single" w:sz="4" w:space="0" w:color="auto"/>
            </w:tcBorders>
            <w:noWrap/>
          </w:tcPr>
          <w:p w14:paraId="2E2A30B6" w14:textId="6297741B" w:rsidR="00777D17" w:rsidRPr="00173D3E" w:rsidRDefault="00777D17">
            <w:r w:rsidRPr="00173D3E">
              <w:t>$400,000</w:t>
            </w:r>
          </w:p>
        </w:tc>
        <w:tc>
          <w:tcPr>
            <w:tcW w:w="1890" w:type="dxa"/>
            <w:tcBorders>
              <w:top w:val="single" w:sz="4" w:space="0" w:color="auto"/>
              <w:left w:val="single" w:sz="4" w:space="0" w:color="auto"/>
              <w:bottom w:val="single" w:sz="4" w:space="0" w:color="auto"/>
              <w:right w:val="single" w:sz="4" w:space="0" w:color="auto"/>
            </w:tcBorders>
            <w:noWrap/>
          </w:tcPr>
          <w:p w14:paraId="239B8F6F" w14:textId="674E0CA5" w:rsidR="00777D17" w:rsidRPr="00173D3E" w:rsidRDefault="00777D17">
            <w:r w:rsidRPr="00173D3E">
              <w:t>$350,000</w:t>
            </w:r>
          </w:p>
        </w:tc>
        <w:tc>
          <w:tcPr>
            <w:tcW w:w="1800" w:type="dxa"/>
            <w:tcBorders>
              <w:top w:val="single" w:sz="4" w:space="0" w:color="auto"/>
              <w:left w:val="single" w:sz="4" w:space="0" w:color="auto"/>
              <w:bottom w:val="single" w:sz="4" w:space="0" w:color="auto"/>
              <w:right w:val="single" w:sz="4" w:space="0" w:color="auto"/>
            </w:tcBorders>
            <w:noWrap/>
          </w:tcPr>
          <w:p w14:paraId="21DA5C95" w14:textId="5E31EC4C" w:rsidR="00777D17" w:rsidRPr="00173D3E" w:rsidRDefault="00777D17">
            <w:r w:rsidRPr="00173D3E">
              <w:t>$1,100,000</w:t>
            </w:r>
          </w:p>
        </w:tc>
      </w:tr>
    </w:tbl>
    <w:p w14:paraId="6434121B" w14:textId="0FA1CF7E" w:rsidR="003E01AF" w:rsidRDefault="003E01AF" w:rsidP="005D625F">
      <w:pPr>
        <w:tabs>
          <w:tab w:val="left" w:pos="360"/>
          <w:tab w:val="left" w:pos="547"/>
          <w:tab w:val="left" w:pos="1080"/>
          <w:tab w:val="left" w:pos="1627"/>
          <w:tab w:val="left" w:pos="2160"/>
          <w:tab w:val="left" w:pos="2880"/>
        </w:tabs>
        <w:ind w:left="360" w:hanging="360"/>
        <w:rPr>
          <w:b/>
        </w:rPr>
      </w:pPr>
    </w:p>
    <w:p w14:paraId="4DA1CDF1" w14:textId="53668718" w:rsidR="005A39F5" w:rsidRDefault="005A39F5" w:rsidP="005D625F">
      <w:pPr>
        <w:tabs>
          <w:tab w:val="left" w:pos="360"/>
          <w:tab w:val="left" w:pos="547"/>
          <w:tab w:val="left" w:pos="1080"/>
          <w:tab w:val="left" w:pos="1627"/>
          <w:tab w:val="left" w:pos="2160"/>
          <w:tab w:val="left" w:pos="2880"/>
        </w:tabs>
        <w:ind w:left="360" w:hanging="360"/>
        <w:rPr>
          <w:b/>
        </w:rPr>
      </w:pPr>
    </w:p>
    <w:p w14:paraId="1F5976D1" w14:textId="77777777" w:rsidR="005A39F5" w:rsidRDefault="005A39F5" w:rsidP="005D625F">
      <w:pPr>
        <w:tabs>
          <w:tab w:val="left" w:pos="360"/>
          <w:tab w:val="left" w:pos="547"/>
          <w:tab w:val="left" w:pos="1080"/>
          <w:tab w:val="left" w:pos="1627"/>
          <w:tab w:val="left" w:pos="2160"/>
          <w:tab w:val="left" w:pos="2880"/>
        </w:tabs>
        <w:ind w:left="360" w:hanging="360"/>
        <w:rPr>
          <w:b/>
        </w:rPr>
      </w:pPr>
    </w:p>
    <w:p w14:paraId="00502F83" w14:textId="77777777" w:rsidR="003E01AF" w:rsidRDefault="003E01AF" w:rsidP="005D625F">
      <w:pPr>
        <w:tabs>
          <w:tab w:val="left" w:pos="360"/>
          <w:tab w:val="left" w:pos="547"/>
          <w:tab w:val="left" w:pos="1080"/>
          <w:tab w:val="left" w:pos="1627"/>
          <w:tab w:val="left" w:pos="2160"/>
          <w:tab w:val="left" w:pos="2880"/>
        </w:tabs>
        <w:ind w:left="360" w:hanging="360"/>
        <w:rPr>
          <w:b/>
        </w:rPr>
      </w:pPr>
    </w:p>
    <w:p w14:paraId="45FA1B81" w14:textId="77777777" w:rsidR="003E01AF" w:rsidRDefault="003E01AF" w:rsidP="005D625F">
      <w:pPr>
        <w:tabs>
          <w:tab w:val="left" w:pos="360"/>
          <w:tab w:val="left" w:pos="547"/>
          <w:tab w:val="left" w:pos="1080"/>
          <w:tab w:val="left" w:pos="1627"/>
          <w:tab w:val="left" w:pos="2160"/>
          <w:tab w:val="left" w:pos="2880"/>
        </w:tabs>
        <w:ind w:left="360" w:hanging="360"/>
        <w:rPr>
          <w:b/>
        </w:rPr>
      </w:pPr>
    </w:p>
    <w:p w14:paraId="2F064E1E" w14:textId="1F3B6E10" w:rsidR="00536A11" w:rsidRPr="00173D3E" w:rsidRDefault="008C5660" w:rsidP="005D625F">
      <w:pPr>
        <w:tabs>
          <w:tab w:val="left" w:pos="360"/>
          <w:tab w:val="left" w:pos="547"/>
          <w:tab w:val="left" w:pos="1080"/>
          <w:tab w:val="left" w:pos="1627"/>
          <w:tab w:val="left" w:pos="2160"/>
          <w:tab w:val="left" w:pos="2880"/>
        </w:tabs>
        <w:ind w:left="360" w:hanging="360"/>
        <w:rPr>
          <w:b/>
        </w:rPr>
      </w:pPr>
      <w:r w:rsidRPr="00173D3E">
        <w:rPr>
          <w:b/>
        </w:rPr>
        <w:t>15.</w:t>
      </w:r>
      <w:r w:rsidRPr="00173D3E">
        <w:rPr>
          <w:b/>
        </w:rPr>
        <w:tab/>
      </w:r>
      <w:r w:rsidR="00536A11" w:rsidRPr="00173D3E">
        <w:rPr>
          <w:b/>
        </w:rPr>
        <w:t xml:space="preserve">Explain the reason for any burden hour changes </w:t>
      </w:r>
      <w:r w:rsidR="00B16AAF" w:rsidRPr="00173D3E">
        <w:rPr>
          <w:b/>
        </w:rPr>
        <w:t>or adjustments reported in items 13 or 14 of the OMB form 83-1</w:t>
      </w:r>
      <w:r w:rsidR="00536A11" w:rsidRPr="00173D3E">
        <w:rPr>
          <w:b/>
        </w:rPr>
        <w:t>.</w:t>
      </w:r>
    </w:p>
    <w:p w14:paraId="1FEFA3F3" w14:textId="77777777" w:rsidR="00536A11" w:rsidRPr="00173D3E" w:rsidRDefault="00536A11">
      <w:pPr>
        <w:tabs>
          <w:tab w:val="left" w:pos="547"/>
          <w:tab w:val="left" w:pos="1080"/>
          <w:tab w:val="left" w:pos="1627"/>
          <w:tab w:val="left" w:pos="2160"/>
          <w:tab w:val="left" w:pos="2880"/>
        </w:tabs>
      </w:pPr>
    </w:p>
    <w:p w14:paraId="47716CF4" w14:textId="2F3DA7A4" w:rsidR="00536A11" w:rsidRPr="00173D3E" w:rsidRDefault="00536A11" w:rsidP="005D625F">
      <w:pPr>
        <w:tabs>
          <w:tab w:val="left" w:pos="547"/>
          <w:tab w:val="left" w:pos="1080"/>
          <w:tab w:val="left" w:pos="1627"/>
          <w:tab w:val="left" w:pos="2160"/>
          <w:tab w:val="left" w:pos="2880"/>
        </w:tabs>
        <w:ind w:left="360"/>
      </w:pPr>
      <w:r w:rsidRPr="00173D3E">
        <w:t>This is a new collection and all burden hours are</w:t>
      </w:r>
      <w:r w:rsidR="000A5322" w:rsidRPr="00173D3E">
        <w:t xml:space="preserve"> considered a program increase.</w:t>
      </w:r>
      <w:r w:rsidR="00E03D90" w:rsidRPr="00173D3E">
        <w:t xml:space="preserve">  An additional cost burden of ten minutes</w:t>
      </w:r>
      <w:r w:rsidR="00565C2C" w:rsidRPr="00173D3E">
        <w:t>, per respondent,</w:t>
      </w:r>
      <w:r w:rsidR="00E03D90" w:rsidRPr="00173D3E">
        <w:t xml:space="preserve"> is added for the approximately </w:t>
      </w:r>
      <w:r w:rsidR="00DB0739">
        <w:t>686</w:t>
      </w:r>
      <w:r w:rsidR="00E03D90" w:rsidRPr="00173D3E">
        <w:t xml:space="preserve"> veterans included in the Qarmat Ali Cohort.  </w:t>
      </w:r>
      <w:r w:rsidR="00AA310D" w:rsidRPr="00173D3E">
        <w:t xml:space="preserve">All registrants included with this </w:t>
      </w:r>
      <w:r w:rsidR="00DB0739">
        <w:t xml:space="preserve">subset </w:t>
      </w:r>
      <w:r w:rsidR="00AA310D" w:rsidRPr="00173D3E">
        <w:t xml:space="preserve">cohort also </w:t>
      </w:r>
      <w:r w:rsidR="00DB0739">
        <w:t xml:space="preserve">are </w:t>
      </w:r>
      <w:r w:rsidR="00AA310D" w:rsidRPr="00173D3E">
        <w:t xml:space="preserve">eligible for the AHOBPR.  </w:t>
      </w:r>
      <w:r w:rsidR="00E03D90" w:rsidRPr="00173D3E">
        <w:t xml:space="preserve"> </w:t>
      </w:r>
    </w:p>
    <w:p w14:paraId="49626695" w14:textId="77777777" w:rsidR="00102CA8" w:rsidRDefault="00102CA8" w:rsidP="00102CA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rPr>
          <w:sz w:val="24"/>
          <w:szCs w:val="24"/>
        </w:rPr>
      </w:pPr>
    </w:p>
    <w:p w14:paraId="5940A46C" w14:textId="77777777" w:rsidR="00102CA8" w:rsidRPr="00173D3E" w:rsidRDefault="00102CA8" w:rsidP="00102CA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ind w:left="360" w:hanging="360"/>
        <w:rPr>
          <w:b w:val="0"/>
          <w:sz w:val="24"/>
          <w:szCs w:val="24"/>
        </w:rPr>
      </w:pPr>
      <w:r w:rsidRPr="00173D3E">
        <w:rPr>
          <w:sz w:val="24"/>
          <w:szCs w:val="24"/>
        </w:rPr>
        <w:t>16.</w:t>
      </w:r>
      <w:r w:rsidRPr="00173D3E">
        <w:rPr>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FF09B5A" w14:textId="77777777" w:rsidR="00102CA8" w:rsidRPr="00173D3E" w:rsidRDefault="00102CA8" w:rsidP="00102CA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ind w:left="360" w:hanging="360"/>
        <w:rPr>
          <w:b w:val="0"/>
          <w:sz w:val="24"/>
          <w:szCs w:val="24"/>
        </w:rPr>
      </w:pPr>
    </w:p>
    <w:p w14:paraId="6C84968C" w14:textId="77777777" w:rsidR="00102CA8" w:rsidRDefault="00102CA8" w:rsidP="00102CA8">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360"/>
        <w:rPr>
          <w:color w:val="auto"/>
        </w:rPr>
      </w:pPr>
      <w:r w:rsidRPr="00173D3E">
        <w:rPr>
          <w:color w:val="auto"/>
        </w:rPr>
        <w:t xml:space="preserve">VA produces descriptive statistics for registry participants and periodically provides outreach to participants as required by Pub. L. 112-260.  Outcome analysis and research are ongoing and published as completed.  Public law does not specify an end date for this collection.  </w:t>
      </w:r>
    </w:p>
    <w:p w14:paraId="00AAC632" w14:textId="77777777" w:rsidR="00102CA8" w:rsidRDefault="00102CA8" w:rsidP="00102CA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rPr>
          <w:sz w:val="24"/>
          <w:szCs w:val="24"/>
        </w:rPr>
      </w:pPr>
    </w:p>
    <w:p w14:paraId="2E552482" w14:textId="31A3158C" w:rsidR="008A65A3" w:rsidRPr="00173D3E" w:rsidRDefault="0065386D" w:rsidP="00102CA8">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ind w:left="360" w:hanging="360"/>
        <w:rPr>
          <w:sz w:val="24"/>
          <w:szCs w:val="24"/>
        </w:rPr>
      </w:pPr>
      <w:r w:rsidRPr="00173D3E">
        <w:rPr>
          <w:sz w:val="24"/>
          <w:szCs w:val="24"/>
        </w:rPr>
        <w:t>1</w:t>
      </w:r>
      <w:r w:rsidR="00102CA8">
        <w:rPr>
          <w:sz w:val="24"/>
          <w:szCs w:val="24"/>
        </w:rPr>
        <w:t>7</w:t>
      </w:r>
      <w:r w:rsidRPr="00173D3E">
        <w:rPr>
          <w:sz w:val="24"/>
          <w:szCs w:val="24"/>
        </w:rPr>
        <w:t>.</w:t>
      </w:r>
      <w:r w:rsidRPr="00173D3E">
        <w:rPr>
          <w:sz w:val="24"/>
          <w:szCs w:val="24"/>
        </w:rPr>
        <w:tab/>
      </w:r>
      <w:r w:rsidR="008A65A3" w:rsidRPr="00173D3E">
        <w:rPr>
          <w:sz w:val="24"/>
          <w:szCs w:val="24"/>
        </w:rPr>
        <w:t xml:space="preserve">If seeking approval to omit the expiration date for OMB approval of the information collection, explain the reasons that display would be inappropriate. </w:t>
      </w:r>
    </w:p>
    <w:p w14:paraId="13664D6C" w14:textId="77777777" w:rsidR="008A65A3" w:rsidRPr="00173D3E" w:rsidRDefault="008A65A3" w:rsidP="008A65A3">
      <w:pPr>
        <w:tabs>
          <w:tab w:val="left" w:pos="547"/>
          <w:tab w:val="left" w:pos="1080"/>
          <w:tab w:val="left" w:pos="1627"/>
          <w:tab w:val="left" w:pos="2160"/>
          <w:tab w:val="left" w:pos="2880"/>
        </w:tabs>
        <w:ind w:right="-108"/>
        <w:rPr>
          <w:b/>
        </w:rPr>
      </w:pPr>
    </w:p>
    <w:p w14:paraId="56B4D291" w14:textId="02215D97" w:rsidR="008A65A3" w:rsidRPr="00173D3E" w:rsidRDefault="008A65A3" w:rsidP="005D625F">
      <w:pPr>
        <w:tabs>
          <w:tab w:val="left" w:pos="360"/>
          <w:tab w:val="left" w:pos="540"/>
          <w:tab w:val="left" w:pos="1080"/>
          <w:tab w:val="left" w:pos="1620"/>
          <w:tab w:val="left" w:pos="2160"/>
          <w:tab w:val="left" w:pos="2700"/>
          <w:tab w:val="left" w:pos="3240"/>
        </w:tabs>
        <w:ind w:left="360"/>
      </w:pPr>
      <w:r w:rsidRPr="00173D3E">
        <w:t>VA seeks to minimize the cost to itself of collecting, processing and using the information by not displaying the expiration date.  VA seeks an exemption that waives the displaying of the expiration date on this VA Form.  The VA Form may be reproduced by the respondents and VA field facilities from the internet and then stocked.  If VA is required to display an expiration date, it would result in unnecessary waste of existing stock of the forms.  Inclusion of the expiration date would place an unnecessary burden on the respondent (</w:t>
      </w:r>
      <w:r w:rsidR="00D84E7B">
        <w:t>as</w:t>
      </w:r>
      <w:r w:rsidRPr="00173D3E">
        <w:t xml:space="preserve"> they would find it necessary to obtain a newer version, while VA would have accepted the old one).</w:t>
      </w:r>
    </w:p>
    <w:p w14:paraId="71FEF690" w14:textId="77777777" w:rsidR="008A65A3" w:rsidRPr="00173D3E" w:rsidRDefault="008A65A3" w:rsidP="008A65A3">
      <w:pPr>
        <w:tabs>
          <w:tab w:val="left" w:pos="547"/>
          <w:tab w:val="left" w:pos="1080"/>
          <w:tab w:val="left" w:pos="1627"/>
          <w:tab w:val="left" w:pos="2160"/>
          <w:tab w:val="left" w:pos="2880"/>
        </w:tabs>
        <w:ind w:right="-108"/>
        <w:rPr>
          <w:b/>
        </w:rPr>
      </w:pPr>
    </w:p>
    <w:p w14:paraId="5D45F61C" w14:textId="06032AE0" w:rsidR="008A65A3" w:rsidRPr="00173D3E" w:rsidRDefault="0065386D" w:rsidP="005D625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360"/>
          <w:tab w:val="left" w:pos="547"/>
          <w:tab w:val="left" w:pos="1627"/>
        </w:tabs>
        <w:ind w:left="360" w:hanging="360"/>
        <w:rPr>
          <w:sz w:val="24"/>
          <w:szCs w:val="24"/>
        </w:rPr>
      </w:pPr>
      <w:r w:rsidRPr="00173D3E">
        <w:rPr>
          <w:sz w:val="24"/>
          <w:szCs w:val="24"/>
        </w:rPr>
        <w:t>1</w:t>
      </w:r>
      <w:r w:rsidR="00102CA8">
        <w:rPr>
          <w:sz w:val="24"/>
          <w:szCs w:val="24"/>
        </w:rPr>
        <w:t>8</w:t>
      </w:r>
      <w:r w:rsidRPr="00173D3E">
        <w:rPr>
          <w:sz w:val="24"/>
          <w:szCs w:val="24"/>
        </w:rPr>
        <w:t>.</w:t>
      </w:r>
      <w:r w:rsidRPr="00173D3E">
        <w:rPr>
          <w:sz w:val="24"/>
          <w:szCs w:val="24"/>
        </w:rPr>
        <w:tab/>
      </w:r>
      <w:r w:rsidR="008A65A3" w:rsidRPr="00173D3E">
        <w:rPr>
          <w:sz w:val="24"/>
          <w:szCs w:val="24"/>
        </w:rPr>
        <w:t>Explain each exception to the certification statement identified in Item 19, “Certification for Paperwork Reduction Act Submissions,” of OMB 83-I.</w:t>
      </w:r>
    </w:p>
    <w:p w14:paraId="5FFF7D7E" w14:textId="77777777" w:rsidR="008A65A3" w:rsidRPr="00173D3E" w:rsidRDefault="008A65A3" w:rsidP="008A65A3">
      <w:pPr>
        <w:tabs>
          <w:tab w:val="left" w:pos="547"/>
          <w:tab w:val="left" w:pos="1080"/>
          <w:tab w:val="left" w:pos="1627"/>
          <w:tab w:val="left" w:pos="2160"/>
          <w:tab w:val="left" w:pos="2880"/>
        </w:tabs>
      </w:pPr>
    </w:p>
    <w:p w14:paraId="677E2523" w14:textId="011EF8B4" w:rsidR="008A65A3" w:rsidRPr="00173D3E" w:rsidRDefault="008A65A3" w:rsidP="005D625F">
      <w:pPr>
        <w:tabs>
          <w:tab w:val="left" w:pos="547"/>
          <w:tab w:val="left" w:pos="1080"/>
          <w:tab w:val="left" w:pos="1627"/>
          <w:tab w:val="left" w:pos="2160"/>
          <w:tab w:val="left" w:pos="2880"/>
        </w:tabs>
        <w:ind w:left="360"/>
      </w:pPr>
      <w:r w:rsidRPr="00173D3E">
        <w:t>There are no exceptions.</w:t>
      </w:r>
    </w:p>
    <w:p w14:paraId="7A83E372" w14:textId="697F71E1" w:rsidR="00536A11" w:rsidRDefault="0043414F" w:rsidP="00102CA8">
      <w:pPr>
        <w:pStyle w:val="BodyText3"/>
        <w:tabs>
          <w:tab w:val="clear" w:pos="3600"/>
          <w:tab w:val="clear" w:pos="4320"/>
          <w:tab w:val="clear" w:pos="5040"/>
          <w:tab w:val="clear" w:pos="5760"/>
          <w:tab w:val="clear" w:pos="6480"/>
          <w:tab w:val="clear" w:pos="7200"/>
          <w:tab w:val="clear" w:pos="7920"/>
          <w:tab w:val="clear" w:pos="8640"/>
          <w:tab w:val="left" w:pos="360"/>
        </w:tabs>
      </w:pPr>
      <w:r w:rsidRPr="00173D3E">
        <w:rPr>
          <w:sz w:val="24"/>
          <w:szCs w:val="24"/>
        </w:rPr>
        <w:t xml:space="preserve"> </w:t>
      </w:r>
    </w:p>
    <w:p w14:paraId="2187E2B8" w14:textId="75117ED0" w:rsidR="00BC63BC" w:rsidRDefault="00BC63BC" w:rsidP="005D625F">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ind w:left="360"/>
        <w:rPr>
          <w:color w:val="auto"/>
        </w:rPr>
      </w:pPr>
    </w:p>
    <w:p w14:paraId="1F1685C3" w14:textId="26FDF4DD" w:rsidR="00CC31BD" w:rsidRPr="003E01AF" w:rsidRDefault="008C3916" w:rsidP="003E01AF">
      <w:r>
        <w:br w:type="page"/>
      </w:r>
    </w:p>
    <w:p w14:paraId="7065D41A" w14:textId="3590644F" w:rsidR="003E01AF" w:rsidRDefault="003E01AF" w:rsidP="003E01AF">
      <w:pPr>
        <w:rPr>
          <w:rFonts w:ascii="Arial" w:hAnsi="Arial" w:cs="Arial"/>
        </w:rPr>
      </w:pPr>
    </w:p>
    <w:p w14:paraId="7F64F074" w14:textId="77777777" w:rsidR="00102CA8" w:rsidRPr="003E01AF" w:rsidRDefault="00102CA8" w:rsidP="003E01AF">
      <w:pPr>
        <w:rPr>
          <w:rFonts w:ascii="Arial" w:hAnsi="Arial" w:cs="Arial"/>
        </w:rPr>
      </w:pPr>
    </w:p>
    <w:p w14:paraId="3D33E2F1" w14:textId="77A78352" w:rsidR="00CC31BD" w:rsidRPr="003E01AF" w:rsidRDefault="00CC31BD" w:rsidP="003E01AF">
      <w:pPr>
        <w:rPr>
          <w:rFonts w:ascii="Arial" w:hAnsi="Arial" w:cs="Arial"/>
        </w:rPr>
      </w:pPr>
      <w:r w:rsidRPr="003E01AF">
        <w:rPr>
          <w:rFonts w:ascii="Arial" w:hAnsi="Arial" w:cs="Arial"/>
        </w:rPr>
        <w:t xml:space="preserve">The following exposures, outcomes and health care operation data variables </w:t>
      </w:r>
      <w:r w:rsidR="0083477C" w:rsidRPr="003E01AF">
        <w:rPr>
          <w:rFonts w:ascii="Arial" w:hAnsi="Arial" w:cs="Arial"/>
        </w:rPr>
        <w:t xml:space="preserve">are </w:t>
      </w:r>
      <w:r w:rsidRPr="003E01AF">
        <w:rPr>
          <w:rFonts w:ascii="Arial" w:hAnsi="Arial" w:cs="Arial"/>
        </w:rPr>
        <w:t xml:space="preserve">explored: </w:t>
      </w:r>
    </w:p>
    <w:p w14:paraId="0A960435" w14:textId="77777777" w:rsidR="00CC31BD" w:rsidRPr="003E01AF" w:rsidRDefault="00CC31BD" w:rsidP="00CC31BD">
      <w:pPr>
        <w:rPr>
          <w:rFonts w:ascii="Arial" w:hAnsi="Arial" w:cs="Arial"/>
          <w:i/>
        </w:rPr>
      </w:pPr>
    </w:p>
    <w:p w14:paraId="382C11C3" w14:textId="582DD807" w:rsidR="00CC31BD" w:rsidRPr="003E01AF" w:rsidRDefault="00CC31BD" w:rsidP="005D625F">
      <w:pPr>
        <w:pStyle w:val="ListParagraph"/>
        <w:tabs>
          <w:tab w:val="left" w:pos="360"/>
        </w:tabs>
        <w:autoSpaceDE w:val="0"/>
        <w:autoSpaceDN w:val="0"/>
        <w:adjustRightInd w:val="0"/>
        <w:spacing w:after="0" w:line="240" w:lineRule="auto"/>
        <w:ind w:left="0"/>
        <w:rPr>
          <w:rFonts w:ascii="Arial" w:hAnsi="Arial" w:cs="Arial"/>
          <w:bCs/>
          <w:sz w:val="24"/>
          <w:szCs w:val="24"/>
        </w:rPr>
      </w:pPr>
      <w:r w:rsidRPr="003E01AF">
        <w:rPr>
          <w:rFonts w:ascii="Arial" w:hAnsi="Arial" w:cs="Arial"/>
          <w:bCs/>
          <w:sz w:val="24"/>
          <w:szCs w:val="24"/>
        </w:rPr>
        <w:t>4.1</w:t>
      </w:r>
      <w:r w:rsidR="00B83E19" w:rsidRPr="003E01AF">
        <w:rPr>
          <w:rFonts w:ascii="Arial" w:hAnsi="Arial" w:cs="Arial"/>
          <w:bCs/>
          <w:sz w:val="24"/>
          <w:szCs w:val="24"/>
        </w:rPr>
        <w:tab/>
      </w:r>
      <w:r w:rsidRPr="003E01AF">
        <w:rPr>
          <w:rFonts w:ascii="Arial" w:hAnsi="Arial" w:cs="Arial"/>
          <w:b/>
          <w:bCs/>
          <w:sz w:val="24"/>
          <w:szCs w:val="24"/>
          <w:u w:val="single"/>
        </w:rPr>
        <w:t>Exposures of Interest</w:t>
      </w:r>
    </w:p>
    <w:p w14:paraId="0DB23BA3" w14:textId="71C56AAB" w:rsidR="00CC31BD" w:rsidRPr="003E01AF" w:rsidRDefault="00CC31BD" w:rsidP="005D625F">
      <w:pPr>
        <w:pStyle w:val="ListParagraph"/>
        <w:numPr>
          <w:ilvl w:val="0"/>
          <w:numId w:val="17"/>
        </w:numPr>
        <w:rPr>
          <w:rFonts w:ascii="Arial" w:hAnsi="Arial" w:cs="Arial"/>
          <w:sz w:val="24"/>
          <w:szCs w:val="24"/>
        </w:rPr>
      </w:pPr>
      <w:r w:rsidRPr="003E01AF">
        <w:rPr>
          <w:rFonts w:ascii="Arial" w:hAnsi="Arial" w:cs="Arial"/>
          <w:sz w:val="24"/>
          <w:szCs w:val="24"/>
        </w:rPr>
        <w:t xml:space="preserve">Deployment anthropogenic </w:t>
      </w:r>
      <w:r w:rsidR="00A319E5" w:rsidRPr="003E01AF">
        <w:rPr>
          <w:rFonts w:ascii="Arial" w:hAnsi="Arial" w:cs="Arial"/>
          <w:sz w:val="24"/>
          <w:szCs w:val="24"/>
        </w:rPr>
        <w:t>PM</w:t>
      </w:r>
      <w:r w:rsidRPr="003E01AF">
        <w:rPr>
          <w:rFonts w:ascii="Arial" w:hAnsi="Arial" w:cs="Arial"/>
          <w:sz w:val="24"/>
          <w:szCs w:val="24"/>
        </w:rPr>
        <w:t>, fumes, vapors and gases</w:t>
      </w:r>
    </w:p>
    <w:p w14:paraId="09A68EDF" w14:textId="77777777" w:rsidR="00CC31BD" w:rsidRPr="003E01AF" w:rsidRDefault="00CC31BD" w:rsidP="005D625F">
      <w:pPr>
        <w:pStyle w:val="ListParagraph"/>
        <w:numPr>
          <w:ilvl w:val="0"/>
          <w:numId w:val="18"/>
        </w:numPr>
        <w:rPr>
          <w:rFonts w:ascii="Arial" w:hAnsi="Arial" w:cs="Arial"/>
          <w:sz w:val="24"/>
          <w:szCs w:val="24"/>
        </w:rPr>
      </w:pPr>
      <w:r w:rsidRPr="003E01AF">
        <w:rPr>
          <w:rFonts w:ascii="Arial" w:hAnsi="Arial" w:cs="Arial"/>
          <w:sz w:val="24"/>
          <w:szCs w:val="24"/>
        </w:rPr>
        <w:t>Deployment location</w:t>
      </w:r>
    </w:p>
    <w:p w14:paraId="55C3AC65" w14:textId="77777777" w:rsidR="00CC31BD" w:rsidRPr="003E01AF" w:rsidRDefault="00CC31BD" w:rsidP="005D625F">
      <w:pPr>
        <w:pStyle w:val="ListParagraph"/>
        <w:numPr>
          <w:ilvl w:val="0"/>
          <w:numId w:val="18"/>
        </w:numPr>
        <w:rPr>
          <w:rFonts w:ascii="Arial" w:hAnsi="Arial" w:cs="Arial"/>
          <w:sz w:val="24"/>
          <w:szCs w:val="24"/>
        </w:rPr>
      </w:pPr>
      <w:r w:rsidRPr="003E01AF">
        <w:rPr>
          <w:rFonts w:ascii="Arial" w:hAnsi="Arial" w:cs="Arial"/>
          <w:sz w:val="24"/>
          <w:szCs w:val="24"/>
        </w:rPr>
        <w:t>Reported exposures to open burn pits</w:t>
      </w:r>
    </w:p>
    <w:p w14:paraId="4EB97F0C" w14:textId="77777777" w:rsidR="00CC31BD" w:rsidRPr="003E01AF" w:rsidRDefault="00CC31BD" w:rsidP="005D625F">
      <w:pPr>
        <w:pStyle w:val="ListParagraph"/>
        <w:numPr>
          <w:ilvl w:val="0"/>
          <w:numId w:val="18"/>
        </w:numPr>
        <w:rPr>
          <w:rFonts w:ascii="Arial" w:hAnsi="Arial" w:cs="Arial"/>
          <w:sz w:val="24"/>
          <w:szCs w:val="24"/>
        </w:rPr>
      </w:pPr>
      <w:r w:rsidRPr="003E01AF">
        <w:rPr>
          <w:rFonts w:ascii="Arial" w:hAnsi="Arial" w:cs="Arial"/>
          <w:sz w:val="24"/>
          <w:szCs w:val="24"/>
        </w:rPr>
        <w:t>Fuel vapors</w:t>
      </w:r>
    </w:p>
    <w:p w14:paraId="3D4BDFD4" w14:textId="77777777" w:rsidR="00CC31BD" w:rsidRPr="003E01AF" w:rsidRDefault="00CC31BD" w:rsidP="005D625F">
      <w:pPr>
        <w:pStyle w:val="ListParagraph"/>
        <w:numPr>
          <w:ilvl w:val="0"/>
          <w:numId w:val="18"/>
        </w:numPr>
        <w:rPr>
          <w:rFonts w:ascii="Arial" w:hAnsi="Arial" w:cs="Arial"/>
          <w:sz w:val="24"/>
          <w:szCs w:val="24"/>
        </w:rPr>
      </w:pPr>
      <w:r w:rsidRPr="003E01AF">
        <w:rPr>
          <w:rFonts w:ascii="Arial" w:hAnsi="Arial" w:cs="Arial"/>
          <w:sz w:val="24"/>
          <w:szCs w:val="24"/>
        </w:rPr>
        <w:t>Weapon combustion gases</w:t>
      </w:r>
    </w:p>
    <w:p w14:paraId="22D69425" w14:textId="77777777" w:rsidR="00CC31BD" w:rsidRPr="003E01AF" w:rsidRDefault="00CC31BD" w:rsidP="005D625F">
      <w:pPr>
        <w:pStyle w:val="ListParagraph"/>
        <w:numPr>
          <w:ilvl w:val="0"/>
          <w:numId w:val="18"/>
        </w:numPr>
        <w:rPr>
          <w:rFonts w:ascii="Arial" w:hAnsi="Arial" w:cs="Arial"/>
          <w:sz w:val="24"/>
          <w:szCs w:val="24"/>
        </w:rPr>
      </w:pPr>
      <w:r w:rsidRPr="003E01AF">
        <w:rPr>
          <w:rFonts w:ascii="Arial" w:hAnsi="Arial" w:cs="Arial"/>
          <w:sz w:val="24"/>
          <w:szCs w:val="24"/>
        </w:rPr>
        <w:t>Oil well fires</w:t>
      </w:r>
    </w:p>
    <w:p w14:paraId="1CFE17E6" w14:textId="77777777" w:rsidR="00CC31BD" w:rsidRPr="003E01AF" w:rsidRDefault="00CC31BD" w:rsidP="005D625F">
      <w:pPr>
        <w:pStyle w:val="ListParagraph"/>
        <w:numPr>
          <w:ilvl w:val="0"/>
          <w:numId w:val="18"/>
        </w:numPr>
        <w:rPr>
          <w:rFonts w:ascii="Arial" w:hAnsi="Arial" w:cs="Arial"/>
          <w:sz w:val="24"/>
          <w:szCs w:val="24"/>
        </w:rPr>
      </w:pPr>
      <w:r w:rsidRPr="003E01AF">
        <w:rPr>
          <w:rFonts w:ascii="Arial" w:hAnsi="Arial" w:cs="Arial"/>
          <w:sz w:val="24"/>
          <w:szCs w:val="24"/>
        </w:rPr>
        <w:t>Blasts (overpressure or gases)</w:t>
      </w:r>
    </w:p>
    <w:p w14:paraId="5AE79ED5" w14:textId="77777777" w:rsidR="00CC31BD" w:rsidRPr="003E01AF" w:rsidRDefault="00CC31BD" w:rsidP="005D625F">
      <w:pPr>
        <w:pStyle w:val="ListParagraph"/>
        <w:numPr>
          <w:ilvl w:val="0"/>
          <w:numId w:val="18"/>
        </w:numPr>
        <w:spacing w:after="0" w:line="240" w:lineRule="auto"/>
        <w:rPr>
          <w:rFonts w:ascii="Arial" w:hAnsi="Arial" w:cs="Arial"/>
          <w:sz w:val="24"/>
          <w:szCs w:val="24"/>
        </w:rPr>
      </w:pPr>
      <w:r w:rsidRPr="003E01AF">
        <w:rPr>
          <w:rFonts w:ascii="Arial" w:hAnsi="Arial" w:cs="Arial"/>
          <w:sz w:val="24"/>
          <w:szCs w:val="24"/>
        </w:rPr>
        <w:t>Other occupations with possible exposures (pesticides, engine maintenance, construction)</w:t>
      </w:r>
    </w:p>
    <w:p w14:paraId="02C527C6" w14:textId="3D9A1210" w:rsidR="00CC31BD" w:rsidRPr="003E01AF" w:rsidRDefault="00B401BB" w:rsidP="005D625F">
      <w:pPr>
        <w:ind w:left="360"/>
        <w:rPr>
          <w:rFonts w:ascii="Arial" w:hAnsi="Arial" w:cs="Arial"/>
        </w:rPr>
      </w:pPr>
      <w:r w:rsidRPr="003E01AF">
        <w:rPr>
          <w:rFonts w:ascii="Arial" w:hAnsi="Arial" w:cs="Arial"/>
        </w:rPr>
        <w:t>b)</w:t>
      </w:r>
      <w:r w:rsidRPr="003E01AF">
        <w:rPr>
          <w:rFonts w:ascii="Arial" w:hAnsi="Arial" w:cs="Arial"/>
        </w:rPr>
        <w:tab/>
      </w:r>
      <w:r w:rsidR="00CC31BD" w:rsidRPr="003E01AF">
        <w:rPr>
          <w:rFonts w:ascii="Arial" w:hAnsi="Arial" w:cs="Arial"/>
        </w:rPr>
        <w:t xml:space="preserve">Deployment natural/geologic </w:t>
      </w:r>
      <w:r w:rsidR="00A319E5" w:rsidRPr="003E01AF">
        <w:rPr>
          <w:rFonts w:ascii="Arial" w:hAnsi="Arial" w:cs="Arial"/>
        </w:rPr>
        <w:t>PM</w:t>
      </w:r>
    </w:p>
    <w:p w14:paraId="0ABDC6FF" w14:textId="5AB3D7E3" w:rsidR="00B401BB" w:rsidRPr="003E01AF" w:rsidRDefault="00CC31BD" w:rsidP="005D625F">
      <w:pPr>
        <w:pStyle w:val="ListParagraph"/>
        <w:numPr>
          <w:ilvl w:val="0"/>
          <w:numId w:val="19"/>
        </w:numPr>
        <w:spacing w:line="240" w:lineRule="auto"/>
        <w:rPr>
          <w:rFonts w:ascii="Arial" w:hAnsi="Arial" w:cs="Arial"/>
          <w:sz w:val="24"/>
          <w:szCs w:val="24"/>
        </w:rPr>
      </w:pPr>
      <w:r w:rsidRPr="003E01AF">
        <w:rPr>
          <w:rFonts w:ascii="Arial" w:hAnsi="Arial" w:cs="Arial"/>
          <w:sz w:val="24"/>
          <w:szCs w:val="24"/>
        </w:rPr>
        <w:t>Dust storms</w:t>
      </w:r>
    </w:p>
    <w:p w14:paraId="19ACCCE1" w14:textId="13A2B913" w:rsidR="00CC31BD" w:rsidRPr="003E01AF" w:rsidRDefault="00CC31BD" w:rsidP="005D625F">
      <w:pPr>
        <w:pStyle w:val="ListParagraph"/>
        <w:numPr>
          <w:ilvl w:val="0"/>
          <w:numId w:val="19"/>
        </w:numPr>
        <w:spacing w:after="0" w:line="240" w:lineRule="auto"/>
        <w:rPr>
          <w:rFonts w:ascii="Arial" w:hAnsi="Arial" w:cs="Arial"/>
          <w:sz w:val="24"/>
          <w:szCs w:val="24"/>
        </w:rPr>
      </w:pPr>
      <w:r w:rsidRPr="003E01AF">
        <w:rPr>
          <w:rFonts w:ascii="Arial" w:hAnsi="Arial" w:cs="Arial"/>
          <w:sz w:val="24"/>
          <w:szCs w:val="24"/>
        </w:rPr>
        <w:t>Convoy operations</w:t>
      </w:r>
    </w:p>
    <w:p w14:paraId="153C815F" w14:textId="406E04C5" w:rsidR="00CC31BD" w:rsidRPr="003E01AF" w:rsidRDefault="00B401BB" w:rsidP="005D625F">
      <w:pPr>
        <w:ind w:firstLine="360"/>
        <w:rPr>
          <w:rFonts w:ascii="Arial" w:hAnsi="Arial" w:cs="Arial"/>
        </w:rPr>
      </w:pPr>
      <w:r w:rsidRPr="003E01AF">
        <w:rPr>
          <w:rFonts w:ascii="Arial" w:hAnsi="Arial" w:cs="Arial"/>
        </w:rPr>
        <w:t>c)</w:t>
      </w:r>
      <w:r w:rsidRPr="003E01AF">
        <w:rPr>
          <w:rFonts w:ascii="Arial" w:hAnsi="Arial" w:cs="Arial"/>
        </w:rPr>
        <w:tab/>
      </w:r>
      <w:r w:rsidR="00CC31BD" w:rsidRPr="003E01AF">
        <w:rPr>
          <w:rFonts w:ascii="Arial" w:hAnsi="Arial" w:cs="Arial"/>
        </w:rPr>
        <w:t>Places of residence as a proxy for ge</w:t>
      </w:r>
      <w:r w:rsidR="00821946" w:rsidRPr="003E01AF">
        <w:rPr>
          <w:rFonts w:ascii="Arial" w:hAnsi="Arial" w:cs="Arial"/>
        </w:rPr>
        <w:t xml:space="preserve">neral </w:t>
      </w:r>
      <w:r w:rsidR="00A319E5" w:rsidRPr="003E01AF">
        <w:rPr>
          <w:rFonts w:ascii="Arial" w:hAnsi="Arial" w:cs="Arial"/>
        </w:rPr>
        <w:t>PM</w:t>
      </w:r>
      <w:r w:rsidR="00821946" w:rsidRPr="003E01AF">
        <w:rPr>
          <w:rFonts w:ascii="Arial" w:hAnsi="Arial" w:cs="Arial"/>
        </w:rPr>
        <w:t xml:space="preserve"> levels</w:t>
      </w:r>
    </w:p>
    <w:p w14:paraId="4D3BE4BD" w14:textId="18EBB62C" w:rsidR="00CC31BD" w:rsidRPr="003E01AF" w:rsidRDefault="00B401BB" w:rsidP="005D625F">
      <w:pPr>
        <w:ind w:firstLine="360"/>
        <w:rPr>
          <w:rFonts w:ascii="Arial" w:hAnsi="Arial" w:cs="Arial"/>
        </w:rPr>
      </w:pPr>
      <w:r w:rsidRPr="003E01AF">
        <w:rPr>
          <w:rFonts w:ascii="Arial" w:hAnsi="Arial" w:cs="Arial"/>
        </w:rPr>
        <w:t>d)</w:t>
      </w:r>
      <w:r w:rsidRPr="003E01AF">
        <w:rPr>
          <w:rFonts w:ascii="Arial" w:hAnsi="Arial" w:cs="Arial"/>
        </w:rPr>
        <w:tab/>
      </w:r>
      <w:r w:rsidR="00CC31BD" w:rsidRPr="003E01AF">
        <w:rPr>
          <w:rFonts w:ascii="Arial" w:hAnsi="Arial" w:cs="Arial"/>
        </w:rPr>
        <w:t>Non-military occupational exposures</w:t>
      </w:r>
    </w:p>
    <w:p w14:paraId="0DC30E97" w14:textId="510CDD1E" w:rsidR="00CC31BD" w:rsidRPr="003E01AF" w:rsidRDefault="00B401BB" w:rsidP="005D625F">
      <w:pPr>
        <w:ind w:firstLine="360"/>
        <w:rPr>
          <w:rFonts w:ascii="Arial" w:hAnsi="Arial" w:cs="Arial"/>
        </w:rPr>
      </w:pPr>
      <w:r w:rsidRPr="003E01AF">
        <w:rPr>
          <w:rFonts w:ascii="Arial" w:hAnsi="Arial" w:cs="Arial"/>
        </w:rPr>
        <w:t>e)</w:t>
      </w:r>
      <w:r w:rsidRPr="003E01AF">
        <w:rPr>
          <w:rFonts w:ascii="Arial" w:hAnsi="Arial" w:cs="Arial"/>
        </w:rPr>
        <w:tab/>
      </w:r>
      <w:r w:rsidR="00CC31BD" w:rsidRPr="003E01AF">
        <w:rPr>
          <w:rFonts w:ascii="Arial" w:hAnsi="Arial" w:cs="Arial"/>
        </w:rPr>
        <w:t>Tobacco exposure</w:t>
      </w:r>
    </w:p>
    <w:p w14:paraId="0F1367DD" w14:textId="04B246F5" w:rsidR="00CC31BD" w:rsidRPr="003E01AF" w:rsidRDefault="00B401BB" w:rsidP="005D625F">
      <w:pPr>
        <w:ind w:firstLine="360"/>
        <w:rPr>
          <w:rFonts w:ascii="Arial" w:hAnsi="Arial" w:cs="Arial"/>
        </w:rPr>
      </w:pPr>
      <w:r w:rsidRPr="003E01AF">
        <w:rPr>
          <w:rFonts w:ascii="Arial" w:hAnsi="Arial" w:cs="Arial"/>
        </w:rPr>
        <w:t>f)</w:t>
      </w:r>
      <w:r w:rsidRPr="003E01AF">
        <w:rPr>
          <w:rFonts w:ascii="Arial" w:hAnsi="Arial" w:cs="Arial"/>
        </w:rPr>
        <w:tab/>
      </w:r>
      <w:r w:rsidR="00CC31BD" w:rsidRPr="003E01AF">
        <w:rPr>
          <w:rFonts w:ascii="Arial" w:hAnsi="Arial" w:cs="Arial"/>
        </w:rPr>
        <w:t>Alcohol consumption</w:t>
      </w:r>
    </w:p>
    <w:p w14:paraId="768434D1" w14:textId="77777777" w:rsidR="00CC31BD" w:rsidRPr="003E01AF" w:rsidRDefault="00CC31BD" w:rsidP="005D625F">
      <w:pPr>
        <w:rPr>
          <w:rFonts w:ascii="Arial" w:hAnsi="Arial" w:cs="Arial"/>
          <w:i/>
        </w:rPr>
      </w:pPr>
    </w:p>
    <w:p w14:paraId="48EB2438" w14:textId="77777777" w:rsidR="00CC31BD" w:rsidRPr="003E01AF" w:rsidRDefault="00CC31BD" w:rsidP="00CC31BD">
      <w:pPr>
        <w:pStyle w:val="ListParagraph"/>
        <w:numPr>
          <w:ilvl w:val="1"/>
          <w:numId w:val="8"/>
        </w:numPr>
        <w:autoSpaceDE w:val="0"/>
        <w:autoSpaceDN w:val="0"/>
        <w:adjustRightInd w:val="0"/>
        <w:spacing w:after="0" w:line="240" w:lineRule="auto"/>
        <w:rPr>
          <w:rFonts w:ascii="Arial" w:hAnsi="Arial" w:cs="Arial"/>
          <w:b/>
          <w:bCs/>
          <w:sz w:val="24"/>
          <w:szCs w:val="24"/>
          <w:u w:val="single"/>
        </w:rPr>
      </w:pPr>
      <w:r w:rsidRPr="003E01AF">
        <w:rPr>
          <w:rFonts w:ascii="Arial" w:hAnsi="Arial" w:cs="Arial"/>
          <w:b/>
          <w:bCs/>
          <w:sz w:val="24"/>
          <w:szCs w:val="24"/>
        </w:rPr>
        <w:t xml:space="preserve"> </w:t>
      </w:r>
      <w:r w:rsidRPr="003E01AF">
        <w:rPr>
          <w:rFonts w:ascii="Arial" w:hAnsi="Arial" w:cs="Arial"/>
          <w:b/>
          <w:bCs/>
          <w:sz w:val="24"/>
          <w:szCs w:val="24"/>
          <w:u w:val="single"/>
        </w:rPr>
        <w:t xml:space="preserve">Outcomes of interest </w:t>
      </w:r>
    </w:p>
    <w:p w14:paraId="7FD96091" w14:textId="2C4A3C1C" w:rsidR="00CC31BD" w:rsidRPr="003E01AF" w:rsidRDefault="00B83E19" w:rsidP="005D625F">
      <w:pPr>
        <w:ind w:left="360"/>
        <w:rPr>
          <w:rFonts w:ascii="Arial" w:hAnsi="Arial" w:cs="Arial"/>
        </w:rPr>
      </w:pPr>
      <w:r w:rsidRPr="003E01AF">
        <w:rPr>
          <w:rFonts w:ascii="Arial" w:hAnsi="Arial" w:cs="Arial"/>
        </w:rPr>
        <w:t>a)</w:t>
      </w:r>
      <w:r w:rsidRPr="003E01AF">
        <w:rPr>
          <w:rFonts w:ascii="Arial" w:hAnsi="Arial" w:cs="Arial"/>
        </w:rPr>
        <w:tab/>
      </w:r>
      <w:r w:rsidR="00CC31BD" w:rsidRPr="003E01AF">
        <w:rPr>
          <w:rFonts w:ascii="Arial" w:hAnsi="Arial" w:cs="Arial"/>
        </w:rPr>
        <w:t>Functional limitations</w:t>
      </w:r>
    </w:p>
    <w:p w14:paraId="515A8DEA" w14:textId="245DB4AC" w:rsidR="00CC31BD" w:rsidRPr="003E01AF" w:rsidRDefault="00B83E19" w:rsidP="005D625F">
      <w:pPr>
        <w:ind w:firstLine="360"/>
        <w:rPr>
          <w:rFonts w:ascii="Arial" w:hAnsi="Arial" w:cs="Arial"/>
        </w:rPr>
      </w:pPr>
      <w:r w:rsidRPr="003E01AF">
        <w:rPr>
          <w:rFonts w:ascii="Arial" w:hAnsi="Arial" w:cs="Arial"/>
        </w:rPr>
        <w:t>b)</w:t>
      </w:r>
      <w:r w:rsidRPr="003E01AF">
        <w:rPr>
          <w:rFonts w:ascii="Arial" w:hAnsi="Arial" w:cs="Arial"/>
        </w:rPr>
        <w:tab/>
      </w:r>
      <w:r w:rsidR="00CC31BD" w:rsidRPr="003E01AF">
        <w:rPr>
          <w:rFonts w:ascii="Arial" w:hAnsi="Arial" w:cs="Arial"/>
        </w:rPr>
        <w:t>Employment status</w:t>
      </w:r>
    </w:p>
    <w:p w14:paraId="1A0331C9" w14:textId="53078B1D" w:rsidR="00CC31BD" w:rsidRPr="003E01AF" w:rsidRDefault="00B83E19" w:rsidP="005D625F">
      <w:pPr>
        <w:ind w:firstLine="360"/>
        <w:rPr>
          <w:rFonts w:ascii="Arial" w:hAnsi="Arial" w:cs="Arial"/>
        </w:rPr>
      </w:pPr>
      <w:r w:rsidRPr="003E01AF">
        <w:rPr>
          <w:rFonts w:ascii="Arial" w:hAnsi="Arial" w:cs="Arial"/>
        </w:rPr>
        <w:t>c</w:t>
      </w:r>
      <w:r w:rsidRPr="003E01AF">
        <w:rPr>
          <w:rFonts w:ascii="Arial" w:hAnsi="Arial" w:cs="Arial"/>
        </w:rPr>
        <w:tab/>
        <w:t>)</w:t>
      </w:r>
      <w:r w:rsidR="00CC31BD" w:rsidRPr="003E01AF">
        <w:rPr>
          <w:rFonts w:ascii="Arial" w:hAnsi="Arial" w:cs="Arial"/>
        </w:rPr>
        <w:t>Respiratory disease</w:t>
      </w:r>
    </w:p>
    <w:p w14:paraId="0799B574"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sz w:val="24"/>
          <w:szCs w:val="24"/>
        </w:rPr>
        <w:t>Asthma</w:t>
      </w:r>
    </w:p>
    <w:p w14:paraId="2ED2D6EB"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sz w:val="24"/>
          <w:szCs w:val="24"/>
        </w:rPr>
        <w:t>Emphysema</w:t>
      </w:r>
    </w:p>
    <w:p w14:paraId="698BBC8D"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sz w:val="24"/>
          <w:szCs w:val="24"/>
        </w:rPr>
        <w:t>Chronic bronchitis</w:t>
      </w:r>
    </w:p>
    <w:p w14:paraId="30CD5C7E"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sz w:val="24"/>
          <w:szCs w:val="24"/>
        </w:rPr>
        <w:t>Chronic obstructive pulmonary disease</w:t>
      </w:r>
    </w:p>
    <w:p w14:paraId="51621D7F"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sz w:val="24"/>
          <w:szCs w:val="24"/>
        </w:rPr>
        <w:t>Constrictive</w:t>
      </w:r>
      <w:r w:rsidRPr="003E01AF">
        <w:rPr>
          <w:rFonts w:ascii="Arial" w:hAnsi="Arial" w:cs="Arial"/>
          <w:bCs/>
          <w:sz w:val="24"/>
          <w:szCs w:val="24"/>
        </w:rPr>
        <w:t xml:space="preserve"> bronchiolitis </w:t>
      </w:r>
    </w:p>
    <w:p w14:paraId="3C12752B"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bCs/>
          <w:sz w:val="24"/>
          <w:szCs w:val="24"/>
        </w:rPr>
        <w:t>Idiopathic pulmonary fibrosis</w:t>
      </w:r>
    </w:p>
    <w:p w14:paraId="2B25B8E8"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bCs/>
          <w:sz w:val="24"/>
          <w:szCs w:val="24"/>
        </w:rPr>
        <w:t>Sarcoidoisis</w:t>
      </w:r>
    </w:p>
    <w:p w14:paraId="61335E4B" w14:textId="77777777" w:rsidR="00CC31BD" w:rsidRPr="003E01AF" w:rsidRDefault="00CC31BD" w:rsidP="005D625F">
      <w:pPr>
        <w:pStyle w:val="ListParagraph"/>
        <w:numPr>
          <w:ilvl w:val="0"/>
          <w:numId w:val="20"/>
        </w:numPr>
        <w:spacing w:after="0" w:line="240" w:lineRule="auto"/>
        <w:rPr>
          <w:rFonts w:ascii="Arial" w:hAnsi="Arial" w:cs="Arial"/>
          <w:sz w:val="24"/>
          <w:szCs w:val="24"/>
        </w:rPr>
      </w:pPr>
      <w:r w:rsidRPr="003E01AF">
        <w:rPr>
          <w:rFonts w:ascii="Arial" w:hAnsi="Arial" w:cs="Arial"/>
          <w:bCs/>
          <w:sz w:val="24"/>
          <w:szCs w:val="24"/>
        </w:rPr>
        <w:t>Other respiratory conditions</w:t>
      </w:r>
    </w:p>
    <w:p w14:paraId="0AB53E10" w14:textId="1D60CA4F" w:rsidR="00CC31BD" w:rsidRPr="003E01AF" w:rsidRDefault="000564D3" w:rsidP="005D625F">
      <w:pPr>
        <w:ind w:left="360"/>
        <w:rPr>
          <w:rFonts w:ascii="Arial" w:hAnsi="Arial" w:cs="Arial"/>
        </w:rPr>
      </w:pPr>
      <w:r w:rsidRPr="003E01AF">
        <w:rPr>
          <w:rFonts w:ascii="Arial" w:hAnsi="Arial" w:cs="Arial"/>
        </w:rPr>
        <w:t>d)</w:t>
      </w:r>
      <w:r w:rsidRPr="003E01AF">
        <w:rPr>
          <w:rFonts w:ascii="Arial" w:hAnsi="Arial" w:cs="Arial"/>
        </w:rPr>
        <w:tab/>
      </w:r>
      <w:r w:rsidR="00CC31BD" w:rsidRPr="003E01AF">
        <w:rPr>
          <w:rFonts w:ascii="Arial" w:hAnsi="Arial" w:cs="Arial"/>
        </w:rPr>
        <w:t>Cardiovascular disease</w:t>
      </w:r>
    </w:p>
    <w:p w14:paraId="661AA4FB" w14:textId="4C902A9A" w:rsidR="00CC31BD" w:rsidRPr="003E01AF" w:rsidRDefault="000564D3" w:rsidP="005D625F">
      <w:pPr>
        <w:ind w:firstLine="360"/>
        <w:rPr>
          <w:rFonts w:ascii="Arial" w:hAnsi="Arial" w:cs="Arial"/>
        </w:rPr>
      </w:pPr>
      <w:r w:rsidRPr="003E01AF">
        <w:rPr>
          <w:rFonts w:ascii="Arial" w:hAnsi="Arial" w:cs="Arial"/>
        </w:rPr>
        <w:t>e)</w:t>
      </w:r>
      <w:r w:rsidRPr="003E01AF">
        <w:rPr>
          <w:rFonts w:ascii="Arial" w:hAnsi="Arial" w:cs="Arial"/>
        </w:rPr>
        <w:tab/>
      </w:r>
      <w:r w:rsidR="00CC31BD" w:rsidRPr="003E01AF">
        <w:rPr>
          <w:rFonts w:ascii="Arial" w:hAnsi="Arial" w:cs="Arial"/>
        </w:rPr>
        <w:t>Hypertension</w:t>
      </w:r>
    </w:p>
    <w:p w14:paraId="273821BA" w14:textId="7FF995B5" w:rsidR="00CC31BD" w:rsidRPr="003E01AF" w:rsidRDefault="000564D3" w:rsidP="005D625F">
      <w:pPr>
        <w:ind w:firstLine="360"/>
        <w:rPr>
          <w:rFonts w:ascii="Arial" w:hAnsi="Arial" w:cs="Arial"/>
        </w:rPr>
      </w:pPr>
      <w:r w:rsidRPr="003E01AF">
        <w:rPr>
          <w:rFonts w:ascii="Arial" w:hAnsi="Arial" w:cs="Arial"/>
        </w:rPr>
        <w:t>f)</w:t>
      </w:r>
      <w:r w:rsidRPr="003E01AF">
        <w:rPr>
          <w:rFonts w:ascii="Arial" w:hAnsi="Arial" w:cs="Arial"/>
        </w:rPr>
        <w:tab/>
      </w:r>
      <w:r w:rsidR="00CC31BD" w:rsidRPr="003E01AF">
        <w:rPr>
          <w:rFonts w:ascii="Arial" w:hAnsi="Arial" w:cs="Arial"/>
        </w:rPr>
        <w:t>Coronary artery disease</w:t>
      </w:r>
    </w:p>
    <w:p w14:paraId="2F72AFAB" w14:textId="5106473A" w:rsidR="00CC31BD" w:rsidRPr="003E01AF" w:rsidRDefault="000564D3" w:rsidP="005D625F">
      <w:pPr>
        <w:ind w:firstLine="360"/>
        <w:rPr>
          <w:rFonts w:ascii="Arial" w:hAnsi="Arial" w:cs="Arial"/>
        </w:rPr>
      </w:pPr>
      <w:r w:rsidRPr="003E01AF">
        <w:rPr>
          <w:rFonts w:ascii="Arial" w:hAnsi="Arial" w:cs="Arial"/>
        </w:rPr>
        <w:t>g</w:t>
      </w:r>
      <w:r w:rsidRPr="003E01AF">
        <w:rPr>
          <w:rFonts w:ascii="Arial" w:hAnsi="Arial" w:cs="Arial"/>
        </w:rPr>
        <w:tab/>
        <w:t>)</w:t>
      </w:r>
      <w:r w:rsidR="00CC31BD" w:rsidRPr="003E01AF">
        <w:rPr>
          <w:rFonts w:ascii="Arial" w:hAnsi="Arial" w:cs="Arial"/>
        </w:rPr>
        <w:t>Myocardial infarction</w:t>
      </w:r>
    </w:p>
    <w:p w14:paraId="5DC9F774" w14:textId="1FEA40AB" w:rsidR="00CC31BD" w:rsidRPr="003E01AF" w:rsidRDefault="000564D3" w:rsidP="005D625F">
      <w:pPr>
        <w:ind w:firstLine="360"/>
        <w:rPr>
          <w:rFonts w:ascii="Arial" w:hAnsi="Arial" w:cs="Arial"/>
        </w:rPr>
      </w:pPr>
      <w:r w:rsidRPr="003E01AF">
        <w:rPr>
          <w:rFonts w:ascii="Arial" w:hAnsi="Arial" w:cs="Arial"/>
        </w:rPr>
        <w:t>h)</w:t>
      </w:r>
      <w:r w:rsidRPr="003E01AF">
        <w:rPr>
          <w:rFonts w:ascii="Arial" w:hAnsi="Arial" w:cs="Arial"/>
        </w:rPr>
        <w:tab/>
      </w:r>
      <w:r w:rsidR="00CC31BD" w:rsidRPr="003E01AF">
        <w:rPr>
          <w:rFonts w:ascii="Arial" w:hAnsi="Arial" w:cs="Arial"/>
        </w:rPr>
        <w:t>Congestive Heart Failure</w:t>
      </w:r>
    </w:p>
    <w:p w14:paraId="28271028" w14:textId="02A55247" w:rsidR="00CC31BD" w:rsidRPr="003E01AF" w:rsidRDefault="000564D3" w:rsidP="005D625F">
      <w:pPr>
        <w:ind w:firstLine="360"/>
        <w:rPr>
          <w:rFonts w:ascii="Arial" w:hAnsi="Arial" w:cs="Arial"/>
        </w:rPr>
      </w:pPr>
      <w:r w:rsidRPr="003E01AF">
        <w:rPr>
          <w:rFonts w:ascii="Arial" w:hAnsi="Arial" w:cs="Arial"/>
        </w:rPr>
        <w:t>i)</w:t>
      </w:r>
      <w:r w:rsidRPr="003E01AF">
        <w:rPr>
          <w:rFonts w:ascii="Arial" w:hAnsi="Arial" w:cs="Arial"/>
        </w:rPr>
        <w:tab/>
      </w:r>
      <w:r w:rsidR="00CC31BD" w:rsidRPr="003E01AF">
        <w:rPr>
          <w:rFonts w:ascii="Arial" w:hAnsi="Arial" w:cs="Arial"/>
        </w:rPr>
        <w:t>Chest pain</w:t>
      </w:r>
    </w:p>
    <w:p w14:paraId="7DA3A166" w14:textId="693CB444" w:rsidR="00CC31BD" w:rsidRPr="003E01AF" w:rsidRDefault="000564D3" w:rsidP="005D625F">
      <w:pPr>
        <w:ind w:firstLine="360"/>
        <w:rPr>
          <w:rFonts w:ascii="Arial" w:hAnsi="Arial" w:cs="Arial"/>
        </w:rPr>
      </w:pPr>
      <w:r w:rsidRPr="003E01AF">
        <w:rPr>
          <w:rFonts w:ascii="Arial" w:hAnsi="Arial" w:cs="Arial"/>
        </w:rPr>
        <w:t>j)</w:t>
      </w:r>
      <w:r w:rsidRPr="003E01AF">
        <w:rPr>
          <w:rFonts w:ascii="Arial" w:hAnsi="Arial" w:cs="Arial"/>
        </w:rPr>
        <w:tab/>
      </w:r>
      <w:r w:rsidR="00CC31BD" w:rsidRPr="003E01AF">
        <w:rPr>
          <w:rFonts w:ascii="Arial" w:hAnsi="Arial" w:cs="Arial"/>
        </w:rPr>
        <w:t>Other cardiac conditions</w:t>
      </w:r>
    </w:p>
    <w:p w14:paraId="0973C237" w14:textId="7BB92F70" w:rsidR="00CC31BD" w:rsidRPr="003E01AF" w:rsidRDefault="000564D3" w:rsidP="005D625F">
      <w:pPr>
        <w:ind w:firstLine="360"/>
        <w:rPr>
          <w:rFonts w:ascii="Arial" w:hAnsi="Arial" w:cs="Arial"/>
        </w:rPr>
      </w:pPr>
      <w:r w:rsidRPr="003E01AF">
        <w:rPr>
          <w:rFonts w:ascii="Arial" w:hAnsi="Arial" w:cs="Arial"/>
        </w:rPr>
        <w:t>k)</w:t>
      </w:r>
      <w:r w:rsidRPr="003E01AF">
        <w:rPr>
          <w:rFonts w:ascii="Arial" w:hAnsi="Arial" w:cs="Arial"/>
        </w:rPr>
        <w:tab/>
      </w:r>
      <w:r w:rsidR="00CC31BD" w:rsidRPr="003E01AF">
        <w:rPr>
          <w:rFonts w:ascii="Arial" w:hAnsi="Arial" w:cs="Arial"/>
        </w:rPr>
        <w:t xml:space="preserve">All Cancers/leukemia’s </w:t>
      </w:r>
    </w:p>
    <w:p w14:paraId="38EE6AB5" w14:textId="2B48EA84" w:rsidR="00CC31BD" w:rsidRPr="003E01AF" w:rsidRDefault="000564D3" w:rsidP="005D625F">
      <w:pPr>
        <w:ind w:firstLine="360"/>
        <w:rPr>
          <w:rFonts w:ascii="Arial" w:hAnsi="Arial" w:cs="Arial"/>
        </w:rPr>
      </w:pPr>
      <w:r w:rsidRPr="003E01AF">
        <w:rPr>
          <w:rFonts w:ascii="Arial" w:hAnsi="Arial" w:cs="Arial"/>
        </w:rPr>
        <w:t>l)</w:t>
      </w:r>
      <w:r w:rsidRPr="003E01AF">
        <w:rPr>
          <w:rFonts w:ascii="Arial" w:hAnsi="Arial" w:cs="Arial"/>
        </w:rPr>
        <w:tab/>
      </w:r>
      <w:r w:rsidR="00CC31BD" w:rsidRPr="003E01AF">
        <w:rPr>
          <w:rFonts w:ascii="Arial" w:hAnsi="Arial" w:cs="Arial"/>
        </w:rPr>
        <w:t>Neurologic disease</w:t>
      </w:r>
    </w:p>
    <w:p w14:paraId="2D807A78" w14:textId="77777777" w:rsidR="00CC31BD" w:rsidRPr="003E01AF" w:rsidRDefault="00CC31BD" w:rsidP="005D625F">
      <w:pPr>
        <w:pStyle w:val="ListParagraph"/>
        <w:numPr>
          <w:ilvl w:val="0"/>
          <w:numId w:val="21"/>
        </w:numPr>
        <w:rPr>
          <w:rFonts w:ascii="Arial" w:hAnsi="Arial" w:cs="Arial"/>
          <w:sz w:val="24"/>
          <w:szCs w:val="24"/>
        </w:rPr>
      </w:pPr>
      <w:r w:rsidRPr="003E01AF">
        <w:rPr>
          <w:rFonts w:ascii="Arial" w:hAnsi="Arial" w:cs="Arial"/>
          <w:sz w:val="24"/>
          <w:szCs w:val="24"/>
        </w:rPr>
        <w:t>Renal disease and impairment</w:t>
      </w:r>
    </w:p>
    <w:p w14:paraId="34E729D5" w14:textId="77777777" w:rsidR="00CC31BD" w:rsidRPr="003E01AF" w:rsidRDefault="00CC31BD" w:rsidP="005D625F">
      <w:pPr>
        <w:pStyle w:val="ListParagraph"/>
        <w:numPr>
          <w:ilvl w:val="0"/>
          <w:numId w:val="21"/>
        </w:numPr>
        <w:rPr>
          <w:rFonts w:ascii="Arial" w:hAnsi="Arial" w:cs="Arial"/>
          <w:sz w:val="24"/>
          <w:szCs w:val="24"/>
        </w:rPr>
      </w:pPr>
      <w:r w:rsidRPr="003E01AF">
        <w:rPr>
          <w:rFonts w:ascii="Arial" w:hAnsi="Arial" w:cs="Arial"/>
          <w:sz w:val="24"/>
          <w:szCs w:val="24"/>
        </w:rPr>
        <w:t>Overall health</w:t>
      </w:r>
    </w:p>
    <w:p w14:paraId="233C9ADC" w14:textId="77777777" w:rsidR="00CC31BD" w:rsidRPr="003E01AF" w:rsidRDefault="00CC31BD" w:rsidP="005D625F">
      <w:pPr>
        <w:pStyle w:val="ListParagraph"/>
        <w:numPr>
          <w:ilvl w:val="0"/>
          <w:numId w:val="21"/>
        </w:numPr>
        <w:rPr>
          <w:rFonts w:ascii="Arial" w:hAnsi="Arial" w:cs="Arial"/>
          <w:sz w:val="24"/>
          <w:szCs w:val="24"/>
        </w:rPr>
      </w:pPr>
      <w:r w:rsidRPr="003E01AF">
        <w:rPr>
          <w:rFonts w:ascii="Arial" w:hAnsi="Arial" w:cs="Arial"/>
          <w:sz w:val="24"/>
          <w:szCs w:val="24"/>
        </w:rPr>
        <w:t>Symptom history and current symptoms</w:t>
      </w:r>
    </w:p>
    <w:p w14:paraId="38DE9664" w14:textId="01C51271" w:rsidR="000D756D" w:rsidRPr="003E01AF" w:rsidRDefault="00CC31BD" w:rsidP="00173D3E">
      <w:pPr>
        <w:pStyle w:val="ListParagraph"/>
        <w:numPr>
          <w:ilvl w:val="0"/>
          <w:numId w:val="21"/>
        </w:numPr>
        <w:rPr>
          <w:rFonts w:ascii="Arial" w:hAnsi="Arial" w:cs="Arial"/>
          <w:sz w:val="24"/>
          <w:szCs w:val="24"/>
        </w:rPr>
      </w:pPr>
      <w:r w:rsidRPr="003E01AF">
        <w:rPr>
          <w:rFonts w:ascii="Arial" w:hAnsi="Arial" w:cs="Arial"/>
          <w:sz w:val="24"/>
          <w:szCs w:val="24"/>
        </w:rPr>
        <w:t>Reported exposure mitigation</w:t>
      </w:r>
    </w:p>
    <w:p w14:paraId="39DCA564" w14:textId="77777777" w:rsidR="000564D3" w:rsidRPr="003E01AF" w:rsidRDefault="000564D3" w:rsidP="005D625F">
      <w:pPr>
        <w:rPr>
          <w:rFonts w:ascii="Arial" w:hAnsi="Arial" w:cs="Arial"/>
        </w:rPr>
      </w:pPr>
    </w:p>
    <w:p w14:paraId="33641521" w14:textId="77777777" w:rsidR="00CC31BD" w:rsidRPr="003E01AF" w:rsidRDefault="00CC31BD" w:rsidP="00CC31BD">
      <w:pPr>
        <w:pStyle w:val="ListParagraph"/>
        <w:numPr>
          <w:ilvl w:val="1"/>
          <w:numId w:val="8"/>
        </w:numPr>
        <w:autoSpaceDE w:val="0"/>
        <w:autoSpaceDN w:val="0"/>
        <w:adjustRightInd w:val="0"/>
        <w:spacing w:after="0" w:line="240" w:lineRule="auto"/>
        <w:rPr>
          <w:rFonts w:ascii="Arial" w:hAnsi="Arial" w:cs="Arial"/>
          <w:b/>
          <w:bCs/>
          <w:sz w:val="24"/>
          <w:szCs w:val="24"/>
          <w:u w:val="single"/>
        </w:rPr>
      </w:pPr>
      <w:r w:rsidRPr="003E01AF">
        <w:rPr>
          <w:rFonts w:ascii="Arial" w:hAnsi="Arial" w:cs="Arial"/>
          <w:b/>
          <w:bCs/>
          <w:sz w:val="24"/>
          <w:szCs w:val="24"/>
          <w:u w:val="single"/>
        </w:rPr>
        <w:t>Health Care Operation Variables</w:t>
      </w:r>
    </w:p>
    <w:p w14:paraId="218B57C6" w14:textId="77777777" w:rsidR="00CC31BD" w:rsidRPr="003E01AF" w:rsidRDefault="00CC31BD" w:rsidP="00CC31BD">
      <w:pPr>
        <w:pStyle w:val="ListParagraph"/>
        <w:numPr>
          <w:ilvl w:val="0"/>
          <w:numId w:val="7"/>
        </w:numPr>
        <w:rPr>
          <w:rFonts w:ascii="Arial" w:hAnsi="Arial" w:cs="Arial"/>
          <w:bCs/>
          <w:sz w:val="24"/>
          <w:szCs w:val="24"/>
        </w:rPr>
      </w:pPr>
      <w:r w:rsidRPr="003E01AF">
        <w:rPr>
          <w:rFonts w:ascii="Arial" w:hAnsi="Arial" w:cs="Arial"/>
          <w:bCs/>
          <w:sz w:val="24"/>
          <w:szCs w:val="24"/>
        </w:rPr>
        <w:t>Eligible for registry participation</w:t>
      </w:r>
    </w:p>
    <w:p w14:paraId="79B31706" w14:textId="77777777" w:rsidR="00CC31BD" w:rsidRPr="003E01AF" w:rsidRDefault="00CC31BD" w:rsidP="00CC31BD">
      <w:pPr>
        <w:pStyle w:val="ListParagraph"/>
        <w:numPr>
          <w:ilvl w:val="0"/>
          <w:numId w:val="7"/>
        </w:numPr>
        <w:rPr>
          <w:rFonts w:ascii="Arial" w:hAnsi="Arial" w:cs="Arial"/>
          <w:bCs/>
          <w:sz w:val="24"/>
          <w:szCs w:val="24"/>
        </w:rPr>
      </w:pPr>
      <w:r w:rsidRPr="003E01AF">
        <w:rPr>
          <w:rFonts w:ascii="Arial" w:hAnsi="Arial" w:cs="Arial"/>
          <w:bCs/>
          <w:sz w:val="24"/>
          <w:szCs w:val="24"/>
        </w:rPr>
        <w:t>Registry participation</w:t>
      </w:r>
    </w:p>
    <w:p w14:paraId="6687480C" w14:textId="77777777" w:rsidR="00CC31BD" w:rsidRPr="003E01AF" w:rsidRDefault="00CC31BD" w:rsidP="00CC31BD">
      <w:pPr>
        <w:pStyle w:val="ListParagraph"/>
        <w:numPr>
          <w:ilvl w:val="0"/>
          <w:numId w:val="7"/>
        </w:numPr>
        <w:rPr>
          <w:rFonts w:ascii="Arial" w:hAnsi="Arial" w:cs="Arial"/>
          <w:bCs/>
          <w:sz w:val="24"/>
          <w:szCs w:val="24"/>
        </w:rPr>
      </w:pPr>
      <w:r w:rsidRPr="003E01AF">
        <w:rPr>
          <w:rFonts w:ascii="Arial" w:hAnsi="Arial" w:cs="Arial"/>
          <w:bCs/>
          <w:sz w:val="24"/>
          <w:szCs w:val="24"/>
        </w:rPr>
        <w:t>Enrollment in VHA health care vs. non-enrolled</w:t>
      </w:r>
    </w:p>
    <w:p w14:paraId="6EE3F2C3" w14:textId="77777777" w:rsidR="00CC31BD" w:rsidRPr="003E01AF" w:rsidRDefault="00CC31BD" w:rsidP="00CC31BD">
      <w:pPr>
        <w:pStyle w:val="ListParagraph"/>
        <w:numPr>
          <w:ilvl w:val="0"/>
          <w:numId w:val="7"/>
        </w:numPr>
        <w:rPr>
          <w:rFonts w:ascii="Arial" w:hAnsi="Arial" w:cs="Arial"/>
          <w:bCs/>
          <w:sz w:val="24"/>
          <w:szCs w:val="24"/>
        </w:rPr>
      </w:pPr>
      <w:r w:rsidRPr="003E01AF">
        <w:rPr>
          <w:rFonts w:ascii="Arial" w:hAnsi="Arial" w:cs="Arial"/>
          <w:bCs/>
          <w:sz w:val="24"/>
          <w:szCs w:val="24"/>
        </w:rPr>
        <w:t>Beneficiary status (e.g. Active Duty, Retiree, Reserve and Guard, Service, separated from duty)</w:t>
      </w:r>
    </w:p>
    <w:p w14:paraId="39E50D17" w14:textId="77777777" w:rsidR="00CC31BD" w:rsidRPr="003E01AF" w:rsidRDefault="00CC31BD" w:rsidP="00CC31BD">
      <w:pPr>
        <w:pStyle w:val="ListParagraph"/>
        <w:numPr>
          <w:ilvl w:val="0"/>
          <w:numId w:val="7"/>
        </w:numPr>
        <w:rPr>
          <w:rFonts w:ascii="Arial" w:hAnsi="Arial" w:cs="Arial"/>
          <w:bCs/>
          <w:sz w:val="24"/>
          <w:szCs w:val="24"/>
        </w:rPr>
      </w:pPr>
      <w:r w:rsidRPr="003E01AF">
        <w:rPr>
          <w:rFonts w:ascii="Arial" w:hAnsi="Arial" w:cs="Arial"/>
          <w:bCs/>
          <w:sz w:val="24"/>
          <w:szCs w:val="24"/>
        </w:rPr>
        <w:t>Reported health concerns</w:t>
      </w:r>
    </w:p>
    <w:p w14:paraId="2333F490" w14:textId="77777777" w:rsidR="00CC31BD" w:rsidRPr="003E01AF" w:rsidRDefault="00CC31BD" w:rsidP="00CC31BD">
      <w:pPr>
        <w:pStyle w:val="ListParagraph"/>
        <w:numPr>
          <w:ilvl w:val="0"/>
          <w:numId w:val="7"/>
        </w:numPr>
        <w:rPr>
          <w:rFonts w:ascii="Arial" w:hAnsi="Arial" w:cs="Arial"/>
          <w:bCs/>
          <w:sz w:val="24"/>
          <w:szCs w:val="24"/>
        </w:rPr>
      </w:pPr>
      <w:r w:rsidRPr="003E01AF">
        <w:rPr>
          <w:rFonts w:ascii="Arial" w:hAnsi="Arial" w:cs="Arial"/>
          <w:bCs/>
          <w:sz w:val="24"/>
          <w:szCs w:val="24"/>
        </w:rPr>
        <w:t>Reported health care utilization</w:t>
      </w:r>
    </w:p>
    <w:p w14:paraId="1B39FD8C" w14:textId="77777777" w:rsidR="00CC31BD" w:rsidRPr="003E01AF" w:rsidRDefault="00CC31BD" w:rsidP="005D625F">
      <w:pPr>
        <w:pStyle w:val="ListParagraph"/>
        <w:numPr>
          <w:ilvl w:val="0"/>
          <w:numId w:val="7"/>
        </w:numPr>
        <w:spacing w:after="0" w:line="240" w:lineRule="auto"/>
        <w:rPr>
          <w:rFonts w:ascii="Arial" w:hAnsi="Arial" w:cs="Arial"/>
          <w:bCs/>
          <w:sz w:val="24"/>
          <w:szCs w:val="24"/>
        </w:rPr>
      </w:pPr>
      <w:r w:rsidRPr="003E01AF">
        <w:rPr>
          <w:rFonts w:ascii="Arial" w:hAnsi="Arial" w:cs="Arial"/>
          <w:bCs/>
          <w:sz w:val="24"/>
          <w:szCs w:val="24"/>
        </w:rPr>
        <w:t>Utilization of in-person VHA health evaluation</w:t>
      </w:r>
    </w:p>
    <w:p w14:paraId="1AC0B768" w14:textId="77777777" w:rsidR="00CC31BD" w:rsidRPr="003E01AF" w:rsidRDefault="00CC31BD" w:rsidP="005D625F">
      <w:pPr>
        <w:rPr>
          <w:rFonts w:ascii="Arial" w:hAnsi="Arial" w:cs="Arial"/>
          <w:i/>
        </w:rPr>
      </w:pPr>
    </w:p>
    <w:p w14:paraId="011745AE" w14:textId="77777777" w:rsidR="005D625F" w:rsidRPr="003E01AF" w:rsidRDefault="00CC31BD" w:rsidP="00CC31BD">
      <w:pPr>
        <w:pStyle w:val="ListParagraph"/>
        <w:numPr>
          <w:ilvl w:val="1"/>
          <w:numId w:val="8"/>
        </w:numPr>
        <w:autoSpaceDE w:val="0"/>
        <w:autoSpaceDN w:val="0"/>
        <w:adjustRightInd w:val="0"/>
        <w:spacing w:after="0" w:line="240" w:lineRule="auto"/>
        <w:rPr>
          <w:rFonts w:ascii="Arial" w:hAnsi="Arial" w:cs="Arial"/>
          <w:b/>
          <w:bCs/>
          <w:sz w:val="24"/>
          <w:szCs w:val="24"/>
          <w:u w:val="single"/>
        </w:rPr>
      </w:pPr>
      <w:r w:rsidRPr="003E01AF">
        <w:rPr>
          <w:rFonts w:ascii="Arial" w:hAnsi="Arial" w:cs="Arial"/>
          <w:b/>
          <w:bCs/>
          <w:sz w:val="24"/>
          <w:szCs w:val="24"/>
        </w:rPr>
        <w:t xml:space="preserve"> </w:t>
      </w:r>
      <w:r w:rsidRPr="003E01AF">
        <w:rPr>
          <w:rFonts w:ascii="Arial" w:hAnsi="Arial" w:cs="Arial"/>
          <w:b/>
          <w:bCs/>
          <w:sz w:val="24"/>
          <w:szCs w:val="24"/>
          <w:u w:val="single"/>
        </w:rPr>
        <w:t>Methods</w:t>
      </w:r>
      <w:r w:rsidR="005D625F" w:rsidRPr="003E01AF">
        <w:rPr>
          <w:rFonts w:ascii="Arial" w:hAnsi="Arial" w:cs="Arial"/>
          <w:bCs/>
          <w:sz w:val="24"/>
          <w:szCs w:val="24"/>
        </w:rPr>
        <w:t xml:space="preserve"> </w:t>
      </w:r>
    </w:p>
    <w:p w14:paraId="6E48D88F" w14:textId="57B9C338" w:rsidR="00CC31BD" w:rsidRPr="003E01AF" w:rsidRDefault="00CC31BD" w:rsidP="005D625F">
      <w:pPr>
        <w:autoSpaceDE w:val="0"/>
        <w:autoSpaceDN w:val="0"/>
        <w:adjustRightInd w:val="0"/>
        <w:rPr>
          <w:rFonts w:ascii="Arial" w:hAnsi="Arial" w:cs="Arial"/>
          <w:b/>
          <w:bCs/>
          <w:u w:val="single"/>
        </w:rPr>
      </w:pPr>
    </w:p>
    <w:p w14:paraId="7BA8E699" w14:textId="0C832A64" w:rsidR="00CC31BD" w:rsidRPr="003E01AF" w:rsidRDefault="00CC31BD" w:rsidP="005D625F">
      <w:pPr>
        <w:ind w:left="450"/>
        <w:rPr>
          <w:rFonts w:ascii="Arial" w:hAnsi="Arial" w:cs="Arial"/>
        </w:rPr>
      </w:pPr>
      <w:r w:rsidRPr="003E01AF">
        <w:rPr>
          <w:rFonts w:ascii="Arial" w:hAnsi="Arial" w:cs="Arial"/>
        </w:rPr>
        <w:t xml:space="preserve">Frequencies and descriptive statistics for demographic characteristics including age, sex, race, ethnicity, branch of service, unit component, and rank </w:t>
      </w:r>
      <w:r w:rsidR="00E868F4" w:rsidRPr="003E01AF">
        <w:rPr>
          <w:rFonts w:ascii="Arial" w:hAnsi="Arial" w:cs="Arial"/>
        </w:rPr>
        <w:t>are</w:t>
      </w:r>
      <w:r w:rsidRPr="003E01AF">
        <w:rPr>
          <w:rFonts w:ascii="Arial" w:hAnsi="Arial" w:cs="Arial"/>
        </w:rPr>
        <w:t xml:space="preserve"> performed and stratified by self-reported exposure. </w:t>
      </w:r>
      <w:r w:rsidR="005D625F" w:rsidRPr="003E01AF">
        <w:rPr>
          <w:rFonts w:ascii="Arial" w:hAnsi="Arial" w:cs="Arial"/>
        </w:rPr>
        <w:t xml:space="preserve"> </w:t>
      </w:r>
      <w:r w:rsidRPr="003E01AF">
        <w:rPr>
          <w:rFonts w:ascii="Arial" w:hAnsi="Arial" w:cs="Arial"/>
        </w:rPr>
        <w:t>Demographic and deployment data are available from existing VHA</w:t>
      </w:r>
      <w:r w:rsidR="00FF6EF8" w:rsidRPr="003E01AF">
        <w:rPr>
          <w:rFonts w:ascii="Arial" w:hAnsi="Arial" w:cs="Arial"/>
        </w:rPr>
        <w:t xml:space="preserve"> and DoD</w:t>
      </w:r>
      <w:r w:rsidRPr="003E01AF">
        <w:rPr>
          <w:rFonts w:ascii="Arial" w:hAnsi="Arial" w:cs="Arial"/>
        </w:rPr>
        <w:t xml:space="preserve"> datasets that </w:t>
      </w:r>
      <w:r w:rsidR="00FF6EF8" w:rsidRPr="003E01AF">
        <w:rPr>
          <w:rFonts w:ascii="Arial" w:hAnsi="Arial" w:cs="Arial"/>
        </w:rPr>
        <w:t>are</w:t>
      </w:r>
      <w:r w:rsidRPr="003E01AF">
        <w:rPr>
          <w:rFonts w:ascii="Arial" w:hAnsi="Arial" w:cs="Arial"/>
        </w:rPr>
        <w:t xml:space="preserve"> merged with the unique participant identifier.</w:t>
      </w:r>
      <w:r w:rsidR="005D625F" w:rsidRPr="003E01AF">
        <w:rPr>
          <w:rFonts w:ascii="Arial" w:hAnsi="Arial" w:cs="Arial"/>
        </w:rPr>
        <w:t xml:space="preserve"> </w:t>
      </w:r>
      <w:r w:rsidRPr="003E01AF">
        <w:rPr>
          <w:rFonts w:ascii="Arial" w:hAnsi="Arial" w:cs="Arial"/>
        </w:rPr>
        <w:t xml:space="preserve"> (See attached table shells).</w:t>
      </w:r>
    </w:p>
    <w:p w14:paraId="19A37724" w14:textId="1EFDF926" w:rsidR="00CC31BD" w:rsidRPr="003E01AF" w:rsidRDefault="00CC31BD" w:rsidP="00CC31BD">
      <w:pPr>
        <w:rPr>
          <w:rFonts w:ascii="Arial" w:hAnsi="Arial" w:cs="Arial"/>
        </w:rPr>
      </w:pPr>
    </w:p>
    <w:p w14:paraId="2F1E67C9" w14:textId="104BF0D6" w:rsidR="00CC31BD" w:rsidRPr="003E01AF" w:rsidRDefault="00CC31BD" w:rsidP="005D625F">
      <w:pPr>
        <w:ind w:left="450"/>
        <w:rPr>
          <w:rFonts w:ascii="Arial" w:hAnsi="Arial" w:cs="Arial"/>
        </w:rPr>
      </w:pPr>
      <w:r w:rsidRPr="003E01AF">
        <w:rPr>
          <w:rFonts w:ascii="Arial" w:hAnsi="Arial" w:cs="Arial"/>
        </w:rPr>
        <w:t>The prevalence of specific conditions and exposures that were measured using N</w:t>
      </w:r>
      <w:r w:rsidR="005D625F" w:rsidRPr="003E01AF">
        <w:rPr>
          <w:rFonts w:ascii="Arial" w:hAnsi="Arial" w:cs="Arial"/>
        </w:rPr>
        <w:t xml:space="preserve">ational </w:t>
      </w:r>
      <w:r w:rsidRPr="003E01AF">
        <w:rPr>
          <w:rFonts w:ascii="Arial" w:hAnsi="Arial" w:cs="Arial"/>
        </w:rPr>
        <w:t>H</w:t>
      </w:r>
      <w:r w:rsidR="005D625F" w:rsidRPr="003E01AF">
        <w:rPr>
          <w:rFonts w:ascii="Arial" w:hAnsi="Arial" w:cs="Arial"/>
        </w:rPr>
        <w:t xml:space="preserve">ealth </w:t>
      </w:r>
      <w:r w:rsidRPr="003E01AF">
        <w:rPr>
          <w:rFonts w:ascii="Arial" w:hAnsi="Arial" w:cs="Arial"/>
        </w:rPr>
        <w:t>I</w:t>
      </w:r>
      <w:r w:rsidR="005D625F" w:rsidRPr="003E01AF">
        <w:rPr>
          <w:rFonts w:ascii="Arial" w:hAnsi="Arial" w:cs="Arial"/>
        </w:rPr>
        <w:t xml:space="preserve">nterview </w:t>
      </w:r>
      <w:r w:rsidRPr="003E01AF">
        <w:rPr>
          <w:rFonts w:ascii="Arial" w:hAnsi="Arial" w:cs="Arial"/>
        </w:rPr>
        <w:t>S</w:t>
      </w:r>
      <w:r w:rsidR="005D625F" w:rsidRPr="003E01AF">
        <w:rPr>
          <w:rFonts w:ascii="Arial" w:hAnsi="Arial" w:cs="Arial"/>
        </w:rPr>
        <w:t>urvey</w:t>
      </w:r>
      <w:r w:rsidRPr="003E01AF">
        <w:rPr>
          <w:rFonts w:ascii="Arial" w:hAnsi="Arial" w:cs="Arial"/>
        </w:rPr>
        <w:t xml:space="preserve"> questions </w:t>
      </w:r>
      <w:r w:rsidR="00821946" w:rsidRPr="003E01AF">
        <w:rPr>
          <w:rFonts w:ascii="Arial" w:hAnsi="Arial" w:cs="Arial"/>
        </w:rPr>
        <w:t>cannot</w:t>
      </w:r>
      <w:r w:rsidRPr="003E01AF">
        <w:rPr>
          <w:rFonts w:ascii="Arial" w:hAnsi="Arial" w:cs="Arial"/>
        </w:rPr>
        <w:t xml:space="preserve"> be compared to the U</w:t>
      </w:r>
      <w:r w:rsidR="005D625F" w:rsidRPr="003E01AF">
        <w:rPr>
          <w:rFonts w:ascii="Arial" w:hAnsi="Arial" w:cs="Arial"/>
        </w:rPr>
        <w:t xml:space="preserve">nited </w:t>
      </w:r>
      <w:r w:rsidRPr="003E01AF">
        <w:rPr>
          <w:rFonts w:ascii="Arial" w:hAnsi="Arial" w:cs="Arial"/>
        </w:rPr>
        <w:t>S</w:t>
      </w:r>
      <w:r w:rsidR="005D625F" w:rsidRPr="003E01AF">
        <w:rPr>
          <w:rFonts w:ascii="Arial" w:hAnsi="Arial" w:cs="Arial"/>
        </w:rPr>
        <w:t>tates</w:t>
      </w:r>
      <w:r w:rsidRPr="003E01AF">
        <w:rPr>
          <w:rFonts w:ascii="Arial" w:hAnsi="Arial" w:cs="Arial"/>
        </w:rPr>
        <w:t xml:space="preserve"> </w:t>
      </w:r>
      <w:r w:rsidR="005D625F" w:rsidRPr="003E01AF">
        <w:rPr>
          <w:rFonts w:ascii="Arial" w:hAnsi="Arial" w:cs="Arial"/>
        </w:rPr>
        <w:t xml:space="preserve">(U.S.) </w:t>
      </w:r>
      <w:r w:rsidRPr="003E01AF">
        <w:rPr>
          <w:rFonts w:ascii="Arial" w:hAnsi="Arial" w:cs="Arial"/>
        </w:rPr>
        <w:t xml:space="preserve">population data, as we do not expect the registry to produce a generalizable sample.  </w:t>
      </w:r>
    </w:p>
    <w:p w14:paraId="37DFE753" w14:textId="77777777" w:rsidR="00821946" w:rsidRPr="003E01AF" w:rsidRDefault="00821946" w:rsidP="00CC31BD">
      <w:pPr>
        <w:rPr>
          <w:rFonts w:ascii="Arial" w:hAnsi="Arial" w:cs="Arial"/>
        </w:rPr>
      </w:pPr>
    </w:p>
    <w:p w14:paraId="3C805D57" w14:textId="1E74D56B" w:rsidR="00CC31BD" w:rsidRPr="003E01AF" w:rsidRDefault="00821946" w:rsidP="00CC31BD">
      <w:pPr>
        <w:pStyle w:val="ListParagraph"/>
        <w:numPr>
          <w:ilvl w:val="1"/>
          <w:numId w:val="8"/>
        </w:numPr>
        <w:autoSpaceDE w:val="0"/>
        <w:autoSpaceDN w:val="0"/>
        <w:adjustRightInd w:val="0"/>
        <w:spacing w:after="0" w:line="240" w:lineRule="auto"/>
        <w:rPr>
          <w:rFonts w:ascii="Arial" w:hAnsi="Arial" w:cs="Arial"/>
          <w:b/>
          <w:bCs/>
          <w:sz w:val="24"/>
          <w:szCs w:val="24"/>
          <w:u w:val="single"/>
        </w:rPr>
      </w:pPr>
      <w:r w:rsidRPr="003E01AF">
        <w:rPr>
          <w:rFonts w:ascii="Arial" w:hAnsi="Arial" w:cs="Arial"/>
          <w:b/>
          <w:bCs/>
          <w:sz w:val="24"/>
          <w:szCs w:val="24"/>
          <w:u w:val="single"/>
        </w:rPr>
        <w:t>Strengths</w:t>
      </w:r>
    </w:p>
    <w:p w14:paraId="34FF9414" w14:textId="0E0C9880" w:rsidR="00E868F4" w:rsidRPr="003E01AF" w:rsidRDefault="00E868F4" w:rsidP="00CC31BD">
      <w:pPr>
        <w:rPr>
          <w:rFonts w:ascii="Arial" w:hAnsi="Arial" w:cs="Arial"/>
          <w:b/>
        </w:rPr>
      </w:pPr>
    </w:p>
    <w:p w14:paraId="2389ABD9" w14:textId="6AB96ECE" w:rsidR="00CC31BD" w:rsidRPr="003E01AF" w:rsidRDefault="00CC31BD" w:rsidP="005D625F">
      <w:pPr>
        <w:ind w:left="360"/>
        <w:rPr>
          <w:rFonts w:ascii="Arial" w:hAnsi="Arial" w:cs="Arial"/>
        </w:rPr>
      </w:pPr>
      <w:r w:rsidRPr="003E01AF">
        <w:rPr>
          <w:rFonts w:ascii="Arial" w:hAnsi="Arial" w:cs="Arial"/>
        </w:rPr>
        <w:t xml:space="preserve">This registry has several strengths. It is the first U.S. Government airborne hazards registry to date. </w:t>
      </w:r>
      <w:r w:rsidR="00E868F4" w:rsidRPr="003E01AF">
        <w:rPr>
          <w:rFonts w:ascii="Arial" w:hAnsi="Arial" w:cs="Arial"/>
        </w:rPr>
        <w:t xml:space="preserve"> </w:t>
      </w:r>
      <w:r w:rsidR="00E066D2" w:rsidRPr="003E01AF">
        <w:rPr>
          <w:rFonts w:ascii="Arial" w:hAnsi="Arial" w:cs="Arial"/>
        </w:rPr>
        <w:t>Analysis of t</w:t>
      </w:r>
      <w:r w:rsidRPr="003E01AF">
        <w:rPr>
          <w:rFonts w:ascii="Arial" w:hAnsi="Arial" w:cs="Arial"/>
        </w:rPr>
        <w:t xml:space="preserve">he registry </w:t>
      </w:r>
      <w:r w:rsidR="00E066D2" w:rsidRPr="003E01AF">
        <w:rPr>
          <w:rFonts w:ascii="Arial" w:hAnsi="Arial" w:cs="Arial"/>
        </w:rPr>
        <w:t>data benefit</w:t>
      </w:r>
      <w:r w:rsidR="00FF6EF8" w:rsidRPr="003E01AF">
        <w:rPr>
          <w:rFonts w:ascii="Arial" w:hAnsi="Arial" w:cs="Arial"/>
        </w:rPr>
        <w:t>s</w:t>
      </w:r>
      <w:r w:rsidR="00E066D2" w:rsidRPr="003E01AF">
        <w:rPr>
          <w:rFonts w:ascii="Arial" w:hAnsi="Arial" w:cs="Arial"/>
        </w:rPr>
        <w:t xml:space="preserve"> from linkages to data from various sources with </w:t>
      </w:r>
      <w:r w:rsidRPr="003E01AF">
        <w:rPr>
          <w:rFonts w:ascii="Arial" w:hAnsi="Arial" w:cs="Arial"/>
        </w:rPr>
        <w:t>multiple data points per participant (e.g. initial self-assessment, potential follow-up self-assessment</w:t>
      </w:r>
      <w:r w:rsidR="00E066D2" w:rsidRPr="003E01AF">
        <w:rPr>
          <w:rFonts w:ascii="Arial" w:hAnsi="Arial" w:cs="Arial"/>
        </w:rPr>
        <w:t>s</w:t>
      </w:r>
      <w:r w:rsidRPr="003E01AF">
        <w:rPr>
          <w:rFonts w:ascii="Arial" w:hAnsi="Arial" w:cs="Arial"/>
        </w:rPr>
        <w:t xml:space="preserve">, optional in-person medical evaluations, external data sources).  Self-reported exposure data are collected years before chronic conditions develop, which could reduce recall bias. </w:t>
      </w:r>
      <w:r w:rsidR="005D625F" w:rsidRPr="003E01AF">
        <w:rPr>
          <w:rFonts w:ascii="Arial" w:hAnsi="Arial" w:cs="Arial"/>
        </w:rPr>
        <w:t xml:space="preserve"> </w:t>
      </w:r>
      <w:r w:rsidRPr="003E01AF">
        <w:rPr>
          <w:rFonts w:ascii="Arial" w:hAnsi="Arial" w:cs="Arial"/>
        </w:rPr>
        <w:t>The registry include</w:t>
      </w:r>
      <w:r w:rsidR="00FF6EF8" w:rsidRPr="003E01AF">
        <w:rPr>
          <w:rFonts w:ascii="Arial" w:hAnsi="Arial" w:cs="Arial"/>
        </w:rPr>
        <w:t>s</w:t>
      </w:r>
      <w:r w:rsidRPr="003E01AF">
        <w:rPr>
          <w:rFonts w:ascii="Arial" w:hAnsi="Arial" w:cs="Arial"/>
        </w:rPr>
        <w:t xml:space="preserve"> Veterans and Active Duty </w:t>
      </w:r>
      <w:r w:rsidR="00821946" w:rsidRPr="003E01AF">
        <w:rPr>
          <w:rFonts w:ascii="Arial" w:hAnsi="Arial" w:cs="Arial"/>
        </w:rPr>
        <w:t>Service</w:t>
      </w:r>
      <w:r w:rsidRPr="003E01AF">
        <w:rPr>
          <w:rFonts w:ascii="Arial" w:hAnsi="Arial" w:cs="Arial"/>
        </w:rPr>
        <w:t>members, VA users and non-users, which could reduce selection bias</w:t>
      </w:r>
      <w:r w:rsidR="00E868F4" w:rsidRPr="003E01AF">
        <w:rPr>
          <w:rFonts w:ascii="Arial" w:hAnsi="Arial" w:cs="Arial"/>
        </w:rPr>
        <w:t xml:space="preserve"> and expedite data transfer for members separating from the military and transitioning to a Veteran</w:t>
      </w:r>
    </w:p>
    <w:p w14:paraId="7392641E" w14:textId="77777777" w:rsidR="00CC31BD" w:rsidRPr="003E01AF" w:rsidRDefault="00CC31BD" w:rsidP="00CC31BD">
      <w:pPr>
        <w:rPr>
          <w:rFonts w:ascii="Arial" w:hAnsi="Arial" w:cs="Arial"/>
        </w:rPr>
      </w:pPr>
    </w:p>
    <w:p w14:paraId="5217CD41" w14:textId="5541C35A" w:rsidR="00CC31BD" w:rsidRPr="003E01AF" w:rsidRDefault="00821946" w:rsidP="00CC31BD">
      <w:pPr>
        <w:pStyle w:val="ListParagraph"/>
        <w:numPr>
          <w:ilvl w:val="1"/>
          <w:numId w:val="8"/>
        </w:numPr>
        <w:autoSpaceDE w:val="0"/>
        <w:autoSpaceDN w:val="0"/>
        <w:adjustRightInd w:val="0"/>
        <w:spacing w:after="0" w:line="240" w:lineRule="auto"/>
        <w:rPr>
          <w:rFonts w:ascii="Arial" w:hAnsi="Arial" w:cs="Arial"/>
          <w:b/>
          <w:bCs/>
          <w:sz w:val="24"/>
          <w:szCs w:val="24"/>
          <w:u w:val="single"/>
        </w:rPr>
      </w:pPr>
      <w:r w:rsidRPr="003E01AF">
        <w:rPr>
          <w:rFonts w:ascii="Arial" w:hAnsi="Arial" w:cs="Arial"/>
          <w:b/>
          <w:bCs/>
          <w:sz w:val="24"/>
          <w:szCs w:val="24"/>
          <w:u w:val="single"/>
        </w:rPr>
        <w:t>Limitations</w:t>
      </w:r>
    </w:p>
    <w:p w14:paraId="78FC3951" w14:textId="14430C0B" w:rsidR="006D05F2" w:rsidRPr="003E01AF" w:rsidRDefault="006D05F2" w:rsidP="00CC31BD">
      <w:pPr>
        <w:rPr>
          <w:rFonts w:ascii="Arial" w:hAnsi="Arial" w:cs="Arial"/>
        </w:rPr>
      </w:pPr>
    </w:p>
    <w:p w14:paraId="762A2847" w14:textId="650C727F" w:rsidR="00CC31BD" w:rsidRPr="003E01AF" w:rsidRDefault="00CC31BD" w:rsidP="005D625F">
      <w:pPr>
        <w:ind w:left="360"/>
        <w:rPr>
          <w:rFonts w:ascii="Arial" w:hAnsi="Arial" w:cs="Arial"/>
        </w:rPr>
      </w:pPr>
      <w:r w:rsidRPr="003E01AF">
        <w:rPr>
          <w:rFonts w:ascii="Arial" w:hAnsi="Arial" w:cs="Arial"/>
        </w:rPr>
        <w:t xml:space="preserve">The self-assessment is a cross-sectional study of self-reported exposures and outcomes. Cross-sectional studies are limited in their ability to study the timing of outcomes vs. exposures which inherently limits the ability to make causal associations. </w:t>
      </w:r>
      <w:r w:rsidR="005D625F" w:rsidRPr="003E01AF">
        <w:rPr>
          <w:rFonts w:ascii="Arial" w:hAnsi="Arial" w:cs="Arial"/>
        </w:rPr>
        <w:t xml:space="preserve"> </w:t>
      </w:r>
      <w:r w:rsidRPr="003E01AF">
        <w:rPr>
          <w:rFonts w:ascii="Arial" w:hAnsi="Arial" w:cs="Arial"/>
        </w:rPr>
        <w:t xml:space="preserve">Two types </w:t>
      </w:r>
      <w:r w:rsidR="00FF6EF8" w:rsidRPr="003E01AF">
        <w:rPr>
          <w:rFonts w:ascii="Arial" w:hAnsi="Arial" w:cs="Arial"/>
        </w:rPr>
        <w:t>are most common</w:t>
      </w:r>
      <w:r w:rsidRPr="003E01AF">
        <w:rPr>
          <w:rFonts w:ascii="Arial" w:hAnsi="Arial" w:cs="Arial"/>
        </w:rPr>
        <w:t xml:space="preserve"> in th</w:t>
      </w:r>
      <w:r w:rsidR="00FF6EF8" w:rsidRPr="003E01AF">
        <w:rPr>
          <w:rFonts w:ascii="Arial" w:hAnsi="Arial" w:cs="Arial"/>
        </w:rPr>
        <w:t>e</w:t>
      </w:r>
      <w:r w:rsidRPr="003E01AF">
        <w:rPr>
          <w:rFonts w:ascii="Arial" w:hAnsi="Arial" w:cs="Arial"/>
        </w:rPr>
        <w:t xml:space="preserve"> registry, recall bias and selection bias. </w:t>
      </w:r>
      <w:r w:rsidR="00E868F4" w:rsidRPr="003E01AF">
        <w:rPr>
          <w:rFonts w:ascii="Arial" w:hAnsi="Arial" w:cs="Arial"/>
        </w:rPr>
        <w:t xml:space="preserve"> The registry may not be representative of the entire deployed population because for selection bias.  </w:t>
      </w:r>
      <w:r w:rsidRPr="003E01AF">
        <w:rPr>
          <w:rFonts w:ascii="Arial" w:hAnsi="Arial" w:cs="Arial"/>
        </w:rPr>
        <w:t>Recall of exposures may not be accurate given both the length of time from deployment to self-assessment and may be different between the Active Duty and Veteran groups given differences in cultural norms around reporting unpopular perceptions.</w:t>
      </w:r>
      <w:r w:rsidR="00434A7D" w:rsidRPr="003E01AF">
        <w:rPr>
          <w:rFonts w:ascii="Arial" w:hAnsi="Arial" w:cs="Arial"/>
        </w:rPr>
        <w:t xml:space="preserve"> </w:t>
      </w:r>
      <w:r w:rsidRPr="003E01AF">
        <w:rPr>
          <w:rFonts w:ascii="Arial" w:hAnsi="Arial" w:cs="Arial"/>
        </w:rPr>
        <w:t xml:space="preserve"> In addition, </w:t>
      </w:r>
      <w:r w:rsidR="00434A7D" w:rsidRPr="003E01AF">
        <w:rPr>
          <w:rFonts w:ascii="Arial" w:hAnsi="Arial" w:cs="Arial"/>
        </w:rPr>
        <w:t>respondents</w:t>
      </w:r>
      <w:r w:rsidRPr="003E01AF">
        <w:rPr>
          <w:rFonts w:ascii="Arial" w:hAnsi="Arial" w:cs="Arial"/>
        </w:rPr>
        <w:t xml:space="preserve"> suffering from respiratory conditions (or other conditions that are thought to be a result of an airborne hazard) may recall differently than those who are not suffering from the outcomes of interest in an effort to find a reason for their illness. </w:t>
      </w:r>
      <w:r w:rsidR="005D625F" w:rsidRPr="003E01AF">
        <w:rPr>
          <w:rFonts w:ascii="Arial" w:hAnsi="Arial" w:cs="Arial"/>
        </w:rPr>
        <w:t xml:space="preserve"> </w:t>
      </w:r>
      <w:r w:rsidRPr="003E01AF">
        <w:rPr>
          <w:rFonts w:ascii="Arial" w:hAnsi="Arial" w:cs="Arial"/>
        </w:rPr>
        <w:t xml:space="preserve">This can lead to differential misclassification of exposure and outcome.  </w:t>
      </w:r>
    </w:p>
    <w:p w14:paraId="5DAD3505" w14:textId="77777777" w:rsidR="00536A11" w:rsidRPr="003E01AF" w:rsidRDefault="00536A11">
      <w:pPr>
        <w:tabs>
          <w:tab w:val="left" w:pos="547"/>
          <w:tab w:val="left" w:pos="1080"/>
          <w:tab w:val="left" w:pos="1627"/>
          <w:tab w:val="left" w:pos="2160"/>
          <w:tab w:val="left" w:pos="2880"/>
        </w:tabs>
        <w:rPr>
          <w:rFonts w:ascii="Arial" w:hAnsi="Arial" w:cs="Arial"/>
        </w:rPr>
      </w:pPr>
    </w:p>
    <w:sectPr w:rsidR="00536A11" w:rsidRPr="003E01AF" w:rsidSect="00611D21">
      <w:headerReference w:type="even" r:id="rId12"/>
      <w:headerReference w:type="default" r:id="rId13"/>
      <w:footerReference w:type="default" r:id="rId14"/>
      <w:headerReference w:type="first" r:id="rId15"/>
      <w:footerReference w:type="first" r:id="rId16"/>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2CC09" w14:textId="77777777" w:rsidR="00523201" w:rsidRDefault="00523201">
      <w:r>
        <w:separator/>
      </w:r>
    </w:p>
  </w:endnote>
  <w:endnote w:type="continuationSeparator" w:id="0">
    <w:p w14:paraId="298FEEB7" w14:textId="77777777" w:rsidR="00523201" w:rsidRDefault="0052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E093" w14:textId="7A4049AD" w:rsidR="00986369" w:rsidRDefault="0098636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B47F4F">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FF024" w14:textId="02B37DA3" w:rsidR="00986369" w:rsidRDefault="0098636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FB63FC">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07501" w14:textId="77777777" w:rsidR="00523201" w:rsidRDefault="00523201">
      <w:r>
        <w:separator/>
      </w:r>
    </w:p>
  </w:footnote>
  <w:footnote w:type="continuationSeparator" w:id="0">
    <w:p w14:paraId="0B579572" w14:textId="77777777" w:rsidR="00523201" w:rsidRDefault="00523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657E5" w14:textId="6C49DD44" w:rsidR="00986369" w:rsidRDefault="00986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2592" w14:textId="68BA6320" w:rsidR="00986369" w:rsidRDefault="00986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801C" w14:textId="5015B83D" w:rsidR="00986369" w:rsidRDefault="009863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3A9"/>
    <w:multiLevelType w:val="hybridMultilevel"/>
    <w:tmpl w:val="1472A0D4"/>
    <w:lvl w:ilvl="0" w:tplc="F93C0E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427B6B"/>
    <w:multiLevelType w:val="hybridMultilevel"/>
    <w:tmpl w:val="569CF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0C717B87"/>
    <w:multiLevelType w:val="multilevel"/>
    <w:tmpl w:val="54F0D5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11691666"/>
    <w:multiLevelType w:val="hybridMultilevel"/>
    <w:tmpl w:val="FE188B88"/>
    <w:lvl w:ilvl="0" w:tplc="F93C0E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692D31"/>
    <w:multiLevelType w:val="hybridMultilevel"/>
    <w:tmpl w:val="D464BE04"/>
    <w:lvl w:ilvl="0" w:tplc="4CA238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D2AF1"/>
    <w:multiLevelType w:val="hybridMultilevel"/>
    <w:tmpl w:val="89C026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50C6A"/>
    <w:multiLevelType w:val="hybridMultilevel"/>
    <w:tmpl w:val="F5EE33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9">
    <w:nsid w:val="26FB21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D4772D"/>
    <w:multiLevelType w:val="hybridMultilevel"/>
    <w:tmpl w:val="B8A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D4500"/>
    <w:multiLevelType w:val="hybridMultilevel"/>
    <w:tmpl w:val="BE66023C"/>
    <w:lvl w:ilvl="0" w:tplc="7B38A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1698E"/>
    <w:multiLevelType w:val="hybridMultilevel"/>
    <w:tmpl w:val="441E7EDE"/>
    <w:lvl w:ilvl="0" w:tplc="2D5474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4454D29"/>
    <w:multiLevelType w:val="hybridMultilevel"/>
    <w:tmpl w:val="E226594E"/>
    <w:lvl w:ilvl="0" w:tplc="F93C0E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670A51"/>
    <w:multiLevelType w:val="hybridMultilevel"/>
    <w:tmpl w:val="E09EC2D4"/>
    <w:lvl w:ilvl="0" w:tplc="F93C0E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1B2CBE"/>
    <w:multiLevelType w:val="hybridMultilevel"/>
    <w:tmpl w:val="A6FEFA3A"/>
    <w:lvl w:ilvl="0" w:tplc="12D85CD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1B050D"/>
    <w:multiLevelType w:val="hybridMultilevel"/>
    <w:tmpl w:val="ED14A5DE"/>
    <w:lvl w:ilvl="0" w:tplc="BE0A24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7A25AB"/>
    <w:multiLevelType w:val="multilevel"/>
    <w:tmpl w:val="0B9A77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7E13781"/>
    <w:multiLevelType w:val="hybridMultilevel"/>
    <w:tmpl w:val="1D12968E"/>
    <w:lvl w:ilvl="0" w:tplc="CEE857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A0C75DB"/>
    <w:multiLevelType w:val="hybridMultilevel"/>
    <w:tmpl w:val="D4569E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2"/>
  </w:num>
  <w:num w:numId="4">
    <w:abstractNumId w:val="12"/>
  </w:num>
  <w:num w:numId="5">
    <w:abstractNumId w:val="20"/>
  </w:num>
  <w:num w:numId="6">
    <w:abstractNumId w:val="1"/>
  </w:num>
  <w:num w:numId="7">
    <w:abstractNumId w:val="5"/>
  </w:num>
  <w:num w:numId="8">
    <w:abstractNumId w:val="1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6"/>
  </w:num>
  <w:num w:numId="13">
    <w:abstractNumId w:val="17"/>
  </w:num>
  <w:num w:numId="14">
    <w:abstractNumId w:val="6"/>
  </w:num>
  <w:num w:numId="15">
    <w:abstractNumId w:val="19"/>
  </w:num>
  <w:num w:numId="16">
    <w:abstractNumId w:val="7"/>
  </w:num>
  <w:num w:numId="17">
    <w:abstractNumId w:val="11"/>
  </w:num>
  <w:num w:numId="18">
    <w:abstractNumId w:val="4"/>
  </w:num>
  <w:num w:numId="19">
    <w:abstractNumId w:val="14"/>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166F4"/>
    <w:rsid w:val="0002119C"/>
    <w:rsid w:val="00035B46"/>
    <w:rsid w:val="00041526"/>
    <w:rsid w:val="00046901"/>
    <w:rsid w:val="000564D3"/>
    <w:rsid w:val="00056B5A"/>
    <w:rsid w:val="00063F3C"/>
    <w:rsid w:val="00066BFE"/>
    <w:rsid w:val="00067B56"/>
    <w:rsid w:val="00092F59"/>
    <w:rsid w:val="0009405D"/>
    <w:rsid w:val="00094C6E"/>
    <w:rsid w:val="00097741"/>
    <w:rsid w:val="000A5322"/>
    <w:rsid w:val="000A784D"/>
    <w:rsid w:val="000B184C"/>
    <w:rsid w:val="000C29D8"/>
    <w:rsid w:val="000C2B14"/>
    <w:rsid w:val="000C3583"/>
    <w:rsid w:val="000D5D9D"/>
    <w:rsid w:val="000D756D"/>
    <w:rsid w:val="000F022F"/>
    <w:rsid w:val="000F0ED8"/>
    <w:rsid w:val="00101D11"/>
    <w:rsid w:val="00102CA8"/>
    <w:rsid w:val="001178A8"/>
    <w:rsid w:val="00124D71"/>
    <w:rsid w:val="00133C89"/>
    <w:rsid w:val="00133E0C"/>
    <w:rsid w:val="001362EC"/>
    <w:rsid w:val="00140CF1"/>
    <w:rsid w:val="00141E9A"/>
    <w:rsid w:val="001437A4"/>
    <w:rsid w:val="00171B19"/>
    <w:rsid w:val="00173D3E"/>
    <w:rsid w:val="00177F60"/>
    <w:rsid w:val="00194046"/>
    <w:rsid w:val="001A05E0"/>
    <w:rsid w:val="001A64C7"/>
    <w:rsid w:val="001B0657"/>
    <w:rsid w:val="001B2CBB"/>
    <w:rsid w:val="001C7D79"/>
    <w:rsid w:val="001D1D56"/>
    <w:rsid w:val="001D2BBC"/>
    <w:rsid w:val="001E0EF2"/>
    <w:rsid w:val="001E33FD"/>
    <w:rsid w:val="001F0550"/>
    <w:rsid w:val="001F27AE"/>
    <w:rsid w:val="001F3FB3"/>
    <w:rsid w:val="002054DD"/>
    <w:rsid w:val="00210243"/>
    <w:rsid w:val="002163C3"/>
    <w:rsid w:val="00221D55"/>
    <w:rsid w:val="00227262"/>
    <w:rsid w:val="0023193B"/>
    <w:rsid w:val="0023215A"/>
    <w:rsid w:val="002379B1"/>
    <w:rsid w:val="00242BF0"/>
    <w:rsid w:val="002454A0"/>
    <w:rsid w:val="00246572"/>
    <w:rsid w:val="00246646"/>
    <w:rsid w:val="0025306C"/>
    <w:rsid w:val="00262394"/>
    <w:rsid w:val="00267BB9"/>
    <w:rsid w:val="002748E0"/>
    <w:rsid w:val="00280274"/>
    <w:rsid w:val="002A5259"/>
    <w:rsid w:val="002A65F0"/>
    <w:rsid w:val="002A70A6"/>
    <w:rsid w:val="002A7CB3"/>
    <w:rsid w:val="002B040C"/>
    <w:rsid w:val="002B53A6"/>
    <w:rsid w:val="002C4F10"/>
    <w:rsid w:val="002D63BC"/>
    <w:rsid w:val="002E11D2"/>
    <w:rsid w:val="00301F6D"/>
    <w:rsid w:val="00305CE7"/>
    <w:rsid w:val="003144EB"/>
    <w:rsid w:val="0032240F"/>
    <w:rsid w:val="00326682"/>
    <w:rsid w:val="00353971"/>
    <w:rsid w:val="00362F17"/>
    <w:rsid w:val="00384850"/>
    <w:rsid w:val="003A1F7C"/>
    <w:rsid w:val="003A6E39"/>
    <w:rsid w:val="003C0174"/>
    <w:rsid w:val="003C05CC"/>
    <w:rsid w:val="003C2233"/>
    <w:rsid w:val="003E01AF"/>
    <w:rsid w:val="003F7085"/>
    <w:rsid w:val="0040647F"/>
    <w:rsid w:val="00407746"/>
    <w:rsid w:val="0041002E"/>
    <w:rsid w:val="00417956"/>
    <w:rsid w:val="00426787"/>
    <w:rsid w:val="00433884"/>
    <w:rsid w:val="0043414F"/>
    <w:rsid w:val="00434A7D"/>
    <w:rsid w:val="00435D66"/>
    <w:rsid w:val="004375D3"/>
    <w:rsid w:val="00444309"/>
    <w:rsid w:val="004618DE"/>
    <w:rsid w:val="00467431"/>
    <w:rsid w:val="0048017B"/>
    <w:rsid w:val="004825EB"/>
    <w:rsid w:val="00482F63"/>
    <w:rsid w:val="00483680"/>
    <w:rsid w:val="00485018"/>
    <w:rsid w:val="00485CE6"/>
    <w:rsid w:val="00486027"/>
    <w:rsid w:val="00490CB8"/>
    <w:rsid w:val="00493A54"/>
    <w:rsid w:val="004954E4"/>
    <w:rsid w:val="004B6254"/>
    <w:rsid w:val="004D147F"/>
    <w:rsid w:val="004E7356"/>
    <w:rsid w:val="004F0DF1"/>
    <w:rsid w:val="004F139B"/>
    <w:rsid w:val="00503DE2"/>
    <w:rsid w:val="00505561"/>
    <w:rsid w:val="005115E5"/>
    <w:rsid w:val="00513E92"/>
    <w:rsid w:val="005178AF"/>
    <w:rsid w:val="00523201"/>
    <w:rsid w:val="00526150"/>
    <w:rsid w:val="00536A11"/>
    <w:rsid w:val="0054255C"/>
    <w:rsid w:val="0054487A"/>
    <w:rsid w:val="00553136"/>
    <w:rsid w:val="005546F1"/>
    <w:rsid w:val="00556368"/>
    <w:rsid w:val="0056011D"/>
    <w:rsid w:val="00565C2C"/>
    <w:rsid w:val="005661C6"/>
    <w:rsid w:val="00570634"/>
    <w:rsid w:val="00581039"/>
    <w:rsid w:val="005A39F5"/>
    <w:rsid w:val="005B0504"/>
    <w:rsid w:val="005B2EE0"/>
    <w:rsid w:val="005B4808"/>
    <w:rsid w:val="005B71E2"/>
    <w:rsid w:val="005C4DFE"/>
    <w:rsid w:val="005D5EF6"/>
    <w:rsid w:val="005D60E1"/>
    <w:rsid w:val="005D625F"/>
    <w:rsid w:val="006020ED"/>
    <w:rsid w:val="00603F6A"/>
    <w:rsid w:val="00605E40"/>
    <w:rsid w:val="00611D21"/>
    <w:rsid w:val="006143CA"/>
    <w:rsid w:val="00620FDF"/>
    <w:rsid w:val="00622C82"/>
    <w:rsid w:val="00630A01"/>
    <w:rsid w:val="00635F3D"/>
    <w:rsid w:val="00640262"/>
    <w:rsid w:val="0064683C"/>
    <w:rsid w:val="0065386D"/>
    <w:rsid w:val="006747B7"/>
    <w:rsid w:val="00686DF9"/>
    <w:rsid w:val="00696BBC"/>
    <w:rsid w:val="006A12A0"/>
    <w:rsid w:val="006A3524"/>
    <w:rsid w:val="006A5DBA"/>
    <w:rsid w:val="006A63FB"/>
    <w:rsid w:val="006A7B9B"/>
    <w:rsid w:val="006B5CA0"/>
    <w:rsid w:val="006D05F2"/>
    <w:rsid w:val="006E2D5E"/>
    <w:rsid w:val="006E43AA"/>
    <w:rsid w:val="006F6ACA"/>
    <w:rsid w:val="00702B0F"/>
    <w:rsid w:val="00704789"/>
    <w:rsid w:val="007142A1"/>
    <w:rsid w:val="00717A54"/>
    <w:rsid w:val="007364FA"/>
    <w:rsid w:val="00736B78"/>
    <w:rsid w:val="00736FAD"/>
    <w:rsid w:val="00754BDC"/>
    <w:rsid w:val="00755578"/>
    <w:rsid w:val="00756489"/>
    <w:rsid w:val="0077215D"/>
    <w:rsid w:val="00776C85"/>
    <w:rsid w:val="00777D17"/>
    <w:rsid w:val="0078085A"/>
    <w:rsid w:val="00783823"/>
    <w:rsid w:val="007A158D"/>
    <w:rsid w:val="007A2152"/>
    <w:rsid w:val="007A521F"/>
    <w:rsid w:val="007B1E3A"/>
    <w:rsid w:val="007B3029"/>
    <w:rsid w:val="007B4122"/>
    <w:rsid w:val="007B422B"/>
    <w:rsid w:val="007B4B8B"/>
    <w:rsid w:val="007B627A"/>
    <w:rsid w:val="007C23F0"/>
    <w:rsid w:val="007C39AF"/>
    <w:rsid w:val="007C3A2C"/>
    <w:rsid w:val="007D632F"/>
    <w:rsid w:val="007E5426"/>
    <w:rsid w:val="007F16B0"/>
    <w:rsid w:val="007F1C5F"/>
    <w:rsid w:val="0080225C"/>
    <w:rsid w:val="008022D0"/>
    <w:rsid w:val="00804201"/>
    <w:rsid w:val="00811157"/>
    <w:rsid w:val="00817078"/>
    <w:rsid w:val="00820858"/>
    <w:rsid w:val="00821946"/>
    <w:rsid w:val="008265DC"/>
    <w:rsid w:val="00827B32"/>
    <w:rsid w:val="0083477C"/>
    <w:rsid w:val="0083563C"/>
    <w:rsid w:val="00837379"/>
    <w:rsid w:val="008508F5"/>
    <w:rsid w:val="0085170F"/>
    <w:rsid w:val="00852777"/>
    <w:rsid w:val="00857DF5"/>
    <w:rsid w:val="008618F0"/>
    <w:rsid w:val="00870E98"/>
    <w:rsid w:val="008712EE"/>
    <w:rsid w:val="0087683A"/>
    <w:rsid w:val="00882EF4"/>
    <w:rsid w:val="00886FD5"/>
    <w:rsid w:val="008910D9"/>
    <w:rsid w:val="00891DE5"/>
    <w:rsid w:val="0089682E"/>
    <w:rsid w:val="008A324C"/>
    <w:rsid w:val="008A65A3"/>
    <w:rsid w:val="008A7B20"/>
    <w:rsid w:val="008B02D3"/>
    <w:rsid w:val="008C103E"/>
    <w:rsid w:val="008C15FA"/>
    <w:rsid w:val="008C3916"/>
    <w:rsid w:val="008C5660"/>
    <w:rsid w:val="008D5A8A"/>
    <w:rsid w:val="008E4A13"/>
    <w:rsid w:val="008E5550"/>
    <w:rsid w:val="008F3243"/>
    <w:rsid w:val="008F3BE5"/>
    <w:rsid w:val="008F6B1E"/>
    <w:rsid w:val="0090193B"/>
    <w:rsid w:val="00906D79"/>
    <w:rsid w:val="009164EE"/>
    <w:rsid w:val="00926BAF"/>
    <w:rsid w:val="00931E3B"/>
    <w:rsid w:val="009336A2"/>
    <w:rsid w:val="00940108"/>
    <w:rsid w:val="00960878"/>
    <w:rsid w:val="0097111E"/>
    <w:rsid w:val="00972EDE"/>
    <w:rsid w:val="00986369"/>
    <w:rsid w:val="00987315"/>
    <w:rsid w:val="00990F35"/>
    <w:rsid w:val="009A6A66"/>
    <w:rsid w:val="009B32BE"/>
    <w:rsid w:val="009C233A"/>
    <w:rsid w:val="009C2C4E"/>
    <w:rsid w:val="009D1904"/>
    <w:rsid w:val="009D2F0E"/>
    <w:rsid w:val="009F1453"/>
    <w:rsid w:val="009F31FD"/>
    <w:rsid w:val="009F6B94"/>
    <w:rsid w:val="00A100A0"/>
    <w:rsid w:val="00A11391"/>
    <w:rsid w:val="00A113AB"/>
    <w:rsid w:val="00A118B0"/>
    <w:rsid w:val="00A12B61"/>
    <w:rsid w:val="00A20F65"/>
    <w:rsid w:val="00A2423D"/>
    <w:rsid w:val="00A265F9"/>
    <w:rsid w:val="00A317F4"/>
    <w:rsid w:val="00A319E5"/>
    <w:rsid w:val="00A3577D"/>
    <w:rsid w:val="00A37DED"/>
    <w:rsid w:val="00A4181B"/>
    <w:rsid w:val="00A43C87"/>
    <w:rsid w:val="00A55A08"/>
    <w:rsid w:val="00A55AFD"/>
    <w:rsid w:val="00A6249D"/>
    <w:rsid w:val="00A63C7F"/>
    <w:rsid w:val="00A65A10"/>
    <w:rsid w:val="00A708AC"/>
    <w:rsid w:val="00A7283F"/>
    <w:rsid w:val="00A77A80"/>
    <w:rsid w:val="00A80E8D"/>
    <w:rsid w:val="00A80F37"/>
    <w:rsid w:val="00A9289A"/>
    <w:rsid w:val="00A9516A"/>
    <w:rsid w:val="00AA310D"/>
    <w:rsid w:val="00AB273F"/>
    <w:rsid w:val="00AB641F"/>
    <w:rsid w:val="00AC1F5B"/>
    <w:rsid w:val="00AC626B"/>
    <w:rsid w:val="00AC6772"/>
    <w:rsid w:val="00AD1FF5"/>
    <w:rsid w:val="00AD304F"/>
    <w:rsid w:val="00AD63C9"/>
    <w:rsid w:val="00AE459B"/>
    <w:rsid w:val="00B12E10"/>
    <w:rsid w:val="00B16AAF"/>
    <w:rsid w:val="00B2369C"/>
    <w:rsid w:val="00B26374"/>
    <w:rsid w:val="00B33477"/>
    <w:rsid w:val="00B3790D"/>
    <w:rsid w:val="00B401BB"/>
    <w:rsid w:val="00B43CE9"/>
    <w:rsid w:val="00B44EF2"/>
    <w:rsid w:val="00B47D0D"/>
    <w:rsid w:val="00B47F4F"/>
    <w:rsid w:val="00B6375C"/>
    <w:rsid w:val="00B7712A"/>
    <w:rsid w:val="00B83E19"/>
    <w:rsid w:val="00B9026F"/>
    <w:rsid w:val="00BA4B08"/>
    <w:rsid w:val="00BA519E"/>
    <w:rsid w:val="00BA705D"/>
    <w:rsid w:val="00BB1CF6"/>
    <w:rsid w:val="00BC37C1"/>
    <w:rsid w:val="00BC4BC7"/>
    <w:rsid w:val="00BC63BC"/>
    <w:rsid w:val="00BC7CB8"/>
    <w:rsid w:val="00BE2995"/>
    <w:rsid w:val="00BF04DD"/>
    <w:rsid w:val="00BF4631"/>
    <w:rsid w:val="00BF5767"/>
    <w:rsid w:val="00C027B2"/>
    <w:rsid w:val="00C059DB"/>
    <w:rsid w:val="00C10B99"/>
    <w:rsid w:val="00C229E9"/>
    <w:rsid w:val="00C31CC4"/>
    <w:rsid w:val="00C36879"/>
    <w:rsid w:val="00C37423"/>
    <w:rsid w:val="00C37C2F"/>
    <w:rsid w:val="00C4133C"/>
    <w:rsid w:val="00C44462"/>
    <w:rsid w:val="00C4634C"/>
    <w:rsid w:val="00C53083"/>
    <w:rsid w:val="00C62BC4"/>
    <w:rsid w:val="00C73E38"/>
    <w:rsid w:val="00C8633E"/>
    <w:rsid w:val="00C92578"/>
    <w:rsid w:val="00C95181"/>
    <w:rsid w:val="00CA2D67"/>
    <w:rsid w:val="00CA585B"/>
    <w:rsid w:val="00CA6834"/>
    <w:rsid w:val="00CB06A2"/>
    <w:rsid w:val="00CC24ED"/>
    <w:rsid w:val="00CC31BD"/>
    <w:rsid w:val="00CD27EA"/>
    <w:rsid w:val="00CD3D2F"/>
    <w:rsid w:val="00CD4EC5"/>
    <w:rsid w:val="00CD6329"/>
    <w:rsid w:val="00CE26AB"/>
    <w:rsid w:val="00CF7CD7"/>
    <w:rsid w:val="00CF7F2D"/>
    <w:rsid w:val="00D01EFF"/>
    <w:rsid w:val="00D03A4A"/>
    <w:rsid w:val="00D12AD1"/>
    <w:rsid w:val="00D167FC"/>
    <w:rsid w:val="00D22E94"/>
    <w:rsid w:val="00D32F54"/>
    <w:rsid w:val="00D40265"/>
    <w:rsid w:val="00D411D1"/>
    <w:rsid w:val="00D41D1D"/>
    <w:rsid w:val="00D461D7"/>
    <w:rsid w:val="00D546A2"/>
    <w:rsid w:val="00D55201"/>
    <w:rsid w:val="00D57927"/>
    <w:rsid w:val="00D636D4"/>
    <w:rsid w:val="00D737A0"/>
    <w:rsid w:val="00D74074"/>
    <w:rsid w:val="00D74F9C"/>
    <w:rsid w:val="00D770C6"/>
    <w:rsid w:val="00D84E7B"/>
    <w:rsid w:val="00D876FB"/>
    <w:rsid w:val="00DA0190"/>
    <w:rsid w:val="00DA2785"/>
    <w:rsid w:val="00DA38CB"/>
    <w:rsid w:val="00DB0739"/>
    <w:rsid w:val="00DB0775"/>
    <w:rsid w:val="00DB211C"/>
    <w:rsid w:val="00DB5935"/>
    <w:rsid w:val="00DC0BAA"/>
    <w:rsid w:val="00DC13F8"/>
    <w:rsid w:val="00DC3FFE"/>
    <w:rsid w:val="00DD2B43"/>
    <w:rsid w:val="00DD765A"/>
    <w:rsid w:val="00DE2897"/>
    <w:rsid w:val="00DE63A5"/>
    <w:rsid w:val="00E03D90"/>
    <w:rsid w:val="00E05CFE"/>
    <w:rsid w:val="00E066D2"/>
    <w:rsid w:val="00E10A39"/>
    <w:rsid w:val="00E127A0"/>
    <w:rsid w:val="00E32E2F"/>
    <w:rsid w:val="00E35B5A"/>
    <w:rsid w:val="00E402ED"/>
    <w:rsid w:val="00E45C85"/>
    <w:rsid w:val="00E52F5C"/>
    <w:rsid w:val="00E54B55"/>
    <w:rsid w:val="00E6326A"/>
    <w:rsid w:val="00E63B0C"/>
    <w:rsid w:val="00E75409"/>
    <w:rsid w:val="00E825BF"/>
    <w:rsid w:val="00E868F4"/>
    <w:rsid w:val="00E94A68"/>
    <w:rsid w:val="00E96D18"/>
    <w:rsid w:val="00EA12FB"/>
    <w:rsid w:val="00EC71F2"/>
    <w:rsid w:val="00EC7F0B"/>
    <w:rsid w:val="00ED1DEA"/>
    <w:rsid w:val="00EE12CD"/>
    <w:rsid w:val="00F02429"/>
    <w:rsid w:val="00F147AB"/>
    <w:rsid w:val="00F239F8"/>
    <w:rsid w:val="00F25C09"/>
    <w:rsid w:val="00F2751C"/>
    <w:rsid w:val="00F35D38"/>
    <w:rsid w:val="00F36EDC"/>
    <w:rsid w:val="00F4346C"/>
    <w:rsid w:val="00F4388E"/>
    <w:rsid w:val="00F4687D"/>
    <w:rsid w:val="00F56129"/>
    <w:rsid w:val="00F606B9"/>
    <w:rsid w:val="00F6088C"/>
    <w:rsid w:val="00F61DDC"/>
    <w:rsid w:val="00F7536F"/>
    <w:rsid w:val="00F7585B"/>
    <w:rsid w:val="00F758B8"/>
    <w:rsid w:val="00F764B9"/>
    <w:rsid w:val="00F82FD2"/>
    <w:rsid w:val="00F8438D"/>
    <w:rsid w:val="00F90B61"/>
    <w:rsid w:val="00FA383E"/>
    <w:rsid w:val="00FA5B40"/>
    <w:rsid w:val="00FB6120"/>
    <w:rsid w:val="00FB63FC"/>
    <w:rsid w:val="00FC0754"/>
    <w:rsid w:val="00FD57D1"/>
    <w:rsid w:val="00FE0E76"/>
    <w:rsid w:val="00FE3980"/>
    <w:rsid w:val="00FE3FFB"/>
    <w:rsid w:val="00FF5FD0"/>
    <w:rsid w:val="00FF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02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21"/>
    <w:rPr>
      <w:sz w:val="24"/>
      <w:szCs w:val="24"/>
    </w:rPr>
  </w:style>
  <w:style w:type="paragraph" w:styleId="Heading1">
    <w:name w:val="heading 1"/>
    <w:basedOn w:val="Normal"/>
    <w:next w:val="Normal"/>
    <w:qFormat/>
    <w:rsid w:val="00611D21"/>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link w:val="Heading2Char"/>
    <w:qFormat/>
    <w:rsid w:val="00611D2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link w:val="Heading3Char"/>
    <w:semiHidden/>
    <w:unhideWhenUsed/>
    <w:qFormat/>
    <w:rsid w:val="008A7B2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611D2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rsid w:val="00611D21"/>
    <w:pPr>
      <w:tabs>
        <w:tab w:val="center" w:pos="4320"/>
        <w:tab w:val="right" w:pos="8640"/>
      </w:tabs>
    </w:pPr>
    <w:rPr>
      <w:sz w:val="20"/>
      <w:szCs w:val="20"/>
    </w:rPr>
  </w:style>
  <w:style w:type="paragraph" w:styleId="BodyText">
    <w:name w:val="Body Text"/>
    <w:basedOn w:val="Normal"/>
    <w:rsid w:val="00611D2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611D21"/>
    <w:rPr>
      <w:color w:val="0000FF"/>
      <w:u w:val="single"/>
    </w:rPr>
  </w:style>
  <w:style w:type="paragraph" w:styleId="BodyText3">
    <w:name w:val="Body Text 3"/>
    <w:basedOn w:val="Normal"/>
    <w:rsid w:val="00611D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uiPriority w:val="99"/>
    <w:rsid w:val="00611D21"/>
  </w:style>
  <w:style w:type="paragraph" w:styleId="Footer">
    <w:name w:val="footer"/>
    <w:basedOn w:val="Normal"/>
    <w:link w:val="FooterChar"/>
    <w:uiPriority w:val="99"/>
    <w:rsid w:val="00611D21"/>
    <w:pPr>
      <w:tabs>
        <w:tab w:val="center" w:pos="4320"/>
        <w:tab w:val="right" w:pos="8640"/>
      </w:tabs>
    </w:pPr>
    <w:rPr>
      <w:sz w:val="20"/>
      <w:szCs w:val="20"/>
    </w:rPr>
  </w:style>
  <w:style w:type="paragraph" w:customStyle="1" w:styleId="OmniPage2305">
    <w:name w:val="OmniPage #2305"/>
    <w:rsid w:val="00611D21"/>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sid w:val="006A3524"/>
  </w:style>
  <w:style w:type="paragraph" w:styleId="BalloonText">
    <w:name w:val="Balloon Text"/>
    <w:basedOn w:val="Normal"/>
    <w:link w:val="BalloonTextChar"/>
    <w:rsid w:val="00BA4B08"/>
    <w:rPr>
      <w:rFonts w:ascii="Tahoma" w:hAnsi="Tahoma" w:cs="Tahoma"/>
      <w:sz w:val="16"/>
      <w:szCs w:val="16"/>
    </w:rPr>
  </w:style>
  <w:style w:type="character" w:customStyle="1" w:styleId="BalloonTextChar">
    <w:name w:val="Balloon Text Char"/>
    <w:basedOn w:val="DefaultParagraphFont"/>
    <w:link w:val="BalloonText"/>
    <w:rsid w:val="00BA4B08"/>
    <w:rPr>
      <w:rFonts w:ascii="Tahoma" w:hAnsi="Tahoma" w:cs="Tahoma"/>
      <w:sz w:val="16"/>
      <w:szCs w:val="16"/>
    </w:rPr>
  </w:style>
  <w:style w:type="character" w:styleId="FollowedHyperlink">
    <w:name w:val="FollowedHyperlink"/>
    <w:basedOn w:val="DefaultParagraphFont"/>
    <w:rsid w:val="00486027"/>
    <w:rPr>
      <w:color w:val="800080" w:themeColor="followedHyperlink"/>
      <w:u w:val="single"/>
    </w:rPr>
  </w:style>
  <w:style w:type="paragraph" w:styleId="ListParagraph">
    <w:name w:val="List Paragraph"/>
    <w:basedOn w:val="Normal"/>
    <w:link w:val="ListParagraphChar"/>
    <w:uiPriority w:val="34"/>
    <w:qFormat/>
    <w:rsid w:val="00CC31BD"/>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CC31BD"/>
    <w:rPr>
      <w:sz w:val="22"/>
      <w:szCs w:val="22"/>
    </w:rPr>
  </w:style>
  <w:style w:type="character" w:styleId="CommentReference">
    <w:name w:val="annotation reference"/>
    <w:rsid w:val="00CC31BD"/>
    <w:rPr>
      <w:sz w:val="16"/>
      <w:szCs w:val="16"/>
    </w:rPr>
  </w:style>
  <w:style w:type="paragraph" w:styleId="CommentText">
    <w:name w:val="annotation text"/>
    <w:basedOn w:val="Normal"/>
    <w:link w:val="CommentTextChar"/>
    <w:rsid w:val="00CC31BD"/>
    <w:rPr>
      <w:sz w:val="20"/>
      <w:szCs w:val="20"/>
    </w:rPr>
  </w:style>
  <w:style w:type="character" w:customStyle="1" w:styleId="CommentTextChar">
    <w:name w:val="Comment Text Char"/>
    <w:basedOn w:val="DefaultParagraphFont"/>
    <w:link w:val="CommentText"/>
    <w:rsid w:val="00CC31BD"/>
  </w:style>
  <w:style w:type="paragraph" w:customStyle="1" w:styleId="DecimalAligned">
    <w:name w:val="Decimal Aligned"/>
    <w:basedOn w:val="Normal"/>
    <w:uiPriority w:val="40"/>
    <w:qFormat/>
    <w:rsid w:val="00CC31BD"/>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CC31BD"/>
    <w:rPr>
      <w:rFonts w:ascii="Calibri" w:eastAsia="MS Mincho" w:hAnsi="Calibri" w:cs="Arial"/>
      <w:sz w:val="20"/>
      <w:szCs w:val="20"/>
      <w:lang w:eastAsia="ja-JP"/>
    </w:rPr>
  </w:style>
  <w:style w:type="character" w:customStyle="1" w:styleId="FootnoteTextChar">
    <w:name w:val="Footnote Text Char"/>
    <w:basedOn w:val="DefaultParagraphFont"/>
    <w:link w:val="FootnoteText"/>
    <w:uiPriority w:val="99"/>
    <w:rsid w:val="00CC31BD"/>
    <w:rPr>
      <w:rFonts w:ascii="Calibri" w:eastAsia="MS Mincho" w:hAnsi="Calibri" w:cs="Arial"/>
      <w:lang w:eastAsia="ja-JP"/>
    </w:rPr>
  </w:style>
  <w:style w:type="character" w:styleId="SubtleEmphasis">
    <w:name w:val="Subtle Emphasis"/>
    <w:uiPriority w:val="19"/>
    <w:qFormat/>
    <w:rsid w:val="00CC31BD"/>
    <w:rPr>
      <w:i/>
      <w:iCs/>
      <w:color w:val="000000"/>
    </w:rPr>
  </w:style>
  <w:style w:type="character" w:customStyle="1" w:styleId="HeaderChar">
    <w:name w:val="Header Char"/>
    <w:link w:val="Header"/>
    <w:rsid w:val="00CC31BD"/>
  </w:style>
  <w:style w:type="paragraph" w:styleId="CommentSubject">
    <w:name w:val="annotation subject"/>
    <w:basedOn w:val="CommentText"/>
    <w:next w:val="CommentText"/>
    <w:link w:val="CommentSubjectChar"/>
    <w:rsid w:val="00CF7CD7"/>
    <w:rPr>
      <w:b/>
      <w:bCs/>
    </w:rPr>
  </w:style>
  <w:style w:type="character" w:customStyle="1" w:styleId="CommentSubjectChar">
    <w:name w:val="Comment Subject Char"/>
    <w:basedOn w:val="CommentTextChar"/>
    <w:link w:val="CommentSubject"/>
    <w:rsid w:val="00CF7CD7"/>
    <w:rPr>
      <w:b/>
      <w:bCs/>
    </w:rPr>
  </w:style>
  <w:style w:type="paragraph" w:styleId="Revision">
    <w:name w:val="Revision"/>
    <w:hidden/>
    <w:uiPriority w:val="99"/>
    <w:semiHidden/>
    <w:rsid w:val="00BC7CB8"/>
    <w:rPr>
      <w:sz w:val="24"/>
      <w:szCs w:val="24"/>
    </w:rPr>
  </w:style>
  <w:style w:type="character" w:customStyle="1" w:styleId="Heading2Char">
    <w:name w:val="Heading 2 Char"/>
    <w:basedOn w:val="DefaultParagraphFont"/>
    <w:link w:val="Heading2"/>
    <w:uiPriority w:val="9"/>
    <w:rsid w:val="008A7B20"/>
    <w:rPr>
      <w:b/>
      <w:sz w:val="24"/>
    </w:rPr>
  </w:style>
  <w:style w:type="character" w:customStyle="1" w:styleId="Heading3Char">
    <w:name w:val="Heading 3 Char"/>
    <w:basedOn w:val="DefaultParagraphFont"/>
    <w:link w:val="Heading3"/>
    <w:semiHidden/>
    <w:rsid w:val="008A7B2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D21"/>
    <w:rPr>
      <w:sz w:val="24"/>
      <w:szCs w:val="24"/>
    </w:rPr>
  </w:style>
  <w:style w:type="paragraph" w:styleId="Heading1">
    <w:name w:val="heading 1"/>
    <w:basedOn w:val="Normal"/>
    <w:next w:val="Normal"/>
    <w:qFormat/>
    <w:rsid w:val="00611D21"/>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link w:val="Heading2Char"/>
    <w:qFormat/>
    <w:rsid w:val="00611D2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link w:val="Heading3Char"/>
    <w:semiHidden/>
    <w:unhideWhenUsed/>
    <w:qFormat/>
    <w:rsid w:val="008A7B2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611D2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link w:val="HeaderChar"/>
    <w:rsid w:val="00611D21"/>
    <w:pPr>
      <w:tabs>
        <w:tab w:val="center" w:pos="4320"/>
        <w:tab w:val="right" w:pos="8640"/>
      </w:tabs>
    </w:pPr>
    <w:rPr>
      <w:sz w:val="20"/>
      <w:szCs w:val="20"/>
    </w:rPr>
  </w:style>
  <w:style w:type="paragraph" w:styleId="BodyText">
    <w:name w:val="Body Text"/>
    <w:basedOn w:val="Normal"/>
    <w:rsid w:val="00611D2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611D21"/>
    <w:rPr>
      <w:color w:val="0000FF"/>
      <w:u w:val="single"/>
    </w:rPr>
  </w:style>
  <w:style w:type="paragraph" w:styleId="BodyText3">
    <w:name w:val="Body Text 3"/>
    <w:basedOn w:val="Normal"/>
    <w:rsid w:val="00611D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uiPriority w:val="99"/>
    <w:rsid w:val="00611D21"/>
  </w:style>
  <w:style w:type="paragraph" w:styleId="Footer">
    <w:name w:val="footer"/>
    <w:basedOn w:val="Normal"/>
    <w:link w:val="FooterChar"/>
    <w:uiPriority w:val="99"/>
    <w:rsid w:val="00611D21"/>
    <w:pPr>
      <w:tabs>
        <w:tab w:val="center" w:pos="4320"/>
        <w:tab w:val="right" w:pos="8640"/>
      </w:tabs>
    </w:pPr>
    <w:rPr>
      <w:sz w:val="20"/>
      <w:szCs w:val="20"/>
    </w:rPr>
  </w:style>
  <w:style w:type="paragraph" w:customStyle="1" w:styleId="OmniPage2305">
    <w:name w:val="OmniPage #2305"/>
    <w:rsid w:val="00611D21"/>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sid w:val="006A3524"/>
  </w:style>
  <w:style w:type="paragraph" w:styleId="BalloonText">
    <w:name w:val="Balloon Text"/>
    <w:basedOn w:val="Normal"/>
    <w:link w:val="BalloonTextChar"/>
    <w:rsid w:val="00BA4B08"/>
    <w:rPr>
      <w:rFonts w:ascii="Tahoma" w:hAnsi="Tahoma" w:cs="Tahoma"/>
      <w:sz w:val="16"/>
      <w:szCs w:val="16"/>
    </w:rPr>
  </w:style>
  <w:style w:type="character" w:customStyle="1" w:styleId="BalloonTextChar">
    <w:name w:val="Balloon Text Char"/>
    <w:basedOn w:val="DefaultParagraphFont"/>
    <w:link w:val="BalloonText"/>
    <w:rsid w:val="00BA4B08"/>
    <w:rPr>
      <w:rFonts w:ascii="Tahoma" w:hAnsi="Tahoma" w:cs="Tahoma"/>
      <w:sz w:val="16"/>
      <w:szCs w:val="16"/>
    </w:rPr>
  </w:style>
  <w:style w:type="character" w:styleId="FollowedHyperlink">
    <w:name w:val="FollowedHyperlink"/>
    <w:basedOn w:val="DefaultParagraphFont"/>
    <w:rsid w:val="00486027"/>
    <w:rPr>
      <w:color w:val="800080" w:themeColor="followedHyperlink"/>
      <w:u w:val="single"/>
    </w:rPr>
  </w:style>
  <w:style w:type="paragraph" w:styleId="ListParagraph">
    <w:name w:val="List Paragraph"/>
    <w:basedOn w:val="Normal"/>
    <w:link w:val="ListParagraphChar"/>
    <w:uiPriority w:val="34"/>
    <w:qFormat/>
    <w:rsid w:val="00CC31BD"/>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CC31BD"/>
    <w:rPr>
      <w:sz w:val="22"/>
      <w:szCs w:val="22"/>
    </w:rPr>
  </w:style>
  <w:style w:type="character" w:styleId="CommentReference">
    <w:name w:val="annotation reference"/>
    <w:rsid w:val="00CC31BD"/>
    <w:rPr>
      <w:sz w:val="16"/>
      <w:szCs w:val="16"/>
    </w:rPr>
  </w:style>
  <w:style w:type="paragraph" w:styleId="CommentText">
    <w:name w:val="annotation text"/>
    <w:basedOn w:val="Normal"/>
    <w:link w:val="CommentTextChar"/>
    <w:rsid w:val="00CC31BD"/>
    <w:rPr>
      <w:sz w:val="20"/>
      <w:szCs w:val="20"/>
    </w:rPr>
  </w:style>
  <w:style w:type="character" w:customStyle="1" w:styleId="CommentTextChar">
    <w:name w:val="Comment Text Char"/>
    <w:basedOn w:val="DefaultParagraphFont"/>
    <w:link w:val="CommentText"/>
    <w:rsid w:val="00CC31BD"/>
  </w:style>
  <w:style w:type="paragraph" w:customStyle="1" w:styleId="DecimalAligned">
    <w:name w:val="Decimal Aligned"/>
    <w:basedOn w:val="Normal"/>
    <w:uiPriority w:val="40"/>
    <w:qFormat/>
    <w:rsid w:val="00CC31BD"/>
    <w:pPr>
      <w:tabs>
        <w:tab w:val="decimal" w:pos="360"/>
      </w:tabs>
      <w:spacing w:after="200" w:line="276" w:lineRule="auto"/>
    </w:pPr>
    <w:rPr>
      <w:rFonts w:ascii="Calibri" w:eastAsia="Calibri" w:hAnsi="Calibri" w:cs="Arial"/>
      <w:sz w:val="22"/>
      <w:szCs w:val="22"/>
      <w:lang w:eastAsia="ja-JP"/>
    </w:rPr>
  </w:style>
  <w:style w:type="paragraph" w:styleId="FootnoteText">
    <w:name w:val="footnote text"/>
    <w:basedOn w:val="Normal"/>
    <w:link w:val="FootnoteTextChar"/>
    <w:uiPriority w:val="99"/>
    <w:unhideWhenUsed/>
    <w:rsid w:val="00CC31BD"/>
    <w:rPr>
      <w:rFonts w:ascii="Calibri" w:eastAsia="MS Mincho" w:hAnsi="Calibri" w:cs="Arial"/>
      <w:sz w:val="20"/>
      <w:szCs w:val="20"/>
      <w:lang w:eastAsia="ja-JP"/>
    </w:rPr>
  </w:style>
  <w:style w:type="character" w:customStyle="1" w:styleId="FootnoteTextChar">
    <w:name w:val="Footnote Text Char"/>
    <w:basedOn w:val="DefaultParagraphFont"/>
    <w:link w:val="FootnoteText"/>
    <w:uiPriority w:val="99"/>
    <w:rsid w:val="00CC31BD"/>
    <w:rPr>
      <w:rFonts w:ascii="Calibri" w:eastAsia="MS Mincho" w:hAnsi="Calibri" w:cs="Arial"/>
      <w:lang w:eastAsia="ja-JP"/>
    </w:rPr>
  </w:style>
  <w:style w:type="character" w:styleId="SubtleEmphasis">
    <w:name w:val="Subtle Emphasis"/>
    <w:uiPriority w:val="19"/>
    <w:qFormat/>
    <w:rsid w:val="00CC31BD"/>
    <w:rPr>
      <w:i/>
      <w:iCs/>
      <w:color w:val="000000"/>
    </w:rPr>
  </w:style>
  <w:style w:type="character" w:customStyle="1" w:styleId="HeaderChar">
    <w:name w:val="Header Char"/>
    <w:link w:val="Header"/>
    <w:rsid w:val="00CC31BD"/>
  </w:style>
  <w:style w:type="paragraph" w:styleId="CommentSubject">
    <w:name w:val="annotation subject"/>
    <w:basedOn w:val="CommentText"/>
    <w:next w:val="CommentText"/>
    <w:link w:val="CommentSubjectChar"/>
    <w:rsid w:val="00CF7CD7"/>
    <w:rPr>
      <w:b/>
      <w:bCs/>
    </w:rPr>
  </w:style>
  <w:style w:type="character" w:customStyle="1" w:styleId="CommentSubjectChar">
    <w:name w:val="Comment Subject Char"/>
    <w:basedOn w:val="CommentTextChar"/>
    <w:link w:val="CommentSubject"/>
    <w:rsid w:val="00CF7CD7"/>
    <w:rPr>
      <w:b/>
      <w:bCs/>
    </w:rPr>
  </w:style>
  <w:style w:type="paragraph" w:styleId="Revision">
    <w:name w:val="Revision"/>
    <w:hidden/>
    <w:uiPriority w:val="99"/>
    <w:semiHidden/>
    <w:rsid w:val="00BC7CB8"/>
    <w:rPr>
      <w:sz w:val="24"/>
      <w:szCs w:val="24"/>
    </w:rPr>
  </w:style>
  <w:style w:type="character" w:customStyle="1" w:styleId="Heading2Char">
    <w:name w:val="Heading 2 Char"/>
    <w:basedOn w:val="DefaultParagraphFont"/>
    <w:link w:val="Heading2"/>
    <w:uiPriority w:val="9"/>
    <w:rsid w:val="008A7B20"/>
    <w:rPr>
      <w:b/>
      <w:sz w:val="24"/>
    </w:rPr>
  </w:style>
  <w:style w:type="character" w:customStyle="1" w:styleId="Heading3Char">
    <w:name w:val="Heading 3 Char"/>
    <w:basedOn w:val="DefaultParagraphFont"/>
    <w:link w:val="Heading3"/>
    <w:semiHidden/>
    <w:rsid w:val="008A7B2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2700">
      <w:bodyDiv w:val="1"/>
      <w:marLeft w:val="0"/>
      <w:marRight w:val="0"/>
      <w:marTop w:val="0"/>
      <w:marBottom w:val="0"/>
      <w:divBdr>
        <w:top w:val="none" w:sz="0" w:space="0" w:color="auto"/>
        <w:left w:val="none" w:sz="0" w:space="0" w:color="auto"/>
        <w:bottom w:val="none" w:sz="0" w:space="0" w:color="auto"/>
        <w:right w:val="none" w:sz="0" w:space="0" w:color="auto"/>
      </w:divBdr>
    </w:div>
    <w:div w:id="1290166627">
      <w:bodyDiv w:val="1"/>
      <w:marLeft w:val="0"/>
      <w:marRight w:val="0"/>
      <w:marTop w:val="0"/>
      <w:marBottom w:val="0"/>
      <w:divBdr>
        <w:top w:val="none" w:sz="0" w:space="0" w:color="auto"/>
        <w:left w:val="none" w:sz="0" w:space="0" w:color="auto"/>
        <w:bottom w:val="none" w:sz="0" w:space="0" w:color="auto"/>
        <w:right w:val="none" w:sz="0" w:space="0" w:color="auto"/>
      </w:divBdr>
    </w:div>
    <w:div w:id="2030644821">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 w:id="2129155394">
      <w:bodyDiv w:val="1"/>
      <w:marLeft w:val="0"/>
      <w:marRight w:val="0"/>
      <w:marTop w:val="0"/>
      <w:marBottom w:val="0"/>
      <w:divBdr>
        <w:top w:val="none" w:sz="0" w:space="0" w:color="auto"/>
        <w:left w:val="none" w:sz="0" w:space="0" w:color="auto"/>
        <w:bottom w:val="none" w:sz="0" w:space="0" w:color="auto"/>
        <w:right w:val="none" w:sz="0" w:space="0" w:color="auto"/>
      </w:divBdr>
      <w:divsChild>
        <w:div w:id="404110473">
          <w:marLeft w:val="0"/>
          <w:marRight w:val="0"/>
          <w:marTop w:val="0"/>
          <w:marBottom w:val="0"/>
          <w:divBdr>
            <w:top w:val="none" w:sz="0" w:space="0" w:color="auto"/>
            <w:left w:val="none" w:sz="0" w:space="0" w:color="auto"/>
            <w:bottom w:val="none" w:sz="0" w:space="0" w:color="auto"/>
            <w:right w:val="none" w:sz="0" w:space="0" w:color="auto"/>
          </w:divBdr>
          <w:divsChild>
            <w:div w:id="1793397075">
              <w:marLeft w:val="0"/>
              <w:marRight w:val="0"/>
              <w:marTop w:val="0"/>
              <w:marBottom w:val="0"/>
              <w:divBdr>
                <w:top w:val="none" w:sz="0" w:space="0" w:color="auto"/>
                <w:left w:val="none" w:sz="0" w:space="0" w:color="auto"/>
                <w:bottom w:val="none" w:sz="0" w:space="0" w:color="auto"/>
                <w:right w:val="none" w:sz="0" w:space="0" w:color="auto"/>
              </w:divBdr>
              <w:divsChild>
                <w:div w:id="245262870">
                  <w:marLeft w:val="0"/>
                  <w:marRight w:val="0"/>
                  <w:marTop w:val="0"/>
                  <w:marBottom w:val="0"/>
                  <w:divBdr>
                    <w:top w:val="none" w:sz="0" w:space="0" w:color="auto"/>
                    <w:left w:val="none" w:sz="0" w:space="0" w:color="auto"/>
                    <w:bottom w:val="none" w:sz="0" w:space="0" w:color="auto"/>
                    <w:right w:val="none" w:sz="0" w:space="0" w:color="auto"/>
                  </w:divBdr>
                  <w:divsChild>
                    <w:div w:id="18025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2018/may/oes_nat.htm"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phc.amedd.army.mil/PHC%20Resource%20Library/QarmatAliWTPChromiumAssessmentMay2010.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096C0-E210-4AAF-A918-FF503391CE77}">
  <ds:schemaRefs>
    <ds:schemaRef ds:uri="http://schemas.openxmlformats.org/officeDocument/2006/bibliography"/>
  </ds:schemaRefs>
</ds:datastoreItem>
</file>

<file path=customXml/itemProps2.xml><?xml version="1.0" encoding="utf-8"?>
<ds:datastoreItem xmlns:ds="http://schemas.openxmlformats.org/officeDocument/2006/customXml" ds:itemID="{225A9505-B98F-4ABC-9F66-711136A9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Ciminera, Paul</dc:creator>
  <cp:lastModifiedBy>SYSTEM</cp:lastModifiedBy>
  <cp:revision>2</cp:revision>
  <cp:lastPrinted>2017-10-26T18:28:00Z</cp:lastPrinted>
  <dcterms:created xsi:type="dcterms:W3CDTF">2019-08-13T22:31:00Z</dcterms:created>
  <dcterms:modified xsi:type="dcterms:W3CDTF">2019-08-13T22:31:00Z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