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2D0" w:rsidRDefault="008962D0" w:rsidP="008962D0">
      <w:pPr>
        <w:widowControl/>
        <w:tabs>
          <w:tab w:val="center" w:pos="4752"/>
          <w:tab w:val="left" w:pos="5040"/>
          <w:tab w:val="left" w:pos="5760"/>
          <w:tab w:val="left" w:pos="6480"/>
          <w:tab w:val="left" w:pos="7200"/>
          <w:tab w:val="left" w:pos="7920"/>
          <w:tab w:val="left" w:pos="8640"/>
        </w:tabs>
        <w:jc w:val="right"/>
        <w:rPr>
          <w:rFonts w:ascii="Times New Roman" w:hAnsi="Times New Roman"/>
        </w:rPr>
      </w:pPr>
      <w:bookmarkStart w:id="0" w:name="_GoBack"/>
      <w:bookmarkEnd w:id="0"/>
    </w:p>
    <w:p w:rsidR="0032126E" w:rsidRDefault="0032126E" w:rsidP="0032126E">
      <w:pPr>
        <w:widowControl/>
        <w:tabs>
          <w:tab w:val="center" w:pos="4752"/>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SUPPORTING STATEMENT</w:t>
      </w:r>
    </w:p>
    <w:p w:rsidR="0032126E" w:rsidRDefault="0032126E" w:rsidP="0032126E">
      <w:pPr>
        <w:widowControl/>
        <w:tabs>
          <w:tab w:val="center" w:pos="4752"/>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FLOOD INSURANCE</w:t>
      </w:r>
    </w:p>
    <w:p w:rsidR="0032126E" w:rsidRDefault="0032126E" w:rsidP="0032126E">
      <w:pPr>
        <w:widowControl/>
        <w:tabs>
          <w:tab w:val="left" w:pos="720"/>
          <w:tab w:val="left" w:pos="1440"/>
          <w:tab w:val="left" w:pos="2160"/>
          <w:tab w:val="left" w:pos="2880"/>
          <w:tab w:val="left" w:pos="3600"/>
          <w:tab w:val="left" w:pos="4320"/>
          <w:tab w:val="center" w:pos="4680"/>
          <w:tab w:val="left" w:pos="5040"/>
          <w:tab w:val="left" w:pos="5760"/>
          <w:tab w:val="left" w:pos="6480"/>
          <w:tab w:val="left" w:pos="6538"/>
          <w:tab w:val="left" w:pos="7200"/>
          <w:tab w:val="left" w:pos="7920"/>
          <w:tab w:val="left"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(OMB No. 3064-0</w:t>
      </w:r>
      <w:r w:rsidR="0025670B">
        <w:rPr>
          <w:rFonts w:ascii="Times New Roman" w:hAnsi="Times New Roman"/>
        </w:rPr>
        <w:t>207</w:t>
      </w:r>
      <w:r>
        <w:rPr>
          <w:rFonts w:ascii="Times New Roman" w:hAnsi="Times New Roman"/>
        </w:rPr>
        <w:t>)</w:t>
      </w:r>
      <w:r>
        <w:rPr>
          <w:rFonts w:ascii="Times New Roman" w:hAnsi="Times New Roman"/>
        </w:rPr>
        <w:tab/>
      </w:r>
      <w:r>
        <w:rPr>
          <w:rFonts w:ascii="Times New Roman" w:hAnsi="Times New Roman"/>
        </w:rPr>
        <w:tab/>
      </w:r>
    </w:p>
    <w:p w:rsidR="0032126E" w:rsidRDefault="0032126E" w:rsidP="00321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rsidR="0032126E" w:rsidRDefault="0032126E" w:rsidP="00321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u w:val="single"/>
        </w:rPr>
        <w:t>INTRODUCTION</w:t>
      </w:r>
    </w:p>
    <w:p w:rsidR="0032126E" w:rsidRDefault="0032126E" w:rsidP="003212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E90B07"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szCs w:val="24"/>
        </w:rPr>
      </w:pPr>
      <w:r>
        <w:rPr>
          <w:rFonts w:ascii="Times New Roman" w:hAnsi="Times New Roman"/>
        </w:rPr>
        <w:t xml:space="preserve">The FDIC is requesting OMB approval for a </w:t>
      </w:r>
      <w:r w:rsidR="00E90B07">
        <w:rPr>
          <w:rFonts w:ascii="Times New Roman" w:hAnsi="Times New Roman"/>
        </w:rPr>
        <w:t>new collection of information</w:t>
      </w:r>
      <w:r>
        <w:rPr>
          <w:rFonts w:ascii="Times New Roman" w:hAnsi="Times New Roman"/>
        </w:rPr>
        <w:t xml:space="preserve"> </w:t>
      </w:r>
      <w:r w:rsidR="00E90B07">
        <w:rPr>
          <w:rFonts w:ascii="Times New Roman" w:hAnsi="Times New Roman"/>
        </w:rPr>
        <w:t xml:space="preserve">containing </w:t>
      </w:r>
      <w:r>
        <w:rPr>
          <w:rFonts w:ascii="Times New Roman" w:hAnsi="Times New Roman"/>
        </w:rPr>
        <w:t>recordkeeping and disclosure requirements included in Part 339 of the FDIC Rules and Regulations prescribing standards for loans in areas having special flood hazards</w:t>
      </w:r>
      <w:r w:rsidR="00E90B07">
        <w:rPr>
          <w:rFonts w:ascii="Times New Roman" w:hAnsi="Times New Roman"/>
        </w:rPr>
        <w:t xml:space="preserve"> to include revisions related to the implementation of the </w:t>
      </w:r>
      <w:r w:rsidR="00E90B07" w:rsidRPr="00760FBE">
        <w:rPr>
          <w:rFonts w:ascii="Times New Roman" w:hAnsi="Times New Roman"/>
          <w:iCs/>
          <w:szCs w:val="24"/>
        </w:rPr>
        <w:t>private flood insurance provisions of the Biggert-Waters Flood Insurance Reform Act of 2012 (Biggert-Waters Act).</w:t>
      </w:r>
      <w:r w:rsidR="00E90B07">
        <w:rPr>
          <w:rFonts w:ascii="Times New Roman" w:hAnsi="Times New Roman"/>
          <w:iCs/>
          <w:szCs w:val="24"/>
        </w:rPr>
        <w:t xml:space="preserve">  Once this information collection is approved, the FDIC will discontinue its existing flood insurance information collection approved under OMB Control Number 3064-0120 as this new information collection encompasses all PRA burden related </w:t>
      </w:r>
      <w:r w:rsidR="000404CA">
        <w:rPr>
          <w:rFonts w:ascii="Times New Roman" w:hAnsi="Times New Roman"/>
          <w:iCs/>
          <w:szCs w:val="24"/>
        </w:rPr>
        <w:t xml:space="preserve">to </w:t>
      </w:r>
      <w:r w:rsidR="00E90B07">
        <w:rPr>
          <w:rFonts w:ascii="Times New Roman" w:hAnsi="Times New Roman"/>
          <w:iCs/>
          <w:szCs w:val="24"/>
        </w:rPr>
        <w:t>flood insurance.</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w:t>
      </w:r>
      <w:r>
        <w:rPr>
          <w:rFonts w:ascii="Times New Roman" w:hAnsi="Times New Roman"/>
        </w:rPr>
        <w:tab/>
        <w:t xml:space="preserve"> </w:t>
      </w:r>
      <w:r>
        <w:rPr>
          <w:rFonts w:ascii="Times New Roman" w:hAnsi="Times New Roman"/>
          <w:u w:val="single"/>
        </w:rPr>
        <w:t>JUSTIFICATION</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432"/>
        <w:rPr>
          <w:rFonts w:ascii="Times New Roman" w:hAnsi="Times New Roman"/>
        </w:rPr>
      </w:pPr>
      <w:r>
        <w:rPr>
          <w:rFonts w:ascii="Times New Roman" w:hAnsi="Times New Roman"/>
        </w:rPr>
        <w:t>1.</w:t>
      </w:r>
      <w:r>
        <w:rPr>
          <w:rFonts w:ascii="Times New Roman" w:hAnsi="Times New Roman"/>
        </w:rPr>
        <w:tab/>
      </w:r>
      <w:r w:rsidRPr="0032126E">
        <w:rPr>
          <w:rFonts w:ascii="Times New Roman" w:hAnsi="Times New Roman"/>
          <w:bCs/>
          <w:u w:val="single"/>
        </w:rPr>
        <w:t>Circumstances that make the collection necessary:</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924077" w:rsidRDefault="00924077"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b/>
          <w:i/>
        </w:rPr>
      </w:pPr>
      <w:r>
        <w:rPr>
          <w:rFonts w:ascii="Times New Roman" w:hAnsi="Times New Roman"/>
          <w:b/>
          <w:i/>
        </w:rPr>
        <w:t>Background</w:t>
      </w:r>
      <w:r>
        <w:rPr>
          <w:rFonts w:ascii="Times New Roman" w:hAnsi="Times New Roman"/>
        </w:rPr>
        <w:t>:</w:t>
      </w:r>
      <w:r>
        <w:rPr>
          <w:rFonts w:ascii="Times New Roman" w:hAnsi="Times New Roman"/>
          <w:b/>
          <w:i/>
        </w:rPr>
        <w:t xml:space="preserve"> </w:t>
      </w:r>
    </w:p>
    <w:p w:rsidR="00924077" w:rsidRDefault="00924077"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E90B07"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iCs/>
          <w:szCs w:val="24"/>
        </w:rPr>
      </w:pPr>
      <w:r>
        <w:rPr>
          <w:rFonts w:ascii="Times New Roman" w:hAnsi="Times New Roman"/>
        </w:rPr>
        <w:t>A number of</w:t>
      </w:r>
      <w:r w:rsidR="00E90B07">
        <w:rPr>
          <w:rFonts w:ascii="Times New Roman" w:hAnsi="Times New Roman"/>
        </w:rPr>
        <w:t xml:space="preserve"> the sections of Title V of the </w:t>
      </w:r>
      <w:r w:rsidR="00E90B07" w:rsidRPr="00963BA6">
        <w:rPr>
          <w:rFonts w:ascii="Times New Roman" w:hAnsi="Times New Roman"/>
          <w:iCs/>
          <w:szCs w:val="24"/>
        </w:rPr>
        <w:t>Riegle Community Development Act</w:t>
      </w:r>
      <w:r w:rsidR="00E90B07">
        <w:rPr>
          <w:rFonts w:ascii="Times New Roman" w:hAnsi="Times New Roman"/>
        </w:rPr>
        <w:t xml:space="preserve"> (</w:t>
      </w:r>
      <w:r>
        <w:rPr>
          <w:rFonts w:ascii="Times New Roman" w:hAnsi="Times New Roman"/>
        </w:rPr>
        <w:t>RCDRIA</w:t>
      </w:r>
      <w:r w:rsidR="00E90B07">
        <w:rPr>
          <w:rFonts w:ascii="Times New Roman" w:hAnsi="Times New Roman"/>
        </w:rPr>
        <w:t>)</w:t>
      </w:r>
      <w:r>
        <w:rPr>
          <w:rFonts w:ascii="Times New Roman" w:hAnsi="Times New Roman"/>
        </w:rPr>
        <w:t xml:space="preserve"> require </w:t>
      </w:r>
      <w:r w:rsidR="00E90B07">
        <w:rPr>
          <w:rFonts w:ascii="Times New Roman" w:hAnsi="Times New Roman"/>
        </w:rPr>
        <w:t>federal banking agencies</w:t>
      </w:r>
      <w:r>
        <w:rPr>
          <w:rFonts w:ascii="Times New Roman" w:hAnsi="Times New Roman"/>
        </w:rPr>
        <w:t xml:space="preserve"> (including the FDIC), and the Farm Credit Administration, to adopt implementing regulations.</w:t>
      </w:r>
      <w:r w:rsidR="00E90B07">
        <w:rPr>
          <w:rFonts w:ascii="Times New Roman" w:hAnsi="Times New Roman"/>
        </w:rPr>
        <w:t xml:space="preserve">  Under RCDRIA and its implementing regulations, e</w:t>
      </w:r>
      <w:r w:rsidR="00E90B07" w:rsidRPr="00BF488A">
        <w:rPr>
          <w:rFonts w:ascii="Times New Roman" w:hAnsi="Times New Roman"/>
          <w:szCs w:val="24"/>
        </w:rPr>
        <w:t>ach supervised lending institution is currently required to provide notices of special flood hazards to each borrower with a loan secured by a building or mobile home located or to be located in an area identified by the Director of the Federal Emergency Management Administration (FEMA) as being subject to special flood hazards.  In addition, various other notices must also be provided to borrowers, servicers and FEMA.</w:t>
      </w:r>
      <w:r w:rsidR="00E90B07">
        <w:rPr>
          <w:rFonts w:ascii="Times New Roman" w:hAnsi="Times New Roman"/>
          <w:szCs w:val="24"/>
        </w:rPr>
        <w:t xml:space="preserve"> </w:t>
      </w:r>
      <w:r w:rsidR="00E90B07">
        <w:rPr>
          <w:rFonts w:ascii="Times New Roman" w:hAnsi="Times New Roman"/>
          <w:iCs/>
          <w:szCs w:val="24"/>
        </w:rPr>
        <w:t>RCDRIA</w:t>
      </w:r>
      <w:r w:rsidR="00E90B07" w:rsidRPr="00963BA6">
        <w:rPr>
          <w:rFonts w:ascii="Times New Roman" w:hAnsi="Times New Roman"/>
          <w:iCs/>
          <w:szCs w:val="24"/>
        </w:rPr>
        <w:t xml:space="preserve"> requires that each institution also provide a copy of the notice to the servicer of the loan (if different from the originating lender).</w:t>
      </w:r>
    </w:p>
    <w:p w:rsidR="00E90B07" w:rsidRDefault="00E90B07"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iCs/>
          <w:szCs w:val="24"/>
        </w:rPr>
      </w:pPr>
    </w:p>
    <w:p w:rsidR="00404297" w:rsidRDefault="00404297" w:rsidP="00E90B07">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P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b/>
          <w:i/>
        </w:rPr>
      </w:pPr>
      <w:r w:rsidRPr="0032126E">
        <w:rPr>
          <w:rFonts w:ascii="Times New Roman" w:hAnsi="Times New Roman"/>
          <w:b/>
          <w:i/>
        </w:rPr>
        <w:t>Current Action:</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924077" w:rsidRDefault="00924077" w:rsidP="00924077">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iCs/>
          <w:szCs w:val="24"/>
        </w:rPr>
      </w:pPr>
      <w:r w:rsidRPr="00760FBE">
        <w:rPr>
          <w:rFonts w:ascii="Times New Roman" w:hAnsi="Times New Roman"/>
          <w:iCs/>
          <w:szCs w:val="24"/>
        </w:rPr>
        <w:t xml:space="preserve">The Office of the Comptroller of the Currency (OCC), the Board of Governors of the Federal Reserve System (Board), the Federal Deposit Insurance Corporation (FDIC), the Farm Credit Administration (FCA), and the National Credit Union Administration (NCUA) are amending their regulations regarding loans in areas having special flood hazards to implement the private flood insurance provisions of the Biggert-Waters Flood Insurance Reform Act of 2012 (Biggert-Waters Act).  Specifically, the final rule requires regulated lending institutions to accept policies that meet the statutory definition of “private flood insurance” in the Biggert-Waters Act; and permits regulated lending institutions to exercise their discretion to accept </w:t>
      </w:r>
      <w:r w:rsidRPr="00760FBE">
        <w:rPr>
          <w:rFonts w:ascii="Times New Roman" w:hAnsi="Times New Roman"/>
          <w:iCs/>
          <w:szCs w:val="24"/>
        </w:rPr>
        <w:lastRenderedPageBreak/>
        <w:t>flood insurance policies issued by private insurers and plans providing flood coverage issued by mutual aid societies, that do not meet the statutory definition of “private flood insurance,” subject to certain restrictions.</w:t>
      </w:r>
    </w:p>
    <w:p w:rsidR="00924077" w:rsidRDefault="00924077" w:rsidP="00924077">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545BCB">
        <w:rPr>
          <w:rFonts w:ascii="Times New Roman" w:hAnsi="Times New Roman"/>
        </w:rPr>
        <w:t xml:space="preserve">The final rule requires regulated lending institutions to accept “private flood insurance” defined in accordance with the Biggert-Waters Act.  </w:t>
      </w:r>
      <w:r w:rsidR="00354A03" w:rsidRPr="00354A03">
        <w:rPr>
          <w:rFonts w:ascii="Times New Roman" w:hAnsi="Times New Roman"/>
        </w:rPr>
        <w:t xml:space="preserve">The final rule also includes </w:t>
      </w:r>
      <w:r w:rsidR="00354A03" w:rsidRPr="00354A03">
        <w:rPr>
          <w:rFonts w:ascii="Times New Roman" w:hAnsi="Times New Roman"/>
          <w:iCs/>
        </w:rPr>
        <w:t>a streamlined compliance aid provision</w:t>
      </w:r>
      <w:r w:rsidR="00354A03" w:rsidRPr="00354A03">
        <w:rPr>
          <w:rFonts w:ascii="Times New Roman" w:hAnsi="Times New Roman"/>
        </w:rPr>
        <w:t xml:space="preserve"> that allows regulated lending institutions to determine whether a flood insurance policy meets the definition of “private flood insurance” based on an attestation in the policy or as an endorsement to the policy that the “policy meets the definition of private flood insurance contained in 42 U.S.C. 4012a(b)(7) and the corresponding regulation</w:t>
      </w:r>
      <w:r w:rsidR="00354A03">
        <w:rPr>
          <w:rFonts w:ascii="Times New Roman" w:hAnsi="Times New Roman"/>
        </w:rPr>
        <w:t>”</w:t>
      </w:r>
      <w:r w:rsidRPr="00545BCB">
        <w:rPr>
          <w:rFonts w:ascii="Times New Roman" w:hAnsi="Times New Roman"/>
        </w:rPr>
        <w:t xml:space="preserve">  </w:t>
      </w:r>
    </w:p>
    <w:p w:rsidR="0032126E" w:rsidRPr="00545BCB"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Pr="00545BCB"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545BCB">
        <w:rPr>
          <w:rFonts w:ascii="Times New Roman" w:hAnsi="Times New Roman"/>
        </w:rPr>
        <w:t>In addition to mandating that regulated lending institutions accept policies that meet the definition of “private flood insurance,” the final rule permits regulated lending institutions to exercise their discretion to accept certain flood insurance policies issued by private insurers that do not meet the statutory and regulatory definition of private flood insurance, provided the policy meets certain conditions</w:t>
      </w:r>
      <w:r w:rsidR="00C85CD3">
        <w:rPr>
          <w:rFonts w:ascii="Times New Roman" w:hAnsi="Times New Roman"/>
        </w:rPr>
        <w:t xml:space="preserve"> including</w:t>
      </w:r>
      <w:r w:rsidRPr="00545BCB">
        <w:rPr>
          <w:rFonts w:ascii="Times New Roman" w:hAnsi="Times New Roman"/>
        </w:rPr>
        <w:t xml:space="preserve"> a requirement that the policy must</w:t>
      </w:r>
      <w:r w:rsidRPr="00545BCB">
        <w:rPr>
          <w:rFonts w:ascii="Times New Roman" w:hAnsi="Times New Roman"/>
          <w:bCs/>
        </w:rPr>
        <w:t xml:space="preserve"> provide sufficient protection of a designated loan,</w:t>
      </w:r>
      <w:r w:rsidRPr="00545BCB">
        <w:rPr>
          <w:rFonts w:ascii="Times New Roman" w:hAnsi="Times New Roman"/>
          <w:bCs/>
          <w:vertAlign w:val="superscript"/>
        </w:rPr>
        <w:footnoteReference w:id="1"/>
      </w:r>
      <w:r w:rsidRPr="00545BCB">
        <w:rPr>
          <w:rFonts w:ascii="Times New Roman" w:hAnsi="Times New Roman"/>
          <w:bCs/>
        </w:rPr>
        <w:t xml:space="preserve"> consistent with general safety and soundness principles, and the regulated lending institution document</w:t>
      </w:r>
      <w:r w:rsidR="00C85CD3">
        <w:rPr>
          <w:rFonts w:ascii="Times New Roman" w:hAnsi="Times New Roman"/>
          <w:bCs/>
        </w:rPr>
        <w:t>s</w:t>
      </w:r>
      <w:r w:rsidRPr="00545BCB">
        <w:rPr>
          <w:rFonts w:ascii="Times New Roman" w:hAnsi="Times New Roman"/>
          <w:bCs/>
        </w:rPr>
        <w:t xml:space="preserve"> its conclusion regarding this condition in writing.  This provision includes an exception that allows</w:t>
      </w:r>
      <w:r w:rsidRPr="00545BCB">
        <w:rPr>
          <w:rFonts w:ascii="Times New Roman" w:hAnsi="Times New Roman"/>
        </w:rPr>
        <w:t xml:space="preserve"> regulated lending institutions to exercise their discretion to accept certain plans providing flood coverage issued by “mutual aid societies.”</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432"/>
        <w:rPr>
          <w:rFonts w:ascii="Times New Roman" w:hAnsi="Times New Roman"/>
        </w:rPr>
      </w:pPr>
      <w:r>
        <w:rPr>
          <w:rFonts w:ascii="Times New Roman" w:hAnsi="Times New Roman"/>
        </w:rPr>
        <w:t>2.</w:t>
      </w:r>
      <w:r>
        <w:rPr>
          <w:rFonts w:ascii="Times New Roman" w:hAnsi="Times New Roman"/>
        </w:rPr>
        <w:tab/>
      </w:r>
      <w:r w:rsidR="009E3B33">
        <w:rPr>
          <w:rFonts w:ascii="Times New Roman" w:hAnsi="Times New Roman"/>
          <w:u w:val="single"/>
        </w:rPr>
        <w:t>Use of the i</w:t>
      </w:r>
      <w:r>
        <w:rPr>
          <w:rFonts w:ascii="Times New Roman" w:hAnsi="Times New Roman"/>
          <w:u w:val="single"/>
        </w:rPr>
        <w:t>nformation:</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Pr>
          <w:rFonts w:ascii="Times New Roman" w:hAnsi="Times New Roman"/>
        </w:rPr>
        <w:t>The Notice to the Borrower provides information that the property securing the loan is located in a special flood hazard area and flood insurance is required to make the loan.  The Notice also provides additional information to the borrower about the availability of federal assistance in the event of a declared federal disaster finding because of a flood.  The Notice is also provided to the servicer of the loan (if the originating lender is not the servicer) so that the servicer will be aware of its responsibility to perform certain tasks on behalf of the lender, such as to collect flood insurance premiums.  The lender would be required to notify the Director of FEMA (or designee) if the identity of the servicer changes so that FEMA would know to whom to direct inquiries or notices of renewals of the insurance policies.  This later obligation is a one-time obligation on the lending institution.</w:t>
      </w:r>
    </w:p>
    <w:p w:rsidR="00BC50BD" w:rsidRDefault="00BC50BD"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BC50BD" w:rsidP="0032126E">
      <w:pPr>
        <w:widowControl/>
        <w:numPr>
          <w:ilvl w:val="0"/>
          <w:numId w:val="3"/>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647F97">
        <w:rPr>
          <w:rFonts w:ascii="Times New Roman TUR" w:hAnsi="Times New Roman TUR" w:cs="Times New Roman TUR"/>
          <w:bCs/>
          <w:u w:val="single"/>
        </w:rPr>
        <w:t>Consideration of the use of improved information technology:</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Pr>
          <w:rFonts w:ascii="Times New Roman" w:hAnsi="Times New Roman"/>
        </w:rPr>
        <w:t xml:space="preserve">Banks complying with the notice and recordkeeping requirements of Part 339 are expressly given the option of providing notices and maintaining records in hard copy or electronic format.     </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432"/>
        <w:rPr>
          <w:rFonts w:ascii="Times New Roman" w:hAnsi="Times New Roman"/>
        </w:rPr>
      </w:pPr>
      <w:r>
        <w:rPr>
          <w:rFonts w:ascii="Times New Roman" w:hAnsi="Times New Roman"/>
        </w:rPr>
        <w:t>4.</w:t>
      </w:r>
      <w:r>
        <w:rPr>
          <w:rFonts w:ascii="Times New Roman" w:hAnsi="Times New Roman"/>
        </w:rPr>
        <w:tab/>
      </w:r>
      <w:r w:rsidR="00BC50BD">
        <w:rPr>
          <w:rFonts w:ascii="Times New Roman" w:hAnsi="Times New Roman"/>
          <w:u w:val="single"/>
        </w:rPr>
        <w:t>Efforts to identify d</w:t>
      </w:r>
      <w:r>
        <w:rPr>
          <w:rFonts w:ascii="Times New Roman" w:hAnsi="Times New Roman"/>
          <w:u w:val="single"/>
        </w:rPr>
        <w:t>uplication</w:t>
      </w:r>
      <w:r w:rsidR="00BC50BD">
        <w:rPr>
          <w:rFonts w:ascii="Times New Roman" w:hAnsi="Times New Roman"/>
          <w:u w:val="single"/>
        </w:rPr>
        <w:t>:</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Pr>
          <w:rFonts w:ascii="Times New Roman" w:hAnsi="Times New Roman"/>
        </w:rPr>
        <w:t>Procedures may be necessary to provide the new notifications to servicers and to FEMA.  Generally, these requirements would be a supplement to a bank's existing procedures to provide notification to a borrower whose loan request was secured by a building located on property in a special flood hazard area.  The original rulemaking was published jointly by the OCC, the FRB, OTS, NCUA, Farm Credit Administration and the FDIC.  Considerable collaboration with those agencies occurred during the drafting of the proposed rule.  Comments received from the public and from OMB were considered before a final rule was published</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432"/>
        <w:rPr>
          <w:rFonts w:ascii="Times New Roman" w:hAnsi="Times New Roman"/>
        </w:rPr>
      </w:pPr>
      <w:r>
        <w:rPr>
          <w:rFonts w:ascii="Times New Roman" w:hAnsi="Times New Roman"/>
        </w:rPr>
        <w:t>5.</w:t>
      </w:r>
      <w:r>
        <w:rPr>
          <w:rFonts w:ascii="Times New Roman" w:hAnsi="Times New Roman"/>
        </w:rPr>
        <w:tab/>
      </w:r>
      <w:r w:rsidR="008A2A14" w:rsidRPr="00647F97">
        <w:rPr>
          <w:rFonts w:ascii="Times New Roman TUR" w:hAnsi="Times New Roman TUR" w:cs="Times New Roman TUR"/>
          <w:bCs/>
          <w:u w:val="single"/>
        </w:rPr>
        <w:t xml:space="preserve">Methods used to minimize burden if the collection has a significant impact on </w:t>
      </w:r>
      <w:r w:rsidR="008A2A14">
        <w:rPr>
          <w:rFonts w:ascii="Times New Roman TUR" w:hAnsi="Times New Roman TUR" w:cs="Times New Roman TUR"/>
          <w:bCs/>
          <w:u w:val="single"/>
        </w:rPr>
        <w:t xml:space="preserve">a </w:t>
      </w:r>
      <w:r w:rsidR="008A2A14" w:rsidRPr="00647F97">
        <w:rPr>
          <w:rFonts w:ascii="Times New Roman TUR" w:hAnsi="Times New Roman TUR" w:cs="Times New Roman TUR"/>
          <w:bCs/>
          <w:u w:val="single"/>
        </w:rPr>
        <w:t>substantial number of small entities:</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9111FB"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Pr>
          <w:rFonts w:ascii="Times New Roman" w:hAnsi="Times New Roman"/>
        </w:rPr>
        <w:t xml:space="preserve">The final rule is not expected to have a significant impact on a substantial number </w:t>
      </w:r>
      <w:r w:rsidR="00711828">
        <w:rPr>
          <w:rFonts w:ascii="Times New Roman" w:hAnsi="Times New Roman"/>
        </w:rPr>
        <w:t>of</w:t>
      </w:r>
      <w:r>
        <w:rPr>
          <w:rFonts w:ascii="Times New Roman" w:hAnsi="Times New Roman"/>
        </w:rPr>
        <w:t xml:space="preserve"> small entities.  </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432"/>
        <w:rPr>
          <w:rFonts w:ascii="Times New Roman" w:hAnsi="Times New Roman"/>
        </w:rPr>
      </w:pPr>
      <w:r>
        <w:rPr>
          <w:rFonts w:ascii="Times New Roman" w:hAnsi="Times New Roman"/>
        </w:rPr>
        <w:t>6.</w:t>
      </w:r>
      <w:r>
        <w:rPr>
          <w:rFonts w:ascii="Times New Roman" w:hAnsi="Times New Roman"/>
        </w:rPr>
        <w:tab/>
      </w:r>
      <w:r w:rsidR="008A2A14" w:rsidRPr="00647F97">
        <w:rPr>
          <w:rFonts w:ascii="Times New Roman TUR" w:hAnsi="Times New Roman TUR" w:cs="Times New Roman TUR"/>
          <w:bCs/>
          <w:u w:val="single"/>
        </w:rPr>
        <w:t>Consequences to the Federal program if the collection were conducted less frequently:</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Pr>
          <w:rFonts w:ascii="Times New Roman" w:hAnsi="Times New Roman"/>
        </w:rPr>
        <w:t xml:space="preserve">These are occasional collections, </w:t>
      </w:r>
      <w:r w:rsidR="008231A2">
        <w:rPr>
          <w:rFonts w:ascii="Times New Roman" w:hAnsi="Times New Roman"/>
        </w:rPr>
        <w:t xml:space="preserve">required by statute.  Collecting the information less frequently would </w:t>
      </w:r>
      <w:r w:rsidR="003B6D42">
        <w:rPr>
          <w:rFonts w:ascii="Times New Roman" w:hAnsi="Times New Roman"/>
        </w:rPr>
        <w:t>be prejudicial to the administration of the NFIP.</w:t>
      </w:r>
      <w:r w:rsidR="009111FB">
        <w:rPr>
          <w:rFonts w:ascii="Times New Roman" w:hAnsi="Times New Roman"/>
        </w:rPr>
        <w:t xml:space="preserve">  </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8A2A14" w:rsidRDefault="0032126E" w:rsidP="008A2A14">
      <w:pPr>
        <w:ind w:left="1440" w:hanging="720"/>
        <w:rPr>
          <w:rFonts w:ascii="Times New Roman" w:hAnsi="Times New Roman"/>
        </w:rPr>
      </w:pPr>
      <w:r>
        <w:rPr>
          <w:rFonts w:ascii="Times New Roman" w:hAnsi="Times New Roman"/>
        </w:rPr>
        <w:t>7.</w:t>
      </w:r>
      <w:r>
        <w:rPr>
          <w:rFonts w:ascii="Times New Roman" w:hAnsi="Times New Roman"/>
        </w:rPr>
        <w:tab/>
      </w:r>
      <w:r w:rsidR="008A2A14" w:rsidRPr="00647F97">
        <w:rPr>
          <w:rFonts w:ascii="Times New Roman TUR" w:hAnsi="Times New Roman TUR" w:cs="Times New Roman TUR"/>
          <w:bCs/>
          <w:u w:val="single"/>
        </w:rPr>
        <w:t>Special circumstances necessitating collection inconsistent with 5 CFR Part 1320</w:t>
      </w:r>
      <w:r w:rsidR="008A2A14">
        <w:rPr>
          <w:rFonts w:ascii="Times New Roman TUR" w:hAnsi="Times New Roman TUR" w:cs="Times New Roman TUR"/>
          <w:bCs/>
          <w:u w:val="single"/>
        </w:rPr>
        <w:t>.5(d)(2)</w:t>
      </w:r>
      <w:r w:rsidR="008A2A14" w:rsidRPr="00647F97">
        <w:rPr>
          <w:rFonts w:ascii="Times New Roman TUR" w:hAnsi="Times New Roman TUR" w:cs="Times New Roman TUR"/>
          <w:bCs/>
          <w:u w:val="single"/>
        </w:rPr>
        <w:t>:</w:t>
      </w:r>
    </w:p>
    <w:p w:rsidR="008A2A14" w:rsidRDefault="008A2A14" w:rsidP="008A2A14">
      <w:pPr>
        <w:rPr>
          <w:rFonts w:ascii="Times New Roman" w:hAnsi="Times New Roman"/>
        </w:rPr>
      </w:pPr>
    </w:p>
    <w:p w:rsidR="0032126E" w:rsidRDefault="008A2A14" w:rsidP="008A2A14">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78042F">
        <w:rPr>
          <w:rFonts w:ascii="Times New Roman TUR" w:hAnsi="Times New Roman TUR" w:cs="Times New Roman TUR"/>
        </w:rPr>
        <w:t xml:space="preserve">There are no </w:t>
      </w:r>
      <w:r w:rsidRPr="008A2A14">
        <w:rPr>
          <w:rFonts w:ascii="Times New Roman" w:hAnsi="Times New Roman"/>
        </w:rPr>
        <w:t>special</w:t>
      </w:r>
      <w:r w:rsidRPr="0078042F">
        <w:rPr>
          <w:rFonts w:ascii="Times New Roman TUR" w:hAnsi="Times New Roman TUR" w:cs="Times New Roman TUR"/>
        </w:rPr>
        <w:t xml:space="preserve"> circumstances. This information collection is conducted in accordance with the guidelines in 5 CFR 1320.5(d)(2).</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432"/>
        <w:rPr>
          <w:rFonts w:ascii="Times New Roman" w:hAnsi="Times New Roman"/>
        </w:rPr>
      </w:pPr>
      <w:r>
        <w:rPr>
          <w:rFonts w:ascii="Times New Roman" w:hAnsi="Times New Roman"/>
        </w:rPr>
        <w:t>8.</w:t>
      </w:r>
      <w:r>
        <w:rPr>
          <w:rFonts w:ascii="Times New Roman" w:hAnsi="Times New Roman"/>
        </w:rPr>
        <w:tab/>
      </w:r>
      <w:r w:rsidR="008A2A14" w:rsidRPr="00647F97">
        <w:rPr>
          <w:rFonts w:ascii="Times New Roman TUR" w:hAnsi="Times New Roman TUR" w:cs="Times New Roman TUR"/>
          <w:bCs/>
          <w:u w:val="single"/>
        </w:rPr>
        <w:t>Efforts to consult with persons outside the agency:</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Pr>
          <w:rFonts w:ascii="Times New Roman" w:hAnsi="Times New Roman"/>
        </w:rPr>
        <w:t>A notice of proposed rulemaking was published in the Federal Register on November 7, 2016 (81 FR 78063) which included a request or comments on the Paperwork Reduction Act implications of the proposed rule</w:t>
      </w:r>
      <w:r w:rsidRPr="00963BA6">
        <w:rPr>
          <w:rFonts w:ascii="Times New Roman" w:hAnsi="Times New Roman"/>
        </w:rPr>
        <w:t>.</w:t>
      </w:r>
      <w:r>
        <w:rPr>
          <w:rFonts w:ascii="Times New Roman" w:hAnsi="Times New Roman"/>
        </w:rPr>
        <w:t xml:space="preserve">  </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545BCB">
        <w:rPr>
          <w:rFonts w:ascii="Times New Roman" w:hAnsi="Times New Roman"/>
        </w:rPr>
        <w:t>The Agencies received approximately 60 comments on the proposed rule from a wide range of commenters, such as: financial institutions (including banks, credit unions, and farm credit institutions); various trade associations (including bankers’ trade associations, credit union trade associations, a farm credit trade association, and home building and realtor trade associations); the insurance industry (including insurance companies, trade associations, and brokers); individuals; nonprofit organizations; a flood risk management association; a State non-profit corporation; a State-regulatory organization; a Federal agency; and a State agency.</w:t>
      </w:r>
      <w:r w:rsidRPr="00545BCB">
        <w:rPr>
          <w:rFonts w:ascii="Times New Roman" w:hAnsi="Times New Roman"/>
          <w:vertAlign w:val="superscript"/>
        </w:rPr>
        <w:footnoteReference w:id="2"/>
      </w:r>
      <w:r w:rsidRPr="00545BCB">
        <w:rPr>
          <w:rFonts w:ascii="Times New Roman" w:hAnsi="Times New Roman"/>
        </w:rPr>
        <w:t xml:space="preserve">  The commenters addressed specific issues, such as: the regulatory definition of “private flood insurance;” the use of a compliance aid or regulatory safe harbor to facilitate compliance by regulated lending institutions; whether private flood insurance that does not conform to the statutory definition of “private flood insurance” can be accepted by regulated lending institutions; whether and what type of alternative criteria for such non-conforming private flood insurance should be required by the Agencies; and whether regulated lending institutions should be permitted to accept certain non-traditional, non-conforming flood insurance coverage, such as mutual aid society plans.</w:t>
      </w:r>
      <w:r>
        <w:rPr>
          <w:rFonts w:ascii="Times New Roman" w:hAnsi="Times New Roman"/>
        </w:rPr>
        <w:t xml:space="preserve">  Comments related to the Paperwork Reduction Act are addressed below.</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Pr="00CD1534"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u w:val="single"/>
        </w:rPr>
      </w:pPr>
      <w:r w:rsidRPr="00CD1534">
        <w:rPr>
          <w:rFonts w:ascii="Times New Roman" w:hAnsi="Times New Roman"/>
          <w:i/>
          <w:u w:val="single"/>
        </w:rPr>
        <w:t>Compliance Aid for Mandatory Acceptance.</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CD1534">
        <w:rPr>
          <w:rFonts w:ascii="Times New Roman" w:hAnsi="Times New Roman"/>
        </w:rPr>
        <w:t>The Agencies were concerned that many regulated lending institutions, especially small institutions with a lack of technical expertise regarding flood insurance policies, would have difficulty evaluating whether a flood insurance policy meets the definition of “private flood insurance.”  For this reason, the proposed rule included</w:t>
      </w:r>
      <w:r w:rsidRPr="00CD1534">
        <w:rPr>
          <w:rFonts w:ascii="Times New Roman" w:hAnsi="Times New Roman"/>
          <w:iCs/>
        </w:rPr>
        <w:t xml:space="preserve"> a compliance aid that provided a policy would be deemed</w:t>
      </w:r>
      <w:r w:rsidRPr="00CD1534">
        <w:rPr>
          <w:rFonts w:ascii="Times New Roman" w:hAnsi="Times New Roman"/>
        </w:rPr>
        <w:t xml:space="preserve"> to meet the definition of “private flood insurance” if the following three criteria were met: (1) the policy includes, or is accompanied by, a written summary that demonstrates how the policy meets the definition of private flood insurance by identifying the provisions of the policy that meet each criterion in the definition, and confirms that the insurer is regulated in accordance with that definition; (2) the regulated lending institution verifies in writing that the policy includes the provisions identified by the insurer in its summary and that these provisions satisfy the criteria included in the definition; and (3) the policy includes the following statement within the policy or as an endorsement to the policy: “This policy meets the definition of private flood insurance contained in 42 U.S.C. 4012a(b)(7) and the corresponding regulation.”</w:t>
      </w:r>
    </w:p>
    <w:p w:rsidR="0032126E" w:rsidRPr="00CD1534"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CD1534">
        <w:rPr>
          <w:rFonts w:ascii="Times New Roman" w:hAnsi="Times New Roman"/>
        </w:rPr>
        <w:t xml:space="preserve">   </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CD1534">
        <w:rPr>
          <w:rFonts w:ascii="Times New Roman" w:hAnsi="Times New Roman"/>
        </w:rPr>
        <w:t>The Agencies received numerous comments on the proposed compliance aid.  Although there was broad support for the inclusion of a compliance aid to facilitate regulated lending institutions’ determinations, commenters largely reacted negatively to the specific proposed criteria and contended that the proposed compliance aid would not be helpful.  Moreover, commenters stated that the proposed compliance aid would not cause insurance providers to alter their policies to include all of the requirements in the compliance aid simply to demonstrate that their policies meet the definition of “private flood insurance.”  A number of commenters suggested that a safe harbor shielding regulated lending institutions would be more useful.</w:t>
      </w:r>
    </w:p>
    <w:p w:rsidR="0032126E" w:rsidRPr="00CD1534"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CD1534">
        <w:rPr>
          <w:rFonts w:ascii="Times New Roman" w:hAnsi="Times New Roman"/>
        </w:rPr>
        <w:t>With respect to the first criterion, commenters stated that permitting a policy to be deemed to meet the definition of “private flood insurance,” only if it includes or is accompanied by a written summary that among other requirements demonstrates how the policy meets the definition of private flood insurance, would be unworkable and unnecessarily burdensome for insurance companies, which would prevent the compliance aid from becoming widely adopted.  These commenters further indicated that insurers would be reluctant to take on the additional liability potentially associated with a summary, especially because regulated lending institutions would be required to accept a policy that meets the definition of “private flood insurance” even if the policy were not accompanied by a summary.  Some commenters stated that a summary would provide assurance and recourse for regulated lending institutions, but others stated that the summary may lead to increased confusion about the breadth of coverage.</w:t>
      </w:r>
    </w:p>
    <w:p w:rsidR="0032126E" w:rsidRPr="00CD1534"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CD1534">
        <w:rPr>
          <w:rFonts w:ascii="Times New Roman" w:hAnsi="Times New Roman"/>
        </w:rPr>
        <w:t>In response to the second criterion, commenters contended that requiring a regulated lending institution to provide written verification that the policy includes the provisions identified by the insurer in its summary would be unnecessarily burdensome for regulated lending institutions, especially those that do not immediately receive all of the documentation associated with the insurance policy in a timely manner or that do not have relevant insurance expertise.  Some commenters noted that this criterion would require regulated lending institutions to duplicate the insurance company’s work under the first and third criteria and still not relieve institutions of liability for their determinations.  Others noted that this criterion would cause delays for borrowers.  One commenter proposed only requiring regulated lending institutions to verify effective dates, coverage amounts, and names of insurers for the purpose of the compliance aid.</w:t>
      </w:r>
    </w:p>
    <w:p w:rsidR="0032126E" w:rsidRPr="00CD1534"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CD1534">
        <w:rPr>
          <w:rFonts w:ascii="Times New Roman" w:hAnsi="Times New Roman"/>
        </w:rPr>
        <w:t>With respect to the third criterion, some commenters suggested that insurers would be unwilling to provide the proposed statement because it could lead to unwanted liability for the insurance company.  Other commenters stated that the statement would be unnecessarily burdensome for the insurance industry because insurers would need to compare their policies to the SFIP and possibly consult with State regulators for review or approval.  Another commenter stated that many private flood insurance policies already contain assurance clauses.  Several commenters stated that the proposed statement would provide regulated lending institutions and policyholders with adequate recourse in cases where the coverage does not actually meet the definition of “private flood insurance.”  Other commenters requested that the Agencies modify the mandatory acceptance requirement to permit or require regulated lending institutions to reject policies that are not accompanied by the statement.</w:t>
      </w:r>
    </w:p>
    <w:p w:rsidR="0032126E" w:rsidRPr="00CD1534"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CD1534">
        <w:rPr>
          <w:rFonts w:ascii="Times New Roman" w:hAnsi="Times New Roman"/>
        </w:rPr>
        <w:t>Many commenters suggested alternative approaches to make it easier for regulated lending institutions to apply the mandatory criteria and to relieve regulated lending institutions of liability for their determinations.  One commenter suggested a safe harbor based on State regulatory approval.  Two other commenters requested that the Agencies provide a template or model language for a compliance aid that could be used in insurance policies.  Several commenters supported a safe harbor that would permit regulated lending institutions to rely on insurer certifications.  Some commenters contended that this type of safe harbor would remove burden and delays, reduce risk and uncertainty, improve consistency across the market, and promote the acceptance of private flood insurance.  One commenter stated that permitting regulated lending institutions to rely on insurer certifications would align flood insurance with the larger hazard insurance market.  Another commenter stated that regulated lending institutions should be permitted to rely on any type of assurance that is legally enforceable against the insurer, rather than only allowing the statement as a provision of, or endorsement to, a private flood insurance policy.</w:t>
      </w:r>
    </w:p>
    <w:p w:rsidR="0032126E" w:rsidRPr="00CD1534"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CD1534">
        <w:rPr>
          <w:rFonts w:ascii="Times New Roman" w:hAnsi="Times New Roman"/>
        </w:rPr>
        <w:t xml:space="preserve"> </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CD1534">
        <w:rPr>
          <w:rFonts w:ascii="Times New Roman" w:hAnsi="Times New Roman"/>
        </w:rPr>
        <w:t xml:space="preserve">In response to commenter concerns, the Agencies have modified the compliance aid in the final rule to provide that a private flood insurance policy is deemed to meet the definition of “private flood insurance” if the following statement is included within the policy or as an endorsement to the policy: “This policy meets the definition of private flood insurance contained in 42 U.S.C. 4012a(b)(7) and the corresponding regulation.” </w:t>
      </w:r>
    </w:p>
    <w:p w:rsidR="0032126E" w:rsidRPr="00CD1534"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CD1534">
        <w:rPr>
          <w:rFonts w:ascii="Times New Roman" w:hAnsi="Times New Roman"/>
        </w:rPr>
        <w:t xml:space="preserve"> </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CD1534">
        <w:rPr>
          <w:rFonts w:ascii="Times New Roman" w:hAnsi="Times New Roman"/>
        </w:rPr>
        <w:t>The Agencies do not generally regulate insurers and cannot require an insurance policy to include such a statement.  However, if insurers choose to include this statement in their policies, it will facilitate the ability of regulated lending institutions, as well as consumers, to recognize policies that an institution must accept and promote the consistent acceptance of policies that meet the definition of “private flood insurance” across the market.  In this way, the compliance aid is intended to leverage the expertise of insurers to assist regulated lending institutions.  Additionally, a policy that includes this statement may provide policyholders and regulated lending institutions with recourse against insurance companies that fail to abide by the terms included in the definition of “private flood insurance.”  The Agencies note, however, that this provision does not relieve a regulated lending institution of the requirement to accept a policy that both meets the definition of “private flood insurance” and fulfills the flood insurance purchase requirement, even if the policy does not include the statement, nor does it permit regulated lending institutions to reject policies solely because they are not accompanied by the statement.</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Pr>
          <w:rFonts w:ascii="Times New Roman" w:hAnsi="Times New Roman"/>
          <w:i/>
          <w:u w:val="single"/>
        </w:rPr>
        <w:t>Discretionary Acceptance</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82212D"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Pr>
          <w:rFonts w:ascii="Times New Roman" w:hAnsi="Times New Roman"/>
        </w:rPr>
        <w:t>A</w:t>
      </w:r>
      <w:r w:rsidR="0032126E" w:rsidRPr="003106AA">
        <w:rPr>
          <w:rFonts w:ascii="Times New Roman" w:hAnsi="Times New Roman"/>
        </w:rPr>
        <w:t>lthough section 102(b)(1)(B) of the F</w:t>
      </w:r>
      <w:r w:rsidR="0032126E">
        <w:rPr>
          <w:rFonts w:ascii="Times New Roman" w:hAnsi="Times New Roman"/>
        </w:rPr>
        <w:t xml:space="preserve">lood </w:t>
      </w:r>
      <w:r w:rsidR="0032126E" w:rsidRPr="003106AA">
        <w:rPr>
          <w:rFonts w:ascii="Times New Roman" w:hAnsi="Times New Roman"/>
        </w:rPr>
        <w:t>D</w:t>
      </w:r>
      <w:r w:rsidR="0032126E">
        <w:rPr>
          <w:rFonts w:ascii="Times New Roman" w:hAnsi="Times New Roman"/>
        </w:rPr>
        <w:t xml:space="preserve">isaster </w:t>
      </w:r>
      <w:r w:rsidR="0032126E" w:rsidRPr="003106AA">
        <w:rPr>
          <w:rFonts w:ascii="Times New Roman" w:hAnsi="Times New Roman"/>
        </w:rPr>
        <w:t>P</w:t>
      </w:r>
      <w:r w:rsidR="0032126E">
        <w:rPr>
          <w:rFonts w:ascii="Times New Roman" w:hAnsi="Times New Roman"/>
        </w:rPr>
        <w:t xml:space="preserve">rotection </w:t>
      </w:r>
      <w:r w:rsidR="0032126E" w:rsidRPr="003106AA">
        <w:rPr>
          <w:rFonts w:ascii="Times New Roman" w:hAnsi="Times New Roman"/>
        </w:rPr>
        <w:t>A</w:t>
      </w:r>
      <w:r w:rsidR="0032126E">
        <w:rPr>
          <w:rFonts w:ascii="Times New Roman" w:hAnsi="Times New Roman"/>
        </w:rPr>
        <w:t>ct</w:t>
      </w:r>
      <w:r w:rsidR="0032126E" w:rsidRPr="003106AA">
        <w:rPr>
          <w:rFonts w:ascii="Times New Roman" w:hAnsi="Times New Roman"/>
          <w:vertAlign w:val="superscript"/>
        </w:rPr>
        <w:footnoteReference w:id="3"/>
      </w:r>
      <w:r w:rsidR="0032126E" w:rsidRPr="003106AA">
        <w:rPr>
          <w:rFonts w:ascii="Times New Roman" w:hAnsi="Times New Roman"/>
        </w:rPr>
        <w:t xml:space="preserve"> </w:t>
      </w:r>
      <w:r w:rsidR="0032126E">
        <w:rPr>
          <w:rFonts w:ascii="Times New Roman" w:hAnsi="Times New Roman"/>
        </w:rPr>
        <w:t xml:space="preserve">(FDPA) </w:t>
      </w:r>
      <w:r w:rsidR="0032126E" w:rsidRPr="003106AA">
        <w:rPr>
          <w:rFonts w:ascii="Times New Roman" w:hAnsi="Times New Roman"/>
        </w:rPr>
        <w:t>(as added by section 100239(a)(1) of the Biggert-Waters Act) requires a regulated lending institution to accept “private flood insurance,” as that term is defined by statute, in satisfaction of the flood insurance purchase requirement, the Biggert-Waters Act is silent about whether a regulated lending institution may accept a flood insurance policy issued by a private insurer that does not meet the statutory definition of “private flood insurance.”  Furthermore, the Agencies observe that the Biggert-Waters Act did not disturb the “flood insurance” purchase requirement in section 102(b) of the FDPA and that the term “flood insurance” in the FDPA remains undefined after the passage of the Biggert-Waters Act.  Accordingly, consistent with the Congressional intent of the Biggert-Waters Act to stimulate the private flood insurance market,</w:t>
      </w:r>
      <w:r w:rsidR="0032126E" w:rsidRPr="003106AA">
        <w:rPr>
          <w:rFonts w:ascii="Times New Roman" w:hAnsi="Times New Roman"/>
          <w:vertAlign w:val="superscript"/>
        </w:rPr>
        <w:footnoteReference w:id="4"/>
      </w:r>
      <w:r w:rsidR="0032126E" w:rsidRPr="003106AA">
        <w:rPr>
          <w:rFonts w:ascii="Times New Roman" w:hAnsi="Times New Roman"/>
        </w:rPr>
        <w:t xml:space="preserve"> the Agencies are construing the term “flood insurance” in the flood insurance purchase requirement in section 102(b) of the FDPA to continue to permit regulated lending institutions to exercise their discretion to accept certain policies issued by private insurers that may not contain all of the criteria in the statutory definition of “private flood insurance” in satisfaction of the mandatory purchase requirement.</w:t>
      </w:r>
    </w:p>
    <w:p w:rsidR="0032126E" w:rsidRPr="003106AA"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3106AA">
        <w:rPr>
          <w:rFonts w:ascii="Times New Roman" w:hAnsi="Times New Roman"/>
        </w:rPr>
        <w:t>To this end, the proposed rule provided that regulated lending institutions could accept, on a discretionary basis, a flood insurance policy issued by a private insurer if the policy meets the amount and term requirements specified in the flood insurance purchase requirement, and</w:t>
      </w:r>
      <w:r>
        <w:rPr>
          <w:rFonts w:ascii="Times New Roman" w:hAnsi="Times New Roman"/>
        </w:rPr>
        <w:t xml:space="preserve"> certain enumerated conditions are met including whether the coverage afforded by a private flood insurance policy “is similar” to that provided under the Standard Flood Insurance Policy (SFIP).</w:t>
      </w:r>
    </w:p>
    <w:p w:rsidR="0032126E" w:rsidRPr="003106AA"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3106AA">
        <w:rPr>
          <w:rFonts w:ascii="Times New Roman" w:hAnsi="Times New Roman"/>
        </w:rPr>
        <w:t xml:space="preserve"> </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3106AA">
        <w:rPr>
          <w:rFonts w:ascii="Times New Roman" w:hAnsi="Times New Roman"/>
        </w:rPr>
        <w:t>The proposed rule stated that to determine whether the coverage “is similar” to coverage provided under an SFIP, a regulated lending institution would have to: (1) compare the private policy with an SFIP to determine the differences between the private policy and an SFIP; (2) reasonably determine that the private policy provides sufficient protection of the loan secured by the property located in an SFHA; and</w:t>
      </w:r>
      <w:r>
        <w:rPr>
          <w:rFonts w:ascii="Times New Roman" w:hAnsi="Times New Roman"/>
        </w:rPr>
        <w:t xml:space="preserve"> (3) document its findings.</w:t>
      </w:r>
    </w:p>
    <w:p w:rsidR="0032126E" w:rsidRPr="003106AA"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3106AA">
        <w:rPr>
          <w:rFonts w:ascii="Times New Roman" w:hAnsi="Times New Roman"/>
        </w:rPr>
        <w:t xml:space="preserve"> </w:t>
      </w:r>
    </w:p>
    <w:p w:rsidR="0082212D" w:rsidRDefault="0082212D"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82212D">
        <w:rPr>
          <w:rFonts w:ascii="Times New Roman" w:hAnsi="Times New Roman"/>
        </w:rPr>
        <w:t>Some commenters opposed the requirement that regulated lending institutions document their findings relating to the comparison of the policy to an SFIP and the determination that the policy provides sufficient protection of the loan.  One commenter stated that regulated lending institutions will avoid accepting private policies because they will be unwilling to undergo the work necessary to document decisions.  Another commenter supported allowing regulated lending institutions to use existing practices and a basic checklist instead of the more burdensome process required by the proposal.</w:t>
      </w:r>
      <w:r>
        <w:rPr>
          <w:rFonts w:ascii="Times New Roman" w:hAnsi="Times New Roman"/>
        </w:rPr>
        <w:t xml:space="preserve">  </w:t>
      </w:r>
      <w:r w:rsidRPr="0082212D">
        <w:rPr>
          <w:rFonts w:ascii="Times New Roman" w:hAnsi="Times New Roman"/>
        </w:rPr>
        <w:t>Several commenters requested a compliance aid, as provided for the proposed mandatory acceptance provision, to assist regulated lending institutions in performing the discretionary acceptance analysis.</w:t>
      </w:r>
      <w:r w:rsidRPr="0082212D">
        <w:rPr>
          <w:rFonts w:ascii="Times New Roman" w:hAnsi="Times New Roman"/>
          <w:b/>
        </w:rPr>
        <w:t xml:space="preserve">  </w:t>
      </w:r>
      <w:r w:rsidRPr="0082212D">
        <w:rPr>
          <w:rFonts w:ascii="Times New Roman" w:hAnsi="Times New Roman"/>
        </w:rPr>
        <w:t>One commenter suggested that a compliance aid could take the form of a model disclosure form.</w:t>
      </w:r>
    </w:p>
    <w:p w:rsidR="00C95659" w:rsidRDefault="00C95659"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C95659" w:rsidRPr="00C95659" w:rsidRDefault="00C95659" w:rsidP="00C95659">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C95659">
        <w:rPr>
          <w:rFonts w:ascii="Times New Roman" w:hAnsi="Times New Roman"/>
        </w:rPr>
        <w:t>After reviewing the comment letters, the Agencies have concluded that the final rule should include a discretionary acceptance provision, but that the provision should be less burdensome and restrictive than that included in the proposed rule, and more closely reflect the current policy of the Agencies with respect to both private flood i</w:t>
      </w:r>
      <w:r>
        <w:rPr>
          <w:rFonts w:ascii="Times New Roman" w:hAnsi="Times New Roman"/>
        </w:rPr>
        <w:t xml:space="preserve">nsurance and hazard insurance.  </w:t>
      </w:r>
      <w:r w:rsidRPr="00C95659">
        <w:rPr>
          <w:rFonts w:ascii="Times New Roman" w:hAnsi="Times New Roman"/>
        </w:rPr>
        <w:t>As a result of these modifications, the final rule permits regulated lending institutions to accept flood insurance policies issued by private insurers that do not meet the statutory and regulatory definition of “private flood insurance” if four criteria are met.</w:t>
      </w:r>
      <w:r w:rsidRPr="00C95659">
        <w:rPr>
          <w:rFonts w:ascii="Times New Roman" w:hAnsi="Times New Roman"/>
          <w:vertAlign w:val="superscript"/>
        </w:rPr>
        <w:footnoteReference w:id="5"/>
      </w:r>
    </w:p>
    <w:p w:rsidR="00C95659" w:rsidRPr="00C95659" w:rsidRDefault="00C95659" w:rsidP="00C95659">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C95659" w:rsidRDefault="00C95659" w:rsidP="000A00DD">
      <w:pPr>
        <w:pStyle w:val="ListParagraph"/>
        <w:widowControl/>
        <w:numPr>
          <w:ilvl w:val="0"/>
          <w:numId w:val="5"/>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contextualSpacing w:val="0"/>
        <w:rPr>
          <w:rFonts w:ascii="Times New Roman" w:hAnsi="Times New Roman"/>
          <w:bCs/>
        </w:rPr>
      </w:pPr>
      <w:r>
        <w:rPr>
          <w:rFonts w:ascii="Times New Roman" w:hAnsi="Times New Roman"/>
        </w:rPr>
        <w:t>T</w:t>
      </w:r>
      <w:r w:rsidRPr="00C95659">
        <w:rPr>
          <w:rFonts w:ascii="Times New Roman" w:hAnsi="Times New Roman"/>
        </w:rPr>
        <w:t xml:space="preserve">he policy must provide coverage in the amount required by </w:t>
      </w:r>
      <w:r w:rsidRPr="00C95659">
        <w:rPr>
          <w:rFonts w:ascii="Times New Roman" w:hAnsi="Times New Roman"/>
          <w:bCs/>
        </w:rPr>
        <w:t>the flood insurance purchase requirement</w:t>
      </w:r>
      <w:r w:rsidR="000A00DD">
        <w:rPr>
          <w:rFonts w:ascii="Times New Roman" w:hAnsi="Times New Roman"/>
          <w:bCs/>
        </w:rPr>
        <w:t>;</w:t>
      </w:r>
    </w:p>
    <w:p w:rsidR="000A00DD" w:rsidRDefault="000A00DD" w:rsidP="000A00DD">
      <w:pPr>
        <w:pStyle w:val="ListParagraph"/>
        <w:widowControl/>
        <w:numPr>
          <w:ilvl w:val="0"/>
          <w:numId w:val="5"/>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contextualSpacing w:val="0"/>
        <w:rPr>
          <w:rFonts w:ascii="Times New Roman" w:hAnsi="Times New Roman"/>
          <w:bCs/>
        </w:rPr>
      </w:pPr>
      <w:r>
        <w:rPr>
          <w:rFonts w:ascii="Times New Roman" w:hAnsi="Times New Roman"/>
          <w:bCs/>
        </w:rPr>
        <w:t>T</w:t>
      </w:r>
      <w:r w:rsidRPr="000A00DD">
        <w:rPr>
          <w:rFonts w:ascii="Times New Roman" w:hAnsi="Times New Roman"/>
          <w:bCs/>
        </w:rPr>
        <w:t>he policy must be issued by an insurer that is licensed, admitted, or otherwise approved to engage in the business of insurance by the insurance regulator of the State or jurisdiction in which the property to be insured is located; or in the case of a policy of difference in conditions, multiple peril, all risk, or other blanket coverage insuring nonresidential commercial property, is issued by a surplus lines insurer recognized, or not disapproved, by the insurance regulator of the State or jurisdiction where the property to be insured is located</w:t>
      </w:r>
      <w:r>
        <w:rPr>
          <w:rFonts w:ascii="Times New Roman" w:hAnsi="Times New Roman"/>
          <w:bCs/>
        </w:rPr>
        <w:t>;</w:t>
      </w:r>
      <w:r>
        <w:rPr>
          <w:rStyle w:val="FootnoteReference"/>
          <w:rFonts w:ascii="Times New Roman" w:hAnsi="Times New Roman"/>
          <w:bCs/>
        </w:rPr>
        <w:footnoteReference w:id="6"/>
      </w:r>
    </w:p>
    <w:p w:rsidR="000A00DD" w:rsidRDefault="000A00DD" w:rsidP="000A00DD">
      <w:pPr>
        <w:pStyle w:val="ListParagraph"/>
        <w:widowControl/>
        <w:numPr>
          <w:ilvl w:val="0"/>
          <w:numId w:val="5"/>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contextualSpacing w:val="0"/>
        <w:rPr>
          <w:rFonts w:ascii="Times New Roman" w:hAnsi="Times New Roman"/>
          <w:bCs/>
        </w:rPr>
      </w:pPr>
      <w:r>
        <w:rPr>
          <w:rFonts w:ascii="Times New Roman" w:hAnsi="Times New Roman"/>
          <w:bCs/>
        </w:rPr>
        <w:t>T</w:t>
      </w:r>
      <w:r w:rsidRPr="000A00DD">
        <w:rPr>
          <w:rFonts w:ascii="Times New Roman" w:hAnsi="Times New Roman"/>
          <w:bCs/>
        </w:rPr>
        <w:t>he policy must cover both the mortgagor(s) and the mortgagee(s) as loss payees, except in the case of a policy that is provided by a condominium association, cooperative, homeowners association, or other applicable group and for which the premium is paid by the condominium association, cooperative, homeowners association, or other applicable group as a common expense</w:t>
      </w:r>
      <w:r>
        <w:rPr>
          <w:rFonts w:ascii="Times New Roman" w:hAnsi="Times New Roman"/>
          <w:bCs/>
        </w:rPr>
        <w:t>; and</w:t>
      </w:r>
    </w:p>
    <w:p w:rsidR="000A00DD" w:rsidRPr="00C95659" w:rsidRDefault="000A00DD" w:rsidP="000A00DD">
      <w:pPr>
        <w:pStyle w:val="ListParagraph"/>
        <w:widowControl/>
        <w:numPr>
          <w:ilvl w:val="0"/>
          <w:numId w:val="5"/>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ascii="Times New Roman" w:hAnsi="Times New Roman"/>
          <w:bCs/>
        </w:rPr>
      </w:pPr>
      <w:r>
        <w:rPr>
          <w:rFonts w:ascii="Times New Roman" w:hAnsi="Times New Roman"/>
          <w:bCs/>
        </w:rPr>
        <w:t>T</w:t>
      </w:r>
      <w:r w:rsidRPr="000A00DD">
        <w:rPr>
          <w:rFonts w:ascii="Times New Roman" w:hAnsi="Times New Roman"/>
          <w:bCs/>
        </w:rPr>
        <w:t>he policy must provide sufficient protection of the designated loan, consistent with general safety and soundness principles, and the regulated lending institution must document its conclusion in writing.</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432"/>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Payment</w:t>
      </w:r>
      <w:r w:rsidR="00517530">
        <w:rPr>
          <w:rFonts w:ascii="Times New Roman" w:hAnsi="Times New Roman"/>
          <w:u w:val="single"/>
        </w:rPr>
        <w:t>s</w:t>
      </w:r>
      <w:r>
        <w:rPr>
          <w:rFonts w:ascii="Times New Roman" w:hAnsi="Times New Roman"/>
          <w:u w:val="single"/>
        </w:rPr>
        <w:t xml:space="preserve"> or </w:t>
      </w:r>
      <w:r w:rsidR="00517530">
        <w:rPr>
          <w:rFonts w:ascii="Times New Roman" w:hAnsi="Times New Roman"/>
          <w:u w:val="single"/>
        </w:rPr>
        <w:t>g</w:t>
      </w:r>
      <w:r>
        <w:rPr>
          <w:rFonts w:ascii="Times New Roman" w:hAnsi="Times New Roman"/>
          <w:u w:val="single"/>
        </w:rPr>
        <w:t>ift</w:t>
      </w:r>
      <w:r w:rsidR="00517530">
        <w:rPr>
          <w:rFonts w:ascii="Times New Roman" w:hAnsi="Times New Roman"/>
          <w:u w:val="single"/>
        </w:rPr>
        <w:t>s to r</w:t>
      </w:r>
      <w:r>
        <w:rPr>
          <w:rFonts w:ascii="Times New Roman" w:hAnsi="Times New Roman"/>
          <w:u w:val="single"/>
        </w:rPr>
        <w:t>espondents</w:t>
      </w:r>
      <w:r w:rsidR="00517530">
        <w:rPr>
          <w:rFonts w:ascii="Times New Roman" w:hAnsi="Times New Roman"/>
          <w:u w:val="single"/>
        </w:rPr>
        <w:t>:</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Pr>
          <w:rFonts w:ascii="Times New Roman" w:hAnsi="Times New Roman"/>
        </w:rPr>
        <w:t>None.</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432"/>
        <w:rPr>
          <w:rFonts w:ascii="Times New Roman" w:hAnsi="Times New Roman"/>
        </w:rPr>
      </w:pPr>
      <w:r>
        <w:rPr>
          <w:rFonts w:ascii="Times New Roman" w:hAnsi="Times New Roman"/>
        </w:rPr>
        <w:t>10.</w:t>
      </w:r>
      <w:r>
        <w:rPr>
          <w:rFonts w:ascii="Times New Roman" w:hAnsi="Times New Roman"/>
        </w:rPr>
        <w:tab/>
      </w:r>
      <w:r w:rsidR="00517530" w:rsidRPr="00647F97">
        <w:rPr>
          <w:rFonts w:ascii="Times New Roman TUR" w:hAnsi="Times New Roman TUR" w:cs="Times New Roman TUR"/>
          <w:bCs/>
          <w:u w:val="single"/>
        </w:rPr>
        <w:t>Any assurance of confidentiality:</w:t>
      </w:r>
      <w:r>
        <w:rPr>
          <w:rFonts w:ascii="Times New Roman" w:hAnsi="Times New Roman"/>
        </w:rPr>
        <w:tab/>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Pr>
          <w:rFonts w:ascii="Times New Roman" w:hAnsi="Times New Roman"/>
        </w:rPr>
        <w:t xml:space="preserve">All required records </w:t>
      </w:r>
      <w:r w:rsidRPr="000A3CF9">
        <w:rPr>
          <w:rFonts w:ascii="Times New Roman" w:hAnsi="Times New Roman"/>
          <w:szCs w:val="24"/>
        </w:rPr>
        <w:t xml:space="preserve">will be kept </w:t>
      </w:r>
      <w:r>
        <w:rPr>
          <w:rFonts w:ascii="Times New Roman" w:hAnsi="Times New Roman"/>
          <w:szCs w:val="24"/>
        </w:rPr>
        <w:t>private</w:t>
      </w:r>
      <w:r w:rsidRPr="000A3CF9">
        <w:rPr>
          <w:rFonts w:ascii="Times New Roman" w:hAnsi="Times New Roman"/>
          <w:szCs w:val="24"/>
        </w:rPr>
        <w:t xml:space="preserve"> to extent permitted by law</w:t>
      </w:r>
      <w:r>
        <w:rPr>
          <w:rFonts w:ascii="Times New Roman" w:hAnsi="Times New Roman"/>
          <w:szCs w:val="24"/>
        </w:rPr>
        <w:t>.</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517530" w:rsidP="0032126E">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647F97">
        <w:rPr>
          <w:rFonts w:ascii="Times New Roman TUR" w:hAnsi="Times New Roman TUR" w:cs="Times New Roman TUR"/>
          <w:bCs/>
          <w:u w:val="single"/>
        </w:rPr>
        <w:t>Justification for questions of a sensitive nature:</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ab/>
      </w:r>
      <w:r w:rsidR="00C71824">
        <w:rPr>
          <w:rFonts w:ascii="Times New Roman" w:hAnsi="Times New Roman"/>
        </w:rPr>
        <w:t>T</w:t>
      </w:r>
      <w:r w:rsidR="00C71824" w:rsidRPr="009E4FE6">
        <w:rPr>
          <w:rFonts w:ascii="Times New Roman" w:hAnsi="Times New Roman"/>
        </w:rPr>
        <w:t>he information collection does not request information of a sensitive nature</w:t>
      </w:r>
      <w:r>
        <w:rPr>
          <w:rFonts w:ascii="Times New Roman" w:hAnsi="Times New Roman"/>
        </w:rPr>
        <w:t>.</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C71824" w:rsidP="0032126E">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E4FE6">
        <w:rPr>
          <w:rFonts w:ascii="Times New Roman" w:hAnsi="Times New Roman"/>
          <w:u w:val="single"/>
        </w:rPr>
        <w:t xml:space="preserve">Estimate of </w:t>
      </w:r>
      <w:r>
        <w:rPr>
          <w:rFonts w:ascii="Times New Roman" w:hAnsi="Times New Roman"/>
          <w:u w:val="single"/>
        </w:rPr>
        <w:t>hour burden including annualized hourly c</w:t>
      </w:r>
      <w:r w:rsidRPr="009E4FE6">
        <w:rPr>
          <w:rFonts w:ascii="Times New Roman" w:hAnsi="Times New Roman"/>
          <w:u w:val="single"/>
        </w:rPr>
        <w:t>osts:</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32126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963BA6">
        <w:rPr>
          <w:rFonts w:ascii="Times New Roman" w:hAnsi="Times New Roman"/>
        </w:rPr>
        <w:t xml:space="preserve">FDIC estimates total annual burden to be </w:t>
      </w:r>
      <w:r>
        <w:rPr>
          <w:rFonts w:ascii="Times New Roman" w:hAnsi="Times New Roman"/>
          <w:b/>
        </w:rPr>
        <w:t>527,546</w:t>
      </w:r>
      <w:r w:rsidRPr="00963BA6">
        <w:rPr>
          <w:rFonts w:ascii="Times New Roman" w:hAnsi="Times New Roman"/>
          <w:b/>
        </w:rPr>
        <w:t xml:space="preserve"> hours.  </w:t>
      </w:r>
      <w:r w:rsidRPr="00963BA6">
        <w:rPr>
          <w:rFonts w:ascii="Times New Roman" w:hAnsi="Times New Roman"/>
        </w:rPr>
        <w:t xml:space="preserve">To obtain this figure, FDIC relied on: (a) data from the Federal Emergency Management Agency (FEMA) as of </w:t>
      </w:r>
      <w:r>
        <w:rPr>
          <w:rFonts w:ascii="Times New Roman" w:hAnsi="Times New Roman"/>
        </w:rPr>
        <w:t>January 2019</w:t>
      </w:r>
      <w:r w:rsidRPr="00963BA6">
        <w:rPr>
          <w:rFonts w:ascii="Times New Roman" w:hAnsi="Times New Roman"/>
        </w:rPr>
        <w:t xml:space="preserve">; (b) FDIC Call Report data as of </w:t>
      </w:r>
      <w:r>
        <w:rPr>
          <w:rFonts w:ascii="Times New Roman" w:hAnsi="Times New Roman"/>
        </w:rPr>
        <w:t>December 31, 2018</w:t>
      </w:r>
      <w:r w:rsidRPr="00963BA6">
        <w:rPr>
          <w:rFonts w:ascii="Times New Roman" w:hAnsi="Times New Roman"/>
        </w:rPr>
        <w:t xml:space="preserve">; and (c) Federal Reserve Board mortgage data as of </w:t>
      </w:r>
      <w:r>
        <w:rPr>
          <w:rFonts w:ascii="Times New Roman" w:hAnsi="Times New Roman"/>
        </w:rPr>
        <w:t>December 31, 2018</w:t>
      </w:r>
      <w:r w:rsidRPr="00963BA6">
        <w:rPr>
          <w:rFonts w:ascii="Times New Roman" w:hAnsi="Times New Roman"/>
        </w:rPr>
        <w:t>.</w:t>
      </w:r>
    </w:p>
    <w:p w:rsidR="008F76D4" w:rsidRPr="00A87533" w:rsidRDefault="008F76D4" w:rsidP="0032126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336"/>
        <w:gridCol w:w="2685"/>
        <w:gridCol w:w="1630"/>
        <w:gridCol w:w="1325"/>
        <w:gridCol w:w="102"/>
        <w:gridCol w:w="873"/>
        <w:gridCol w:w="887"/>
        <w:gridCol w:w="492"/>
      </w:tblGrid>
      <w:tr w:rsidR="0032126E" w:rsidRPr="000B6E98" w:rsidDel="00E14D9B" w:rsidTr="005049D0">
        <w:trPr>
          <w:gridAfter w:val="1"/>
          <w:wAfter w:w="492" w:type="dxa"/>
          <w:trHeight w:val="288"/>
          <w:jc w:val="center"/>
        </w:trPr>
        <w:tc>
          <w:tcPr>
            <w:tcW w:w="6021" w:type="dxa"/>
            <w:gridSpan w:val="6"/>
            <w:tcBorders>
              <w:left w:val="nil"/>
              <w:bottom w:val="nil"/>
              <w:right w:val="nil"/>
            </w:tcBorders>
            <w:shd w:val="clear" w:color="auto" w:fill="auto"/>
            <w:noWrap/>
            <w:vAlign w:val="center"/>
          </w:tcPr>
          <w:p w:rsidR="0032126E" w:rsidRPr="000B6E98" w:rsidDel="00E14D9B" w:rsidRDefault="0032126E" w:rsidP="005049D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napToGrid/>
                <w:sz w:val="20"/>
              </w:rPr>
            </w:pPr>
          </w:p>
        </w:tc>
        <w:tc>
          <w:tcPr>
            <w:tcW w:w="1760" w:type="dxa"/>
            <w:gridSpan w:val="2"/>
            <w:tcBorders>
              <w:left w:val="nil"/>
              <w:bottom w:val="nil"/>
              <w:right w:val="nil"/>
            </w:tcBorders>
            <w:shd w:val="clear" w:color="auto" w:fill="auto"/>
            <w:noWrap/>
            <w:vAlign w:val="center"/>
          </w:tcPr>
          <w:p w:rsidR="0032126E" w:rsidRPr="000B6E98" w:rsidDel="00E14D9B" w:rsidRDefault="0032126E" w:rsidP="005049D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napToGrid/>
                <w:sz w:val="20"/>
              </w:rPr>
            </w:pPr>
          </w:p>
        </w:tc>
      </w:tr>
      <w:tr w:rsidR="0032126E" w:rsidRPr="005501DE" w:rsidTr="005049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24"/>
        </w:trPr>
        <w:tc>
          <w:tcPr>
            <w:tcW w:w="818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Table 1: Burden Calculation</w:t>
            </w:r>
          </w:p>
        </w:tc>
      </w:tr>
      <w:tr w:rsidR="0032126E" w:rsidRPr="005501DE" w:rsidTr="005049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636"/>
        </w:trPr>
        <w:tc>
          <w:tcPr>
            <w:tcW w:w="186" w:type="dxa"/>
            <w:tcBorders>
              <w:top w:val="nil"/>
              <w:left w:val="single" w:sz="8" w:space="0" w:color="auto"/>
              <w:bottom w:val="single" w:sz="8" w:space="0" w:color="auto"/>
              <w:right w:val="single" w:sz="4" w:space="0" w:color="auto"/>
            </w:tcBorders>
            <w:shd w:val="clear" w:color="auto" w:fill="auto"/>
            <w:noWrap/>
            <w:vAlign w:val="bottom"/>
            <w:hideMark/>
          </w:tcPr>
          <w:p w:rsidR="0032126E" w:rsidRPr="005501DE" w:rsidRDefault="0032126E" w:rsidP="005049D0">
            <w:pPr>
              <w:widowControl/>
              <w:rPr>
                <w:rFonts w:ascii="Times New Roman" w:hAnsi="Times New Roman"/>
                <w:snapToGrid/>
                <w:color w:val="000000"/>
                <w:szCs w:val="24"/>
              </w:rPr>
            </w:pPr>
            <w:r w:rsidRPr="005501DE">
              <w:rPr>
                <w:rFonts w:ascii="Times New Roman" w:hAnsi="Times New Roman"/>
                <w:snapToGrid/>
                <w:color w:val="000000"/>
                <w:szCs w:val="24"/>
              </w:rPr>
              <w:t> </w:t>
            </w:r>
          </w:p>
        </w:tc>
        <w:tc>
          <w:tcPr>
            <w:tcW w:w="2685" w:type="dxa"/>
            <w:tcBorders>
              <w:top w:val="nil"/>
              <w:left w:val="nil"/>
              <w:bottom w:val="single" w:sz="8" w:space="0" w:color="auto"/>
              <w:right w:val="single" w:sz="4" w:space="0" w:color="auto"/>
            </w:tcBorders>
            <w:shd w:val="clear" w:color="auto" w:fill="auto"/>
            <w:vAlign w:val="center"/>
            <w:hideMark/>
          </w:tcPr>
          <w:p w:rsidR="0032126E" w:rsidRPr="005501DE" w:rsidRDefault="0032126E" w:rsidP="005049D0">
            <w:pPr>
              <w:widowControl/>
              <w:rPr>
                <w:rFonts w:ascii="Times New Roman" w:hAnsi="Times New Roman"/>
                <w:snapToGrid/>
                <w:color w:val="000000"/>
                <w:szCs w:val="24"/>
              </w:rPr>
            </w:pPr>
            <w:r w:rsidRPr="005501DE">
              <w:rPr>
                <w:rFonts w:ascii="Times New Roman" w:hAnsi="Times New Roman"/>
                <w:snapToGrid/>
                <w:color w:val="000000"/>
                <w:szCs w:val="24"/>
              </w:rPr>
              <w:t>Item</w:t>
            </w:r>
          </w:p>
        </w:tc>
        <w:tc>
          <w:tcPr>
            <w:tcW w:w="1630" w:type="dxa"/>
            <w:tcBorders>
              <w:top w:val="nil"/>
              <w:left w:val="nil"/>
              <w:bottom w:val="single" w:sz="8" w:space="0" w:color="auto"/>
              <w:right w:val="single" w:sz="4" w:space="0" w:color="auto"/>
            </w:tcBorders>
            <w:shd w:val="clear" w:color="auto" w:fill="auto"/>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Number of Respondents</w:t>
            </w:r>
          </w:p>
        </w:tc>
        <w:tc>
          <w:tcPr>
            <w:tcW w:w="1325" w:type="dxa"/>
            <w:tcBorders>
              <w:top w:val="nil"/>
              <w:left w:val="nil"/>
              <w:bottom w:val="single" w:sz="8" w:space="0" w:color="auto"/>
              <w:right w:val="single" w:sz="4" w:space="0" w:color="auto"/>
            </w:tcBorders>
            <w:shd w:val="clear" w:color="auto" w:fill="auto"/>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Frequency</w:t>
            </w:r>
          </w:p>
        </w:tc>
        <w:tc>
          <w:tcPr>
            <w:tcW w:w="975" w:type="dxa"/>
            <w:gridSpan w:val="2"/>
            <w:tcBorders>
              <w:top w:val="nil"/>
              <w:left w:val="nil"/>
              <w:bottom w:val="single" w:sz="8" w:space="0" w:color="auto"/>
              <w:right w:val="single" w:sz="4" w:space="0" w:color="auto"/>
            </w:tcBorders>
            <w:shd w:val="clear" w:color="auto" w:fill="auto"/>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Hours</w:t>
            </w:r>
          </w:p>
        </w:tc>
        <w:tc>
          <w:tcPr>
            <w:tcW w:w="1379" w:type="dxa"/>
            <w:gridSpan w:val="2"/>
            <w:tcBorders>
              <w:top w:val="nil"/>
              <w:left w:val="nil"/>
              <w:bottom w:val="single" w:sz="8" w:space="0" w:color="auto"/>
              <w:right w:val="single" w:sz="8" w:space="0" w:color="auto"/>
            </w:tcBorders>
            <w:shd w:val="clear" w:color="auto" w:fill="auto"/>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Total Hours</w:t>
            </w:r>
          </w:p>
        </w:tc>
      </w:tr>
      <w:tr w:rsidR="0032126E" w:rsidRPr="005501DE" w:rsidTr="005049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24"/>
        </w:trPr>
        <w:tc>
          <w:tcPr>
            <w:tcW w:w="186" w:type="dxa"/>
            <w:tcBorders>
              <w:top w:val="nil"/>
              <w:left w:val="single" w:sz="8" w:space="0" w:color="auto"/>
              <w:bottom w:val="single" w:sz="4" w:space="0" w:color="auto"/>
              <w:right w:val="single" w:sz="8"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1</w:t>
            </w:r>
          </w:p>
        </w:tc>
        <w:tc>
          <w:tcPr>
            <w:tcW w:w="2685" w:type="dxa"/>
            <w:tcBorders>
              <w:top w:val="nil"/>
              <w:left w:val="nil"/>
              <w:bottom w:val="single" w:sz="4" w:space="0" w:color="auto"/>
              <w:right w:val="single" w:sz="4" w:space="0" w:color="auto"/>
            </w:tcBorders>
            <w:shd w:val="clear" w:color="auto" w:fill="auto"/>
            <w:hideMark/>
          </w:tcPr>
          <w:p w:rsidR="0032126E" w:rsidRPr="005501DE" w:rsidRDefault="0032126E" w:rsidP="005049D0">
            <w:pPr>
              <w:widowControl/>
              <w:rPr>
                <w:rFonts w:ascii="Times New Roman" w:hAnsi="Times New Roman"/>
                <w:snapToGrid/>
                <w:color w:val="000000"/>
                <w:szCs w:val="24"/>
              </w:rPr>
            </w:pPr>
            <w:r w:rsidRPr="005501DE">
              <w:rPr>
                <w:rFonts w:ascii="Times New Roman" w:hAnsi="Times New Roman"/>
                <w:snapToGrid/>
                <w:color w:val="000000"/>
                <w:szCs w:val="24"/>
              </w:rPr>
              <w:t>Disclosure to the Borrower</w:t>
            </w:r>
          </w:p>
        </w:tc>
        <w:tc>
          <w:tcPr>
            <w:tcW w:w="1630" w:type="dxa"/>
            <w:tcBorders>
              <w:top w:val="nil"/>
              <w:left w:val="nil"/>
              <w:bottom w:val="single" w:sz="4"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3,465</w:t>
            </w:r>
          </w:p>
        </w:tc>
        <w:tc>
          <w:tcPr>
            <w:tcW w:w="1325" w:type="dxa"/>
            <w:tcBorders>
              <w:top w:val="nil"/>
              <w:left w:val="nil"/>
              <w:bottom w:val="single" w:sz="4"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150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0.225</w:t>
            </w:r>
          </w:p>
        </w:tc>
        <w:tc>
          <w:tcPr>
            <w:tcW w:w="1379" w:type="dxa"/>
            <w:gridSpan w:val="2"/>
            <w:tcBorders>
              <w:top w:val="nil"/>
              <w:left w:val="nil"/>
              <w:bottom w:val="single" w:sz="4" w:space="0" w:color="auto"/>
              <w:right w:val="single" w:sz="8"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116,944</w:t>
            </w:r>
          </w:p>
        </w:tc>
      </w:tr>
      <w:tr w:rsidR="0032126E" w:rsidRPr="005501DE" w:rsidTr="005049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24"/>
        </w:trPr>
        <w:tc>
          <w:tcPr>
            <w:tcW w:w="186" w:type="dxa"/>
            <w:tcBorders>
              <w:top w:val="nil"/>
              <w:left w:val="single" w:sz="8" w:space="0" w:color="auto"/>
              <w:bottom w:val="single" w:sz="4" w:space="0" w:color="auto"/>
              <w:right w:val="single" w:sz="8"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2</w:t>
            </w:r>
          </w:p>
        </w:tc>
        <w:tc>
          <w:tcPr>
            <w:tcW w:w="2685" w:type="dxa"/>
            <w:tcBorders>
              <w:top w:val="nil"/>
              <w:left w:val="nil"/>
              <w:bottom w:val="single" w:sz="4" w:space="0" w:color="auto"/>
              <w:right w:val="single" w:sz="4" w:space="0" w:color="auto"/>
            </w:tcBorders>
            <w:shd w:val="clear" w:color="auto" w:fill="auto"/>
            <w:hideMark/>
          </w:tcPr>
          <w:p w:rsidR="0032126E" w:rsidRPr="005501DE" w:rsidRDefault="0032126E" w:rsidP="005049D0">
            <w:pPr>
              <w:widowControl/>
              <w:rPr>
                <w:rFonts w:ascii="Times New Roman" w:hAnsi="Times New Roman"/>
                <w:snapToGrid/>
                <w:color w:val="000000"/>
                <w:szCs w:val="24"/>
              </w:rPr>
            </w:pPr>
            <w:r w:rsidRPr="005501DE">
              <w:rPr>
                <w:rFonts w:ascii="Times New Roman" w:hAnsi="Times New Roman"/>
                <w:snapToGrid/>
                <w:color w:val="000000"/>
                <w:szCs w:val="24"/>
              </w:rPr>
              <w:t>Disclosure to the Servicer</w:t>
            </w:r>
          </w:p>
        </w:tc>
        <w:tc>
          <w:tcPr>
            <w:tcW w:w="1630" w:type="dxa"/>
            <w:tcBorders>
              <w:top w:val="nil"/>
              <w:left w:val="nil"/>
              <w:bottom w:val="single" w:sz="4"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3,465</w:t>
            </w:r>
          </w:p>
        </w:tc>
        <w:tc>
          <w:tcPr>
            <w:tcW w:w="1325" w:type="dxa"/>
            <w:tcBorders>
              <w:top w:val="nil"/>
              <w:left w:val="nil"/>
              <w:bottom w:val="single" w:sz="4"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150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0.225</w:t>
            </w:r>
          </w:p>
        </w:tc>
        <w:tc>
          <w:tcPr>
            <w:tcW w:w="1379" w:type="dxa"/>
            <w:gridSpan w:val="2"/>
            <w:tcBorders>
              <w:top w:val="nil"/>
              <w:left w:val="nil"/>
              <w:bottom w:val="single" w:sz="4" w:space="0" w:color="auto"/>
              <w:right w:val="single" w:sz="8"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116,944</w:t>
            </w:r>
          </w:p>
        </w:tc>
      </w:tr>
      <w:tr w:rsidR="0032126E" w:rsidRPr="005501DE" w:rsidTr="005049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684"/>
        </w:trPr>
        <w:tc>
          <w:tcPr>
            <w:tcW w:w="186" w:type="dxa"/>
            <w:tcBorders>
              <w:top w:val="nil"/>
              <w:left w:val="single" w:sz="8" w:space="0" w:color="auto"/>
              <w:bottom w:val="single" w:sz="4" w:space="0" w:color="auto"/>
              <w:right w:val="single" w:sz="8"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3</w:t>
            </w:r>
          </w:p>
        </w:tc>
        <w:tc>
          <w:tcPr>
            <w:tcW w:w="2685" w:type="dxa"/>
            <w:tcBorders>
              <w:top w:val="nil"/>
              <w:left w:val="nil"/>
              <w:bottom w:val="single" w:sz="4" w:space="0" w:color="auto"/>
              <w:right w:val="single" w:sz="4" w:space="0" w:color="auto"/>
            </w:tcBorders>
            <w:shd w:val="clear" w:color="auto" w:fill="auto"/>
            <w:hideMark/>
          </w:tcPr>
          <w:p w:rsidR="0032126E" w:rsidRPr="005501DE" w:rsidRDefault="0032126E" w:rsidP="005049D0">
            <w:pPr>
              <w:widowControl/>
              <w:rPr>
                <w:rFonts w:ascii="Times New Roman" w:hAnsi="Times New Roman"/>
                <w:snapToGrid/>
                <w:color w:val="000000"/>
                <w:szCs w:val="24"/>
              </w:rPr>
            </w:pPr>
            <w:r w:rsidRPr="005501DE">
              <w:rPr>
                <w:rFonts w:ascii="Times New Roman" w:hAnsi="Times New Roman"/>
                <w:snapToGrid/>
                <w:color w:val="000000"/>
                <w:szCs w:val="24"/>
              </w:rPr>
              <w:t>Report to FEMA of a Change in Servicer</w:t>
            </w:r>
          </w:p>
        </w:tc>
        <w:tc>
          <w:tcPr>
            <w:tcW w:w="1630" w:type="dxa"/>
            <w:tcBorders>
              <w:top w:val="nil"/>
              <w:left w:val="nil"/>
              <w:bottom w:val="single" w:sz="4"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3,465</w:t>
            </w:r>
          </w:p>
        </w:tc>
        <w:tc>
          <w:tcPr>
            <w:tcW w:w="1325" w:type="dxa"/>
            <w:tcBorders>
              <w:top w:val="nil"/>
              <w:left w:val="nil"/>
              <w:bottom w:val="single" w:sz="4"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150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0.05</w:t>
            </w:r>
          </w:p>
        </w:tc>
        <w:tc>
          <w:tcPr>
            <w:tcW w:w="1379" w:type="dxa"/>
            <w:gridSpan w:val="2"/>
            <w:tcBorders>
              <w:top w:val="nil"/>
              <w:left w:val="nil"/>
              <w:bottom w:val="single" w:sz="4" w:space="0" w:color="auto"/>
              <w:right w:val="single" w:sz="8"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25,988</w:t>
            </w:r>
          </w:p>
        </w:tc>
      </w:tr>
      <w:tr w:rsidR="0032126E" w:rsidRPr="005501DE" w:rsidTr="005049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684"/>
        </w:trPr>
        <w:tc>
          <w:tcPr>
            <w:tcW w:w="186" w:type="dxa"/>
            <w:tcBorders>
              <w:top w:val="nil"/>
              <w:left w:val="single" w:sz="8" w:space="0" w:color="auto"/>
              <w:bottom w:val="single" w:sz="4" w:space="0" w:color="auto"/>
              <w:right w:val="single" w:sz="8"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4</w:t>
            </w:r>
          </w:p>
        </w:tc>
        <w:tc>
          <w:tcPr>
            <w:tcW w:w="2685" w:type="dxa"/>
            <w:tcBorders>
              <w:top w:val="nil"/>
              <w:left w:val="nil"/>
              <w:bottom w:val="single" w:sz="4" w:space="0" w:color="auto"/>
              <w:right w:val="single" w:sz="4" w:space="0" w:color="auto"/>
            </w:tcBorders>
            <w:shd w:val="clear" w:color="auto" w:fill="auto"/>
            <w:hideMark/>
          </w:tcPr>
          <w:p w:rsidR="0032126E" w:rsidRPr="005501DE" w:rsidRDefault="0032126E" w:rsidP="005049D0">
            <w:pPr>
              <w:widowControl/>
              <w:rPr>
                <w:rFonts w:ascii="Times New Roman" w:hAnsi="Times New Roman"/>
                <w:snapToGrid/>
                <w:color w:val="000000"/>
                <w:szCs w:val="24"/>
              </w:rPr>
            </w:pPr>
            <w:r w:rsidRPr="005501DE">
              <w:rPr>
                <w:rFonts w:ascii="Times New Roman" w:hAnsi="Times New Roman"/>
                <w:snapToGrid/>
                <w:color w:val="000000"/>
                <w:szCs w:val="24"/>
              </w:rPr>
              <w:t>Recordkeeping (Bank keeps a copy of all notifications)</w:t>
            </w:r>
          </w:p>
        </w:tc>
        <w:tc>
          <w:tcPr>
            <w:tcW w:w="1630" w:type="dxa"/>
            <w:tcBorders>
              <w:top w:val="nil"/>
              <w:left w:val="nil"/>
              <w:bottom w:val="single" w:sz="4"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3,465</w:t>
            </w:r>
          </w:p>
        </w:tc>
        <w:tc>
          <w:tcPr>
            <w:tcW w:w="1325" w:type="dxa"/>
            <w:tcBorders>
              <w:top w:val="nil"/>
              <w:left w:val="nil"/>
              <w:bottom w:val="single" w:sz="4"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150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0.5</w:t>
            </w:r>
          </w:p>
        </w:tc>
        <w:tc>
          <w:tcPr>
            <w:tcW w:w="1379" w:type="dxa"/>
            <w:gridSpan w:val="2"/>
            <w:tcBorders>
              <w:top w:val="nil"/>
              <w:left w:val="nil"/>
              <w:bottom w:val="single" w:sz="4" w:space="0" w:color="auto"/>
              <w:right w:val="single" w:sz="8"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259,875</w:t>
            </w:r>
          </w:p>
        </w:tc>
      </w:tr>
      <w:tr w:rsidR="0032126E" w:rsidRPr="005501DE" w:rsidTr="005049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984"/>
        </w:trPr>
        <w:tc>
          <w:tcPr>
            <w:tcW w:w="186" w:type="dxa"/>
            <w:tcBorders>
              <w:top w:val="nil"/>
              <w:left w:val="single" w:sz="8" w:space="0" w:color="auto"/>
              <w:bottom w:val="single" w:sz="8" w:space="0" w:color="auto"/>
              <w:right w:val="single" w:sz="8"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5</w:t>
            </w:r>
          </w:p>
        </w:tc>
        <w:tc>
          <w:tcPr>
            <w:tcW w:w="2685" w:type="dxa"/>
            <w:tcBorders>
              <w:top w:val="nil"/>
              <w:left w:val="nil"/>
              <w:bottom w:val="single" w:sz="4" w:space="0" w:color="auto"/>
              <w:right w:val="single" w:sz="4" w:space="0" w:color="auto"/>
            </w:tcBorders>
            <w:shd w:val="clear" w:color="auto" w:fill="auto"/>
            <w:hideMark/>
          </w:tcPr>
          <w:p w:rsidR="0032126E" w:rsidRPr="005501DE" w:rsidRDefault="0032126E" w:rsidP="005049D0">
            <w:pPr>
              <w:widowControl/>
              <w:rPr>
                <w:rFonts w:ascii="Times New Roman" w:hAnsi="Times New Roman"/>
                <w:snapToGrid/>
                <w:color w:val="000000"/>
                <w:szCs w:val="24"/>
              </w:rPr>
            </w:pPr>
            <w:r w:rsidRPr="005501DE">
              <w:rPr>
                <w:rFonts w:ascii="Times New Roman" w:hAnsi="Times New Roman"/>
                <w:snapToGrid/>
                <w:color w:val="000000"/>
                <w:szCs w:val="24"/>
              </w:rPr>
              <w:t>Recordkeeping (Documenting conclusions about Private Flood Insurance policies</w:t>
            </w:r>
            <w:r>
              <w:rPr>
                <w:rFonts w:ascii="Times New Roman" w:hAnsi="Times New Roman"/>
                <w:snapToGrid/>
                <w:color w:val="000000"/>
                <w:szCs w:val="24"/>
              </w:rPr>
              <w:t xml:space="preserve"> for properties in SFHAs</w:t>
            </w:r>
            <w:r w:rsidRPr="005501DE">
              <w:rPr>
                <w:rFonts w:ascii="Times New Roman" w:hAnsi="Times New Roman"/>
                <w:snapToGrid/>
                <w:color w:val="000000"/>
                <w:szCs w:val="24"/>
              </w:rPr>
              <w:t>)</w:t>
            </w:r>
          </w:p>
        </w:tc>
        <w:tc>
          <w:tcPr>
            <w:tcW w:w="1630" w:type="dxa"/>
            <w:tcBorders>
              <w:top w:val="nil"/>
              <w:left w:val="nil"/>
              <w:bottom w:val="single" w:sz="4"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3,465</w:t>
            </w:r>
          </w:p>
        </w:tc>
        <w:tc>
          <w:tcPr>
            <w:tcW w:w="1325" w:type="dxa"/>
            <w:tcBorders>
              <w:top w:val="nil"/>
              <w:left w:val="nil"/>
              <w:bottom w:val="single" w:sz="4"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9</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0.25</w:t>
            </w:r>
          </w:p>
        </w:tc>
        <w:tc>
          <w:tcPr>
            <w:tcW w:w="1379" w:type="dxa"/>
            <w:gridSpan w:val="2"/>
            <w:tcBorders>
              <w:top w:val="nil"/>
              <w:left w:val="nil"/>
              <w:bottom w:val="single" w:sz="4" w:space="0" w:color="auto"/>
              <w:right w:val="single" w:sz="8"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7,796</w:t>
            </w:r>
          </w:p>
        </w:tc>
      </w:tr>
      <w:tr w:rsidR="0032126E" w:rsidRPr="005501DE" w:rsidTr="005049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24"/>
        </w:trPr>
        <w:tc>
          <w:tcPr>
            <w:tcW w:w="186" w:type="dxa"/>
            <w:tcBorders>
              <w:top w:val="nil"/>
              <w:left w:val="single" w:sz="8" w:space="0" w:color="auto"/>
              <w:bottom w:val="single" w:sz="8" w:space="0" w:color="auto"/>
              <w:right w:val="single" w:sz="4" w:space="0" w:color="auto"/>
            </w:tcBorders>
            <w:shd w:val="clear" w:color="auto" w:fill="auto"/>
            <w:noWrap/>
            <w:vAlign w:val="bottom"/>
            <w:hideMark/>
          </w:tcPr>
          <w:p w:rsidR="0032126E" w:rsidRPr="005501DE" w:rsidRDefault="0032126E" w:rsidP="005049D0">
            <w:pPr>
              <w:widowControl/>
              <w:rPr>
                <w:rFonts w:ascii="Times New Roman" w:hAnsi="Times New Roman"/>
                <w:snapToGrid/>
                <w:color w:val="000000"/>
                <w:szCs w:val="24"/>
              </w:rPr>
            </w:pPr>
            <w:r w:rsidRPr="005501DE">
              <w:rPr>
                <w:rFonts w:ascii="Times New Roman" w:hAnsi="Times New Roman"/>
                <w:snapToGrid/>
                <w:color w:val="000000"/>
                <w:szCs w:val="24"/>
              </w:rPr>
              <w:t> </w:t>
            </w:r>
          </w:p>
        </w:tc>
        <w:tc>
          <w:tcPr>
            <w:tcW w:w="2685" w:type="dxa"/>
            <w:tcBorders>
              <w:top w:val="nil"/>
              <w:left w:val="nil"/>
              <w:bottom w:val="single" w:sz="8" w:space="0" w:color="auto"/>
              <w:right w:val="single" w:sz="4" w:space="0" w:color="auto"/>
            </w:tcBorders>
            <w:shd w:val="clear" w:color="auto" w:fill="auto"/>
            <w:noWrap/>
            <w:vAlign w:val="bottom"/>
            <w:hideMark/>
          </w:tcPr>
          <w:p w:rsidR="0032126E" w:rsidRPr="005501DE" w:rsidRDefault="0032126E" w:rsidP="005049D0">
            <w:pPr>
              <w:widowControl/>
              <w:rPr>
                <w:rFonts w:ascii="Times New Roman" w:hAnsi="Times New Roman"/>
                <w:snapToGrid/>
                <w:color w:val="000000"/>
                <w:szCs w:val="24"/>
              </w:rPr>
            </w:pPr>
            <w:r w:rsidRPr="005501DE">
              <w:rPr>
                <w:rFonts w:ascii="Times New Roman" w:hAnsi="Times New Roman"/>
                <w:snapToGrid/>
                <w:color w:val="000000"/>
                <w:szCs w:val="24"/>
              </w:rPr>
              <w:t> </w:t>
            </w:r>
          </w:p>
        </w:tc>
        <w:tc>
          <w:tcPr>
            <w:tcW w:w="1630" w:type="dxa"/>
            <w:tcBorders>
              <w:top w:val="nil"/>
              <w:left w:val="nil"/>
              <w:bottom w:val="single" w:sz="8" w:space="0" w:color="auto"/>
              <w:right w:val="single" w:sz="4" w:space="0" w:color="auto"/>
            </w:tcBorders>
            <w:shd w:val="clear" w:color="auto" w:fill="auto"/>
            <w:noWrap/>
            <w:vAlign w:val="bottom"/>
            <w:hideMark/>
          </w:tcPr>
          <w:p w:rsidR="0032126E" w:rsidRPr="005501DE" w:rsidRDefault="0032126E" w:rsidP="005049D0">
            <w:pPr>
              <w:widowControl/>
              <w:rPr>
                <w:rFonts w:ascii="Times New Roman" w:hAnsi="Times New Roman"/>
                <w:snapToGrid/>
                <w:color w:val="000000"/>
                <w:szCs w:val="24"/>
              </w:rPr>
            </w:pPr>
            <w:r w:rsidRPr="005501DE">
              <w:rPr>
                <w:rFonts w:ascii="Times New Roman" w:hAnsi="Times New Roman"/>
                <w:snapToGrid/>
                <w:color w:val="000000"/>
                <w:szCs w:val="24"/>
              </w:rPr>
              <w:t> </w:t>
            </w:r>
          </w:p>
        </w:tc>
        <w:tc>
          <w:tcPr>
            <w:tcW w:w="1325" w:type="dxa"/>
            <w:tcBorders>
              <w:top w:val="nil"/>
              <w:left w:val="nil"/>
              <w:bottom w:val="single" w:sz="8" w:space="0" w:color="auto"/>
              <w:right w:val="single" w:sz="4" w:space="0" w:color="auto"/>
            </w:tcBorders>
            <w:shd w:val="clear" w:color="auto" w:fill="auto"/>
            <w:noWrap/>
            <w:vAlign w:val="bottom"/>
            <w:hideMark/>
          </w:tcPr>
          <w:p w:rsidR="0032126E" w:rsidRPr="005501DE" w:rsidRDefault="0032126E" w:rsidP="005049D0">
            <w:pPr>
              <w:widowControl/>
              <w:rPr>
                <w:rFonts w:ascii="Times New Roman" w:hAnsi="Times New Roman"/>
                <w:snapToGrid/>
                <w:color w:val="000000"/>
                <w:szCs w:val="24"/>
              </w:rPr>
            </w:pPr>
            <w:r w:rsidRPr="005501DE">
              <w:rPr>
                <w:rFonts w:ascii="Times New Roman" w:hAnsi="Times New Roman"/>
                <w:snapToGrid/>
                <w:color w:val="000000"/>
                <w:szCs w:val="24"/>
              </w:rPr>
              <w:t> </w:t>
            </w:r>
          </w:p>
        </w:tc>
        <w:tc>
          <w:tcPr>
            <w:tcW w:w="975" w:type="dxa"/>
            <w:gridSpan w:val="2"/>
            <w:tcBorders>
              <w:top w:val="nil"/>
              <w:left w:val="nil"/>
              <w:bottom w:val="single" w:sz="8" w:space="0" w:color="auto"/>
              <w:right w:val="single" w:sz="4" w:space="0" w:color="auto"/>
            </w:tcBorders>
            <w:shd w:val="clear" w:color="auto" w:fill="auto"/>
            <w:noWrap/>
            <w:vAlign w:val="center"/>
            <w:hideMark/>
          </w:tcPr>
          <w:p w:rsidR="0032126E" w:rsidRPr="005501DE" w:rsidRDefault="0032126E" w:rsidP="005049D0">
            <w:pPr>
              <w:widowControl/>
              <w:jc w:val="center"/>
              <w:rPr>
                <w:rFonts w:ascii="Times New Roman" w:hAnsi="Times New Roman"/>
                <w:snapToGrid/>
                <w:color w:val="000000"/>
                <w:szCs w:val="24"/>
              </w:rPr>
            </w:pPr>
            <w:r w:rsidRPr="005501DE">
              <w:rPr>
                <w:rFonts w:ascii="Times New Roman" w:hAnsi="Times New Roman"/>
                <w:snapToGrid/>
                <w:color w:val="000000"/>
                <w:szCs w:val="24"/>
              </w:rPr>
              <w:t>1.25</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32126E" w:rsidRPr="005501DE" w:rsidRDefault="0032126E" w:rsidP="005049D0">
            <w:pPr>
              <w:widowControl/>
              <w:jc w:val="center"/>
              <w:rPr>
                <w:rFonts w:ascii="Times New Roman" w:hAnsi="Times New Roman"/>
                <w:b/>
                <w:bCs/>
                <w:snapToGrid/>
                <w:color w:val="000000"/>
                <w:szCs w:val="24"/>
              </w:rPr>
            </w:pPr>
            <w:r w:rsidRPr="005501DE">
              <w:rPr>
                <w:rFonts w:ascii="Times New Roman" w:hAnsi="Times New Roman"/>
                <w:b/>
                <w:bCs/>
                <w:snapToGrid/>
                <w:color w:val="000000"/>
                <w:szCs w:val="24"/>
              </w:rPr>
              <w:t>527,546</w:t>
            </w:r>
          </w:p>
        </w:tc>
      </w:tr>
    </w:tbl>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Sources: FDIC, FEMA, Federal Reserve Board.</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8F76D4">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BA7201">
        <w:rPr>
          <w:rFonts w:ascii="Times New Roman" w:hAnsi="Times New Roman"/>
        </w:rPr>
        <w:t>FEMA reports that as of January 2019 there were 5,069,031 total NFIP policies in place</w:t>
      </w:r>
      <w:r>
        <w:rPr>
          <w:rFonts w:ascii="Times New Roman" w:hAnsi="Times New Roman"/>
        </w:rPr>
        <w:t>, 1,907,119 of which are Preferred Risk policies, meaning policies covering properties outside of special flood hazard areas (SFHAs).</w:t>
      </w:r>
      <w:r w:rsidRPr="00BA7201">
        <w:rPr>
          <w:rStyle w:val="FootnoteReference"/>
          <w:rFonts w:ascii="Times New Roman" w:hAnsi="Times New Roman"/>
        </w:rPr>
        <w:footnoteReference w:id="7"/>
      </w:r>
      <w:r w:rsidRPr="00BA7201">
        <w:rPr>
          <w:rFonts w:ascii="Times New Roman" w:hAnsi="Times New Roman"/>
        </w:rPr>
        <w:t xml:space="preserve"> As a conservative estimate, we assume that the number of private flood insurance policies equals ten percent of the number of NFIP policies (506,903).</w:t>
      </w:r>
      <w:r w:rsidRPr="00BA7201">
        <w:rPr>
          <w:rStyle w:val="FootnoteReference"/>
          <w:rFonts w:ascii="Times New Roman" w:hAnsi="Times New Roman"/>
        </w:rPr>
        <w:footnoteReference w:id="8"/>
      </w:r>
      <w:r w:rsidRPr="00BA7201">
        <w:rPr>
          <w:rFonts w:ascii="Times New Roman" w:hAnsi="Times New Roman"/>
        </w:rPr>
        <w:t xml:space="preserve"> Therefore, we estimate the total number of flood insurance policies in existence as 5,575,934.</w:t>
      </w:r>
      <w:r w:rsidRPr="00BA7201">
        <w:rPr>
          <w:rStyle w:val="FootnoteReference"/>
          <w:rFonts w:ascii="Times New Roman" w:hAnsi="Times New Roman"/>
        </w:rPr>
        <w:footnoteReference w:id="9"/>
      </w:r>
      <w:r w:rsidRPr="00BA7201">
        <w:rPr>
          <w:rFonts w:ascii="Times New Roman" w:hAnsi="Times New Roman"/>
        </w:rPr>
        <w:t xml:space="preserve"> </w:t>
      </w:r>
    </w:p>
    <w:p w:rsidR="0032126E" w:rsidRPr="00BA7201" w:rsidRDefault="0032126E" w:rsidP="0032126E">
      <w:pPr>
        <w:rPr>
          <w:rFonts w:ascii="Times New Roman" w:hAnsi="Times New Roman"/>
        </w:rPr>
      </w:pPr>
    </w:p>
    <w:p w:rsidR="0032126E" w:rsidRPr="00BA7201" w:rsidRDefault="0032126E" w:rsidP="008F76D4">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BA7201">
        <w:rPr>
          <w:rFonts w:ascii="Times New Roman" w:hAnsi="Times New Roman"/>
        </w:rPr>
        <w:t xml:space="preserve">The Federal Reserve reports the total amount of </w:t>
      </w:r>
      <w:r>
        <w:rPr>
          <w:rFonts w:ascii="Times New Roman" w:hAnsi="Times New Roman"/>
        </w:rPr>
        <w:t>mortgage debt outstanding as</w:t>
      </w:r>
      <w:r w:rsidRPr="00BA7201">
        <w:rPr>
          <w:rFonts w:ascii="Times New Roman" w:hAnsi="Times New Roman"/>
        </w:rPr>
        <w:t xml:space="preserve"> $15.</w:t>
      </w:r>
      <w:r>
        <w:rPr>
          <w:rFonts w:ascii="Times New Roman" w:hAnsi="Times New Roman"/>
        </w:rPr>
        <w:t>42 trillion as of December 2018.</w:t>
      </w:r>
      <w:r w:rsidRPr="00BA7201">
        <w:rPr>
          <w:rFonts w:ascii="Times New Roman" w:hAnsi="Times New Roman"/>
        </w:rPr>
        <w:t xml:space="preserve"> </w:t>
      </w:r>
      <w:r>
        <w:rPr>
          <w:rFonts w:ascii="Times New Roman" w:hAnsi="Times New Roman"/>
        </w:rPr>
        <w:t>The Federal Reserve also reports that</w:t>
      </w:r>
      <w:r w:rsidRPr="00BA7201">
        <w:rPr>
          <w:rFonts w:ascii="Times New Roman" w:hAnsi="Times New Roman"/>
        </w:rPr>
        <w:t xml:space="preserve"> roughly $4.92 trillion</w:t>
      </w:r>
      <w:r>
        <w:rPr>
          <w:rFonts w:ascii="Times New Roman" w:hAnsi="Times New Roman"/>
        </w:rPr>
        <w:t xml:space="preserve"> in mortgage debt</w:t>
      </w:r>
      <w:r w:rsidRPr="00BA7201">
        <w:rPr>
          <w:rFonts w:ascii="Times New Roman" w:hAnsi="Times New Roman"/>
        </w:rPr>
        <w:t xml:space="preserve"> is held by depository institutions.</w:t>
      </w:r>
      <w:r w:rsidRPr="00BA7201">
        <w:rPr>
          <w:rStyle w:val="FootnoteReference"/>
          <w:rFonts w:ascii="Times New Roman" w:hAnsi="Times New Roman"/>
        </w:rPr>
        <w:footnoteReference w:id="10"/>
      </w:r>
      <w:r w:rsidRPr="00BA7201">
        <w:rPr>
          <w:rFonts w:ascii="Times New Roman" w:hAnsi="Times New Roman"/>
        </w:rPr>
        <w:t xml:space="preserve"> </w:t>
      </w:r>
      <w:r>
        <w:rPr>
          <w:rFonts w:ascii="Times New Roman" w:hAnsi="Times New Roman"/>
        </w:rPr>
        <w:t xml:space="preserve">According to those estimates, </w:t>
      </w:r>
      <w:r w:rsidRPr="00BA7201">
        <w:rPr>
          <w:rFonts w:ascii="Times New Roman" w:hAnsi="Times New Roman"/>
        </w:rPr>
        <w:t>depository institutions hold</w:t>
      </w:r>
      <w:r>
        <w:rPr>
          <w:rFonts w:ascii="Times New Roman" w:hAnsi="Times New Roman"/>
        </w:rPr>
        <w:t xml:space="preserve"> 31.91 percent of mortgage debt. W</w:t>
      </w:r>
      <w:r w:rsidRPr="00BA7201">
        <w:rPr>
          <w:rFonts w:ascii="Times New Roman" w:hAnsi="Times New Roman"/>
        </w:rPr>
        <w:t>e assume that same percentage of all flood insurance policies, or 1,779,281 policies in total,</w:t>
      </w:r>
      <w:r w:rsidRPr="00BA7201">
        <w:rPr>
          <w:rStyle w:val="FootnoteReference"/>
          <w:rFonts w:ascii="Times New Roman" w:hAnsi="Times New Roman"/>
        </w:rPr>
        <w:footnoteReference w:id="11"/>
      </w:r>
      <w:r w:rsidRPr="00BA7201">
        <w:rPr>
          <w:rFonts w:ascii="Times New Roman" w:hAnsi="Times New Roman"/>
        </w:rPr>
        <w:t xml:space="preserve"> cover properties that secure loans held by depository institutions.</w:t>
      </w:r>
    </w:p>
    <w:p w:rsidR="008F76D4" w:rsidRDefault="008F76D4" w:rsidP="008F76D4">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8F76D4">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BA7201">
        <w:rPr>
          <w:rFonts w:ascii="Times New Roman" w:hAnsi="Times New Roman"/>
        </w:rPr>
        <w:t>According to December 2018 Call Report data, FDIC-insured institutions hold roughly $4.90 trillion worth of loans secured by real estate.</w:t>
      </w:r>
      <w:r w:rsidRPr="00BA7201">
        <w:rPr>
          <w:rStyle w:val="FootnoteReference"/>
          <w:rFonts w:ascii="Times New Roman" w:hAnsi="Times New Roman"/>
        </w:rPr>
        <w:footnoteReference w:id="12"/>
      </w:r>
      <w:r w:rsidRPr="00BA7201">
        <w:rPr>
          <w:rFonts w:ascii="Times New Roman" w:hAnsi="Times New Roman"/>
        </w:rPr>
        <w:t xml:space="preserve"> While that estimate does not precisely match the Federal Reserve’s estimate, it is sufficiently close that we feel comfortable using Call Report data and Federal Reserve data together for this analysis. Call Report data show that FDIC-supervised institutions hold roughly $1.43 trillion worth of loans secured by real estate, or 29.29 percent all loans secured by real estate held by depository institutions.</w:t>
      </w:r>
      <w:r w:rsidRPr="00BA7201">
        <w:rPr>
          <w:rStyle w:val="FootnoteReference"/>
          <w:rFonts w:ascii="Times New Roman" w:hAnsi="Times New Roman"/>
        </w:rPr>
        <w:footnoteReference w:id="13"/>
      </w:r>
      <w:r w:rsidRPr="00BA7201">
        <w:rPr>
          <w:rFonts w:ascii="Times New Roman" w:hAnsi="Times New Roman"/>
        </w:rPr>
        <w:t xml:space="preserve"> </w:t>
      </w:r>
    </w:p>
    <w:p w:rsidR="0032126E" w:rsidRPr="00BA7201" w:rsidRDefault="0032126E" w:rsidP="0032126E">
      <w:pPr>
        <w:rPr>
          <w:rFonts w:ascii="Times New Roman" w:hAnsi="Times New Roman"/>
        </w:rPr>
      </w:pPr>
    </w:p>
    <w:p w:rsidR="00A33FAD" w:rsidRDefault="0032126E" w:rsidP="008F76D4">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BA7201">
        <w:rPr>
          <w:rFonts w:ascii="Times New Roman" w:hAnsi="Times New Roman"/>
        </w:rPr>
        <w:t xml:space="preserve">Using the calculations described above, we estimate that 521,151 (1,779,281 * 29.29%) flood insurance policies cover properties that secure loans held by FDIC-supervised institutions. </w:t>
      </w:r>
      <w:r>
        <w:rPr>
          <w:rFonts w:ascii="Times New Roman" w:hAnsi="Times New Roman"/>
        </w:rPr>
        <w:t>There are 3,465 FDIC-supervised institutions with some volume of loans secured by real estate.</w:t>
      </w:r>
      <w:r>
        <w:rPr>
          <w:rStyle w:val="FootnoteReference"/>
          <w:rFonts w:ascii="Times New Roman" w:hAnsi="Times New Roman"/>
        </w:rPr>
        <w:footnoteReference w:id="14"/>
      </w:r>
      <w:r>
        <w:rPr>
          <w:rFonts w:ascii="Times New Roman" w:hAnsi="Times New Roman"/>
        </w:rPr>
        <w:t xml:space="preserve"> The average number of flood insurance policies per FDIC-supervised institutions is therefore 150.</w:t>
      </w:r>
      <w:r>
        <w:rPr>
          <w:rStyle w:val="FootnoteReference"/>
          <w:rFonts w:ascii="Times New Roman" w:hAnsi="Times New Roman"/>
        </w:rPr>
        <w:footnoteReference w:id="15"/>
      </w:r>
      <w:r>
        <w:rPr>
          <w:rFonts w:ascii="Times New Roman" w:hAnsi="Times New Roman"/>
        </w:rPr>
        <w:t xml:space="preserve"> </w:t>
      </w:r>
      <w:r w:rsidRPr="00D05330">
        <w:rPr>
          <w:rFonts w:ascii="Times New Roman" w:hAnsi="Times New Roman"/>
        </w:rPr>
        <w:t>We find f</w:t>
      </w:r>
      <w:r>
        <w:rPr>
          <w:rFonts w:ascii="Times New Roman" w:hAnsi="Times New Roman"/>
        </w:rPr>
        <w:t>ive</w:t>
      </w:r>
      <w:r w:rsidRPr="00D05330">
        <w:rPr>
          <w:rFonts w:ascii="Times New Roman" w:hAnsi="Times New Roman"/>
        </w:rPr>
        <w:t xml:space="preserve"> PRA related tasks </w:t>
      </w:r>
      <w:r>
        <w:rPr>
          <w:rFonts w:ascii="Times New Roman" w:hAnsi="Times New Roman"/>
        </w:rPr>
        <w:t>related to flood insurance information collections</w:t>
      </w:r>
      <w:r w:rsidRPr="00D05330">
        <w:rPr>
          <w:rFonts w:ascii="Times New Roman" w:hAnsi="Times New Roman"/>
        </w:rPr>
        <w:t>: 1) Disclosure to Borrowers, 2) Disclosure to Servicers, 3) Reporting to FEMA of Changes in Coverage, 4) Re</w:t>
      </w:r>
      <w:r>
        <w:rPr>
          <w:rFonts w:ascii="Times New Roman" w:hAnsi="Times New Roman"/>
        </w:rPr>
        <w:t>cordkeeping for tasks 1-3 above, and 5) Recordkeeping related to Private Flood Insurance policies.</w:t>
      </w:r>
      <w:r w:rsidRPr="00D05330">
        <w:rPr>
          <w:rFonts w:ascii="Times New Roman" w:hAnsi="Times New Roman"/>
        </w:rPr>
        <w:t xml:space="preserve"> </w:t>
      </w:r>
      <w:r w:rsidRPr="00BA7201">
        <w:rPr>
          <w:rFonts w:ascii="Times New Roman" w:hAnsi="Times New Roman"/>
        </w:rPr>
        <w:t>Our s</w:t>
      </w:r>
      <w:r w:rsidR="00E824C5">
        <w:rPr>
          <w:rFonts w:ascii="Times New Roman" w:hAnsi="Times New Roman"/>
        </w:rPr>
        <w:t>ubject-matter experts (SMEs)</w:t>
      </w:r>
      <w:r w:rsidRPr="00BA7201">
        <w:rPr>
          <w:rFonts w:ascii="Times New Roman" w:hAnsi="Times New Roman"/>
        </w:rPr>
        <w:t xml:space="preserve"> believe that the total burden to the public for complying with requirements related to flood insurance in general is 1.0 hours per policy.</w:t>
      </w:r>
      <w:r>
        <w:rPr>
          <w:rFonts w:ascii="Times New Roman" w:hAnsi="Times New Roman"/>
        </w:rPr>
        <w:t xml:space="preserve"> </w:t>
      </w:r>
      <w:r w:rsidR="00A33FAD">
        <w:rPr>
          <w:rFonts w:ascii="Times New Roman" w:hAnsi="Times New Roman"/>
        </w:rPr>
        <w:t>We assume that r</w:t>
      </w:r>
      <w:r w:rsidRPr="00D05330">
        <w:rPr>
          <w:rFonts w:ascii="Times New Roman" w:hAnsi="Times New Roman"/>
        </w:rPr>
        <w:t>ecordkeeping will comprise ½ hour, and the remaining ½ is split between the other tasks. We assume that 90% of policies will involve a new origination, and 10% of policies will involve a change in status.</w:t>
      </w:r>
      <w:r>
        <w:rPr>
          <w:rFonts w:ascii="Times New Roman" w:hAnsi="Times New Roman"/>
        </w:rPr>
        <w:t xml:space="preserve"> </w:t>
      </w:r>
      <w:r w:rsidRPr="00BA7201">
        <w:rPr>
          <w:rFonts w:ascii="Times New Roman" w:hAnsi="Times New Roman"/>
        </w:rPr>
        <w:t xml:space="preserve">Our SMEs also estimate that the burden of </w:t>
      </w:r>
      <w:r>
        <w:rPr>
          <w:rFonts w:ascii="Times New Roman" w:hAnsi="Times New Roman"/>
        </w:rPr>
        <w:t>documenting an institution’s conclusions regarding</w:t>
      </w:r>
      <w:r w:rsidRPr="00BA7201">
        <w:rPr>
          <w:rFonts w:ascii="Times New Roman" w:hAnsi="Times New Roman"/>
        </w:rPr>
        <w:t xml:space="preserve"> private flood insurance policies that cover properties in </w:t>
      </w:r>
      <w:r>
        <w:rPr>
          <w:rFonts w:ascii="Times New Roman" w:hAnsi="Times New Roman"/>
        </w:rPr>
        <w:t>SFHAs</w:t>
      </w:r>
      <w:r w:rsidRPr="00BA7201">
        <w:rPr>
          <w:rFonts w:ascii="Times New Roman" w:hAnsi="Times New Roman"/>
        </w:rPr>
        <w:t xml:space="preserve"> is an additional 15 minutes (0.25 hours) per pol</w:t>
      </w:r>
      <w:r w:rsidR="00A33FAD">
        <w:rPr>
          <w:rFonts w:ascii="Times New Roman" w:hAnsi="Times New Roman"/>
        </w:rPr>
        <w:t>icy.</w:t>
      </w:r>
    </w:p>
    <w:p w:rsidR="00A33FAD" w:rsidRDefault="00A33FAD" w:rsidP="008F76D4">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8F76D4">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BA7201">
        <w:rPr>
          <w:rFonts w:ascii="Times New Roman" w:hAnsi="Times New Roman"/>
        </w:rPr>
        <w:t>The number of private flood insurance po</w:t>
      </w:r>
      <w:r>
        <w:rPr>
          <w:rFonts w:ascii="Times New Roman" w:hAnsi="Times New Roman"/>
        </w:rPr>
        <w:t>licies in SFHAs can be estimated</w:t>
      </w:r>
      <w:r w:rsidRPr="00BA7201">
        <w:rPr>
          <w:rFonts w:ascii="Times New Roman" w:hAnsi="Times New Roman"/>
        </w:rPr>
        <w:t xml:space="preserve"> as the total number of flood insurance policies </w:t>
      </w:r>
      <w:r>
        <w:rPr>
          <w:rFonts w:ascii="Times New Roman" w:hAnsi="Times New Roman"/>
        </w:rPr>
        <w:t xml:space="preserve">in SFHAs </w:t>
      </w:r>
      <w:r w:rsidRPr="00BA7201">
        <w:rPr>
          <w:rFonts w:ascii="Times New Roman" w:hAnsi="Times New Roman"/>
        </w:rPr>
        <w:t>(</w:t>
      </w:r>
      <w:r>
        <w:rPr>
          <w:rFonts w:ascii="Times New Roman" w:hAnsi="Times New Roman"/>
        </w:rPr>
        <w:t>5,069,031 – 1,907,119 = 3,161,912</w:t>
      </w:r>
      <w:r w:rsidRPr="00BA7201">
        <w:rPr>
          <w:rFonts w:ascii="Times New Roman" w:hAnsi="Times New Roman"/>
        </w:rPr>
        <w:t xml:space="preserve">), </w:t>
      </w:r>
      <w:r>
        <w:rPr>
          <w:rFonts w:ascii="Times New Roman" w:hAnsi="Times New Roman"/>
        </w:rPr>
        <w:t>multiplied by 10 percent (316,191). The number of such policies covering properties that secure loans held by FDIC-supervised institutions is estimated as (316,191 x 31.91% 29.29%), or 29,553, and the number of such policies per FDIC-supervised institution is nine.</w:t>
      </w:r>
      <w:r>
        <w:rPr>
          <w:rStyle w:val="FootnoteReference"/>
          <w:rFonts w:ascii="Times New Roman" w:hAnsi="Times New Roman"/>
        </w:rPr>
        <w:footnoteReference w:id="16"/>
      </w:r>
    </w:p>
    <w:p w:rsidR="0032126E" w:rsidRDefault="0032126E" w:rsidP="0032126E">
      <w:pPr>
        <w:rPr>
          <w:rFonts w:ascii="Times New Roman" w:hAnsi="Times New Roman"/>
        </w:rPr>
      </w:pPr>
    </w:p>
    <w:p w:rsidR="0032126E" w:rsidRDefault="0032126E" w:rsidP="008F76D4">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Pr>
          <w:rFonts w:ascii="Times New Roman" w:hAnsi="Times New Roman"/>
        </w:rPr>
        <w:t xml:space="preserve">Based on these estimates we calculate the total burden hours associated with information collections related to flood insurance requirements to be </w:t>
      </w:r>
      <w:r>
        <w:rPr>
          <w:rFonts w:ascii="Times New Roman" w:hAnsi="Times New Roman"/>
          <w:b/>
        </w:rPr>
        <w:t xml:space="preserve">527,546. </w:t>
      </w:r>
      <w:r w:rsidRPr="00D05330">
        <w:rPr>
          <w:rFonts w:ascii="Times New Roman" w:hAnsi="Times New Roman"/>
        </w:rPr>
        <w:t>This burden is apportioned to each task as shown in Table 1 above.</w:t>
      </w:r>
      <w:r w:rsidRPr="00D05330" w:rsidDel="00E14D9B">
        <w:rPr>
          <w:rFonts w:ascii="Times New Roman" w:hAnsi="Times New Roman"/>
        </w:rPr>
        <w:t xml:space="preserve"> </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Pr="00D05330" w:rsidRDefault="0032126E" w:rsidP="008F76D4">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D05330">
        <w:rPr>
          <w:rFonts w:ascii="Times New Roman" w:hAnsi="Times New Roman"/>
        </w:rPr>
        <w:t>To estimate wages, we used data from the May 201</w:t>
      </w:r>
      <w:r>
        <w:rPr>
          <w:rFonts w:ascii="Times New Roman" w:hAnsi="Times New Roman"/>
        </w:rPr>
        <w:t>7</w:t>
      </w:r>
      <w:r w:rsidRPr="00D05330">
        <w:rPr>
          <w:rFonts w:ascii="Times New Roman" w:hAnsi="Times New Roman"/>
        </w:rPr>
        <w:t xml:space="preserve"> </w:t>
      </w:r>
      <w:r w:rsidRPr="00D05330">
        <w:rPr>
          <w:rFonts w:ascii="Times New Roman" w:hAnsi="Times New Roman"/>
          <w:i/>
        </w:rPr>
        <w:t>National Industry-Specific Occupational Employment and Wage Estimates</w:t>
      </w:r>
      <w:r w:rsidRPr="00D05330">
        <w:rPr>
          <w:rFonts w:ascii="Times New Roman" w:hAnsi="Times New Roman"/>
        </w:rPr>
        <w:t xml:space="preserve"> for the Depository Credit Intermediation sector. We used the 75</w:t>
      </w:r>
      <w:r w:rsidRPr="00D05330">
        <w:rPr>
          <w:rFonts w:ascii="Times New Roman" w:hAnsi="Times New Roman"/>
          <w:vertAlign w:val="superscript"/>
        </w:rPr>
        <w:t>th</w:t>
      </w:r>
      <w:r w:rsidRPr="00D05330">
        <w:rPr>
          <w:rFonts w:ascii="Times New Roman" w:hAnsi="Times New Roman"/>
        </w:rPr>
        <w:t xml:space="preserve"> percentile wages as a conservative estimate of the costs. </w:t>
      </w:r>
      <w:r w:rsidRPr="00D05330">
        <w:rPr>
          <w:rFonts w:ascii="Times New Roman" w:hAnsi="Times New Roman"/>
          <w:i/>
        </w:rPr>
        <w:t>See</w:t>
      </w:r>
      <w:r w:rsidRPr="00D05330">
        <w:rPr>
          <w:rFonts w:ascii="Times New Roman" w:hAnsi="Times New Roman"/>
        </w:rPr>
        <w:t xml:space="preserve"> Table 2.</w:t>
      </w:r>
    </w:p>
    <w:p w:rsidR="0032126E" w:rsidRPr="00D05330"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Pr="00D05330"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Pr="00D05330"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b/>
        </w:rPr>
      </w:pPr>
      <w:r w:rsidRPr="00D05330">
        <w:rPr>
          <w:rFonts w:ascii="Times New Roman" w:hAnsi="Times New Roman"/>
          <w:b/>
        </w:rPr>
        <w:t>Table 2: 75</w:t>
      </w:r>
      <w:r w:rsidRPr="00D05330">
        <w:rPr>
          <w:rFonts w:ascii="Times New Roman" w:hAnsi="Times New Roman"/>
          <w:b/>
          <w:vertAlign w:val="superscript"/>
        </w:rPr>
        <w:t>th</w:t>
      </w:r>
      <w:r w:rsidRPr="00D05330">
        <w:rPr>
          <w:rFonts w:ascii="Times New Roman" w:hAnsi="Times New Roman"/>
          <w:b/>
        </w:rPr>
        <w:t xml:space="preserve"> Percentile Wages by Occupation, Depository Credit Intermediation Sector</w:t>
      </w:r>
    </w:p>
    <w:p w:rsidR="0032126E" w:rsidRPr="00D05330"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b/>
        </w:rPr>
      </w:pPr>
    </w:p>
    <w:tbl>
      <w:tblPr>
        <w:tblW w:w="0" w:type="auto"/>
        <w:tblLook w:val="04A0" w:firstRow="1" w:lastRow="0" w:firstColumn="1" w:lastColumn="0" w:noHBand="0" w:noVBand="1"/>
      </w:tblPr>
      <w:tblGrid>
        <w:gridCol w:w="7308"/>
        <w:gridCol w:w="2268"/>
      </w:tblGrid>
      <w:tr w:rsidR="0032126E" w:rsidRPr="0091255F" w:rsidTr="005049D0">
        <w:tc>
          <w:tcPr>
            <w:tcW w:w="7308" w:type="dxa"/>
            <w:shd w:val="clear" w:color="auto" w:fill="auto"/>
          </w:tcPr>
          <w:p w:rsidR="0032126E" w:rsidRPr="0091255F" w:rsidRDefault="0032126E" w:rsidP="005049D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i/>
                <w:u w:val="single"/>
              </w:rPr>
            </w:pPr>
            <w:r w:rsidRPr="0091255F">
              <w:rPr>
                <w:rFonts w:ascii="Times New Roman" w:hAnsi="Times New Roman"/>
                <w:i/>
                <w:u w:val="single"/>
              </w:rPr>
              <w:t>Occupation (Std. Occupational Classification code)</w:t>
            </w:r>
          </w:p>
        </w:tc>
        <w:tc>
          <w:tcPr>
            <w:tcW w:w="2268" w:type="dxa"/>
            <w:shd w:val="clear" w:color="auto" w:fill="auto"/>
          </w:tcPr>
          <w:p w:rsidR="0032126E" w:rsidRPr="0091255F" w:rsidRDefault="0032126E" w:rsidP="005049D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i/>
                <w:u w:val="single"/>
              </w:rPr>
            </w:pPr>
            <w:r w:rsidRPr="0091255F">
              <w:rPr>
                <w:rFonts w:ascii="Times New Roman" w:hAnsi="Times New Roman"/>
                <w:i/>
                <w:u w:val="single"/>
              </w:rPr>
              <w:t>Hourly Wage</w:t>
            </w:r>
          </w:p>
        </w:tc>
      </w:tr>
      <w:tr w:rsidR="0032126E" w:rsidRPr="0091255F" w:rsidTr="005049D0">
        <w:tc>
          <w:tcPr>
            <w:tcW w:w="7308" w:type="dxa"/>
            <w:shd w:val="clear" w:color="auto" w:fill="auto"/>
          </w:tcPr>
          <w:p w:rsidR="0032126E" w:rsidRPr="0091255F" w:rsidRDefault="0032126E" w:rsidP="005049D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91255F">
              <w:rPr>
                <w:rFonts w:ascii="Times New Roman" w:hAnsi="Times New Roman"/>
              </w:rPr>
              <w:t>Office and Administrative Support (430000)</w:t>
            </w:r>
          </w:p>
        </w:tc>
        <w:tc>
          <w:tcPr>
            <w:tcW w:w="2268" w:type="dxa"/>
            <w:shd w:val="clear" w:color="auto" w:fill="auto"/>
          </w:tcPr>
          <w:p w:rsidR="0032126E" w:rsidRPr="0091255F" w:rsidRDefault="0032126E" w:rsidP="005049D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91255F">
              <w:rPr>
                <w:rFonts w:ascii="Times New Roman" w:hAnsi="Times New Roman"/>
              </w:rPr>
              <w:t>$</w:t>
            </w:r>
            <w:r>
              <w:rPr>
                <w:rFonts w:ascii="Times New Roman" w:hAnsi="Times New Roman"/>
              </w:rPr>
              <w:t>20</w:t>
            </w:r>
            <w:r w:rsidRPr="0091255F">
              <w:rPr>
                <w:rFonts w:ascii="Times New Roman" w:hAnsi="Times New Roman"/>
              </w:rPr>
              <w:t>.</w:t>
            </w:r>
            <w:r>
              <w:rPr>
                <w:rFonts w:ascii="Times New Roman" w:hAnsi="Times New Roman"/>
              </w:rPr>
              <w:t>49</w:t>
            </w:r>
          </w:p>
        </w:tc>
      </w:tr>
    </w:tbl>
    <w:p w:rsidR="0032126E" w:rsidRPr="00D05330"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Pr="00D05330"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sz w:val="20"/>
        </w:rPr>
      </w:pPr>
      <w:r w:rsidRPr="00D05330">
        <w:rPr>
          <w:rFonts w:ascii="Times New Roman" w:hAnsi="Times New Roman"/>
          <w:sz w:val="20"/>
        </w:rPr>
        <w:t>Source: BLS Specific Occupational Employment and Wage Estimates (May 201</w:t>
      </w:r>
      <w:r>
        <w:rPr>
          <w:rFonts w:ascii="Times New Roman" w:hAnsi="Times New Roman"/>
          <w:sz w:val="20"/>
        </w:rPr>
        <w:t>7</w:t>
      </w:r>
      <w:r w:rsidRPr="00D05330">
        <w:rPr>
          <w:rFonts w:ascii="Times New Roman" w:hAnsi="Times New Roman"/>
          <w:sz w:val="20"/>
        </w:rPr>
        <w:t>).</w:t>
      </w:r>
    </w:p>
    <w:p w:rsidR="0032126E" w:rsidRPr="00D05330"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8F76D4">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D05330">
        <w:rPr>
          <w:rFonts w:ascii="Times New Roman" w:hAnsi="Times New Roman"/>
        </w:rPr>
        <w:t xml:space="preserve">We adjust this nominal wage data to more accurately reflect the labor costs borne by covered institutions. According to </w:t>
      </w:r>
      <w:r>
        <w:rPr>
          <w:rFonts w:ascii="Times New Roman" w:hAnsi="Times New Roman"/>
        </w:rPr>
        <w:t>September</w:t>
      </w:r>
      <w:r w:rsidRPr="00D05330">
        <w:rPr>
          <w:rFonts w:ascii="Times New Roman" w:hAnsi="Times New Roman"/>
        </w:rPr>
        <w:t xml:space="preserve"> 201</w:t>
      </w:r>
      <w:r>
        <w:rPr>
          <w:rFonts w:ascii="Times New Roman" w:hAnsi="Times New Roman"/>
        </w:rPr>
        <w:t>8</w:t>
      </w:r>
      <w:r w:rsidRPr="00D05330">
        <w:rPr>
          <w:rFonts w:ascii="Times New Roman" w:hAnsi="Times New Roman"/>
        </w:rPr>
        <w:t xml:space="preserve"> estimates from the BLS, benefits are 35.</w:t>
      </w:r>
      <w:r>
        <w:rPr>
          <w:rFonts w:ascii="Times New Roman" w:hAnsi="Times New Roman"/>
        </w:rPr>
        <w:t>7</w:t>
      </w:r>
      <w:r w:rsidRPr="00D05330">
        <w:rPr>
          <w:rFonts w:ascii="Times New Roman" w:hAnsi="Times New Roman"/>
        </w:rPr>
        <w:t xml:space="preserve"> percent of total compensation, on average, across all occupations in the nation. The inflation rate from May 201</w:t>
      </w:r>
      <w:r>
        <w:rPr>
          <w:rFonts w:ascii="Times New Roman" w:hAnsi="Times New Roman"/>
        </w:rPr>
        <w:t>7</w:t>
      </w:r>
      <w:r w:rsidRPr="00D05330">
        <w:rPr>
          <w:rFonts w:ascii="Times New Roman" w:hAnsi="Times New Roman"/>
        </w:rPr>
        <w:t xml:space="preserve"> through </w:t>
      </w:r>
      <w:r>
        <w:rPr>
          <w:rFonts w:ascii="Times New Roman" w:hAnsi="Times New Roman"/>
        </w:rPr>
        <w:t>September</w:t>
      </w:r>
      <w:r w:rsidRPr="00D05330">
        <w:rPr>
          <w:rFonts w:ascii="Times New Roman" w:hAnsi="Times New Roman"/>
        </w:rPr>
        <w:t xml:space="preserve"> 201</w:t>
      </w:r>
      <w:r>
        <w:rPr>
          <w:rFonts w:ascii="Times New Roman" w:hAnsi="Times New Roman"/>
        </w:rPr>
        <w:t>8</w:t>
      </w:r>
      <w:r w:rsidRPr="00D05330">
        <w:rPr>
          <w:rFonts w:ascii="Times New Roman" w:hAnsi="Times New Roman"/>
        </w:rPr>
        <w:t xml:space="preserve"> was </w:t>
      </w:r>
      <w:r>
        <w:rPr>
          <w:rFonts w:ascii="Times New Roman" w:hAnsi="Times New Roman"/>
        </w:rPr>
        <w:t>3</w:t>
      </w:r>
      <w:r w:rsidRPr="00D05330">
        <w:rPr>
          <w:rFonts w:ascii="Times New Roman" w:hAnsi="Times New Roman"/>
        </w:rPr>
        <w:t>.</w:t>
      </w:r>
      <w:r>
        <w:rPr>
          <w:rFonts w:ascii="Times New Roman" w:hAnsi="Times New Roman"/>
        </w:rPr>
        <w:t>31</w:t>
      </w:r>
      <w:r w:rsidRPr="00D05330">
        <w:rPr>
          <w:rFonts w:ascii="Times New Roman" w:hAnsi="Times New Roman"/>
        </w:rPr>
        <w:t xml:space="preserve"> percent. </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Pr="00D05330" w:rsidRDefault="0032126E" w:rsidP="008F76D4">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D05330">
        <w:rPr>
          <w:rFonts w:ascii="Times New Roman" w:hAnsi="Times New Roman"/>
        </w:rPr>
        <w:t>Consequently, the adjusted wages are as follows:</w:t>
      </w:r>
    </w:p>
    <w:p w:rsidR="0032126E" w:rsidRPr="00D05330"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b/>
        </w:rPr>
      </w:pPr>
      <w:r w:rsidRPr="00D05330">
        <w:rPr>
          <w:rFonts w:ascii="Times New Roman" w:hAnsi="Times New Roman"/>
          <w:b/>
        </w:rPr>
        <w:t>Table 3: Wages by Occupation, Adjusted for Benefits and Inflation</w:t>
      </w:r>
    </w:p>
    <w:p w:rsidR="0032126E" w:rsidRPr="00D05330"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b/>
        </w:rPr>
      </w:pPr>
    </w:p>
    <w:tbl>
      <w:tblPr>
        <w:tblW w:w="0" w:type="auto"/>
        <w:tblLook w:val="04A0" w:firstRow="1" w:lastRow="0" w:firstColumn="1" w:lastColumn="0" w:noHBand="0" w:noVBand="1"/>
      </w:tblPr>
      <w:tblGrid>
        <w:gridCol w:w="6948"/>
        <w:gridCol w:w="2628"/>
      </w:tblGrid>
      <w:tr w:rsidR="0032126E" w:rsidRPr="0091255F" w:rsidTr="005049D0">
        <w:tc>
          <w:tcPr>
            <w:tcW w:w="6948" w:type="dxa"/>
            <w:shd w:val="clear" w:color="auto" w:fill="auto"/>
          </w:tcPr>
          <w:p w:rsidR="0032126E" w:rsidRPr="0091255F" w:rsidRDefault="0032126E" w:rsidP="005049D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i/>
                <w:u w:val="single"/>
              </w:rPr>
            </w:pPr>
            <w:r w:rsidRPr="0091255F">
              <w:rPr>
                <w:rFonts w:ascii="Times New Roman" w:hAnsi="Times New Roman"/>
                <w:i/>
                <w:u w:val="single"/>
              </w:rPr>
              <w:t>Occupation</w:t>
            </w:r>
          </w:p>
        </w:tc>
        <w:tc>
          <w:tcPr>
            <w:tcW w:w="2628" w:type="dxa"/>
            <w:shd w:val="clear" w:color="auto" w:fill="auto"/>
          </w:tcPr>
          <w:p w:rsidR="0032126E" w:rsidRPr="0091255F" w:rsidRDefault="0032126E" w:rsidP="005049D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i/>
                <w:u w:val="single"/>
              </w:rPr>
            </w:pPr>
            <w:r w:rsidRPr="0091255F">
              <w:rPr>
                <w:rFonts w:ascii="Times New Roman" w:hAnsi="Times New Roman"/>
                <w:i/>
                <w:u w:val="single"/>
              </w:rPr>
              <w:t>Adjusted Hourly Wage</w:t>
            </w:r>
          </w:p>
        </w:tc>
      </w:tr>
      <w:tr w:rsidR="0032126E" w:rsidRPr="0091255F" w:rsidTr="005049D0">
        <w:tc>
          <w:tcPr>
            <w:tcW w:w="6948" w:type="dxa"/>
            <w:shd w:val="clear" w:color="auto" w:fill="auto"/>
          </w:tcPr>
          <w:p w:rsidR="0032126E" w:rsidRPr="0091255F" w:rsidRDefault="0032126E" w:rsidP="005049D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91255F">
              <w:rPr>
                <w:rFonts w:ascii="Times New Roman" w:hAnsi="Times New Roman"/>
              </w:rPr>
              <w:t>Office and Administrative Support (430000)</w:t>
            </w:r>
          </w:p>
        </w:tc>
        <w:tc>
          <w:tcPr>
            <w:tcW w:w="2628" w:type="dxa"/>
            <w:shd w:val="clear" w:color="auto" w:fill="auto"/>
          </w:tcPr>
          <w:p w:rsidR="0032126E" w:rsidRPr="0091255F" w:rsidRDefault="0032126E" w:rsidP="005049D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91255F">
              <w:rPr>
                <w:rFonts w:ascii="Times New Roman" w:hAnsi="Times New Roman"/>
              </w:rPr>
              <w:t>$3</w:t>
            </w:r>
            <w:r>
              <w:rPr>
                <w:rFonts w:ascii="Times New Roman" w:hAnsi="Times New Roman"/>
              </w:rPr>
              <w:t>2</w:t>
            </w:r>
            <w:r w:rsidRPr="0091255F">
              <w:rPr>
                <w:rFonts w:ascii="Times New Roman" w:hAnsi="Times New Roman"/>
              </w:rPr>
              <w:t>.</w:t>
            </w:r>
            <w:r>
              <w:rPr>
                <w:rFonts w:ascii="Times New Roman" w:hAnsi="Times New Roman"/>
              </w:rPr>
              <w:t>7</w:t>
            </w:r>
            <w:r w:rsidRPr="0091255F">
              <w:rPr>
                <w:rFonts w:ascii="Times New Roman" w:hAnsi="Times New Roman"/>
              </w:rPr>
              <w:t>9</w:t>
            </w:r>
          </w:p>
        </w:tc>
      </w:tr>
    </w:tbl>
    <w:p w:rsidR="0032126E" w:rsidRPr="00D05330"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D05330">
        <w:rPr>
          <w:rFonts w:ascii="Times New Roman" w:hAnsi="Times New Roman"/>
        </w:rPr>
        <w:t>Note: Using the nationwide 75</w:t>
      </w:r>
      <w:r w:rsidRPr="00D05330">
        <w:rPr>
          <w:rFonts w:ascii="Times New Roman" w:hAnsi="Times New Roman"/>
          <w:vertAlign w:val="superscript"/>
        </w:rPr>
        <w:t>th</w:t>
      </w:r>
      <w:r w:rsidRPr="00D05330">
        <w:rPr>
          <w:rFonts w:ascii="Times New Roman" w:hAnsi="Times New Roman"/>
        </w:rPr>
        <w:t xml:space="preserve"> Percentile wages for the Depository Credit Intermediation Sector.</w:t>
      </w:r>
    </w:p>
    <w:p w:rsidR="0032126E" w:rsidRPr="00D05330"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Pr="00D05330"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sz w:val="20"/>
        </w:rPr>
      </w:pPr>
      <w:r w:rsidRPr="00D05330">
        <w:rPr>
          <w:rFonts w:ascii="Times New Roman" w:hAnsi="Times New Roman"/>
          <w:sz w:val="20"/>
        </w:rPr>
        <w:t>Sources: BLS Specific Occupational Employment and Wage Estimates (May 201</w:t>
      </w:r>
      <w:r>
        <w:rPr>
          <w:rFonts w:ascii="Times New Roman" w:hAnsi="Times New Roman"/>
          <w:sz w:val="20"/>
        </w:rPr>
        <w:t>7</w:t>
      </w:r>
      <w:r w:rsidRPr="00D05330">
        <w:rPr>
          <w:rFonts w:ascii="Times New Roman" w:hAnsi="Times New Roman"/>
          <w:sz w:val="20"/>
        </w:rPr>
        <w:t>), Employer Cost of Employee Compensation (</w:t>
      </w:r>
      <w:r>
        <w:rPr>
          <w:rFonts w:ascii="Times New Roman" w:hAnsi="Times New Roman"/>
          <w:sz w:val="20"/>
        </w:rPr>
        <w:t>September 2018</w:t>
      </w:r>
      <w:r w:rsidRPr="00D05330">
        <w:rPr>
          <w:rFonts w:ascii="Times New Roman" w:hAnsi="Times New Roman"/>
          <w:sz w:val="20"/>
        </w:rPr>
        <w:t>), and the BLS CPI-U (</w:t>
      </w:r>
      <w:r>
        <w:rPr>
          <w:rFonts w:ascii="Times New Roman" w:hAnsi="Times New Roman"/>
          <w:sz w:val="20"/>
        </w:rPr>
        <w:t>September 2018</w:t>
      </w:r>
      <w:r w:rsidRPr="00D05330">
        <w:rPr>
          <w:rFonts w:ascii="Times New Roman" w:hAnsi="Times New Roman"/>
          <w:sz w:val="20"/>
        </w:rPr>
        <w:t>)</w:t>
      </w:r>
    </w:p>
    <w:p w:rsidR="0032126E" w:rsidRPr="00D05330"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32126E" w:rsidP="008F76D4">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D05330">
        <w:rPr>
          <w:rFonts w:ascii="Times New Roman" w:hAnsi="Times New Roman"/>
        </w:rPr>
        <w:t xml:space="preserve">Consequently, Office and Administrative Support staff working for </w:t>
      </w:r>
      <w:r>
        <w:rPr>
          <w:rFonts w:ascii="Times New Roman" w:hAnsi="Times New Roman"/>
        </w:rPr>
        <w:t>528</w:t>
      </w:r>
      <w:r w:rsidRPr="00D05330">
        <w:rPr>
          <w:rFonts w:ascii="Times New Roman" w:hAnsi="Times New Roman"/>
        </w:rPr>
        <w:t>,54</w:t>
      </w:r>
      <w:r>
        <w:rPr>
          <w:rFonts w:ascii="Times New Roman" w:hAnsi="Times New Roman"/>
        </w:rPr>
        <w:t>2</w:t>
      </w:r>
      <w:r w:rsidRPr="00D05330">
        <w:rPr>
          <w:rFonts w:ascii="Times New Roman" w:hAnsi="Times New Roman"/>
        </w:rPr>
        <w:t xml:space="preserve"> hours at $3</w:t>
      </w:r>
      <w:r>
        <w:rPr>
          <w:rFonts w:ascii="Times New Roman" w:hAnsi="Times New Roman"/>
        </w:rPr>
        <w:t>2</w:t>
      </w:r>
      <w:r w:rsidRPr="00D05330">
        <w:rPr>
          <w:rFonts w:ascii="Times New Roman" w:hAnsi="Times New Roman"/>
        </w:rPr>
        <w:t>.</w:t>
      </w:r>
      <w:r>
        <w:rPr>
          <w:rFonts w:ascii="Times New Roman" w:hAnsi="Times New Roman"/>
        </w:rPr>
        <w:t>7</w:t>
      </w:r>
      <w:r w:rsidRPr="00D05330">
        <w:rPr>
          <w:rFonts w:ascii="Times New Roman" w:hAnsi="Times New Roman"/>
        </w:rPr>
        <w:t>9 will cost respondents a total of $</w:t>
      </w:r>
      <w:r>
        <w:rPr>
          <w:rFonts w:ascii="Times New Roman" w:hAnsi="Times New Roman"/>
        </w:rPr>
        <w:t>17</w:t>
      </w:r>
      <w:r w:rsidRPr="00D05330">
        <w:rPr>
          <w:rFonts w:ascii="Times New Roman" w:hAnsi="Times New Roman"/>
        </w:rPr>
        <w:t>,</w:t>
      </w:r>
      <w:r>
        <w:rPr>
          <w:rFonts w:ascii="Times New Roman" w:hAnsi="Times New Roman"/>
        </w:rPr>
        <w:t>330</w:t>
      </w:r>
      <w:r w:rsidRPr="00D05330">
        <w:rPr>
          <w:rFonts w:ascii="Times New Roman" w:hAnsi="Times New Roman"/>
        </w:rPr>
        <w:t>,</w:t>
      </w:r>
      <w:r>
        <w:rPr>
          <w:rFonts w:ascii="Times New Roman" w:hAnsi="Times New Roman"/>
        </w:rPr>
        <w:t>892</w:t>
      </w:r>
      <w:r w:rsidRPr="00D05330">
        <w:rPr>
          <w:rFonts w:ascii="Times New Roman" w:hAnsi="Times New Roman"/>
        </w:rPr>
        <w:t>.</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32126E" w:rsidRDefault="008F76D4" w:rsidP="0032126E">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9E4FE6">
        <w:rPr>
          <w:rFonts w:ascii="Times New Roman" w:hAnsi="Times New Roman"/>
          <w:bCs/>
          <w:u w:val="single"/>
        </w:rPr>
        <w:t xml:space="preserve">Estimate of </w:t>
      </w:r>
      <w:r>
        <w:rPr>
          <w:rFonts w:ascii="Times New Roman" w:hAnsi="Times New Roman"/>
          <w:bCs/>
          <w:u w:val="single"/>
        </w:rPr>
        <w:t>s</w:t>
      </w:r>
      <w:r w:rsidRPr="009E4FE6">
        <w:rPr>
          <w:rFonts w:ascii="Times New Roman" w:hAnsi="Times New Roman"/>
          <w:bCs/>
          <w:u w:val="single"/>
        </w:rPr>
        <w:t xml:space="preserve">tart-up </w:t>
      </w:r>
      <w:r>
        <w:rPr>
          <w:rFonts w:ascii="Times New Roman" w:hAnsi="Times New Roman"/>
          <w:bCs/>
          <w:u w:val="single"/>
        </w:rPr>
        <w:t>c</w:t>
      </w:r>
      <w:r w:rsidRPr="009E4FE6">
        <w:rPr>
          <w:rFonts w:ascii="Times New Roman" w:hAnsi="Times New Roman"/>
          <w:bCs/>
          <w:u w:val="single"/>
        </w:rPr>
        <w:t xml:space="preserve">osts to </w:t>
      </w:r>
      <w:r>
        <w:rPr>
          <w:rFonts w:ascii="Times New Roman" w:hAnsi="Times New Roman"/>
          <w:bCs/>
          <w:u w:val="single"/>
        </w:rPr>
        <w:t>r</w:t>
      </w:r>
      <w:r w:rsidRPr="009E4FE6">
        <w:rPr>
          <w:rFonts w:ascii="Times New Roman" w:hAnsi="Times New Roman"/>
          <w:bCs/>
          <w:u w:val="single"/>
        </w:rPr>
        <w:t>espondents:</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ab/>
        <w:t>None.</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rsidR="009D13F8" w:rsidRDefault="009D13F8"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rsidR="0032126E" w:rsidRDefault="008F76D4" w:rsidP="0032126E">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17DAE">
        <w:rPr>
          <w:rFonts w:ascii="Times New Roman" w:hAnsi="Times New Roman"/>
          <w:bCs/>
          <w:u w:val="single"/>
        </w:rPr>
        <w:t>Estimate of annualized costs to the government:</w:t>
      </w:r>
    </w:p>
    <w:p w:rsidR="0032126E" w:rsidRDefault="0032126E" w:rsidP="0032126E">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rsidR="0032126E" w:rsidRDefault="0032126E" w:rsidP="0032126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Pr>
          <w:rFonts w:ascii="Times New Roman" w:hAnsi="Times New Roman"/>
        </w:rPr>
        <w:t>None.</w:t>
      </w:r>
    </w:p>
    <w:p w:rsidR="0032126E" w:rsidRDefault="0032126E" w:rsidP="0032126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432"/>
        <w:rPr>
          <w:rFonts w:ascii="Times New Roman" w:hAnsi="Times New Roman"/>
          <w:u w:val="single"/>
        </w:rPr>
      </w:pPr>
      <w:r>
        <w:rPr>
          <w:rFonts w:ascii="Times New Roman" w:hAnsi="Times New Roman"/>
        </w:rPr>
        <w:t>15.</w:t>
      </w:r>
      <w:r>
        <w:rPr>
          <w:rFonts w:ascii="Times New Roman" w:hAnsi="Times New Roman"/>
        </w:rPr>
        <w:tab/>
      </w:r>
      <w:r w:rsidR="008F76D4" w:rsidRPr="00817DAE">
        <w:rPr>
          <w:rFonts w:ascii="Times New Roman" w:hAnsi="Times New Roman"/>
          <w:u w:val="single"/>
        </w:rPr>
        <w:t>Analysis of change in burden:</w:t>
      </w:r>
    </w:p>
    <w:p w:rsidR="0032126E" w:rsidRDefault="0032126E" w:rsidP="0032126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432"/>
        <w:rPr>
          <w:rFonts w:ascii="Times New Roman" w:hAnsi="Times New Roman"/>
          <w:u w:val="single"/>
        </w:rPr>
      </w:pPr>
    </w:p>
    <w:p w:rsidR="0032126E" w:rsidRDefault="0032126E" w:rsidP="0032126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432"/>
        <w:rPr>
          <w:rFonts w:ascii="Times New Roman" w:hAnsi="Times New Roman"/>
        </w:rPr>
      </w:pPr>
      <w:r>
        <w:rPr>
          <w:rFonts w:ascii="Times New Roman" w:hAnsi="Times New Roman"/>
        </w:rPr>
        <w:tab/>
        <w:t xml:space="preserve">The burden hours associated with this collection have increased, in part, because FDIC-supervised institutions now must document their conclusions related to private flood insurance policies in SFHAs. Furthermore, the methodology used to estimate burden hours for this information collection has changed. In the previous submission we estimated total burden by estimating the number of flood insurance policies covering properties that secure loans held by FDIC-supervised institutions, apportioned those policies to each bank based on its share of total real estate loans, and then multiplied the median number of policies per bank by the number of FDIC-supervised institutions that held some volume of real estate loans. In this submission we use the mean rather than the median to estimate total burden hours. Multiplying the mean number of policies per institution by the number of institutions produces a value equal to estimated number of policies for all institutions, whereas using the median produces an estimate that is less </w:t>
      </w:r>
      <w:r w:rsidR="00956460">
        <w:rPr>
          <w:rFonts w:ascii="Times New Roman" w:hAnsi="Times New Roman"/>
        </w:rPr>
        <w:t xml:space="preserve">than </w:t>
      </w:r>
      <w:r>
        <w:rPr>
          <w:rFonts w:ascii="Times New Roman" w:hAnsi="Times New Roman"/>
        </w:rPr>
        <w:t xml:space="preserve">the estimated number of policies for all institutions. </w:t>
      </w:r>
    </w:p>
    <w:p w:rsidR="0032126E" w:rsidRDefault="0032126E" w:rsidP="0032126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432"/>
        <w:rPr>
          <w:rFonts w:ascii="Times New Roman" w:hAnsi="Times New Roman"/>
          <w:u w:val="single"/>
        </w:rPr>
      </w:pPr>
    </w:p>
    <w:p w:rsidR="0032126E" w:rsidRDefault="0032126E" w:rsidP="0032126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432"/>
        <w:rPr>
          <w:rFonts w:ascii="Times New Roman" w:hAnsi="Times New Roman"/>
        </w:rPr>
      </w:pPr>
      <w:r>
        <w:rPr>
          <w:rFonts w:ascii="Times New Roman" w:hAnsi="Times New Roman"/>
        </w:rPr>
        <w:t>16.</w:t>
      </w:r>
      <w:r>
        <w:rPr>
          <w:rFonts w:ascii="Times New Roman" w:hAnsi="Times New Roman"/>
        </w:rPr>
        <w:tab/>
      </w:r>
      <w:r w:rsidR="008F76D4" w:rsidRPr="00817DAE">
        <w:rPr>
          <w:rFonts w:ascii="Times New Roman TUR" w:hAnsi="Times New Roman TUR" w:cs="Times New Roman TUR"/>
          <w:bCs/>
          <w:u w:val="single"/>
        </w:rPr>
        <w:t>Information</w:t>
      </w:r>
      <w:r w:rsidR="008F76D4" w:rsidRPr="00817DAE">
        <w:rPr>
          <w:rFonts w:ascii="Times New Roman" w:hAnsi="Times New Roman"/>
          <w:bCs/>
          <w:u w:val="single"/>
        </w:rPr>
        <w:t xml:space="preserve"> regarding collections whose results are planned to be published for statistical use:</w:t>
      </w:r>
    </w:p>
    <w:p w:rsidR="0032126E" w:rsidRDefault="0032126E" w:rsidP="0032126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8F76D4" w:rsidP="0032126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firstLine="1152"/>
        <w:rPr>
          <w:rFonts w:ascii="Times New Roman" w:hAnsi="Times New Roman"/>
        </w:rPr>
      </w:pPr>
      <w:r w:rsidRPr="00817DAE">
        <w:rPr>
          <w:rFonts w:ascii="Times New Roman" w:hAnsi="Times New Roman"/>
        </w:rPr>
        <w:t>The results of this collection will not be published for statistical use.</w:t>
      </w:r>
    </w:p>
    <w:p w:rsidR="0032126E" w:rsidRDefault="0032126E" w:rsidP="0032126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432"/>
        <w:rPr>
          <w:rFonts w:ascii="Times New Roman" w:hAnsi="Times New Roman"/>
        </w:rPr>
      </w:pPr>
      <w:r>
        <w:rPr>
          <w:rFonts w:ascii="Times New Roman" w:hAnsi="Times New Roman"/>
        </w:rPr>
        <w:t>17.</w:t>
      </w:r>
      <w:r>
        <w:rPr>
          <w:rFonts w:ascii="Times New Roman" w:hAnsi="Times New Roman"/>
        </w:rPr>
        <w:tab/>
      </w:r>
      <w:r>
        <w:rPr>
          <w:rFonts w:ascii="Times New Roman" w:hAnsi="Times New Roman"/>
          <w:u w:val="single"/>
        </w:rPr>
        <w:t xml:space="preserve">Display of </w:t>
      </w:r>
      <w:r w:rsidR="008F76D4">
        <w:rPr>
          <w:rFonts w:ascii="Times New Roman" w:hAnsi="Times New Roman"/>
          <w:u w:val="single"/>
        </w:rPr>
        <w:t>e</w:t>
      </w:r>
      <w:r>
        <w:rPr>
          <w:rFonts w:ascii="Times New Roman" w:hAnsi="Times New Roman"/>
          <w:u w:val="single"/>
        </w:rPr>
        <w:t xml:space="preserve">xpiration </w:t>
      </w:r>
      <w:r w:rsidR="008F76D4">
        <w:rPr>
          <w:rFonts w:ascii="Times New Roman" w:hAnsi="Times New Roman"/>
          <w:u w:val="single"/>
        </w:rPr>
        <w:t>d</w:t>
      </w:r>
      <w:r>
        <w:rPr>
          <w:rFonts w:ascii="Times New Roman" w:hAnsi="Times New Roman"/>
          <w:u w:val="single"/>
        </w:rPr>
        <w:t>ate</w:t>
      </w:r>
      <w:r w:rsidR="008F76D4">
        <w:rPr>
          <w:rFonts w:ascii="Times New Roman" w:hAnsi="Times New Roman"/>
          <w:u w:val="single"/>
        </w:rPr>
        <w:t>:</w:t>
      </w:r>
    </w:p>
    <w:p w:rsidR="0032126E" w:rsidRDefault="0032126E" w:rsidP="0032126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2126E" w:rsidRDefault="0032126E" w:rsidP="0032126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Pr>
          <w:rFonts w:ascii="Times New Roman" w:hAnsi="Times New Roman"/>
        </w:rPr>
        <w:t>Not applicable.</w:t>
      </w:r>
    </w:p>
    <w:p w:rsidR="003A11E8" w:rsidRDefault="003A11E8" w:rsidP="008F76D4">
      <w:pPr>
        <w:widowControl/>
        <w:tabs>
          <w:tab w:val="center" w:pos="4752"/>
          <w:tab w:val="left" w:pos="5040"/>
          <w:tab w:val="left" w:pos="5760"/>
          <w:tab w:val="left" w:pos="6480"/>
          <w:tab w:val="left" w:pos="7200"/>
          <w:tab w:val="left" w:pos="7920"/>
          <w:tab w:val="left" w:pos="8640"/>
        </w:tabs>
        <w:rPr>
          <w:rFonts w:ascii="Times New Roman" w:hAnsi="Times New Roman"/>
        </w:rPr>
      </w:pPr>
    </w:p>
    <w:p w:rsidR="008F76D4" w:rsidRDefault="008F76D4" w:rsidP="008F76D4">
      <w:pPr>
        <w:numPr>
          <w:ilvl w:val="0"/>
          <w:numId w:val="4"/>
        </w:numPr>
        <w:rPr>
          <w:rFonts w:ascii="Times New Roman" w:hAnsi="Times New Roman"/>
          <w:u w:val="single"/>
        </w:rPr>
      </w:pPr>
      <w:r>
        <w:rPr>
          <w:rFonts w:ascii="Times New Roman" w:hAnsi="Times New Roman"/>
          <w:u w:val="single"/>
        </w:rPr>
        <w:t xml:space="preserve">STATISTICAL METHODS </w:t>
      </w:r>
    </w:p>
    <w:p w:rsidR="008F76D4" w:rsidRDefault="008F76D4" w:rsidP="008F76D4">
      <w:pPr>
        <w:rPr>
          <w:rFonts w:ascii="Times New Roman" w:hAnsi="Times New Roman"/>
          <w:u w:val="single"/>
        </w:rPr>
      </w:pPr>
    </w:p>
    <w:p w:rsidR="008F76D4" w:rsidRDefault="008F76D4" w:rsidP="008F76D4">
      <w:pPr>
        <w:ind w:left="720"/>
        <w:rPr>
          <w:rFonts w:ascii="Times New Roman" w:hAnsi="Times New Roman"/>
        </w:rPr>
      </w:pPr>
      <w:r>
        <w:rPr>
          <w:rFonts w:ascii="Times New Roman" w:hAnsi="Times New Roman"/>
        </w:rPr>
        <w:t>Not Applicable</w:t>
      </w:r>
    </w:p>
    <w:p w:rsidR="008F76D4" w:rsidRDefault="008F76D4" w:rsidP="008F76D4">
      <w:pPr>
        <w:widowControl/>
        <w:tabs>
          <w:tab w:val="center" w:pos="4752"/>
          <w:tab w:val="left" w:pos="5040"/>
          <w:tab w:val="left" w:pos="5760"/>
          <w:tab w:val="left" w:pos="6480"/>
          <w:tab w:val="left" w:pos="7200"/>
          <w:tab w:val="left" w:pos="7920"/>
          <w:tab w:val="left" w:pos="8640"/>
        </w:tabs>
      </w:pPr>
    </w:p>
    <w:sectPr w:rsidR="008F76D4" w:rsidSect="005A114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0FB" w:rsidRDefault="00F050FB">
      <w:r>
        <w:separator/>
      </w:r>
    </w:p>
  </w:endnote>
  <w:endnote w:type="continuationSeparator" w:id="0">
    <w:p w:rsidR="00F050FB" w:rsidRDefault="00F0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97" w:rsidRDefault="00404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EA" w:rsidRDefault="00041AEA">
    <w:pPr>
      <w:spacing w:line="240" w:lineRule="exact"/>
    </w:pPr>
  </w:p>
  <w:p w:rsidR="00041AEA" w:rsidRDefault="00041AEA">
    <w:pPr>
      <w:framePr w:w="9505"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60534A">
      <w:rPr>
        <w:rFonts w:ascii="Times New Roman" w:hAnsi="Times New Roman"/>
        <w:noProof/>
      </w:rPr>
      <w:t>1</w:t>
    </w:r>
    <w:r>
      <w:rPr>
        <w:rFonts w:ascii="Times New Roman" w:hAnsi="Times New Roman"/>
      </w:rPr>
      <w:fldChar w:fldCharType="end"/>
    </w:r>
  </w:p>
  <w:p w:rsidR="00041AEA" w:rsidRDefault="00041AEA">
    <w:pPr>
      <w:ind w:left="576" w:right="-4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97" w:rsidRDefault="00404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0FB" w:rsidRDefault="00F050FB">
      <w:r>
        <w:separator/>
      </w:r>
    </w:p>
  </w:footnote>
  <w:footnote w:type="continuationSeparator" w:id="0">
    <w:p w:rsidR="00F050FB" w:rsidRDefault="00F050FB">
      <w:r>
        <w:continuationSeparator/>
      </w:r>
    </w:p>
  </w:footnote>
  <w:footnote w:id="1">
    <w:p w:rsidR="0032126E" w:rsidRPr="00220B29" w:rsidRDefault="0032126E" w:rsidP="0032126E">
      <w:pPr>
        <w:pStyle w:val="FootnoteText"/>
      </w:pPr>
      <w:r w:rsidRPr="00220B29">
        <w:rPr>
          <w:rStyle w:val="FootnoteReference"/>
        </w:rPr>
        <w:footnoteRef/>
      </w:r>
      <w:r w:rsidRPr="00220B29">
        <w:t xml:space="preserve"> The Agencies’ r</w:t>
      </w:r>
      <w:r w:rsidRPr="00FF0F3F">
        <w:t>ules define “designated loan” to mean “a loan secured by a building or mobile home that is located or to be located in a special flood hazard area in which flood insurance is available under the Act.”</w:t>
      </w:r>
      <w:r>
        <w:t xml:space="preserve"> </w:t>
      </w:r>
      <w:r w:rsidRPr="00FF0F3F">
        <w:t xml:space="preserve"> 12 CFR 22.2(e) (OCC); 12 CFR 208.25(b)(5) (Board), 12 CFR 339</w:t>
      </w:r>
      <w:r>
        <w:t xml:space="preserve">.2 </w:t>
      </w:r>
      <w:r w:rsidRPr="00FF0F3F">
        <w:t>(FDIC), 12 CFR 614.4925 (FCA), and 12 CFR 760.2 (NCUA).</w:t>
      </w:r>
    </w:p>
  </w:footnote>
  <w:footnote w:id="2">
    <w:p w:rsidR="0032126E" w:rsidRPr="00B74FFC" w:rsidRDefault="0032126E" w:rsidP="0032126E">
      <w:pPr>
        <w:pStyle w:val="FootnoteText"/>
      </w:pPr>
      <w:r w:rsidRPr="00B74FFC">
        <w:rPr>
          <w:rStyle w:val="FootnoteReference"/>
        </w:rPr>
        <w:footnoteRef/>
      </w:r>
      <w:r w:rsidRPr="00B74FFC">
        <w:t xml:space="preserve"> In addition to receiving written comments, the Agencies conferred with National Association of Insurance Commissioners (NAIC) staff to obtain further information on</w:t>
      </w:r>
      <w:r>
        <w:t xml:space="preserve"> State </w:t>
      </w:r>
      <w:r w:rsidRPr="00B74FFC">
        <w:t>regulation of insurance companies.</w:t>
      </w:r>
    </w:p>
  </w:footnote>
  <w:footnote w:id="3">
    <w:p w:rsidR="0032126E" w:rsidRPr="00B74FFC" w:rsidRDefault="0032126E" w:rsidP="0032126E">
      <w:pPr>
        <w:pStyle w:val="FootnoteText"/>
      </w:pPr>
      <w:r w:rsidRPr="00B74FFC">
        <w:rPr>
          <w:rStyle w:val="FootnoteReference"/>
        </w:rPr>
        <w:footnoteRef/>
      </w:r>
      <w:r w:rsidRPr="00B74FFC">
        <w:t xml:space="preserve"> 42 U.S.C. 4012a(b)(1)(B).</w:t>
      </w:r>
    </w:p>
  </w:footnote>
  <w:footnote w:id="4">
    <w:p w:rsidR="0032126E" w:rsidRPr="00B74FFC" w:rsidRDefault="0032126E" w:rsidP="0032126E">
      <w:pPr>
        <w:pStyle w:val="FootnoteText"/>
      </w:pPr>
      <w:r w:rsidRPr="00B74FFC">
        <w:rPr>
          <w:rStyle w:val="FootnoteReference"/>
        </w:rPr>
        <w:footnoteRef/>
      </w:r>
      <w:r w:rsidRPr="00B74FFC">
        <w:t xml:space="preserve"> The Biggert-Waters Act’s reforms were designed to improve the NFIP’s financial integrity and stability as well as to “increase the role of private markets in the management of flood insurance risk.”  H. Rep. No. 112-102, at 1 (2011); </w:t>
      </w:r>
      <w:r w:rsidRPr="007A6E76">
        <w:rPr>
          <w:i/>
        </w:rPr>
        <w:t>see also</w:t>
      </w:r>
      <w:r w:rsidRPr="00B74FFC">
        <w:t xml:space="preserve"> 158 Cong. Rec. H4622 (daily ed. June 29, 2012) (statement of Rep. Biggert).</w:t>
      </w:r>
    </w:p>
  </w:footnote>
  <w:footnote w:id="5">
    <w:p w:rsidR="00C95659" w:rsidRPr="007A62F1" w:rsidRDefault="00C95659" w:rsidP="00C95659">
      <w:pPr>
        <w:rPr>
          <w:rFonts w:ascii="Times New Roman" w:hAnsi="Times New Roman"/>
        </w:rPr>
      </w:pPr>
      <w:r w:rsidRPr="00CA0F83">
        <w:rPr>
          <w:rStyle w:val="FootnoteReference"/>
          <w:rFonts w:ascii="Times New Roman" w:hAnsi="Times New Roman"/>
          <w:sz w:val="20"/>
        </w:rPr>
        <w:footnoteRef/>
      </w:r>
      <w:r w:rsidRPr="00CA0F83">
        <w:rPr>
          <w:rFonts w:ascii="Times New Roman" w:hAnsi="Times New Roman"/>
          <w:sz w:val="20"/>
        </w:rPr>
        <w:t xml:space="preserve"> </w:t>
      </w:r>
      <w:r w:rsidRPr="00A0658F">
        <w:rPr>
          <w:rFonts w:ascii="Times New Roman" w:hAnsi="Times New Roman"/>
          <w:sz w:val="20"/>
        </w:rPr>
        <w:t>As indicated by a comment described above</w:t>
      </w:r>
      <w:r>
        <w:rPr>
          <w:rFonts w:ascii="Times New Roman" w:hAnsi="Times New Roman"/>
          <w:sz w:val="20"/>
        </w:rPr>
        <w:t>,</w:t>
      </w:r>
      <w:r w:rsidRPr="00A0658F">
        <w:rPr>
          <w:rFonts w:ascii="Times New Roman" w:hAnsi="Times New Roman"/>
          <w:sz w:val="20"/>
        </w:rPr>
        <w:t xml:space="preserve"> the </w:t>
      </w:r>
      <w:r w:rsidRPr="00CA0F83">
        <w:rPr>
          <w:rFonts w:ascii="Times New Roman" w:hAnsi="Times New Roman"/>
          <w:sz w:val="20"/>
        </w:rPr>
        <w:t>Agencies’ note that</w:t>
      </w:r>
      <w:r>
        <w:rPr>
          <w:rFonts w:ascii="Times New Roman" w:hAnsi="Times New Roman"/>
          <w:sz w:val="20"/>
        </w:rPr>
        <w:t xml:space="preserve"> regulated lending</w:t>
      </w:r>
      <w:r w:rsidRPr="00CA0F83">
        <w:rPr>
          <w:rFonts w:ascii="Times New Roman" w:hAnsi="Times New Roman"/>
          <w:sz w:val="20"/>
        </w:rPr>
        <w:t xml:space="preserve"> institutions intending to sell mortgages into the secondary market also should </w:t>
      </w:r>
      <w:r>
        <w:rPr>
          <w:rFonts w:ascii="Times New Roman" w:hAnsi="Times New Roman"/>
          <w:sz w:val="20"/>
        </w:rPr>
        <w:t>review the</w:t>
      </w:r>
      <w:r w:rsidRPr="00CA0F83">
        <w:rPr>
          <w:rFonts w:ascii="Times New Roman" w:hAnsi="Times New Roman"/>
          <w:sz w:val="20"/>
        </w:rPr>
        <w:t xml:space="preserve"> requirements of such secondary market investors for guidance on acceptable private flood insurance.</w:t>
      </w:r>
    </w:p>
  </w:footnote>
  <w:footnote w:id="6">
    <w:p w:rsidR="000A00DD" w:rsidRDefault="000A00DD">
      <w:pPr>
        <w:pStyle w:val="FootnoteText"/>
      </w:pPr>
      <w:r>
        <w:rPr>
          <w:rStyle w:val="FootnoteReference"/>
        </w:rPr>
        <w:footnoteRef/>
      </w:r>
      <w:r>
        <w:t xml:space="preserve"> </w:t>
      </w:r>
      <w:r w:rsidRPr="000A00DD">
        <w:t>As indicated in the proposed rule, this criterion is included in the definition of “private flood insurance” in the Biggert-Waters Act, and the Agencies find that it is appropriate to include it as a criterion for discretionary acceptance in the final rule as well.  As noted above in the discussion of mandatory acceptance, the Agencies believe that surplus lines insurers for noncommercial properties are covered as insurance companies that are “otherwise approved to engage in the business of insurance by the insurance regulator of the State or jurisdiction in which the property to be insured is located.”</w:t>
      </w:r>
    </w:p>
  </w:footnote>
  <w:footnote w:id="7">
    <w:p w:rsidR="0032126E" w:rsidRPr="0080032C" w:rsidRDefault="0032126E" w:rsidP="0032126E">
      <w:pPr>
        <w:pStyle w:val="FootnoteText"/>
      </w:pPr>
      <w:r w:rsidRPr="0080032C">
        <w:rPr>
          <w:rStyle w:val="FootnoteReference"/>
        </w:rPr>
        <w:footnoteRef/>
      </w:r>
      <w:r w:rsidRPr="0080032C">
        <w:t xml:space="preserve"> FEMA. Flood Insurance Statistics for the Current Month: Policies in Force. </w:t>
      </w:r>
      <w:hyperlink r:id="rId1" w:history="1">
        <w:r w:rsidRPr="0080032C">
          <w:rPr>
            <w:rStyle w:val="Hyperlink"/>
          </w:rPr>
          <w:t>https://www.fema.gov/policies-force-month</w:t>
        </w:r>
      </w:hyperlink>
      <w:r>
        <w:t xml:space="preserve"> Accessed March 22, 2019.</w:t>
      </w:r>
    </w:p>
  </w:footnote>
  <w:footnote w:id="8">
    <w:p w:rsidR="0032126E" w:rsidRPr="0080032C" w:rsidRDefault="0032126E" w:rsidP="0032126E">
      <w:pPr>
        <w:pStyle w:val="FootnoteText"/>
      </w:pPr>
      <w:r w:rsidRPr="0080032C">
        <w:rPr>
          <w:rStyle w:val="FootnoteReference"/>
        </w:rPr>
        <w:footnoteRef/>
      </w:r>
      <w:r w:rsidRPr="0080032C">
        <w:t xml:space="preserve"> A 2018 research study estimates that private flood insurance constitutes 3.5 – 4.5 percent of residential flood insurance policies. See Kousky, Carolyn, Howard Kunreuther, Brett Lingle, and Leonard Shabman. “The Emerging Private Residential Flood Insurance Market in the United States.” Wharton Risk Management and Decision Processes Center: July 2018. </w:t>
      </w:r>
      <w:hyperlink r:id="rId2" w:history="1">
        <w:r w:rsidRPr="0080032C">
          <w:rPr>
            <w:rStyle w:val="Hyperlink"/>
          </w:rPr>
          <w:t>https://riskcenter.wharton.upenn.edu/wp-content/uploads/2018/07/Emerging-Flood-Insurance-Market-Report.pdf</w:t>
        </w:r>
      </w:hyperlink>
      <w:r w:rsidRPr="0080032C">
        <w:t xml:space="preserve"> </w:t>
      </w:r>
    </w:p>
  </w:footnote>
  <w:footnote w:id="9">
    <w:p w:rsidR="0032126E" w:rsidRPr="0080032C" w:rsidRDefault="0032126E" w:rsidP="0032126E">
      <w:pPr>
        <w:pStyle w:val="FootnoteText"/>
      </w:pPr>
      <w:r w:rsidRPr="0080032C">
        <w:rPr>
          <w:rStyle w:val="FootnoteReference"/>
        </w:rPr>
        <w:footnoteRef/>
      </w:r>
      <w:r w:rsidRPr="0080032C">
        <w:t xml:space="preserve"> 5,069,031 + 506,903 = 5,575,934</w:t>
      </w:r>
    </w:p>
  </w:footnote>
  <w:footnote w:id="10">
    <w:p w:rsidR="0032126E" w:rsidRPr="0080032C" w:rsidRDefault="0032126E" w:rsidP="0032126E">
      <w:pPr>
        <w:pStyle w:val="FootnoteText"/>
      </w:pPr>
      <w:r w:rsidRPr="0080032C">
        <w:rPr>
          <w:rStyle w:val="FootnoteReference"/>
        </w:rPr>
        <w:footnoteRef/>
      </w:r>
      <w:r w:rsidRPr="0080032C">
        <w:t xml:space="preserve"> Board of Governors of the Federal Reserve System. Mortgage Debt Outstanding. </w:t>
      </w:r>
      <w:hyperlink r:id="rId3" w:history="1">
        <w:r w:rsidRPr="00DF2B61">
          <w:rPr>
            <w:rStyle w:val="Hyperlink"/>
          </w:rPr>
          <w:t>https://www.federalreserve.gov/data/mortoutstand/current.htm Accessed March 22</w:t>
        </w:r>
      </w:hyperlink>
      <w:r>
        <w:t>, 2019.</w:t>
      </w:r>
    </w:p>
  </w:footnote>
  <w:footnote w:id="11">
    <w:p w:rsidR="0032126E" w:rsidRPr="0080032C" w:rsidRDefault="0032126E" w:rsidP="0032126E">
      <w:pPr>
        <w:pStyle w:val="FootnoteText"/>
      </w:pPr>
      <w:r w:rsidRPr="0080032C">
        <w:rPr>
          <w:rStyle w:val="FootnoteReference"/>
        </w:rPr>
        <w:footnoteRef/>
      </w:r>
      <w:r w:rsidRPr="0080032C">
        <w:t xml:space="preserve"> 5,575,934 x 31.91% = 1,779,281</w:t>
      </w:r>
    </w:p>
  </w:footnote>
  <w:footnote w:id="12">
    <w:p w:rsidR="0032126E" w:rsidRPr="0080032C" w:rsidRDefault="0032126E" w:rsidP="0032126E">
      <w:pPr>
        <w:pStyle w:val="FootnoteText"/>
      </w:pPr>
      <w:r w:rsidRPr="0080032C">
        <w:rPr>
          <w:rStyle w:val="FootnoteReference"/>
        </w:rPr>
        <w:footnoteRef/>
      </w:r>
      <w:r w:rsidRPr="0080032C">
        <w:t xml:space="preserve"> Call Report data, December 2018</w:t>
      </w:r>
    </w:p>
  </w:footnote>
  <w:footnote w:id="13">
    <w:p w:rsidR="0032126E" w:rsidRPr="0080032C" w:rsidRDefault="0032126E" w:rsidP="0032126E">
      <w:pPr>
        <w:pStyle w:val="FootnoteText"/>
      </w:pPr>
      <w:r w:rsidRPr="0080032C">
        <w:rPr>
          <w:rStyle w:val="FootnoteReference"/>
        </w:rPr>
        <w:footnoteRef/>
      </w:r>
      <w:r w:rsidRPr="0080032C">
        <w:t xml:space="preserve"> Ibid.</w:t>
      </w:r>
    </w:p>
  </w:footnote>
  <w:footnote w:id="14">
    <w:p w:rsidR="0032126E" w:rsidRDefault="0032126E" w:rsidP="0032126E">
      <w:pPr>
        <w:pStyle w:val="FootnoteText"/>
      </w:pPr>
      <w:r>
        <w:rPr>
          <w:rStyle w:val="FootnoteReference"/>
        </w:rPr>
        <w:footnoteRef/>
      </w:r>
      <w:r>
        <w:t xml:space="preserve"> Ibid.</w:t>
      </w:r>
    </w:p>
  </w:footnote>
  <w:footnote w:id="15">
    <w:p w:rsidR="0032126E" w:rsidRDefault="0032126E" w:rsidP="0032126E">
      <w:pPr>
        <w:pStyle w:val="FootnoteText"/>
      </w:pPr>
      <w:r>
        <w:rPr>
          <w:rStyle w:val="FootnoteReference"/>
        </w:rPr>
        <w:footnoteRef/>
      </w:r>
      <w:r>
        <w:t xml:space="preserve"> 521,151 / 3,465 = 150</w:t>
      </w:r>
    </w:p>
  </w:footnote>
  <w:footnote w:id="16">
    <w:p w:rsidR="0032126E" w:rsidRDefault="0032126E" w:rsidP="0032126E">
      <w:pPr>
        <w:pStyle w:val="FootnoteText"/>
      </w:pPr>
      <w:r>
        <w:rPr>
          <w:rStyle w:val="FootnoteReference"/>
        </w:rPr>
        <w:footnoteRef/>
      </w:r>
      <w:r>
        <w:t xml:space="preserve"> 29,553 / 3,465 =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97" w:rsidRDefault="00404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97" w:rsidRDefault="004042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97" w:rsidRDefault="00404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943B0"/>
    <w:multiLevelType w:val="singleLevel"/>
    <w:tmpl w:val="D0143ED4"/>
    <w:lvl w:ilvl="0">
      <w:start w:val="2"/>
      <w:numFmt w:val="upperLetter"/>
      <w:lvlText w:val="%1."/>
      <w:lvlJc w:val="left"/>
      <w:pPr>
        <w:tabs>
          <w:tab w:val="num" w:pos="720"/>
        </w:tabs>
        <w:ind w:left="720" w:hanging="720"/>
      </w:pPr>
      <w:rPr>
        <w:rFonts w:hint="default"/>
        <w:u w:val="none"/>
      </w:rPr>
    </w:lvl>
  </w:abstractNum>
  <w:abstractNum w:abstractNumId="1">
    <w:nsid w:val="29D34C86"/>
    <w:multiLevelType w:val="singleLevel"/>
    <w:tmpl w:val="0D24A400"/>
    <w:lvl w:ilvl="0">
      <w:start w:val="3"/>
      <w:numFmt w:val="decimal"/>
      <w:lvlText w:val="%1."/>
      <w:lvlJc w:val="left"/>
      <w:pPr>
        <w:tabs>
          <w:tab w:val="num" w:pos="1080"/>
        </w:tabs>
        <w:ind w:left="1080" w:hanging="360"/>
      </w:pPr>
      <w:rPr>
        <w:rFonts w:hint="default"/>
      </w:rPr>
    </w:lvl>
  </w:abstractNum>
  <w:abstractNum w:abstractNumId="2">
    <w:nsid w:val="4D725393"/>
    <w:multiLevelType w:val="singleLevel"/>
    <w:tmpl w:val="C966DCF2"/>
    <w:lvl w:ilvl="0">
      <w:start w:val="11"/>
      <w:numFmt w:val="decimal"/>
      <w:lvlText w:val="%1."/>
      <w:lvlJc w:val="left"/>
      <w:pPr>
        <w:tabs>
          <w:tab w:val="num" w:pos="1155"/>
        </w:tabs>
        <w:ind w:left="1155" w:hanging="435"/>
      </w:pPr>
      <w:rPr>
        <w:rFonts w:hint="default"/>
      </w:rPr>
    </w:lvl>
  </w:abstractNum>
  <w:abstractNum w:abstractNumId="3">
    <w:nsid w:val="69982C7B"/>
    <w:multiLevelType w:val="singleLevel"/>
    <w:tmpl w:val="6BC0306E"/>
    <w:lvl w:ilvl="0">
      <w:start w:val="2"/>
      <w:numFmt w:val="upperLetter"/>
      <w:lvlText w:val="%1."/>
      <w:lvlJc w:val="left"/>
      <w:pPr>
        <w:tabs>
          <w:tab w:val="num" w:pos="720"/>
        </w:tabs>
        <w:ind w:left="720" w:hanging="720"/>
      </w:pPr>
      <w:rPr>
        <w:rFonts w:hint="default"/>
      </w:rPr>
    </w:lvl>
  </w:abstractNum>
  <w:abstractNum w:abstractNumId="4">
    <w:nsid w:val="7FDA14C6"/>
    <w:multiLevelType w:val="hybridMultilevel"/>
    <w:tmpl w:val="400454B2"/>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14E"/>
    <w:rsid w:val="00002D77"/>
    <w:rsid w:val="00005840"/>
    <w:rsid w:val="00006445"/>
    <w:rsid w:val="00007EE7"/>
    <w:rsid w:val="00010D0D"/>
    <w:rsid w:val="000110A3"/>
    <w:rsid w:val="00012E4F"/>
    <w:rsid w:val="00013B22"/>
    <w:rsid w:val="00014F59"/>
    <w:rsid w:val="00017D1F"/>
    <w:rsid w:val="00024288"/>
    <w:rsid w:val="000265ED"/>
    <w:rsid w:val="00027439"/>
    <w:rsid w:val="0003126E"/>
    <w:rsid w:val="00032BF9"/>
    <w:rsid w:val="00032F62"/>
    <w:rsid w:val="00034746"/>
    <w:rsid w:val="00035037"/>
    <w:rsid w:val="00035BCC"/>
    <w:rsid w:val="000404CA"/>
    <w:rsid w:val="00040748"/>
    <w:rsid w:val="00040ED1"/>
    <w:rsid w:val="00041AEA"/>
    <w:rsid w:val="00041D95"/>
    <w:rsid w:val="000443D0"/>
    <w:rsid w:val="00046CD7"/>
    <w:rsid w:val="00053088"/>
    <w:rsid w:val="00056936"/>
    <w:rsid w:val="00057EA7"/>
    <w:rsid w:val="00060432"/>
    <w:rsid w:val="000619CF"/>
    <w:rsid w:val="00065F88"/>
    <w:rsid w:val="00066D30"/>
    <w:rsid w:val="0006746F"/>
    <w:rsid w:val="00071A1C"/>
    <w:rsid w:val="0007276A"/>
    <w:rsid w:val="00072F2B"/>
    <w:rsid w:val="00075C41"/>
    <w:rsid w:val="00075CE6"/>
    <w:rsid w:val="00080462"/>
    <w:rsid w:val="00082519"/>
    <w:rsid w:val="00084F89"/>
    <w:rsid w:val="000857D5"/>
    <w:rsid w:val="00086461"/>
    <w:rsid w:val="0009030D"/>
    <w:rsid w:val="000908AC"/>
    <w:rsid w:val="0009091A"/>
    <w:rsid w:val="000910C4"/>
    <w:rsid w:val="00093636"/>
    <w:rsid w:val="0009501E"/>
    <w:rsid w:val="00096F5D"/>
    <w:rsid w:val="0009767B"/>
    <w:rsid w:val="00097E26"/>
    <w:rsid w:val="000A00DD"/>
    <w:rsid w:val="000A03F7"/>
    <w:rsid w:val="000A0B56"/>
    <w:rsid w:val="000A17E7"/>
    <w:rsid w:val="000A25E4"/>
    <w:rsid w:val="000A3CF9"/>
    <w:rsid w:val="000A4315"/>
    <w:rsid w:val="000B0191"/>
    <w:rsid w:val="000B0A2E"/>
    <w:rsid w:val="000B0C58"/>
    <w:rsid w:val="000B364F"/>
    <w:rsid w:val="000B63B2"/>
    <w:rsid w:val="000B6E98"/>
    <w:rsid w:val="000C19F6"/>
    <w:rsid w:val="000C2D17"/>
    <w:rsid w:val="000C4862"/>
    <w:rsid w:val="000D3C9E"/>
    <w:rsid w:val="000D4BD8"/>
    <w:rsid w:val="000D580C"/>
    <w:rsid w:val="000D67C1"/>
    <w:rsid w:val="000D6BD8"/>
    <w:rsid w:val="000D7E89"/>
    <w:rsid w:val="000E0875"/>
    <w:rsid w:val="000E0B68"/>
    <w:rsid w:val="000E114B"/>
    <w:rsid w:val="000E15B5"/>
    <w:rsid w:val="000E31C4"/>
    <w:rsid w:val="000E400D"/>
    <w:rsid w:val="000E4A39"/>
    <w:rsid w:val="000E544F"/>
    <w:rsid w:val="000F02C6"/>
    <w:rsid w:val="000F28DB"/>
    <w:rsid w:val="000F38E7"/>
    <w:rsid w:val="000F68CE"/>
    <w:rsid w:val="000F7C05"/>
    <w:rsid w:val="00100D86"/>
    <w:rsid w:val="00100E00"/>
    <w:rsid w:val="0010153E"/>
    <w:rsid w:val="001059C4"/>
    <w:rsid w:val="00106BC5"/>
    <w:rsid w:val="00107E99"/>
    <w:rsid w:val="00107EED"/>
    <w:rsid w:val="00111A5C"/>
    <w:rsid w:val="00111F2B"/>
    <w:rsid w:val="00114648"/>
    <w:rsid w:val="00116176"/>
    <w:rsid w:val="001167E7"/>
    <w:rsid w:val="001176FF"/>
    <w:rsid w:val="001209A7"/>
    <w:rsid w:val="00122B4E"/>
    <w:rsid w:val="00124196"/>
    <w:rsid w:val="00125E7C"/>
    <w:rsid w:val="00127A9B"/>
    <w:rsid w:val="00130B34"/>
    <w:rsid w:val="001319EF"/>
    <w:rsid w:val="0013224A"/>
    <w:rsid w:val="00133EA6"/>
    <w:rsid w:val="00141A86"/>
    <w:rsid w:val="00143305"/>
    <w:rsid w:val="00143F12"/>
    <w:rsid w:val="00144468"/>
    <w:rsid w:val="00146969"/>
    <w:rsid w:val="00146AE4"/>
    <w:rsid w:val="00147E2E"/>
    <w:rsid w:val="001503E3"/>
    <w:rsid w:val="00150FAC"/>
    <w:rsid w:val="00151694"/>
    <w:rsid w:val="00151E2E"/>
    <w:rsid w:val="001573E5"/>
    <w:rsid w:val="00160AA8"/>
    <w:rsid w:val="00160EF1"/>
    <w:rsid w:val="00163BDE"/>
    <w:rsid w:val="00163E8E"/>
    <w:rsid w:val="00163FF6"/>
    <w:rsid w:val="00164A28"/>
    <w:rsid w:val="001651AD"/>
    <w:rsid w:val="00170CC8"/>
    <w:rsid w:val="001716A4"/>
    <w:rsid w:val="001736D3"/>
    <w:rsid w:val="00173754"/>
    <w:rsid w:val="0017387C"/>
    <w:rsid w:val="00181F77"/>
    <w:rsid w:val="00182D3E"/>
    <w:rsid w:val="0018414B"/>
    <w:rsid w:val="001877C2"/>
    <w:rsid w:val="00190EC5"/>
    <w:rsid w:val="00192F21"/>
    <w:rsid w:val="0019707E"/>
    <w:rsid w:val="00197402"/>
    <w:rsid w:val="001975B7"/>
    <w:rsid w:val="001A1DE5"/>
    <w:rsid w:val="001A2039"/>
    <w:rsid w:val="001A261F"/>
    <w:rsid w:val="001A444B"/>
    <w:rsid w:val="001A4913"/>
    <w:rsid w:val="001A596F"/>
    <w:rsid w:val="001B1AEB"/>
    <w:rsid w:val="001B2635"/>
    <w:rsid w:val="001B3CEE"/>
    <w:rsid w:val="001B4149"/>
    <w:rsid w:val="001B45DB"/>
    <w:rsid w:val="001B4F6A"/>
    <w:rsid w:val="001B6A56"/>
    <w:rsid w:val="001B709A"/>
    <w:rsid w:val="001B7A7E"/>
    <w:rsid w:val="001C16F2"/>
    <w:rsid w:val="001C1754"/>
    <w:rsid w:val="001C4F8E"/>
    <w:rsid w:val="001C62A9"/>
    <w:rsid w:val="001C6886"/>
    <w:rsid w:val="001C75B1"/>
    <w:rsid w:val="001C7DB4"/>
    <w:rsid w:val="001D1CF7"/>
    <w:rsid w:val="001D7C2B"/>
    <w:rsid w:val="001D7F21"/>
    <w:rsid w:val="001E25C5"/>
    <w:rsid w:val="001E2ED6"/>
    <w:rsid w:val="001E3332"/>
    <w:rsid w:val="001E3562"/>
    <w:rsid w:val="001E41DB"/>
    <w:rsid w:val="001E420E"/>
    <w:rsid w:val="001E61E3"/>
    <w:rsid w:val="001E7434"/>
    <w:rsid w:val="001E77B6"/>
    <w:rsid w:val="001F2421"/>
    <w:rsid w:val="001F39DB"/>
    <w:rsid w:val="001F4654"/>
    <w:rsid w:val="001F6253"/>
    <w:rsid w:val="001F6E28"/>
    <w:rsid w:val="001F74FA"/>
    <w:rsid w:val="00201AA5"/>
    <w:rsid w:val="002042A9"/>
    <w:rsid w:val="00206EF6"/>
    <w:rsid w:val="00212490"/>
    <w:rsid w:val="00212A1F"/>
    <w:rsid w:val="00213461"/>
    <w:rsid w:val="00213C26"/>
    <w:rsid w:val="002158A7"/>
    <w:rsid w:val="00217E70"/>
    <w:rsid w:val="002202E7"/>
    <w:rsid w:val="0022271F"/>
    <w:rsid w:val="00226208"/>
    <w:rsid w:val="00226792"/>
    <w:rsid w:val="0022778A"/>
    <w:rsid w:val="00233F9B"/>
    <w:rsid w:val="002348A4"/>
    <w:rsid w:val="00234999"/>
    <w:rsid w:val="002355C9"/>
    <w:rsid w:val="00240358"/>
    <w:rsid w:val="002413B9"/>
    <w:rsid w:val="00244A24"/>
    <w:rsid w:val="00244A71"/>
    <w:rsid w:val="0024543A"/>
    <w:rsid w:val="00245ABC"/>
    <w:rsid w:val="00245B84"/>
    <w:rsid w:val="0024742B"/>
    <w:rsid w:val="00250FFF"/>
    <w:rsid w:val="0025225B"/>
    <w:rsid w:val="0025290C"/>
    <w:rsid w:val="00253DB3"/>
    <w:rsid w:val="00253FE1"/>
    <w:rsid w:val="002540CC"/>
    <w:rsid w:val="00255547"/>
    <w:rsid w:val="002556A3"/>
    <w:rsid w:val="002561A4"/>
    <w:rsid w:val="0025657B"/>
    <w:rsid w:val="0025670B"/>
    <w:rsid w:val="0025784C"/>
    <w:rsid w:val="002579EE"/>
    <w:rsid w:val="00257D4B"/>
    <w:rsid w:val="00257FED"/>
    <w:rsid w:val="002626F1"/>
    <w:rsid w:val="00262C25"/>
    <w:rsid w:val="002633D4"/>
    <w:rsid w:val="00266B49"/>
    <w:rsid w:val="00267464"/>
    <w:rsid w:val="00271EF1"/>
    <w:rsid w:val="00272154"/>
    <w:rsid w:val="0027458D"/>
    <w:rsid w:val="00274C71"/>
    <w:rsid w:val="002766CA"/>
    <w:rsid w:val="00280B0B"/>
    <w:rsid w:val="00280F83"/>
    <w:rsid w:val="0028134B"/>
    <w:rsid w:val="0028148B"/>
    <w:rsid w:val="002829C9"/>
    <w:rsid w:val="002830B7"/>
    <w:rsid w:val="0028493D"/>
    <w:rsid w:val="00284E38"/>
    <w:rsid w:val="00285137"/>
    <w:rsid w:val="00287232"/>
    <w:rsid w:val="00287FE1"/>
    <w:rsid w:val="00291710"/>
    <w:rsid w:val="00291AE6"/>
    <w:rsid w:val="0029209A"/>
    <w:rsid w:val="00292BA8"/>
    <w:rsid w:val="0029356E"/>
    <w:rsid w:val="00294640"/>
    <w:rsid w:val="00295A7F"/>
    <w:rsid w:val="00296B50"/>
    <w:rsid w:val="002A1DC5"/>
    <w:rsid w:val="002A1E6E"/>
    <w:rsid w:val="002A5DA4"/>
    <w:rsid w:val="002B21A1"/>
    <w:rsid w:val="002B491D"/>
    <w:rsid w:val="002B5F23"/>
    <w:rsid w:val="002B5FE9"/>
    <w:rsid w:val="002B675E"/>
    <w:rsid w:val="002C1EFD"/>
    <w:rsid w:val="002C204B"/>
    <w:rsid w:val="002C3CEB"/>
    <w:rsid w:val="002C4DD4"/>
    <w:rsid w:val="002C57B1"/>
    <w:rsid w:val="002C6411"/>
    <w:rsid w:val="002C6B34"/>
    <w:rsid w:val="002C7182"/>
    <w:rsid w:val="002C7CBF"/>
    <w:rsid w:val="002D1129"/>
    <w:rsid w:val="002D52DE"/>
    <w:rsid w:val="002D6016"/>
    <w:rsid w:val="002D6F47"/>
    <w:rsid w:val="002D76C3"/>
    <w:rsid w:val="002E27D0"/>
    <w:rsid w:val="002E3C66"/>
    <w:rsid w:val="002E44BB"/>
    <w:rsid w:val="002E4631"/>
    <w:rsid w:val="002E4AC2"/>
    <w:rsid w:val="002E7255"/>
    <w:rsid w:val="002F2694"/>
    <w:rsid w:val="002F337C"/>
    <w:rsid w:val="002F5A40"/>
    <w:rsid w:val="002F6054"/>
    <w:rsid w:val="002F6D69"/>
    <w:rsid w:val="002F78AA"/>
    <w:rsid w:val="0030413E"/>
    <w:rsid w:val="00304A3D"/>
    <w:rsid w:val="003106AA"/>
    <w:rsid w:val="00313592"/>
    <w:rsid w:val="0031598C"/>
    <w:rsid w:val="0031737C"/>
    <w:rsid w:val="0031741F"/>
    <w:rsid w:val="0032126E"/>
    <w:rsid w:val="00321FB3"/>
    <w:rsid w:val="00325083"/>
    <w:rsid w:val="003272BB"/>
    <w:rsid w:val="003274A9"/>
    <w:rsid w:val="00332861"/>
    <w:rsid w:val="00337189"/>
    <w:rsid w:val="00342899"/>
    <w:rsid w:val="003430D0"/>
    <w:rsid w:val="00344DA3"/>
    <w:rsid w:val="00345D86"/>
    <w:rsid w:val="00347303"/>
    <w:rsid w:val="00347D37"/>
    <w:rsid w:val="00350383"/>
    <w:rsid w:val="003521D4"/>
    <w:rsid w:val="0035258F"/>
    <w:rsid w:val="00352631"/>
    <w:rsid w:val="00353E23"/>
    <w:rsid w:val="00354003"/>
    <w:rsid w:val="00354A03"/>
    <w:rsid w:val="0035784F"/>
    <w:rsid w:val="00360A77"/>
    <w:rsid w:val="003620C4"/>
    <w:rsid w:val="003630B6"/>
    <w:rsid w:val="0036383C"/>
    <w:rsid w:val="00364628"/>
    <w:rsid w:val="00365797"/>
    <w:rsid w:val="003675FD"/>
    <w:rsid w:val="003676F4"/>
    <w:rsid w:val="00367E14"/>
    <w:rsid w:val="00367EE7"/>
    <w:rsid w:val="00373730"/>
    <w:rsid w:val="00373DBC"/>
    <w:rsid w:val="00375044"/>
    <w:rsid w:val="00375FB5"/>
    <w:rsid w:val="00377164"/>
    <w:rsid w:val="003772CB"/>
    <w:rsid w:val="00382475"/>
    <w:rsid w:val="003849A5"/>
    <w:rsid w:val="00385E4F"/>
    <w:rsid w:val="00387B62"/>
    <w:rsid w:val="00393C3D"/>
    <w:rsid w:val="00397E1F"/>
    <w:rsid w:val="00397FE3"/>
    <w:rsid w:val="003A0576"/>
    <w:rsid w:val="003A115E"/>
    <w:rsid w:val="003A11E8"/>
    <w:rsid w:val="003A2860"/>
    <w:rsid w:val="003A2DDB"/>
    <w:rsid w:val="003A301B"/>
    <w:rsid w:val="003A3D1D"/>
    <w:rsid w:val="003A4185"/>
    <w:rsid w:val="003B0298"/>
    <w:rsid w:val="003B1115"/>
    <w:rsid w:val="003B1B83"/>
    <w:rsid w:val="003B4BA8"/>
    <w:rsid w:val="003B52FE"/>
    <w:rsid w:val="003B6D42"/>
    <w:rsid w:val="003B7615"/>
    <w:rsid w:val="003C0807"/>
    <w:rsid w:val="003C1E87"/>
    <w:rsid w:val="003C4404"/>
    <w:rsid w:val="003C47B4"/>
    <w:rsid w:val="003C50BD"/>
    <w:rsid w:val="003C59FE"/>
    <w:rsid w:val="003C6451"/>
    <w:rsid w:val="003D0C18"/>
    <w:rsid w:val="003D0CC8"/>
    <w:rsid w:val="003D1808"/>
    <w:rsid w:val="003D1D12"/>
    <w:rsid w:val="003D33A8"/>
    <w:rsid w:val="003D3A86"/>
    <w:rsid w:val="003D65B7"/>
    <w:rsid w:val="003D70D1"/>
    <w:rsid w:val="003E0908"/>
    <w:rsid w:val="003E31D3"/>
    <w:rsid w:val="003E6F2C"/>
    <w:rsid w:val="003E7111"/>
    <w:rsid w:val="003F02E9"/>
    <w:rsid w:val="003F34D7"/>
    <w:rsid w:val="003F3E93"/>
    <w:rsid w:val="003F4942"/>
    <w:rsid w:val="003F4B83"/>
    <w:rsid w:val="003F4D9C"/>
    <w:rsid w:val="0040326B"/>
    <w:rsid w:val="0040362A"/>
    <w:rsid w:val="00404297"/>
    <w:rsid w:val="00410494"/>
    <w:rsid w:val="00412644"/>
    <w:rsid w:val="004126B6"/>
    <w:rsid w:val="00415210"/>
    <w:rsid w:val="004156E3"/>
    <w:rsid w:val="00415CC8"/>
    <w:rsid w:val="0041646B"/>
    <w:rsid w:val="004173D9"/>
    <w:rsid w:val="00420938"/>
    <w:rsid w:val="00422BF4"/>
    <w:rsid w:val="0042399C"/>
    <w:rsid w:val="00423AF2"/>
    <w:rsid w:val="00423EF9"/>
    <w:rsid w:val="004331F7"/>
    <w:rsid w:val="004342EC"/>
    <w:rsid w:val="004349B5"/>
    <w:rsid w:val="004351B9"/>
    <w:rsid w:val="00435CD1"/>
    <w:rsid w:val="004371AD"/>
    <w:rsid w:val="004373CD"/>
    <w:rsid w:val="00440885"/>
    <w:rsid w:val="00442CFF"/>
    <w:rsid w:val="00442FCD"/>
    <w:rsid w:val="00443A4E"/>
    <w:rsid w:val="00444152"/>
    <w:rsid w:val="004464B4"/>
    <w:rsid w:val="00451332"/>
    <w:rsid w:val="00452C04"/>
    <w:rsid w:val="00453B11"/>
    <w:rsid w:val="00454E81"/>
    <w:rsid w:val="00455439"/>
    <w:rsid w:val="00457007"/>
    <w:rsid w:val="00457B54"/>
    <w:rsid w:val="0046059D"/>
    <w:rsid w:val="00461BA5"/>
    <w:rsid w:val="00463012"/>
    <w:rsid w:val="004655C7"/>
    <w:rsid w:val="004704C9"/>
    <w:rsid w:val="00475C45"/>
    <w:rsid w:val="0047717E"/>
    <w:rsid w:val="00482118"/>
    <w:rsid w:val="0048333D"/>
    <w:rsid w:val="004835C3"/>
    <w:rsid w:val="00484868"/>
    <w:rsid w:val="004860D6"/>
    <w:rsid w:val="00486792"/>
    <w:rsid w:val="0048770F"/>
    <w:rsid w:val="00490ECA"/>
    <w:rsid w:val="0049600A"/>
    <w:rsid w:val="004A01B4"/>
    <w:rsid w:val="004A1D75"/>
    <w:rsid w:val="004A3411"/>
    <w:rsid w:val="004A54B4"/>
    <w:rsid w:val="004A5A95"/>
    <w:rsid w:val="004A70FF"/>
    <w:rsid w:val="004A780E"/>
    <w:rsid w:val="004B23DE"/>
    <w:rsid w:val="004B4D49"/>
    <w:rsid w:val="004B5A33"/>
    <w:rsid w:val="004B6269"/>
    <w:rsid w:val="004C0CC2"/>
    <w:rsid w:val="004C1B77"/>
    <w:rsid w:val="004C2617"/>
    <w:rsid w:val="004C2C9E"/>
    <w:rsid w:val="004C59EB"/>
    <w:rsid w:val="004C7F13"/>
    <w:rsid w:val="004D0BB8"/>
    <w:rsid w:val="004D0FDB"/>
    <w:rsid w:val="004D295C"/>
    <w:rsid w:val="004D3149"/>
    <w:rsid w:val="004D3BA7"/>
    <w:rsid w:val="004D3D87"/>
    <w:rsid w:val="004D66D8"/>
    <w:rsid w:val="004E0380"/>
    <w:rsid w:val="004E0CA5"/>
    <w:rsid w:val="004E2BE0"/>
    <w:rsid w:val="004E5B98"/>
    <w:rsid w:val="004E63CD"/>
    <w:rsid w:val="004F0402"/>
    <w:rsid w:val="004F0B6A"/>
    <w:rsid w:val="004F1D9F"/>
    <w:rsid w:val="004F5136"/>
    <w:rsid w:val="004F5DAD"/>
    <w:rsid w:val="004F662F"/>
    <w:rsid w:val="004F74AD"/>
    <w:rsid w:val="005024F3"/>
    <w:rsid w:val="005033A5"/>
    <w:rsid w:val="005058E8"/>
    <w:rsid w:val="005062F5"/>
    <w:rsid w:val="00507B20"/>
    <w:rsid w:val="00511713"/>
    <w:rsid w:val="00513085"/>
    <w:rsid w:val="005146DD"/>
    <w:rsid w:val="00515C66"/>
    <w:rsid w:val="00516B44"/>
    <w:rsid w:val="00516CE9"/>
    <w:rsid w:val="00516E9A"/>
    <w:rsid w:val="00517530"/>
    <w:rsid w:val="00520351"/>
    <w:rsid w:val="00521B4B"/>
    <w:rsid w:val="00521B65"/>
    <w:rsid w:val="005220A4"/>
    <w:rsid w:val="00526397"/>
    <w:rsid w:val="00526ED6"/>
    <w:rsid w:val="005279CB"/>
    <w:rsid w:val="0053252F"/>
    <w:rsid w:val="00533D93"/>
    <w:rsid w:val="00533E75"/>
    <w:rsid w:val="00536F53"/>
    <w:rsid w:val="00540F87"/>
    <w:rsid w:val="00542F7C"/>
    <w:rsid w:val="00544899"/>
    <w:rsid w:val="00545BCB"/>
    <w:rsid w:val="0054610E"/>
    <w:rsid w:val="00547B02"/>
    <w:rsid w:val="005506D8"/>
    <w:rsid w:val="00552136"/>
    <w:rsid w:val="00555221"/>
    <w:rsid w:val="00556F61"/>
    <w:rsid w:val="00561A48"/>
    <w:rsid w:val="00562DCF"/>
    <w:rsid w:val="0056315B"/>
    <w:rsid w:val="00563E5F"/>
    <w:rsid w:val="00564EA4"/>
    <w:rsid w:val="005656A0"/>
    <w:rsid w:val="00572AE2"/>
    <w:rsid w:val="00572B05"/>
    <w:rsid w:val="005749E9"/>
    <w:rsid w:val="00575F88"/>
    <w:rsid w:val="00577322"/>
    <w:rsid w:val="0058102E"/>
    <w:rsid w:val="0058306E"/>
    <w:rsid w:val="00583D41"/>
    <w:rsid w:val="00583E74"/>
    <w:rsid w:val="00587F5B"/>
    <w:rsid w:val="00587F8C"/>
    <w:rsid w:val="00591AE5"/>
    <w:rsid w:val="00593EDE"/>
    <w:rsid w:val="0059424F"/>
    <w:rsid w:val="00594703"/>
    <w:rsid w:val="00594DCD"/>
    <w:rsid w:val="005962CA"/>
    <w:rsid w:val="00597644"/>
    <w:rsid w:val="005A04DD"/>
    <w:rsid w:val="005A0CD9"/>
    <w:rsid w:val="005A0F5D"/>
    <w:rsid w:val="005A114E"/>
    <w:rsid w:val="005A141C"/>
    <w:rsid w:val="005A24CD"/>
    <w:rsid w:val="005A29B4"/>
    <w:rsid w:val="005A3BBB"/>
    <w:rsid w:val="005A6477"/>
    <w:rsid w:val="005A6A64"/>
    <w:rsid w:val="005A6AF6"/>
    <w:rsid w:val="005B0AB2"/>
    <w:rsid w:val="005B0B0C"/>
    <w:rsid w:val="005B16A4"/>
    <w:rsid w:val="005B20EE"/>
    <w:rsid w:val="005B3C26"/>
    <w:rsid w:val="005B634B"/>
    <w:rsid w:val="005B6E0C"/>
    <w:rsid w:val="005C0F2F"/>
    <w:rsid w:val="005C28CA"/>
    <w:rsid w:val="005C32D0"/>
    <w:rsid w:val="005C3F27"/>
    <w:rsid w:val="005C5972"/>
    <w:rsid w:val="005C5BA3"/>
    <w:rsid w:val="005D001B"/>
    <w:rsid w:val="005D0028"/>
    <w:rsid w:val="005D1A32"/>
    <w:rsid w:val="005D47A5"/>
    <w:rsid w:val="005D48A0"/>
    <w:rsid w:val="005D6150"/>
    <w:rsid w:val="005D7BEB"/>
    <w:rsid w:val="005E0A38"/>
    <w:rsid w:val="005E0D72"/>
    <w:rsid w:val="005E4058"/>
    <w:rsid w:val="005E5563"/>
    <w:rsid w:val="005E68FD"/>
    <w:rsid w:val="005E690D"/>
    <w:rsid w:val="005F016C"/>
    <w:rsid w:val="005F1A4A"/>
    <w:rsid w:val="005F1AC6"/>
    <w:rsid w:val="005F1BCA"/>
    <w:rsid w:val="005F1D28"/>
    <w:rsid w:val="005F3B77"/>
    <w:rsid w:val="005F50C5"/>
    <w:rsid w:val="005F70F0"/>
    <w:rsid w:val="00601EAA"/>
    <w:rsid w:val="00603696"/>
    <w:rsid w:val="006037D3"/>
    <w:rsid w:val="00604CBD"/>
    <w:rsid w:val="0060534A"/>
    <w:rsid w:val="00605CD6"/>
    <w:rsid w:val="00606080"/>
    <w:rsid w:val="006066AC"/>
    <w:rsid w:val="00611E92"/>
    <w:rsid w:val="00614D93"/>
    <w:rsid w:val="00615089"/>
    <w:rsid w:val="0062058A"/>
    <w:rsid w:val="00621622"/>
    <w:rsid w:val="00621F5A"/>
    <w:rsid w:val="00623169"/>
    <w:rsid w:val="0062583C"/>
    <w:rsid w:val="00626EBC"/>
    <w:rsid w:val="00627DDE"/>
    <w:rsid w:val="006314FB"/>
    <w:rsid w:val="00632162"/>
    <w:rsid w:val="00633328"/>
    <w:rsid w:val="0063426B"/>
    <w:rsid w:val="006348F1"/>
    <w:rsid w:val="006349CB"/>
    <w:rsid w:val="00634AB2"/>
    <w:rsid w:val="00634E2D"/>
    <w:rsid w:val="006402C6"/>
    <w:rsid w:val="006408DE"/>
    <w:rsid w:val="00640B70"/>
    <w:rsid w:val="0064272E"/>
    <w:rsid w:val="00645569"/>
    <w:rsid w:val="00645B7F"/>
    <w:rsid w:val="00646BD2"/>
    <w:rsid w:val="00647AD0"/>
    <w:rsid w:val="006501D7"/>
    <w:rsid w:val="00650237"/>
    <w:rsid w:val="00651516"/>
    <w:rsid w:val="00652716"/>
    <w:rsid w:val="006534BD"/>
    <w:rsid w:val="006536F4"/>
    <w:rsid w:val="00656213"/>
    <w:rsid w:val="00656B4E"/>
    <w:rsid w:val="00660AB0"/>
    <w:rsid w:val="00660C5C"/>
    <w:rsid w:val="00662041"/>
    <w:rsid w:val="00662043"/>
    <w:rsid w:val="00662605"/>
    <w:rsid w:val="006636D6"/>
    <w:rsid w:val="006642BF"/>
    <w:rsid w:val="006643EE"/>
    <w:rsid w:val="006657D6"/>
    <w:rsid w:val="0066610D"/>
    <w:rsid w:val="0067017F"/>
    <w:rsid w:val="006737EC"/>
    <w:rsid w:val="00674AD4"/>
    <w:rsid w:val="00674C18"/>
    <w:rsid w:val="006756BB"/>
    <w:rsid w:val="0067651A"/>
    <w:rsid w:val="0068013A"/>
    <w:rsid w:val="00681980"/>
    <w:rsid w:val="006819ED"/>
    <w:rsid w:val="00683575"/>
    <w:rsid w:val="006902EA"/>
    <w:rsid w:val="00690F20"/>
    <w:rsid w:val="006912F0"/>
    <w:rsid w:val="00692787"/>
    <w:rsid w:val="00693C3E"/>
    <w:rsid w:val="006965EC"/>
    <w:rsid w:val="006967C6"/>
    <w:rsid w:val="00697291"/>
    <w:rsid w:val="00697D4F"/>
    <w:rsid w:val="006A083F"/>
    <w:rsid w:val="006A1E59"/>
    <w:rsid w:val="006A2367"/>
    <w:rsid w:val="006A52D2"/>
    <w:rsid w:val="006B008D"/>
    <w:rsid w:val="006B04B7"/>
    <w:rsid w:val="006B0A78"/>
    <w:rsid w:val="006B0C6F"/>
    <w:rsid w:val="006B0DB3"/>
    <w:rsid w:val="006B18B0"/>
    <w:rsid w:val="006B1A37"/>
    <w:rsid w:val="006B2861"/>
    <w:rsid w:val="006B7342"/>
    <w:rsid w:val="006B7A51"/>
    <w:rsid w:val="006C10C6"/>
    <w:rsid w:val="006C30A8"/>
    <w:rsid w:val="006D305A"/>
    <w:rsid w:val="006D31BF"/>
    <w:rsid w:val="006D76D8"/>
    <w:rsid w:val="006D79CA"/>
    <w:rsid w:val="006E0565"/>
    <w:rsid w:val="006E11C4"/>
    <w:rsid w:val="006E6807"/>
    <w:rsid w:val="006E6F0F"/>
    <w:rsid w:val="006F0802"/>
    <w:rsid w:val="006F0DB2"/>
    <w:rsid w:val="006F1A4E"/>
    <w:rsid w:val="006F2058"/>
    <w:rsid w:val="006F3117"/>
    <w:rsid w:val="006F538C"/>
    <w:rsid w:val="006F5E5E"/>
    <w:rsid w:val="00704F08"/>
    <w:rsid w:val="0070553D"/>
    <w:rsid w:val="00707417"/>
    <w:rsid w:val="00711828"/>
    <w:rsid w:val="00711F00"/>
    <w:rsid w:val="00713CB7"/>
    <w:rsid w:val="0071430E"/>
    <w:rsid w:val="00717C85"/>
    <w:rsid w:val="00721798"/>
    <w:rsid w:val="007252FE"/>
    <w:rsid w:val="007276F5"/>
    <w:rsid w:val="007278A8"/>
    <w:rsid w:val="0072796B"/>
    <w:rsid w:val="007321D0"/>
    <w:rsid w:val="007357A5"/>
    <w:rsid w:val="00736D00"/>
    <w:rsid w:val="00737C22"/>
    <w:rsid w:val="00740902"/>
    <w:rsid w:val="007428FF"/>
    <w:rsid w:val="00745922"/>
    <w:rsid w:val="00746618"/>
    <w:rsid w:val="00746668"/>
    <w:rsid w:val="007477F9"/>
    <w:rsid w:val="007508FD"/>
    <w:rsid w:val="007524E6"/>
    <w:rsid w:val="00752F4A"/>
    <w:rsid w:val="00753555"/>
    <w:rsid w:val="00753AB4"/>
    <w:rsid w:val="007555E9"/>
    <w:rsid w:val="00756547"/>
    <w:rsid w:val="00756629"/>
    <w:rsid w:val="0075664E"/>
    <w:rsid w:val="007576FB"/>
    <w:rsid w:val="00757CC9"/>
    <w:rsid w:val="00760450"/>
    <w:rsid w:val="0076093A"/>
    <w:rsid w:val="00760FBE"/>
    <w:rsid w:val="00763232"/>
    <w:rsid w:val="00764DB8"/>
    <w:rsid w:val="007654F5"/>
    <w:rsid w:val="007655D2"/>
    <w:rsid w:val="007709B2"/>
    <w:rsid w:val="0077394A"/>
    <w:rsid w:val="00775AF0"/>
    <w:rsid w:val="007760E7"/>
    <w:rsid w:val="00777627"/>
    <w:rsid w:val="00780733"/>
    <w:rsid w:val="00781EFD"/>
    <w:rsid w:val="007860C9"/>
    <w:rsid w:val="00786315"/>
    <w:rsid w:val="00786DB6"/>
    <w:rsid w:val="00791420"/>
    <w:rsid w:val="00792119"/>
    <w:rsid w:val="00793937"/>
    <w:rsid w:val="00794A84"/>
    <w:rsid w:val="00797CBE"/>
    <w:rsid w:val="007A051F"/>
    <w:rsid w:val="007A0E5B"/>
    <w:rsid w:val="007A1C12"/>
    <w:rsid w:val="007A2059"/>
    <w:rsid w:val="007A6A83"/>
    <w:rsid w:val="007A75F6"/>
    <w:rsid w:val="007B037A"/>
    <w:rsid w:val="007B071D"/>
    <w:rsid w:val="007B0756"/>
    <w:rsid w:val="007B3017"/>
    <w:rsid w:val="007B4D57"/>
    <w:rsid w:val="007B68B4"/>
    <w:rsid w:val="007B6D98"/>
    <w:rsid w:val="007B797F"/>
    <w:rsid w:val="007C078E"/>
    <w:rsid w:val="007C0FB5"/>
    <w:rsid w:val="007C1F0D"/>
    <w:rsid w:val="007C242D"/>
    <w:rsid w:val="007C29B1"/>
    <w:rsid w:val="007C5076"/>
    <w:rsid w:val="007C56F9"/>
    <w:rsid w:val="007C7DBE"/>
    <w:rsid w:val="007D07A0"/>
    <w:rsid w:val="007D0C83"/>
    <w:rsid w:val="007D0CAA"/>
    <w:rsid w:val="007D1C20"/>
    <w:rsid w:val="007D3072"/>
    <w:rsid w:val="007D4483"/>
    <w:rsid w:val="007D61CB"/>
    <w:rsid w:val="007E30F1"/>
    <w:rsid w:val="007E70C1"/>
    <w:rsid w:val="007E7A0D"/>
    <w:rsid w:val="007E7EDD"/>
    <w:rsid w:val="007F1A2A"/>
    <w:rsid w:val="007F2E80"/>
    <w:rsid w:val="007F3762"/>
    <w:rsid w:val="007F404A"/>
    <w:rsid w:val="007F57E8"/>
    <w:rsid w:val="007F6291"/>
    <w:rsid w:val="007F6656"/>
    <w:rsid w:val="00802E69"/>
    <w:rsid w:val="00803F7D"/>
    <w:rsid w:val="0080449E"/>
    <w:rsid w:val="008047AA"/>
    <w:rsid w:val="00804EE6"/>
    <w:rsid w:val="00805265"/>
    <w:rsid w:val="00810C46"/>
    <w:rsid w:val="0081280E"/>
    <w:rsid w:val="00813DF8"/>
    <w:rsid w:val="00814ADE"/>
    <w:rsid w:val="008155E3"/>
    <w:rsid w:val="008176B1"/>
    <w:rsid w:val="00820C07"/>
    <w:rsid w:val="00822075"/>
    <w:rsid w:val="0082212D"/>
    <w:rsid w:val="008231A2"/>
    <w:rsid w:val="00823BD0"/>
    <w:rsid w:val="00823FB9"/>
    <w:rsid w:val="0082635E"/>
    <w:rsid w:val="00826BCF"/>
    <w:rsid w:val="00830525"/>
    <w:rsid w:val="008313CC"/>
    <w:rsid w:val="00831F0E"/>
    <w:rsid w:val="00832C3E"/>
    <w:rsid w:val="00833270"/>
    <w:rsid w:val="0083448F"/>
    <w:rsid w:val="00835C67"/>
    <w:rsid w:val="0083659C"/>
    <w:rsid w:val="00841FBF"/>
    <w:rsid w:val="00843DE5"/>
    <w:rsid w:val="0084451C"/>
    <w:rsid w:val="00844A09"/>
    <w:rsid w:val="00846678"/>
    <w:rsid w:val="00846BAC"/>
    <w:rsid w:val="00847020"/>
    <w:rsid w:val="00850CEE"/>
    <w:rsid w:val="00854B7D"/>
    <w:rsid w:val="00857A1C"/>
    <w:rsid w:val="0086022E"/>
    <w:rsid w:val="00861A01"/>
    <w:rsid w:val="0086268C"/>
    <w:rsid w:val="00865459"/>
    <w:rsid w:val="00865897"/>
    <w:rsid w:val="008663C1"/>
    <w:rsid w:val="008668E3"/>
    <w:rsid w:val="00867450"/>
    <w:rsid w:val="008711C6"/>
    <w:rsid w:val="0087140E"/>
    <w:rsid w:val="00871C84"/>
    <w:rsid w:val="008740EC"/>
    <w:rsid w:val="00877CBD"/>
    <w:rsid w:val="008817A6"/>
    <w:rsid w:val="00881D25"/>
    <w:rsid w:val="0088534E"/>
    <w:rsid w:val="00885AB8"/>
    <w:rsid w:val="00887308"/>
    <w:rsid w:val="0089283B"/>
    <w:rsid w:val="00892A86"/>
    <w:rsid w:val="008932A4"/>
    <w:rsid w:val="00893F29"/>
    <w:rsid w:val="00895DD0"/>
    <w:rsid w:val="008962D0"/>
    <w:rsid w:val="00897B99"/>
    <w:rsid w:val="008A276C"/>
    <w:rsid w:val="008A2979"/>
    <w:rsid w:val="008A2A14"/>
    <w:rsid w:val="008A2A62"/>
    <w:rsid w:val="008A34E7"/>
    <w:rsid w:val="008A3588"/>
    <w:rsid w:val="008A5A8D"/>
    <w:rsid w:val="008A6A08"/>
    <w:rsid w:val="008A6B3D"/>
    <w:rsid w:val="008A778C"/>
    <w:rsid w:val="008B12DD"/>
    <w:rsid w:val="008B16CC"/>
    <w:rsid w:val="008B251C"/>
    <w:rsid w:val="008B2D96"/>
    <w:rsid w:val="008B45A5"/>
    <w:rsid w:val="008B4EBD"/>
    <w:rsid w:val="008B52A8"/>
    <w:rsid w:val="008C0877"/>
    <w:rsid w:val="008C2298"/>
    <w:rsid w:val="008C26D9"/>
    <w:rsid w:val="008C2926"/>
    <w:rsid w:val="008C4A0A"/>
    <w:rsid w:val="008C6B6D"/>
    <w:rsid w:val="008C703A"/>
    <w:rsid w:val="008C78B2"/>
    <w:rsid w:val="008D0D33"/>
    <w:rsid w:val="008D56D1"/>
    <w:rsid w:val="008D7DE5"/>
    <w:rsid w:val="008E1FB7"/>
    <w:rsid w:val="008E304C"/>
    <w:rsid w:val="008E4C5E"/>
    <w:rsid w:val="008E50E5"/>
    <w:rsid w:val="008E72C0"/>
    <w:rsid w:val="008F0771"/>
    <w:rsid w:val="008F086F"/>
    <w:rsid w:val="008F0D44"/>
    <w:rsid w:val="008F1364"/>
    <w:rsid w:val="008F182F"/>
    <w:rsid w:val="008F289E"/>
    <w:rsid w:val="008F4704"/>
    <w:rsid w:val="008F5118"/>
    <w:rsid w:val="008F5E3B"/>
    <w:rsid w:val="008F664C"/>
    <w:rsid w:val="008F76D4"/>
    <w:rsid w:val="00902893"/>
    <w:rsid w:val="0090416E"/>
    <w:rsid w:val="0090421F"/>
    <w:rsid w:val="00904A2A"/>
    <w:rsid w:val="00906E85"/>
    <w:rsid w:val="00907F89"/>
    <w:rsid w:val="009110E3"/>
    <w:rsid w:val="009111FB"/>
    <w:rsid w:val="00911761"/>
    <w:rsid w:val="009120C7"/>
    <w:rsid w:val="0091255F"/>
    <w:rsid w:val="009134E3"/>
    <w:rsid w:val="00914096"/>
    <w:rsid w:val="0091577F"/>
    <w:rsid w:val="009161A1"/>
    <w:rsid w:val="00920FA9"/>
    <w:rsid w:val="0092175E"/>
    <w:rsid w:val="00924077"/>
    <w:rsid w:val="00925047"/>
    <w:rsid w:val="00925C98"/>
    <w:rsid w:val="00925D1C"/>
    <w:rsid w:val="00927DE7"/>
    <w:rsid w:val="009301CF"/>
    <w:rsid w:val="009326AA"/>
    <w:rsid w:val="00932CAA"/>
    <w:rsid w:val="0093316F"/>
    <w:rsid w:val="00935019"/>
    <w:rsid w:val="009417AE"/>
    <w:rsid w:val="00942513"/>
    <w:rsid w:val="00943F91"/>
    <w:rsid w:val="00944460"/>
    <w:rsid w:val="00945B04"/>
    <w:rsid w:val="0094664B"/>
    <w:rsid w:val="00950F4C"/>
    <w:rsid w:val="0095310B"/>
    <w:rsid w:val="009559ED"/>
    <w:rsid w:val="00956460"/>
    <w:rsid w:val="009575B9"/>
    <w:rsid w:val="0096009B"/>
    <w:rsid w:val="00960612"/>
    <w:rsid w:val="00960824"/>
    <w:rsid w:val="00960B3E"/>
    <w:rsid w:val="00962B96"/>
    <w:rsid w:val="009632D1"/>
    <w:rsid w:val="00963941"/>
    <w:rsid w:val="00963BA6"/>
    <w:rsid w:val="00963FB6"/>
    <w:rsid w:val="00964829"/>
    <w:rsid w:val="00965DC0"/>
    <w:rsid w:val="00966859"/>
    <w:rsid w:val="009670A2"/>
    <w:rsid w:val="009708C7"/>
    <w:rsid w:val="00970C0C"/>
    <w:rsid w:val="0097204C"/>
    <w:rsid w:val="0097591B"/>
    <w:rsid w:val="009763EC"/>
    <w:rsid w:val="00977CBA"/>
    <w:rsid w:val="00980ABA"/>
    <w:rsid w:val="00980EFC"/>
    <w:rsid w:val="00981A65"/>
    <w:rsid w:val="00982D4B"/>
    <w:rsid w:val="00984DAE"/>
    <w:rsid w:val="00986241"/>
    <w:rsid w:val="00990515"/>
    <w:rsid w:val="00991D56"/>
    <w:rsid w:val="00992D48"/>
    <w:rsid w:val="009A0CEB"/>
    <w:rsid w:val="009A25C8"/>
    <w:rsid w:val="009A2688"/>
    <w:rsid w:val="009A2D23"/>
    <w:rsid w:val="009A3E58"/>
    <w:rsid w:val="009A4C68"/>
    <w:rsid w:val="009A686A"/>
    <w:rsid w:val="009B1CFA"/>
    <w:rsid w:val="009B48DB"/>
    <w:rsid w:val="009B6C15"/>
    <w:rsid w:val="009C12CA"/>
    <w:rsid w:val="009C2486"/>
    <w:rsid w:val="009C3153"/>
    <w:rsid w:val="009C3C87"/>
    <w:rsid w:val="009C7517"/>
    <w:rsid w:val="009C7E09"/>
    <w:rsid w:val="009D119B"/>
    <w:rsid w:val="009D13F8"/>
    <w:rsid w:val="009D1E6D"/>
    <w:rsid w:val="009D3664"/>
    <w:rsid w:val="009D389A"/>
    <w:rsid w:val="009E00C0"/>
    <w:rsid w:val="009E1BD9"/>
    <w:rsid w:val="009E2269"/>
    <w:rsid w:val="009E31D1"/>
    <w:rsid w:val="009E3B33"/>
    <w:rsid w:val="009E4393"/>
    <w:rsid w:val="009E4D51"/>
    <w:rsid w:val="009F07D1"/>
    <w:rsid w:val="009F0CAB"/>
    <w:rsid w:val="009F1E4D"/>
    <w:rsid w:val="009F6D16"/>
    <w:rsid w:val="009F7CC8"/>
    <w:rsid w:val="00A00010"/>
    <w:rsid w:val="00A001AA"/>
    <w:rsid w:val="00A031E5"/>
    <w:rsid w:val="00A042DA"/>
    <w:rsid w:val="00A04992"/>
    <w:rsid w:val="00A0625F"/>
    <w:rsid w:val="00A12038"/>
    <w:rsid w:val="00A12F45"/>
    <w:rsid w:val="00A136A8"/>
    <w:rsid w:val="00A1406F"/>
    <w:rsid w:val="00A14779"/>
    <w:rsid w:val="00A16729"/>
    <w:rsid w:val="00A17B5D"/>
    <w:rsid w:val="00A17B9E"/>
    <w:rsid w:val="00A200DF"/>
    <w:rsid w:val="00A20CFC"/>
    <w:rsid w:val="00A236E1"/>
    <w:rsid w:val="00A25C48"/>
    <w:rsid w:val="00A26152"/>
    <w:rsid w:val="00A26B5D"/>
    <w:rsid w:val="00A26F96"/>
    <w:rsid w:val="00A27AE6"/>
    <w:rsid w:val="00A27DBC"/>
    <w:rsid w:val="00A30741"/>
    <w:rsid w:val="00A339CE"/>
    <w:rsid w:val="00A33BC0"/>
    <w:rsid w:val="00A33FAD"/>
    <w:rsid w:val="00A345D6"/>
    <w:rsid w:val="00A3582D"/>
    <w:rsid w:val="00A367B1"/>
    <w:rsid w:val="00A37879"/>
    <w:rsid w:val="00A40709"/>
    <w:rsid w:val="00A40F5A"/>
    <w:rsid w:val="00A449A2"/>
    <w:rsid w:val="00A452E8"/>
    <w:rsid w:val="00A45964"/>
    <w:rsid w:val="00A46511"/>
    <w:rsid w:val="00A47958"/>
    <w:rsid w:val="00A504D3"/>
    <w:rsid w:val="00A510D4"/>
    <w:rsid w:val="00A51855"/>
    <w:rsid w:val="00A52188"/>
    <w:rsid w:val="00A52343"/>
    <w:rsid w:val="00A53ACC"/>
    <w:rsid w:val="00A54604"/>
    <w:rsid w:val="00A547DD"/>
    <w:rsid w:val="00A557F5"/>
    <w:rsid w:val="00A56126"/>
    <w:rsid w:val="00A577D3"/>
    <w:rsid w:val="00A60BF3"/>
    <w:rsid w:val="00A62364"/>
    <w:rsid w:val="00A653F9"/>
    <w:rsid w:val="00A661D7"/>
    <w:rsid w:val="00A66332"/>
    <w:rsid w:val="00A66A70"/>
    <w:rsid w:val="00A733E4"/>
    <w:rsid w:val="00A73E5B"/>
    <w:rsid w:val="00A74656"/>
    <w:rsid w:val="00A753B8"/>
    <w:rsid w:val="00A764A5"/>
    <w:rsid w:val="00A77A68"/>
    <w:rsid w:val="00A803B0"/>
    <w:rsid w:val="00A8092E"/>
    <w:rsid w:val="00A8223D"/>
    <w:rsid w:val="00A836B7"/>
    <w:rsid w:val="00A8516C"/>
    <w:rsid w:val="00A8573F"/>
    <w:rsid w:val="00A86B56"/>
    <w:rsid w:val="00A86B93"/>
    <w:rsid w:val="00A8719F"/>
    <w:rsid w:val="00A8748A"/>
    <w:rsid w:val="00A90383"/>
    <w:rsid w:val="00A904A5"/>
    <w:rsid w:val="00A91192"/>
    <w:rsid w:val="00A93468"/>
    <w:rsid w:val="00A93502"/>
    <w:rsid w:val="00A9358C"/>
    <w:rsid w:val="00A94367"/>
    <w:rsid w:val="00A962A0"/>
    <w:rsid w:val="00A974E9"/>
    <w:rsid w:val="00A977CB"/>
    <w:rsid w:val="00AA2A28"/>
    <w:rsid w:val="00AA2CFB"/>
    <w:rsid w:val="00AA3522"/>
    <w:rsid w:val="00AA3889"/>
    <w:rsid w:val="00AA44C4"/>
    <w:rsid w:val="00AA56C5"/>
    <w:rsid w:val="00AA5D1B"/>
    <w:rsid w:val="00AA6D3D"/>
    <w:rsid w:val="00AA7A13"/>
    <w:rsid w:val="00AB0AF5"/>
    <w:rsid w:val="00AB180A"/>
    <w:rsid w:val="00AB2859"/>
    <w:rsid w:val="00AB5205"/>
    <w:rsid w:val="00AB662F"/>
    <w:rsid w:val="00AB6668"/>
    <w:rsid w:val="00AB7737"/>
    <w:rsid w:val="00AC0266"/>
    <w:rsid w:val="00AC2982"/>
    <w:rsid w:val="00AD0D57"/>
    <w:rsid w:val="00AD2EEB"/>
    <w:rsid w:val="00AD4EA6"/>
    <w:rsid w:val="00AD5F2F"/>
    <w:rsid w:val="00AD60B7"/>
    <w:rsid w:val="00AD69EF"/>
    <w:rsid w:val="00AE19B9"/>
    <w:rsid w:val="00AE26B9"/>
    <w:rsid w:val="00AE3F9F"/>
    <w:rsid w:val="00AE50C7"/>
    <w:rsid w:val="00AE5C92"/>
    <w:rsid w:val="00AE7580"/>
    <w:rsid w:val="00AE77CE"/>
    <w:rsid w:val="00AE79CD"/>
    <w:rsid w:val="00AE7E34"/>
    <w:rsid w:val="00AF2B73"/>
    <w:rsid w:val="00AF2EE6"/>
    <w:rsid w:val="00AF3EB6"/>
    <w:rsid w:val="00AF5F9A"/>
    <w:rsid w:val="00AF6618"/>
    <w:rsid w:val="00AF791D"/>
    <w:rsid w:val="00B00865"/>
    <w:rsid w:val="00B00FBB"/>
    <w:rsid w:val="00B018C5"/>
    <w:rsid w:val="00B01B7B"/>
    <w:rsid w:val="00B0254D"/>
    <w:rsid w:val="00B0273F"/>
    <w:rsid w:val="00B0301D"/>
    <w:rsid w:val="00B036FA"/>
    <w:rsid w:val="00B06696"/>
    <w:rsid w:val="00B06C43"/>
    <w:rsid w:val="00B06CC5"/>
    <w:rsid w:val="00B06E17"/>
    <w:rsid w:val="00B164E7"/>
    <w:rsid w:val="00B16946"/>
    <w:rsid w:val="00B204E1"/>
    <w:rsid w:val="00B22769"/>
    <w:rsid w:val="00B23279"/>
    <w:rsid w:val="00B23B2C"/>
    <w:rsid w:val="00B24183"/>
    <w:rsid w:val="00B25808"/>
    <w:rsid w:val="00B262E7"/>
    <w:rsid w:val="00B323A5"/>
    <w:rsid w:val="00B3334F"/>
    <w:rsid w:val="00B33953"/>
    <w:rsid w:val="00B33D34"/>
    <w:rsid w:val="00B361F7"/>
    <w:rsid w:val="00B44F69"/>
    <w:rsid w:val="00B463B0"/>
    <w:rsid w:val="00B46B98"/>
    <w:rsid w:val="00B53EA4"/>
    <w:rsid w:val="00B5481D"/>
    <w:rsid w:val="00B54BD8"/>
    <w:rsid w:val="00B572F6"/>
    <w:rsid w:val="00B608AC"/>
    <w:rsid w:val="00B6093C"/>
    <w:rsid w:val="00B61623"/>
    <w:rsid w:val="00B61B21"/>
    <w:rsid w:val="00B62A5E"/>
    <w:rsid w:val="00B62E13"/>
    <w:rsid w:val="00B62F7D"/>
    <w:rsid w:val="00B632C0"/>
    <w:rsid w:val="00B63FFF"/>
    <w:rsid w:val="00B6459D"/>
    <w:rsid w:val="00B653AA"/>
    <w:rsid w:val="00B70733"/>
    <w:rsid w:val="00B72C76"/>
    <w:rsid w:val="00B74F2C"/>
    <w:rsid w:val="00B7606D"/>
    <w:rsid w:val="00B803C0"/>
    <w:rsid w:val="00B80C9C"/>
    <w:rsid w:val="00B8537E"/>
    <w:rsid w:val="00B87A31"/>
    <w:rsid w:val="00B92C7F"/>
    <w:rsid w:val="00B9497A"/>
    <w:rsid w:val="00B95680"/>
    <w:rsid w:val="00B963E8"/>
    <w:rsid w:val="00BA134C"/>
    <w:rsid w:val="00BA377A"/>
    <w:rsid w:val="00BA46FC"/>
    <w:rsid w:val="00BA500E"/>
    <w:rsid w:val="00BA7937"/>
    <w:rsid w:val="00BB02EB"/>
    <w:rsid w:val="00BB349B"/>
    <w:rsid w:val="00BB60CF"/>
    <w:rsid w:val="00BB76F8"/>
    <w:rsid w:val="00BB7827"/>
    <w:rsid w:val="00BC12A8"/>
    <w:rsid w:val="00BC175A"/>
    <w:rsid w:val="00BC195A"/>
    <w:rsid w:val="00BC374E"/>
    <w:rsid w:val="00BC477E"/>
    <w:rsid w:val="00BC4833"/>
    <w:rsid w:val="00BC4FA7"/>
    <w:rsid w:val="00BC50BD"/>
    <w:rsid w:val="00BC7D6E"/>
    <w:rsid w:val="00BD1497"/>
    <w:rsid w:val="00BD18C0"/>
    <w:rsid w:val="00BD3CA5"/>
    <w:rsid w:val="00BD47A8"/>
    <w:rsid w:val="00BD49CE"/>
    <w:rsid w:val="00BD7A68"/>
    <w:rsid w:val="00BE007C"/>
    <w:rsid w:val="00BE02FB"/>
    <w:rsid w:val="00BE17F3"/>
    <w:rsid w:val="00BE1B20"/>
    <w:rsid w:val="00BE24A9"/>
    <w:rsid w:val="00BE28F3"/>
    <w:rsid w:val="00BE4518"/>
    <w:rsid w:val="00BE48DC"/>
    <w:rsid w:val="00BE6F33"/>
    <w:rsid w:val="00BE78BD"/>
    <w:rsid w:val="00BE7B5E"/>
    <w:rsid w:val="00BE7D8F"/>
    <w:rsid w:val="00BF21FC"/>
    <w:rsid w:val="00BF3095"/>
    <w:rsid w:val="00BF3158"/>
    <w:rsid w:val="00BF4201"/>
    <w:rsid w:val="00BF53D8"/>
    <w:rsid w:val="00C019B2"/>
    <w:rsid w:val="00C01A33"/>
    <w:rsid w:val="00C02D75"/>
    <w:rsid w:val="00C02E0F"/>
    <w:rsid w:val="00C03E2A"/>
    <w:rsid w:val="00C049AC"/>
    <w:rsid w:val="00C05261"/>
    <w:rsid w:val="00C0579D"/>
    <w:rsid w:val="00C05A7F"/>
    <w:rsid w:val="00C05B3B"/>
    <w:rsid w:val="00C062A4"/>
    <w:rsid w:val="00C10DC2"/>
    <w:rsid w:val="00C10F67"/>
    <w:rsid w:val="00C13C74"/>
    <w:rsid w:val="00C14E6A"/>
    <w:rsid w:val="00C15551"/>
    <w:rsid w:val="00C16D82"/>
    <w:rsid w:val="00C17D55"/>
    <w:rsid w:val="00C21C08"/>
    <w:rsid w:val="00C22B78"/>
    <w:rsid w:val="00C25B6E"/>
    <w:rsid w:val="00C26844"/>
    <w:rsid w:val="00C27982"/>
    <w:rsid w:val="00C27D2E"/>
    <w:rsid w:val="00C3086A"/>
    <w:rsid w:val="00C31CF9"/>
    <w:rsid w:val="00C31E2F"/>
    <w:rsid w:val="00C4160E"/>
    <w:rsid w:val="00C43ACA"/>
    <w:rsid w:val="00C46BA7"/>
    <w:rsid w:val="00C47E3C"/>
    <w:rsid w:val="00C50EEE"/>
    <w:rsid w:val="00C519D3"/>
    <w:rsid w:val="00C51F2F"/>
    <w:rsid w:val="00C563B1"/>
    <w:rsid w:val="00C56E6B"/>
    <w:rsid w:val="00C57EB9"/>
    <w:rsid w:val="00C60C43"/>
    <w:rsid w:val="00C60E97"/>
    <w:rsid w:val="00C612B9"/>
    <w:rsid w:val="00C6407D"/>
    <w:rsid w:val="00C6528F"/>
    <w:rsid w:val="00C67889"/>
    <w:rsid w:val="00C67B6A"/>
    <w:rsid w:val="00C67B7C"/>
    <w:rsid w:val="00C7041E"/>
    <w:rsid w:val="00C7089F"/>
    <w:rsid w:val="00C71824"/>
    <w:rsid w:val="00C738E1"/>
    <w:rsid w:val="00C73A23"/>
    <w:rsid w:val="00C7767E"/>
    <w:rsid w:val="00C777BD"/>
    <w:rsid w:val="00C77F17"/>
    <w:rsid w:val="00C80548"/>
    <w:rsid w:val="00C80CF2"/>
    <w:rsid w:val="00C849F1"/>
    <w:rsid w:val="00C85CD3"/>
    <w:rsid w:val="00C8676C"/>
    <w:rsid w:val="00C868C7"/>
    <w:rsid w:val="00C86ABF"/>
    <w:rsid w:val="00C90129"/>
    <w:rsid w:val="00C90D4E"/>
    <w:rsid w:val="00C90DBB"/>
    <w:rsid w:val="00C91011"/>
    <w:rsid w:val="00C92368"/>
    <w:rsid w:val="00C927A9"/>
    <w:rsid w:val="00C92B5B"/>
    <w:rsid w:val="00C94FBC"/>
    <w:rsid w:val="00C95659"/>
    <w:rsid w:val="00C96BD6"/>
    <w:rsid w:val="00C97D69"/>
    <w:rsid w:val="00CA0AF1"/>
    <w:rsid w:val="00CA25EA"/>
    <w:rsid w:val="00CA4B99"/>
    <w:rsid w:val="00CA53CD"/>
    <w:rsid w:val="00CA5BD9"/>
    <w:rsid w:val="00CA6573"/>
    <w:rsid w:val="00CA6B6A"/>
    <w:rsid w:val="00CA7551"/>
    <w:rsid w:val="00CB15B9"/>
    <w:rsid w:val="00CB418C"/>
    <w:rsid w:val="00CC0370"/>
    <w:rsid w:val="00CC04B8"/>
    <w:rsid w:val="00CC26A0"/>
    <w:rsid w:val="00CC2F7E"/>
    <w:rsid w:val="00CC33EA"/>
    <w:rsid w:val="00CC4434"/>
    <w:rsid w:val="00CC59DE"/>
    <w:rsid w:val="00CC6027"/>
    <w:rsid w:val="00CD06AC"/>
    <w:rsid w:val="00CD081B"/>
    <w:rsid w:val="00CD1455"/>
    <w:rsid w:val="00CD1534"/>
    <w:rsid w:val="00CD2475"/>
    <w:rsid w:val="00CD256F"/>
    <w:rsid w:val="00CD6687"/>
    <w:rsid w:val="00CD76A7"/>
    <w:rsid w:val="00CF035A"/>
    <w:rsid w:val="00CF2A43"/>
    <w:rsid w:val="00CF31BB"/>
    <w:rsid w:val="00CF4591"/>
    <w:rsid w:val="00CF73C5"/>
    <w:rsid w:val="00D006E4"/>
    <w:rsid w:val="00D02004"/>
    <w:rsid w:val="00D02F9E"/>
    <w:rsid w:val="00D05330"/>
    <w:rsid w:val="00D07BF0"/>
    <w:rsid w:val="00D100C6"/>
    <w:rsid w:val="00D11A9E"/>
    <w:rsid w:val="00D11D87"/>
    <w:rsid w:val="00D1304C"/>
    <w:rsid w:val="00D1309C"/>
    <w:rsid w:val="00D13ABE"/>
    <w:rsid w:val="00D14825"/>
    <w:rsid w:val="00D2085F"/>
    <w:rsid w:val="00D20BAB"/>
    <w:rsid w:val="00D20EDB"/>
    <w:rsid w:val="00D217C5"/>
    <w:rsid w:val="00D22DF7"/>
    <w:rsid w:val="00D252A0"/>
    <w:rsid w:val="00D2586C"/>
    <w:rsid w:val="00D25FC5"/>
    <w:rsid w:val="00D276C8"/>
    <w:rsid w:val="00D3063D"/>
    <w:rsid w:val="00D3132D"/>
    <w:rsid w:val="00D31AC9"/>
    <w:rsid w:val="00D3463D"/>
    <w:rsid w:val="00D34A7A"/>
    <w:rsid w:val="00D36B24"/>
    <w:rsid w:val="00D37144"/>
    <w:rsid w:val="00D4209D"/>
    <w:rsid w:val="00D428D8"/>
    <w:rsid w:val="00D436EC"/>
    <w:rsid w:val="00D43CDB"/>
    <w:rsid w:val="00D50733"/>
    <w:rsid w:val="00D51A5F"/>
    <w:rsid w:val="00D51B74"/>
    <w:rsid w:val="00D56344"/>
    <w:rsid w:val="00D601AC"/>
    <w:rsid w:val="00D6508D"/>
    <w:rsid w:val="00D66711"/>
    <w:rsid w:val="00D67843"/>
    <w:rsid w:val="00D7030B"/>
    <w:rsid w:val="00D73652"/>
    <w:rsid w:val="00D74FD7"/>
    <w:rsid w:val="00D757DC"/>
    <w:rsid w:val="00D80253"/>
    <w:rsid w:val="00D80C95"/>
    <w:rsid w:val="00D81A55"/>
    <w:rsid w:val="00D904EE"/>
    <w:rsid w:val="00D9116B"/>
    <w:rsid w:val="00D91444"/>
    <w:rsid w:val="00D918E2"/>
    <w:rsid w:val="00D92FF5"/>
    <w:rsid w:val="00D946CC"/>
    <w:rsid w:val="00D96D52"/>
    <w:rsid w:val="00D9778D"/>
    <w:rsid w:val="00DA1F14"/>
    <w:rsid w:val="00DA33F5"/>
    <w:rsid w:val="00DA3EAF"/>
    <w:rsid w:val="00DA6AA3"/>
    <w:rsid w:val="00DA6C31"/>
    <w:rsid w:val="00DB15A2"/>
    <w:rsid w:val="00DB1756"/>
    <w:rsid w:val="00DB6E5F"/>
    <w:rsid w:val="00DC16C7"/>
    <w:rsid w:val="00DC47ED"/>
    <w:rsid w:val="00DC4BD7"/>
    <w:rsid w:val="00DC5802"/>
    <w:rsid w:val="00DC6D95"/>
    <w:rsid w:val="00DC71EB"/>
    <w:rsid w:val="00DD02DB"/>
    <w:rsid w:val="00DD3525"/>
    <w:rsid w:val="00DD39C5"/>
    <w:rsid w:val="00DD497A"/>
    <w:rsid w:val="00DE0C60"/>
    <w:rsid w:val="00DE4465"/>
    <w:rsid w:val="00DE4880"/>
    <w:rsid w:val="00DE5F9B"/>
    <w:rsid w:val="00DF0368"/>
    <w:rsid w:val="00DF0554"/>
    <w:rsid w:val="00DF1D27"/>
    <w:rsid w:val="00DF219E"/>
    <w:rsid w:val="00DF3001"/>
    <w:rsid w:val="00DF3A28"/>
    <w:rsid w:val="00DF3F8B"/>
    <w:rsid w:val="00DF4D1C"/>
    <w:rsid w:val="00DF598A"/>
    <w:rsid w:val="00DF5FBB"/>
    <w:rsid w:val="00DF66F3"/>
    <w:rsid w:val="00DF6FDB"/>
    <w:rsid w:val="00E0101C"/>
    <w:rsid w:val="00E018BA"/>
    <w:rsid w:val="00E02D74"/>
    <w:rsid w:val="00E03FC2"/>
    <w:rsid w:val="00E046EE"/>
    <w:rsid w:val="00E07666"/>
    <w:rsid w:val="00E12F20"/>
    <w:rsid w:val="00E14726"/>
    <w:rsid w:val="00E170EB"/>
    <w:rsid w:val="00E17B3B"/>
    <w:rsid w:val="00E21644"/>
    <w:rsid w:val="00E220F6"/>
    <w:rsid w:val="00E2249B"/>
    <w:rsid w:val="00E22C2F"/>
    <w:rsid w:val="00E2304B"/>
    <w:rsid w:val="00E23598"/>
    <w:rsid w:val="00E25A2A"/>
    <w:rsid w:val="00E26E70"/>
    <w:rsid w:val="00E276DC"/>
    <w:rsid w:val="00E307F1"/>
    <w:rsid w:val="00E3183D"/>
    <w:rsid w:val="00E31ACB"/>
    <w:rsid w:val="00E321EB"/>
    <w:rsid w:val="00E331B3"/>
    <w:rsid w:val="00E33CA0"/>
    <w:rsid w:val="00E37C7F"/>
    <w:rsid w:val="00E420AE"/>
    <w:rsid w:val="00E43F67"/>
    <w:rsid w:val="00E50F80"/>
    <w:rsid w:val="00E568DF"/>
    <w:rsid w:val="00E6270D"/>
    <w:rsid w:val="00E64542"/>
    <w:rsid w:val="00E64C32"/>
    <w:rsid w:val="00E6584B"/>
    <w:rsid w:val="00E672EC"/>
    <w:rsid w:val="00E70979"/>
    <w:rsid w:val="00E70E0D"/>
    <w:rsid w:val="00E72DA6"/>
    <w:rsid w:val="00E73EEC"/>
    <w:rsid w:val="00E7421F"/>
    <w:rsid w:val="00E76469"/>
    <w:rsid w:val="00E801DA"/>
    <w:rsid w:val="00E80F88"/>
    <w:rsid w:val="00E81522"/>
    <w:rsid w:val="00E824C5"/>
    <w:rsid w:val="00E824E5"/>
    <w:rsid w:val="00E83A01"/>
    <w:rsid w:val="00E851FD"/>
    <w:rsid w:val="00E86E2B"/>
    <w:rsid w:val="00E87F5A"/>
    <w:rsid w:val="00E900DA"/>
    <w:rsid w:val="00E90B07"/>
    <w:rsid w:val="00E90CC1"/>
    <w:rsid w:val="00E92C8D"/>
    <w:rsid w:val="00E92EFD"/>
    <w:rsid w:val="00E93170"/>
    <w:rsid w:val="00E93F6F"/>
    <w:rsid w:val="00E94722"/>
    <w:rsid w:val="00E94FDE"/>
    <w:rsid w:val="00E9749C"/>
    <w:rsid w:val="00EA24FC"/>
    <w:rsid w:val="00EA2B50"/>
    <w:rsid w:val="00EA37BA"/>
    <w:rsid w:val="00EA6506"/>
    <w:rsid w:val="00EA67B0"/>
    <w:rsid w:val="00EA6F24"/>
    <w:rsid w:val="00EA7685"/>
    <w:rsid w:val="00EB0792"/>
    <w:rsid w:val="00EB1C4B"/>
    <w:rsid w:val="00EB5F9F"/>
    <w:rsid w:val="00EB6573"/>
    <w:rsid w:val="00EB7405"/>
    <w:rsid w:val="00EC0188"/>
    <w:rsid w:val="00EC2389"/>
    <w:rsid w:val="00EC45C1"/>
    <w:rsid w:val="00EC5720"/>
    <w:rsid w:val="00EC5D07"/>
    <w:rsid w:val="00EC5FAB"/>
    <w:rsid w:val="00ED1049"/>
    <w:rsid w:val="00ED1466"/>
    <w:rsid w:val="00ED1743"/>
    <w:rsid w:val="00ED2510"/>
    <w:rsid w:val="00ED3259"/>
    <w:rsid w:val="00ED3A62"/>
    <w:rsid w:val="00ED3C3A"/>
    <w:rsid w:val="00ED441B"/>
    <w:rsid w:val="00ED54E9"/>
    <w:rsid w:val="00ED5D36"/>
    <w:rsid w:val="00EE5449"/>
    <w:rsid w:val="00EE5759"/>
    <w:rsid w:val="00EE5D67"/>
    <w:rsid w:val="00EE6B5E"/>
    <w:rsid w:val="00EE7BE1"/>
    <w:rsid w:val="00EE7DB2"/>
    <w:rsid w:val="00EF5956"/>
    <w:rsid w:val="00EF5D22"/>
    <w:rsid w:val="00F048B8"/>
    <w:rsid w:val="00F050FB"/>
    <w:rsid w:val="00F079AF"/>
    <w:rsid w:val="00F07C29"/>
    <w:rsid w:val="00F11C12"/>
    <w:rsid w:val="00F12685"/>
    <w:rsid w:val="00F1276D"/>
    <w:rsid w:val="00F13C0B"/>
    <w:rsid w:val="00F15F63"/>
    <w:rsid w:val="00F17E19"/>
    <w:rsid w:val="00F2185D"/>
    <w:rsid w:val="00F236D9"/>
    <w:rsid w:val="00F24F4A"/>
    <w:rsid w:val="00F25CE6"/>
    <w:rsid w:val="00F2640B"/>
    <w:rsid w:val="00F26567"/>
    <w:rsid w:val="00F26BD9"/>
    <w:rsid w:val="00F2740F"/>
    <w:rsid w:val="00F310EE"/>
    <w:rsid w:val="00F36481"/>
    <w:rsid w:val="00F37BAC"/>
    <w:rsid w:val="00F41D2F"/>
    <w:rsid w:val="00F43B89"/>
    <w:rsid w:val="00F43F5E"/>
    <w:rsid w:val="00F45005"/>
    <w:rsid w:val="00F455D0"/>
    <w:rsid w:val="00F45C8E"/>
    <w:rsid w:val="00F466E4"/>
    <w:rsid w:val="00F54949"/>
    <w:rsid w:val="00F567EA"/>
    <w:rsid w:val="00F567F2"/>
    <w:rsid w:val="00F56F5F"/>
    <w:rsid w:val="00F60E1F"/>
    <w:rsid w:val="00F61034"/>
    <w:rsid w:val="00F6217E"/>
    <w:rsid w:val="00F62F79"/>
    <w:rsid w:val="00F630C2"/>
    <w:rsid w:val="00F669E9"/>
    <w:rsid w:val="00F7068F"/>
    <w:rsid w:val="00F715B0"/>
    <w:rsid w:val="00F80F9A"/>
    <w:rsid w:val="00F82429"/>
    <w:rsid w:val="00F82811"/>
    <w:rsid w:val="00F82A85"/>
    <w:rsid w:val="00F84CFA"/>
    <w:rsid w:val="00F85D72"/>
    <w:rsid w:val="00F85E27"/>
    <w:rsid w:val="00F877CC"/>
    <w:rsid w:val="00F911DA"/>
    <w:rsid w:val="00F91B42"/>
    <w:rsid w:val="00F938EA"/>
    <w:rsid w:val="00F94475"/>
    <w:rsid w:val="00F96DC0"/>
    <w:rsid w:val="00FA162A"/>
    <w:rsid w:val="00FA2502"/>
    <w:rsid w:val="00FA2A81"/>
    <w:rsid w:val="00FA3F7A"/>
    <w:rsid w:val="00FA60DD"/>
    <w:rsid w:val="00FA63E6"/>
    <w:rsid w:val="00FA7694"/>
    <w:rsid w:val="00FA7D82"/>
    <w:rsid w:val="00FB36AD"/>
    <w:rsid w:val="00FB3787"/>
    <w:rsid w:val="00FB3E67"/>
    <w:rsid w:val="00FB65E6"/>
    <w:rsid w:val="00FC001A"/>
    <w:rsid w:val="00FC0155"/>
    <w:rsid w:val="00FC0C24"/>
    <w:rsid w:val="00FC12BA"/>
    <w:rsid w:val="00FC2BF1"/>
    <w:rsid w:val="00FC3F0B"/>
    <w:rsid w:val="00FC4592"/>
    <w:rsid w:val="00FC45A0"/>
    <w:rsid w:val="00FC486D"/>
    <w:rsid w:val="00FC5457"/>
    <w:rsid w:val="00FC58CA"/>
    <w:rsid w:val="00FC5FCB"/>
    <w:rsid w:val="00FC62C8"/>
    <w:rsid w:val="00FD02E1"/>
    <w:rsid w:val="00FD0DC3"/>
    <w:rsid w:val="00FD1BFB"/>
    <w:rsid w:val="00FD486D"/>
    <w:rsid w:val="00FD629B"/>
    <w:rsid w:val="00FD64E2"/>
    <w:rsid w:val="00FD736F"/>
    <w:rsid w:val="00FE09E1"/>
    <w:rsid w:val="00FE10DC"/>
    <w:rsid w:val="00FE2A9A"/>
    <w:rsid w:val="00FE39A5"/>
    <w:rsid w:val="00FE487D"/>
    <w:rsid w:val="00FE688B"/>
    <w:rsid w:val="00FE731A"/>
    <w:rsid w:val="00FF4D70"/>
    <w:rsid w:val="00FF6268"/>
    <w:rsid w:val="00FF65B7"/>
    <w:rsid w:val="00FF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14E"/>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A2688"/>
    <w:rPr>
      <w:rFonts w:ascii="Tahoma" w:hAnsi="Tahoma" w:cs="Tahoma"/>
      <w:sz w:val="16"/>
      <w:szCs w:val="16"/>
    </w:rPr>
  </w:style>
  <w:style w:type="character" w:customStyle="1" w:styleId="BalloonTextChar">
    <w:name w:val="Balloon Text Char"/>
    <w:link w:val="BalloonText"/>
    <w:rsid w:val="009A2688"/>
    <w:rPr>
      <w:rFonts w:ascii="Tahoma" w:hAnsi="Tahoma" w:cs="Tahoma"/>
      <w:snapToGrid w:val="0"/>
      <w:sz w:val="16"/>
      <w:szCs w:val="16"/>
    </w:rPr>
  </w:style>
  <w:style w:type="character" w:styleId="Hyperlink">
    <w:name w:val="Hyperlink"/>
    <w:rsid w:val="00D05330"/>
    <w:rPr>
      <w:color w:val="0000FF"/>
      <w:u w:val="single"/>
    </w:rPr>
  </w:style>
  <w:style w:type="paragraph" w:styleId="FootnoteText">
    <w:name w:val="footnote text"/>
    <w:basedOn w:val="Normal"/>
    <w:link w:val="FootnoteTextChar"/>
    <w:uiPriority w:val="99"/>
    <w:rsid w:val="00D05330"/>
    <w:pPr>
      <w:widowControl/>
    </w:pPr>
    <w:rPr>
      <w:rFonts w:ascii="Times New Roman" w:hAnsi="Times New Roman"/>
      <w:snapToGrid/>
      <w:sz w:val="20"/>
    </w:rPr>
  </w:style>
  <w:style w:type="character" w:customStyle="1" w:styleId="FootnoteTextChar">
    <w:name w:val="Footnote Text Char"/>
    <w:basedOn w:val="DefaultParagraphFont"/>
    <w:link w:val="FootnoteText"/>
    <w:uiPriority w:val="99"/>
    <w:rsid w:val="00D05330"/>
  </w:style>
  <w:style w:type="character" w:styleId="FootnoteReference">
    <w:name w:val="footnote reference"/>
    <w:aliases w:val="fr,12,Style 19,Style 16,Style 35,Nota,Footnote symbol,Footnote,Appel note de bas de p,BVI fnr,SUPERS,Footnote Reference Superscript,(Footnote Reference),Footnote reference number,note TESI,EN Footnote Reference,Voetnootverwijzing"/>
    <w:uiPriority w:val="99"/>
    <w:rsid w:val="00D05330"/>
    <w:rPr>
      <w:vertAlign w:val="superscript"/>
    </w:rPr>
  </w:style>
  <w:style w:type="table" w:styleId="TableGrid">
    <w:name w:val="Table Grid"/>
    <w:basedOn w:val="TableNormal"/>
    <w:uiPriority w:val="59"/>
    <w:rsid w:val="00D05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E7255"/>
    <w:pPr>
      <w:tabs>
        <w:tab w:val="center" w:pos="4680"/>
        <w:tab w:val="right" w:pos="9360"/>
      </w:tabs>
    </w:pPr>
  </w:style>
  <w:style w:type="character" w:customStyle="1" w:styleId="HeaderChar">
    <w:name w:val="Header Char"/>
    <w:link w:val="Header"/>
    <w:rsid w:val="002E7255"/>
    <w:rPr>
      <w:rFonts w:ascii="Courier" w:hAnsi="Courier"/>
      <w:snapToGrid w:val="0"/>
      <w:sz w:val="24"/>
    </w:rPr>
  </w:style>
  <w:style w:type="paragraph" w:styleId="Footer">
    <w:name w:val="footer"/>
    <w:basedOn w:val="Normal"/>
    <w:link w:val="FooterChar"/>
    <w:rsid w:val="002E7255"/>
    <w:pPr>
      <w:tabs>
        <w:tab w:val="center" w:pos="4680"/>
        <w:tab w:val="right" w:pos="9360"/>
      </w:tabs>
    </w:pPr>
  </w:style>
  <w:style w:type="character" w:customStyle="1" w:styleId="FooterChar">
    <w:name w:val="Footer Char"/>
    <w:link w:val="Footer"/>
    <w:rsid w:val="002E7255"/>
    <w:rPr>
      <w:rFonts w:ascii="Courier" w:hAnsi="Courier"/>
      <w:snapToGrid w:val="0"/>
      <w:sz w:val="24"/>
    </w:rPr>
  </w:style>
  <w:style w:type="paragraph" w:styleId="ListParagraph">
    <w:name w:val="List Paragraph"/>
    <w:basedOn w:val="Normal"/>
    <w:uiPriority w:val="34"/>
    <w:qFormat/>
    <w:rsid w:val="00C95659"/>
    <w:pPr>
      <w:ind w:left="720"/>
      <w:contextualSpacing/>
    </w:pPr>
  </w:style>
  <w:style w:type="character" w:styleId="CommentReference">
    <w:name w:val="annotation reference"/>
    <w:basedOn w:val="DefaultParagraphFont"/>
    <w:rsid w:val="00924077"/>
    <w:rPr>
      <w:sz w:val="16"/>
      <w:szCs w:val="16"/>
    </w:rPr>
  </w:style>
  <w:style w:type="paragraph" w:styleId="CommentText">
    <w:name w:val="annotation text"/>
    <w:basedOn w:val="Normal"/>
    <w:link w:val="CommentTextChar"/>
    <w:rsid w:val="00924077"/>
    <w:rPr>
      <w:sz w:val="20"/>
    </w:rPr>
  </w:style>
  <w:style w:type="character" w:customStyle="1" w:styleId="CommentTextChar">
    <w:name w:val="Comment Text Char"/>
    <w:basedOn w:val="DefaultParagraphFont"/>
    <w:link w:val="CommentText"/>
    <w:rsid w:val="00924077"/>
    <w:rPr>
      <w:rFonts w:ascii="Courier" w:hAnsi="Courier"/>
      <w:snapToGrid w:val="0"/>
    </w:rPr>
  </w:style>
  <w:style w:type="paragraph" w:styleId="CommentSubject">
    <w:name w:val="annotation subject"/>
    <w:basedOn w:val="CommentText"/>
    <w:next w:val="CommentText"/>
    <w:link w:val="CommentSubjectChar"/>
    <w:rsid w:val="00924077"/>
    <w:rPr>
      <w:b/>
      <w:bCs/>
    </w:rPr>
  </w:style>
  <w:style w:type="character" w:customStyle="1" w:styleId="CommentSubjectChar">
    <w:name w:val="Comment Subject Char"/>
    <w:basedOn w:val="CommentTextChar"/>
    <w:link w:val="CommentSubject"/>
    <w:rsid w:val="00924077"/>
    <w:rPr>
      <w:rFonts w:ascii="Courier" w:hAnsi="Courie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14E"/>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A2688"/>
    <w:rPr>
      <w:rFonts w:ascii="Tahoma" w:hAnsi="Tahoma" w:cs="Tahoma"/>
      <w:sz w:val="16"/>
      <w:szCs w:val="16"/>
    </w:rPr>
  </w:style>
  <w:style w:type="character" w:customStyle="1" w:styleId="BalloonTextChar">
    <w:name w:val="Balloon Text Char"/>
    <w:link w:val="BalloonText"/>
    <w:rsid w:val="009A2688"/>
    <w:rPr>
      <w:rFonts w:ascii="Tahoma" w:hAnsi="Tahoma" w:cs="Tahoma"/>
      <w:snapToGrid w:val="0"/>
      <w:sz w:val="16"/>
      <w:szCs w:val="16"/>
    </w:rPr>
  </w:style>
  <w:style w:type="character" w:styleId="Hyperlink">
    <w:name w:val="Hyperlink"/>
    <w:rsid w:val="00D05330"/>
    <w:rPr>
      <w:color w:val="0000FF"/>
      <w:u w:val="single"/>
    </w:rPr>
  </w:style>
  <w:style w:type="paragraph" w:styleId="FootnoteText">
    <w:name w:val="footnote text"/>
    <w:basedOn w:val="Normal"/>
    <w:link w:val="FootnoteTextChar"/>
    <w:uiPriority w:val="99"/>
    <w:rsid w:val="00D05330"/>
    <w:pPr>
      <w:widowControl/>
    </w:pPr>
    <w:rPr>
      <w:rFonts w:ascii="Times New Roman" w:hAnsi="Times New Roman"/>
      <w:snapToGrid/>
      <w:sz w:val="20"/>
    </w:rPr>
  </w:style>
  <w:style w:type="character" w:customStyle="1" w:styleId="FootnoteTextChar">
    <w:name w:val="Footnote Text Char"/>
    <w:basedOn w:val="DefaultParagraphFont"/>
    <w:link w:val="FootnoteText"/>
    <w:uiPriority w:val="99"/>
    <w:rsid w:val="00D05330"/>
  </w:style>
  <w:style w:type="character" w:styleId="FootnoteReference">
    <w:name w:val="footnote reference"/>
    <w:aliases w:val="fr,12,Style 19,Style 16,Style 35,Nota,Footnote symbol,Footnote,Appel note de bas de p,BVI fnr,SUPERS,Footnote Reference Superscript,(Footnote Reference),Footnote reference number,note TESI,EN Footnote Reference,Voetnootverwijzing"/>
    <w:uiPriority w:val="99"/>
    <w:rsid w:val="00D05330"/>
    <w:rPr>
      <w:vertAlign w:val="superscript"/>
    </w:rPr>
  </w:style>
  <w:style w:type="table" w:styleId="TableGrid">
    <w:name w:val="Table Grid"/>
    <w:basedOn w:val="TableNormal"/>
    <w:uiPriority w:val="59"/>
    <w:rsid w:val="00D05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E7255"/>
    <w:pPr>
      <w:tabs>
        <w:tab w:val="center" w:pos="4680"/>
        <w:tab w:val="right" w:pos="9360"/>
      </w:tabs>
    </w:pPr>
  </w:style>
  <w:style w:type="character" w:customStyle="1" w:styleId="HeaderChar">
    <w:name w:val="Header Char"/>
    <w:link w:val="Header"/>
    <w:rsid w:val="002E7255"/>
    <w:rPr>
      <w:rFonts w:ascii="Courier" w:hAnsi="Courier"/>
      <w:snapToGrid w:val="0"/>
      <w:sz w:val="24"/>
    </w:rPr>
  </w:style>
  <w:style w:type="paragraph" w:styleId="Footer">
    <w:name w:val="footer"/>
    <w:basedOn w:val="Normal"/>
    <w:link w:val="FooterChar"/>
    <w:rsid w:val="002E7255"/>
    <w:pPr>
      <w:tabs>
        <w:tab w:val="center" w:pos="4680"/>
        <w:tab w:val="right" w:pos="9360"/>
      </w:tabs>
    </w:pPr>
  </w:style>
  <w:style w:type="character" w:customStyle="1" w:styleId="FooterChar">
    <w:name w:val="Footer Char"/>
    <w:link w:val="Footer"/>
    <w:rsid w:val="002E7255"/>
    <w:rPr>
      <w:rFonts w:ascii="Courier" w:hAnsi="Courier"/>
      <w:snapToGrid w:val="0"/>
      <w:sz w:val="24"/>
    </w:rPr>
  </w:style>
  <w:style w:type="paragraph" w:styleId="ListParagraph">
    <w:name w:val="List Paragraph"/>
    <w:basedOn w:val="Normal"/>
    <w:uiPriority w:val="34"/>
    <w:qFormat/>
    <w:rsid w:val="00C95659"/>
    <w:pPr>
      <w:ind w:left="720"/>
      <w:contextualSpacing/>
    </w:pPr>
  </w:style>
  <w:style w:type="character" w:styleId="CommentReference">
    <w:name w:val="annotation reference"/>
    <w:basedOn w:val="DefaultParagraphFont"/>
    <w:rsid w:val="00924077"/>
    <w:rPr>
      <w:sz w:val="16"/>
      <w:szCs w:val="16"/>
    </w:rPr>
  </w:style>
  <w:style w:type="paragraph" w:styleId="CommentText">
    <w:name w:val="annotation text"/>
    <w:basedOn w:val="Normal"/>
    <w:link w:val="CommentTextChar"/>
    <w:rsid w:val="00924077"/>
    <w:rPr>
      <w:sz w:val="20"/>
    </w:rPr>
  </w:style>
  <w:style w:type="character" w:customStyle="1" w:styleId="CommentTextChar">
    <w:name w:val="Comment Text Char"/>
    <w:basedOn w:val="DefaultParagraphFont"/>
    <w:link w:val="CommentText"/>
    <w:rsid w:val="00924077"/>
    <w:rPr>
      <w:rFonts w:ascii="Courier" w:hAnsi="Courier"/>
      <w:snapToGrid w:val="0"/>
    </w:rPr>
  </w:style>
  <w:style w:type="paragraph" w:styleId="CommentSubject">
    <w:name w:val="annotation subject"/>
    <w:basedOn w:val="CommentText"/>
    <w:next w:val="CommentText"/>
    <w:link w:val="CommentSubjectChar"/>
    <w:rsid w:val="00924077"/>
    <w:rPr>
      <w:b/>
      <w:bCs/>
    </w:rPr>
  </w:style>
  <w:style w:type="character" w:customStyle="1" w:styleId="CommentSubjectChar">
    <w:name w:val="Comment Subject Char"/>
    <w:basedOn w:val="CommentTextChar"/>
    <w:link w:val="CommentSubject"/>
    <w:rsid w:val="00924077"/>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ederalreserve.gov/data/mortoutstand/current.htm%20Accessed%20March%2022" TargetMode="External"/><Relationship Id="rId2" Type="http://schemas.openxmlformats.org/officeDocument/2006/relationships/hyperlink" Target="https://riskcenter.wharton.upenn.edu/wp-content/uploads/2018/07/Emerging-Flood-Insurance-Market-Report.pdf" TargetMode="External"/><Relationship Id="rId1" Type="http://schemas.openxmlformats.org/officeDocument/2006/relationships/hyperlink" Target="https://www.fema.gov/policies-force-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4309</Words>
  <Characters>24567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28819</CharactersWithSpaces>
  <SharedDoc>false</SharedDoc>
  <HLinks>
    <vt:vector size="12" baseType="variant">
      <vt:variant>
        <vt:i4>4980823</vt:i4>
      </vt:variant>
      <vt:variant>
        <vt:i4>3</vt:i4>
      </vt:variant>
      <vt:variant>
        <vt:i4>0</vt:i4>
      </vt:variant>
      <vt:variant>
        <vt:i4>5</vt:i4>
      </vt:variant>
      <vt:variant>
        <vt:lpwstr>https://www.federalreserve.gov/econresdata/releases/mortoutstand/mortoutstand20170331.htm</vt:lpwstr>
      </vt:variant>
      <vt:variant>
        <vt:lpwstr/>
      </vt:variant>
      <vt:variant>
        <vt:i4>5046357</vt:i4>
      </vt:variant>
      <vt:variant>
        <vt:i4>0</vt:i4>
      </vt:variant>
      <vt:variant>
        <vt:i4>0</vt:i4>
      </vt:variant>
      <vt:variant>
        <vt:i4>5</vt:i4>
      </vt:variant>
      <vt:variant>
        <vt:lpwstr>https://www.fema.gov/flood-insurance-statistics-current-month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2019-04-02T15:45:00Z</dcterms:created>
  <dcterms:modified xsi:type="dcterms:W3CDTF">2019-04-02T15:45:00Z</dcterms:modified>
</cp:coreProperties>
</file>