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ACE07" w14:textId="77777777" w:rsidR="003123B8" w:rsidRPr="00DB68FB" w:rsidRDefault="003123B8">
      <w:pPr>
        <w:pStyle w:val="Title"/>
        <w:ind w:left="-90" w:firstLine="90"/>
        <w:rPr>
          <w:rFonts w:ascii="Times New Roman" w:hAnsi="Times New Roman"/>
          <w:bCs/>
          <w:szCs w:val="24"/>
        </w:rPr>
      </w:pPr>
      <w:bookmarkStart w:id="0" w:name="_GoBack"/>
      <w:bookmarkEnd w:id="0"/>
    </w:p>
    <w:p w14:paraId="777ECF90" w14:textId="77777777" w:rsidR="00B776D7" w:rsidRPr="00DB68FB" w:rsidRDefault="00B776D7">
      <w:pPr>
        <w:pStyle w:val="Title"/>
        <w:ind w:left="-90" w:firstLine="90"/>
        <w:jc w:val="left"/>
        <w:rPr>
          <w:rFonts w:ascii="Times New Roman" w:hAnsi="Times New Roman"/>
          <w:bCs/>
          <w:szCs w:val="24"/>
        </w:rPr>
      </w:pPr>
      <w:r w:rsidRPr="00DB68FB">
        <w:rPr>
          <w:rFonts w:ascii="Times New Roman" w:hAnsi="Times New Roman"/>
          <w:bCs/>
          <w:szCs w:val="24"/>
        </w:rPr>
        <w:t xml:space="preserve">  </w:t>
      </w:r>
    </w:p>
    <w:p w14:paraId="56EDAC3D" w14:textId="77777777" w:rsidR="00B776D7" w:rsidRPr="00DB68FB" w:rsidRDefault="00B776D7">
      <w:pPr>
        <w:pStyle w:val="Title"/>
        <w:ind w:left="-90" w:firstLine="90"/>
        <w:jc w:val="left"/>
        <w:rPr>
          <w:rFonts w:ascii="Times New Roman" w:hAnsi="Times New Roman"/>
          <w:bCs/>
          <w:szCs w:val="24"/>
        </w:rPr>
      </w:pPr>
    </w:p>
    <w:p w14:paraId="76F593C5" w14:textId="1F826F4D" w:rsidR="00B776D7" w:rsidRDefault="00EF0146" w:rsidP="00EF0146">
      <w:pPr>
        <w:pStyle w:val="Title"/>
        <w:tabs>
          <w:tab w:val="clear" w:pos="4680"/>
          <w:tab w:val="left" w:pos="3795"/>
        </w:tabs>
        <w:ind w:left="-90" w:firstLine="90"/>
        <w:jc w:val="left"/>
        <w:rPr>
          <w:rFonts w:ascii="Times New Roman" w:hAnsi="Times New Roman"/>
          <w:bCs/>
          <w:sz w:val="48"/>
          <w:szCs w:val="48"/>
        </w:rPr>
      </w:pPr>
      <w:r>
        <w:rPr>
          <w:rFonts w:ascii="Times New Roman" w:hAnsi="Times New Roman"/>
          <w:bCs/>
          <w:sz w:val="48"/>
          <w:szCs w:val="48"/>
        </w:rPr>
        <w:tab/>
      </w:r>
    </w:p>
    <w:p w14:paraId="69F4A713" w14:textId="77777777" w:rsidR="001D1174" w:rsidRPr="00DB68FB" w:rsidRDefault="001D1174" w:rsidP="00EF0146">
      <w:pPr>
        <w:pStyle w:val="Title"/>
        <w:tabs>
          <w:tab w:val="clear" w:pos="4680"/>
          <w:tab w:val="left" w:pos="3795"/>
        </w:tabs>
        <w:ind w:left="-90" w:firstLine="90"/>
        <w:jc w:val="left"/>
        <w:rPr>
          <w:rFonts w:ascii="Times New Roman" w:hAnsi="Times New Roman"/>
          <w:bCs/>
          <w:sz w:val="48"/>
          <w:szCs w:val="48"/>
        </w:rPr>
      </w:pPr>
    </w:p>
    <w:p w14:paraId="4632F72F" w14:textId="5B496A94" w:rsidR="00B776D7" w:rsidRDefault="00B776D7">
      <w:pPr>
        <w:pStyle w:val="Title"/>
        <w:ind w:left="-90" w:firstLine="90"/>
        <w:rPr>
          <w:rFonts w:ascii="Times New Roman" w:hAnsi="Times New Roman"/>
          <w:bCs/>
          <w:sz w:val="48"/>
          <w:szCs w:val="48"/>
        </w:rPr>
      </w:pPr>
      <w:r w:rsidRPr="00DB68FB">
        <w:rPr>
          <w:rFonts w:ascii="Times New Roman" w:hAnsi="Times New Roman"/>
          <w:bCs/>
          <w:sz w:val="48"/>
          <w:szCs w:val="48"/>
        </w:rPr>
        <w:t>SF-83-1 SUPPORTING STATEMENT</w:t>
      </w:r>
      <w:r w:rsidR="001D1174">
        <w:rPr>
          <w:rFonts w:ascii="Times New Roman" w:hAnsi="Times New Roman"/>
          <w:bCs/>
          <w:sz w:val="48"/>
          <w:szCs w:val="48"/>
        </w:rPr>
        <w:t>:</w:t>
      </w:r>
    </w:p>
    <w:p w14:paraId="2A8A8A6E" w14:textId="177F0364" w:rsidR="001D1174" w:rsidRPr="00DB68FB" w:rsidRDefault="001D1174">
      <w:pPr>
        <w:pStyle w:val="Title"/>
        <w:ind w:left="-90" w:firstLine="90"/>
        <w:rPr>
          <w:rFonts w:ascii="Times New Roman" w:hAnsi="Times New Roman"/>
          <w:bCs/>
          <w:sz w:val="48"/>
          <w:szCs w:val="48"/>
        </w:rPr>
      </w:pPr>
      <w:r>
        <w:rPr>
          <w:rFonts w:ascii="Times New Roman" w:hAnsi="Times New Roman"/>
          <w:bCs/>
          <w:sz w:val="48"/>
          <w:szCs w:val="48"/>
        </w:rPr>
        <w:t>SECTION B</w:t>
      </w:r>
    </w:p>
    <w:p w14:paraId="2C41A16A" w14:textId="77777777" w:rsidR="00B776D7" w:rsidRPr="00DB68FB" w:rsidRDefault="00B776D7">
      <w:pPr>
        <w:pStyle w:val="Title"/>
        <w:rPr>
          <w:rFonts w:ascii="Times New Roman" w:hAnsi="Times New Roman"/>
          <w:bCs/>
          <w:sz w:val="48"/>
          <w:szCs w:val="48"/>
        </w:rPr>
      </w:pPr>
    </w:p>
    <w:p w14:paraId="6CDA2317" w14:textId="77777777" w:rsidR="00B776D7" w:rsidRPr="00DB68FB" w:rsidRDefault="007A70F0">
      <w:pPr>
        <w:pStyle w:val="Title"/>
        <w:ind w:left="0"/>
        <w:rPr>
          <w:rFonts w:ascii="Times New Roman" w:hAnsi="Times New Roman"/>
          <w:bCs/>
          <w:sz w:val="48"/>
          <w:szCs w:val="48"/>
        </w:rPr>
      </w:pPr>
      <w:r>
        <w:rPr>
          <w:rFonts w:ascii="Times New Roman" w:hAnsi="Times New Roman"/>
          <w:bCs/>
          <w:sz w:val="48"/>
          <w:szCs w:val="48"/>
        </w:rPr>
        <w:t>f</w:t>
      </w:r>
      <w:r w:rsidR="00B776D7" w:rsidRPr="00DB68FB">
        <w:rPr>
          <w:rFonts w:ascii="Times New Roman" w:hAnsi="Times New Roman"/>
          <w:bCs/>
          <w:sz w:val="48"/>
          <w:szCs w:val="48"/>
        </w:rPr>
        <w:t>or</w:t>
      </w:r>
      <w:r>
        <w:rPr>
          <w:rFonts w:ascii="Times New Roman" w:hAnsi="Times New Roman"/>
          <w:bCs/>
          <w:sz w:val="48"/>
          <w:szCs w:val="48"/>
        </w:rPr>
        <w:t xml:space="preserve"> the </w:t>
      </w:r>
    </w:p>
    <w:p w14:paraId="0781236B" w14:textId="77777777" w:rsidR="00B776D7" w:rsidRPr="00DB68FB" w:rsidRDefault="00B776D7">
      <w:pPr>
        <w:pStyle w:val="Title"/>
        <w:ind w:left="0"/>
        <w:rPr>
          <w:rFonts w:ascii="Times New Roman" w:hAnsi="Times New Roman"/>
          <w:bCs/>
          <w:sz w:val="48"/>
          <w:szCs w:val="48"/>
        </w:rPr>
      </w:pPr>
    </w:p>
    <w:p w14:paraId="00386F4E" w14:textId="0AD89022" w:rsidR="00B776D7" w:rsidRPr="00DB68FB" w:rsidRDefault="00605FDD">
      <w:pPr>
        <w:pStyle w:val="Title"/>
        <w:ind w:left="0"/>
        <w:rPr>
          <w:rFonts w:ascii="Times New Roman" w:hAnsi="Times New Roman"/>
          <w:bCs/>
          <w:sz w:val="48"/>
          <w:szCs w:val="48"/>
        </w:rPr>
      </w:pPr>
      <w:r>
        <w:rPr>
          <w:rFonts w:ascii="Times New Roman" w:hAnsi="Times New Roman"/>
          <w:bCs/>
          <w:sz w:val="48"/>
          <w:szCs w:val="48"/>
        </w:rPr>
        <w:t>2019</w:t>
      </w:r>
    </w:p>
    <w:p w14:paraId="1012B5FE" w14:textId="77777777" w:rsidR="00B776D7" w:rsidRPr="00DB68FB" w:rsidRDefault="00B776D7">
      <w:pPr>
        <w:pStyle w:val="Title"/>
        <w:ind w:left="0"/>
        <w:rPr>
          <w:rFonts w:ascii="Times New Roman" w:hAnsi="Times New Roman"/>
          <w:b w:val="0"/>
          <w:sz w:val="48"/>
          <w:szCs w:val="48"/>
        </w:rPr>
      </w:pPr>
      <w:r w:rsidRPr="00DB68FB">
        <w:rPr>
          <w:rFonts w:ascii="Times New Roman" w:hAnsi="Times New Roman"/>
          <w:bCs/>
          <w:sz w:val="48"/>
          <w:szCs w:val="48"/>
        </w:rPr>
        <w:t>National Survey of College Graduates</w:t>
      </w:r>
    </w:p>
    <w:p w14:paraId="38DC7CA9" w14:textId="77777777" w:rsidR="00B776D7" w:rsidRPr="00DB68FB" w:rsidRDefault="00B776D7">
      <w:pPr>
        <w:pStyle w:val="TOC1"/>
        <w:tabs>
          <w:tab w:val="left" w:pos="720"/>
        </w:tabs>
        <w:spacing w:before="0"/>
        <w:ind w:left="0" w:firstLine="0"/>
        <w:rPr>
          <w:rFonts w:ascii="Times New Roman" w:hAnsi="Times New Roman"/>
          <w:szCs w:val="24"/>
        </w:rPr>
      </w:pPr>
    </w:p>
    <w:p w14:paraId="7DA727C1" w14:textId="77777777" w:rsidR="00B776D7" w:rsidRPr="00DB68FB" w:rsidRDefault="00B776D7">
      <w:pPr>
        <w:pStyle w:val="TOC1"/>
        <w:tabs>
          <w:tab w:val="left" w:pos="720"/>
        </w:tabs>
        <w:spacing w:before="0"/>
        <w:rPr>
          <w:rFonts w:ascii="Times New Roman" w:hAnsi="Times New Roman"/>
          <w:szCs w:val="24"/>
        </w:rPr>
      </w:pPr>
    </w:p>
    <w:p w14:paraId="10AD0AA8" w14:textId="77777777" w:rsidR="00B776D7" w:rsidRPr="00DB68FB" w:rsidRDefault="00B776D7">
      <w:pPr>
        <w:pStyle w:val="TOC1"/>
        <w:tabs>
          <w:tab w:val="left" w:pos="720"/>
        </w:tabs>
        <w:spacing w:before="0"/>
        <w:rPr>
          <w:rFonts w:ascii="Times New Roman" w:hAnsi="Times New Roman"/>
          <w:szCs w:val="24"/>
        </w:rPr>
      </w:pPr>
    </w:p>
    <w:p w14:paraId="597E861A" w14:textId="77777777" w:rsidR="00B776D7" w:rsidRPr="00DB68FB" w:rsidRDefault="00B776D7">
      <w:pPr>
        <w:pStyle w:val="TOC1"/>
        <w:tabs>
          <w:tab w:val="left" w:pos="720"/>
        </w:tabs>
        <w:spacing w:before="0"/>
        <w:rPr>
          <w:rFonts w:ascii="Times New Roman" w:hAnsi="Times New Roman"/>
          <w:szCs w:val="24"/>
        </w:rPr>
      </w:pPr>
    </w:p>
    <w:p w14:paraId="65EB80B0" w14:textId="77777777" w:rsidR="00B776D7" w:rsidRPr="00DB68FB" w:rsidRDefault="00B776D7">
      <w:pPr>
        <w:pStyle w:val="TOC1"/>
        <w:tabs>
          <w:tab w:val="left" w:pos="720"/>
        </w:tabs>
        <w:spacing w:before="0"/>
        <w:rPr>
          <w:rFonts w:ascii="Times New Roman" w:hAnsi="Times New Roman"/>
          <w:szCs w:val="24"/>
        </w:rPr>
      </w:pPr>
    </w:p>
    <w:p w14:paraId="16B4D9B3" w14:textId="77777777" w:rsidR="00B776D7" w:rsidRPr="00DB68FB" w:rsidRDefault="00B776D7">
      <w:pPr>
        <w:pStyle w:val="TOC1"/>
        <w:tabs>
          <w:tab w:val="left" w:pos="720"/>
        </w:tabs>
        <w:spacing w:before="0"/>
        <w:rPr>
          <w:rFonts w:ascii="Times New Roman" w:hAnsi="Times New Roman"/>
          <w:szCs w:val="24"/>
        </w:rPr>
      </w:pPr>
    </w:p>
    <w:p w14:paraId="331061E0" w14:textId="77777777" w:rsidR="00B776D7" w:rsidRDefault="00B776D7">
      <w:pPr>
        <w:pStyle w:val="TOC1"/>
        <w:tabs>
          <w:tab w:val="left" w:pos="720"/>
        </w:tabs>
        <w:spacing w:before="0"/>
        <w:rPr>
          <w:rFonts w:ascii="Times New Roman" w:hAnsi="Times New Roman"/>
          <w:szCs w:val="24"/>
        </w:rPr>
      </w:pPr>
      <w:bookmarkStart w:id="1" w:name="StartingPoint"/>
      <w:bookmarkEnd w:id="1"/>
    </w:p>
    <w:p w14:paraId="16878A8C" w14:textId="77777777" w:rsidR="007A70F0" w:rsidRDefault="007A70F0" w:rsidP="007A70F0"/>
    <w:p w14:paraId="68DACADD" w14:textId="77777777" w:rsidR="007A70F0" w:rsidRDefault="007A70F0" w:rsidP="007A70F0"/>
    <w:p w14:paraId="2CA56E5B" w14:textId="77777777" w:rsidR="007A70F0" w:rsidRDefault="007A70F0" w:rsidP="007A70F0"/>
    <w:p w14:paraId="61876C61" w14:textId="77777777" w:rsidR="007A70F0" w:rsidRDefault="007A70F0" w:rsidP="007A70F0"/>
    <w:p w14:paraId="23559E7B" w14:textId="77777777" w:rsidR="007A70F0" w:rsidRDefault="007A70F0" w:rsidP="007A70F0"/>
    <w:p w14:paraId="26AD94F9" w14:textId="77777777" w:rsidR="007A70F0" w:rsidRDefault="007A70F0" w:rsidP="007A70F0"/>
    <w:p w14:paraId="6C38E873" w14:textId="77777777" w:rsidR="007A70F0" w:rsidRDefault="007A70F0" w:rsidP="007A70F0"/>
    <w:p w14:paraId="5E3A755E" w14:textId="77777777" w:rsidR="007A70F0" w:rsidRDefault="007A70F0" w:rsidP="007A70F0"/>
    <w:p w14:paraId="03B57F14" w14:textId="77777777" w:rsidR="007A70F0" w:rsidRDefault="007A70F0" w:rsidP="007A70F0"/>
    <w:p w14:paraId="64D8D344" w14:textId="77777777" w:rsidR="007A70F0" w:rsidRDefault="007A70F0" w:rsidP="007A70F0"/>
    <w:p w14:paraId="6D2DCFF6" w14:textId="77777777" w:rsidR="007A70F0" w:rsidRDefault="007A70F0" w:rsidP="007A70F0"/>
    <w:p w14:paraId="118FFEAA" w14:textId="77777777" w:rsidR="007A70F0" w:rsidRDefault="007A70F0" w:rsidP="007A70F0"/>
    <w:p w14:paraId="5C29819E" w14:textId="77777777" w:rsidR="007A70F0" w:rsidRDefault="007A70F0" w:rsidP="007A70F0"/>
    <w:p w14:paraId="3F5E7DA3" w14:textId="77777777" w:rsidR="007A70F0" w:rsidRDefault="007A70F0" w:rsidP="007A70F0"/>
    <w:p w14:paraId="2706BDFE" w14:textId="77777777" w:rsidR="007A70F0" w:rsidRDefault="007A70F0" w:rsidP="007A70F0"/>
    <w:p w14:paraId="48B382B4" w14:textId="77777777" w:rsidR="007A70F0" w:rsidRDefault="007A70F0" w:rsidP="007A70F0"/>
    <w:p w14:paraId="29AA0D88" w14:textId="77777777" w:rsidR="007A70F0" w:rsidRDefault="007A70F0" w:rsidP="007A70F0"/>
    <w:p w14:paraId="7BD5E196" w14:textId="77777777" w:rsidR="007A70F0" w:rsidRDefault="007A70F0" w:rsidP="007A70F0"/>
    <w:p w14:paraId="573C26C2" w14:textId="77777777" w:rsidR="007A70F0" w:rsidRDefault="007A70F0" w:rsidP="007A70F0"/>
    <w:sdt>
      <w:sdtPr>
        <w:rPr>
          <w:rFonts w:ascii="CG Times" w:eastAsia="Times New Roman" w:hAnsi="CG Times" w:cs="Times New Roman"/>
          <w:color w:val="auto"/>
          <w:sz w:val="24"/>
          <w:szCs w:val="20"/>
        </w:rPr>
        <w:id w:val="-1633946800"/>
        <w:docPartObj>
          <w:docPartGallery w:val="Table of Contents"/>
          <w:docPartUnique/>
        </w:docPartObj>
      </w:sdtPr>
      <w:sdtEndPr>
        <w:rPr>
          <w:b/>
          <w:bCs/>
          <w:noProof/>
        </w:rPr>
      </w:sdtEndPr>
      <w:sdtContent>
        <w:p w14:paraId="6125F5B9" w14:textId="4E2DD4E9" w:rsidR="001D1174" w:rsidRDefault="001D1174">
          <w:pPr>
            <w:pStyle w:val="TOCHeading"/>
          </w:pPr>
          <w:r>
            <w:t>Contents</w:t>
          </w:r>
        </w:p>
        <w:p w14:paraId="1FDF182B" w14:textId="1EEED7C6" w:rsidR="008D27E3" w:rsidRDefault="001D1174">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36767273" w:history="1">
            <w:r w:rsidR="008D27E3" w:rsidRPr="00B322C8">
              <w:rPr>
                <w:rStyle w:val="Hyperlink"/>
                <w:rFonts w:ascii="Times New Roman" w:hAnsi="Times New Roman"/>
                <w:b/>
                <w:bCs/>
                <w:noProof/>
              </w:rPr>
              <w:t>B.</w:t>
            </w:r>
            <w:r w:rsidR="008D27E3">
              <w:rPr>
                <w:rFonts w:asciiTheme="minorHAnsi" w:eastAsiaTheme="minorEastAsia" w:hAnsiTheme="minorHAnsi" w:cstheme="minorBidi"/>
                <w:noProof/>
                <w:sz w:val="22"/>
                <w:szCs w:val="22"/>
              </w:rPr>
              <w:tab/>
            </w:r>
            <w:r w:rsidR="008D27E3" w:rsidRPr="00B322C8">
              <w:rPr>
                <w:rStyle w:val="Hyperlink"/>
                <w:rFonts w:ascii="Times New Roman" w:hAnsi="Times New Roman"/>
                <w:b/>
                <w:bCs/>
                <w:noProof/>
              </w:rPr>
              <w:t>COLLECTION OF INFORMATION EMPLOYING STATISTICAL METHODS</w:t>
            </w:r>
            <w:r w:rsidR="008D27E3">
              <w:rPr>
                <w:noProof/>
                <w:webHidden/>
              </w:rPr>
              <w:tab/>
            </w:r>
            <w:r w:rsidR="008D27E3">
              <w:rPr>
                <w:noProof/>
                <w:webHidden/>
              </w:rPr>
              <w:fldChar w:fldCharType="begin"/>
            </w:r>
            <w:r w:rsidR="008D27E3">
              <w:rPr>
                <w:noProof/>
                <w:webHidden/>
              </w:rPr>
              <w:instrText xml:space="preserve"> PAGEREF _Toc536767273 \h </w:instrText>
            </w:r>
            <w:r w:rsidR="008D27E3">
              <w:rPr>
                <w:noProof/>
                <w:webHidden/>
              </w:rPr>
            </w:r>
            <w:r w:rsidR="008D27E3">
              <w:rPr>
                <w:noProof/>
                <w:webHidden/>
              </w:rPr>
              <w:fldChar w:fldCharType="separate"/>
            </w:r>
            <w:r w:rsidR="008D27E3">
              <w:rPr>
                <w:noProof/>
                <w:webHidden/>
              </w:rPr>
              <w:t>1</w:t>
            </w:r>
            <w:r w:rsidR="008D27E3">
              <w:rPr>
                <w:noProof/>
                <w:webHidden/>
              </w:rPr>
              <w:fldChar w:fldCharType="end"/>
            </w:r>
          </w:hyperlink>
        </w:p>
        <w:p w14:paraId="4CAEDB26" w14:textId="22687367" w:rsidR="008D27E3" w:rsidRDefault="00616F6C">
          <w:pPr>
            <w:pStyle w:val="TOC2"/>
            <w:tabs>
              <w:tab w:val="left" w:pos="1440"/>
            </w:tabs>
            <w:rPr>
              <w:rFonts w:asciiTheme="minorHAnsi" w:eastAsiaTheme="minorEastAsia" w:hAnsiTheme="minorHAnsi" w:cstheme="minorBidi"/>
              <w:noProof/>
              <w:sz w:val="22"/>
              <w:szCs w:val="22"/>
            </w:rPr>
          </w:pPr>
          <w:hyperlink w:anchor="_Toc536767274" w:history="1">
            <w:r w:rsidR="008D27E3" w:rsidRPr="00B322C8">
              <w:rPr>
                <w:rStyle w:val="Hyperlink"/>
                <w:noProof/>
              </w:rPr>
              <w:t>1.</w:t>
            </w:r>
            <w:r w:rsidR="008D27E3">
              <w:rPr>
                <w:rFonts w:asciiTheme="minorHAnsi" w:eastAsiaTheme="minorEastAsia" w:hAnsiTheme="minorHAnsi" w:cstheme="minorBidi"/>
                <w:noProof/>
                <w:sz w:val="22"/>
                <w:szCs w:val="22"/>
              </w:rPr>
              <w:tab/>
            </w:r>
            <w:r w:rsidR="008D27E3" w:rsidRPr="00B322C8">
              <w:rPr>
                <w:rStyle w:val="Hyperlink"/>
                <w:noProof/>
              </w:rPr>
              <w:t>RESPONDENT UNIVERSE AND SAMPLING METHODS</w:t>
            </w:r>
            <w:r w:rsidR="008D27E3">
              <w:rPr>
                <w:noProof/>
                <w:webHidden/>
              </w:rPr>
              <w:tab/>
            </w:r>
            <w:r w:rsidR="008D27E3">
              <w:rPr>
                <w:noProof/>
                <w:webHidden/>
              </w:rPr>
              <w:fldChar w:fldCharType="begin"/>
            </w:r>
            <w:r w:rsidR="008D27E3">
              <w:rPr>
                <w:noProof/>
                <w:webHidden/>
              </w:rPr>
              <w:instrText xml:space="preserve"> PAGEREF _Toc536767274 \h </w:instrText>
            </w:r>
            <w:r w:rsidR="008D27E3">
              <w:rPr>
                <w:noProof/>
                <w:webHidden/>
              </w:rPr>
            </w:r>
            <w:r w:rsidR="008D27E3">
              <w:rPr>
                <w:noProof/>
                <w:webHidden/>
              </w:rPr>
              <w:fldChar w:fldCharType="separate"/>
            </w:r>
            <w:r w:rsidR="008D27E3">
              <w:rPr>
                <w:noProof/>
                <w:webHidden/>
              </w:rPr>
              <w:t>1</w:t>
            </w:r>
            <w:r w:rsidR="008D27E3">
              <w:rPr>
                <w:noProof/>
                <w:webHidden/>
              </w:rPr>
              <w:fldChar w:fldCharType="end"/>
            </w:r>
          </w:hyperlink>
        </w:p>
        <w:p w14:paraId="6B1A1D1D" w14:textId="22E4A038" w:rsidR="008D27E3" w:rsidRDefault="00616F6C">
          <w:pPr>
            <w:pStyle w:val="TOC2"/>
            <w:tabs>
              <w:tab w:val="left" w:pos="1440"/>
            </w:tabs>
            <w:rPr>
              <w:rFonts w:asciiTheme="minorHAnsi" w:eastAsiaTheme="minorEastAsia" w:hAnsiTheme="minorHAnsi" w:cstheme="minorBidi"/>
              <w:noProof/>
              <w:sz w:val="22"/>
              <w:szCs w:val="22"/>
            </w:rPr>
          </w:pPr>
          <w:hyperlink w:anchor="_Toc536767275" w:history="1">
            <w:r w:rsidR="008D27E3" w:rsidRPr="00B322C8">
              <w:rPr>
                <w:rStyle w:val="Hyperlink"/>
                <w:noProof/>
              </w:rPr>
              <w:t>2.</w:t>
            </w:r>
            <w:r w:rsidR="008D27E3">
              <w:rPr>
                <w:rFonts w:asciiTheme="minorHAnsi" w:eastAsiaTheme="minorEastAsia" w:hAnsiTheme="minorHAnsi" w:cstheme="minorBidi"/>
                <w:noProof/>
                <w:sz w:val="22"/>
                <w:szCs w:val="22"/>
              </w:rPr>
              <w:tab/>
            </w:r>
            <w:r w:rsidR="008D27E3" w:rsidRPr="00B322C8">
              <w:rPr>
                <w:rStyle w:val="Hyperlink"/>
                <w:noProof/>
              </w:rPr>
              <w:t>SURVEY METHODOLOGY</w:t>
            </w:r>
            <w:r w:rsidR="008D27E3">
              <w:rPr>
                <w:noProof/>
                <w:webHidden/>
              </w:rPr>
              <w:tab/>
            </w:r>
            <w:r w:rsidR="008D27E3">
              <w:rPr>
                <w:noProof/>
                <w:webHidden/>
              </w:rPr>
              <w:fldChar w:fldCharType="begin"/>
            </w:r>
            <w:r w:rsidR="008D27E3">
              <w:rPr>
                <w:noProof/>
                <w:webHidden/>
              </w:rPr>
              <w:instrText xml:space="preserve"> PAGEREF _Toc536767275 \h </w:instrText>
            </w:r>
            <w:r w:rsidR="008D27E3">
              <w:rPr>
                <w:noProof/>
                <w:webHidden/>
              </w:rPr>
            </w:r>
            <w:r w:rsidR="008D27E3">
              <w:rPr>
                <w:noProof/>
                <w:webHidden/>
              </w:rPr>
              <w:fldChar w:fldCharType="separate"/>
            </w:r>
            <w:r w:rsidR="008D27E3">
              <w:rPr>
                <w:noProof/>
                <w:webHidden/>
              </w:rPr>
              <w:t>3</w:t>
            </w:r>
            <w:r w:rsidR="008D27E3">
              <w:rPr>
                <w:noProof/>
                <w:webHidden/>
              </w:rPr>
              <w:fldChar w:fldCharType="end"/>
            </w:r>
          </w:hyperlink>
        </w:p>
        <w:p w14:paraId="63DBD958" w14:textId="21C8907F" w:rsidR="008D27E3" w:rsidRDefault="00616F6C">
          <w:pPr>
            <w:pStyle w:val="TOC2"/>
            <w:tabs>
              <w:tab w:val="left" w:pos="1440"/>
            </w:tabs>
            <w:rPr>
              <w:rFonts w:asciiTheme="minorHAnsi" w:eastAsiaTheme="minorEastAsia" w:hAnsiTheme="minorHAnsi" w:cstheme="minorBidi"/>
              <w:noProof/>
              <w:sz w:val="22"/>
              <w:szCs w:val="22"/>
            </w:rPr>
          </w:pPr>
          <w:hyperlink w:anchor="_Toc536767276" w:history="1">
            <w:r w:rsidR="008D27E3" w:rsidRPr="00B322C8">
              <w:rPr>
                <w:rStyle w:val="Hyperlink"/>
                <w:noProof/>
              </w:rPr>
              <w:t>3.</w:t>
            </w:r>
            <w:r w:rsidR="008D27E3">
              <w:rPr>
                <w:rFonts w:asciiTheme="minorHAnsi" w:eastAsiaTheme="minorEastAsia" w:hAnsiTheme="minorHAnsi" w:cstheme="minorBidi"/>
                <w:noProof/>
                <w:sz w:val="22"/>
                <w:szCs w:val="22"/>
              </w:rPr>
              <w:tab/>
            </w:r>
            <w:r w:rsidR="008D27E3" w:rsidRPr="00B322C8">
              <w:rPr>
                <w:rStyle w:val="Hyperlink"/>
                <w:noProof/>
              </w:rPr>
              <w:t>METHODS TO MAXIMIZE RESPONSE</w:t>
            </w:r>
            <w:r w:rsidR="008D27E3">
              <w:rPr>
                <w:noProof/>
                <w:webHidden/>
              </w:rPr>
              <w:tab/>
            </w:r>
            <w:r w:rsidR="008D27E3">
              <w:rPr>
                <w:noProof/>
                <w:webHidden/>
              </w:rPr>
              <w:fldChar w:fldCharType="begin"/>
            </w:r>
            <w:r w:rsidR="008D27E3">
              <w:rPr>
                <w:noProof/>
                <w:webHidden/>
              </w:rPr>
              <w:instrText xml:space="preserve"> PAGEREF _Toc536767276 \h </w:instrText>
            </w:r>
            <w:r w:rsidR="008D27E3">
              <w:rPr>
                <w:noProof/>
                <w:webHidden/>
              </w:rPr>
            </w:r>
            <w:r w:rsidR="008D27E3">
              <w:rPr>
                <w:noProof/>
                <w:webHidden/>
              </w:rPr>
              <w:fldChar w:fldCharType="separate"/>
            </w:r>
            <w:r w:rsidR="008D27E3">
              <w:rPr>
                <w:noProof/>
                <w:webHidden/>
              </w:rPr>
              <w:t>9</w:t>
            </w:r>
            <w:r w:rsidR="008D27E3">
              <w:rPr>
                <w:noProof/>
                <w:webHidden/>
              </w:rPr>
              <w:fldChar w:fldCharType="end"/>
            </w:r>
          </w:hyperlink>
        </w:p>
        <w:p w14:paraId="042DEFE5" w14:textId="69851586" w:rsidR="008D27E3" w:rsidRDefault="00616F6C">
          <w:pPr>
            <w:pStyle w:val="TOC2"/>
            <w:tabs>
              <w:tab w:val="left" w:pos="1440"/>
            </w:tabs>
            <w:rPr>
              <w:rFonts w:asciiTheme="minorHAnsi" w:eastAsiaTheme="minorEastAsia" w:hAnsiTheme="minorHAnsi" w:cstheme="minorBidi"/>
              <w:noProof/>
              <w:sz w:val="22"/>
              <w:szCs w:val="22"/>
            </w:rPr>
          </w:pPr>
          <w:hyperlink w:anchor="_Toc536767277" w:history="1">
            <w:r w:rsidR="008D27E3" w:rsidRPr="00B322C8">
              <w:rPr>
                <w:rStyle w:val="Hyperlink"/>
                <w:noProof/>
              </w:rPr>
              <w:t>4.</w:t>
            </w:r>
            <w:r w:rsidR="008D27E3">
              <w:rPr>
                <w:rFonts w:asciiTheme="minorHAnsi" w:eastAsiaTheme="minorEastAsia" w:hAnsiTheme="minorHAnsi" w:cstheme="minorBidi"/>
                <w:noProof/>
                <w:sz w:val="22"/>
                <w:szCs w:val="22"/>
              </w:rPr>
              <w:tab/>
            </w:r>
            <w:r w:rsidR="008D27E3" w:rsidRPr="00B322C8">
              <w:rPr>
                <w:rStyle w:val="Hyperlink"/>
                <w:noProof/>
              </w:rPr>
              <w:t>TESTING OF PROCEDURES</w:t>
            </w:r>
            <w:r w:rsidR="008D27E3">
              <w:rPr>
                <w:noProof/>
                <w:webHidden/>
              </w:rPr>
              <w:tab/>
            </w:r>
            <w:r w:rsidR="008D27E3">
              <w:rPr>
                <w:noProof/>
                <w:webHidden/>
              </w:rPr>
              <w:fldChar w:fldCharType="begin"/>
            </w:r>
            <w:r w:rsidR="008D27E3">
              <w:rPr>
                <w:noProof/>
                <w:webHidden/>
              </w:rPr>
              <w:instrText xml:space="preserve"> PAGEREF _Toc536767277 \h </w:instrText>
            </w:r>
            <w:r w:rsidR="008D27E3">
              <w:rPr>
                <w:noProof/>
                <w:webHidden/>
              </w:rPr>
            </w:r>
            <w:r w:rsidR="008D27E3">
              <w:rPr>
                <w:noProof/>
                <w:webHidden/>
              </w:rPr>
              <w:fldChar w:fldCharType="separate"/>
            </w:r>
            <w:r w:rsidR="008D27E3">
              <w:rPr>
                <w:noProof/>
                <w:webHidden/>
              </w:rPr>
              <w:t>11</w:t>
            </w:r>
            <w:r w:rsidR="008D27E3">
              <w:rPr>
                <w:noProof/>
                <w:webHidden/>
              </w:rPr>
              <w:fldChar w:fldCharType="end"/>
            </w:r>
          </w:hyperlink>
        </w:p>
        <w:p w14:paraId="7158DF62" w14:textId="6938C5ED" w:rsidR="008D27E3" w:rsidRDefault="00616F6C">
          <w:pPr>
            <w:pStyle w:val="TOC2"/>
            <w:tabs>
              <w:tab w:val="left" w:pos="1440"/>
            </w:tabs>
            <w:rPr>
              <w:rFonts w:asciiTheme="minorHAnsi" w:eastAsiaTheme="minorEastAsia" w:hAnsiTheme="minorHAnsi" w:cstheme="minorBidi"/>
              <w:noProof/>
              <w:sz w:val="22"/>
              <w:szCs w:val="22"/>
            </w:rPr>
          </w:pPr>
          <w:hyperlink w:anchor="_Toc536767278" w:history="1">
            <w:r w:rsidR="008D27E3" w:rsidRPr="00B322C8">
              <w:rPr>
                <w:rStyle w:val="Hyperlink"/>
                <w:noProof/>
              </w:rPr>
              <w:t>5.</w:t>
            </w:r>
            <w:r w:rsidR="008D27E3">
              <w:rPr>
                <w:rFonts w:asciiTheme="minorHAnsi" w:eastAsiaTheme="minorEastAsia" w:hAnsiTheme="minorHAnsi" w:cstheme="minorBidi"/>
                <w:noProof/>
                <w:sz w:val="22"/>
                <w:szCs w:val="22"/>
              </w:rPr>
              <w:tab/>
            </w:r>
            <w:r w:rsidR="008D27E3" w:rsidRPr="00B322C8">
              <w:rPr>
                <w:rStyle w:val="Hyperlink"/>
                <w:noProof/>
              </w:rPr>
              <w:t>CONTACTS FOR STATISTICAL ASPECTS OF DATA COLLECTION</w:t>
            </w:r>
            <w:r w:rsidR="008D27E3">
              <w:rPr>
                <w:noProof/>
                <w:webHidden/>
              </w:rPr>
              <w:tab/>
            </w:r>
            <w:r w:rsidR="008D27E3">
              <w:rPr>
                <w:noProof/>
                <w:webHidden/>
              </w:rPr>
              <w:fldChar w:fldCharType="begin"/>
            </w:r>
            <w:r w:rsidR="008D27E3">
              <w:rPr>
                <w:noProof/>
                <w:webHidden/>
              </w:rPr>
              <w:instrText xml:space="preserve"> PAGEREF _Toc536767278 \h </w:instrText>
            </w:r>
            <w:r w:rsidR="008D27E3">
              <w:rPr>
                <w:noProof/>
                <w:webHidden/>
              </w:rPr>
            </w:r>
            <w:r w:rsidR="008D27E3">
              <w:rPr>
                <w:noProof/>
                <w:webHidden/>
              </w:rPr>
              <w:fldChar w:fldCharType="separate"/>
            </w:r>
            <w:r w:rsidR="008D27E3">
              <w:rPr>
                <w:noProof/>
                <w:webHidden/>
              </w:rPr>
              <w:t>18</w:t>
            </w:r>
            <w:r w:rsidR="008D27E3">
              <w:rPr>
                <w:noProof/>
                <w:webHidden/>
              </w:rPr>
              <w:fldChar w:fldCharType="end"/>
            </w:r>
          </w:hyperlink>
        </w:p>
        <w:p w14:paraId="0850AA3B" w14:textId="338F69EA" w:rsidR="001D1174" w:rsidRDefault="001D1174">
          <w:r>
            <w:rPr>
              <w:b/>
              <w:bCs/>
              <w:noProof/>
            </w:rPr>
            <w:fldChar w:fldCharType="end"/>
          </w:r>
        </w:p>
      </w:sdtContent>
    </w:sdt>
    <w:p w14:paraId="594D42DC" w14:textId="77777777" w:rsidR="001D1174" w:rsidRDefault="001D1174" w:rsidP="00C8666D">
      <w:pPr>
        <w:pStyle w:val="TOC1"/>
        <w:tabs>
          <w:tab w:val="left" w:pos="720"/>
        </w:tabs>
        <w:spacing w:before="0"/>
        <w:jc w:val="center"/>
        <w:rPr>
          <w:rFonts w:ascii="Times New Roman" w:hAnsi="Times New Roman"/>
          <w:b/>
          <w:bCs/>
          <w:sz w:val="23"/>
          <w:szCs w:val="23"/>
        </w:rPr>
      </w:pPr>
    </w:p>
    <w:p w14:paraId="4642B1E8" w14:textId="77777777" w:rsidR="00D83C80" w:rsidRDefault="00D83C80" w:rsidP="00D83C80">
      <w:pPr>
        <w:ind w:left="0"/>
        <w:jc w:val="center"/>
        <w:rPr>
          <w:rFonts w:ascii="Times New Roman" w:hAnsi="Times New Roman"/>
          <w:b/>
          <w:bCs/>
          <w:szCs w:val="24"/>
        </w:rPr>
        <w:sectPr w:rsidR="00D83C80" w:rsidSect="00EE0C3F">
          <w:footerReference w:type="default" r:id="rId10"/>
          <w:footerReference w:type="first" r:id="rId11"/>
          <w:pgSz w:w="12240" w:h="15840" w:code="1"/>
          <w:pgMar w:top="1440" w:right="1440" w:bottom="1440" w:left="1440" w:header="288" w:footer="288" w:gutter="0"/>
          <w:cols w:space="720"/>
          <w:noEndnote/>
          <w:docGrid w:linePitch="326"/>
        </w:sectPr>
      </w:pPr>
      <w:bookmarkStart w:id="2" w:name="_Hlt122334873"/>
      <w:bookmarkStart w:id="3" w:name="_Toc257283574"/>
      <w:bookmarkEnd w:id="2"/>
    </w:p>
    <w:p w14:paraId="20097842" w14:textId="72F8DDFB" w:rsidR="00B776D7" w:rsidRPr="00BC49F5" w:rsidRDefault="00B776D7" w:rsidP="00BC49F5">
      <w:pPr>
        <w:pStyle w:val="Heading1"/>
        <w:tabs>
          <w:tab w:val="left" w:pos="720"/>
          <w:tab w:val="left" w:pos="2520"/>
        </w:tabs>
        <w:ind w:left="0" w:firstLine="0"/>
        <w:rPr>
          <w:rFonts w:ascii="Times New Roman" w:hAnsi="Times New Roman"/>
          <w:b/>
          <w:bCs/>
          <w:szCs w:val="24"/>
        </w:rPr>
      </w:pPr>
      <w:bookmarkStart w:id="4" w:name="_Toc257283594"/>
      <w:bookmarkStart w:id="5" w:name="_Toc257283595"/>
      <w:bookmarkStart w:id="6" w:name="_Toc536767273"/>
      <w:bookmarkEnd w:id="3"/>
      <w:r w:rsidRPr="00DB68FB">
        <w:rPr>
          <w:rFonts w:ascii="Times New Roman" w:hAnsi="Times New Roman"/>
          <w:b/>
          <w:bCs/>
          <w:szCs w:val="24"/>
        </w:rPr>
        <w:lastRenderedPageBreak/>
        <w:t>B.</w:t>
      </w:r>
      <w:r w:rsidRPr="00DB68FB">
        <w:rPr>
          <w:rFonts w:ascii="Times New Roman" w:hAnsi="Times New Roman"/>
          <w:szCs w:val="24"/>
        </w:rPr>
        <w:tab/>
      </w:r>
      <w:bookmarkStart w:id="7" w:name="OLE_LINK2"/>
      <w:r w:rsidRPr="00DB68FB">
        <w:rPr>
          <w:rFonts w:ascii="Times New Roman" w:hAnsi="Times New Roman"/>
          <w:b/>
          <w:bCs/>
          <w:szCs w:val="24"/>
        </w:rPr>
        <w:t>COLLECTION OF INFORMATION EMPLOYING STATISTICAL METHODS</w:t>
      </w:r>
      <w:bookmarkEnd w:id="4"/>
      <w:bookmarkEnd w:id="5"/>
      <w:bookmarkEnd w:id="7"/>
      <w:bookmarkEnd w:id="6"/>
      <w:r w:rsidR="00967478" w:rsidRPr="00DB68FB">
        <w:rPr>
          <w:rFonts w:ascii="Times New Roman" w:hAnsi="Times New Roman"/>
        </w:rPr>
        <w:t xml:space="preserve"> </w:t>
      </w:r>
    </w:p>
    <w:p w14:paraId="26573659" w14:textId="77777777" w:rsidR="00B571FC" w:rsidRPr="00DB68FB" w:rsidRDefault="00B571FC" w:rsidP="00B571FC">
      <w:pPr>
        <w:rPr>
          <w:rFonts w:ascii="Times New Roman" w:hAnsi="Times New Roman"/>
          <w:b/>
          <w:bCs/>
          <w:szCs w:val="24"/>
        </w:rPr>
      </w:pPr>
    </w:p>
    <w:p w14:paraId="7ACCBAE9" w14:textId="77777777" w:rsidR="00B776D7" w:rsidRPr="00DB68FB" w:rsidRDefault="00B776D7">
      <w:pPr>
        <w:pStyle w:val="Heading2"/>
        <w:tabs>
          <w:tab w:val="left" w:pos="720"/>
          <w:tab w:val="left" w:pos="2520"/>
        </w:tabs>
        <w:spacing w:before="0" w:after="0"/>
        <w:ind w:left="0"/>
        <w:rPr>
          <w:szCs w:val="24"/>
        </w:rPr>
      </w:pPr>
      <w:bookmarkStart w:id="8" w:name="_Hlt122335554"/>
      <w:bookmarkStart w:id="9" w:name="_Toc257283596"/>
      <w:bookmarkStart w:id="10" w:name="_Toc536767274"/>
      <w:bookmarkEnd w:id="8"/>
      <w:r w:rsidRPr="00DB68FB">
        <w:rPr>
          <w:szCs w:val="24"/>
        </w:rPr>
        <w:t>1.</w:t>
      </w:r>
      <w:r w:rsidRPr="00DB68FB">
        <w:rPr>
          <w:szCs w:val="24"/>
        </w:rPr>
        <w:tab/>
        <w:t>RESPONDENT UNIVERSE AND SAMPLING METHODS</w:t>
      </w:r>
      <w:bookmarkEnd w:id="9"/>
      <w:bookmarkEnd w:id="10"/>
    </w:p>
    <w:p w14:paraId="1B2B80E5" w14:textId="77777777" w:rsidR="00B776D7" w:rsidRPr="00DB68FB" w:rsidRDefault="00B776D7">
      <w:pPr>
        <w:tabs>
          <w:tab w:val="left" w:pos="211"/>
          <w:tab w:val="left" w:pos="528"/>
          <w:tab w:val="left" w:pos="633"/>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528"/>
        <w:rPr>
          <w:rFonts w:ascii="Times New Roman" w:hAnsi="Times New Roman"/>
          <w:szCs w:val="24"/>
        </w:rPr>
      </w:pPr>
    </w:p>
    <w:p w14:paraId="6EFC9B98" w14:textId="6785B7A4" w:rsidR="00B776D7" w:rsidRPr="00DB68FB" w:rsidRDefault="00AD1E7B">
      <w:pPr>
        <w:ind w:left="0"/>
        <w:rPr>
          <w:rFonts w:ascii="Times New Roman" w:hAnsi="Times New Roman"/>
        </w:rPr>
      </w:pPr>
      <w:r>
        <w:rPr>
          <w:rFonts w:ascii="Times New Roman" w:hAnsi="Times New Roman"/>
          <w:color w:val="000000"/>
        </w:rPr>
        <w:t xml:space="preserve">When the American Community Survey (ACS) replaced the decennial census long form beginning with the 2010 Census, the </w:t>
      </w:r>
      <w:r w:rsidR="000C0D34">
        <w:rPr>
          <w:rFonts w:ascii="Times New Roman" w:hAnsi="Times New Roman"/>
          <w:color w:val="000000"/>
        </w:rPr>
        <w:t xml:space="preserve">National Center for Science and Engineering Statistics (NCSES) </w:t>
      </w:r>
      <w:r w:rsidR="00172987">
        <w:rPr>
          <w:rFonts w:ascii="Times New Roman" w:hAnsi="Times New Roman"/>
          <w:color w:val="000000"/>
        </w:rPr>
        <w:t>within</w:t>
      </w:r>
      <w:r w:rsidR="000C0D34">
        <w:rPr>
          <w:rFonts w:ascii="Times New Roman" w:hAnsi="Times New Roman"/>
          <w:color w:val="000000"/>
        </w:rPr>
        <w:t xml:space="preserve"> the </w:t>
      </w:r>
      <w:r>
        <w:rPr>
          <w:rFonts w:ascii="Times New Roman" w:hAnsi="Times New Roman"/>
          <w:color w:val="000000"/>
        </w:rPr>
        <w:t xml:space="preserve">National Science Foundation (NSF) identified the ACS as the potential sampling frame for the National Survey of College Graduates (NSCG) for use in the 2010 survey cycle </w:t>
      </w:r>
      <w:r w:rsidR="000728BE" w:rsidRPr="00DB68FB">
        <w:rPr>
          <w:rFonts w:ascii="Times New Roman" w:hAnsi="Times New Roman"/>
        </w:rPr>
        <w:t>and beyond</w:t>
      </w:r>
      <w:r w:rsidR="00B776D7" w:rsidRPr="00DB68FB">
        <w:rPr>
          <w:rFonts w:ascii="Times New Roman" w:hAnsi="Times New Roman"/>
        </w:rPr>
        <w:t xml:space="preserve">.  </w:t>
      </w:r>
      <w:r w:rsidR="00B776D7" w:rsidRPr="00DB68FB">
        <w:rPr>
          <w:rFonts w:ascii="Times New Roman" w:hAnsi="Times New Roman"/>
          <w:szCs w:val="24"/>
        </w:rPr>
        <w:t xml:space="preserve">After reviewing numerous sample design options proposed by </w:t>
      </w:r>
      <w:r w:rsidR="0005725C">
        <w:rPr>
          <w:rFonts w:ascii="Times New Roman" w:hAnsi="Times New Roman"/>
          <w:szCs w:val="24"/>
        </w:rPr>
        <w:t>NCSES</w:t>
      </w:r>
      <w:r w:rsidR="00B776D7" w:rsidRPr="00DB68FB">
        <w:rPr>
          <w:rFonts w:ascii="Times New Roman" w:hAnsi="Times New Roman"/>
          <w:szCs w:val="24"/>
        </w:rPr>
        <w:t xml:space="preserve">, the Committee on National Statistics (CNSTAT) recommended a rotating panel design for the 2010 decade of the NSCG (National Research Council, 2008).  </w:t>
      </w:r>
      <w:r w:rsidR="00287F94">
        <w:rPr>
          <w:rFonts w:ascii="Times New Roman" w:hAnsi="Times New Roman"/>
          <w:szCs w:val="24"/>
        </w:rPr>
        <w:t xml:space="preserve">In this design, a new ACS-based sample of college graduates will be selected and followed for four biennial cycles before the panel is rotated out of the survey.  </w:t>
      </w:r>
      <w:r w:rsidR="00B776D7" w:rsidRPr="00DB68FB">
        <w:rPr>
          <w:rFonts w:ascii="Times New Roman" w:hAnsi="Times New Roman"/>
          <w:szCs w:val="24"/>
        </w:rPr>
        <w:t xml:space="preserve">The use of the ACS as a sampling </w:t>
      </w:r>
      <w:r w:rsidR="008E41D9" w:rsidRPr="00DB68FB">
        <w:rPr>
          <w:rFonts w:ascii="Times New Roman" w:hAnsi="Times New Roman"/>
          <w:szCs w:val="24"/>
        </w:rPr>
        <w:t>frame</w:t>
      </w:r>
      <w:r w:rsidR="00E576AF">
        <w:rPr>
          <w:rFonts w:ascii="Times New Roman" w:hAnsi="Times New Roman"/>
          <w:szCs w:val="24"/>
        </w:rPr>
        <w:t xml:space="preserve">, including the field of degree questionnaire item included on the ACS, </w:t>
      </w:r>
      <w:r w:rsidR="00B776D7" w:rsidRPr="00DB68FB">
        <w:rPr>
          <w:rFonts w:ascii="Times New Roman" w:hAnsi="Times New Roman"/>
          <w:szCs w:val="24"/>
        </w:rPr>
        <w:t>allow</w:t>
      </w:r>
      <w:r w:rsidR="000620AA">
        <w:rPr>
          <w:rFonts w:ascii="Times New Roman" w:hAnsi="Times New Roman"/>
          <w:szCs w:val="24"/>
        </w:rPr>
        <w:t>s</w:t>
      </w:r>
      <w:r w:rsidR="00B776D7" w:rsidRPr="00DB68FB">
        <w:rPr>
          <w:rFonts w:ascii="Times New Roman" w:hAnsi="Times New Roman"/>
          <w:szCs w:val="24"/>
        </w:rPr>
        <w:t xml:space="preserve"> </w:t>
      </w:r>
      <w:r w:rsidR="0005725C">
        <w:rPr>
          <w:rFonts w:ascii="Times New Roman" w:hAnsi="Times New Roman"/>
          <w:szCs w:val="24"/>
        </w:rPr>
        <w:t>NCSES</w:t>
      </w:r>
      <w:r w:rsidR="0005725C" w:rsidRPr="00DB68FB">
        <w:rPr>
          <w:rFonts w:ascii="Times New Roman" w:hAnsi="Times New Roman"/>
          <w:szCs w:val="24"/>
        </w:rPr>
        <w:t xml:space="preserve"> </w:t>
      </w:r>
      <w:r w:rsidR="00B776D7" w:rsidRPr="00DB68FB">
        <w:rPr>
          <w:rFonts w:ascii="Times New Roman" w:hAnsi="Times New Roman"/>
          <w:szCs w:val="24"/>
        </w:rPr>
        <w:t xml:space="preserve">to more efficiently target the </w:t>
      </w:r>
      <w:r>
        <w:rPr>
          <w:rFonts w:ascii="Times New Roman" w:hAnsi="Times New Roman"/>
          <w:szCs w:val="24"/>
        </w:rPr>
        <w:t>science and engineering (</w:t>
      </w:r>
      <w:r w:rsidR="00FC3A05" w:rsidRPr="00DB68FB">
        <w:rPr>
          <w:rFonts w:ascii="Times New Roman" w:hAnsi="Times New Roman"/>
          <w:szCs w:val="24"/>
        </w:rPr>
        <w:t>S&amp;E</w:t>
      </w:r>
      <w:r>
        <w:rPr>
          <w:rFonts w:ascii="Times New Roman" w:hAnsi="Times New Roman"/>
          <w:szCs w:val="24"/>
        </w:rPr>
        <w:t>)</w:t>
      </w:r>
      <w:r w:rsidR="00B776D7" w:rsidRPr="00DB68FB">
        <w:rPr>
          <w:rFonts w:ascii="Times New Roman" w:hAnsi="Times New Roman"/>
          <w:szCs w:val="24"/>
        </w:rPr>
        <w:t xml:space="preserve"> workforce population.  Furthermore, th</w:t>
      </w:r>
      <w:r w:rsidR="00FC3A05" w:rsidRPr="00DB68FB">
        <w:rPr>
          <w:rFonts w:ascii="Times New Roman" w:hAnsi="Times New Roman"/>
          <w:szCs w:val="24"/>
        </w:rPr>
        <w:t>e</w:t>
      </w:r>
      <w:r w:rsidR="00B776D7" w:rsidRPr="00DB68FB">
        <w:rPr>
          <w:rFonts w:ascii="Times New Roman" w:hAnsi="Times New Roman"/>
          <w:szCs w:val="24"/>
        </w:rPr>
        <w:t xml:space="preserve"> rotating panel design planned for the 2010 decade allows the NSCG to address certain deficiencies</w:t>
      </w:r>
      <w:r w:rsidR="00E576AF">
        <w:rPr>
          <w:rStyle w:val="FootnoteReference"/>
          <w:rFonts w:ascii="Times New Roman" w:hAnsi="Times New Roman"/>
          <w:szCs w:val="24"/>
        </w:rPr>
        <w:footnoteReference w:id="1"/>
      </w:r>
      <w:r w:rsidR="00B776D7" w:rsidRPr="00DB68FB">
        <w:rPr>
          <w:rFonts w:ascii="Times New Roman" w:hAnsi="Times New Roman"/>
          <w:szCs w:val="24"/>
        </w:rPr>
        <w:t xml:space="preserve"> of the previous design</w:t>
      </w:r>
      <w:r w:rsidR="00E95535">
        <w:rPr>
          <w:rFonts w:ascii="Times New Roman" w:hAnsi="Times New Roman"/>
          <w:szCs w:val="24"/>
        </w:rPr>
        <w:t>,</w:t>
      </w:r>
      <w:r w:rsidR="00B776D7" w:rsidRPr="00DB68FB">
        <w:rPr>
          <w:rFonts w:ascii="Times New Roman" w:hAnsi="Times New Roman"/>
          <w:szCs w:val="24"/>
        </w:rPr>
        <w:t xml:space="preserve"> including the undercoverage of key groups</w:t>
      </w:r>
      <w:r w:rsidR="00FC3A05" w:rsidRPr="00DB68FB">
        <w:rPr>
          <w:rFonts w:ascii="Times New Roman" w:hAnsi="Times New Roman"/>
          <w:szCs w:val="24"/>
        </w:rPr>
        <w:t xml:space="preserve"> of interest such as foreign-degreed immigrants with S&amp;E degrees</w:t>
      </w:r>
      <w:r w:rsidR="00287F94">
        <w:rPr>
          <w:rFonts w:ascii="Times New Roman" w:hAnsi="Times New Roman"/>
          <w:szCs w:val="24"/>
        </w:rPr>
        <w:t xml:space="preserve"> and individuals with non-S&amp;E degrees who are working in S&amp;E occupations</w:t>
      </w:r>
      <w:r w:rsidR="00B776D7" w:rsidRPr="00DB68FB">
        <w:rPr>
          <w:rFonts w:ascii="Times New Roman" w:hAnsi="Times New Roman"/>
          <w:szCs w:val="24"/>
        </w:rPr>
        <w:t>.</w:t>
      </w:r>
    </w:p>
    <w:p w14:paraId="6BE9FE38" w14:textId="77777777" w:rsidR="00B776D7" w:rsidRPr="00DB68FB" w:rsidRDefault="00B776D7">
      <w:pPr>
        <w:ind w:left="0"/>
        <w:rPr>
          <w:rFonts w:ascii="Times New Roman" w:hAnsi="Times New Roman"/>
          <w:color w:val="000000"/>
        </w:rPr>
      </w:pPr>
    </w:p>
    <w:p w14:paraId="0ACA88AF" w14:textId="342E32D0" w:rsidR="00B776D7" w:rsidRPr="00E05733" w:rsidRDefault="00B776D7" w:rsidP="00E05733">
      <w:pPr>
        <w:ind w:left="0" w:right="-180"/>
        <w:rPr>
          <w:rFonts w:ascii="Times New Roman" w:hAnsi="Times New Roman"/>
          <w:color w:val="000000"/>
        </w:rPr>
      </w:pPr>
      <w:r w:rsidRPr="00DB68FB">
        <w:rPr>
          <w:rFonts w:ascii="Times New Roman" w:hAnsi="Times New Roman"/>
          <w:color w:val="000000"/>
        </w:rPr>
        <w:t xml:space="preserve">The </w:t>
      </w:r>
      <w:r w:rsidR="00670635" w:rsidRPr="00DB68FB">
        <w:rPr>
          <w:rFonts w:ascii="Times New Roman" w:hAnsi="Times New Roman"/>
          <w:color w:val="000000"/>
        </w:rPr>
        <w:t xml:space="preserve">NSCG </w:t>
      </w:r>
      <w:r w:rsidRPr="00DB68FB">
        <w:rPr>
          <w:rFonts w:ascii="Times New Roman" w:hAnsi="Times New Roman"/>
          <w:color w:val="000000"/>
        </w:rPr>
        <w:t>design for the 2010</w:t>
      </w:r>
      <w:r w:rsidR="00FC3A05" w:rsidRPr="00DB68FB">
        <w:rPr>
          <w:rFonts w:ascii="Times New Roman" w:hAnsi="Times New Roman"/>
          <w:color w:val="000000"/>
        </w:rPr>
        <w:t xml:space="preserve"> </w:t>
      </w:r>
      <w:r w:rsidRPr="00DB68FB">
        <w:rPr>
          <w:rFonts w:ascii="Times New Roman" w:hAnsi="Times New Roman"/>
          <w:color w:val="000000"/>
        </w:rPr>
        <w:t xml:space="preserve">decade </w:t>
      </w:r>
      <w:r w:rsidR="001C69C8">
        <w:rPr>
          <w:rFonts w:ascii="Times New Roman" w:hAnsi="Times New Roman"/>
          <w:color w:val="000000"/>
        </w:rPr>
        <w:t>oversamples cases</w:t>
      </w:r>
      <w:r w:rsidRPr="00DB68FB">
        <w:rPr>
          <w:rFonts w:ascii="Times New Roman" w:hAnsi="Times New Roman"/>
          <w:color w:val="000000"/>
        </w:rPr>
        <w:t xml:space="preserve"> in small cells of particular interest to analysts, including underrepresented</w:t>
      </w:r>
      <w:r w:rsidR="003C55AA">
        <w:rPr>
          <w:rFonts w:ascii="Times New Roman" w:hAnsi="Times New Roman"/>
          <w:color w:val="000000"/>
        </w:rPr>
        <w:t xml:space="preserve"> minorities</w:t>
      </w:r>
      <w:r w:rsidRPr="00DB68FB">
        <w:rPr>
          <w:rFonts w:ascii="Times New Roman" w:hAnsi="Times New Roman"/>
          <w:color w:val="000000"/>
        </w:rPr>
        <w:t>, persons with disabilities</w:t>
      </w:r>
      <w:r w:rsidR="001C69C8">
        <w:rPr>
          <w:rFonts w:ascii="Times New Roman" w:hAnsi="Times New Roman"/>
          <w:color w:val="000000"/>
        </w:rPr>
        <w:t xml:space="preserve">, and non-U.S. citizens.  </w:t>
      </w:r>
      <w:r w:rsidRPr="00DB68FB">
        <w:rPr>
          <w:rFonts w:ascii="Times New Roman" w:hAnsi="Times New Roman"/>
          <w:color w:val="000000"/>
        </w:rPr>
        <w:t xml:space="preserve">The goal of this oversampling effort is to provide adequate sample for NSF’s congressionally mandated report on </w:t>
      </w:r>
      <w:r w:rsidR="001C3FF5" w:rsidRPr="00DB68FB">
        <w:rPr>
          <w:rFonts w:ascii="Times New Roman" w:hAnsi="Times New Roman"/>
          <w:i/>
          <w:color w:val="000000"/>
        </w:rPr>
        <w:t>Women, Minorities, and Persons with Disabilities in Science and Engineering</w:t>
      </w:r>
      <w:r w:rsidR="00E05733">
        <w:rPr>
          <w:rFonts w:ascii="Times New Roman" w:hAnsi="Times New Roman"/>
          <w:color w:val="000000"/>
        </w:rPr>
        <w:t>.</w:t>
      </w:r>
    </w:p>
    <w:p w14:paraId="16EA4910" w14:textId="77777777" w:rsidR="00B776D7" w:rsidRPr="00DB68FB" w:rsidRDefault="00B776D7">
      <w:pPr>
        <w:ind w:left="0"/>
        <w:rPr>
          <w:rFonts w:ascii="Times New Roman" w:hAnsi="Times New Roman"/>
        </w:rPr>
      </w:pPr>
    </w:p>
    <w:p w14:paraId="45BD9792" w14:textId="09F40102" w:rsidR="000E71D1" w:rsidRDefault="009B0A57" w:rsidP="000E71D1">
      <w:pPr>
        <w:ind w:left="0"/>
        <w:rPr>
          <w:rFonts w:ascii="Times New Roman" w:hAnsi="Times New Roman"/>
        </w:rPr>
      </w:pPr>
      <w:r>
        <w:rPr>
          <w:rFonts w:ascii="Times New Roman" w:hAnsi="Times New Roman"/>
        </w:rPr>
        <w:t>The 2017 survey cycle mark</w:t>
      </w:r>
      <w:r w:rsidR="00D252D7">
        <w:rPr>
          <w:rFonts w:ascii="Times New Roman" w:hAnsi="Times New Roman"/>
        </w:rPr>
        <w:t>ed</w:t>
      </w:r>
      <w:r w:rsidR="002937DF">
        <w:rPr>
          <w:rFonts w:ascii="Times New Roman" w:hAnsi="Times New Roman"/>
        </w:rPr>
        <w:t xml:space="preserve"> the full implementation of the</w:t>
      </w:r>
      <w:r w:rsidR="000E71D1">
        <w:rPr>
          <w:rFonts w:ascii="Times New Roman" w:hAnsi="Times New Roman"/>
        </w:rPr>
        <w:t xml:space="preserve"> four-panel</w:t>
      </w:r>
      <w:r w:rsidR="002937DF">
        <w:rPr>
          <w:rFonts w:ascii="Times New Roman" w:hAnsi="Times New Roman"/>
        </w:rPr>
        <w:t xml:space="preserve"> </w:t>
      </w:r>
      <w:r w:rsidR="0048730D" w:rsidRPr="00DB68FB">
        <w:rPr>
          <w:rFonts w:ascii="Times New Roman" w:hAnsi="Times New Roman"/>
        </w:rPr>
        <w:t>rotating panel design</w:t>
      </w:r>
      <w:r w:rsidR="001004C8">
        <w:rPr>
          <w:rFonts w:ascii="Times New Roman" w:hAnsi="Times New Roman"/>
        </w:rPr>
        <w:t xml:space="preserve"> that began with the 2010 NSCG</w:t>
      </w:r>
      <w:r w:rsidR="002937DF">
        <w:rPr>
          <w:rFonts w:ascii="Times New Roman" w:hAnsi="Times New Roman"/>
        </w:rPr>
        <w:t xml:space="preserve">. Under this fully implemented rotating panel design, </w:t>
      </w:r>
      <w:r w:rsidR="0048730D" w:rsidRPr="00DB68FB">
        <w:rPr>
          <w:rFonts w:ascii="Times New Roman" w:hAnsi="Times New Roman"/>
        </w:rPr>
        <w:t xml:space="preserve">the </w:t>
      </w:r>
      <w:r w:rsidR="00B55C6A" w:rsidRPr="00DB68FB">
        <w:rPr>
          <w:rFonts w:ascii="Times New Roman" w:hAnsi="Times New Roman"/>
        </w:rPr>
        <w:t>201</w:t>
      </w:r>
      <w:r w:rsidR="00D252D7">
        <w:rPr>
          <w:rFonts w:ascii="Times New Roman" w:hAnsi="Times New Roman"/>
        </w:rPr>
        <w:t xml:space="preserve">9 </w:t>
      </w:r>
      <w:r w:rsidR="001004C8">
        <w:rPr>
          <w:rFonts w:ascii="Times New Roman" w:hAnsi="Times New Roman"/>
        </w:rPr>
        <w:t xml:space="preserve">NSCG </w:t>
      </w:r>
      <w:r w:rsidR="00096855">
        <w:rPr>
          <w:rFonts w:ascii="Times New Roman" w:hAnsi="Times New Roman"/>
        </w:rPr>
        <w:t xml:space="preserve">will </w:t>
      </w:r>
      <w:r w:rsidR="00096855" w:rsidRPr="00DD2F3D">
        <w:rPr>
          <w:rFonts w:ascii="Times New Roman" w:hAnsi="Times New Roman"/>
        </w:rPr>
        <w:t>include</w:t>
      </w:r>
      <w:r w:rsidR="002937DF" w:rsidRPr="00DD2F3D">
        <w:rPr>
          <w:rFonts w:ascii="Times New Roman" w:hAnsi="Times New Roman"/>
        </w:rPr>
        <w:t xml:space="preserve"> </w:t>
      </w:r>
      <w:r w:rsidR="00D252D7" w:rsidRPr="00DD2F3D">
        <w:rPr>
          <w:rFonts w:ascii="Times New Roman" w:hAnsi="Times New Roman"/>
        </w:rPr>
        <w:t>14</w:t>
      </w:r>
      <w:r w:rsidR="004C2A29" w:rsidRPr="00DD2F3D">
        <w:rPr>
          <w:rFonts w:ascii="Times New Roman" w:hAnsi="Times New Roman"/>
        </w:rPr>
        <w:t>8</w:t>
      </w:r>
      <w:r w:rsidR="00D252D7" w:rsidRPr="00DD2F3D">
        <w:rPr>
          <w:rFonts w:ascii="Times New Roman" w:hAnsi="Times New Roman"/>
        </w:rPr>
        <w:t xml:space="preserve">,000 </w:t>
      </w:r>
      <w:r w:rsidR="001004C8" w:rsidRPr="00DD2F3D">
        <w:rPr>
          <w:rFonts w:ascii="Times New Roman" w:hAnsi="Times New Roman"/>
        </w:rPr>
        <w:t>sample cases</w:t>
      </w:r>
      <w:r w:rsidR="001004C8">
        <w:rPr>
          <w:rFonts w:ascii="Times New Roman" w:hAnsi="Times New Roman"/>
        </w:rPr>
        <w:t xml:space="preserve"> which</w:t>
      </w:r>
      <w:r w:rsidR="000620AA">
        <w:rPr>
          <w:rFonts w:ascii="Times New Roman" w:hAnsi="Times New Roman"/>
        </w:rPr>
        <w:t xml:space="preserve"> includes: </w:t>
      </w:r>
    </w:p>
    <w:p w14:paraId="20223FF2" w14:textId="77777777" w:rsidR="000E71D1" w:rsidRDefault="000E71D1" w:rsidP="000E71D1">
      <w:pPr>
        <w:ind w:left="0"/>
        <w:rPr>
          <w:rFonts w:ascii="Times New Roman" w:hAnsi="Times New Roman"/>
        </w:rPr>
      </w:pPr>
    </w:p>
    <w:p w14:paraId="29B0CA52" w14:textId="071599F1" w:rsidR="000E71D1" w:rsidRDefault="000E71D1" w:rsidP="00041A00">
      <w:pPr>
        <w:pStyle w:val="ListParagraph"/>
        <w:numPr>
          <w:ilvl w:val="0"/>
          <w:numId w:val="43"/>
        </w:numPr>
        <w:rPr>
          <w:rFonts w:ascii="Times New Roman" w:hAnsi="Times New Roman"/>
        </w:rPr>
      </w:pPr>
      <w:r w:rsidRPr="000E71D1">
        <w:rPr>
          <w:rFonts w:ascii="Times New Roman" w:hAnsi="Times New Roman"/>
        </w:rPr>
        <w:t>Re</w:t>
      </w:r>
      <w:r w:rsidR="004D0C9F">
        <w:rPr>
          <w:rFonts w:ascii="Times New Roman" w:hAnsi="Times New Roman"/>
        </w:rPr>
        <w:t>turning sample from the 201</w:t>
      </w:r>
      <w:r w:rsidR="00D252D7">
        <w:rPr>
          <w:rFonts w:ascii="Times New Roman" w:hAnsi="Times New Roman"/>
        </w:rPr>
        <w:t>7</w:t>
      </w:r>
      <w:r w:rsidR="00081BC7" w:rsidRPr="000E71D1">
        <w:rPr>
          <w:rFonts w:ascii="Times New Roman" w:hAnsi="Times New Roman"/>
        </w:rPr>
        <w:t xml:space="preserve"> NSCG</w:t>
      </w:r>
      <w:r w:rsidR="001004C8" w:rsidRPr="000E71D1">
        <w:rPr>
          <w:rFonts w:ascii="Times New Roman" w:hAnsi="Times New Roman"/>
        </w:rPr>
        <w:t xml:space="preserve"> (originally selected from the 20</w:t>
      </w:r>
      <w:r w:rsidR="00D252D7">
        <w:rPr>
          <w:rFonts w:ascii="Times New Roman" w:hAnsi="Times New Roman"/>
        </w:rPr>
        <w:t>11</w:t>
      </w:r>
      <w:r w:rsidR="001004C8" w:rsidRPr="000E71D1">
        <w:rPr>
          <w:rFonts w:ascii="Times New Roman" w:hAnsi="Times New Roman"/>
        </w:rPr>
        <w:t xml:space="preserve"> ACS)</w:t>
      </w:r>
      <w:r w:rsidR="001C69C8">
        <w:rPr>
          <w:rFonts w:ascii="Times New Roman" w:hAnsi="Times New Roman"/>
        </w:rPr>
        <w:t>;</w:t>
      </w:r>
    </w:p>
    <w:p w14:paraId="3EDF1107" w14:textId="40970889" w:rsidR="000E71D1" w:rsidRDefault="000620AA" w:rsidP="00041A00">
      <w:pPr>
        <w:pStyle w:val="ListParagraph"/>
        <w:numPr>
          <w:ilvl w:val="0"/>
          <w:numId w:val="43"/>
        </w:numPr>
        <w:rPr>
          <w:rFonts w:ascii="Times New Roman" w:hAnsi="Times New Roman"/>
        </w:rPr>
      </w:pPr>
      <w:r w:rsidRPr="000E71D1">
        <w:rPr>
          <w:rFonts w:ascii="Times New Roman" w:hAnsi="Times New Roman"/>
        </w:rPr>
        <w:t>R</w:t>
      </w:r>
      <w:r w:rsidR="00D252D7">
        <w:rPr>
          <w:rFonts w:ascii="Times New Roman" w:hAnsi="Times New Roman"/>
        </w:rPr>
        <w:t>eturning sample from the 2017</w:t>
      </w:r>
      <w:r w:rsidR="001004C8" w:rsidRPr="000E71D1">
        <w:rPr>
          <w:rFonts w:ascii="Times New Roman" w:hAnsi="Times New Roman"/>
        </w:rPr>
        <w:t xml:space="preserve"> NSCG (originally selected </w:t>
      </w:r>
      <w:r w:rsidR="00D252D7">
        <w:rPr>
          <w:rFonts w:ascii="Times New Roman" w:hAnsi="Times New Roman"/>
        </w:rPr>
        <w:t>from the 2013</w:t>
      </w:r>
      <w:r w:rsidR="002937DF" w:rsidRPr="000E71D1">
        <w:rPr>
          <w:rFonts w:ascii="Times New Roman" w:hAnsi="Times New Roman"/>
        </w:rPr>
        <w:t xml:space="preserve"> ACS</w:t>
      </w:r>
      <w:r w:rsidR="001004C8" w:rsidRPr="000E71D1">
        <w:rPr>
          <w:rFonts w:ascii="Times New Roman" w:hAnsi="Times New Roman"/>
        </w:rPr>
        <w:t>)</w:t>
      </w:r>
      <w:r w:rsidR="001C69C8">
        <w:rPr>
          <w:rFonts w:ascii="Times New Roman" w:hAnsi="Times New Roman"/>
        </w:rPr>
        <w:t>;</w:t>
      </w:r>
    </w:p>
    <w:p w14:paraId="5797C1B3" w14:textId="6BB95295" w:rsidR="000E71D1" w:rsidRDefault="00D252D7" w:rsidP="00041A00">
      <w:pPr>
        <w:pStyle w:val="ListParagraph"/>
        <w:numPr>
          <w:ilvl w:val="0"/>
          <w:numId w:val="43"/>
        </w:numPr>
        <w:rPr>
          <w:rFonts w:ascii="Times New Roman" w:hAnsi="Times New Roman"/>
        </w:rPr>
      </w:pPr>
      <w:r>
        <w:rPr>
          <w:rFonts w:ascii="Times New Roman" w:hAnsi="Times New Roman"/>
        </w:rPr>
        <w:t>Returning sample from the 2017</w:t>
      </w:r>
      <w:r w:rsidR="002937DF" w:rsidRPr="000E71D1">
        <w:rPr>
          <w:rFonts w:ascii="Times New Roman" w:hAnsi="Times New Roman"/>
        </w:rPr>
        <w:t xml:space="preserve"> NSCG (o</w:t>
      </w:r>
      <w:r>
        <w:rPr>
          <w:rFonts w:ascii="Times New Roman" w:hAnsi="Times New Roman"/>
        </w:rPr>
        <w:t>riginally selected from the 2015</w:t>
      </w:r>
      <w:r w:rsidR="002937DF" w:rsidRPr="000E71D1">
        <w:rPr>
          <w:rFonts w:ascii="Times New Roman" w:hAnsi="Times New Roman"/>
        </w:rPr>
        <w:t xml:space="preserve"> ACS)</w:t>
      </w:r>
      <w:r w:rsidR="001C69C8">
        <w:rPr>
          <w:rFonts w:ascii="Times New Roman" w:hAnsi="Times New Roman"/>
        </w:rPr>
        <w:t>;</w:t>
      </w:r>
      <w:r w:rsidR="002937DF" w:rsidRPr="000E71D1">
        <w:rPr>
          <w:rFonts w:ascii="Times New Roman" w:hAnsi="Times New Roman"/>
        </w:rPr>
        <w:t xml:space="preserve"> </w:t>
      </w:r>
      <w:r w:rsidR="005B5334" w:rsidRPr="000E71D1">
        <w:rPr>
          <w:rFonts w:ascii="Times New Roman" w:hAnsi="Times New Roman"/>
        </w:rPr>
        <w:t>an</w:t>
      </w:r>
      <w:r w:rsidR="002937DF" w:rsidRPr="000E71D1">
        <w:rPr>
          <w:rFonts w:ascii="Times New Roman" w:hAnsi="Times New Roman"/>
        </w:rPr>
        <w:t xml:space="preserve">d </w:t>
      </w:r>
    </w:p>
    <w:p w14:paraId="3501BA16" w14:textId="05E9D4C1" w:rsidR="000620AA" w:rsidRPr="000E71D1" w:rsidRDefault="000620AA" w:rsidP="00041A00">
      <w:pPr>
        <w:pStyle w:val="ListParagraph"/>
        <w:numPr>
          <w:ilvl w:val="0"/>
          <w:numId w:val="43"/>
        </w:numPr>
        <w:rPr>
          <w:rFonts w:ascii="Times New Roman" w:hAnsi="Times New Roman"/>
        </w:rPr>
      </w:pPr>
      <w:r w:rsidRPr="000E71D1">
        <w:rPr>
          <w:rFonts w:ascii="Times New Roman" w:hAnsi="Times New Roman"/>
        </w:rPr>
        <w:t>N</w:t>
      </w:r>
      <w:r w:rsidR="00B55C6A" w:rsidRPr="000E71D1">
        <w:rPr>
          <w:rFonts w:ascii="Times New Roman" w:hAnsi="Times New Roman"/>
        </w:rPr>
        <w:t xml:space="preserve">ew </w:t>
      </w:r>
      <w:r w:rsidR="0048730D" w:rsidRPr="000E71D1">
        <w:rPr>
          <w:rFonts w:ascii="Times New Roman" w:hAnsi="Times New Roman"/>
        </w:rPr>
        <w:t xml:space="preserve">sample </w:t>
      </w:r>
      <w:r w:rsidR="00B55C6A" w:rsidRPr="000E71D1">
        <w:rPr>
          <w:rFonts w:ascii="Times New Roman" w:hAnsi="Times New Roman"/>
        </w:rPr>
        <w:t xml:space="preserve">selected </w:t>
      </w:r>
      <w:r w:rsidR="0048730D" w:rsidRPr="000E71D1">
        <w:rPr>
          <w:rFonts w:ascii="Times New Roman" w:hAnsi="Times New Roman"/>
        </w:rPr>
        <w:t xml:space="preserve">from the </w:t>
      </w:r>
      <w:r w:rsidR="00B55C6A" w:rsidRPr="000E71D1">
        <w:rPr>
          <w:rFonts w:ascii="Times New Roman" w:hAnsi="Times New Roman"/>
        </w:rPr>
        <w:t>201</w:t>
      </w:r>
      <w:r w:rsidR="00D252D7">
        <w:rPr>
          <w:rFonts w:ascii="Times New Roman" w:hAnsi="Times New Roman"/>
        </w:rPr>
        <w:t>7</w:t>
      </w:r>
      <w:r w:rsidR="002937DF" w:rsidRPr="000E71D1">
        <w:rPr>
          <w:rFonts w:ascii="Times New Roman" w:hAnsi="Times New Roman"/>
        </w:rPr>
        <w:t xml:space="preserve"> </w:t>
      </w:r>
      <w:r w:rsidR="0048730D" w:rsidRPr="000E71D1">
        <w:rPr>
          <w:rFonts w:ascii="Times New Roman" w:hAnsi="Times New Roman"/>
        </w:rPr>
        <w:t>ACS.</w:t>
      </w:r>
      <w:r w:rsidR="001004C8" w:rsidRPr="000E71D1">
        <w:rPr>
          <w:rFonts w:ascii="Times New Roman" w:hAnsi="Times New Roman"/>
        </w:rPr>
        <w:t xml:space="preserve">  </w:t>
      </w:r>
    </w:p>
    <w:p w14:paraId="3E673C37" w14:textId="46740CB7" w:rsidR="00287F94" w:rsidRPr="005175D2" w:rsidRDefault="00287F94">
      <w:pPr>
        <w:ind w:left="0"/>
        <w:rPr>
          <w:rFonts w:ascii="Times New Roman" w:hAnsi="Times New Roman"/>
          <w:szCs w:val="24"/>
        </w:rPr>
      </w:pPr>
    </w:p>
    <w:p w14:paraId="1C52C96A" w14:textId="6103B262" w:rsidR="001C657A" w:rsidRPr="002C6CBF" w:rsidRDefault="001C657A" w:rsidP="001C657A">
      <w:pPr>
        <w:pStyle w:val="FootnoteText"/>
        <w:ind w:left="0"/>
        <w:rPr>
          <w:rFonts w:ascii="Times New Roman" w:hAnsi="Times New Roman"/>
          <w:szCs w:val="24"/>
        </w:rPr>
      </w:pPr>
      <w:r w:rsidRPr="002C6CBF">
        <w:rPr>
          <w:rFonts w:ascii="Times New Roman" w:hAnsi="Times New Roman"/>
          <w:szCs w:val="24"/>
        </w:rPr>
        <w:t>About 67,000 new sample cases will be selected from the 2017 ACS. This sample size</w:t>
      </w:r>
      <w:r w:rsidR="002E5D92" w:rsidRPr="002C6CBF">
        <w:rPr>
          <w:rFonts w:ascii="Times New Roman" w:hAnsi="Times New Roman"/>
          <w:szCs w:val="24"/>
        </w:rPr>
        <w:t xml:space="preserve"> includes an</w:t>
      </w:r>
      <w:r w:rsidRPr="002C6CBF">
        <w:rPr>
          <w:rFonts w:ascii="Times New Roman" w:hAnsi="Times New Roman"/>
          <w:szCs w:val="24"/>
        </w:rPr>
        <w:t xml:space="preserve"> increase</w:t>
      </w:r>
      <w:r w:rsidR="00114DB5" w:rsidRPr="002C6CBF">
        <w:rPr>
          <w:rFonts w:ascii="Times New Roman" w:hAnsi="Times New Roman"/>
          <w:szCs w:val="24"/>
        </w:rPr>
        <w:t xml:space="preserve"> of approximately </w:t>
      </w:r>
      <w:r w:rsidR="00714266" w:rsidRPr="002C6CBF">
        <w:rPr>
          <w:rFonts w:ascii="Times New Roman" w:hAnsi="Times New Roman"/>
          <w:szCs w:val="24"/>
        </w:rPr>
        <w:t>1</w:t>
      </w:r>
      <w:r w:rsidR="00762C30" w:rsidRPr="002C6CBF">
        <w:rPr>
          <w:rFonts w:ascii="Times New Roman" w:hAnsi="Times New Roman"/>
          <w:szCs w:val="24"/>
        </w:rPr>
        <w:t>9</w:t>
      </w:r>
      <w:r w:rsidR="00114DB5" w:rsidRPr="002C6CBF">
        <w:rPr>
          <w:rFonts w:ascii="Times New Roman" w:hAnsi="Times New Roman"/>
          <w:szCs w:val="24"/>
        </w:rPr>
        <w:t>,</w:t>
      </w:r>
      <w:r w:rsidR="00762C30" w:rsidRPr="002C6CBF">
        <w:rPr>
          <w:rFonts w:ascii="Times New Roman" w:hAnsi="Times New Roman"/>
          <w:szCs w:val="24"/>
        </w:rPr>
        <w:t>0</w:t>
      </w:r>
      <w:r w:rsidR="00114DB5" w:rsidRPr="002C6CBF">
        <w:rPr>
          <w:rFonts w:ascii="Times New Roman" w:hAnsi="Times New Roman"/>
          <w:szCs w:val="24"/>
        </w:rPr>
        <w:t>00 cases</w:t>
      </w:r>
      <w:r w:rsidR="00A32553" w:rsidRPr="002C6CBF">
        <w:rPr>
          <w:rFonts w:ascii="Times New Roman" w:hAnsi="Times New Roman"/>
          <w:szCs w:val="24"/>
        </w:rPr>
        <w:t xml:space="preserve"> compared to the 2017 NSCG new sample </w:t>
      </w:r>
      <w:r w:rsidRPr="002C6CBF">
        <w:rPr>
          <w:rFonts w:ascii="Times New Roman" w:hAnsi="Times New Roman"/>
          <w:szCs w:val="24"/>
        </w:rPr>
        <w:t xml:space="preserve">to address three issues related to the NSCG design: </w:t>
      </w:r>
    </w:p>
    <w:p w14:paraId="58AFF064" w14:textId="77777777" w:rsidR="00EC4759" w:rsidRPr="002C6CBF" w:rsidRDefault="00EC4759" w:rsidP="001C657A">
      <w:pPr>
        <w:pStyle w:val="FootnoteText"/>
        <w:ind w:left="0"/>
        <w:rPr>
          <w:rFonts w:ascii="Times New Roman" w:hAnsi="Times New Roman"/>
          <w:szCs w:val="24"/>
        </w:rPr>
      </w:pPr>
    </w:p>
    <w:p w14:paraId="2F059FB5" w14:textId="65DF3EAE" w:rsidR="001C657A" w:rsidRPr="002C6CBF" w:rsidRDefault="001C657A" w:rsidP="005175D2">
      <w:pPr>
        <w:pStyle w:val="FootnoteText"/>
        <w:ind w:left="360"/>
        <w:rPr>
          <w:rFonts w:ascii="Times New Roman" w:hAnsi="Times New Roman"/>
          <w:szCs w:val="24"/>
        </w:rPr>
      </w:pPr>
      <w:r w:rsidRPr="002C6CBF">
        <w:rPr>
          <w:rFonts w:ascii="Times New Roman" w:hAnsi="Times New Roman"/>
          <w:szCs w:val="24"/>
        </w:rPr>
        <w:t>(1) Unit nonresponse in subsequent survey cycles has been increasing making it more difficult</w:t>
      </w:r>
      <w:r w:rsidR="00EC4759" w:rsidRPr="002C6CBF">
        <w:rPr>
          <w:rFonts w:ascii="Times New Roman" w:hAnsi="Times New Roman"/>
          <w:szCs w:val="24"/>
        </w:rPr>
        <w:t xml:space="preserve"> for the NSCG </w:t>
      </w:r>
      <w:r w:rsidRPr="002C6CBF">
        <w:rPr>
          <w:rFonts w:ascii="Times New Roman" w:hAnsi="Times New Roman"/>
          <w:szCs w:val="24"/>
        </w:rPr>
        <w:t xml:space="preserve">to achieve </w:t>
      </w:r>
      <w:r w:rsidR="00114DB5" w:rsidRPr="002C6CBF">
        <w:rPr>
          <w:rFonts w:ascii="Times New Roman" w:hAnsi="Times New Roman"/>
          <w:szCs w:val="24"/>
        </w:rPr>
        <w:t xml:space="preserve">its </w:t>
      </w:r>
      <w:r w:rsidRPr="002C6CBF">
        <w:rPr>
          <w:rFonts w:ascii="Times New Roman" w:hAnsi="Times New Roman"/>
          <w:szCs w:val="24"/>
        </w:rPr>
        <w:t xml:space="preserve">target </w:t>
      </w:r>
      <w:r w:rsidR="00114DB5" w:rsidRPr="002C6CBF">
        <w:rPr>
          <w:rFonts w:ascii="Times New Roman" w:hAnsi="Times New Roman"/>
          <w:szCs w:val="24"/>
        </w:rPr>
        <w:t xml:space="preserve">reliability requirements </w:t>
      </w:r>
      <w:r w:rsidR="00811643" w:rsidRPr="002C6CBF">
        <w:rPr>
          <w:rFonts w:ascii="Times New Roman" w:hAnsi="Times New Roman"/>
          <w:szCs w:val="24"/>
        </w:rPr>
        <w:t>for key analytical domains</w:t>
      </w:r>
      <w:r w:rsidR="00114DB5" w:rsidRPr="002C6CBF">
        <w:rPr>
          <w:rFonts w:ascii="Times New Roman" w:hAnsi="Times New Roman"/>
          <w:szCs w:val="24"/>
        </w:rPr>
        <w:t xml:space="preserve">. </w:t>
      </w:r>
      <w:r w:rsidRPr="002C6CBF">
        <w:rPr>
          <w:rFonts w:ascii="Times New Roman" w:hAnsi="Times New Roman"/>
          <w:szCs w:val="24"/>
        </w:rPr>
        <w:t xml:space="preserve">Consequently, the size of the new sample will be increased by </w:t>
      </w:r>
      <w:r w:rsidR="00762C30" w:rsidRPr="002C6CBF">
        <w:rPr>
          <w:rFonts w:ascii="Times New Roman" w:hAnsi="Times New Roman"/>
          <w:szCs w:val="24"/>
        </w:rPr>
        <w:t xml:space="preserve">about </w:t>
      </w:r>
      <w:r w:rsidRPr="002C6CBF">
        <w:rPr>
          <w:rFonts w:ascii="Times New Roman" w:hAnsi="Times New Roman"/>
          <w:szCs w:val="24"/>
        </w:rPr>
        <w:t xml:space="preserve">14,000 cases to </w:t>
      </w:r>
      <w:r w:rsidR="00114DB5" w:rsidRPr="002C6CBF">
        <w:rPr>
          <w:rFonts w:ascii="Times New Roman" w:hAnsi="Times New Roman"/>
          <w:szCs w:val="24"/>
        </w:rPr>
        <w:t xml:space="preserve">offset the impact of </w:t>
      </w:r>
      <w:r w:rsidRPr="002C6CBF">
        <w:rPr>
          <w:rFonts w:ascii="Times New Roman" w:hAnsi="Times New Roman"/>
          <w:szCs w:val="24"/>
        </w:rPr>
        <w:t>future nonresponse among the returning sample</w:t>
      </w:r>
      <w:r w:rsidR="00811643" w:rsidRPr="002C6CBF">
        <w:rPr>
          <w:rFonts w:ascii="Times New Roman" w:hAnsi="Times New Roman"/>
          <w:szCs w:val="24"/>
        </w:rPr>
        <w:t xml:space="preserve"> and enable the NSCG to meet its target reliability requirements described in Appendix D</w:t>
      </w:r>
      <w:r w:rsidRPr="002C6CBF">
        <w:rPr>
          <w:rFonts w:ascii="Times New Roman" w:hAnsi="Times New Roman"/>
          <w:szCs w:val="24"/>
        </w:rPr>
        <w:t xml:space="preserve">. </w:t>
      </w:r>
    </w:p>
    <w:p w14:paraId="548EACC4" w14:textId="77777777" w:rsidR="00811643" w:rsidRPr="002C6CBF" w:rsidRDefault="00811643" w:rsidP="005175D2">
      <w:pPr>
        <w:pStyle w:val="FootnoteText"/>
        <w:ind w:left="360"/>
        <w:rPr>
          <w:rFonts w:ascii="Times New Roman" w:hAnsi="Times New Roman"/>
          <w:szCs w:val="24"/>
        </w:rPr>
      </w:pPr>
    </w:p>
    <w:p w14:paraId="05CC9F13" w14:textId="4E9F6932" w:rsidR="001C657A" w:rsidRPr="002C6CBF" w:rsidRDefault="001C657A" w:rsidP="005175D2">
      <w:pPr>
        <w:pStyle w:val="FootnoteText"/>
        <w:ind w:left="360"/>
        <w:rPr>
          <w:rFonts w:ascii="Times New Roman" w:hAnsi="Times New Roman"/>
          <w:szCs w:val="24"/>
        </w:rPr>
      </w:pPr>
      <w:r w:rsidRPr="002C6CBF">
        <w:rPr>
          <w:rFonts w:ascii="Times New Roman" w:hAnsi="Times New Roman"/>
          <w:szCs w:val="24"/>
        </w:rPr>
        <w:t xml:space="preserve">(2) Weight variation that exists due to the sampling rate differences of S&amp;E and non-S&amp;E occupations across sampling strata results in reduced precision of the estimates when cases sampled </w:t>
      </w:r>
      <w:r w:rsidR="00762C30" w:rsidRPr="002C6CBF">
        <w:rPr>
          <w:rFonts w:ascii="Times New Roman" w:hAnsi="Times New Roman"/>
          <w:szCs w:val="24"/>
        </w:rPr>
        <w:t xml:space="preserve">as non-S&amp;E turn out to be S&amp;E. </w:t>
      </w:r>
      <w:r w:rsidRPr="002C6CBF">
        <w:rPr>
          <w:rFonts w:ascii="Times New Roman" w:hAnsi="Times New Roman"/>
          <w:szCs w:val="24"/>
        </w:rPr>
        <w:t>To decrease this impact, the sample size for non-S&amp;E cases in the new sample will be increased by 2,500 to 5,000.</w:t>
      </w:r>
      <w:r w:rsidR="00022F3F" w:rsidRPr="002C6CBF">
        <w:rPr>
          <w:rFonts w:ascii="Times New Roman" w:hAnsi="Times New Roman"/>
          <w:szCs w:val="24"/>
        </w:rPr>
        <w:t xml:space="preserve"> Similar to the 14,000-</w:t>
      </w:r>
      <w:r w:rsidR="00811643" w:rsidRPr="002C6CBF">
        <w:rPr>
          <w:rFonts w:ascii="Times New Roman" w:hAnsi="Times New Roman"/>
          <w:szCs w:val="24"/>
        </w:rPr>
        <w:t xml:space="preserve">case increase described above, this sample increase for non-S&amp;E cases will enable the NSCG to </w:t>
      </w:r>
      <w:r w:rsidR="00A32553" w:rsidRPr="002C6CBF">
        <w:rPr>
          <w:rFonts w:ascii="Times New Roman" w:hAnsi="Times New Roman"/>
          <w:szCs w:val="24"/>
        </w:rPr>
        <w:t xml:space="preserve">better </w:t>
      </w:r>
      <w:r w:rsidR="00811643" w:rsidRPr="002C6CBF">
        <w:rPr>
          <w:rFonts w:ascii="Times New Roman" w:hAnsi="Times New Roman"/>
          <w:szCs w:val="24"/>
        </w:rPr>
        <w:t>meet its target reliability requirements described in Appendix D.</w:t>
      </w:r>
    </w:p>
    <w:p w14:paraId="3E7D9C00" w14:textId="77777777" w:rsidR="00811643" w:rsidRPr="002C6CBF" w:rsidRDefault="00811643" w:rsidP="005175D2">
      <w:pPr>
        <w:pStyle w:val="FootnoteText"/>
        <w:ind w:left="360"/>
        <w:rPr>
          <w:rFonts w:ascii="Times New Roman" w:hAnsi="Times New Roman"/>
          <w:szCs w:val="24"/>
        </w:rPr>
      </w:pPr>
    </w:p>
    <w:p w14:paraId="15FF57D9" w14:textId="290360A8" w:rsidR="001C657A" w:rsidRPr="002C6CBF" w:rsidRDefault="001C657A" w:rsidP="005175D2">
      <w:pPr>
        <w:pStyle w:val="FootnoteText"/>
        <w:ind w:left="360"/>
        <w:rPr>
          <w:rFonts w:ascii="Times New Roman" w:hAnsi="Times New Roman"/>
          <w:szCs w:val="24"/>
        </w:rPr>
      </w:pPr>
      <w:r w:rsidRPr="002C6CBF">
        <w:rPr>
          <w:rFonts w:ascii="Times New Roman" w:hAnsi="Times New Roman"/>
          <w:szCs w:val="24"/>
        </w:rPr>
        <w:t>(3) Interest in individuals with foreign-earned doctorates has been increasing</w:t>
      </w:r>
      <w:r w:rsidR="00811643" w:rsidRPr="002C6CBF">
        <w:rPr>
          <w:rFonts w:ascii="Times New Roman" w:hAnsi="Times New Roman"/>
          <w:szCs w:val="24"/>
        </w:rPr>
        <w:t>. To improve the NSCG’s estimation capability for foreign-earn</w:t>
      </w:r>
      <w:r w:rsidR="00A32553" w:rsidRPr="002C6CBF">
        <w:rPr>
          <w:rFonts w:ascii="Times New Roman" w:hAnsi="Times New Roman"/>
          <w:szCs w:val="24"/>
        </w:rPr>
        <w:t>e</w:t>
      </w:r>
      <w:r w:rsidR="00811643" w:rsidRPr="002C6CBF">
        <w:rPr>
          <w:rFonts w:ascii="Times New Roman" w:hAnsi="Times New Roman"/>
          <w:szCs w:val="24"/>
        </w:rPr>
        <w:t xml:space="preserve">d doctorate recipients, </w:t>
      </w:r>
      <w:r w:rsidRPr="002C6CBF">
        <w:rPr>
          <w:rFonts w:ascii="Times New Roman" w:hAnsi="Times New Roman"/>
          <w:szCs w:val="24"/>
        </w:rPr>
        <w:t>a CNSTAT panel recently recommended that NCSES evaluate whether modeling techniques could be used to more efficiently identify these individuals.</w:t>
      </w:r>
      <w:r w:rsidR="005960D9" w:rsidRPr="002C6CBF">
        <w:rPr>
          <w:rStyle w:val="FootnoteReference"/>
          <w:rFonts w:ascii="Times New Roman" w:hAnsi="Times New Roman"/>
          <w:szCs w:val="24"/>
        </w:rPr>
        <w:footnoteReference w:id="2"/>
      </w:r>
      <w:r w:rsidRPr="002C6CBF">
        <w:rPr>
          <w:rFonts w:ascii="Times New Roman" w:hAnsi="Times New Roman"/>
          <w:szCs w:val="24"/>
        </w:rPr>
        <w:t xml:space="preserve">  To have sufficient data to conduct such an evaluation, 3,000 additional cases with doctorate degrees and a low likelihood of having earned the degree in the U.S. will be selected as part of the new sample.</w:t>
      </w:r>
      <w:r w:rsidR="00811643" w:rsidRPr="002C6CBF">
        <w:rPr>
          <w:rFonts w:ascii="Times New Roman" w:hAnsi="Times New Roman"/>
          <w:szCs w:val="24"/>
        </w:rPr>
        <w:t xml:space="preserve"> </w:t>
      </w:r>
    </w:p>
    <w:p w14:paraId="7FD9DF4B" w14:textId="23D2F637" w:rsidR="001C657A" w:rsidRPr="002C6CBF" w:rsidRDefault="001C657A" w:rsidP="001C657A">
      <w:pPr>
        <w:pStyle w:val="FootnoteText"/>
        <w:ind w:left="0"/>
        <w:rPr>
          <w:rFonts w:ascii="Times New Roman" w:hAnsi="Times New Roman"/>
          <w:szCs w:val="24"/>
        </w:rPr>
      </w:pPr>
    </w:p>
    <w:p w14:paraId="19119817" w14:textId="77777777" w:rsidR="00535F71" w:rsidRPr="002C6CBF" w:rsidRDefault="00535F71" w:rsidP="00535F71">
      <w:pPr>
        <w:ind w:left="0"/>
        <w:rPr>
          <w:rFonts w:ascii="Times New Roman" w:hAnsi="Times New Roman"/>
        </w:rPr>
      </w:pPr>
      <w:r w:rsidRPr="002C6CBF">
        <w:rPr>
          <w:rFonts w:ascii="Times New Roman" w:hAnsi="Times New Roman"/>
        </w:rPr>
        <w:t xml:space="preserve">The remaining 81,000 cases will be selected from the set of returning sample members. While most of the returning sample cases are respondents from the 2017 NSCG survey cycle, about 13,000 nonrespondents from the 2017 NSCG survey cycle will be included in the 2019 NSCG sample.  These 13,000 cases are individuals who responded in their initial survey cycle but did not respond during the 2017 NSCG survey cycle.  As was the case in previous NSCG years, previous-cycle nonrespondents are being included in the 2019 NSCG sample in an effort to reduce the potential for nonresponse bias in our NSCG survey estimates.  </w:t>
      </w:r>
    </w:p>
    <w:p w14:paraId="6C1748F3" w14:textId="77777777" w:rsidR="00535F71" w:rsidRPr="002C6CBF" w:rsidRDefault="00535F71" w:rsidP="001C657A">
      <w:pPr>
        <w:pStyle w:val="FootnoteText"/>
        <w:ind w:left="0"/>
        <w:rPr>
          <w:rFonts w:ascii="Times New Roman" w:hAnsi="Times New Roman"/>
          <w:szCs w:val="24"/>
        </w:rPr>
      </w:pPr>
    </w:p>
    <w:p w14:paraId="6F3C688E" w14:textId="53046EB0" w:rsidR="00A32553" w:rsidRPr="00C960EC" w:rsidRDefault="00A32553" w:rsidP="001C657A">
      <w:pPr>
        <w:pStyle w:val="FootnoteText"/>
        <w:ind w:left="0"/>
        <w:rPr>
          <w:rFonts w:ascii="Times New Roman" w:hAnsi="Times New Roman"/>
          <w:szCs w:val="24"/>
        </w:rPr>
      </w:pPr>
      <w:r w:rsidRPr="002C6CBF">
        <w:rPr>
          <w:rFonts w:ascii="Times New Roman" w:hAnsi="Times New Roman"/>
          <w:szCs w:val="24"/>
        </w:rPr>
        <w:t>The table below provides an overview of the NSCG sample sizes throughout the 2010 decade.</w:t>
      </w:r>
    </w:p>
    <w:p w14:paraId="38510BA6" w14:textId="1838A451" w:rsidR="004A63FC" w:rsidRDefault="004A63FC" w:rsidP="004A63FC">
      <w:pPr>
        <w:pStyle w:val="FootnoteText"/>
        <w:spacing w:after="120"/>
        <w:ind w:left="0"/>
        <w:rPr>
          <w:rFonts w:ascii="Times New Roman" w:hAnsi="Times New Roman"/>
        </w:rPr>
      </w:pPr>
    </w:p>
    <w:p w14:paraId="38F0934A" w14:textId="5062956E" w:rsidR="00195DC7" w:rsidRDefault="00195DC7" w:rsidP="00A50DB8">
      <w:pPr>
        <w:pStyle w:val="FootnoteText"/>
        <w:ind w:left="0"/>
        <w:rPr>
          <w:rFonts w:ascii="Times New Roman" w:hAnsi="Times New Roman"/>
        </w:rPr>
      </w:pPr>
      <w:r>
        <w:rPr>
          <w:rFonts w:ascii="Times New Roman" w:hAnsi="Times New Roman"/>
          <w:noProof/>
        </w:rPr>
        <w:drawing>
          <wp:inline distT="0" distB="0" distL="0" distR="0" wp14:anchorId="6E91795A" wp14:editId="0A7C83E1">
            <wp:extent cx="5916709" cy="3371893"/>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54674" cy="3393529"/>
                    </a:xfrm>
                    <a:prstGeom prst="rect">
                      <a:avLst/>
                    </a:prstGeom>
                    <a:noFill/>
                  </pic:spPr>
                </pic:pic>
              </a:graphicData>
            </a:graphic>
          </wp:inline>
        </w:drawing>
      </w:r>
    </w:p>
    <w:p w14:paraId="005AD512" w14:textId="4D4BEF3A" w:rsidR="00195DC7" w:rsidRDefault="00195DC7" w:rsidP="00A50DB8">
      <w:pPr>
        <w:pStyle w:val="FootnoteText"/>
        <w:ind w:left="0"/>
        <w:rPr>
          <w:rFonts w:ascii="Times New Roman" w:hAnsi="Times New Roman"/>
        </w:rPr>
      </w:pPr>
      <w:r>
        <w:rPr>
          <w:noProof/>
        </w:rPr>
        <mc:AlternateContent>
          <mc:Choice Requires="wps">
            <w:drawing>
              <wp:anchor distT="0" distB="0" distL="114300" distR="114300" simplePos="0" relativeHeight="251659264" behindDoc="0" locked="0" layoutInCell="1" allowOverlap="1" wp14:anchorId="4A89A500" wp14:editId="752566BF">
                <wp:simplePos x="0" y="0"/>
                <wp:positionH relativeFrom="margin">
                  <wp:align>left</wp:align>
                </wp:positionH>
                <wp:positionV relativeFrom="paragraph">
                  <wp:posOffset>15599</wp:posOffset>
                </wp:positionV>
                <wp:extent cx="3863558" cy="400110"/>
                <wp:effectExtent l="0" t="0" r="0" b="0"/>
                <wp:wrapNone/>
                <wp:docPr id="9" name="TextBox 8"/>
                <wp:cNvGraphicFramePr/>
                <a:graphic xmlns:a="http://schemas.openxmlformats.org/drawingml/2006/main">
                  <a:graphicData uri="http://schemas.microsoft.com/office/word/2010/wordprocessingShape">
                    <wps:wsp>
                      <wps:cNvSpPr txBox="1"/>
                      <wps:spPr>
                        <a:xfrm>
                          <a:off x="0" y="0"/>
                          <a:ext cx="3863558" cy="400110"/>
                        </a:xfrm>
                        <a:prstGeom prst="rect">
                          <a:avLst/>
                        </a:prstGeom>
                        <a:noFill/>
                      </wps:spPr>
                      <wps:txbx>
                        <w:txbxContent>
                          <w:p w14:paraId="7D7DB7D4" w14:textId="77777777" w:rsidR="00195DC7" w:rsidRDefault="00195DC7" w:rsidP="00195DC7">
                            <w:pPr>
                              <w:pStyle w:val="NormalWeb"/>
                              <w:spacing w:before="0" w:beforeAutospacing="0" w:after="0" w:afterAutospacing="0"/>
                              <w:textAlignment w:val="baseline"/>
                            </w:pPr>
                            <w:r>
                              <w:rPr>
                                <w:rFonts w:ascii="Calibri" w:hAnsi="Calibri" w:cstheme="minorBidi"/>
                                <w:color w:val="000000" w:themeColor="text1"/>
                                <w:kern w:val="24"/>
                                <w:sz w:val="20"/>
                                <w:szCs w:val="20"/>
                              </w:rPr>
                              <w:t xml:space="preserve">NOTES:  </w:t>
                            </w:r>
                            <w:r>
                              <w:rPr>
                                <w:rFonts w:ascii="Calibri" w:hAnsi="Calibri" w:cstheme="minorBidi"/>
                                <w:i/>
                                <w:iCs/>
                                <w:color w:val="000000" w:themeColor="text1"/>
                                <w:kern w:val="24"/>
                                <w:sz w:val="20"/>
                                <w:szCs w:val="20"/>
                              </w:rPr>
                              <w:t>* indicates the inclusion of a young graduates oversample</w:t>
                            </w:r>
                          </w:p>
                          <w:p w14:paraId="5B024B75" w14:textId="77777777" w:rsidR="00195DC7" w:rsidRDefault="00195DC7" w:rsidP="00195DC7">
                            <w:pPr>
                              <w:pStyle w:val="NormalWeb"/>
                              <w:spacing w:before="0" w:beforeAutospacing="0" w:after="0" w:afterAutospacing="0"/>
                              <w:textAlignment w:val="baseline"/>
                            </w:pPr>
                            <w:r>
                              <w:rPr>
                                <w:rFonts w:ascii="Calibri" w:hAnsi="Calibri" w:cstheme="minorBidi"/>
                                <w:i/>
                                <w:iCs/>
                                <w:color w:val="000000" w:themeColor="text1"/>
                                <w:kern w:val="24"/>
                                <w:sz w:val="20"/>
                                <w:szCs w:val="20"/>
                              </w:rPr>
                              <w:t xml:space="preserve">                RCG refers to the National Survey of Recent College Graduates</w:t>
                            </w:r>
                          </w:p>
                        </w:txbxContent>
                      </wps:txbx>
                      <wps:bodyPr wrap="none" rtlCol="0">
                        <a:spAutoFit/>
                      </wps:bodyPr>
                    </wps:wsp>
                  </a:graphicData>
                </a:graphic>
              </wp:anchor>
            </w:drawing>
          </mc:Choice>
          <mc:Fallback>
            <w:pict>
              <v:shapetype id="_x0000_t202" coordsize="21600,21600" o:spt="202" path="m,l,21600r21600,l21600,xe">
                <v:stroke joinstyle="miter"/>
                <v:path gradientshapeok="t" o:connecttype="rect"/>
              </v:shapetype>
              <v:shape id="TextBox 8" o:spid="_x0000_s1026" type="#_x0000_t202" style="position:absolute;margin-left:0;margin-top:1.25pt;width:304.2pt;height:31.5pt;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" filled="f" stroked="f">
                <v:textbox style="mso-fit-shape-to-text:t">
                  <w:txbxContent>
                    <w:p w14:paraId="7D7DB7D4" w14:textId="77777777" w:rsidR="00195DC7" w:rsidRDefault="00195DC7" w:rsidP="00195DC7">
                      <w:pPr>
                        <w:pStyle w:val="NormalWeb"/>
                        <w:spacing w:before="0" w:beforeAutospacing="0" w:after="0" w:afterAutospacing="0"/>
                        <w:textAlignment w:val="baseline"/>
                      </w:pPr>
                      <w:r>
                        <w:rPr>
                          <w:rFonts w:ascii="Calibri" w:hAnsi="Calibri" w:cstheme="minorBidi"/>
                          <w:color w:val="000000" w:themeColor="text1"/>
                          <w:kern w:val="24"/>
                          <w:sz w:val="20"/>
                          <w:szCs w:val="20"/>
                        </w:rPr>
                        <w:t xml:space="preserve">NOTES:  </w:t>
                      </w:r>
                      <w:r>
                        <w:rPr>
                          <w:rFonts w:ascii="Calibri" w:hAnsi="Calibri" w:cstheme="minorBidi"/>
                          <w:i/>
                          <w:iCs/>
                          <w:color w:val="000000" w:themeColor="text1"/>
                          <w:kern w:val="24"/>
                          <w:sz w:val="20"/>
                          <w:szCs w:val="20"/>
                        </w:rPr>
                        <w:t>* indicates the inclusion of a young graduates oversample</w:t>
                      </w:r>
                    </w:p>
                    <w:p w14:paraId="5B024B75" w14:textId="77777777" w:rsidR="00195DC7" w:rsidRDefault="00195DC7" w:rsidP="00195DC7">
                      <w:pPr>
                        <w:pStyle w:val="NormalWeb"/>
                        <w:spacing w:before="0" w:beforeAutospacing="0" w:after="0" w:afterAutospacing="0"/>
                        <w:textAlignment w:val="baseline"/>
                      </w:pPr>
                      <w:r>
                        <w:rPr>
                          <w:rFonts w:ascii="Calibri" w:hAnsi="Calibri" w:cstheme="minorBidi"/>
                          <w:i/>
                          <w:iCs/>
                          <w:color w:val="000000" w:themeColor="text1"/>
                          <w:kern w:val="24"/>
                          <w:sz w:val="20"/>
                          <w:szCs w:val="20"/>
                        </w:rPr>
                        <w:t xml:space="preserve">                RCG refers to the National Survey of Recent College Graduates</w:t>
                      </w:r>
                    </w:p>
                  </w:txbxContent>
                </v:textbox>
                <w10:wrap anchorx="margin"/>
              </v:shape>
            </w:pict>
          </mc:Fallback>
        </mc:AlternateContent>
      </w:r>
    </w:p>
    <w:p w14:paraId="7A7E42F2" w14:textId="7BDFA1B7" w:rsidR="00195DC7" w:rsidRDefault="00195DC7" w:rsidP="00A50DB8">
      <w:pPr>
        <w:pStyle w:val="FootnoteText"/>
        <w:ind w:left="0"/>
        <w:rPr>
          <w:rFonts w:ascii="Times New Roman" w:hAnsi="Times New Roman"/>
        </w:rPr>
      </w:pPr>
    </w:p>
    <w:p w14:paraId="0BEBEA8F" w14:textId="7492387A" w:rsidR="00195DC7" w:rsidRDefault="00195DC7" w:rsidP="00A50DB8">
      <w:pPr>
        <w:pStyle w:val="FootnoteText"/>
        <w:ind w:left="0"/>
        <w:rPr>
          <w:rFonts w:ascii="Times New Roman" w:hAnsi="Times New Roman"/>
        </w:rPr>
      </w:pPr>
    </w:p>
    <w:p w14:paraId="59755E45" w14:textId="77777777" w:rsidR="001004C8" w:rsidRPr="00DB68FB" w:rsidRDefault="001004C8">
      <w:pPr>
        <w:ind w:left="0"/>
        <w:rPr>
          <w:rFonts w:ascii="Times New Roman" w:hAnsi="Times New Roman"/>
        </w:rPr>
      </w:pPr>
    </w:p>
    <w:p w14:paraId="3D8A0473" w14:textId="73A05C97" w:rsidR="0051648D" w:rsidRPr="00DB68FB" w:rsidRDefault="0051648D" w:rsidP="0051648D">
      <w:pPr>
        <w:ind w:left="0"/>
        <w:rPr>
          <w:rFonts w:ascii="Times New Roman" w:hAnsi="Times New Roman"/>
        </w:rPr>
      </w:pPr>
      <w:r w:rsidRPr="00DB68FB">
        <w:rPr>
          <w:rFonts w:ascii="Times New Roman" w:hAnsi="Times New Roman"/>
          <w:color w:val="000000"/>
        </w:rPr>
        <w:t xml:space="preserve">The </w:t>
      </w:r>
      <w:r>
        <w:rPr>
          <w:rFonts w:ascii="Times New Roman" w:hAnsi="Times New Roman"/>
          <w:color w:val="000000"/>
        </w:rPr>
        <w:t>2019</w:t>
      </w:r>
      <w:r w:rsidRPr="00DB68FB">
        <w:rPr>
          <w:rFonts w:ascii="Times New Roman" w:hAnsi="Times New Roman"/>
          <w:color w:val="000000"/>
        </w:rPr>
        <w:t xml:space="preserve"> NSCG survey target population </w:t>
      </w:r>
      <w:r>
        <w:rPr>
          <w:rFonts w:ascii="Times New Roman" w:hAnsi="Times New Roman"/>
          <w:color w:val="000000"/>
        </w:rPr>
        <w:t xml:space="preserve">includes </w:t>
      </w:r>
      <w:r w:rsidRPr="00DB68FB">
        <w:rPr>
          <w:rFonts w:ascii="Times New Roman" w:hAnsi="Times New Roman"/>
          <w:color w:val="000000"/>
        </w:rPr>
        <w:t xml:space="preserve">all U.S. residents under age 76 with at least a bachelor’s degree </w:t>
      </w:r>
      <w:r>
        <w:rPr>
          <w:rFonts w:ascii="Times New Roman" w:hAnsi="Times New Roman"/>
          <w:color w:val="000000"/>
        </w:rPr>
        <w:t>prior to</w:t>
      </w:r>
      <w:r w:rsidRPr="00DB68FB">
        <w:rPr>
          <w:rFonts w:ascii="Times New Roman" w:hAnsi="Times New Roman"/>
          <w:color w:val="000000"/>
        </w:rPr>
        <w:t xml:space="preserve"> January 1, 201</w:t>
      </w:r>
      <w:r>
        <w:rPr>
          <w:rFonts w:ascii="Times New Roman" w:hAnsi="Times New Roman"/>
          <w:color w:val="000000"/>
        </w:rPr>
        <w:t>8</w:t>
      </w:r>
      <w:r w:rsidRPr="00DB68FB">
        <w:rPr>
          <w:rFonts w:ascii="Times New Roman" w:hAnsi="Times New Roman"/>
          <w:color w:val="000000"/>
        </w:rPr>
        <w:t xml:space="preserve">.  The new sample </w:t>
      </w:r>
      <w:r>
        <w:rPr>
          <w:rFonts w:ascii="Times New Roman" w:hAnsi="Times New Roman"/>
          <w:color w:val="000000"/>
        </w:rPr>
        <w:t xml:space="preserve">portion of the 2019 NSCG </w:t>
      </w:r>
      <w:r w:rsidRPr="00DB68FB">
        <w:rPr>
          <w:rFonts w:ascii="Times New Roman" w:hAnsi="Times New Roman"/>
          <w:color w:val="000000"/>
        </w:rPr>
        <w:t xml:space="preserve">will provide complete coverage of this target population.  The </w:t>
      </w:r>
      <w:r>
        <w:rPr>
          <w:rFonts w:ascii="Times New Roman" w:hAnsi="Times New Roman"/>
          <w:color w:val="000000"/>
        </w:rPr>
        <w:t xml:space="preserve">returning </w:t>
      </w:r>
      <w:r w:rsidRPr="00DB68FB">
        <w:rPr>
          <w:rFonts w:ascii="Times New Roman" w:hAnsi="Times New Roman"/>
          <w:color w:val="000000"/>
        </w:rPr>
        <w:t xml:space="preserve">sample, on the other hand, will provide only partial coverage of the </w:t>
      </w:r>
      <w:r>
        <w:rPr>
          <w:rFonts w:ascii="Times New Roman" w:hAnsi="Times New Roman"/>
          <w:color w:val="000000"/>
        </w:rPr>
        <w:t xml:space="preserve">2019 NSCG </w:t>
      </w:r>
      <w:r w:rsidRPr="00DB68FB">
        <w:rPr>
          <w:rFonts w:ascii="Times New Roman" w:hAnsi="Times New Roman"/>
          <w:color w:val="000000"/>
        </w:rPr>
        <w:t xml:space="preserve">target </w:t>
      </w:r>
      <w:r>
        <w:rPr>
          <w:rFonts w:ascii="Times New Roman" w:hAnsi="Times New Roman"/>
          <w:color w:val="000000"/>
        </w:rPr>
        <w:t xml:space="preserve">population.  Specifically, the returning sample </w:t>
      </w:r>
      <w:r w:rsidRPr="00DB68FB">
        <w:rPr>
          <w:rFonts w:ascii="Times New Roman" w:hAnsi="Times New Roman"/>
          <w:color w:val="000000"/>
        </w:rPr>
        <w:t>will cover the population of U.S. residents</w:t>
      </w:r>
      <w:r>
        <w:rPr>
          <w:rFonts w:ascii="Times New Roman" w:hAnsi="Times New Roman"/>
          <w:color w:val="000000"/>
        </w:rPr>
        <w:t xml:space="preserve"> under age 76 </w:t>
      </w:r>
      <w:r w:rsidRPr="00DB68FB">
        <w:rPr>
          <w:rFonts w:ascii="Times New Roman" w:hAnsi="Times New Roman"/>
          <w:color w:val="000000"/>
        </w:rPr>
        <w:t xml:space="preserve">with at least a bachelor’s degree </w:t>
      </w:r>
      <w:r>
        <w:rPr>
          <w:rFonts w:ascii="Times New Roman" w:hAnsi="Times New Roman"/>
          <w:color w:val="000000"/>
        </w:rPr>
        <w:t>prior to</w:t>
      </w:r>
      <w:r w:rsidRPr="00DB68FB">
        <w:rPr>
          <w:rFonts w:ascii="Times New Roman" w:hAnsi="Times New Roman"/>
          <w:color w:val="000000"/>
        </w:rPr>
        <w:t xml:space="preserve"> January 1, 20</w:t>
      </w:r>
      <w:r>
        <w:rPr>
          <w:rFonts w:ascii="Times New Roman" w:hAnsi="Times New Roman"/>
          <w:color w:val="000000"/>
        </w:rPr>
        <w:t>16</w:t>
      </w:r>
      <w:r w:rsidRPr="00DB68FB">
        <w:rPr>
          <w:rFonts w:ascii="Times New Roman" w:hAnsi="Times New Roman"/>
          <w:color w:val="000000"/>
        </w:rPr>
        <w:t xml:space="preserve">.  </w:t>
      </w:r>
      <w:r>
        <w:t xml:space="preserve">The </w:t>
      </w:r>
      <w:r w:rsidR="007C15ED">
        <w:t>returning sample</w:t>
      </w:r>
      <w:r>
        <w:t xml:space="preserve"> also does not include recent immigrants who have come to the country since 2015.</w:t>
      </w:r>
    </w:p>
    <w:p w14:paraId="72D97FF3" w14:textId="77777777" w:rsidR="0051648D" w:rsidRPr="00DB68FB" w:rsidRDefault="0051648D" w:rsidP="0051648D">
      <w:pPr>
        <w:ind w:left="0"/>
        <w:rPr>
          <w:rFonts w:ascii="Times New Roman" w:hAnsi="Times New Roman"/>
        </w:rPr>
      </w:pPr>
    </w:p>
    <w:p w14:paraId="1D0E74C1" w14:textId="72AD9ED6" w:rsidR="0051648D" w:rsidRPr="00DB68FB" w:rsidRDefault="0051648D" w:rsidP="0051648D">
      <w:pPr>
        <w:ind w:left="0"/>
        <w:rPr>
          <w:rFonts w:ascii="Times New Roman" w:hAnsi="Times New Roman"/>
          <w:color w:val="000000"/>
        </w:rPr>
      </w:pPr>
      <w:r w:rsidRPr="00DB68FB">
        <w:rPr>
          <w:rFonts w:ascii="Times New Roman" w:hAnsi="Times New Roman"/>
          <w:color w:val="000000"/>
        </w:rPr>
        <w:t xml:space="preserve">There are several advantages of this rotating panel sample design.  It: </w:t>
      </w:r>
      <w:r w:rsidR="009E64DE">
        <w:rPr>
          <w:rFonts w:ascii="Times New Roman" w:hAnsi="Times New Roman"/>
          <w:color w:val="000000"/>
        </w:rPr>
        <w:t>1</w:t>
      </w:r>
      <w:r w:rsidRPr="00DB68FB">
        <w:rPr>
          <w:rFonts w:ascii="Times New Roman" w:hAnsi="Times New Roman"/>
          <w:color w:val="000000"/>
        </w:rPr>
        <w:t>) permit</w:t>
      </w:r>
      <w:r>
        <w:rPr>
          <w:rFonts w:ascii="Times New Roman" w:hAnsi="Times New Roman"/>
          <w:color w:val="000000"/>
        </w:rPr>
        <w:t>s</w:t>
      </w:r>
      <w:r w:rsidRPr="00DB68FB">
        <w:rPr>
          <w:rFonts w:ascii="Times New Roman" w:hAnsi="Times New Roman"/>
          <w:color w:val="000000"/>
        </w:rPr>
        <w:t xml:space="preserve"> benchmarking of estimates to population totals derived from the sample using </w:t>
      </w:r>
      <w:r>
        <w:rPr>
          <w:rFonts w:ascii="Times New Roman" w:hAnsi="Times New Roman"/>
          <w:color w:val="000000"/>
        </w:rPr>
        <w:t xml:space="preserve">the </w:t>
      </w:r>
      <w:r w:rsidRPr="00DB68FB">
        <w:rPr>
          <w:rFonts w:ascii="Times New Roman" w:hAnsi="Times New Roman"/>
          <w:color w:val="000000"/>
        </w:rPr>
        <w:t xml:space="preserve">ACS; </w:t>
      </w:r>
      <w:r w:rsidR="009E64DE">
        <w:rPr>
          <w:rFonts w:ascii="Times New Roman" w:hAnsi="Times New Roman"/>
          <w:color w:val="000000"/>
        </w:rPr>
        <w:t>2</w:t>
      </w:r>
      <w:r w:rsidRPr="00DB68FB">
        <w:rPr>
          <w:rFonts w:ascii="Times New Roman" w:hAnsi="Times New Roman"/>
          <w:color w:val="000000"/>
        </w:rPr>
        <w:t>) maintain</w:t>
      </w:r>
      <w:r>
        <w:rPr>
          <w:rFonts w:ascii="Times New Roman" w:hAnsi="Times New Roman"/>
          <w:color w:val="000000"/>
        </w:rPr>
        <w:t>s</w:t>
      </w:r>
      <w:r w:rsidRPr="00DB68FB">
        <w:rPr>
          <w:rFonts w:ascii="Times New Roman" w:hAnsi="Times New Roman"/>
          <w:color w:val="000000"/>
        </w:rPr>
        <w:t xml:space="preserve"> the sample sizes of </w:t>
      </w:r>
      <w:r w:rsidR="009E64DE">
        <w:rPr>
          <w:rFonts w:ascii="Times New Roman" w:hAnsi="Times New Roman"/>
          <w:color w:val="000000"/>
        </w:rPr>
        <w:t xml:space="preserve">and allows cross-sectional estimation for </w:t>
      </w:r>
      <w:r w:rsidRPr="00DB68FB">
        <w:rPr>
          <w:rFonts w:ascii="Times New Roman" w:hAnsi="Times New Roman"/>
          <w:color w:val="000000"/>
        </w:rPr>
        <w:t>small populations of scientists and engineers of great interest such as underrepresented minorities, persons with disabilities</w:t>
      </w:r>
      <w:r>
        <w:rPr>
          <w:rFonts w:ascii="Times New Roman" w:hAnsi="Times New Roman"/>
          <w:color w:val="000000"/>
        </w:rPr>
        <w:t>,</w:t>
      </w:r>
      <w:r w:rsidRPr="00DB68FB">
        <w:rPr>
          <w:rFonts w:ascii="Times New Roman" w:hAnsi="Times New Roman"/>
          <w:color w:val="000000"/>
        </w:rPr>
        <w:t xml:space="preserve"> and non</w:t>
      </w:r>
      <w:r w:rsidR="007C253F">
        <w:rPr>
          <w:rFonts w:ascii="Times New Roman" w:hAnsi="Times New Roman"/>
          <w:color w:val="000000"/>
        </w:rPr>
        <w:t>-</w:t>
      </w:r>
      <w:r w:rsidRPr="00DB68FB">
        <w:rPr>
          <w:rFonts w:ascii="Times New Roman" w:hAnsi="Times New Roman"/>
          <w:color w:val="000000"/>
        </w:rPr>
        <w:t xml:space="preserve">U.S. citizens; </w:t>
      </w:r>
      <w:r w:rsidR="009E64DE">
        <w:rPr>
          <w:rFonts w:ascii="Times New Roman" w:hAnsi="Times New Roman"/>
          <w:color w:val="000000"/>
        </w:rPr>
        <w:t>3</w:t>
      </w:r>
      <w:r w:rsidRPr="00DB68FB">
        <w:rPr>
          <w:rFonts w:ascii="Times New Roman" w:hAnsi="Times New Roman"/>
          <w:color w:val="000000"/>
        </w:rPr>
        <w:t>) provide</w:t>
      </w:r>
      <w:r>
        <w:rPr>
          <w:rFonts w:ascii="Times New Roman" w:hAnsi="Times New Roman"/>
          <w:color w:val="000000"/>
        </w:rPr>
        <w:t>s</w:t>
      </w:r>
      <w:r w:rsidRPr="00DB68FB">
        <w:rPr>
          <w:rFonts w:ascii="Times New Roman" w:hAnsi="Times New Roman"/>
          <w:color w:val="000000"/>
        </w:rPr>
        <w:t xml:space="preserve"> an oversample of young graduates to allow continued detailed estimation of the recent college graduates population</w:t>
      </w:r>
      <w:r w:rsidR="009E64DE">
        <w:rPr>
          <w:rFonts w:ascii="Times New Roman" w:hAnsi="Times New Roman"/>
          <w:color w:val="000000"/>
        </w:rPr>
        <w:t>; and 4</w:t>
      </w:r>
      <w:r w:rsidR="009E64DE" w:rsidRPr="00DB68FB">
        <w:rPr>
          <w:rFonts w:ascii="Times New Roman" w:hAnsi="Times New Roman"/>
          <w:color w:val="000000"/>
        </w:rPr>
        <w:t>) permit</w:t>
      </w:r>
      <w:r w:rsidR="009E64DE">
        <w:rPr>
          <w:rFonts w:ascii="Times New Roman" w:hAnsi="Times New Roman"/>
          <w:color w:val="000000"/>
        </w:rPr>
        <w:t>s</w:t>
      </w:r>
      <w:r w:rsidR="009E64DE" w:rsidRPr="00DB68FB">
        <w:rPr>
          <w:rFonts w:ascii="Times New Roman" w:hAnsi="Times New Roman"/>
          <w:color w:val="000000"/>
        </w:rPr>
        <w:t xml:space="preserve"> longitudinal analysis of the retained cases from the </w:t>
      </w:r>
      <w:r w:rsidR="009E64DE">
        <w:rPr>
          <w:rFonts w:ascii="Times New Roman" w:hAnsi="Times New Roman"/>
          <w:color w:val="000000"/>
        </w:rPr>
        <w:t>ACS</w:t>
      </w:r>
      <w:r w:rsidR="009E64DE" w:rsidRPr="00DB68FB">
        <w:rPr>
          <w:rFonts w:ascii="Times New Roman" w:hAnsi="Times New Roman"/>
          <w:color w:val="000000"/>
        </w:rPr>
        <w:t>-based sample</w:t>
      </w:r>
      <w:r w:rsidRPr="00DB68FB">
        <w:rPr>
          <w:rFonts w:ascii="Times New Roman" w:hAnsi="Times New Roman"/>
          <w:color w:val="000000"/>
        </w:rPr>
        <w:t xml:space="preserve">. </w:t>
      </w:r>
    </w:p>
    <w:p w14:paraId="4EA1E41B" w14:textId="77777777" w:rsidR="0051648D" w:rsidRPr="00DB68FB" w:rsidRDefault="0051648D" w:rsidP="0051648D">
      <w:pPr>
        <w:ind w:left="0"/>
        <w:rPr>
          <w:rFonts w:ascii="Times New Roman" w:hAnsi="Times New Roman"/>
          <w:color w:val="000000"/>
        </w:rPr>
      </w:pPr>
    </w:p>
    <w:p w14:paraId="33B8D167" w14:textId="12AB7084" w:rsidR="0051648D" w:rsidRPr="00DB68FB" w:rsidRDefault="0051648D" w:rsidP="0051648D">
      <w:pPr>
        <w:ind w:left="0"/>
        <w:rPr>
          <w:rFonts w:ascii="Times New Roman" w:hAnsi="Times New Roman"/>
        </w:rPr>
      </w:pPr>
      <w:r>
        <w:rPr>
          <w:rFonts w:ascii="Times New Roman" w:hAnsi="Times New Roman"/>
        </w:rPr>
        <w:t xml:space="preserve">Using the 2017 NSCG final response rates as a basis, NCSES estimates the final </w:t>
      </w:r>
      <w:r w:rsidRPr="00DB68FB">
        <w:rPr>
          <w:rFonts w:ascii="Times New Roman" w:hAnsi="Times New Roman"/>
        </w:rPr>
        <w:t xml:space="preserve">response rate for </w:t>
      </w:r>
      <w:r>
        <w:rPr>
          <w:rFonts w:ascii="Times New Roman" w:hAnsi="Times New Roman"/>
        </w:rPr>
        <w:t xml:space="preserve">the 2019 NSCG to be </w:t>
      </w:r>
      <w:r w:rsidR="00575482">
        <w:rPr>
          <w:rFonts w:ascii="Times New Roman" w:hAnsi="Times New Roman"/>
        </w:rPr>
        <w:t>70</w:t>
      </w:r>
      <w:r>
        <w:rPr>
          <w:rFonts w:ascii="Times New Roman" w:hAnsi="Times New Roman"/>
        </w:rPr>
        <w:t xml:space="preserve"> to </w:t>
      </w:r>
      <w:r w:rsidR="00575482">
        <w:rPr>
          <w:rFonts w:ascii="Times New Roman" w:hAnsi="Times New Roman"/>
        </w:rPr>
        <w:t>80</w:t>
      </w:r>
      <w:r w:rsidRPr="00DB68FB">
        <w:rPr>
          <w:rFonts w:ascii="Times New Roman" w:hAnsi="Times New Roman"/>
        </w:rPr>
        <w:t xml:space="preserve"> percent.  </w:t>
      </w:r>
    </w:p>
    <w:p w14:paraId="60830488" w14:textId="77777777" w:rsidR="00670635" w:rsidRPr="00DB68FB" w:rsidRDefault="00670635" w:rsidP="00836846">
      <w:pPr>
        <w:ind w:left="0"/>
        <w:rPr>
          <w:rFonts w:ascii="Times New Roman" w:hAnsi="Times New Roman"/>
          <w:color w:val="984806" w:themeColor="accent6" w:themeShade="80"/>
        </w:rPr>
      </w:pPr>
    </w:p>
    <w:p w14:paraId="1D51BF5B" w14:textId="77777777" w:rsidR="00B776D7" w:rsidRPr="00DB68FB" w:rsidRDefault="00B776D7">
      <w:pPr>
        <w:tabs>
          <w:tab w:val="left" w:pos="0"/>
          <w:tab w:val="left" w:pos="2520"/>
        </w:tabs>
        <w:suppressAutoHyphens/>
        <w:ind w:left="0"/>
        <w:rPr>
          <w:rFonts w:ascii="Times New Roman" w:hAnsi="Times New Roman"/>
          <w:szCs w:val="24"/>
        </w:rPr>
      </w:pPr>
    </w:p>
    <w:p w14:paraId="6426D9C0" w14:textId="77777777" w:rsidR="00B776D7" w:rsidRPr="00DB68FB" w:rsidRDefault="00B776D7" w:rsidP="00AC278D">
      <w:pPr>
        <w:pStyle w:val="Heading2"/>
        <w:numPr>
          <w:ilvl w:val="0"/>
          <w:numId w:val="4"/>
        </w:numPr>
        <w:tabs>
          <w:tab w:val="clear" w:pos="1440"/>
          <w:tab w:val="num" w:pos="0"/>
          <w:tab w:val="left" w:pos="720"/>
          <w:tab w:val="left" w:pos="2520"/>
        </w:tabs>
        <w:spacing w:before="0" w:after="0"/>
        <w:ind w:left="0" w:firstLine="0"/>
        <w:rPr>
          <w:szCs w:val="24"/>
        </w:rPr>
      </w:pPr>
      <w:bookmarkStart w:id="11" w:name="_Toc257283597"/>
      <w:bookmarkStart w:id="12" w:name="_Toc536767275"/>
      <w:r w:rsidRPr="00DB68FB">
        <w:rPr>
          <w:szCs w:val="24"/>
        </w:rPr>
        <w:t>SURVEY METHODOLOGY</w:t>
      </w:r>
      <w:bookmarkEnd w:id="11"/>
      <w:bookmarkEnd w:id="12"/>
    </w:p>
    <w:p w14:paraId="417C96D5" w14:textId="77777777" w:rsidR="00B776D7" w:rsidRDefault="00B776D7">
      <w:pPr>
        <w:tabs>
          <w:tab w:val="left" w:pos="2520"/>
        </w:tabs>
        <w:autoSpaceDE w:val="0"/>
        <w:autoSpaceDN w:val="0"/>
        <w:adjustRightInd w:val="0"/>
        <w:ind w:left="0"/>
        <w:rPr>
          <w:rFonts w:ascii="Times New Roman" w:hAnsi="Times New Roman"/>
          <w:color w:val="000000"/>
          <w:szCs w:val="24"/>
        </w:rPr>
      </w:pPr>
    </w:p>
    <w:p w14:paraId="3D55EA6E" w14:textId="77777777" w:rsidR="000F63E8" w:rsidRPr="003E474F" w:rsidRDefault="000F63E8" w:rsidP="000F63E8">
      <w:pPr>
        <w:tabs>
          <w:tab w:val="left" w:pos="2520"/>
        </w:tabs>
        <w:autoSpaceDE w:val="0"/>
        <w:autoSpaceDN w:val="0"/>
        <w:adjustRightInd w:val="0"/>
        <w:ind w:left="0"/>
        <w:rPr>
          <w:rFonts w:ascii="Times New Roman" w:hAnsi="Times New Roman"/>
          <w:b/>
          <w:color w:val="000000"/>
          <w:szCs w:val="24"/>
        </w:rPr>
      </w:pPr>
      <w:r w:rsidRPr="003E474F">
        <w:rPr>
          <w:rFonts w:ascii="Times New Roman" w:hAnsi="Times New Roman"/>
          <w:b/>
          <w:color w:val="000000"/>
          <w:szCs w:val="24"/>
        </w:rPr>
        <w:t>Sample Design and Selection</w:t>
      </w:r>
    </w:p>
    <w:p w14:paraId="240F4CB6" w14:textId="77777777" w:rsidR="000F63E8" w:rsidRDefault="000F63E8" w:rsidP="000F63E8">
      <w:pPr>
        <w:ind w:left="0"/>
        <w:rPr>
          <w:rFonts w:ascii="Times New Roman" w:hAnsi="Times New Roman"/>
        </w:rPr>
      </w:pPr>
      <w:r>
        <w:rPr>
          <w:rFonts w:ascii="Times New Roman" w:hAnsi="Times New Roman"/>
        </w:rPr>
        <w:t>As part of the 2019 NSCG sample selection, t</w:t>
      </w:r>
      <w:r w:rsidRPr="00DB68FB">
        <w:rPr>
          <w:rFonts w:ascii="Times New Roman" w:hAnsi="Times New Roman"/>
        </w:rPr>
        <w:t xml:space="preserve">he </w:t>
      </w:r>
      <w:r>
        <w:rPr>
          <w:rFonts w:ascii="Times New Roman" w:hAnsi="Times New Roman"/>
        </w:rPr>
        <w:t xml:space="preserve">returning sample portion of the </w:t>
      </w:r>
      <w:r w:rsidRPr="00DB68FB">
        <w:rPr>
          <w:rFonts w:ascii="Times New Roman" w:hAnsi="Times New Roman"/>
        </w:rPr>
        <w:t xml:space="preserve">NSCG </w:t>
      </w:r>
      <w:r>
        <w:rPr>
          <w:rFonts w:ascii="Times New Roman" w:hAnsi="Times New Roman"/>
        </w:rPr>
        <w:t xml:space="preserve">sampling </w:t>
      </w:r>
      <w:r w:rsidRPr="00DB68FB">
        <w:rPr>
          <w:rFonts w:ascii="Times New Roman" w:hAnsi="Times New Roman"/>
        </w:rPr>
        <w:t xml:space="preserve">frame will be sampled separately from the new </w:t>
      </w:r>
      <w:r>
        <w:rPr>
          <w:rFonts w:ascii="Times New Roman" w:hAnsi="Times New Roman"/>
        </w:rPr>
        <w:t xml:space="preserve">sample portion. </w:t>
      </w:r>
    </w:p>
    <w:p w14:paraId="79FEB848" w14:textId="77777777" w:rsidR="000F63E8" w:rsidRDefault="000F63E8" w:rsidP="000F63E8">
      <w:pPr>
        <w:ind w:left="0"/>
        <w:rPr>
          <w:rFonts w:ascii="Times New Roman" w:hAnsi="Times New Roman"/>
        </w:rPr>
      </w:pPr>
    </w:p>
    <w:p w14:paraId="3BF09E03" w14:textId="4952F829" w:rsidR="000F63E8" w:rsidRDefault="000F63E8" w:rsidP="000F63E8">
      <w:pPr>
        <w:ind w:left="0"/>
        <w:rPr>
          <w:rFonts w:ascii="Times New Roman" w:hAnsi="Times New Roman"/>
        </w:rPr>
      </w:pPr>
      <w:r>
        <w:rPr>
          <w:rFonts w:ascii="Times New Roman" w:hAnsi="Times New Roman"/>
        </w:rPr>
        <w:t xml:space="preserve">The 2019 NSCG returning sample will be selected with certainty from the eligible cases on the returning sampling frame.  </w:t>
      </w:r>
    </w:p>
    <w:p w14:paraId="18EABCAC" w14:textId="77777777" w:rsidR="000F63E8" w:rsidRDefault="000F63E8" w:rsidP="000F63E8">
      <w:pPr>
        <w:ind w:left="0"/>
        <w:rPr>
          <w:rFonts w:ascii="Times New Roman" w:hAnsi="Times New Roman"/>
        </w:rPr>
      </w:pPr>
      <w:r>
        <w:rPr>
          <w:rFonts w:ascii="Times New Roman" w:hAnsi="Times New Roman"/>
        </w:rPr>
        <w:t xml:space="preserve">  </w:t>
      </w:r>
    </w:p>
    <w:p w14:paraId="0054D553" w14:textId="77777777" w:rsidR="000F63E8" w:rsidRDefault="000F63E8" w:rsidP="000F63E8">
      <w:pPr>
        <w:ind w:left="0"/>
        <w:rPr>
          <w:rFonts w:ascii="Times New Roman" w:hAnsi="Times New Roman"/>
        </w:rPr>
      </w:pPr>
      <w:r w:rsidRPr="00DB68FB">
        <w:rPr>
          <w:rFonts w:ascii="Times New Roman" w:hAnsi="Times New Roman"/>
        </w:rPr>
        <w:t>The</w:t>
      </w:r>
      <w:r>
        <w:rPr>
          <w:rFonts w:ascii="Times New Roman" w:hAnsi="Times New Roman"/>
        </w:rPr>
        <w:t xml:space="preserve"> sample selection for the</w:t>
      </w:r>
      <w:r w:rsidRPr="00DB68FB">
        <w:rPr>
          <w:rFonts w:ascii="Times New Roman" w:hAnsi="Times New Roman"/>
        </w:rPr>
        <w:t xml:space="preserve"> </w:t>
      </w:r>
      <w:r>
        <w:rPr>
          <w:rFonts w:ascii="Times New Roman" w:hAnsi="Times New Roman"/>
        </w:rPr>
        <w:t xml:space="preserve">2019 NSCG </w:t>
      </w:r>
      <w:r w:rsidRPr="00DB68FB">
        <w:rPr>
          <w:rFonts w:ascii="Times New Roman" w:hAnsi="Times New Roman"/>
        </w:rPr>
        <w:t xml:space="preserve">new </w:t>
      </w:r>
      <w:r>
        <w:rPr>
          <w:rFonts w:ascii="Times New Roman" w:hAnsi="Times New Roman"/>
        </w:rPr>
        <w:t xml:space="preserve">sample </w:t>
      </w:r>
      <w:r w:rsidRPr="00DB68FB">
        <w:rPr>
          <w:rFonts w:ascii="Times New Roman" w:hAnsi="Times New Roman"/>
        </w:rPr>
        <w:t>will use stratification variables similar to wha</w:t>
      </w:r>
      <w:r>
        <w:rPr>
          <w:rFonts w:ascii="Times New Roman" w:hAnsi="Times New Roman"/>
        </w:rPr>
        <w:t>t was used in the 2017 NSCG</w:t>
      </w:r>
      <w:r w:rsidRPr="00DB68FB">
        <w:rPr>
          <w:rFonts w:ascii="Times New Roman" w:hAnsi="Times New Roman"/>
        </w:rPr>
        <w:t>.</w:t>
      </w:r>
      <w:r>
        <w:rPr>
          <w:rFonts w:ascii="Times New Roman" w:hAnsi="Times New Roman"/>
        </w:rPr>
        <w:t xml:space="preserve">  These stratification variables will be formed using response information from the 2017 ACS.</w:t>
      </w:r>
      <w:r w:rsidRPr="00DB68FB">
        <w:rPr>
          <w:rFonts w:ascii="Times New Roman" w:hAnsi="Times New Roman"/>
        </w:rPr>
        <w:t xml:space="preserve">  The </w:t>
      </w:r>
      <w:r>
        <w:rPr>
          <w:rFonts w:ascii="Times New Roman" w:hAnsi="Times New Roman"/>
        </w:rPr>
        <w:t>levels of the 2019</w:t>
      </w:r>
      <w:r w:rsidRPr="00DB68FB">
        <w:rPr>
          <w:rFonts w:ascii="Times New Roman" w:hAnsi="Times New Roman"/>
        </w:rPr>
        <w:t xml:space="preserve"> NSCG new </w:t>
      </w:r>
      <w:r>
        <w:rPr>
          <w:rFonts w:ascii="Times New Roman" w:hAnsi="Times New Roman"/>
        </w:rPr>
        <w:t>sample</w:t>
      </w:r>
      <w:r w:rsidRPr="00DB68FB">
        <w:rPr>
          <w:rFonts w:ascii="Times New Roman" w:hAnsi="Times New Roman"/>
        </w:rPr>
        <w:t xml:space="preserve"> </w:t>
      </w:r>
      <w:r>
        <w:rPr>
          <w:rFonts w:ascii="Times New Roman" w:hAnsi="Times New Roman"/>
        </w:rPr>
        <w:t>stratification variables are as follows:</w:t>
      </w:r>
      <w:r w:rsidRPr="00DB68FB">
        <w:rPr>
          <w:rFonts w:ascii="Times New Roman" w:hAnsi="Times New Roman"/>
        </w:rPr>
        <w:t xml:space="preserve"> </w:t>
      </w:r>
    </w:p>
    <w:p w14:paraId="51888587" w14:textId="77777777" w:rsidR="000F63E8" w:rsidRPr="004A63FC" w:rsidRDefault="000F63E8" w:rsidP="000F63E8">
      <w:pPr>
        <w:ind w:left="0"/>
        <w:rPr>
          <w:rFonts w:ascii="Times New Roman" w:hAnsi="Times New Roman"/>
          <w:sz w:val="20"/>
        </w:rPr>
      </w:pPr>
    </w:p>
    <w:p w14:paraId="7D77649B" w14:textId="77777777" w:rsidR="000F63E8" w:rsidRPr="001B7A62" w:rsidRDefault="000F63E8" w:rsidP="000F63E8">
      <w:pPr>
        <w:ind w:left="0" w:firstLine="360"/>
        <w:rPr>
          <w:rFonts w:ascii="Times New Roman" w:hAnsi="Times New Roman"/>
          <w:i/>
          <w:u w:val="single"/>
        </w:rPr>
      </w:pPr>
      <w:r w:rsidRPr="001B7A62">
        <w:rPr>
          <w:rFonts w:ascii="Times New Roman" w:hAnsi="Times New Roman"/>
          <w:i/>
          <w:u w:val="single"/>
        </w:rPr>
        <w:t xml:space="preserve">Highest Degree Level </w:t>
      </w:r>
    </w:p>
    <w:p w14:paraId="685B915B" w14:textId="63D58F3D" w:rsidR="000F63E8" w:rsidRDefault="003C6A5D" w:rsidP="000F63E8">
      <w:pPr>
        <w:pStyle w:val="ListParagraph"/>
        <w:numPr>
          <w:ilvl w:val="0"/>
          <w:numId w:val="16"/>
        </w:numPr>
        <w:rPr>
          <w:rFonts w:ascii="Times New Roman" w:hAnsi="Times New Roman"/>
        </w:rPr>
      </w:pPr>
      <w:r>
        <w:rPr>
          <w:rFonts w:ascii="Times New Roman" w:hAnsi="Times New Roman"/>
        </w:rPr>
        <w:t>B</w:t>
      </w:r>
      <w:r w:rsidR="000F63E8" w:rsidRPr="001215B1">
        <w:rPr>
          <w:rFonts w:ascii="Times New Roman" w:hAnsi="Times New Roman"/>
        </w:rPr>
        <w:t>achelor’s degree</w:t>
      </w:r>
      <w:r w:rsidR="000F63E8">
        <w:rPr>
          <w:rFonts w:ascii="Times New Roman" w:hAnsi="Times New Roman"/>
        </w:rPr>
        <w:t xml:space="preserve"> or </w:t>
      </w:r>
      <w:r w:rsidR="000F63E8" w:rsidRPr="001215B1">
        <w:rPr>
          <w:rFonts w:ascii="Times New Roman" w:hAnsi="Times New Roman"/>
        </w:rPr>
        <w:t>professional degree</w:t>
      </w:r>
    </w:p>
    <w:p w14:paraId="1BE4446D" w14:textId="4CDF904A" w:rsidR="000F63E8" w:rsidRDefault="003C6A5D" w:rsidP="000F63E8">
      <w:pPr>
        <w:pStyle w:val="ListParagraph"/>
        <w:numPr>
          <w:ilvl w:val="0"/>
          <w:numId w:val="16"/>
        </w:numPr>
        <w:rPr>
          <w:rFonts w:ascii="Times New Roman" w:hAnsi="Times New Roman"/>
        </w:rPr>
      </w:pPr>
      <w:r>
        <w:rPr>
          <w:rFonts w:ascii="Times New Roman" w:hAnsi="Times New Roman"/>
        </w:rPr>
        <w:t>M</w:t>
      </w:r>
      <w:r w:rsidR="000F63E8" w:rsidRPr="001215B1">
        <w:rPr>
          <w:rFonts w:ascii="Times New Roman" w:hAnsi="Times New Roman"/>
        </w:rPr>
        <w:t>aster’s degree</w:t>
      </w:r>
    </w:p>
    <w:p w14:paraId="1F21C073" w14:textId="660AA400" w:rsidR="000F63E8" w:rsidRPr="00E05733" w:rsidRDefault="003C6A5D" w:rsidP="000F63E8">
      <w:pPr>
        <w:pStyle w:val="ListParagraph"/>
        <w:numPr>
          <w:ilvl w:val="0"/>
          <w:numId w:val="16"/>
        </w:numPr>
        <w:rPr>
          <w:rFonts w:ascii="Times New Roman" w:hAnsi="Times New Roman"/>
        </w:rPr>
      </w:pPr>
      <w:r>
        <w:rPr>
          <w:rFonts w:ascii="Times New Roman" w:hAnsi="Times New Roman"/>
        </w:rPr>
        <w:t>D</w:t>
      </w:r>
      <w:r w:rsidR="000F63E8" w:rsidRPr="001215B1">
        <w:rPr>
          <w:rFonts w:ascii="Times New Roman" w:hAnsi="Times New Roman"/>
        </w:rPr>
        <w:t>octorate degree</w:t>
      </w:r>
    </w:p>
    <w:p w14:paraId="6CE0ADC1" w14:textId="77777777" w:rsidR="000F63E8" w:rsidRPr="004A63FC" w:rsidRDefault="000F63E8" w:rsidP="000F63E8">
      <w:pPr>
        <w:ind w:left="0" w:firstLine="360"/>
        <w:rPr>
          <w:rFonts w:ascii="Times New Roman" w:hAnsi="Times New Roman"/>
          <w:i/>
          <w:sz w:val="20"/>
          <w:u w:val="single"/>
        </w:rPr>
      </w:pPr>
    </w:p>
    <w:p w14:paraId="0276A4E0" w14:textId="77777777" w:rsidR="000F63E8" w:rsidRPr="001B7A62" w:rsidRDefault="000F63E8" w:rsidP="000F63E8">
      <w:pPr>
        <w:ind w:left="0" w:firstLine="360"/>
        <w:rPr>
          <w:rFonts w:ascii="Times New Roman" w:hAnsi="Times New Roman"/>
          <w:i/>
          <w:u w:val="single"/>
        </w:rPr>
      </w:pPr>
      <w:r w:rsidRPr="001B7A62">
        <w:rPr>
          <w:rFonts w:ascii="Times New Roman" w:hAnsi="Times New Roman"/>
          <w:i/>
          <w:u w:val="single"/>
        </w:rPr>
        <w:t xml:space="preserve">Occupation/Degree Field </w:t>
      </w:r>
    </w:p>
    <w:p w14:paraId="1C9FDE40" w14:textId="77777777" w:rsidR="000F63E8" w:rsidRPr="00816372" w:rsidRDefault="000F63E8" w:rsidP="000F63E8">
      <w:pPr>
        <w:ind w:left="0" w:firstLine="360"/>
        <w:rPr>
          <w:rFonts w:ascii="Times New Roman" w:hAnsi="Times New Roman"/>
          <w:i/>
        </w:rPr>
      </w:pPr>
      <w:r w:rsidRPr="00816372">
        <w:rPr>
          <w:rFonts w:ascii="Times New Roman" w:hAnsi="Times New Roman"/>
          <w:i/>
        </w:rPr>
        <w:t xml:space="preserve">A composite </w:t>
      </w:r>
      <w:r>
        <w:rPr>
          <w:rFonts w:ascii="Times New Roman" w:hAnsi="Times New Roman"/>
          <w:i/>
        </w:rPr>
        <w:t xml:space="preserve">variable </w:t>
      </w:r>
      <w:r w:rsidRPr="00816372">
        <w:rPr>
          <w:rFonts w:ascii="Times New Roman" w:hAnsi="Times New Roman"/>
          <w:i/>
        </w:rPr>
        <w:t>composed of occupation and bachelor’s degree field of study</w:t>
      </w:r>
    </w:p>
    <w:p w14:paraId="3C1DEB8F" w14:textId="57D5545E" w:rsidR="000F63E8" w:rsidRDefault="000F63E8" w:rsidP="000F63E8">
      <w:pPr>
        <w:pStyle w:val="ListParagraph"/>
        <w:numPr>
          <w:ilvl w:val="0"/>
          <w:numId w:val="16"/>
        </w:numPr>
        <w:rPr>
          <w:rFonts w:ascii="Times New Roman" w:hAnsi="Times New Roman"/>
        </w:rPr>
      </w:pPr>
      <w:r>
        <w:rPr>
          <w:rFonts w:ascii="Times New Roman" w:hAnsi="Times New Roman"/>
        </w:rPr>
        <w:t>Mathematician</w:t>
      </w:r>
      <w:r w:rsidR="005175D2">
        <w:rPr>
          <w:rFonts w:ascii="Times New Roman" w:hAnsi="Times New Roman"/>
        </w:rPr>
        <w:t>s</w:t>
      </w:r>
    </w:p>
    <w:p w14:paraId="62E2A12B" w14:textId="77777777" w:rsidR="000F63E8" w:rsidRDefault="000F63E8" w:rsidP="000F63E8">
      <w:pPr>
        <w:pStyle w:val="ListParagraph"/>
        <w:numPr>
          <w:ilvl w:val="0"/>
          <w:numId w:val="16"/>
        </w:numPr>
        <w:rPr>
          <w:rFonts w:ascii="Times New Roman" w:hAnsi="Times New Roman"/>
        </w:rPr>
      </w:pPr>
      <w:r>
        <w:rPr>
          <w:rFonts w:ascii="Times New Roman" w:hAnsi="Times New Roman"/>
        </w:rPr>
        <w:t>Computer Scientists</w:t>
      </w:r>
    </w:p>
    <w:p w14:paraId="2B4DCEC1" w14:textId="77777777" w:rsidR="000F63E8" w:rsidRDefault="000F63E8" w:rsidP="000F63E8">
      <w:pPr>
        <w:pStyle w:val="ListParagraph"/>
        <w:numPr>
          <w:ilvl w:val="0"/>
          <w:numId w:val="16"/>
        </w:numPr>
        <w:rPr>
          <w:rFonts w:ascii="Times New Roman" w:hAnsi="Times New Roman"/>
        </w:rPr>
      </w:pPr>
      <w:r>
        <w:rPr>
          <w:rFonts w:ascii="Times New Roman" w:hAnsi="Times New Roman"/>
        </w:rPr>
        <w:t>Biological/Medical Scientists</w:t>
      </w:r>
    </w:p>
    <w:p w14:paraId="63019DAD" w14:textId="77777777" w:rsidR="000F63E8" w:rsidRDefault="000F63E8" w:rsidP="000F63E8">
      <w:pPr>
        <w:pStyle w:val="ListParagraph"/>
        <w:numPr>
          <w:ilvl w:val="0"/>
          <w:numId w:val="16"/>
        </w:numPr>
        <w:rPr>
          <w:rFonts w:ascii="Times New Roman" w:hAnsi="Times New Roman"/>
        </w:rPr>
      </w:pPr>
      <w:r>
        <w:rPr>
          <w:rFonts w:ascii="Times New Roman" w:hAnsi="Times New Roman"/>
        </w:rPr>
        <w:t>Agricultural and Other Life Scientists</w:t>
      </w:r>
    </w:p>
    <w:p w14:paraId="500ACE56" w14:textId="77777777" w:rsidR="000F63E8" w:rsidRDefault="000F63E8" w:rsidP="000F63E8">
      <w:pPr>
        <w:pStyle w:val="ListParagraph"/>
        <w:numPr>
          <w:ilvl w:val="0"/>
          <w:numId w:val="16"/>
        </w:numPr>
        <w:rPr>
          <w:rFonts w:ascii="Times New Roman" w:hAnsi="Times New Roman"/>
        </w:rPr>
      </w:pPr>
      <w:r>
        <w:rPr>
          <w:rFonts w:ascii="Times New Roman" w:hAnsi="Times New Roman"/>
        </w:rPr>
        <w:t>Chemists</w:t>
      </w:r>
    </w:p>
    <w:p w14:paraId="499AA6F0" w14:textId="77777777" w:rsidR="000F63E8" w:rsidRDefault="000F63E8" w:rsidP="000F63E8">
      <w:pPr>
        <w:pStyle w:val="ListParagraph"/>
        <w:numPr>
          <w:ilvl w:val="0"/>
          <w:numId w:val="16"/>
        </w:numPr>
        <w:rPr>
          <w:rFonts w:ascii="Times New Roman" w:hAnsi="Times New Roman"/>
        </w:rPr>
      </w:pPr>
      <w:r>
        <w:rPr>
          <w:rFonts w:ascii="Times New Roman" w:hAnsi="Times New Roman"/>
        </w:rPr>
        <w:t>Physicists and Other Physical Scientists</w:t>
      </w:r>
    </w:p>
    <w:p w14:paraId="4D031C07" w14:textId="77777777" w:rsidR="000F63E8" w:rsidRDefault="000F63E8" w:rsidP="000F63E8">
      <w:pPr>
        <w:pStyle w:val="ListParagraph"/>
        <w:numPr>
          <w:ilvl w:val="0"/>
          <w:numId w:val="16"/>
        </w:numPr>
        <w:rPr>
          <w:rFonts w:ascii="Times New Roman" w:hAnsi="Times New Roman"/>
        </w:rPr>
      </w:pPr>
      <w:r>
        <w:rPr>
          <w:rFonts w:ascii="Times New Roman" w:hAnsi="Times New Roman"/>
        </w:rPr>
        <w:t>Economists</w:t>
      </w:r>
    </w:p>
    <w:p w14:paraId="0B572664" w14:textId="77777777" w:rsidR="000F63E8" w:rsidRDefault="000F63E8" w:rsidP="000F63E8">
      <w:pPr>
        <w:pStyle w:val="ListParagraph"/>
        <w:numPr>
          <w:ilvl w:val="0"/>
          <w:numId w:val="16"/>
        </w:numPr>
        <w:rPr>
          <w:rFonts w:ascii="Times New Roman" w:hAnsi="Times New Roman"/>
        </w:rPr>
      </w:pPr>
      <w:r>
        <w:rPr>
          <w:rFonts w:ascii="Times New Roman" w:hAnsi="Times New Roman"/>
        </w:rPr>
        <w:t>Social Scientists</w:t>
      </w:r>
    </w:p>
    <w:p w14:paraId="296888BF" w14:textId="77777777" w:rsidR="000F63E8" w:rsidRDefault="000F63E8" w:rsidP="000F63E8">
      <w:pPr>
        <w:pStyle w:val="ListParagraph"/>
        <w:numPr>
          <w:ilvl w:val="0"/>
          <w:numId w:val="16"/>
        </w:numPr>
        <w:rPr>
          <w:rFonts w:ascii="Times New Roman" w:hAnsi="Times New Roman"/>
        </w:rPr>
      </w:pPr>
      <w:r>
        <w:rPr>
          <w:rFonts w:ascii="Times New Roman" w:hAnsi="Times New Roman"/>
        </w:rPr>
        <w:t>Psychologists</w:t>
      </w:r>
    </w:p>
    <w:p w14:paraId="2A52C6A1" w14:textId="77777777" w:rsidR="000F63E8" w:rsidRDefault="000F63E8" w:rsidP="000F63E8">
      <w:pPr>
        <w:pStyle w:val="ListParagraph"/>
        <w:numPr>
          <w:ilvl w:val="0"/>
          <w:numId w:val="16"/>
        </w:numPr>
        <w:rPr>
          <w:rFonts w:ascii="Times New Roman" w:hAnsi="Times New Roman"/>
        </w:rPr>
      </w:pPr>
      <w:r>
        <w:rPr>
          <w:rFonts w:ascii="Times New Roman" w:hAnsi="Times New Roman"/>
        </w:rPr>
        <w:t>Chemical Engineers</w:t>
      </w:r>
    </w:p>
    <w:p w14:paraId="449ACDA7" w14:textId="77777777" w:rsidR="000F63E8" w:rsidRDefault="000F63E8" w:rsidP="000F63E8">
      <w:pPr>
        <w:pStyle w:val="ListParagraph"/>
        <w:numPr>
          <w:ilvl w:val="0"/>
          <w:numId w:val="16"/>
        </w:numPr>
        <w:rPr>
          <w:rFonts w:ascii="Times New Roman" w:hAnsi="Times New Roman"/>
        </w:rPr>
      </w:pPr>
      <w:r>
        <w:rPr>
          <w:rFonts w:ascii="Times New Roman" w:hAnsi="Times New Roman"/>
        </w:rPr>
        <w:t>Civil and Architectural Engineers</w:t>
      </w:r>
    </w:p>
    <w:p w14:paraId="01D05E3B" w14:textId="77777777" w:rsidR="000F63E8" w:rsidRDefault="000F63E8" w:rsidP="000F63E8">
      <w:pPr>
        <w:pStyle w:val="ListParagraph"/>
        <w:numPr>
          <w:ilvl w:val="0"/>
          <w:numId w:val="16"/>
        </w:numPr>
        <w:rPr>
          <w:rFonts w:ascii="Times New Roman" w:hAnsi="Times New Roman"/>
        </w:rPr>
      </w:pPr>
      <w:r>
        <w:rPr>
          <w:rFonts w:ascii="Times New Roman" w:hAnsi="Times New Roman"/>
        </w:rPr>
        <w:t>Electrical Engineers</w:t>
      </w:r>
    </w:p>
    <w:p w14:paraId="31BBB9C1" w14:textId="77777777" w:rsidR="000F63E8" w:rsidRDefault="000F63E8" w:rsidP="000F63E8">
      <w:pPr>
        <w:pStyle w:val="ListParagraph"/>
        <w:numPr>
          <w:ilvl w:val="0"/>
          <w:numId w:val="16"/>
        </w:numPr>
        <w:rPr>
          <w:rFonts w:ascii="Times New Roman" w:hAnsi="Times New Roman"/>
        </w:rPr>
      </w:pPr>
      <w:r>
        <w:rPr>
          <w:rFonts w:ascii="Times New Roman" w:hAnsi="Times New Roman"/>
        </w:rPr>
        <w:t>Mechanical Engineers</w:t>
      </w:r>
    </w:p>
    <w:p w14:paraId="09D1DD10" w14:textId="77777777" w:rsidR="000F63E8" w:rsidRDefault="000F63E8" w:rsidP="000F63E8">
      <w:pPr>
        <w:pStyle w:val="ListParagraph"/>
        <w:numPr>
          <w:ilvl w:val="0"/>
          <w:numId w:val="16"/>
        </w:numPr>
        <w:rPr>
          <w:rFonts w:ascii="Times New Roman" w:hAnsi="Times New Roman"/>
        </w:rPr>
      </w:pPr>
      <w:r>
        <w:rPr>
          <w:rFonts w:ascii="Times New Roman" w:hAnsi="Times New Roman"/>
        </w:rPr>
        <w:t>Other Engineers</w:t>
      </w:r>
    </w:p>
    <w:p w14:paraId="531A5EEA" w14:textId="77777777" w:rsidR="000F63E8" w:rsidRDefault="000F63E8" w:rsidP="000F63E8">
      <w:pPr>
        <w:pStyle w:val="ListParagraph"/>
        <w:numPr>
          <w:ilvl w:val="0"/>
          <w:numId w:val="16"/>
        </w:numPr>
        <w:rPr>
          <w:rFonts w:ascii="Times New Roman" w:hAnsi="Times New Roman"/>
        </w:rPr>
      </w:pPr>
      <w:r>
        <w:rPr>
          <w:rFonts w:ascii="Times New Roman" w:hAnsi="Times New Roman"/>
        </w:rPr>
        <w:t>Health-related Occupations</w:t>
      </w:r>
    </w:p>
    <w:p w14:paraId="35B82860" w14:textId="77777777" w:rsidR="000F63E8" w:rsidRDefault="000F63E8" w:rsidP="000F63E8">
      <w:pPr>
        <w:pStyle w:val="ListParagraph"/>
        <w:numPr>
          <w:ilvl w:val="0"/>
          <w:numId w:val="16"/>
        </w:numPr>
        <w:rPr>
          <w:rFonts w:ascii="Times New Roman" w:hAnsi="Times New Roman"/>
        </w:rPr>
      </w:pPr>
      <w:r>
        <w:rPr>
          <w:rFonts w:ascii="Times New Roman" w:hAnsi="Times New Roman"/>
        </w:rPr>
        <w:t>S&amp;E-Related Non-Health Occupations</w:t>
      </w:r>
    </w:p>
    <w:p w14:paraId="74F1BDE5" w14:textId="033B3388" w:rsidR="000F63E8" w:rsidRDefault="003C6A5D" w:rsidP="000F63E8">
      <w:pPr>
        <w:pStyle w:val="ListParagraph"/>
        <w:numPr>
          <w:ilvl w:val="0"/>
          <w:numId w:val="16"/>
        </w:numPr>
        <w:rPr>
          <w:rFonts w:ascii="Times New Roman" w:hAnsi="Times New Roman"/>
        </w:rPr>
      </w:pPr>
      <w:r>
        <w:rPr>
          <w:rFonts w:ascii="Times New Roman" w:hAnsi="Times New Roman"/>
        </w:rPr>
        <w:t>Post</w:t>
      </w:r>
      <w:r w:rsidR="002E4638">
        <w:rPr>
          <w:rFonts w:ascii="Times New Roman" w:hAnsi="Times New Roman"/>
        </w:rPr>
        <w:t>s</w:t>
      </w:r>
      <w:r>
        <w:rPr>
          <w:rFonts w:ascii="Times New Roman" w:hAnsi="Times New Roman"/>
        </w:rPr>
        <w:t>econdary</w:t>
      </w:r>
      <w:r w:rsidR="000F63E8">
        <w:rPr>
          <w:rFonts w:ascii="Times New Roman" w:hAnsi="Times New Roman"/>
        </w:rPr>
        <w:t xml:space="preserve"> Teacher, S&amp;E Field of Degree</w:t>
      </w:r>
    </w:p>
    <w:p w14:paraId="790EDDEB" w14:textId="68DCE37E" w:rsidR="000F63E8" w:rsidRDefault="003C6A5D" w:rsidP="000F63E8">
      <w:pPr>
        <w:pStyle w:val="ListParagraph"/>
        <w:numPr>
          <w:ilvl w:val="0"/>
          <w:numId w:val="16"/>
        </w:numPr>
        <w:rPr>
          <w:rFonts w:ascii="Times New Roman" w:hAnsi="Times New Roman"/>
        </w:rPr>
      </w:pPr>
      <w:r>
        <w:rPr>
          <w:rFonts w:ascii="Times New Roman" w:hAnsi="Times New Roman"/>
        </w:rPr>
        <w:t>Post</w:t>
      </w:r>
      <w:r w:rsidR="002E4638">
        <w:rPr>
          <w:rFonts w:ascii="Times New Roman" w:hAnsi="Times New Roman"/>
        </w:rPr>
        <w:t>s</w:t>
      </w:r>
      <w:r>
        <w:rPr>
          <w:rFonts w:ascii="Times New Roman" w:hAnsi="Times New Roman"/>
        </w:rPr>
        <w:t>econdary</w:t>
      </w:r>
      <w:r w:rsidR="000F63E8">
        <w:rPr>
          <w:rFonts w:ascii="Times New Roman" w:hAnsi="Times New Roman"/>
        </w:rPr>
        <w:t xml:space="preserve"> Teacher, Non-S&amp;E Field of Degree</w:t>
      </w:r>
    </w:p>
    <w:p w14:paraId="4A647795" w14:textId="77777777" w:rsidR="000F63E8" w:rsidRDefault="000F63E8" w:rsidP="000F63E8">
      <w:pPr>
        <w:pStyle w:val="ListParagraph"/>
        <w:numPr>
          <w:ilvl w:val="0"/>
          <w:numId w:val="16"/>
        </w:numPr>
        <w:rPr>
          <w:rFonts w:ascii="Times New Roman" w:hAnsi="Times New Roman"/>
        </w:rPr>
      </w:pPr>
      <w:r>
        <w:rPr>
          <w:rFonts w:ascii="Times New Roman" w:hAnsi="Times New Roman"/>
        </w:rPr>
        <w:t>Secondary Teacher, S&amp;E Field of Degree</w:t>
      </w:r>
    </w:p>
    <w:p w14:paraId="0B4C68AC" w14:textId="77777777" w:rsidR="000F63E8" w:rsidRDefault="000F63E8" w:rsidP="000F63E8">
      <w:pPr>
        <w:pStyle w:val="ListParagraph"/>
        <w:numPr>
          <w:ilvl w:val="0"/>
          <w:numId w:val="16"/>
        </w:numPr>
        <w:rPr>
          <w:rFonts w:ascii="Times New Roman" w:hAnsi="Times New Roman"/>
        </w:rPr>
      </w:pPr>
      <w:r>
        <w:rPr>
          <w:rFonts w:ascii="Times New Roman" w:hAnsi="Times New Roman"/>
        </w:rPr>
        <w:t>Secondary Teacher, Non-S&amp;E Field of Degree</w:t>
      </w:r>
    </w:p>
    <w:p w14:paraId="0D584449" w14:textId="77777777" w:rsidR="000F63E8" w:rsidRDefault="000F63E8" w:rsidP="000F63E8">
      <w:pPr>
        <w:pStyle w:val="ListParagraph"/>
        <w:numPr>
          <w:ilvl w:val="0"/>
          <w:numId w:val="16"/>
        </w:numPr>
        <w:rPr>
          <w:rFonts w:ascii="Times New Roman" w:hAnsi="Times New Roman"/>
        </w:rPr>
      </w:pPr>
      <w:r>
        <w:rPr>
          <w:rFonts w:ascii="Times New Roman" w:hAnsi="Times New Roman"/>
        </w:rPr>
        <w:t>Non-S&amp;E High Interest Occupation, S&amp;E Field of Degree</w:t>
      </w:r>
    </w:p>
    <w:p w14:paraId="0E406809" w14:textId="77777777" w:rsidR="000F63E8" w:rsidRDefault="000F63E8" w:rsidP="000F63E8">
      <w:pPr>
        <w:pStyle w:val="ListParagraph"/>
        <w:numPr>
          <w:ilvl w:val="0"/>
          <w:numId w:val="16"/>
        </w:numPr>
        <w:rPr>
          <w:rFonts w:ascii="Times New Roman" w:hAnsi="Times New Roman"/>
        </w:rPr>
      </w:pPr>
      <w:r>
        <w:rPr>
          <w:rFonts w:ascii="Times New Roman" w:hAnsi="Times New Roman"/>
        </w:rPr>
        <w:t>Non-S&amp;E Low Interest Occupation, S&amp;E Field of Degree</w:t>
      </w:r>
    </w:p>
    <w:p w14:paraId="57E3C7A2" w14:textId="77777777" w:rsidR="000F63E8" w:rsidRDefault="000F63E8" w:rsidP="000F63E8">
      <w:pPr>
        <w:pStyle w:val="ListParagraph"/>
        <w:numPr>
          <w:ilvl w:val="0"/>
          <w:numId w:val="16"/>
        </w:numPr>
        <w:rPr>
          <w:rFonts w:ascii="Times New Roman" w:hAnsi="Times New Roman"/>
        </w:rPr>
      </w:pPr>
      <w:r>
        <w:rPr>
          <w:rFonts w:ascii="Times New Roman" w:hAnsi="Times New Roman"/>
        </w:rPr>
        <w:t>Non-S&amp;E Occupation, Non-S&amp;E Field of Degree</w:t>
      </w:r>
    </w:p>
    <w:p w14:paraId="586E6BB0" w14:textId="77777777" w:rsidR="000F63E8" w:rsidRDefault="000F63E8" w:rsidP="000F63E8">
      <w:pPr>
        <w:pStyle w:val="ListParagraph"/>
        <w:numPr>
          <w:ilvl w:val="0"/>
          <w:numId w:val="16"/>
        </w:numPr>
        <w:rPr>
          <w:rFonts w:ascii="Times New Roman" w:hAnsi="Times New Roman"/>
        </w:rPr>
      </w:pPr>
      <w:r>
        <w:rPr>
          <w:rFonts w:ascii="Times New Roman" w:hAnsi="Times New Roman"/>
        </w:rPr>
        <w:t>Not Working, S&amp;E Field of Degree or S&amp;E Previous Occupation (if previously worked)</w:t>
      </w:r>
    </w:p>
    <w:p w14:paraId="1F2636FA" w14:textId="77777777" w:rsidR="000F63E8" w:rsidRPr="00A82549" w:rsidRDefault="000F63E8" w:rsidP="000F63E8">
      <w:pPr>
        <w:pStyle w:val="ListParagraph"/>
        <w:numPr>
          <w:ilvl w:val="0"/>
          <w:numId w:val="16"/>
        </w:numPr>
        <w:rPr>
          <w:rFonts w:ascii="Times New Roman" w:hAnsi="Times New Roman"/>
        </w:rPr>
      </w:pPr>
      <w:r w:rsidRPr="00A82549">
        <w:rPr>
          <w:rFonts w:ascii="Times New Roman" w:hAnsi="Times New Roman"/>
        </w:rPr>
        <w:t>Not Working, Non-S&amp;E Field of Degree and Non-S&amp;E Previous Occupation (if previously worked) or never worked</w:t>
      </w:r>
    </w:p>
    <w:p w14:paraId="1817C7D9" w14:textId="0979A168" w:rsidR="000F63E8" w:rsidRPr="004A63FC" w:rsidRDefault="000F63E8" w:rsidP="000F63E8">
      <w:pPr>
        <w:ind w:left="0"/>
        <w:rPr>
          <w:rFonts w:ascii="Times New Roman" w:hAnsi="Times New Roman"/>
          <w:i/>
          <w:sz w:val="20"/>
          <w:u w:val="single"/>
        </w:rPr>
      </w:pPr>
    </w:p>
    <w:p w14:paraId="386447CB" w14:textId="666B086D" w:rsidR="00816372" w:rsidRPr="003E474F" w:rsidRDefault="00816372" w:rsidP="003E474F">
      <w:pPr>
        <w:ind w:left="0" w:firstLine="360"/>
        <w:rPr>
          <w:rFonts w:ascii="Times New Roman" w:hAnsi="Times New Roman"/>
          <w:i/>
          <w:u w:val="single"/>
        </w:rPr>
      </w:pPr>
      <w:r w:rsidRPr="003E474F">
        <w:rPr>
          <w:rFonts w:ascii="Times New Roman" w:hAnsi="Times New Roman"/>
          <w:i/>
          <w:u w:val="single"/>
        </w:rPr>
        <w:t>Demographic Group</w:t>
      </w:r>
    </w:p>
    <w:p w14:paraId="451B2B68" w14:textId="77777777" w:rsidR="004326F7" w:rsidRDefault="004326F7" w:rsidP="004326F7">
      <w:pPr>
        <w:ind w:left="360"/>
        <w:rPr>
          <w:rFonts w:ascii="Times New Roman" w:hAnsi="Times New Roman"/>
          <w:i/>
        </w:rPr>
      </w:pPr>
      <w:r w:rsidRPr="00816372">
        <w:rPr>
          <w:rFonts w:ascii="Times New Roman" w:hAnsi="Times New Roman"/>
          <w:i/>
        </w:rPr>
        <w:t xml:space="preserve">A composite demographic variable composed of race, ethnicity, disability status, citizenship, and </w:t>
      </w:r>
      <w:r>
        <w:rPr>
          <w:rFonts w:ascii="Times New Roman" w:hAnsi="Times New Roman"/>
          <w:i/>
        </w:rPr>
        <w:t>U.S.-</w:t>
      </w:r>
      <w:r w:rsidRPr="00816372">
        <w:rPr>
          <w:rFonts w:ascii="Times New Roman" w:hAnsi="Times New Roman"/>
          <w:i/>
        </w:rPr>
        <w:t>earned degree status</w:t>
      </w:r>
    </w:p>
    <w:p w14:paraId="14656BA9" w14:textId="77777777" w:rsidR="004326F7" w:rsidRPr="008E3455" w:rsidRDefault="004326F7" w:rsidP="004326F7">
      <w:pPr>
        <w:pStyle w:val="ListParagraph"/>
        <w:numPr>
          <w:ilvl w:val="0"/>
          <w:numId w:val="53"/>
        </w:numPr>
        <w:rPr>
          <w:rFonts w:ascii="Times New Roman" w:hAnsi="Times New Roman"/>
          <w:szCs w:val="24"/>
        </w:rPr>
      </w:pPr>
      <w:r w:rsidRPr="008E3455">
        <w:rPr>
          <w:rFonts w:ascii="Times New Roman" w:hAnsi="Times New Roman"/>
          <w:szCs w:val="24"/>
        </w:rPr>
        <w:t>U.S. Citizen at Birth (USCAB)</w:t>
      </w:r>
      <w:r>
        <w:rPr>
          <w:rFonts w:ascii="Times New Roman" w:hAnsi="Times New Roman"/>
          <w:szCs w:val="24"/>
        </w:rPr>
        <w:t xml:space="preserve"> </w:t>
      </w:r>
      <w:r w:rsidRPr="008E3455">
        <w:rPr>
          <w:rFonts w:ascii="Times New Roman" w:hAnsi="Times New Roman"/>
          <w:szCs w:val="24"/>
        </w:rPr>
        <w:t>or non-USCAB with high likelihood of U.S.-earned degree, Hispanic</w:t>
      </w:r>
    </w:p>
    <w:p w14:paraId="11DFE161" w14:textId="77777777" w:rsidR="004326F7" w:rsidRPr="008E3455" w:rsidRDefault="004326F7" w:rsidP="004326F7">
      <w:pPr>
        <w:pStyle w:val="ListParagraph"/>
        <w:numPr>
          <w:ilvl w:val="0"/>
          <w:numId w:val="53"/>
        </w:numPr>
        <w:rPr>
          <w:rFonts w:ascii="Times New Roman" w:hAnsi="Times New Roman"/>
          <w:szCs w:val="24"/>
        </w:rPr>
      </w:pPr>
      <w:r w:rsidRPr="008E3455">
        <w:rPr>
          <w:rFonts w:ascii="Times New Roman" w:hAnsi="Times New Roman"/>
          <w:szCs w:val="24"/>
        </w:rPr>
        <w:t>USCAB or non-USCAB with high likelihood of U.S.-earned degree, Black</w:t>
      </w:r>
    </w:p>
    <w:p w14:paraId="54D5F571" w14:textId="77777777" w:rsidR="004326F7" w:rsidRPr="008E3455" w:rsidRDefault="004326F7" w:rsidP="004326F7">
      <w:pPr>
        <w:pStyle w:val="ListParagraph"/>
        <w:numPr>
          <w:ilvl w:val="0"/>
          <w:numId w:val="53"/>
        </w:numPr>
        <w:rPr>
          <w:rFonts w:ascii="Times New Roman" w:hAnsi="Times New Roman"/>
          <w:szCs w:val="24"/>
        </w:rPr>
      </w:pPr>
      <w:r w:rsidRPr="008E3455">
        <w:rPr>
          <w:rFonts w:ascii="Times New Roman" w:hAnsi="Times New Roman"/>
          <w:szCs w:val="24"/>
        </w:rPr>
        <w:t>USCAB or non-USCAB with high likelihood of U.S.-earned degree, Asian</w:t>
      </w:r>
    </w:p>
    <w:p w14:paraId="2F35DA86" w14:textId="77777777" w:rsidR="004326F7" w:rsidRPr="008E3455" w:rsidRDefault="004326F7" w:rsidP="004326F7">
      <w:pPr>
        <w:pStyle w:val="ListParagraph"/>
        <w:numPr>
          <w:ilvl w:val="0"/>
          <w:numId w:val="53"/>
        </w:numPr>
        <w:rPr>
          <w:rFonts w:ascii="Times New Roman" w:hAnsi="Times New Roman"/>
          <w:szCs w:val="24"/>
        </w:rPr>
      </w:pPr>
      <w:r w:rsidRPr="008E3455">
        <w:rPr>
          <w:rFonts w:ascii="Times New Roman" w:hAnsi="Times New Roman"/>
          <w:szCs w:val="24"/>
        </w:rPr>
        <w:t>USCAB or non-USCAB with high likelihood of U.S.-earned degree, AIAN or NHPI</w:t>
      </w:r>
      <w:r>
        <w:rPr>
          <w:rStyle w:val="FootnoteReference"/>
          <w:rFonts w:ascii="Times New Roman" w:hAnsi="Times New Roman"/>
          <w:szCs w:val="24"/>
        </w:rPr>
        <w:footnoteReference w:id="3"/>
      </w:r>
    </w:p>
    <w:p w14:paraId="400D24CA" w14:textId="77777777" w:rsidR="004326F7" w:rsidRPr="008E3455" w:rsidRDefault="004326F7" w:rsidP="004326F7">
      <w:pPr>
        <w:pStyle w:val="ListParagraph"/>
        <w:numPr>
          <w:ilvl w:val="0"/>
          <w:numId w:val="53"/>
        </w:numPr>
        <w:rPr>
          <w:rFonts w:ascii="Times New Roman" w:hAnsi="Times New Roman"/>
          <w:szCs w:val="24"/>
        </w:rPr>
      </w:pPr>
      <w:r w:rsidRPr="008E3455">
        <w:rPr>
          <w:rFonts w:ascii="Times New Roman" w:hAnsi="Times New Roman"/>
          <w:szCs w:val="24"/>
        </w:rPr>
        <w:t>USCAB or non-USCAB with high likelihood of U.S.-earned degree, disabled</w:t>
      </w:r>
    </w:p>
    <w:p w14:paraId="5349389E" w14:textId="77777777" w:rsidR="004326F7" w:rsidRPr="008E3455" w:rsidRDefault="004326F7" w:rsidP="004326F7">
      <w:pPr>
        <w:pStyle w:val="ListParagraph"/>
        <w:numPr>
          <w:ilvl w:val="0"/>
          <w:numId w:val="53"/>
        </w:numPr>
        <w:rPr>
          <w:rFonts w:ascii="Times New Roman" w:hAnsi="Times New Roman"/>
          <w:szCs w:val="24"/>
        </w:rPr>
      </w:pPr>
      <w:r w:rsidRPr="008E3455">
        <w:rPr>
          <w:rFonts w:ascii="Times New Roman" w:hAnsi="Times New Roman"/>
          <w:szCs w:val="24"/>
        </w:rPr>
        <w:t>USCAB or non-USCAB with high likelihood of U.S.-earned degree, White or Other</w:t>
      </w:r>
    </w:p>
    <w:p w14:paraId="3B0DDA11" w14:textId="300BD9C8" w:rsidR="004326F7" w:rsidRPr="008E3455" w:rsidRDefault="003C6A5D" w:rsidP="004326F7">
      <w:pPr>
        <w:pStyle w:val="ListParagraph"/>
        <w:numPr>
          <w:ilvl w:val="0"/>
          <w:numId w:val="53"/>
        </w:numPr>
        <w:rPr>
          <w:rFonts w:ascii="Times New Roman" w:hAnsi="Times New Roman"/>
          <w:szCs w:val="24"/>
        </w:rPr>
      </w:pPr>
      <w:r>
        <w:rPr>
          <w:rFonts w:ascii="Times New Roman" w:hAnsi="Times New Roman"/>
          <w:szCs w:val="24"/>
        </w:rPr>
        <w:t>N</w:t>
      </w:r>
      <w:r w:rsidR="004326F7" w:rsidRPr="008E3455">
        <w:rPr>
          <w:rFonts w:ascii="Times New Roman" w:hAnsi="Times New Roman"/>
          <w:szCs w:val="24"/>
        </w:rPr>
        <w:t>on-USCAB with low likelihood of U.S.-earned degree, Hispanic</w:t>
      </w:r>
    </w:p>
    <w:p w14:paraId="1D73A1C2" w14:textId="33FDA914" w:rsidR="004326F7" w:rsidRPr="008E3455" w:rsidRDefault="003C6A5D" w:rsidP="004326F7">
      <w:pPr>
        <w:pStyle w:val="ListParagraph"/>
        <w:numPr>
          <w:ilvl w:val="0"/>
          <w:numId w:val="53"/>
        </w:numPr>
        <w:rPr>
          <w:rFonts w:ascii="Times New Roman" w:hAnsi="Times New Roman"/>
          <w:szCs w:val="24"/>
        </w:rPr>
      </w:pPr>
      <w:r>
        <w:rPr>
          <w:rFonts w:ascii="Times New Roman" w:hAnsi="Times New Roman"/>
          <w:szCs w:val="24"/>
        </w:rPr>
        <w:t>N</w:t>
      </w:r>
      <w:r w:rsidR="004326F7" w:rsidRPr="008E3455">
        <w:rPr>
          <w:rFonts w:ascii="Times New Roman" w:hAnsi="Times New Roman"/>
          <w:szCs w:val="24"/>
        </w:rPr>
        <w:t>on-USCAB with low likelihood of U.S.-earned degree, Asian</w:t>
      </w:r>
    </w:p>
    <w:p w14:paraId="7811524F" w14:textId="76486263" w:rsidR="004326F7" w:rsidRPr="008E3455" w:rsidRDefault="003C6A5D" w:rsidP="004326F7">
      <w:pPr>
        <w:pStyle w:val="ListParagraph"/>
        <w:numPr>
          <w:ilvl w:val="0"/>
          <w:numId w:val="53"/>
        </w:numPr>
        <w:rPr>
          <w:rFonts w:ascii="Times New Roman" w:hAnsi="Times New Roman"/>
          <w:i/>
          <w:szCs w:val="24"/>
        </w:rPr>
      </w:pPr>
      <w:r>
        <w:rPr>
          <w:rFonts w:ascii="Times New Roman" w:hAnsi="Times New Roman"/>
          <w:szCs w:val="24"/>
        </w:rPr>
        <w:t>N</w:t>
      </w:r>
      <w:r w:rsidR="004326F7" w:rsidRPr="008E3455">
        <w:rPr>
          <w:rFonts w:ascii="Times New Roman" w:hAnsi="Times New Roman"/>
          <w:szCs w:val="24"/>
        </w:rPr>
        <w:t>on-USCAB with low likelihood of U.S.-earned degree, remaining</w:t>
      </w:r>
      <w:r w:rsidR="004326F7">
        <w:rPr>
          <w:rFonts w:ascii="Times New Roman" w:hAnsi="Times New Roman"/>
          <w:szCs w:val="24"/>
        </w:rPr>
        <w:t xml:space="preserve"> cases</w:t>
      </w:r>
    </w:p>
    <w:p w14:paraId="4B8FA1CD" w14:textId="77777777" w:rsidR="004326F7" w:rsidRDefault="004326F7" w:rsidP="004326F7">
      <w:pPr>
        <w:ind w:left="0"/>
        <w:rPr>
          <w:rFonts w:ascii="Times New Roman" w:hAnsi="Times New Roman"/>
        </w:rPr>
      </w:pPr>
    </w:p>
    <w:p w14:paraId="603F0E1C" w14:textId="079494C0" w:rsidR="004326F7" w:rsidRDefault="004326F7" w:rsidP="004326F7">
      <w:pPr>
        <w:ind w:left="0"/>
        <w:rPr>
          <w:rFonts w:ascii="Times New Roman" w:hAnsi="Times New Roman"/>
          <w:szCs w:val="24"/>
        </w:rPr>
      </w:pPr>
      <w:r w:rsidRPr="001215B1">
        <w:rPr>
          <w:rFonts w:ascii="Times New Roman" w:hAnsi="Times New Roman"/>
        </w:rPr>
        <w:t>In addition, for the sampling cells where a young graduate oversample is desired</w:t>
      </w:r>
      <w:r w:rsidR="009B5713">
        <w:rPr>
          <w:rFonts w:ascii="Times New Roman" w:hAnsi="Times New Roman"/>
        </w:rPr>
        <w:t>,</w:t>
      </w:r>
      <w:r w:rsidRPr="00DB68FB">
        <w:rPr>
          <w:rStyle w:val="FootnoteReference"/>
          <w:rFonts w:ascii="Times New Roman" w:hAnsi="Times New Roman"/>
        </w:rPr>
        <w:footnoteReference w:id="4"/>
      </w:r>
      <w:r w:rsidRPr="001215B1">
        <w:rPr>
          <w:rFonts w:ascii="Times New Roman" w:hAnsi="Times New Roman"/>
        </w:rPr>
        <w:t xml:space="preserve"> an additional sampling stratification variable will be used to identify the o</w:t>
      </w:r>
      <w:r>
        <w:rPr>
          <w:rFonts w:ascii="Times New Roman" w:hAnsi="Times New Roman"/>
        </w:rPr>
        <w:t>versampling areas of interest.  The f</w:t>
      </w:r>
      <w:r w:rsidRPr="001215B1">
        <w:rPr>
          <w:rFonts w:ascii="Times New Roman" w:hAnsi="Times New Roman"/>
          <w:szCs w:val="24"/>
        </w:rPr>
        <w:t>ollowing criteria define the cases eligible for the young grad</w:t>
      </w:r>
      <w:r>
        <w:rPr>
          <w:rFonts w:ascii="Times New Roman" w:hAnsi="Times New Roman"/>
          <w:szCs w:val="24"/>
        </w:rPr>
        <w:t>uate oversample within the 2019</w:t>
      </w:r>
      <w:r w:rsidRPr="001215B1">
        <w:rPr>
          <w:rFonts w:ascii="Times New Roman" w:hAnsi="Times New Roman"/>
          <w:szCs w:val="24"/>
        </w:rPr>
        <w:t xml:space="preserve"> NSCG.</w:t>
      </w:r>
    </w:p>
    <w:p w14:paraId="6E0D43CD" w14:textId="77777777" w:rsidR="004326F7" w:rsidRPr="004A63FC" w:rsidRDefault="004326F7" w:rsidP="004326F7">
      <w:pPr>
        <w:ind w:left="0"/>
        <w:rPr>
          <w:rFonts w:ascii="Times New Roman" w:hAnsi="Times New Roman"/>
          <w:sz w:val="16"/>
          <w:szCs w:val="16"/>
        </w:rPr>
      </w:pPr>
    </w:p>
    <w:p w14:paraId="0DEF0470" w14:textId="6A1B4CA9" w:rsidR="004326F7" w:rsidRDefault="004326F7" w:rsidP="004326F7">
      <w:pPr>
        <w:pStyle w:val="ListParagraph"/>
        <w:numPr>
          <w:ilvl w:val="0"/>
          <w:numId w:val="17"/>
        </w:numPr>
        <w:tabs>
          <w:tab w:val="left" w:pos="720"/>
        </w:tabs>
        <w:ind w:left="720"/>
        <w:rPr>
          <w:rFonts w:ascii="Times New Roman" w:hAnsi="Times New Roman"/>
          <w:szCs w:val="24"/>
        </w:rPr>
      </w:pPr>
      <w:r>
        <w:rPr>
          <w:rFonts w:ascii="Times New Roman" w:hAnsi="Times New Roman"/>
          <w:szCs w:val="24"/>
        </w:rPr>
        <w:t>2017 ACS sample cases with a bachelor’s degree who are age 30 or less and are educated or employed in an S&amp;E field</w:t>
      </w:r>
    </w:p>
    <w:p w14:paraId="258A04FF" w14:textId="3458D11A" w:rsidR="004326F7" w:rsidRDefault="004326F7" w:rsidP="004326F7">
      <w:pPr>
        <w:pStyle w:val="ListParagraph"/>
        <w:numPr>
          <w:ilvl w:val="0"/>
          <w:numId w:val="17"/>
        </w:numPr>
        <w:tabs>
          <w:tab w:val="left" w:pos="720"/>
        </w:tabs>
        <w:ind w:left="720"/>
        <w:rPr>
          <w:rFonts w:ascii="Times New Roman" w:hAnsi="Times New Roman"/>
          <w:szCs w:val="24"/>
        </w:rPr>
      </w:pPr>
      <w:r>
        <w:rPr>
          <w:rFonts w:ascii="Times New Roman" w:hAnsi="Times New Roman"/>
          <w:szCs w:val="24"/>
        </w:rPr>
        <w:t>2017 ACS sample cases with a master’s degree who are age 34 or less and are educated or employed in an S&amp;E field</w:t>
      </w:r>
    </w:p>
    <w:p w14:paraId="3AEE68FA" w14:textId="77777777" w:rsidR="004326F7" w:rsidRDefault="004326F7" w:rsidP="004326F7">
      <w:pPr>
        <w:ind w:left="0"/>
        <w:rPr>
          <w:rFonts w:ascii="Times New Roman" w:hAnsi="Times New Roman"/>
        </w:rPr>
      </w:pPr>
    </w:p>
    <w:p w14:paraId="673E1D74" w14:textId="50AB9BA0" w:rsidR="004326F7" w:rsidRPr="00302D64" w:rsidRDefault="004326F7" w:rsidP="004326F7">
      <w:pPr>
        <w:ind w:left="0"/>
        <w:rPr>
          <w:rFonts w:ascii="Times New Roman" w:hAnsi="Times New Roman"/>
        </w:rPr>
      </w:pPr>
      <w:r w:rsidRPr="001215B1">
        <w:rPr>
          <w:rFonts w:ascii="Times New Roman" w:hAnsi="Times New Roman"/>
        </w:rPr>
        <w:t>The multiway cross-classification of these stratification variables produc</w:t>
      </w:r>
      <w:r>
        <w:rPr>
          <w:rFonts w:ascii="Times New Roman" w:hAnsi="Times New Roman"/>
        </w:rPr>
        <w:t>es approximately 1,000 non-empty</w:t>
      </w:r>
      <w:r w:rsidRPr="001215B1">
        <w:rPr>
          <w:rFonts w:ascii="Times New Roman" w:hAnsi="Times New Roman"/>
        </w:rPr>
        <w:t xml:space="preserve"> sampling cells.  This design ensures that the cells needed to produce the small demographic/degree field groups for the congressionally mandated report on </w:t>
      </w:r>
      <w:r w:rsidRPr="001215B1">
        <w:rPr>
          <w:rFonts w:ascii="Times New Roman" w:hAnsi="Times New Roman"/>
          <w:i/>
        </w:rPr>
        <w:t>Women, Minorities and Persons with Disabilities in Science and Engineering</w:t>
      </w:r>
      <w:r w:rsidRPr="001215B1">
        <w:rPr>
          <w:rFonts w:ascii="Times New Roman" w:hAnsi="Times New Roman"/>
        </w:rPr>
        <w:t xml:space="preserve"> (</w:t>
      </w:r>
      <w:r w:rsidR="00BE0EF6">
        <w:rPr>
          <w:rFonts w:ascii="Times New Roman" w:hAnsi="Times New Roman"/>
        </w:rPr>
        <w:t>s</w:t>
      </w:r>
      <w:r w:rsidRPr="001215B1">
        <w:rPr>
          <w:rFonts w:ascii="Times New Roman" w:hAnsi="Times New Roman"/>
        </w:rPr>
        <w:t xml:space="preserve">ee 42 U.S.C. 1885d) will be maintained.  </w:t>
      </w:r>
    </w:p>
    <w:p w14:paraId="54FCD4CA" w14:textId="77777777" w:rsidR="004326F7" w:rsidRPr="00DB68FB" w:rsidRDefault="004326F7" w:rsidP="004326F7">
      <w:pPr>
        <w:ind w:left="0"/>
        <w:rPr>
          <w:rFonts w:ascii="Times New Roman" w:hAnsi="Times New Roman"/>
        </w:rPr>
      </w:pPr>
    </w:p>
    <w:p w14:paraId="027C2792" w14:textId="77777777" w:rsidR="004326F7" w:rsidRPr="00DB68FB" w:rsidRDefault="004326F7" w:rsidP="004326F7">
      <w:pPr>
        <w:ind w:left="0"/>
        <w:rPr>
          <w:rFonts w:ascii="Times New Roman" w:hAnsi="Times New Roman"/>
        </w:rPr>
      </w:pPr>
      <w:r>
        <w:rPr>
          <w:rFonts w:ascii="Times New Roman" w:hAnsi="Times New Roman"/>
        </w:rPr>
        <w:t>T</w:t>
      </w:r>
      <w:r w:rsidRPr="00DB68FB">
        <w:rPr>
          <w:rFonts w:ascii="Times New Roman" w:hAnsi="Times New Roman"/>
        </w:rPr>
        <w:t>he 2</w:t>
      </w:r>
      <w:r>
        <w:rPr>
          <w:rFonts w:ascii="Times New Roman" w:hAnsi="Times New Roman"/>
        </w:rPr>
        <w:t>019</w:t>
      </w:r>
      <w:r w:rsidRPr="00DB68FB">
        <w:rPr>
          <w:rFonts w:ascii="Times New Roman" w:hAnsi="Times New Roman"/>
        </w:rPr>
        <w:t xml:space="preserve"> NSCG reliability targets are aligned with the data needs </w:t>
      </w:r>
      <w:r>
        <w:rPr>
          <w:rFonts w:ascii="Times New Roman" w:hAnsi="Times New Roman"/>
        </w:rPr>
        <w:t xml:space="preserve">for </w:t>
      </w:r>
      <w:r w:rsidRPr="00DB68FB">
        <w:rPr>
          <w:rFonts w:ascii="Times New Roman" w:hAnsi="Times New Roman"/>
        </w:rPr>
        <w:t>the NSF con</w:t>
      </w:r>
      <w:r>
        <w:rPr>
          <w:rFonts w:ascii="Times New Roman" w:hAnsi="Times New Roman"/>
        </w:rPr>
        <w:t xml:space="preserve">gressionally mandated reports.  </w:t>
      </w:r>
      <w:r w:rsidRPr="00DB68FB">
        <w:rPr>
          <w:rFonts w:ascii="Times New Roman" w:hAnsi="Times New Roman"/>
        </w:rPr>
        <w:t>The sample allocation will be determined based on reliability requirements for key NSCG an</w:t>
      </w:r>
      <w:r>
        <w:rPr>
          <w:rFonts w:ascii="Times New Roman" w:hAnsi="Times New Roman"/>
        </w:rPr>
        <w:t>alytical domains provided by NCSES</w:t>
      </w:r>
      <w:r w:rsidRPr="00DB68FB">
        <w:rPr>
          <w:rFonts w:ascii="Times New Roman" w:hAnsi="Times New Roman"/>
        </w:rPr>
        <w:t>.</w:t>
      </w:r>
      <w:r>
        <w:rPr>
          <w:rFonts w:ascii="Times New Roman" w:hAnsi="Times New Roman"/>
        </w:rPr>
        <w:t xml:space="preserve">  The 2019 NSCG coefficient of variation t</w:t>
      </w:r>
      <w:r w:rsidRPr="00DB68FB">
        <w:rPr>
          <w:rFonts w:ascii="Times New Roman" w:hAnsi="Times New Roman"/>
        </w:rPr>
        <w:t>argets that drive the</w:t>
      </w:r>
      <w:r>
        <w:rPr>
          <w:rFonts w:ascii="Times New Roman" w:hAnsi="Times New Roman"/>
        </w:rPr>
        <w:t xml:space="preserve"> 2019 NSCG</w:t>
      </w:r>
      <w:r w:rsidRPr="00DB68FB">
        <w:rPr>
          <w:rFonts w:ascii="Times New Roman" w:hAnsi="Times New Roman"/>
        </w:rPr>
        <w:t xml:space="preserve"> sample allocation </w:t>
      </w:r>
      <w:r>
        <w:rPr>
          <w:rFonts w:ascii="Times New Roman" w:hAnsi="Times New Roman"/>
        </w:rPr>
        <w:t xml:space="preserve">and selection </w:t>
      </w:r>
      <w:r w:rsidRPr="00DB68FB">
        <w:rPr>
          <w:rFonts w:ascii="Times New Roman" w:hAnsi="Times New Roman"/>
        </w:rPr>
        <w:t>are included in Appendix</w:t>
      </w:r>
      <w:r>
        <w:rPr>
          <w:rFonts w:ascii="Times New Roman" w:hAnsi="Times New Roman"/>
        </w:rPr>
        <w:t xml:space="preserve"> D</w:t>
      </w:r>
      <w:r w:rsidRPr="00DB68FB">
        <w:rPr>
          <w:rFonts w:ascii="Times New Roman" w:hAnsi="Times New Roman"/>
        </w:rPr>
        <w:t>.  Tables 1, 2</w:t>
      </w:r>
      <w:r>
        <w:rPr>
          <w:rFonts w:ascii="Times New Roman" w:hAnsi="Times New Roman"/>
        </w:rPr>
        <w:t>, and 3 of Appendix D</w:t>
      </w:r>
      <w:r w:rsidRPr="00DB68FB">
        <w:rPr>
          <w:rFonts w:ascii="Times New Roman" w:hAnsi="Times New Roman"/>
        </w:rPr>
        <w:t xml:space="preserve"> provide reliability requirements for estimates of the total college graduate population.  Tables 4, 5, and 6 </w:t>
      </w:r>
      <w:r>
        <w:rPr>
          <w:rFonts w:ascii="Times New Roman" w:hAnsi="Times New Roman"/>
        </w:rPr>
        <w:t>of Appendix D</w:t>
      </w:r>
      <w:r w:rsidRPr="00DB68FB">
        <w:rPr>
          <w:rFonts w:ascii="Times New Roman" w:hAnsi="Times New Roman"/>
        </w:rPr>
        <w:t xml:space="preserve"> provide reliability requirements for estimates of young graduates, which</w:t>
      </w:r>
      <w:r>
        <w:rPr>
          <w:rFonts w:ascii="Times New Roman" w:hAnsi="Times New Roman"/>
        </w:rPr>
        <w:t xml:space="preserve"> are the target of the 2019</w:t>
      </w:r>
      <w:r w:rsidRPr="00DB68FB">
        <w:rPr>
          <w:rFonts w:ascii="Times New Roman" w:hAnsi="Times New Roman"/>
        </w:rPr>
        <w:t xml:space="preserve"> NSCG oversampling strata. </w:t>
      </w:r>
    </w:p>
    <w:p w14:paraId="7006CBE0" w14:textId="77777777" w:rsidR="004326F7" w:rsidRDefault="004326F7" w:rsidP="004326F7">
      <w:pPr>
        <w:ind w:left="0"/>
        <w:rPr>
          <w:rFonts w:ascii="Times New Roman" w:hAnsi="Times New Roman"/>
        </w:rPr>
      </w:pPr>
    </w:p>
    <w:p w14:paraId="4FC8474A" w14:textId="7C2C3146" w:rsidR="004326F7" w:rsidRDefault="004326F7" w:rsidP="004326F7">
      <w:pPr>
        <w:ind w:left="0"/>
        <w:rPr>
          <w:rFonts w:ascii="Times New Roman" w:hAnsi="Times New Roman"/>
        </w:rPr>
      </w:pPr>
      <w:bookmarkStart w:id="13" w:name="_Hlk523295821"/>
      <w:r>
        <w:rPr>
          <w:rFonts w:ascii="Times New Roman" w:hAnsi="Times New Roman"/>
        </w:rPr>
        <w:t xml:space="preserve">In total, the ACS-based sampling frame for the 2019 NSCG new sample portion includes approximately </w:t>
      </w:r>
      <w:r w:rsidRPr="00DC23E1">
        <w:rPr>
          <w:rFonts w:ascii="Times New Roman" w:hAnsi="Times New Roman"/>
        </w:rPr>
        <w:t>1,0</w:t>
      </w:r>
      <w:r w:rsidR="00A60087" w:rsidRPr="00DC23E1">
        <w:rPr>
          <w:rFonts w:ascii="Times New Roman" w:hAnsi="Times New Roman"/>
        </w:rPr>
        <w:t>16</w:t>
      </w:r>
      <w:r w:rsidRPr="00DC23E1">
        <w:rPr>
          <w:rFonts w:ascii="Times New Roman" w:hAnsi="Times New Roman"/>
        </w:rPr>
        <w:t>,000</w:t>
      </w:r>
      <w:r>
        <w:rPr>
          <w:rFonts w:ascii="Times New Roman" w:hAnsi="Times New Roman"/>
        </w:rPr>
        <w:t xml:space="preserve"> cases representing the college-educated population of </w:t>
      </w:r>
      <w:r w:rsidRPr="00F22BF7">
        <w:rPr>
          <w:rFonts w:ascii="Times New Roman" w:hAnsi="Times New Roman"/>
        </w:rPr>
        <w:t>6</w:t>
      </w:r>
      <w:r>
        <w:rPr>
          <w:rFonts w:ascii="Times New Roman" w:hAnsi="Times New Roman"/>
        </w:rPr>
        <w:t>9</w:t>
      </w:r>
      <w:r w:rsidRPr="00F22BF7">
        <w:rPr>
          <w:rFonts w:ascii="Times New Roman" w:hAnsi="Times New Roman"/>
        </w:rPr>
        <w:t xml:space="preserve"> million </w:t>
      </w:r>
      <w:r>
        <w:rPr>
          <w:rFonts w:ascii="Times New Roman" w:hAnsi="Times New Roman"/>
        </w:rPr>
        <w:t>residing in the U.S. as of 2017</w:t>
      </w:r>
      <w:r w:rsidRPr="00F22BF7">
        <w:rPr>
          <w:rFonts w:ascii="Times New Roman" w:hAnsi="Times New Roman"/>
        </w:rPr>
        <w:t xml:space="preserve">.  From this sampling frame, </w:t>
      </w:r>
      <w:r>
        <w:rPr>
          <w:rFonts w:ascii="Times New Roman" w:hAnsi="Times New Roman"/>
        </w:rPr>
        <w:t>6</w:t>
      </w:r>
      <w:r w:rsidR="005C3F96">
        <w:rPr>
          <w:rFonts w:ascii="Times New Roman" w:hAnsi="Times New Roman"/>
        </w:rPr>
        <w:t>7</w:t>
      </w:r>
      <w:r w:rsidRPr="00F22BF7">
        <w:rPr>
          <w:rFonts w:ascii="Times New Roman" w:hAnsi="Times New Roman"/>
        </w:rPr>
        <w:t>,000 new sample cases</w:t>
      </w:r>
      <w:r>
        <w:rPr>
          <w:rFonts w:ascii="Times New Roman" w:hAnsi="Times New Roman"/>
        </w:rPr>
        <w:t xml:space="preserve"> will be selected based on the sample allocation reliability requirements discussed in the previous paragraph.</w:t>
      </w:r>
    </w:p>
    <w:p w14:paraId="002CCCC8" w14:textId="77777777" w:rsidR="00302D64" w:rsidRDefault="00302D64">
      <w:pPr>
        <w:ind w:left="0"/>
        <w:rPr>
          <w:rFonts w:ascii="Times New Roman" w:hAnsi="Times New Roman"/>
        </w:rPr>
      </w:pPr>
    </w:p>
    <w:bookmarkEnd w:id="13"/>
    <w:p w14:paraId="51B8B46D" w14:textId="77777777" w:rsidR="00B81E35" w:rsidRPr="00B81E35" w:rsidRDefault="00B81E35" w:rsidP="00354BF8">
      <w:pPr>
        <w:ind w:left="0"/>
        <w:rPr>
          <w:rFonts w:ascii="Times New Roman" w:hAnsi="Times New Roman"/>
          <w:b/>
        </w:rPr>
      </w:pPr>
      <w:r w:rsidRPr="00B81E35">
        <w:rPr>
          <w:rFonts w:ascii="Times New Roman" w:hAnsi="Times New Roman"/>
          <w:b/>
        </w:rPr>
        <w:t>Weighting Procedures</w:t>
      </w:r>
    </w:p>
    <w:p w14:paraId="591899B9" w14:textId="77777777" w:rsidR="002B3579" w:rsidRDefault="002B3579" w:rsidP="002B3579">
      <w:pPr>
        <w:ind w:left="0"/>
        <w:rPr>
          <w:rFonts w:ascii="Times New Roman" w:hAnsi="Times New Roman"/>
        </w:rPr>
      </w:pPr>
      <w:r w:rsidRPr="00DB68FB">
        <w:rPr>
          <w:rFonts w:ascii="Times New Roman" w:hAnsi="Times New Roman"/>
        </w:rPr>
        <w:t xml:space="preserve">Estimates from the </w:t>
      </w:r>
      <w:r>
        <w:rPr>
          <w:rFonts w:ascii="Times New Roman" w:hAnsi="Times New Roman"/>
        </w:rPr>
        <w:t>2019</w:t>
      </w:r>
      <w:r w:rsidRPr="00DB68FB">
        <w:rPr>
          <w:rFonts w:ascii="Times New Roman" w:hAnsi="Times New Roman"/>
        </w:rPr>
        <w:t xml:space="preserve"> NSCG will be based on standard weighting procedures.  As was the case with sample selection, the weighting adjustments will </w:t>
      </w:r>
      <w:r>
        <w:rPr>
          <w:rFonts w:ascii="Times New Roman" w:hAnsi="Times New Roman"/>
        </w:rPr>
        <w:t xml:space="preserve">be done </w:t>
      </w:r>
      <w:r w:rsidRPr="00DB68FB">
        <w:rPr>
          <w:rFonts w:ascii="Times New Roman" w:hAnsi="Times New Roman"/>
        </w:rPr>
        <w:t>separately for</w:t>
      </w:r>
      <w:r>
        <w:rPr>
          <w:rFonts w:ascii="Times New Roman" w:hAnsi="Times New Roman"/>
        </w:rPr>
        <w:t xml:space="preserve"> the new sample cases and separately for each panel within the returning sample cases.  </w:t>
      </w:r>
      <w:r w:rsidRPr="00DB68FB">
        <w:rPr>
          <w:rFonts w:ascii="Times New Roman" w:hAnsi="Times New Roman"/>
        </w:rPr>
        <w:t>The goal of the separate weighting process</w:t>
      </w:r>
      <w:r>
        <w:rPr>
          <w:rFonts w:ascii="Times New Roman" w:hAnsi="Times New Roman"/>
        </w:rPr>
        <w:t>es</w:t>
      </w:r>
      <w:r w:rsidRPr="00DB68FB">
        <w:rPr>
          <w:rFonts w:ascii="Times New Roman" w:hAnsi="Times New Roman"/>
        </w:rPr>
        <w:t xml:space="preserve"> is to produce final weights </w:t>
      </w:r>
      <w:r>
        <w:rPr>
          <w:rFonts w:ascii="Times New Roman" w:hAnsi="Times New Roman"/>
        </w:rPr>
        <w:t xml:space="preserve">for each panel </w:t>
      </w:r>
      <w:r w:rsidRPr="00DB68FB">
        <w:rPr>
          <w:rFonts w:ascii="Times New Roman" w:hAnsi="Times New Roman"/>
        </w:rPr>
        <w:t>tha</w:t>
      </w:r>
      <w:r>
        <w:rPr>
          <w:rFonts w:ascii="Times New Roman" w:hAnsi="Times New Roman"/>
        </w:rPr>
        <w:t xml:space="preserve">t reflect each panel’s respective </w:t>
      </w:r>
      <w:r w:rsidRPr="00DB68FB">
        <w:rPr>
          <w:rFonts w:ascii="Times New Roman" w:hAnsi="Times New Roman"/>
        </w:rPr>
        <w:t>population.  T</w:t>
      </w:r>
      <w:r>
        <w:rPr>
          <w:rFonts w:ascii="Times New Roman" w:hAnsi="Times New Roman"/>
        </w:rPr>
        <w:t xml:space="preserve">o produce the </w:t>
      </w:r>
      <w:r w:rsidRPr="00DB68FB">
        <w:rPr>
          <w:rFonts w:ascii="Times New Roman" w:hAnsi="Times New Roman"/>
        </w:rPr>
        <w:t xml:space="preserve">final weights, each case will start with a base weight defined as the probability of selection into the </w:t>
      </w:r>
      <w:r>
        <w:rPr>
          <w:rFonts w:ascii="Times New Roman" w:hAnsi="Times New Roman"/>
        </w:rPr>
        <w:t>2019</w:t>
      </w:r>
      <w:r w:rsidRPr="00DB68FB">
        <w:rPr>
          <w:rFonts w:ascii="Times New Roman" w:hAnsi="Times New Roman"/>
        </w:rPr>
        <w:t xml:space="preserve"> NSCG sample.  This base weight reflects the differential sampling across s</w:t>
      </w:r>
      <w:r>
        <w:rPr>
          <w:rFonts w:ascii="Times New Roman" w:hAnsi="Times New Roman"/>
        </w:rPr>
        <w:t>trata.  Base weights will</w:t>
      </w:r>
      <w:r w:rsidRPr="00DB68FB">
        <w:rPr>
          <w:rFonts w:ascii="Times New Roman" w:hAnsi="Times New Roman"/>
        </w:rPr>
        <w:t xml:space="preserve"> then be adjusted to account for </w:t>
      </w:r>
      <w:r>
        <w:rPr>
          <w:rFonts w:ascii="Times New Roman" w:hAnsi="Times New Roman"/>
        </w:rPr>
        <w:t>unit nonresponse</w:t>
      </w:r>
      <w:r w:rsidRPr="00DB68FB">
        <w:rPr>
          <w:rFonts w:ascii="Times New Roman" w:hAnsi="Times New Roman"/>
        </w:rPr>
        <w:t xml:space="preserve">.  </w:t>
      </w:r>
    </w:p>
    <w:p w14:paraId="1FCE439F" w14:textId="77777777" w:rsidR="002B3579" w:rsidRDefault="002B3579" w:rsidP="002B3579">
      <w:pPr>
        <w:ind w:left="0"/>
        <w:rPr>
          <w:rFonts w:ascii="Times New Roman" w:hAnsi="Times New Roman"/>
        </w:rPr>
      </w:pPr>
    </w:p>
    <w:p w14:paraId="4704F670" w14:textId="77777777" w:rsidR="002B3579" w:rsidRPr="00A00EE1" w:rsidRDefault="002B3579" w:rsidP="002B3579">
      <w:pPr>
        <w:ind w:left="0"/>
        <w:rPr>
          <w:rFonts w:ascii="Times New Roman" w:hAnsi="Times New Roman"/>
          <w:i/>
          <w:u w:val="single"/>
        </w:rPr>
      </w:pPr>
      <w:r>
        <w:rPr>
          <w:rFonts w:ascii="Times New Roman" w:hAnsi="Times New Roman"/>
          <w:i/>
          <w:iCs/>
          <w:u w:val="single"/>
        </w:rPr>
        <w:t>Weighting Adjustment for Survey Nonresponse</w:t>
      </w:r>
    </w:p>
    <w:p w14:paraId="246F1210" w14:textId="77777777" w:rsidR="002B3579" w:rsidRDefault="002B3579" w:rsidP="002B3579">
      <w:pPr>
        <w:ind w:left="0"/>
        <w:rPr>
          <w:rFonts w:ascii="Times New Roman" w:hAnsi="Times New Roman"/>
        </w:rPr>
      </w:pPr>
      <w:r w:rsidRPr="001215B1">
        <w:rPr>
          <w:rFonts w:ascii="Times New Roman" w:hAnsi="Times New Roman"/>
        </w:rPr>
        <w:t>Following the weight</w:t>
      </w:r>
      <w:r>
        <w:rPr>
          <w:rFonts w:ascii="Times New Roman" w:hAnsi="Times New Roman"/>
        </w:rPr>
        <w:t>ing methodology used in the 2017 NSCG</w:t>
      </w:r>
      <w:r w:rsidRPr="001215B1">
        <w:rPr>
          <w:rFonts w:ascii="Times New Roman" w:hAnsi="Times New Roman"/>
        </w:rPr>
        <w:t>,</w:t>
      </w:r>
      <w:r>
        <w:rPr>
          <w:rFonts w:ascii="Times New Roman" w:hAnsi="Times New Roman"/>
        </w:rPr>
        <w:t xml:space="preserve"> </w:t>
      </w:r>
      <w:r w:rsidRPr="007B3DC0">
        <w:rPr>
          <w:rFonts w:ascii="Times New Roman" w:hAnsi="Times New Roman"/>
        </w:rPr>
        <w:t>we will use</w:t>
      </w:r>
      <w:r w:rsidRPr="001215B1">
        <w:rPr>
          <w:rFonts w:ascii="Times New Roman" w:hAnsi="Times New Roman"/>
        </w:rPr>
        <w:t xml:space="preserve"> propensity modeling </w:t>
      </w:r>
      <w:r w:rsidRPr="007B3DC0">
        <w:rPr>
          <w:rFonts w:ascii="Times New Roman" w:hAnsi="Times New Roman"/>
        </w:rPr>
        <w:t xml:space="preserve">to account and adjust for unit nonresponse.  </w:t>
      </w:r>
      <w:r w:rsidRPr="001215B1">
        <w:rPr>
          <w:rFonts w:ascii="Times New Roman" w:hAnsi="Times New Roman"/>
        </w:rPr>
        <w:t xml:space="preserve">Propensity modeling uses logistic regression to determine if characteristics available for all sample cases, such as prior survey responses and paradata, can be used to predict response.  One advantage to this approach over </w:t>
      </w:r>
      <w:r>
        <w:rPr>
          <w:rFonts w:ascii="Times New Roman" w:hAnsi="Times New Roman"/>
        </w:rPr>
        <w:t xml:space="preserve">the cell collapsing approach used in the 1990 and 2000 decades of the NSCG </w:t>
      </w:r>
      <w:r w:rsidRPr="001215B1">
        <w:rPr>
          <w:rFonts w:ascii="Times New Roman" w:hAnsi="Times New Roman"/>
        </w:rPr>
        <w:t>is the potential to more accurately reallocate weight from nonre</w:t>
      </w:r>
      <w:r>
        <w:rPr>
          <w:rFonts w:ascii="Times New Roman" w:hAnsi="Times New Roman"/>
        </w:rPr>
        <w:t>s</w:t>
      </w:r>
      <w:r w:rsidRPr="001215B1">
        <w:rPr>
          <w:rFonts w:ascii="Times New Roman" w:hAnsi="Times New Roman"/>
        </w:rPr>
        <w:t>pondents to respondents that are similar to them, in an attempt to reduce nonresponse bias.  An additional advantage to using propensity modeling is the avoidance of creating complex noninterview cell collapsing rules.</w:t>
      </w:r>
    </w:p>
    <w:p w14:paraId="5414AE74" w14:textId="77777777" w:rsidR="002B3579" w:rsidRPr="00831CB7" w:rsidRDefault="002B3579" w:rsidP="002B3579">
      <w:pPr>
        <w:ind w:left="0"/>
        <w:rPr>
          <w:rFonts w:ascii="Times New Roman" w:hAnsi="Times New Roman"/>
          <w:highlight w:val="yellow"/>
        </w:rPr>
      </w:pPr>
    </w:p>
    <w:p w14:paraId="38756C49" w14:textId="77777777" w:rsidR="002B3579" w:rsidRDefault="002B3579" w:rsidP="002B3579">
      <w:pPr>
        <w:ind w:left="0"/>
        <w:rPr>
          <w:rFonts w:ascii="Times New Roman" w:hAnsi="Times New Roman"/>
        </w:rPr>
      </w:pPr>
      <w:r w:rsidRPr="001215B1">
        <w:rPr>
          <w:rFonts w:ascii="Times New Roman" w:hAnsi="Times New Roman"/>
        </w:rPr>
        <w:t xml:space="preserve">We </w:t>
      </w:r>
      <w:r>
        <w:rPr>
          <w:rFonts w:ascii="Times New Roman" w:hAnsi="Times New Roman"/>
        </w:rPr>
        <w:t xml:space="preserve">will </w:t>
      </w:r>
      <w:r w:rsidRPr="001215B1">
        <w:rPr>
          <w:rFonts w:ascii="Times New Roman" w:hAnsi="Times New Roman"/>
        </w:rPr>
        <w:t xml:space="preserve">create a model to predict response using the </w:t>
      </w:r>
      <w:r>
        <w:rPr>
          <w:rFonts w:ascii="Times New Roman" w:hAnsi="Times New Roman"/>
        </w:rPr>
        <w:t xml:space="preserve">sampling frame </w:t>
      </w:r>
      <w:r w:rsidRPr="001215B1">
        <w:rPr>
          <w:rFonts w:ascii="Times New Roman" w:hAnsi="Times New Roman"/>
        </w:rPr>
        <w:t>variables</w:t>
      </w:r>
      <w:r>
        <w:rPr>
          <w:rFonts w:ascii="Times New Roman" w:hAnsi="Times New Roman"/>
        </w:rPr>
        <w:t xml:space="preserve"> that exist for both respondents and nonrespondents.  A</w:t>
      </w:r>
      <w:r w:rsidRPr="001215B1">
        <w:rPr>
          <w:rFonts w:ascii="Times New Roman" w:hAnsi="Times New Roman"/>
        </w:rPr>
        <w:t xml:space="preserve"> logistic regression model </w:t>
      </w:r>
      <w:r>
        <w:rPr>
          <w:rFonts w:ascii="Times New Roman" w:hAnsi="Times New Roman"/>
        </w:rPr>
        <w:t xml:space="preserve">will use </w:t>
      </w:r>
      <w:r w:rsidRPr="001215B1">
        <w:rPr>
          <w:rFonts w:ascii="Times New Roman" w:hAnsi="Times New Roman"/>
        </w:rPr>
        <w:t>response as the dependent variable</w:t>
      </w:r>
      <w:r>
        <w:rPr>
          <w:rFonts w:ascii="Times New Roman" w:hAnsi="Times New Roman"/>
        </w:rPr>
        <w:t xml:space="preserve">.  </w:t>
      </w:r>
      <w:r w:rsidRPr="001215B1">
        <w:rPr>
          <w:rFonts w:ascii="Times New Roman" w:hAnsi="Times New Roman"/>
        </w:rPr>
        <w:t xml:space="preserve">The propensities output from the model will be </w:t>
      </w:r>
      <w:r>
        <w:rPr>
          <w:rFonts w:ascii="Times New Roman" w:hAnsi="Times New Roman"/>
        </w:rPr>
        <w:t xml:space="preserve">used to </w:t>
      </w:r>
      <w:r w:rsidRPr="001215B1">
        <w:rPr>
          <w:rFonts w:ascii="Times New Roman" w:hAnsi="Times New Roman"/>
        </w:rPr>
        <w:t>categorize</w:t>
      </w:r>
      <w:r>
        <w:rPr>
          <w:rFonts w:ascii="Times New Roman" w:hAnsi="Times New Roman"/>
        </w:rPr>
        <w:t xml:space="preserve"> cases</w:t>
      </w:r>
      <w:r w:rsidRPr="001215B1">
        <w:rPr>
          <w:rFonts w:ascii="Times New Roman" w:hAnsi="Times New Roman"/>
        </w:rPr>
        <w:t xml:space="preserve"> into cells</w:t>
      </w:r>
      <w:r>
        <w:rPr>
          <w:rFonts w:ascii="Times New Roman" w:hAnsi="Times New Roman"/>
        </w:rPr>
        <w:t xml:space="preserve"> </w:t>
      </w:r>
      <w:r w:rsidRPr="001215B1">
        <w:rPr>
          <w:rFonts w:ascii="Times New Roman" w:hAnsi="Times New Roman"/>
        </w:rPr>
        <w:t>of approximately equal size, with similar response propensities in each cell.</w:t>
      </w:r>
      <w:r>
        <w:rPr>
          <w:rFonts w:ascii="Times New Roman" w:hAnsi="Times New Roman"/>
        </w:rPr>
        <w:t xml:space="preserve">  </w:t>
      </w:r>
      <w:r w:rsidRPr="001215B1">
        <w:rPr>
          <w:rFonts w:ascii="Times New Roman" w:hAnsi="Times New Roman"/>
        </w:rPr>
        <w:t xml:space="preserve">The </w:t>
      </w:r>
      <w:r>
        <w:rPr>
          <w:rFonts w:ascii="Times New Roman" w:hAnsi="Times New Roman"/>
        </w:rPr>
        <w:t xml:space="preserve">noninterview </w:t>
      </w:r>
      <w:r w:rsidRPr="001215B1">
        <w:rPr>
          <w:rFonts w:ascii="Times New Roman" w:hAnsi="Times New Roman"/>
        </w:rPr>
        <w:t xml:space="preserve">weighting adjustment factors will be calculated within each of the cells.  </w:t>
      </w:r>
    </w:p>
    <w:p w14:paraId="0BC805B0" w14:textId="77777777" w:rsidR="002B3579" w:rsidRPr="00831CB7" w:rsidRDefault="002B3579" w:rsidP="002B3579">
      <w:pPr>
        <w:ind w:left="0"/>
        <w:rPr>
          <w:rFonts w:ascii="Times New Roman" w:hAnsi="Times New Roman"/>
          <w:highlight w:val="yellow"/>
        </w:rPr>
      </w:pPr>
    </w:p>
    <w:p w14:paraId="138EEA43" w14:textId="77777777" w:rsidR="002B3579" w:rsidRPr="00DB68FB" w:rsidRDefault="002B3579" w:rsidP="002B3579">
      <w:pPr>
        <w:ind w:left="0"/>
        <w:rPr>
          <w:rFonts w:ascii="Times New Roman" w:hAnsi="Times New Roman"/>
        </w:rPr>
      </w:pPr>
      <w:r w:rsidRPr="001215B1">
        <w:rPr>
          <w:rFonts w:ascii="Times New Roman" w:hAnsi="Times New Roman"/>
        </w:rPr>
        <w:t>The noninterview weighting adjustment factor is used to ac</w:t>
      </w:r>
      <w:r>
        <w:rPr>
          <w:rFonts w:ascii="Times New Roman" w:hAnsi="Times New Roman"/>
        </w:rPr>
        <w:t>count for the weight of the 2019</w:t>
      </w:r>
      <w:r w:rsidRPr="001215B1">
        <w:rPr>
          <w:rFonts w:ascii="Times New Roman" w:hAnsi="Times New Roman"/>
        </w:rPr>
        <w:t xml:space="preserve"> NSCG nonrespondents when forming </w:t>
      </w:r>
      <w:r>
        <w:rPr>
          <w:rFonts w:ascii="Times New Roman" w:hAnsi="Times New Roman"/>
        </w:rPr>
        <w:t xml:space="preserve">survey </w:t>
      </w:r>
      <w:r w:rsidRPr="001215B1">
        <w:rPr>
          <w:rFonts w:ascii="Times New Roman" w:hAnsi="Times New Roman"/>
        </w:rPr>
        <w:t>estimates.  The weight of the nonrespondents will be redistributed to the respondents</w:t>
      </w:r>
      <w:r>
        <w:rPr>
          <w:rFonts w:ascii="Times New Roman" w:hAnsi="Times New Roman"/>
        </w:rPr>
        <w:t xml:space="preserve"> and ineligibles within the 2019</w:t>
      </w:r>
      <w:r w:rsidRPr="001215B1">
        <w:rPr>
          <w:rFonts w:ascii="Times New Roman" w:hAnsi="Times New Roman"/>
        </w:rPr>
        <w:t xml:space="preserve"> NSCG </w:t>
      </w:r>
      <w:r>
        <w:rPr>
          <w:rFonts w:ascii="Times New Roman" w:hAnsi="Times New Roman"/>
        </w:rPr>
        <w:t xml:space="preserve">sample.  </w:t>
      </w:r>
      <w:r w:rsidRPr="00DB68FB">
        <w:rPr>
          <w:rFonts w:ascii="Times New Roman" w:hAnsi="Times New Roman"/>
        </w:rPr>
        <w:t xml:space="preserve">After the noninterview adjustment, weights will be </w:t>
      </w:r>
      <w:r>
        <w:rPr>
          <w:rFonts w:ascii="Times New Roman" w:hAnsi="Times New Roman"/>
        </w:rPr>
        <w:t>controlled</w:t>
      </w:r>
      <w:r w:rsidRPr="00DB68FB">
        <w:rPr>
          <w:rFonts w:ascii="Times New Roman" w:hAnsi="Times New Roman"/>
        </w:rPr>
        <w:t xml:space="preserve"> to ACS population totals through a</w:t>
      </w:r>
      <w:r>
        <w:rPr>
          <w:rFonts w:ascii="Times New Roman" w:hAnsi="Times New Roman"/>
        </w:rPr>
        <w:t xml:space="preserve"> post-stratification</w:t>
      </w:r>
      <w:r w:rsidRPr="00DB68FB">
        <w:rPr>
          <w:rFonts w:ascii="Times New Roman" w:hAnsi="Times New Roman"/>
        </w:rPr>
        <w:t xml:space="preserve"> procedure that ensures </w:t>
      </w:r>
      <w:r>
        <w:rPr>
          <w:rFonts w:ascii="Times New Roman" w:hAnsi="Times New Roman"/>
        </w:rPr>
        <w:t xml:space="preserve">the </w:t>
      </w:r>
      <w:r w:rsidRPr="00DB68FB">
        <w:rPr>
          <w:rFonts w:ascii="Times New Roman" w:hAnsi="Times New Roman"/>
        </w:rPr>
        <w:t xml:space="preserve">population totals are upheld. </w:t>
      </w:r>
    </w:p>
    <w:p w14:paraId="6CBDBE17" w14:textId="7E5FB78F" w:rsidR="002B3579" w:rsidRDefault="002B3579" w:rsidP="002B3579">
      <w:pPr>
        <w:ind w:left="0"/>
        <w:rPr>
          <w:rFonts w:ascii="Times New Roman" w:hAnsi="Times New Roman"/>
        </w:rPr>
      </w:pPr>
    </w:p>
    <w:p w14:paraId="3911EE79" w14:textId="77777777" w:rsidR="00E42BCC" w:rsidRDefault="00E42BCC" w:rsidP="002B3579">
      <w:pPr>
        <w:ind w:left="0"/>
        <w:rPr>
          <w:rFonts w:ascii="Times New Roman" w:hAnsi="Times New Roman"/>
        </w:rPr>
      </w:pPr>
    </w:p>
    <w:p w14:paraId="46326992" w14:textId="77777777" w:rsidR="002B3579" w:rsidRPr="00A00EE1" w:rsidRDefault="002B3579" w:rsidP="002B3579">
      <w:pPr>
        <w:ind w:left="0"/>
        <w:rPr>
          <w:rFonts w:ascii="Times New Roman" w:hAnsi="Times New Roman"/>
          <w:i/>
          <w:u w:val="single"/>
        </w:rPr>
      </w:pPr>
      <w:r>
        <w:rPr>
          <w:rFonts w:ascii="Times New Roman" w:hAnsi="Times New Roman"/>
          <w:i/>
          <w:u w:val="single"/>
        </w:rPr>
        <w:t>Weighting Adjustment for Extreme Weights</w:t>
      </w:r>
    </w:p>
    <w:p w14:paraId="1708F190" w14:textId="77777777" w:rsidR="002B3579" w:rsidRDefault="002B3579" w:rsidP="002B3579">
      <w:pPr>
        <w:ind w:left="0"/>
        <w:rPr>
          <w:rFonts w:ascii="Times New Roman" w:hAnsi="Times New Roman"/>
        </w:rPr>
      </w:pPr>
      <w:r w:rsidRPr="00DB68FB">
        <w:rPr>
          <w:rFonts w:ascii="Times New Roman" w:hAnsi="Times New Roman"/>
        </w:rPr>
        <w:t>After the completion of the</w:t>
      </w:r>
      <w:r>
        <w:rPr>
          <w:rFonts w:ascii="Times New Roman" w:hAnsi="Times New Roman"/>
        </w:rPr>
        <w:t>se</w:t>
      </w:r>
      <w:r w:rsidRPr="00DB68FB">
        <w:rPr>
          <w:rFonts w:ascii="Times New Roman" w:hAnsi="Times New Roman"/>
        </w:rPr>
        <w:t xml:space="preserve"> weighting</w:t>
      </w:r>
      <w:r>
        <w:rPr>
          <w:rFonts w:ascii="Times New Roman" w:hAnsi="Times New Roman"/>
        </w:rPr>
        <w:t xml:space="preserve"> steps</w:t>
      </w:r>
      <w:r w:rsidRPr="00DB68FB">
        <w:rPr>
          <w:rFonts w:ascii="Times New Roman" w:hAnsi="Times New Roman"/>
        </w:rPr>
        <w:t xml:space="preserve">, </w:t>
      </w:r>
      <w:r w:rsidRPr="00DB68FB">
        <w:rPr>
          <w:rFonts w:ascii="Times New Roman" w:hAnsi="Times New Roman"/>
          <w:szCs w:val="24"/>
        </w:rPr>
        <w:t xml:space="preserve">some of the weights may be relatively large compared to other weights in the same analytical domain.  Since extreme weights can greatly increase the variance of survey estimates, </w:t>
      </w:r>
      <w:r>
        <w:rPr>
          <w:rFonts w:ascii="Times New Roman" w:hAnsi="Times New Roman"/>
          <w:szCs w:val="24"/>
        </w:rPr>
        <w:t>NCSES</w:t>
      </w:r>
      <w:r w:rsidRPr="00DB68FB">
        <w:rPr>
          <w:rFonts w:ascii="Times New Roman" w:hAnsi="Times New Roman"/>
          <w:szCs w:val="24"/>
        </w:rPr>
        <w:t xml:space="preserve"> will </w:t>
      </w:r>
      <w:r>
        <w:rPr>
          <w:rFonts w:ascii="Times New Roman" w:hAnsi="Times New Roman"/>
          <w:szCs w:val="24"/>
        </w:rPr>
        <w:t>implement</w:t>
      </w:r>
      <w:r w:rsidRPr="00DB68FB">
        <w:rPr>
          <w:rFonts w:ascii="Times New Roman" w:hAnsi="Times New Roman"/>
          <w:szCs w:val="24"/>
        </w:rPr>
        <w:t xml:space="preserve"> weight trimming options.  </w:t>
      </w:r>
      <w:r w:rsidRPr="00DB68FB">
        <w:rPr>
          <w:rFonts w:ascii="Times New Roman" w:hAnsi="Times New Roman"/>
        </w:rPr>
        <w:t xml:space="preserve">When weight trimming is used, the final survey estimates may be biased.  However, by trimming the extreme weights, the assumption is that the decrease in variance will offset the associated increase in bias so that the final survey estimates have a smaller mean square error.  Depending on the weighting truncation adjustment used to address extreme weights, it is possible the weighted totals for the key marginals will no longer equal the population totals used in the iterative raking procedure.  To correct this possible inequality, the </w:t>
      </w:r>
      <w:r>
        <w:rPr>
          <w:rFonts w:ascii="Times New Roman" w:hAnsi="Times New Roman"/>
        </w:rPr>
        <w:t xml:space="preserve">next </w:t>
      </w:r>
      <w:r w:rsidRPr="00DB68FB">
        <w:rPr>
          <w:rFonts w:ascii="Times New Roman" w:hAnsi="Times New Roman"/>
        </w:rPr>
        <w:t xml:space="preserve">step in the </w:t>
      </w:r>
      <w:r>
        <w:rPr>
          <w:rFonts w:ascii="Times New Roman" w:hAnsi="Times New Roman"/>
        </w:rPr>
        <w:t>2019</w:t>
      </w:r>
      <w:r w:rsidRPr="00DB68FB">
        <w:rPr>
          <w:rFonts w:ascii="Times New Roman" w:hAnsi="Times New Roman"/>
        </w:rPr>
        <w:t xml:space="preserve"> NSCG weighting processing will be an iterative raking procedure</w:t>
      </w:r>
      <w:r>
        <w:rPr>
          <w:rFonts w:ascii="Times New Roman" w:hAnsi="Times New Roman"/>
        </w:rPr>
        <w:t xml:space="preserve"> to control to pre-trimmed totals within key domains</w:t>
      </w:r>
      <w:r w:rsidRPr="00DB68FB">
        <w:rPr>
          <w:rFonts w:ascii="Times New Roman" w:hAnsi="Times New Roman"/>
        </w:rPr>
        <w:t xml:space="preserve">.  </w:t>
      </w:r>
      <w:r>
        <w:rPr>
          <w:rFonts w:ascii="Times New Roman" w:hAnsi="Times New Roman"/>
        </w:rPr>
        <w:t xml:space="preserve">Finally, an </w:t>
      </w:r>
      <w:r w:rsidRPr="00DB68FB">
        <w:rPr>
          <w:rFonts w:ascii="Times New Roman" w:hAnsi="Times New Roman"/>
        </w:rPr>
        <w:t xml:space="preserve">additional execution of the </w:t>
      </w:r>
      <w:r>
        <w:rPr>
          <w:rFonts w:ascii="Times New Roman" w:hAnsi="Times New Roman"/>
        </w:rPr>
        <w:t xml:space="preserve">post-stratification </w:t>
      </w:r>
      <w:r w:rsidRPr="00DB68FB">
        <w:rPr>
          <w:rFonts w:ascii="Times New Roman" w:hAnsi="Times New Roman"/>
        </w:rPr>
        <w:t>procedure</w:t>
      </w:r>
      <w:r>
        <w:rPr>
          <w:rFonts w:ascii="Times New Roman" w:hAnsi="Times New Roman"/>
        </w:rPr>
        <w:t xml:space="preserve"> to control to ACS population totals will be performed.</w:t>
      </w:r>
    </w:p>
    <w:p w14:paraId="4D27EDE4" w14:textId="77777777" w:rsidR="002B3579" w:rsidRDefault="002B3579" w:rsidP="002B3579">
      <w:pPr>
        <w:ind w:left="0"/>
        <w:rPr>
          <w:rFonts w:ascii="Times New Roman" w:hAnsi="Times New Roman"/>
        </w:rPr>
      </w:pPr>
    </w:p>
    <w:p w14:paraId="0FDE0FBC" w14:textId="77777777" w:rsidR="002B3579" w:rsidRPr="00E465F9" w:rsidRDefault="002B3579" w:rsidP="002B3579">
      <w:pPr>
        <w:ind w:left="0"/>
        <w:rPr>
          <w:rFonts w:ascii="Times New Roman" w:hAnsi="Times New Roman"/>
          <w:i/>
          <w:u w:val="single"/>
        </w:rPr>
      </w:pPr>
      <w:r w:rsidRPr="00E465F9">
        <w:rPr>
          <w:rFonts w:ascii="Times New Roman" w:hAnsi="Times New Roman"/>
          <w:i/>
          <w:u w:val="single"/>
        </w:rPr>
        <w:t>Degree Undercoverage Adjustment</w:t>
      </w:r>
    </w:p>
    <w:p w14:paraId="550E52D9" w14:textId="77777777" w:rsidR="002B3579" w:rsidRDefault="002B3579" w:rsidP="002B3579">
      <w:pPr>
        <w:ind w:left="0"/>
        <w:rPr>
          <w:rFonts w:ascii="Times New Roman" w:hAnsi="Times New Roman"/>
        </w:rPr>
      </w:pPr>
      <w:r>
        <w:rPr>
          <w:rFonts w:ascii="Times New Roman" w:hAnsi="Times New Roman"/>
          <w:szCs w:val="24"/>
        </w:rPr>
        <w:t xml:space="preserve">The 2019 NSCG new sample does not have complete coverage of the population that first earned a degree during 2017, the ACS data collection year.  For example, an ACS sample person that earned their first degree in May 2017, would be eligible for selection into the NSCG if their household was interviewed by ACS in July 2017 (i.e., after they earned their first degree).  However, they would not be eligible for selection into the NSCG if their household was interviewed by ACS in March 2017 (i.e., before they earned their first degree).  </w:t>
      </w:r>
    </w:p>
    <w:p w14:paraId="218D2779" w14:textId="77777777" w:rsidR="002B3579" w:rsidRDefault="002B3579" w:rsidP="002B3579">
      <w:pPr>
        <w:ind w:left="0"/>
        <w:rPr>
          <w:rFonts w:ascii="Times New Roman" w:hAnsi="Times New Roman"/>
        </w:rPr>
      </w:pPr>
    </w:p>
    <w:p w14:paraId="3F30223A" w14:textId="77777777" w:rsidR="002B3579" w:rsidRDefault="002B3579" w:rsidP="002B3579">
      <w:pPr>
        <w:ind w:left="0"/>
        <w:rPr>
          <w:rFonts w:ascii="Times New Roman" w:hAnsi="Times New Roman"/>
          <w:szCs w:val="24"/>
        </w:rPr>
      </w:pPr>
      <w:r>
        <w:rPr>
          <w:rFonts w:ascii="Times New Roman" w:hAnsi="Times New Roman"/>
          <w:szCs w:val="24"/>
        </w:rPr>
        <w:t>Given that individuals who earned a degree after their ACS interview date are not eligible for the NSCG, the 2019 NSCG has undercoverage of individuals with their first degrees earned in 2017.  To ensure the 2019 NSCG provides coverage of all individuals with degrees earned during 2017, a weighting adjustment is included in the 2019 NSCG weighting processing to account for this undercoverage.  The Census Bureau conducted research on weighting adjustment methods during the 2013 NSCG cycle and an iterative reweighting model-based method was chosen to adjust the weights for this undercoverage.  The weights after the degree undercoverage adjustment serve as the final panel-level weights.</w:t>
      </w:r>
    </w:p>
    <w:p w14:paraId="349DD9AC" w14:textId="77777777" w:rsidR="002B3579" w:rsidRDefault="002B3579" w:rsidP="002B3579">
      <w:pPr>
        <w:ind w:left="0"/>
        <w:rPr>
          <w:rFonts w:ascii="Times New Roman" w:hAnsi="Times New Roman"/>
        </w:rPr>
      </w:pPr>
    </w:p>
    <w:p w14:paraId="26B463B8" w14:textId="77777777" w:rsidR="002B3579" w:rsidRPr="00A00EE1" w:rsidRDefault="002B3579" w:rsidP="002B3579">
      <w:pPr>
        <w:ind w:left="0"/>
        <w:rPr>
          <w:rFonts w:ascii="Times New Roman" w:hAnsi="Times New Roman"/>
          <w:i/>
          <w:u w:val="single"/>
        </w:rPr>
      </w:pPr>
      <w:r w:rsidRPr="00A00EE1">
        <w:rPr>
          <w:rFonts w:ascii="Times New Roman" w:hAnsi="Times New Roman"/>
          <w:i/>
          <w:u w:val="single"/>
        </w:rPr>
        <w:t>Derivation of Combined Weights</w:t>
      </w:r>
    </w:p>
    <w:p w14:paraId="71624137" w14:textId="37BF2BF8" w:rsidR="002B3579" w:rsidRPr="00DB68FB" w:rsidRDefault="002B3579" w:rsidP="002B3579">
      <w:pPr>
        <w:ind w:left="0"/>
        <w:rPr>
          <w:rFonts w:ascii="Times New Roman" w:hAnsi="Times New Roman"/>
        </w:rPr>
      </w:pPr>
      <w:r w:rsidRPr="00DB68FB">
        <w:rPr>
          <w:rFonts w:ascii="Times New Roman" w:hAnsi="Times New Roman"/>
        </w:rPr>
        <w:t xml:space="preserve">To increase the reliability of estimates of the small demographic/degree field groups used in the congressionally mandated report on </w:t>
      </w:r>
      <w:r w:rsidRPr="00DB68FB">
        <w:rPr>
          <w:rFonts w:ascii="Times New Roman" w:hAnsi="Times New Roman"/>
          <w:i/>
        </w:rPr>
        <w:t xml:space="preserve">Women, Minorities and Persons with Disabilities in Science and Engineering </w:t>
      </w:r>
      <w:r w:rsidRPr="00DB68FB">
        <w:rPr>
          <w:rFonts w:ascii="Times New Roman" w:hAnsi="Times New Roman"/>
        </w:rPr>
        <w:t>(</w:t>
      </w:r>
      <w:r w:rsidR="00361FD6">
        <w:rPr>
          <w:rFonts w:ascii="Times New Roman" w:hAnsi="Times New Roman"/>
        </w:rPr>
        <w:t>s</w:t>
      </w:r>
      <w:r w:rsidRPr="00DB68FB">
        <w:rPr>
          <w:rFonts w:ascii="Times New Roman" w:hAnsi="Times New Roman"/>
        </w:rPr>
        <w:t xml:space="preserve">ee 42 U.S.C. 1885d), </w:t>
      </w:r>
      <w:r>
        <w:rPr>
          <w:rFonts w:ascii="Times New Roman" w:hAnsi="Times New Roman"/>
        </w:rPr>
        <w:t>NCSES</w:t>
      </w:r>
      <w:r w:rsidRPr="00DB68FB">
        <w:rPr>
          <w:rFonts w:ascii="Times New Roman" w:hAnsi="Times New Roman"/>
        </w:rPr>
        <w:t xml:space="preserve"> will combine the </w:t>
      </w:r>
      <w:r>
        <w:rPr>
          <w:rFonts w:ascii="Times New Roman" w:hAnsi="Times New Roman"/>
        </w:rPr>
        <w:t>new sample and returning sample</w:t>
      </w:r>
      <w:r w:rsidRPr="00DB68FB">
        <w:rPr>
          <w:rFonts w:ascii="Times New Roman" w:hAnsi="Times New Roman"/>
        </w:rPr>
        <w:t xml:space="preserve"> together and </w:t>
      </w:r>
      <w:r>
        <w:rPr>
          <w:rFonts w:ascii="Times New Roman" w:hAnsi="Times New Roman"/>
        </w:rPr>
        <w:t xml:space="preserve">will </w:t>
      </w:r>
      <w:r w:rsidRPr="00DB68FB">
        <w:rPr>
          <w:rFonts w:ascii="Times New Roman" w:hAnsi="Times New Roman"/>
        </w:rPr>
        <w:t>form combined weights</w:t>
      </w:r>
      <w:r>
        <w:rPr>
          <w:rFonts w:ascii="Times New Roman" w:hAnsi="Times New Roman"/>
        </w:rPr>
        <w:t xml:space="preserve"> to use in estimation for the combined set of cases</w:t>
      </w:r>
      <w:r w:rsidRPr="00DB68FB">
        <w:rPr>
          <w:rFonts w:ascii="Times New Roman" w:hAnsi="Times New Roman"/>
        </w:rPr>
        <w:t xml:space="preserve">.  The combined weights will be formed by adjusting </w:t>
      </w:r>
      <w:r>
        <w:rPr>
          <w:rFonts w:ascii="Times New Roman" w:hAnsi="Times New Roman"/>
        </w:rPr>
        <w:t>the new sample final weights and the returning sample final weights</w:t>
      </w:r>
      <w:r w:rsidRPr="00DB68FB">
        <w:rPr>
          <w:rFonts w:ascii="Times New Roman" w:hAnsi="Times New Roman"/>
        </w:rPr>
        <w:t xml:space="preserve"> to account for the overlap in target population coverage.  The result will be a combined final weight for all </w:t>
      </w:r>
      <w:r>
        <w:rPr>
          <w:rFonts w:ascii="Times New Roman" w:hAnsi="Times New Roman"/>
        </w:rPr>
        <w:t>14</w:t>
      </w:r>
      <w:r w:rsidR="003125BB">
        <w:rPr>
          <w:rFonts w:ascii="Times New Roman" w:hAnsi="Times New Roman"/>
        </w:rPr>
        <w:t>8</w:t>
      </w:r>
      <w:r w:rsidRPr="00DB68FB">
        <w:rPr>
          <w:rFonts w:ascii="Times New Roman" w:hAnsi="Times New Roman"/>
        </w:rPr>
        <w:t>,</w:t>
      </w:r>
      <w:r>
        <w:rPr>
          <w:rFonts w:ascii="Times New Roman" w:hAnsi="Times New Roman"/>
        </w:rPr>
        <w:t>0</w:t>
      </w:r>
      <w:r w:rsidRPr="00DB68FB">
        <w:rPr>
          <w:rFonts w:ascii="Times New Roman" w:hAnsi="Times New Roman"/>
        </w:rPr>
        <w:t>00 NSCG sample cases.</w:t>
      </w:r>
    </w:p>
    <w:p w14:paraId="616CBDBC" w14:textId="77777777" w:rsidR="002B3579" w:rsidRPr="00DB68FB" w:rsidRDefault="002B3579" w:rsidP="002B3579">
      <w:pPr>
        <w:ind w:left="0"/>
        <w:rPr>
          <w:rFonts w:ascii="Times New Roman" w:hAnsi="Times New Roman"/>
        </w:rPr>
      </w:pPr>
    </w:p>
    <w:p w14:paraId="23B7BEB9" w14:textId="77777777" w:rsidR="002B3579" w:rsidRPr="00772101" w:rsidRDefault="002B3579" w:rsidP="002B3579">
      <w:pPr>
        <w:ind w:left="0"/>
        <w:rPr>
          <w:rFonts w:ascii="Times New Roman" w:hAnsi="Times New Roman"/>
          <w:i/>
          <w:u w:val="single"/>
        </w:rPr>
      </w:pPr>
      <w:r w:rsidRPr="00772101">
        <w:rPr>
          <w:rFonts w:ascii="Times New Roman" w:hAnsi="Times New Roman"/>
          <w:i/>
          <w:iCs/>
          <w:u w:val="single"/>
        </w:rPr>
        <w:t>Replicate Weights</w:t>
      </w:r>
      <w:r w:rsidRPr="00772101">
        <w:rPr>
          <w:rFonts w:ascii="Times New Roman" w:hAnsi="Times New Roman"/>
          <w:i/>
          <w:u w:val="single"/>
        </w:rPr>
        <w:t xml:space="preserve">  </w:t>
      </w:r>
    </w:p>
    <w:p w14:paraId="5B1C887C" w14:textId="77777777" w:rsidR="002B3579" w:rsidRDefault="002B3579" w:rsidP="002B3579">
      <w:pPr>
        <w:ind w:left="0"/>
        <w:rPr>
          <w:rFonts w:ascii="Times New Roman" w:hAnsi="Times New Roman"/>
        </w:rPr>
      </w:pPr>
      <w:r>
        <w:rPr>
          <w:rFonts w:ascii="Times New Roman" w:hAnsi="Times New Roman"/>
        </w:rPr>
        <w:t xml:space="preserve">Sets of </w:t>
      </w:r>
      <w:r w:rsidRPr="00DB68FB">
        <w:rPr>
          <w:rFonts w:ascii="Times New Roman" w:hAnsi="Times New Roman"/>
        </w:rPr>
        <w:t>replicate weights will also be constructed to allow for separate variance estimation for the new sample</w:t>
      </w:r>
      <w:r>
        <w:rPr>
          <w:rFonts w:ascii="Times New Roman" w:hAnsi="Times New Roman"/>
        </w:rPr>
        <w:t xml:space="preserve"> and for each panel within the returning sample</w:t>
      </w:r>
      <w:r w:rsidRPr="00DB68FB">
        <w:rPr>
          <w:rFonts w:ascii="Times New Roman" w:hAnsi="Times New Roman"/>
        </w:rPr>
        <w:t xml:space="preserve">. The replicate weight for </w:t>
      </w:r>
      <w:r>
        <w:rPr>
          <w:rFonts w:ascii="Times New Roman" w:hAnsi="Times New Roman"/>
        </w:rPr>
        <w:t>the combined</w:t>
      </w:r>
      <w:r w:rsidRPr="00DB68FB">
        <w:rPr>
          <w:rFonts w:ascii="Times New Roman" w:hAnsi="Times New Roman"/>
        </w:rPr>
        <w:t xml:space="preserve"> estimates will be constructed from these </w:t>
      </w:r>
      <w:r>
        <w:rPr>
          <w:rFonts w:ascii="Times New Roman" w:hAnsi="Times New Roman"/>
        </w:rPr>
        <w:t>sets of</w:t>
      </w:r>
      <w:r w:rsidRPr="00DB68FB">
        <w:rPr>
          <w:rFonts w:ascii="Times New Roman" w:hAnsi="Times New Roman"/>
        </w:rPr>
        <w:t xml:space="preserve"> </w:t>
      </w:r>
      <w:r>
        <w:rPr>
          <w:rFonts w:ascii="Times New Roman" w:hAnsi="Times New Roman"/>
        </w:rPr>
        <w:t>replicate</w:t>
      </w:r>
      <w:r w:rsidRPr="00DB68FB">
        <w:rPr>
          <w:rFonts w:ascii="Times New Roman" w:hAnsi="Times New Roman"/>
        </w:rPr>
        <w:t xml:space="preserve"> weights.  The entire weighting process applied to the full sample will be applied separately to each of the replicates in producing the replicate weights.</w:t>
      </w:r>
    </w:p>
    <w:p w14:paraId="70ACEF9C" w14:textId="77777777" w:rsidR="002B3579" w:rsidRDefault="002B3579" w:rsidP="002B3579">
      <w:pPr>
        <w:ind w:left="0"/>
        <w:rPr>
          <w:rFonts w:ascii="Times New Roman" w:hAnsi="Times New Roman"/>
        </w:rPr>
      </w:pPr>
    </w:p>
    <w:p w14:paraId="6B621D3F" w14:textId="77777777" w:rsidR="008C491E" w:rsidRPr="00AD7000" w:rsidRDefault="008C491E" w:rsidP="008C491E">
      <w:pPr>
        <w:ind w:left="0"/>
        <w:rPr>
          <w:rFonts w:ascii="Times New Roman" w:hAnsi="Times New Roman"/>
        </w:rPr>
      </w:pPr>
      <w:r w:rsidRPr="00772101">
        <w:rPr>
          <w:rFonts w:ascii="Times New Roman" w:hAnsi="Times New Roman"/>
          <w:i/>
          <w:iCs/>
          <w:u w:val="single"/>
        </w:rPr>
        <w:t>Standard Errors</w:t>
      </w:r>
    </w:p>
    <w:p w14:paraId="51505C06" w14:textId="58A1FACE" w:rsidR="002B3579" w:rsidRPr="00DB68FB" w:rsidRDefault="002B3579" w:rsidP="008C491E">
      <w:pPr>
        <w:ind w:left="0"/>
        <w:rPr>
          <w:rFonts w:ascii="Times New Roman" w:hAnsi="Times New Roman"/>
        </w:rPr>
      </w:pPr>
      <w:r>
        <w:rPr>
          <w:rFonts w:ascii="Times New Roman" w:hAnsi="Times New Roman"/>
        </w:rPr>
        <w:t>The replicate</w:t>
      </w:r>
      <w:r w:rsidRPr="00DB68FB">
        <w:rPr>
          <w:rFonts w:ascii="Times New Roman" w:hAnsi="Times New Roman"/>
        </w:rPr>
        <w:t xml:space="preserve"> weights will be used to estimate</w:t>
      </w:r>
      <w:r>
        <w:rPr>
          <w:rFonts w:ascii="Times New Roman" w:hAnsi="Times New Roman"/>
        </w:rPr>
        <w:t xml:space="preserve"> the standard errors of the 2019</w:t>
      </w:r>
      <w:r w:rsidRPr="00DB68FB">
        <w:rPr>
          <w:rFonts w:ascii="Times New Roman" w:hAnsi="Times New Roman"/>
        </w:rPr>
        <w:t xml:space="preserve"> NSCG estimates.  The variance of a survey estimate based on any probability sample may be estimated by the method of replication.  This method require</w:t>
      </w:r>
      <w:r>
        <w:rPr>
          <w:rFonts w:ascii="Times New Roman" w:hAnsi="Times New Roman"/>
        </w:rPr>
        <w:t>s that the sample selection</w:t>
      </w:r>
      <w:r w:rsidRPr="00DB68FB">
        <w:rPr>
          <w:rFonts w:ascii="Times New Roman" w:hAnsi="Times New Roman"/>
        </w:rPr>
        <w:t xml:space="preserve"> and the estimation procedures be independently carried through (replicated) several times. The dispersion of the resulting replicated estimates then can be used to measure the variance of the full sample.</w:t>
      </w:r>
    </w:p>
    <w:p w14:paraId="0718332A" w14:textId="77777777" w:rsidR="000B409E" w:rsidRDefault="000B409E" w:rsidP="003C2CF0">
      <w:pPr>
        <w:tabs>
          <w:tab w:val="left" w:pos="0"/>
          <w:tab w:val="left" w:pos="540"/>
        </w:tabs>
        <w:suppressAutoHyphens/>
        <w:ind w:left="0"/>
        <w:rPr>
          <w:rFonts w:ascii="Times New Roman" w:hAnsi="Times New Roman"/>
          <w:b/>
          <w:szCs w:val="24"/>
        </w:rPr>
      </w:pPr>
    </w:p>
    <w:p w14:paraId="6E8C8A7B" w14:textId="38253969" w:rsidR="003C2CF0" w:rsidRPr="001A353A" w:rsidRDefault="003C2CF0" w:rsidP="003C2CF0">
      <w:pPr>
        <w:tabs>
          <w:tab w:val="left" w:pos="0"/>
          <w:tab w:val="left" w:pos="540"/>
        </w:tabs>
        <w:suppressAutoHyphens/>
        <w:ind w:left="0"/>
        <w:rPr>
          <w:rFonts w:ascii="Times New Roman" w:hAnsi="Times New Roman"/>
          <w:b/>
          <w:szCs w:val="24"/>
        </w:rPr>
      </w:pPr>
      <w:r w:rsidRPr="001A353A">
        <w:rPr>
          <w:rFonts w:ascii="Times New Roman" w:hAnsi="Times New Roman"/>
          <w:b/>
          <w:szCs w:val="24"/>
        </w:rPr>
        <w:t>Questionnaire</w:t>
      </w:r>
      <w:r w:rsidR="00844DA7">
        <w:rPr>
          <w:rFonts w:ascii="Times New Roman" w:hAnsi="Times New Roman"/>
          <w:b/>
          <w:szCs w:val="24"/>
        </w:rPr>
        <w:t>s and Survey</w:t>
      </w:r>
      <w:r w:rsidRPr="001A353A">
        <w:rPr>
          <w:rFonts w:ascii="Times New Roman" w:hAnsi="Times New Roman"/>
          <w:b/>
          <w:szCs w:val="24"/>
        </w:rPr>
        <w:t xml:space="preserve"> C</w:t>
      </w:r>
      <w:r>
        <w:rPr>
          <w:rFonts w:ascii="Times New Roman" w:hAnsi="Times New Roman"/>
          <w:b/>
          <w:szCs w:val="24"/>
        </w:rPr>
        <w:t>ontent</w:t>
      </w:r>
    </w:p>
    <w:p w14:paraId="2533F36E" w14:textId="671C1602" w:rsidR="00BE6D80" w:rsidRPr="00F30742" w:rsidRDefault="00BE6D80" w:rsidP="00BE6D80">
      <w:pPr>
        <w:ind w:left="0"/>
        <w:rPr>
          <w:rFonts w:ascii="Times New Roman" w:hAnsi="Times New Roman"/>
          <w:color w:val="000000"/>
        </w:rPr>
      </w:pPr>
      <w:r>
        <w:rPr>
          <w:rFonts w:ascii="Times New Roman" w:hAnsi="Times New Roman"/>
          <w:color w:val="000000"/>
        </w:rPr>
        <w:t xml:space="preserve">As was the case in the 2017 NSCG, we will use </w:t>
      </w:r>
      <w:r w:rsidR="00105980">
        <w:rPr>
          <w:rFonts w:ascii="Times New Roman" w:hAnsi="Times New Roman"/>
          <w:color w:val="000000"/>
        </w:rPr>
        <w:t xml:space="preserve">three </w:t>
      </w:r>
      <w:r w:rsidRPr="00DB68FB">
        <w:rPr>
          <w:rFonts w:ascii="Times New Roman" w:hAnsi="Times New Roman"/>
          <w:color w:val="000000"/>
        </w:rPr>
        <w:t xml:space="preserve">different versions of the </w:t>
      </w:r>
      <w:r w:rsidR="00452718">
        <w:rPr>
          <w:rFonts w:ascii="Times New Roman" w:hAnsi="Times New Roman"/>
          <w:color w:val="000000"/>
        </w:rPr>
        <w:t xml:space="preserve">2019 </w:t>
      </w:r>
      <w:r>
        <w:rPr>
          <w:rFonts w:ascii="Times New Roman" w:hAnsi="Times New Roman"/>
          <w:color w:val="000000"/>
        </w:rPr>
        <w:t xml:space="preserve">NSCG </w:t>
      </w:r>
      <w:r w:rsidRPr="00DB68FB">
        <w:rPr>
          <w:rFonts w:ascii="Times New Roman" w:hAnsi="Times New Roman"/>
          <w:color w:val="000000"/>
        </w:rPr>
        <w:t>questionnaire</w:t>
      </w:r>
      <w:r w:rsidR="00F30742">
        <w:rPr>
          <w:rFonts w:ascii="Times New Roman" w:hAnsi="Times New Roman"/>
          <w:color w:val="000000"/>
        </w:rPr>
        <w:t xml:space="preserve">: 1) one </w:t>
      </w:r>
      <w:r>
        <w:rPr>
          <w:rFonts w:ascii="Times New Roman" w:hAnsi="Times New Roman"/>
          <w:color w:val="000000"/>
        </w:rPr>
        <w:t xml:space="preserve">for new sample </w:t>
      </w:r>
      <w:r w:rsidR="00F30742">
        <w:rPr>
          <w:rFonts w:ascii="Times New Roman" w:hAnsi="Times New Roman"/>
          <w:color w:val="000000"/>
        </w:rPr>
        <w:t xml:space="preserve">members, 2) one </w:t>
      </w:r>
      <w:r>
        <w:rPr>
          <w:rFonts w:ascii="Times New Roman" w:hAnsi="Times New Roman"/>
          <w:color w:val="000000"/>
        </w:rPr>
        <w:t>for returning</w:t>
      </w:r>
      <w:r w:rsidR="00F30742">
        <w:rPr>
          <w:rFonts w:ascii="Times New Roman" w:hAnsi="Times New Roman"/>
          <w:color w:val="000000"/>
        </w:rPr>
        <w:t xml:space="preserve"> sample members who responded in 2017, and 3) one for returning sample members who did not respond in 2017</w:t>
      </w:r>
      <w:r>
        <w:rPr>
          <w:rFonts w:ascii="Times New Roman" w:hAnsi="Times New Roman"/>
          <w:color w:val="000000"/>
        </w:rPr>
        <w:t xml:space="preserve">.  The </w:t>
      </w:r>
      <w:r w:rsidRPr="00DB68FB">
        <w:rPr>
          <w:rFonts w:ascii="Times New Roman" w:hAnsi="Times New Roman"/>
          <w:color w:val="000000"/>
        </w:rPr>
        <w:t xml:space="preserve">main difference </w:t>
      </w:r>
      <w:r>
        <w:rPr>
          <w:rFonts w:ascii="Times New Roman" w:hAnsi="Times New Roman"/>
          <w:color w:val="000000"/>
        </w:rPr>
        <w:t xml:space="preserve">is that the </w:t>
      </w:r>
      <w:r w:rsidRPr="00DB68FB">
        <w:rPr>
          <w:rFonts w:ascii="Times New Roman" w:hAnsi="Times New Roman"/>
          <w:color w:val="000000"/>
        </w:rPr>
        <w:t>questionnaire</w:t>
      </w:r>
      <w:r w:rsidR="00E278BA">
        <w:rPr>
          <w:rFonts w:ascii="Times New Roman" w:hAnsi="Times New Roman"/>
          <w:color w:val="000000"/>
        </w:rPr>
        <w:t>s</w:t>
      </w:r>
      <w:r>
        <w:rPr>
          <w:rFonts w:ascii="Times New Roman" w:hAnsi="Times New Roman"/>
          <w:color w:val="000000"/>
        </w:rPr>
        <w:t xml:space="preserve"> for returning sample </w:t>
      </w:r>
      <w:r w:rsidR="00F30742">
        <w:rPr>
          <w:rFonts w:ascii="Times New Roman" w:hAnsi="Times New Roman"/>
          <w:color w:val="000000"/>
        </w:rPr>
        <w:t>members</w:t>
      </w:r>
      <w:r>
        <w:rPr>
          <w:rFonts w:ascii="Times New Roman" w:hAnsi="Times New Roman"/>
          <w:color w:val="000000"/>
        </w:rPr>
        <w:t xml:space="preserve"> do not include questions where the response likely </w:t>
      </w:r>
      <w:r w:rsidR="00F30742">
        <w:rPr>
          <w:rFonts w:ascii="Times New Roman" w:hAnsi="Times New Roman"/>
          <w:color w:val="000000"/>
        </w:rPr>
        <w:t>would</w:t>
      </w:r>
      <w:r>
        <w:rPr>
          <w:rFonts w:ascii="Times New Roman" w:hAnsi="Times New Roman"/>
          <w:color w:val="000000"/>
        </w:rPr>
        <w:t xml:space="preserve"> not change from one cycle to the next.  Specifically, the questionnaire for new sample </w:t>
      </w:r>
      <w:r w:rsidR="00F30742">
        <w:rPr>
          <w:rFonts w:ascii="Times New Roman" w:hAnsi="Times New Roman"/>
          <w:color w:val="000000"/>
        </w:rPr>
        <w:t>members</w:t>
      </w:r>
      <w:r>
        <w:rPr>
          <w:rFonts w:ascii="Times New Roman" w:hAnsi="Times New Roman"/>
          <w:color w:val="000000"/>
        </w:rPr>
        <w:t xml:space="preserve"> includes a </w:t>
      </w:r>
      <w:r w:rsidRPr="00334B0F">
        <w:rPr>
          <w:rFonts w:ascii="Times New Roman" w:hAnsi="Times New Roman"/>
          <w:color w:val="000000"/>
        </w:rPr>
        <w:t xml:space="preserve">degree history grid and certain demographic questions (e.g., race, ethnicity, and gender) that are not asked in the </w:t>
      </w:r>
      <w:r>
        <w:rPr>
          <w:rFonts w:ascii="Times New Roman" w:hAnsi="Times New Roman"/>
          <w:color w:val="000000"/>
        </w:rPr>
        <w:t>questionnaire</w:t>
      </w:r>
      <w:r w:rsidR="00F30742">
        <w:rPr>
          <w:rFonts w:ascii="Times New Roman" w:hAnsi="Times New Roman"/>
          <w:color w:val="000000"/>
        </w:rPr>
        <w:t>s</w:t>
      </w:r>
      <w:r>
        <w:rPr>
          <w:rFonts w:ascii="Times New Roman" w:hAnsi="Times New Roman"/>
          <w:color w:val="000000"/>
        </w:rPr>
        <w:t xml:space="preserve"> for the returning </w:t>
      </w:r>
      <w:r w:rsidR="00F30742">
        <w:rPr>
          <w:rFonts w:ascii="Times New Roman" w:hAnsi="Times New Roman"/>
          <w:color w:val="000000"/>
        </w:rPr>
        <w:t>sample members</w:t>
      </w:r>
      <w:r>
        <w:rPr>
          <w:rFonts w:ascii="Times New Roman" w:hAnsi="Times New Roman"/>
          <w:color w:val="000000"/>
        </w:rPr>
        <w:t xml:space="preserve">.  If these items were not reported by the returning </w:t>
      </w:r>
      <w:r w:rsidR="00F30742">
        <w:rPr>
          <w:rFonts w:ascii="Times New Roman" w:hAnsi="Times New Roman"/>
          <w:color w:val="000000"/>
        </w:rPr>
        <w:t>sample members</w:t>
      </w:r>
      <w:r>
        <w:rPr>
          <w:rFonts w:ascii="Times New Roman" w:hAnsi="Times New Roman"/>
          <w:color w:val="000000"/>
        </w:rPr>
        <w:t xml:space="preserve"> during </w:t>
      </w:r>
      <w:r w:rsidR="00F30742">
        <w:rPr>
          <w:rFonts w:ascii="Times New Roman" w:hAnsi="Times New Roman"/>
          <w:color w:val="000000"/>
        </w:rPr>
        <w:t xml:space="preserve">a prior </w:t>
      </w:r>
      <w:r>
        <w:rPr>
          <w:rFonts w:ascii="Times New Roman" w:hAnsi="Times New Roman"/>
          <w:color w:val="000000"/>
        </w:rPr>
        <w:t>NSCG</w:t>
      </w:r>
      <w:r w:rsidR="00F30742">
        <w:rPr>
          <w:rFonts w:ascii="Times New Roman" w:hAnsi="Times New Roman"/>
          <w:color w:val="000000"/>
        </w:rPr>
        <w:t xml:space="preserve"> data collection</w:t>
      </w:r>
      <w:r>
        <w:rPr>
          <w:rFonts w:ascii="Times New Roman" w:hAnsi="Times New Roman"/>
          <w:color w:val="000000"/>
        </w:rPr>
        <w:t>, the web and CATI instruments will attempt to collect th</w:t>
      </w:r>
      <w:r w:rsidR="00F30742">
        <w:rPr>
          <w:rFonts w:ascii="Times New Roman" w:hAnsi="Times New Roman"/>
          <w:color w:val="000000"/>
        </w:rPr>
        <w:t>e</w:t>
      </w:r>
      <w:r>
        <w:rPr>
          <w:rFonts w:ascii="Times New Roman" w:hAnsi="Times New Roman"/>
          <w:color w:val="000000"/>
        </w:rPr>
        <w:t xml:space="preserve"> information this cycle.</w:t>
      </w:r>
      <w:r w:rsidR="00F30742">
        <w:rPr>
          <w:rFonts w:ascii="Times New Roman" w:hAnsi="Times New Roman"/>
          <w:color w:val="000000"/>
        </w:rPr>
        <w:t xml:space="preserve">  </w:t>
      </w:r>
      <w:r>
        <w:rPr>
          <w:rFonts w:ascii="Times New Roman" w:hAnsi="Times New Roman"/>
        </w:rPr>
        <w:t>Th</w:t>
      </w:r>
      <w:r w:rsidR="00F30742">
        <w:rPr>
          <w:rFonts w:ascii="Times New Roman" w:hAnsi="Times New Roman"/>
        </w:rPr>
        <w:t>e</w:t>
      </w:r>
      <w:r>
        <w:rPr>
          <w:rFonts w:ascii="Times New Roman" w:hAnsi="Times New Roman"/>
        </w:rPr>
        <w:t xml:space="preserve"> </w:t>
      </w:r>
      <w:r w:rsidR="00F30742">
        <w:rPr>
          <w:rFonts w:ascii="Times New Roman" w:hAnsi="Times New Roman"/>
        </w:rPr>
        <w:t xml:space="preserve">two </w:t>
      </w:r>
      <w:r>
        <w:rPr>
          <w:rFonts w:ascii="Times New Roman" w:hAnsi="Times New Roman"/>
        </w:rPr>
        <w:t>questionnaire</w:t>
      </w:r>
      <w:r w:rsidR="00F30742">
        <w:rPr>
          <w:rFonts w:ascii="Times New Roman" w:hAnsi="Times New Roman"/>
        </w:rPr>
        <w:t>s</w:t>
      </w:r>
      <w:r>
        <w:rPr>
          <w:rFonts w:ascii="Times New Roman" w:hAnsi="Times New Roman"/>
        </w:rPr>
        <w:t xml:space="preserve"> </w:t>
      </w:r>
      <w:r w:rsidR="00F30742">
        <w:rPr>
          <w:rFonts w:ascii="Times New Roman" w:hAnsi="Times New Roman"/>
        </w:rPr>
        <w:t xml:space="preserve">for the returning sample members </w:t>
      </w:r>
      <w:r w:rsidR="00E278BA">
        <w:rPr>
          <w:rFonts w:ascii="Times New Roman" w:hAnsi="Times New Roman"/>
        </w:rPr>
        <w:t xml:space="preserve">are </w:t>
      </w:r>
      <w:r>
        <w:rPr>
          <w:rFonts w:ascii="Times New Roman" w:hAnsi="Times New Roman"/>
        </w:rPr>
        <w:t xml:space="preserve">similar to </w:t>
      </w:r>
      <w:r w:rsidR="00E278BA">
        <w:rPr>
          <w:rFonts w:ascii="Times New Roman" w:hAnsi="Times New Roman"/>
        </w:rPr>
        <w:t xml:space="preserve">one another, </w:t>
      </w:r>
      <w:r>
        <w:rPr>
          <w:rFonts w:ascii="Times New Roman" w:hAnsi="Times New Roman"/>
        </w:rPr>
        <w:t>with the exception of a slightly longer date range for the questions about recent educational experiences</w:t>
      </w:r>
      <w:r w:rsidR="005F2D3A">
        <w:rPr>
          <w:rFonts w:ascii="Times New Roman" w:hAnsi="Times New Roman"/>
        </w:rPr>
        <w:t xml:space="preserve"> for the previous cycle non</w:t>
      </w:r>
      <w:r w:rsidR="00E278BA">
        <w:rPr>
          <w:rFonts w:ascii="Times New Roman" w:hAnsi="Times New Roman"/>
        </w:rPr>
        <w:t>respondents</w:t>
      </w:r>
      <w:r>
        <w:rPr>
          <w:rFonts w:ascii="Times New Roman" w:hAnsi="Times New Roman"/>
        </w:rPr>
        <w:t>.</w:t>
      </w:r>
    </w:p>
    <w:p w14:paraId="550E983B" w14:textId="77777777" w:rsidR="00BE6D80" w:rsidRDefault="00BE6D80" w:rsidP="00BE6D80">
      <w:pPr>
        <w:tabs>
          <w:tab w:val="left" w:pos="0"/>
          <w:tab w:val="left" w:pos="540"/>
        </w:tabs>
        <w:suppressAutoHyphens/>
        <w:ind w:left="0"/>
        <w:rPr>
          <w:rFonts w:ascii="Times New Roman" w:hAnsi="Times New Roman"/>
          <w:szCs w:val="24"/>
        </w:rPr>
      </w:pPr>
    </w:p>
    <w:p w14:paraId="2BF2F50A" w14:textId="1336EBBA" w:rsidR="00BE6D80" w:rsidRPr="00DB68FB" w:rsidRDefault="00BE6D80" w:rsidP="00BE6D80">
      <w:pPr>
        <w:tabs>
          <w:tab w:val="left" w:pos="540"/>
        </w:tabs>
        <w:ind w:left="0"/>
        <w:rPr>
          <w:rFonts w:ascii="Times New Roman" w:hAnsi="Times New Roman"/>
          <w:szCs w:val="24"/>
        </w:rPr>
      </w:pPr>
      <w:r w:rsidRPr="00DB68FB">
        <w:rPr>
          <w:rFonts w:ascii="Times New Roman" w:hAnsi="Times New Roman"/>
          <w:szCs w:val="24"/>
        </w:rPr>
        <w:t xml:space="preserve">The survey questionnaire items </w:t>
      </w:r>
      <w:r>
        <w:rPr>
          <w:rFonts w:ascii="Times New Roman" w:hAnsi="Times New Roman"/>
          <w:szCs w:val="24"/>
        </w:rPr>
        <w:t>for the NSCG can b</w:t>
      </w:r>
      <w:r w:rsidRPr="00DB68FB">
        <w:rPr>
          <w:rFonts w:ascii="Times New Roman" w:hAnsi="Times New Roman"/>
          <w:szCs w:val="24"/>
        </w:rPr>
        <w:t>e divided into two types of questions: core and module.  Core questions are defined as those considered t</w:t>
      </w:r>
      <w:r>
        <w:rPr>
          <w:rFonts w:ascii="Times New Roman" w:hAnsi="Times New Roman"/>
          <w:szCs w:val="24"/>
        </w:rPr>
        <w:t xml:space="preserve">o be the base for the </w:t>
      </w:r>
      <w:r w:rsidRPr="00DB68FB">
        <w:rPr>
          <w:rFonts w:ascii="Times New Roman" w:hAnsi="Times New Roman"/>
          <w:szCs w:val="24"/>
        </w:rPr>
        <w:t>surveys</w:t>
      </w:r>
      <w:r w:rsidR="001F1384">
        <w:rPr>
          <w:rFonts w:ascii="Times New Roman" w:hAnsi="Times New Roman"/>
          <w:szCs w:val="24"/>
        </w:rPr>
        <w:t xml:space="preserve">, including job characteristics, education </w:t>
      </w:r>
      <w:r w:rsidR="004E7AC7">
        <w:rPr>
          <w:rFonts w:ascii="Times New Roman" w:hAnsi="Times New Roman"/>
          <w:szCs w:val="24"/>
        </w:rPr>
        <w:t>activities</w:t>
      </w:r>
      <w:r w:rsidR="001F1384">
        <w:rPr>
          <w:rFonts w:ascii="Times New Roman" w:hAnsi="Times New Roman"/>
          <w:szCs w:val="24"/>
        </w:rPr>
        <w:t>, and demographics</w:t>
      </w:r>
      <w:r w:rsidRPr="00DB68FB">
        <w:rPr>
          <w:rFonts w:ascii="Times New Roman" w:hAnsi="Times New Roman"/>
          <w:szCs w:val="24"/>
        </w:rPr>
        <w:t xml:space="preserve">. These items are essential for sampling, respondent verification, basic labor force information, and/or robust analyses of the </w:t>
      </w:r>
      <w:r>
        <w:rPr>
          <w:rFonts w:ascii="Times New Roman" w:hAnsi="Times New Roman"/>
          <w:szCs w:val="24"/>
        </w:rPr>
        <w:t>S&amp;E workforce</w:t>
      </w:r>
      <w:r w:rsidRPr="00DB68FB">
        <w:rPr>
          <w:rFonts w:ascii="Times New Roman" w:hAnsi="Times New Roman"/>
          <w:szCs w:val="24"/>
        </w:rPr>
        <w:t>.</w:t>
      </w:r>
      <w:r>
        <w:rPr>
          <w:rFonts w:ascii="Times New Roman" w:hAnsi="Times New Roman"/>
          <w:szCs w:val="24"/>
        </w:rPr>
        <w:t xml:space="preserve"> </w:t>
      </w:r>
      <w:r w:rsidRPr="00DB68FB">
        <w:rPr>
          <w:rFonts w:ascii="Times New Roman" w:hAnsi="Times New Roman"/>
          <w:szCs w:val="24"/>
        </w:rPr>
        <w:t xml:space="preserve"> They are asked of all respondents each time they are surveyed, as appropriate, to establish the baseline data and to update the respondents’ labor force status and changes in employment and other demographic characteristics.  Module items are defined as special topics that are asked less frequently on a rotational basis of the entire target population or some subset thereof.  Module items tend to provide the data needed to satisfy specific policy, research, or data user needs.</w:t>
      </w:r>
      <w:r>
        <w:rPr>
          <w:rFonts w:ascii="Times New Roman" w:hAnsi="Times New Roman"/>
          <w:szCs w:val="24"/>
        </w:rPr>
        <w:t xml:space="preserve"> </w:t>
      </w:r>
      <w:r w:rsidR="004E7AC7">
        <w:rPr>
          <w:rFonts w:ascii="Times New Roman" w:hAnsi="Times New Roman"/>
          <w:szCs w:val="24"/>
        </w:rPr>
        <w:t xml:space="preserve"> </w:t>
      </w:r>
      <w:r w:rsidR="007D4E12">
        <w:rPr>
          <w:rFonts w:ascii="Times New Roman" w:hAnsi="Times New Roman"/>
          <w:szCs w:val="24"/>
        </w:rPr>
        <w:t>P</w:t>
      </w:r>
      <w:r w:rsidR="004E7AC7">
        <w:rPr>
          <w:rFonts w:ascii="Times New Roman" w:hAnsi="Times New Roman"/>
          <w:szCs w:val="24"/>
        </w:rPr>
        <w:t>ast NSCG questionnaire modules have included federal support of work, job satisfaction, and immigration information.</w:t>
      </w:r>
      <w:r>
        <w:rPr>
          <w:rFonts w:ascii="Times New Roman" w:hAnsi="Times New Roman"/>
          <w:szCs w:val="24"/>
        </w:rPr>
        <w:t xml:space="preserve"> </w:t>
      </w:r>
      <w:r w:rsidRPr="00DB68FB">
        <w:rPr>
          <w:rFonts w:ascii="Times New Roman" w:hAnsi="Times New Roman"/>
          <w:szCs w:val="24"/>
        </w:rPr>
        <w:t xml:space="preserve"> </w:t>
      </w:r>
    </w:p>
    <w:p w14:paraId="382F53AB" w14:textId="77777777" w:rsidR="00BE6D80" w:rsidRDefault="00BE6D80" w:rsidP="00BE6D80">
      <w:pPr>
        <w:tabs>
          <w:tab w:val="left" w:pos="360"/>
          <w:tab w:val="left" w:pos="2520"/>
        </w:tabs>
        <w:suppressAutoHyphens/>
        <w:ind w:left="0"/>
        <w:rPr>
          <w:rFonts w:ascii="Times New Roman" w:eastAsia="Arial Unicode MS" w:hAnsi="Times New Roman"/>
          <w:color w:val="000000"/>
          <w:szCs w:val="24"/>
          <w:u w:color="984806"/>
        </w:rPr>
      </w:pPr>
    </w:p>
    <w:p w14:paraId="0AA9A9CE" w14:textId="03A2F745" w:rsidR="00BE6D80" w:rsidRDefault="00BE6D80" w:rsidP="00BE6D80">
      <w:pPr>
        <w:tabs>
          <w:tab w:val="left" w:pos="360"/>
          <w:tab w:val="left" w:pos="2520"/>
        </w:tabs>
        <w:suppressAutoHyphens/>
        <w:ind w:left="0"/>
        <w:rPr>
          <w:rFonts w:ascii="Times New Roman" w:eastAsia="Arial Unicode MS" w:hAnsi="Times New Roman"/>
          <w:color w:val="000000"/>
          <w:szCs w:val="24"/>
          <w:u w:color="984806"/>
        </w:rPr>
      </w:pPr>
      <w:r>
        <w:rPr>
          <w:rFonts w:ascii="Times New Roman" w:eastAsia="Arial Unicode MS" w:hAnsi="Times New Roman"/>
          <w:color w:val="000000"/>
          <w:szCs w:val="24"/>
          <w:u w:color="984806"/>
        </w:rPr>
        <w:t xml:space="preserve">Appendix E includes the 2019 NSCG questionnaire for the new sample </w:t>
      </w:r>
      <w:r w:rsidR="005F2D3A">
        <w:rPr>
          <w:rFonts w:ascii="Times New Roman" w:eastAsia="Arial Unicode MS" w:hAnsi="Times New Roman"/>
          <w:color w:val="000000"/>
          <w:szCs w:val="24"/>
          <w:u w:color="984806"/>
        </w:rPr>
        <w:t>members</w:t>
      </w:r>
      <w:r>
        <w:rPr>
          <w:rFonts w:ascii="Times New Roman" w:eastAsia="Arial Unicode MS" w:hAnsi="Times New Roman"/>
          <w:color w:val="000000"/>
          <w:szCs w:val="24"/>
          <w:u w:color="984806"/>
        </w:rPr>
        <w:t xml:space="preserve">.  The other two NSCG questionnaires (questionnaire for previous cycle respondents and the questionnaire for previous cycle nonrespondents) both include a subset of the questions included on the new sample questionnaire. </w:t>
      </w:r>
    </w:p>
    <w:p w14:paraId="29E3FFC8" w14:textId="77777777" w:rsidR="00BE6D80" w:rsidRDefault="00BE6D80" w:rsidP="00BE6D80">
      <w:pPr>
        <w:tabs>
          <w:tab w:val="left" w:pos="360"/>
          <w:tab w:val="left" w:pos="2520"/>
        </w:tabs>
        <w:suppressAutoHyphens/>
        <w:ind w:left="0"/>
        <w:rPr>
          <w:rFonts w:ascii="Times New Roman" w:eastAsia="Arial Unicode MS" w:hAnsi="Times New Roman"/>
          <w:color w:val="000000"/>
          <w:szCs w:val="24"/>
          <w:u w:color="984806"/>
        </w:rPr>
      </w:pPr>
    </w:p>
    <w:p w14:paraId="0DE483E3" w14:textId="77777777" w:rsidR="002B3579" w:rsidRPr="005307B2" w:rsidRDefault="002B3579" w:rsidP="002B3579">
      <w:pPr>
        <w:keepNext/>
        <w:ind w:left="0"/>
        <w:rPr>
          <w:rFonts w:ascii="Times New Roman" w:hAnsi="Times New Roman"/>
          <w:b/>
        </w:rPr>
      </w:pPr>
      <w:r>
        <w:rPr>
          <w:rFonts w:ascii="Times New Roman" w:hAnsi="Times New Roman"/>
          <w:b/>
        </w:rPr>
        <w:t>Non-Sampling Error</w:t>
      </w:r>
      <w:r w:rsidRPr="005307B2">
        <w:rPr>
          <w:rFonts w:ascii="Times New Roman" w:hAnsi="Times New Roman"/>
          <w:b/>
        </w:rPr>
        <w:t xml:space="preserve"> </w:t>
      </w:r>
      <w:r>
        <w:rPr>
          <w:rFonts w:ascii="Times New Roman" w:hAnsi="Times New Roman"/>
          <w:b/>
        </w:rPr>
        <w:t>Evaluation</w:t>
      </w:r>
    </w:p>
    <w:p w14:paraId="12A4651F" w14:textId="29D95970" w:rsidR="002B3579" w:rsidRDefault="002B3579" w:rsidP="002B3579">
      <w:pPr>
        <w:keepNext/>
        <w:ind w:left="0"/>
        <w:rPr>
          <w:rFonts w:ascii="Times New Roman" w:hAnsi="Times New Roman"/>
          <w:szCs w:val="24"/>
        </w:rPr>
      </w:pPr>
      <w:r w:rsidRPr="006B207E">
        <w:rPr>
          <w:rFonts w:ascii="Times New Roman" w:hAnsi="Times New Roman"/>
          <w:szCs w:val="24"/>
        </w:rPr>
        <w:t xml:space="preserve">In an effort to account for all sources of error in the 2019 NSCG survey cycle, the Census Bureau will produce a report </w:t>
      </w:r>
      <w:r w:rsidRPr="00311DD8">
        <w:rPr>
          <w:rFonts w:ascii="Times New Roman" w:hAnsi="Times New Roman"/>
          <w:szCs w:val="24"/>
        </w:rPr>
        <w:t>that will include information similar in content to th</w:t>
      </w:r>
      <w:r w:rsidRPr="00C4322D">
        <w:rPr>
          <w:rFonts w:ascii="Times New Roman" w:hAnsi="Times New Roman"/>
          <w:szCs w:val="24"/>
        </w:rPr>
        <w:t>e 2017</w:t>
      </w:r>
      <w:r w:rsidRPr="00304A3E">
        <w:rPr>
          <w:rFonts w:ascii="Times New Roman" w:hAnsi="Times New Roman"/>
          <w:szCs w:val="24"/>
        </w:rPr>
        <w:t xml:space="preserve"> NSCG Non-Sampling Error Report</w:t>
      </w:r>
      <w:r w:rsidR="00C60FA4">
        <w:rPr>
          <w:rFonts w:ascii="Times New Roman" w:hAnsi="Times New Roman"/>
          <w:szCs w:val="24"/>
        </w:rPr>
        <w:t>.</w:t>
      </w:r>
      <w:r w:rsidRPr="006B207E">
        <w:rPr>
          <w:rStyle w:val="FootnoteReference"/>
          <w:rFonts w:ascii="Times New Roman" w:hAnsi="Times New Roman"/>
          <w:szCs w:val="24"/>
        </w:rPr>
        <w:footnoteReference w:id="5"/>
      </w:r>
      <w:r w:rsidRPr="006B207E">
        <w:rPr>
          <w:rFonts w:ascii="Times New Roman" w:hAnsi="Times New Roman"/>
          <w:szCs w:val="24"/>
        </w:rPr>
        <w:t xml:space="preserve">  The 2019 NSCG Non-Sampling Error R</w:t>
      </w:r>
      <w:r w:rsidRPr="00A95F5A">
        <w:rPr>
          <w:rFonts w:ascii="Times New Roman" w:hAnsi="Times New Roman"/>
          <w:szCs w:val="24"/>
        </w:rPr>
        <w:t>eport will evaluate two</w:t>
      </w:r>
      <w:r w:rsidRPr="00C001D0">
        <w:rPr>
          <w:rFonts w:ascii="Times New Roman" w:hAnsi="Times New Roman"/>
          <w:szCs w:val="24"/>
        </w:rPr>
        <w:t xml:space="preserve"> areas of non-sampling error – </w:t>
      </w:r>
      <w:r w:rsidRPr="006B207E">
        <w:rPr>
          <w:rFonts w:ascii="Times New Roman" w:hAnsi="Times New Roman"/>
          <w:szCs w:val="24"/>
        </w:rPr>
        <w:t>nonresponse error and error as a result of the inconsistency between the ACS and NSCG responses</w:t>
      </w:r>
      <w:r w:rsidRPr="00311DD8">
        <w:rPr>
          <w:rFonts w:ascii="Times New Roman" w:hAnsi="Times New Roman"/>
          <w:szCs w:val="24"/>
        </w:rPr>
        <w:t>.  These</w:t>
      </w:r>
      <w:r w:rsidRPr="00C4322D">
        <w:rPr>
          <w:rFonts w:ascii="Times New Roman" w:hAnsi="Times New Roman"/>
          <w:szCs w:val="24"/>
        </w:rPr>
        <w:t xml:space="preserve"> topics</w:t>
      </w:r>
      <w:r w:rsidRPr="00304A3E">
        <w:rPr>
          <w:rFonts w:ascii="Times New Roman" w:hAnsi="Times New Roman"/>
          <w:szCs w:val="24"/>
        </w:rPr>
        <w:t xml:space="preserve"> will provide information about potential sources of non-sampling error for the 2019 NSCG survey cycle</w:t>
      </w:r>
      <w:r w:rsidRPr="005307B2">
        <w:rPr>
          <w:rFonts w:ascii="Times New Roman" w:hAnsi="Times New Roman"/>
          <w:szCs w:val="24"/>
        </w:rPr>
        <w:t>.</w:t>
      </w:r>
    </w:p>
    <w:p w14:paraId="47C81EF1" w14:textId="77777777" w:rsidR="002B3579" w:rsidRPr="00DB68FB" w:rsidRDefault="002B3579" w:rsidP="002B3579">
      <w:pPr>
        <w:ind w:left="0"/>
        <w:rPr>
          <w:rFonts w:ascii="Times New Roman" w:hAnsi="Times New Roman"/>
        </w:rPr>
      </w:pPr>
    </w:p>
    <w:p w14:paraId="6357E4BB" w14:textId="77777777" w:rsidR="002B3579" w:rsidRDefault="002B3579" w:rsidP="002B3579">
      <w:pPr>
        <w:ind w:left="0"/>
        <w:rPr>
          <w:rFonts w:ascii="Times New Roman" w:hAnsi="Times New Roman"/>
          <w:i/>
          <w:u w:val="single"/>
        </w:rPr>
      </w:pPr>
      <w:r>
        <w:rPr>
          <w:rFonts w:ascii="Times New Roman" w:hAnsi="Times New Roman"/>
          <w:i/>
          <w:iCs/>
          <w:u w:val="single"/>
        </w:rPr>
        <w:t>Nonresponse Error</w:t>
      </w:r>
    </w:p>
    <w:p w14:paraId="3DEECA54" w14:textId="207E45DD" w:rsidR="002B3579" w:rsidRPr="00772101" w:rsidRDefault="002B3579" w:rsidP="002B3579">
      <w:pPr>
        <w:ind w:left="0"/>
        <w:rPr>
          <w:rFonts w:ascii="Times New Roman" w:eastAsiaTheme="minorEastAsia" w:hAnsi="Times New Roman"/>
          <w:szCs w:val="24"/>
        </w:rPr>
      </w:pPr>
      <w:r>
        <w:rPr>
          <w:rFonts w:ascii="Times New Roman" w:eastAsiaTheme="minorEastAsia" w:hAnsi="Times New Roman"/>
          <w:szCs w:val="24"/>
        </w:rPr>
        <w:t xml:space="preserve">Numerous </w:t>
      </w:r>
      <w:r w:rsidRPr="00772101">
        <w:rPr>
          <w:rFonts w:ascii="Times New Roman" w:eastAsiaTheme="minorEastAsia" w:hAnsi="Times New Roman"/>
          <w:szCs w:val="24"/>
        </w:rPr>
        <w:t xml:space="preserve">metrics </w:t>
      </w:r>
      <w:r>
        <w:rPr>
          <w:rFonts w:ascii="Times New Roman" w:eastAsiaTheme="minorEastAsia" w:hAnsi="Times New Roman"/>
          <w:szCs w:val="24"/>
        </w:rPr>
        <w:t xml:space="preserve">will be computed </w:t>
      </w:r>
      <w:r w:rsidRPr="00772101">
        <w:rPr>
          <w:rFonts w:ascii="Times New Roman" w:eastAsiaTheme="minorEastAsia" w:hAnsi="Times New Roman"/>
          <w:szCs w:val="24"/>
        </w:rPr>
        <w:t>to motivate a discussion of nonresponse</w:t>
      </w:r>
      <w:r>
        <w:rPr>
          <w:rFonts w:ascii="Times New Roman" w:eastAsiaTheme="minorEastAsia" w:hAnsi="Times New Roman"/>
          <w:szCs w:val="24"/>
        </w:rPr>
        <w:t xml:space="preserve"> – unit response rates, compound response rates, </w:t>
      </w:r>
      <w:r w:rsidRPr="00772101">
        <w:rPr>
          <w:rFonts w:ascii="Times New Roman" w:eastAsiaTheme="minorEastAsia" w:hAnsi="Times New Roman"/>
          <w:szCs w:val="24"/>
        </w:rPr>
        <w:t xml:space="preserve">estimates of key domains, and R-indicators.  Each of these metrics provides different insights into the issue of nonresponse and will be discussed individually and then summarized together.  </w:t>
      </w:r>
    </w:p>
    <w:p w14:paraId="0CD4BDAE" w14:textId="77777777" w:rsidR="002B3579" w:rsidRPr="00772101" w:rsidRDefault="002B3579" w:rsidP="002B3579">
      <w:pPr>
        <w:ind w:left="360"/>
        <w:rPr>
          <w:rFonts w:ascii="Times New Roman" w:eastAsiaTheme="minorEastAsia" w:hAnsi="Times New Roman"/>
          <w:szCs w:val="24"/>
        </w:rPr>
      </w:pPr>
    </w:p>
    <w:p w14:paraId="587D626C" w14:textId="150996A8" w:rsidR="002B3579" w:rsidRPr="00C001D0" w:rsidRDefault="002B3579" w:rsidP="002B3579">
      <w:pPr>
        <w:ind w:left="0"/>
        <w:rPr>
          <w:rFonts w:ascii="Times New Roman" w:eastAsiaTheme="minorEastAsia" w:hAnsi="Times New Roman"/>
          <w:szCs w:val="24"/>
        </w:rPr>
      </w:pPr>
      <w:r w:rsidRPr="006B207E">
        <w:rPr>
          <w:rFonts w:ascii="Times New Roman" w:eastAsiaTheme="minorEastAsia" w:hAnsi="Times New Roman"/>
          <w:szCs w:val="24"/>
        </w:rPr>
        <w:t xml:space="preserve">Unit response rates are a simple method of quantifying what percentage of the sample </w:t>
      </w:r>
      <w:r w:rsidRPr="00A95F5A">
        <w:rPr>
          <w:rFonts w:ascii="Times New Roman" w:eastAsiaTheme="minorEastAsia" w:hAnsi="Times New Roman"/>
          <w:szCs w:val="24"/>
        </w:rPr>
        <w:t>population responded to the surve</w:t>
      </w:r>
      <w:r w:rsidRPr="00C001D0">
        <w:rPr>
          <w:rFonts w:ascii="Times New Roman" w:eastAsiaTheme="minorEastAsia" w:hAnsi="Times New Roman"/>
          <w:szCs w:val="24"/>
        </w:rPr>
        <w:t>y.  For example, in the 2017 NSCG new sample portion (</w:t>
      </w:r>
      <w:r>
        <w:rPr>
          <w:rFonts w:ascii="Times New Roman" w:eastAsiaTheme="minorEastAsia" w:hAnsi="Times New Roman"/>
          <w:szCs w:val="24"/>
        </w:rPr>
        <w:t>sampled out of the 2015 ACS</w:t>
      </w:r>
      <w:r w:rsidRPr="00C001D0">
        <w:rPr>
          <w:rFonts w:ascii="Times New Roman" w:eastAsiaTheme="minorEastAsia" w:hAnsi="Times New Roman"/>
          <w:szCs w:val="24"/>
        </w:rPr>
        <w:t xml:space="preserve">), the overall weighted response rate was 65.4%; </w:t>
      </w:r>
      <w:r w:rsidRPr="00AA0744">
        <w:rPr>
          <w:rFonts w:ascii="Times New Roman" w:eastAsiaTheme="minorEastAsia" w:hAnsi="Times New Roman"/>
          <w:szCs w:val="24"/>
        </w:rPr>
        <w:t>however, individual demographic subgroups (e.g., Black, Hispanic, etc.) have weighted response rates that vary between 49.5% and 69.4%.</w:t>
      </w:r>
      <w:r w:rsidRPr="006B207E">
        <w:rPr>
          <w:rFonts w:ascii="Times New Roman" w:eastAsiaTheme="minorEastAsia" w:hAnsi="Times New Roman"/>
          <w:szCs w:val="24"/>
        </w:rPr>
        <w:t xml:space="preserve"> </w:t>
      </w:r>
      <w:r w:rsidR="00262F22">
        <w:rPr>
          <w:rFonts w:ascii="Times New Roman" w:eastAsiaTheme="minorEastAsia" w:hAnsi="Times New Roman"/>
          <w:szCs w:val="24"/>
        </w:rPr>
        <w:t xml:space="preserve"> </w:t>
      </w:r>
      <w:r w:rsidRPr="00A95F5A">
        <w:rPr>
          <w:rFonts w:ascii="Times New Roman" w:eastAsiaTheme="minorEastAsia" w:hAnsi="Times New Roman"/>
          <w:szCs w:val="24"/>
        </w:rPr>
        <w:t>Age groups had weighted response rates ranging from 52</w:t>
      </w:r>
      <w:r w:rsidRPr="00C001D0">
        <w:rPr>
          <w:rFonts w:ascii="Times New Roman" w:eastAsiaTheme="minorEastAsia" w:hAnsi="Times New Roman"/>
          <w:szCs w:val="24"/>
        </w:rPr>
        <w:t>.8% for younger age groups</w:t>
      </w:r>
      <w:r w:rsidR="00262F22">
        <w:rPr>
          <w:rFonts w:ascii="Times New Roman" w:eastAsiaTheme="minorEastAsia" w:hAnsi="Times New Roman"/>
          <w:szCs w:val="24"/>
        </w:rPr>
        <w:t xml:space="preserve"> to</w:t>
      </w:r>
      <w:r w:rsidRPr="00C001D0">
        <w:rPr>
          <w:rFonts w:ascii="Times New Roman" w:eastAsiaTheme="minorEastAsia" w:hAnsi="Times New Roman"/>
          <w:szCs w:val="24"/>
        </w:rPr>
        <w:t xml:space="preserve"> 71.5% for the oldest age groups.  Some variation in response is expected due to random variation; however, large variations in response behavior can be a cause for concern with the potential to introduce nonresponse bias.  Assuming we are measuring different subgroups of the t</w:t>
      </w:r>
      <w:r w:rsidRPr="00311DD8">
        <w:rPr>
          <w:rFonts w:ascii="Times New Roman" w:eastAsiaTheme="minorEastAsia" w:hAnsi="Times New Roman"/>
          <w:szCs w:val="24"/>
        </w:rPr>
        <w:t>arget population separately because we are interested in the different response data they provide, having differential response rates across subgroups may mean we are missing information in the less responsive subgroups</w:t>
      </w:r>
      <w:r w:rsidRPr="00C4322D">
        <w:rPr>
          <w:rFonts w:ascii="Times New Roman" w:eastAsiaTheme="minorEastAsia" w:hAnsi="Times New Roman"/>
          <w:szCs w:val="24"/>
        </w:rPr>
        <w:t>.</w:t>
      </w:r>
      <w:r w:rsidRPr="006B207E">
        <w:rPr>
          <w:rFonts w:ascii="Times New Roman" w:eastAsiaTheme="minorEastAsia" w:hAnsi="Times New Roman"/>
          <w:szCs w:val="24"/>
        </w:rPr>
        <w:t xml:space="preserve">  This is the driving force behind nonresponse bias – a relationship between the explanatory variables and the outcome v</w:t>
      </w:r>
      <w:r w:rsidRPr="00C001D0">
        <w:rPr>
          <w:rFonts w:ascii="Times New Roman" w:eastAsiaTheme="minorEastAsia" w:hAnsi="Times New Roman"/>
          <w:szCs w:val="24"/>
        </w:rPr>
        <w:t xml:space="preserve">ariables.  If the explanatory variables are also related to the likelihood to respond, resulting estimates may be biased.  </w:t>
      </w:r>
    </w:p>
    <w:p w14:paraId="5D35BB80" w14:textId="77777777" w:rsidR="002B3579" w:rsidRDefault="002B3579" w:rsidP="002B3579">
      <w:pPr>
        <w:ind w:left="0"/>
        <w:rPr>
          <w:rFonts w:ascii="Times New Roman" w:eastAsiaTheme="minorEastAsia" w:hAnsi="Times New Roman"/>
          <w:szCs w:val="24"/>
        </w:rPr>
      </w:pPr>
    </w:p>
    <w:p w14:paraId="7166F769" w14:textId="32C455A9" w:rsidR="002B3579" w:rsidRPr="00A95F5A" w:rsidRDefault="002B3579" w:rsidP="002B3579">
      <w:pPr>
        <w:ind w:left="0"/>
        <w:rPr>
          <w:rFonts w:ascii="Times New Roman" w:eastAsiaTheme="minorEastAsia" w:hAnsi="Times New Roman"/>
          <w:szCs w:val="24"/>
        </w:rPr>
      </w:pPr>
      <w:r w:rsidRPr="00A95F5A">
        <w:rPr>
          <w:rFonts w:ascii="Times New Roman" w:eastAsiaTheme="minorEastAsia" w:hAnsi="Times New Roman"/>
          <w:szCs w:val="24"/>
        </w:rPr>
        <w:t xml:space="preserve">The compound response rate looks at response rates over time and considers how attrition can affect the respondent population.  Attrition is important when considering the effect of nonresponse in </w:t>
      </w:r>
      <w:r w:rsidR="00245188">
        <w:rPr>
          <w:rFonts w:ascii="Times New Roman" w:eastAsiaTheme="minorEastAsia" w:hAnsi="Times New Roman"/>
          <w:szCs w:val="24"/>
        </w:rPr>
        <w:t>rotating panel</w:t>
      </w:r>
      <w:r w:rsidR="00245188" w:rsidRPr="00A95F5A">
        <w:rPr>
          <w:rFonts w:ascii="Times New Roman" w:eastAsiaTheme="minorEastAsia" w:hAnsi="Times New Roman"/>
          <w:szCs w:val="24"/>
        </w:rPr>
        <w:t xml:space="preserve"> </w:t>
      </w:r>
      <w:r w:rsidRPr="00A95F5A">
        <w:rPr>
          <w:rFonts w:ascii="Times New Roman" w:eastAsiaTheme="minorEastAsia" w:hAnsi="Times New Roman"/>
          <w:szCs w:val="24"/>
        </w:rPr>
        <w:t>surveys</w:t>
      </w:r>
      <w:r w:rsidRPr="00C001D0">
        <w:rPr>
          <w:rFonts w:ascii="Times New Roman" w:eastAsiaTheme="minorEastAsia" w:hAnsi="Times New Roman"/>
          <w:szCs w:val="24"/>
        </w:rPr>
        <w:t xml:space="preserve"> like the NSCG.  As an example, </w:t>
      </w:r>
      <w:r w:rsidRPr="00AA0744">
        <w:rPr>
          <w:rFonts w:ascii="Times New Roman" w:eastAsiaTheme="minorEastAsia" w:hAnsi="Times New Roman"/>
          <w:szCs w:val="24"/>
        </w:rPr>
        <w:t>for the 2010 NSCG (sampled out of the 2009 ACS), a response rate of 98% in the ACS followed by a response ra</w:t>
      </w:r>
      <w:r w:rsidRPr="00713C96">
        <w:rPr>
          <w:rFonts w:ascii="Times New Roman" w:eastAsiaTheme="minorEastAsia" w:hAnsi="Times New Roman"/>
          <w:szCs w:val="24"/>
        </w:rPr>
        <w:t>te of 73.4% in the 2010 NSCG an</w:t>
      </w:r>
      <w:r w:rsidRPr="00AA0744">
        <w:rPr>
          <w:rFonts w:ascii="Times New Roman" w:eastAsiaTheme="minorEastAsia" w:hAnsi="Times New Roman"/>
          <w:szCs w:val="24"/>
        </w:rPr>
        <w:t xml:space="preserve">d 64.5% in the 2017 NSCG results in a compound response rate of just 46.4%. This means that only 46% of the cases originally eligible and sampled for the ACS have responded in </w:t>
      </w:r>
      <w:r w:rsidR="003A1DCF">
        <w:rPr>
          <w:rFonts w:ascii="Times New Roman" w:eastAsiaTheme="minorEastAsia" w:hAnsi="Times New Roman"/>
          <w:szCs w:val="24"/>
        </w:rPr>
        <w:t xml:space="preserve">the </w:t>
      </w:r>
      <w:r w:rsidRPr="00AA0744">
        <w:rPr>
          <w:rFonts w:ascii="Times New Roman" w:eastAsiaTheme="minorEastAsia" w:hAnsi="Times New Roman"/>
          <w:szCs w:val="24"/>
        </w:rPr>
        <w:t>2017 NSCG.</w:t>
      </w:r>
      <w:r w:rsidRPr="002116CF">
        <w:rPr>
          <w:rFonts w:ascii="Times New Roman" w:eastAsiaTheme="minorEastAsia" w:hAnsi="Times New Roman"/>
          <w:szCs w:val="24"/>
        </w:rPr>
        <w:t xml:space="preserve">  Attrition can lead to biased estimates, particularly for surveys that do not continue to follow nonrespondents in later </w:t>
      </w:r>
      <w:r w:rsidRPr="00A95F5A">
        <w:rPr>
          <w:rFonts w:ascii="Times New Roman" w:eastAsiaTheme="minorEastAsia" w:hAnsi="Times New Roman"/>
          <w:szCs w:val="24"/>
        </w:rPr>
        <w:t xml:space="preserve">rounds.  This is because weighting adjustments and estimates are made on a dwindling portion of the population.  This can lead to weight inflation and increased variances, which may make significant differences more difficult to detect in the population.  Further, if respondents are different (e.g., would provide different information) from nonrespondents, excluding the nonrespondents effectively excludes a portion of valuable information from the response and the resulting estimates.  The estimates become representative of the continually responding population over time, as opposed to the full target population. </w:t>
      </w:r>
    </w:p>
    <w:p w14:paraId="162E7627" w14:textId="77777777" w:rsidR="002B3579" w:rsidRDefault="002B3579" w:rsidP="002B3579">
      <w:pPr>
        <w:ind w:left="0"/>
        <w:rPr>
          <w:rFonts w:ascii="Times New Roman" w:eastAsiaTheme="minorEastAsia" w:hAnsi="Times New Roman"/>
          <w:szCs w:val="24"/>
        </w:rPr>
      </w:pPr>
    </w:p>
    <w:p w14:paraId="4FFBC443" w14:textId="21880209" w:rsidR="00910834" w:rsidRDefault="002B3579" w:rsidP="002B3579">
      <w:pPr>
        <w:ind w:left="0"/>
        <w:rPr>
          <w:rFonts w:ascii="Times New Roman" w:eastAsiaTheme="minorEastAsia" w:hAnsi="Times New Roman"/>
          <w:szCs w:val="24"/>
        </w:rPr>
      </w:pPr>
      <w:r w:rsidRPr="00311DD8">
        <w:rPr>
          <w:rFonts w:ascii="Times New Roman" w:eastAsiaTheme="minorEastAsia" w:hAnsi="Times New Roman"/>
          <w:szCs w:val="24"/>
        </w:rPr>
        <w:t xml:space="preserve">Examining the estimates of key domains provides insight on whether the potential for bias due to nonresponse error is adversely impacting the survey estimates.  </w:t>
      </w:r>
      <w:r w:rsidR="00EA092E">
        <w:rPr>
          <w:rFonts w:ascii="Times New Roman" w:eastAsiaTheme="minorEastAsia" w:hAnsi="Times New Roman"/>
          <w:szCs w:val="24"/>
        </w:rPr>
        <w:t>T</w:t>
      </w:r>
      <w:r w:rsidRPr="009C703A">
        <w:rPr>
          <w:rFonts w:ascii="Times New Roman" w:hAnsi="Times New Roman"/>
          <w:szCs w:val="24"/>
        </w:rPr>
        <w:t xml:space="preserve">o account for nonresponse and </w:t>
      </w:r>
      <w:r w:rsidRPr="00910834">
        <w:rPr>
          <w:rFonts w:ascii="Times New Roman" w:hAnsi="Times New Roman"/>
          <w:szCs w:val="24"/>
        </w:rPr>
        <w:t>ensure the respondent population represents the target population in size, nonresponse weighting adjustments are made to the respondent population.</w:t>
      </w:r>
      <w:r w:rsidR="003A1DCF" w:rsidRPr="00910834">
        <w:rPr>
          <w:rFonts w:ascii="Times New Roman" w:hAnsi="Times New Roman"/>
          <w:szCs w:val="24"/>
        </w:rPr>
        <w:t xml:space="preserve"> </w:t>
      </w:r>
      <w:r w:rsidRPr="00910834">
        <w:rPr>
          <w:rFonts w:ascii="Times New Roman" w:hAnsi="Times New Roman"/>
          <w:szCs w:val="24"/>
        </w:rPr>
        <w:t>Comparison between the three sets of estimates - (1) base weights for the sample, (2) base weights for the respondents, and (3) nonresponse adjusted weights for respondents - gives</w:t>
      </w:r>
      <w:r w:rsidRPr="00F51912">
        <w:rPr>
          <w:rFonts w:ascii="Times New Roman" w:hAnsi="Times New Roman"/>
          <w:szCs w:val="24"/>
        </w:rPr>
        <w:t xml:space="preserve"> an indication of the potential for nonresponse bias and show</w:t>
      </w:r>
      <w:r w:rsidR="00EA092E" w:rsidRPr="00F51912">
        <w:rPr>
          <w:rFonts w:ascii="Times New Roman" w:hAnsi="Times New Roman"/>
          <w:szCs w:val="24"/>
        </w:rPr>
        <w:t>s</w:t>
      </w:r>
      <w:r w:rsidRPr="00F51912">
        <w:rPr>
          <w:rFonts w:ascii="Times New Roman" w:hAnsi="Times New Roman"/>
          <w:szCs w:val="24"/>
        </w:rPr>
        <w:t xml:space="preserve"> how much nonresponse bias is reduced through an appropriate weighting adjustment. </w:t>
      </w:r>
      <w:r w:rsidRPr="00910834">
        <w:rPr>
          <w:rFonts w:ascii="Times New Roman" w:hAnsi="Times New Roman"/>
          <w:szCs w:val="24"/>
        </w:rPr>
        <w:t>This examination will provide insight on whether the NSCG weighting adjustments are appropriately meeting the NSCG survey estimation goals.</w:t>
      </w:r>
      <w:r w:rsidRPr="00F51912">
        <w:rPr>
          <w:rFonts w:ascii="Times New Roman" w:eastAsiaTheme="minorEastAsia" w:hAnsi="Times New Roman"/>
          <w:szCs w:val="24"/>
        </w:rPr>
        <w:t xml:space="preserve">  For example, </w:t>
      </w:r>
      <w:r w:rsidR="005922FF" w:rsidRPr="00F51912">
        <w:rPr>
          <w:rFonts w:ascii="Times New Roman" w:eastAsiaTheme="minorEastAsia" w:hAnsi="Times New Roman"/>
          <w:szCs w:val="24"/>
        </w:rPr>
        <w:t xml:space="preserve">consider we </w:t>
      </w:r>
      <w:r w:rsidR="00910834" w:rsidRPr="00F51912">
        <w:rPr>
          <w:rFonts w:ascii="Times New Roman" w:eastAsiaTheme="minorEastAsia" w:hAnsi="Times New Roman"/>
          <w:szCs w:val="24"/>
        </w:rPr>
        <w:t>a</w:t>
      </w:r>
      <w:r w:rsidR="005922FF" w:rsidRPr="00F51912">
        <w:rPr>
          <w:rFonts w:ascii="Times New Roman" w:eastAsiaTheme="minorEastAsia" w:hAnsi="Times New Roman"/>
          <w:szCs w:val="24"/>
        </w:rPr>
        <w:t xml:space="preserve">re attempting to estimate the proportion of the college-educated population </w:t>
      </w:r>
      <w:r w:rsidR="00910834" w:rsidRPr="00F51912">
        <w:rPr>
          <w:rFonts w:ascii="Times New Roman" w:eastAsiaTheme="minorEastAsia" w:hAnsi="Times New Roman"/>
          <w:szCs w:val="24"/>
        </w:rPr>
        <w:t xml:space="preserve">that was </w:t>
      </w:r>
      <w:r w:rsidR="005922FF" w:rsidRPr="00F51912">
        <w:rPr>
          <w:rFonts w:ascii="Times New Roman" w:eastAsiaTheme="minorEastAsia" w:hAnsi="Times New Roman"/>
          <w:szCs w:val="24"/>
        </w:rPr>
        <w:t xml:space="preserve">under </w:t>
      </w:r>
      <w:r w:rsidR="00910834" w:rsidRPr="00F51912">
        <w:rPr>
          <w:rFonts w:ascii="Times New Roman" w:eastAsiaTheme="minorEastAsia" w:hAnsi="Times New Roman"/>
          <w:szCs w:val="24"/>
        </w:rPr>
        <w:t>29 years old.</w:t>
      </w:r>
      <w:r w:rsidR="00A01267">
        <w:rPr>
          <w:rFonts w:ascii="Times New Roman" w:eastAsiaTheme="minorEastAsia" w:hAnsi="Times New Roman"/>
          <w:szCs w:val="24"/>
        </w:rPr>
        <w:t xml:space="preserve"> Comparisons can be made among the following three sets of estimates:</w:t>
      </w:r>
      <w:r w:rsidR="00910834" w:rsidRPr="00F51912">
        <w:rPr>
          <w:rFonts w:ascii="Times New Roman" w:eastAsiaTheme="minorEastAsia" w:hAnsi="Times New Roman"/>
          <w:szCs w:val="24"/>
        </w:rPr>
        <w:t xml:space="preserve">  </w:t>
      </w:r>
    </w:p>
    <w:p w14:paraId="47A43551" w14:textId="77777777" w:rsidR="00910834" w:rsidRPr="00F51912" w:rsidRDefault="00910834" w:rsidP="002B3579">
      <w:pPr>
        <w:ind w:left="0"/>
        <w:rPr>
          <w:rFonts w:ascii="Times New Roman" w:eastAsiaTheme="minorEastAsia" w:hAnsi="Times New Roman"/>
          <w:szCs w:val="24"/>
        </w:rPr>
      </w:pPr>
    </w:p>
    <w:p w14:paraId="2B4A44AD" w14:textId="63737202" w:rsidR="00910834" w:rsidRPr="00F51912" w:rsidRDefault="00910834" w:rsidP="00F51912">
      <w:pPr>
        <w:pStyle w:val="ListParagraph"/>
        <w:numPr>
          <w:ilvl w:val="0"/>
          <w:numId w:val="62"/>
        </w:numPr>
        <w:rPr>
          <w:rFonts w:ascii="Times New Roman" w:hAnsi="Times New Roman"/>
          <w:szCs w:val="24"/>
        </w:rPr>
      </w:pPr>
      <w:r w:rsidRPr="00F51912">
        <w:rPr>
          <w:rFonts w:ascii="Times New Roman" w:eastAsiaTheme="minorEastAsia" w:hAnsi="Times New Roman"/>
          <w:szCs w:val="24"/>
        </w:rPr>
        <w:t xml:space="preserve">Among the 2017 NSCG new sample </w:t>
      </w:r>
      <w:r w:rsidRPr="00F51912">
        <w:rPr>
          <w:rFonts w:ascii="Times New Roman" w:eastAsiaTheme="minorEastAsia" w:hAnsi="Times New Roman"/>
          <w:i/>
          <w:szCs w:val="24"/>
        </w:rPr>
        <w:t>cases</w:t>
      </w:r>
      <w:r w:rsidRPr="00F51912">
        <w:rPr>
          <w:rFonts w:ascii="Times New Roman" w:eastAsiaTheme="minorEastAsia" w:hAnsi="Times New Roman"/>
          <w:szCs w:val="24"/>
        </w:rPr>
        <w:t>, the proportion of college-educated individuals that were under 29 years old was 10.4%</w:t>
      </w:r>
      <w:r>
        <w:rPr>
          <w:rFonts w:ascii="Times New Roman" w:eastAsiaTheme="minorEastAsia" w:hAnsi="Times New Roman"/>
          <w:szCs w:val="24"/>
        </w:rPr>
        <w:t xml:space="preserve"> (using base weights)</w:t>
      </w:r>
      <w:r w:rsidRPr="00F51912">
        <w:rPr>
          <w:rFonts w:ascii="Times New Roman" w:eastAsiaTheme="minorEastAsia" w:hAnsi="Times New Roman"/>
          <w:szCs w:val="24"/>
        </w:rPr>
        <w:t xml:space="preserve">. </w:t>
      </w:r>
    </w:p>
    <w:p w14:paraId="4F0C96E1" w14:textId="3F74EC4D" w:rsidR="00A01267" w:rsidRDefault="00910834" w:rsidP="00F51912">
      <w:pPr>
        <w:pStyle w:val="ListParagraph"/>
        <w:numPr>
          <w:ilvl w:val="0"/>
          <w:numId w:val="62"/>
        </w:numPr>
        <w:rPr>
          <w:rFonts w:ascii="Times New Roman" w:eastAsiaTheme="minorEastAsia" w:hAnsi="Times New Roman"/>
          <w:szCs w:val="24"/>
        </w:rPr>
      </w:pPr>
      <w:r w:rsidRPr="00F51912">
        <w:rPr>
          <w:rFonts w:ascii="Times New Roman" w:eastAsiaTheme="minorEastAsia" w:hAnsi="Times New Roman"/>
          <w:szCs w:val="24"/>
        </w:rPr>
        <w:t xml:space="preserve">Among the 2017 NSCG new sample </w:t>
      </w:r>
      <w:r w:rsidRPr="00F51912">
        <w:rPr>
          <w:rFonts w:ascii="Times New Roman" w:eastAsiaTheme="minorEastAsia" w:hAnsi="Times New Roman"/>
          <w:i/>
          <w:szCs w:val="24"/>
        </w:rPr>
        <w:t>respondents</w:t>
      </w:r>
      <w:r w:rsidRPr="00F51912">
        <w:rPr>
          <w:rFonts w:ascii="Times New Roman" w:eastAsiaTheme="minorEastAsia" w:hAnsi="Times New Roman"/>
          <w:szCs w:val="24"/>
        </w:rPr>
        <w:t xml:space="preserve">, the proportion of college-educated individuals that were under 29 years old was </w:t>
      </w:r>
      <w:r w:rsidRPr="00910834">
        <w:rPr>
          <w:rFonts w:ascii="Times New Roman" w:eastAsiaTheme="minorEastAsia" w:hAnsi="Times New Roman"/>
          <w:szCs w:val="24"/>
        </w:rPr>
        <w:t>8.4</w:t>
      </w:r>
      <w:r w:rsidRPr="00F51912">
        <w:rPr>
          <w:rFonts w:ascii="Times New Roman" w:eastAsiaTheme="minorEastAsia" w:hAnsi="Times New Roman"/>
          <w:szCs w:val="24"/>
        </w:rPr>
        <w:t>%</w:t>
      </w:r>
      <w:r w:rsidRPr="00910834">
        <w:rPr>
          <w:rFonts w:ascii="Times New Roman" w:eastAsiaTheme="minorEastAsia" w:hAnsi="Times New Roman"/>
          <w:szCs w:val="24"/>
        </w:rPr>
        <w:t xml:space="preserve"> (using base weights)</w:t>
      </w:r>
      <w:r w:rsidRPr="00F51912">
        <w:rPr>
          <w:rFonts w:ascii="Times New Roman" w:eastAsiaTheme="minorEastAsia" w:hAnsi="Times New Roman"/>
          <w:szCs w:val="24"/>
        </w:rPr>
        <w:t>.</w:t>
      </w:r>
      <w:r>
        <w:rPr>
          <w:rFonts w:ascii="Times New Roman" w:eastAsiaTheme="minorEastAsia" w:hAnsi="Times New Roman"/>
          <w:szCs w:val="24"/>
        </w:rPr>
        <w:t xml:space="preserve"> T</w:t>
      </w:r>
      <w:r w:rsidRPr="00910834">
        <w:rPr>
          <w:rFonts w:ascii="Times New Roman" w:eastAsiaTheme="minorEastAsia" w:hAnsi="Times New Roman"/>
          <w:szCs w:val="24"/>
        </w:rPr>
        <w:t xml:space="preserve">hese cases </w:t>
      </w:r>
      <w:r w:rsidR="002B3579" w:rsidRPr="00F51912">
        <w:rPr>
          <w:rFonts w:ascii="Times New Roman" w:eastAsiaTheme="minorEastAsia" w:hAnsi="Times New Roman"/>
          <w:szCs w:val="24"/>
        </w:rPr>
        <w:t>had a weighted response rate of 52.8% compared to 65.4% overall</w:t>
      </w:r>
      <w:r>
        <w:rPr>
          <w:rFonts w:ascii="Times New Roman" w:eastAsiaTheme="minorEastAsia" w:hAnsi="Times New Roman"/>
          <w:szCs w:val="24"/>
        </w:rPr>
        <w:t xml:space="preserve"> which led to </w:t>
      </w:r>
      <w:r w:rsidR="005922FF" w:rsidRPr="00F51912">
        <w:rPr>
          <w:rFonts w:ascii="Times New Roman" w:eastAsiaTheme="minorEastAsia" w:hAnsi="Times New Roman"/>
          <w:szCs w:val="24"/>
        </w:rPr>
        <w:t xml:space="preserve">an underestimate </w:t>
      </w:r>
      <w:r>
        <w:rPr>
          <w:rFonts w:ascii="Times New Roman" w:eastAsiaTheme="minorEastAsia" w:hAnsi="Times New Roman"/>
          <w:szCs w:val="24"/>
        </w:rPr>
        <w:t xml:space="preserve">of 8.4% among respondents </w:t>
      </w:r>
      <w:r w:rsidR="005922FF" w:rsidRPr="00F51912">
        <w:rPr>
          <w:rFonts w:ascii="Times New Roman" w:eastAsiaTheme="minorEastAsia" w:hAnsi="Times New Roman"/>
          <w:szCs w:val="24"/>
        </w:rPr>
        <w:t xml:space="preserve">compared to the estimate </w:t>
      </w:r>
      <w:r w:rsidR="002B3579" w:rsidRPr="00F51912">
        <w:rPr>
          <w:rFonts w:ascii="Times New Roman" w:eastAsiaTheme="minorEastAsia" w:hAnsi="Times New Roman"/>
          <w:szCs w:val="24"/>
        </w:rPr>
        <w:t>of 10.4%</w:t>
      </w:r>
      <w:r>
        <w:rPr>
          <w:rFonts w:ascii="Times New Roman" w:eastAsiaTheme="minorEastAsia" w:hAnsi="Times New Roman"/>
          <w:szCs w:val="24"/>
        </w:rPr>
        <w:t xml:space="preserve"> among all sample cases.</w:t>
      </w:r>
      <w:r w:rsidR="002B3579" w:rsidRPr="00F51912">
        <w:rPr>
          <w:rFonts w:ascii="Times New Roman" w:eastAsiaTheme="minorEastAsia" w:hAnsi="Times New Roman"/>
          <w:szCs w:val="24"/>
        </w:rPr>
        <w:t xml:space="preserve"> </w:t>
      </w:r>
    </w:p>
    <w:p w14:paraId="280C94A2" w14:textId="7D9B159A" w:rsidR="00A01267" w:rsidRDefault="00A01267" w:rsidP="00F51912">
      <w:pPr>
        <w:pStyle w:val="ListParagraph"/>
        <w:numPr>
          <w:ilvl w:val="0"/>
          <w:numId w:val="62"/>
        </w:numPr>
        <w:rPr>
          <w:rFonts w:ascii="Times New Roman" w:eastAsiaTheme="minorEastAsia" w:hAnsi="Times New Roman"/>
          <w:szCs w:val="24"/>
        </w:rPr>
      </w:pPr>
      <w:r w:rsidRPr="00F51912">
        <w:rPr>
          <w:rFonts w:ascii="Times New Roman" w:eastAsiaTheme="minorEastAsia" w:hAnsi="Times New Roman"/>
          <w:szCs w:val="24"/>
        </w:rPr>
        <w:t xml:space="preserve">Among the 2017 NSCG new sample </w:t>
      </w:r>
      <w:r w:rsidRPr="00F51912">
        <w:rPr>
          <w:rFonts w:ascii="Times New Roman" w:eastAsiaTheme="minorEastAsia" w:hAnsi="Times New Roman"/>
          <w:i/>
          <w:szCs w:val="24"/>
        </w:rPr>
        <w:t>respondents</w:t>
      </w:r>
      <w:r w:rsidRPr="00F51912">
        <w:rPr>
          <w:rFonts w:ascii="Times New Roman" w:eastAsiaTheme="minorEastAsia" w:hAnsi="Times New Roman"/>
          <w:szCs w:val="24"/>
        </w:rPr>
        <w:t xml:space="preserve">, the proportion of college-educated individuals that were under 29 years old was </w:t>
      </w:r>
      <w:r>
        <w:rPr>
          <w:rFonts w:ascii="Times New Roman" w:eastAsiaTheme="minorEastAsia" w:hAnsi="Times New Roman"/>
          <w:szCs w:val="24"/>
        </w:rPr>
        <w:t>10</w:t>
      </w:r>
      <w:r w:rsidRPr="00F51912">
        <w:rPr>
          <w:rFonts w:ascii="Times New Roman" w:eastAsiaTheme="minorEastAsia" w:hAnsi="Times New Roman"/>
          <w:szCs w:val="24"/>
        </w:rPr>
        <w:t xml:space="preserve">.4% (using </w:t>
      </w:r>
      <w:r>
        <w:rPr>
          <w:rFonts w:ascii="Times New Roman" w:eastAsiaTheme="minorEastAsia" w:hAnsi="Times New Roman"/>
          <w:szCs w:val="24"/>
        </w:rPr>
        <w:t>the nonresponse adjusted weights</w:t>
      </w:r>
      <w:r w:rsidRPr="00F51912">
        <w:rPr>
          <w:rFonts w:ascii="Times New Roman" w:eastAsiaTheme="minorEastAsia" w:hAnsi="Times New Roman"/>
          <w:szCs w:val="24"/>
        </w:rPr>
        <w:t>)</w:t>
      </w:r>
      <w:r>
        <w:rPr>
          <w:rFonts w:ascii="Times New Roman" w:eastAsiaTheme="minorEastAsia" w:hAnsi="Times New Roman"/>
          <w:szCs w:val="24"/>
        </w:rPr>
        <w:t xml:space="preserve"> which provides evidence that nonresponse weight adjustment accounted for the differential nonresponse for this age group</w:t>
      </w:r>
      <w:r w:rsidRPr="00F51912">
        <w:rPr>
          <w:rFonts w:ascii="Times New Roman" w:eastAsiaTheme="minorEastAsia" w:hAnsi="Times New Roman"/>
          <w:szCs w:val="24"/>
        </w:rPr>
        <w:t xml:space="preserve">. </w:t>
      </w:r>
    </w:p>
    <w:p w14:paraId="034B6AE9" w14:textId="77777777" w:rsidR="00A01267" w:rsidRDefault="00A01267" w:rsidP="00F51912">
      <w:pPr>
        <w:ind w:left="0"/>
        <w:rPr>
          <w:rFonts w:ascii="Times New Roman" w:eastAsiaTheme="minorEastAsia" w:hAnsi="Times New Roman"/>
          <w:szCs w:val="24"/>
        </w:rPr>
      </w:pPr>
    </w:p>
    <w:p w14:paraId="0F776527" w14:textId="22BB3776" w:rsidR="002B3579" w:rsidRPr="00F51912" w:rsidRDefault="002B3579" w:rsidP="00F51912">
      <w:pPr>
        <w:ind w:left="0"/>
        <w:rPr>
          <w:rFonts w:ascii="Times New Roman" w:eastAsiaTheme="minorEastAsia" w:hAnsi="Times New Roman"/>
          <w:szCs w:val="24"/>
        </w:rPr>
      </w:pPr>
      <w:r w:rsidRPr="00F51912">
        <w:rPr>
          <w:rFonts w:ascii="Times New Roman" w:eastAsiaTheme="minorEastAsia" w:hAnsi="Times New Roman"/>
          <w:szCs w:val="24"/>
        </w:rPr>
        <w:t>This pattern is repeated throughout, with lower responding groups being underrepresented and higher responding groups being overrepresented. However, the nonresponse weight adjustment does a good job accounting for this differential response by subgroup and brings the weighted respondent distributions closer to the sample distributions.</w:t>
      </w:r>
    </w:p>
    <w:p w14:paraId="562F7EFC" w14:textId="77777777" w:rsidR="002B3579" w:rsidRPr="00910834" w:rsidRDefault="002B3579" w:rsidP="002B3579">
      <w:pPr>
        <w:rPr>
          <w:rFonts w:ascii="Times New Roman" w:eastAsiaTheme="minorEastAsia" w:hAnsi="Times New Roman"/>
          <w:szCs w:val="24"/>
        </w:rPr>
      </w:pPr>
    </w:p>
    <w:p w14:paraId="772767BB" w14:textId="77777777" w:rsidR="002B3579" w:rsidRPr="00A66DF7" w:rsidRDefault="002B3579" w:rsidP="002B3579">
      <w:pPr>
        <w:ind w:left="0"/>
        <w:rPr>
          <w:rFonts w:ascii="Times New Roman" w:eastAsiaTheme="minorEastAsia" w:hAnsi="Times New Roman"/>
          <w:szCs w:val="24"/>
        </w:rPr>
      </w:pPr>
      <w:r w:rsidRPr="00910834">
        <w:rPr>
          <w:rFonts w:ascii="Times New Roman" w:hAnsi="Times New Roman"/>
          <w:szCs w:val="24"/>
        </w:rPr>
        <w:t>R-indicators and corresponding standard errors will be provided for each of the four originating sources of sample for the 2019 NSCG (namely, the 2011 ACS, 2013 ACS, 2015 ACS, and 2017 ACS).</w:t>
      </w:r>
      <w:r w:rsidRPr="00910834">
        <w:rPr>
          <w:rFonts w:ascii="Times New Roman" w:eastAsiaTheme="minorEastAsia" w:hAnsi="Times New Roman"/>
          <w:szCs w:val="24"/>
        </w:rPr>
        <w:t xml:space="preserve">  R-indicators are useful, in addition to</w:t>
      </w:r>
      <w:r w:rsidRPr="00A66DF7">
        <w:rPr>
          <w:rFonts w:ascii="Times New Roman" w:eastAsiaTheme="minorEastAsia" w:hAnsi="Times New Roman"/>
          <w:szCs w:val="24"/>
        </w:rPr>
        <w:t xml:space="preserve"> response rate and domain estimates, for assessing the p</w:t>
      </w:r>
      <w:r>
        <w:rPr>
          <w:rFonts w:ascii="Times New Roman" w:eastAsiaTheme="minorEastAsia" w:hAnsi="Times New Roman"/>
          <w:szCs w:val="24"/>
        </w:rPr>
        <w:t xml:space="preserve">otential for nonresponse bias.  </w:t>
      </w:r>
      <w:r w:rsidRPr="00A66DF7">
        <w:rPr>
          <w:rFonts w:ascii="Times New Roman" w:eastAsiaTheme="minorEastAsia" w:hAnsi="Times New Roman"/>
          <w:szCs w:val="24"/>
        </w:rPr>
        <w:t xml:space="preserve">R-indicators are based on response propensities calculated using a </w:t>
      </w:r>
      <w:r w:rsidRPr="00A66DF7">
        <w:rPr>
          <w:rFonts w:ascii="Times New Roman" w:hAnsi="Times New Roman"/>
          <w:szCs w:val="24"/>
        </w:rPr>
        <w:t xml:space="preserve">predetermined balancing model (“balancing propensities”) to </w:t>
      </w:r>
      <w:r w:rsidRPr="00A66DF7">
        <w:rPr>
          <w:rFonts w:ascii="Times New Roman" w:eastAsiaTheme="minorEastAsia" w:hAnsi="Times New Roman"/>
          <w:szCs w:val="24"/>
        </w:rPr>
        <w:t xml:space="preserve">provide information on both </w:t>
      </w:r>
      <w:r w:rsidRPr="00A66DF7">
        <w:rPr>
          <w:rFonts w:ascii="Times New Roman" w:hAnsi="Times New Roman"/>
          <w:szCs w:val="24"/>
        </w:rPr>
        <w:t xml:space="preserve">how different the respondent population is compared to the full sample population, as well as which variables in the predetermined model are driving the variation in nonresponse.  </w:t>
      </w:r>
    </w:p>
    <w:p w14:paraId="3DC35723" w14:textId="77777777" w:rsidR="002B3579" w:rsidRPr="00DB68FB" w:rsidRDefault="002B3579" w:rsidP="002B3579">
      <w:pPr>
        <w:ind w:left="0"/>
        <w:rPr>
          <w:rFonts w:ascii="Times New Roman" w:hAnsi="Times New Roman"/>
        </w:rPr>
      </w:pPr>
    </w:p>
    <w:p w14:paraId="09F2AA44" w14:textId="77777777" w:rsidR="002B3579" w:rsidRDefault="002B3579" w:rsidP="002B3579">
      <w:pPr>
        <w:ind w:left="0"/>
        <w:rPr>
          <w:rFonts w:ascii="Times New Roman" w:hAnsi="Times New Roman"/>
          <w:i/>
          <w:u w:val="single"/>
        </w:rPr>
      </w:pPr>
      <w:r>
        <w:rPr>
          <w:rFonts w:ascii="Times New Roman" w:hAnsi="Times New Roman"/>
          <w:i/>
          <w:iCs/>
          <w:u w:val="single"/>
        </w:rPr>
        <w:t>Error Resulting from ACS and NSCG Response Inconsistency</w:t>
      </w:r>
    </w:p>
    <w:p w14:paraId="3D7AB04B" w14:textId="2BBA28E4" w:rsidR="002B3579" w:rsidRDefault="002B3579" w:rsidP="002B3579">
      <w:pPr>
        <w:ind w:left="0"/>
        <w:rPr>
          <w:rFonts w:ascii="Times New Roman" w:hAnsi="Times New Roman"/>
          <w:szCs w:val="24"/>
        </w:rPr>
      </w:pPr>
      <w:r w:rsidRPr="00F6397F">
        <w:rPr>
          <w:rFonts w:ascii="Times New Roman" w:hAnsi="Times New Roman"/>
          <w:szCs w:val="24"/>
        </w:rPr>
        <w:t>Information from the ACS responses is used to determine NSCG eligibility and to dev</w:t>
      </w:r>
      <w:r>
        <w:rPr>
          <w:rFonts w:ascii="Times New Roman" w:hAnsi="Times New Roman"/>
          <w:szCs w:val="24"/>
        </w:rPr>
        <w:t xml:space="preserve">elop the NSCG sampling strata.  </w:t>
      </w:r>
      <w:r w:rsidRPr="00F6397F">
        <w:rPr>
          <w:rFonts w:ascii="Times New Roman" w:hAnsi="Times New Roman"/>
          <w:szCs w:val="24"/>
        </w:rPr>
        <w:t>Inconsistency between ACS responses and NSCG responses has the potential to inflate non-sampling error in multiple</w:t>
      </w:r>
      <w:r>
        <w:rPr>
          <w:rFonts w:ascii="Times New Roman" w:hAnsi="Times New Roman"/>
          <w:szCs w:val="24"/>
        </w:rPr>
        <w:t xml:space="preserve"> ways and will be investigated as part of the 2019 NSCG non-sampling error evaluation.  </w:t>
      </w:r>
      <w:r w:rsidRPr="00F6397F">
        <w:rPr>
          <w:rFonts w:ascii="Times New Roman" w:hAnsi="Times New Roman"/>
          <w:szCs w:val="24"/>
        </w:rPr>
        <w:t xml:space="preserve">Since we use ACS responses to define the </w:t>
      </w:r>
      <w:r>
        <w:rPr>
          <w:rFonts w:ascii="Times New Roman" w:hAnsi="Times New Roman"/>
          <w:szCs w:val="24"/>
        </w:rPr>
        <w:t xml:space="preserve">NSCG </w:t>
      </w:r>
      <w:r w:rsidRPr="00F6397F">
        <w:rPr>
          <w:rFonts w:ascii="Times New Roman" w:hAnsi="Times New Roman"/>
          <w:szCs w:val="24"/>
        </w:rPr>
        <w:t>sampling strata, and we have different sampling rates in each of the strata, inconsistency with NSCG responses on the stratification variables leads to a</w:t>
      </w:r>
      <w:r>
        <w:rPr>
          <w:rFonts w:ascii="Times New Roman" w:hAnsi="Times New Roman"/>
          <w:szCs w:val="24"/>
        </w:rPr>
        <w:t xml:space="preserve"> less </w:t>
      </w:r>
      <w:r w:rsidRPr="00F6397F">
        <w:rPr>
          <w:rFonts w:ascii="Times New Roman" w:hAnsi="Times New Roman"/>
          <w:szCs w:val="24"/>
        </w:rPr>
        <w:t>efficient sample design with increased varianc</w:t>
      </w:r>
      <w:r>
        <w:rPr>
          <w:rFonts w:ascii="Times New Roman" w:hAnsi="Times New Roman"/>
          <w:szCs w:val="24"/>
        </w:rPr>
        <w:t>es.  For example, we sample non-</w:t>
      </w:r>
      <w:r w:rsidRPr="00F6397F">
        <w:rPr>
          <w:rFonts w:ascii="Times New Roman" w:hAnsi="Times New Roman"/>
          <w:szCs w:val="24"/>
        </w:rPr>
        <w:t>science and engineering (non-S&amp;E) occupations at much lower rates than S&amp;E occupations which leads to large weights for non</w:t>
      </w:r>
      <w:r>
        <w:rPr>
          <w:rFonts w:ascii="Times New Roman" w:hAnsi="Times New Roman"/>
          <w:szCs w:val="24"/>
        </w:rPr>
        <w:noBreakHyphen/>
      </w:r>
      <w:r w:rsidRPr="00F6397F">
        <w:rPr>
          <w:rFonts w:ascii="Times New Roman" w:hAnsi="Times New Roman"/>
          <w:szCs w:val="24"/>
        </w:rPr>
        <w:t xml:space="preserve">S&amp;E cases and small weights for S&amp;E cases.  If a case is identified as non-S&amp;E on the </w:t>
      </w:r>
      <w:r w:rsidR="003857DE" w:rsidRPr="00F6397F">
        <w:rPr>
          <w:rFonts w:ascii="Times New Roman" w:hAnsi="Times New Roman"/>
          <w:szCs w:val="24"/>
        </w:rPr>
        <w:t>ACS but</w:t>
      </w:r>
      <w:r w:rsidRPr="00F6397F">
        <w:rPr>
          <w:rFonts w:ascii="Times New Roman" w:hAnsi="Times New Roman"/>
          <w:szCs w:val="24"/>
        </w:rPr>
        <w:t xml:space="preserve"> lists an S&amp;E occupation on the NSCG, then this case with a large weight is introduced into the S&amp;E domain thus increasing the variance of estimates for the S&amp;E domain.  The mixing of cases from different sampling strata due to ACS/NSCG response inconsistency thus leads to an inefficient design and contributes to larger variances.</w:t>
      </w:r>
      <w:r>
        <w:rPr>
          <w:rFonts w:ascii="Times New Roman" w:hAnsi="Times New Roman"/>
          <w:szCs w:val="24"/>
        </w:rPr>
        <w:t xml:space="preserve">  </w:t>
      </w:r>
    </w:p>
    <w:p w14:paraId="26CA12ED" w14:textId="77777777" w:rsidR="002B3579" w:rsidRDefault="002B3579" w:rsidP="002B3579">
      <w:pPr>
        <w:ind w:left="0"/>
        <w:rPr>
          <w:rFonts w:ascii="Times New Roman" w:hAnsi="Times New Roman"/>
          <w:szCs w:val="24"/>
        </w:rPr>
      </w:pPr>
    </w:p>
    <w:p w14:paraId="3144D43B" w14:textId="1F991701" w:rsidR="002B3579" w:rsidRDefault="002B3579" w:rsidP="002B3579">
      <w:pPr>
        <w:ind w:left="0"/>
        <w:rPr>
          <w:rFonts w:ascii="Times New Roman" w:hAnsi="Times New Roman"/>
          <w:szCs w:val="24"/>
        </w:rPr>
      </w:pPr>
      <w:r w:rsidRPr="00F6397F">
        <w:rPr>
          <w:rFonts w:ascii="Times New Roman" w:hAnsi="Times New Roman"/>
          <w:szCs w:val="24"/>
        </w:rPr>
        <w:t>Another opportun</w:t>
      </w:r>
      <w:r>
        <w:rPr>
          <w:rFonts w:ascii="Times New Roman" w:hAnsi="Times New Roman"/>
          <w:szCs w:val="24"/>
        </w:rPr>
        <w:t>ity for ACS/NSCG inconsistency leading to</w:t>
      </w:r>
      <w:r w:rsidRPr="00F6397F">
        <w:rPr>
          <w:rFonts w:ascii="Times New Roman" w:hAnsi="Times New Roman"/>
          <w:szCs w:val="24"/>
        </w:rPr>
        <w:t xml:space="preserve"> non-sampling error is with off-year estimation</w:t>
      </w:r>
      <w:r w:rsidR="00645D7B">
        <w:rPr>
          <w:rFonts w:ascii="Times New Roman" w:hAnsi="Times New Roman"/>
          <w:szCs w:val="24"/>
        </w:rPr>
        <w:t>.</w:t>
      </w:r>
      <w:r w:rsidRPr="00F6397F">
        <w:rPr>
          <w:rStyle w:val="FootnoteReference"/>
          <w:rFonts w:ascii="Times New Roman" w:hAnsi="Times New Roman"/>
          <w:szCs w:val="24"/>
        </w:rPr>
        <w:footnoteReference w:id="6"/>
      </w:r>
      <w:r w:rsidRPr="00F6397F">
        <w:rPr>
          <w:rFonts w:ascii="Times New Roman" w:hAnsi="Times New Roman"/>
          <w:szCs w:val="24"/>
        </w:rPr>
        <w:t xml:space="preserve">  To the extent ACS responses are inconsistent with NSCG responses, using the ACS data to produce estimates for the college-educated population will lead to biased estimates.  Therefore, consistency between the ACS and NSCG responses is very important if we want to </w:t>
      </w:r>
      <w:r>
        <w:rPr>
          <w:rFonts w:ascii="Times New Roman" w:hAnsi="Times New Roman"/>
          <w:szCs w:val="24"/>
        </w:rPr>
        <w:t>consider the possibility of producing</w:t>
      </w:r>
      <w:r w:rsidRPr="00F6397F">
        <w:rPr>
          <w:rFonts w:ascii="Times New Roman" w:hAnsi="Times New Roman"/>
          <w:szCs w:val="24"/>
        </w:rPr>
        <w:t xml:space="preserve"> off-y</w:t>
      </w:r>
      <w:r>
        <w:rPr>
          <w:rFonts w:ascii="Times New Roman" w:hAnsi="Times New Roman"/>
          <w:szCs w:val="24"/>
        </w:rPr>
        <w:t>ear estimates with smaller bias.</w:t>
      </w:r>
    </w:p>
    <w:p w14:paraId="4C033110" w14:textId="77777777" w:rsidR="005307B2" w:rsidRDefault="005307B2">
      <w:pPr>
        <w:pStyle w:val="Default"/>
        <w:ind w:left="48"/>
        <w:rPr>
          <w:color w:val="auto"/>
        </w:rPr>
      </w:pPr>
    </w:p>
    <w:p w14:paraId="317E07C8" w14:textId="77777777" w:rsidR="001653D2" w:rsidRPr="00DB68FB" w:rsidRDefault="001653D2">
      <w:pPr>
        <w:pStyle w:val="Default"/>
        <w:ind w:left="48"/>
      </w:pPr>
    </w:p>
    <w:p w14:paraId="4AFD5CBF" w14:textId="77777777" w:rsidR="00B776D7" w:rsidRPr="00DB68FB" w:rsidRDefault="00B776D7" w:rsidP="00AC278D">
      <w:pPr>
        <w:pStyle w:val="Heading2"/>
        <w:numPr>
          <w:ilvl w:val="0"/>
          <w:numId w:val="4"/>
        </w:numPr>
        <w:tabs>
          <w:tab w:val="clear" w:pos="1440"/>
          <w:tab w:val="num" w:pos="0"/>
          <w:tab w:val="left" w:pos="720"/>
          <w:tab w:val="left" w:pos="2520"/>
        </w:tabs>
        <w:spacing w:before="0" w:after="0"/>
        <w:ind w:left="0" w:firstLine="0"/>
        <w:rPr>
          <w:szCs w:val="24"/>
        </w:rPr>
      </w:pPr>
      <w:bookmarkStart w:id="14" w:name="_Toc257283598"/>
      <w:bookmarkStart w:id="15" w:name="_Toc536767276"/>
      <w:r w:rsidRPr="00DB68FB">
        <w:rPr>
          <w:szCs w:val="24"/>
        </w:rPr>
        <w:t>METHODS TO MAXIMIZE RESPONSE</w:t>
      </w:r>
      <w:bookmarkEnd w:id="14"/>
      <w:bookmarkEnd w:id="15"/>
    </w:p>
    <w:p w14:paraId="74DBE419" w14:textId="77777777" w:rsidR="00B776D7" w:rsidRPr="00DB68FB" w:rsidRDefault="00B776D7" w:rsidP="0041568D">
      <w:pPr>
        <w:keepNext/>
        <w:rPr>
          <w:rFonts w:ascii="Times New Roman" w:hAnsi="Times New Roman"/>
          <w:szCs w:val="24"/>
        </w:rPr>
      </w:pPr>
    </w:p>
    <w:p w14:paraId="0C6C61CB" w14:textId="0E90C43C" w:rsidR="00BE6D80" w:rsidRPr="00DB68FB" w:rsidRDefault="00A852AC" w:rsidP="00BE6D80">
      <w:pPr>
        <w:keepNext/>
        <w:tabs>
          <w:tab w:val="left" w:pos="0"/>
          <w:tab w:val="left" w:pos="2520"/>
        </w:tabs>
        <w:suppressAutoHyphens/>
        <w:ind w:left="0"/>
        <w:rPr>
          <w:rFonts w:ascii="Times New Roman" w:hAnsi="Times New Roman"/>
          <w:szCs w:val="24"/>
        </w:rPr>
      </w:pPr>
      <w:r>
        <w:rPr>
          <w:rFonts w:ascii="Times New Roman" w:hAnsi="Times New Roman"/>
        </w:rPr>
        <w:t>To</w:t>
      </w:r>
      <w:r w:rsidR="00BE6D80" w:rsidRPr="00DB68FB">
        <w:rPr>
          <w:rFonts w:ascii="Times New Roman" w:hAnsi="Times New Roman"/>
        </w:rPr>
        <w:t xml:space="preserve"> maximize the overall survey response rate, </w:t>
      </w:r>
      <w:r w:rsidR="00BE6D80">
        <w:rPr>
          <w:rFonts w:ascii="Times New Roman" w:hAnsi="Times New Roman"/>
        </w:rPr>
        <w:t>NCSES</w:t>
      </w:r>
      <w:r w:rsidR="00BE6D80" w:rsidRPr="00DB68FB">
        <w:rPr>
          <w:rFonts w:ascii="Times New Roman" w:hAnsi="Times New Roman"/>
        </w:rPr>
        <w:t xml:space="preserve"> and the Census Bureau will implement procedures such as conducting extensive locating efforts and collect</w:t>
      </w:r>
      <w:r w:rsidR="00BE6D80">
        <w:rPr>
          <w:rFonts w:ascii="Times New Roman" w:hAnsi="Times New Roman"/>
        </w:rPr>
        <w:t>ing</w:t>
      </w:r>
      <w:r w:rsidR="00BE6D80" w:rsidRPr="00DB68FB">
        <w:rPr>
          <w:rFonts w:ascii="Times New Roman" w:hAnsi="Times New Roman"/>
        </w:rPr>
        <w:t xml:space="preserve"> the survey data using three </w:t>
      </w:r>
      <w:r w:rsidR="00BE6D80">
        <w:rPr>
          <w:rFonts w:ascii="Times New Roman" w:hAnsi="Times New Roman"/>
        </w:rPr>
        <w:t>different</w:t>
      </w:r>
      <w:r w:rsidR="00BE6D80" w:rsidRPr="00DB68FB">
        <w:rPr>
          <w:rFonts w:ascii="Times New Roman" w:hAnsi="Times New Roman"/>
        </w:rPr>
        <w:t xml:space="preserve"> modes (mail, web, and CATI).  </w:t>
      </w:r>
      <w:r w:rsidR="00BE6D80" w:rsidRPr="00DB68FB">
        <w:rPr>
          <w:rFonts w:ascii="Times New Roman" w:hAnsi="Times New Roman"/>
          <w:szCs w:val="24"/>
        </w:rPr>
        <w:t xml:space="preserve">The contact information obtained </w:t>
      </w:r>
      <w:r w:rsidR="00645D7B" w:rsidRPr="00DB68FB">
        <w:rPr>
          <w:rFonts w:ascii="Times New Roman" w:hAnsi="Times New Roman"/>
          <w:szCs w:val="24"/>
        </w:rPr>
        <w:t xml:space="preserve">for the sample members </w:t>
      </w:r>
      <w:r w:rsidR="00BE6D80" w:rsidRPr="00DB68FB">
        <w:rPr>
          <w:rFonts w:ascii="Times New Roman" w:hAnsi="Times New Roman"/>
          <w:szCs w:val="24"/>
        </w:rPr>
        <w:t>from the 201</w:t>
      </w:r>
      <w:r w:rsidR="00BE6D80">
        <w:rPr>
          <w:rFonts w:ascii="Times New Roman" w:hAnsi="Times New Roman"/>
          <w:szCs w:val="24"/>
        </w:rPr>
        <w:t>7 NSCG and the 2017</w:t>
      </w:r>
      <w:r w:rsidR="00BE6D80" w:rsidRPr="00DB68FB">
        <w:rPr>
          <w:rFonts w:ascii="Times New Roman" w:hAnsi="Times New Roman"/>
          <w:szCs w:val="24"/>
        </w:rPr>
        <w:t xml:space="preserve"> ACS will be used to locate the sample members in </w:t>
      </w:r>
      <w:r w:rsidR="00BE6D80">
        <w:rPr>
          <w:rFonts w:ascii="Times New Roman" w:hAnsi="Times New Roman"/>
          <w:szCs w:val="24"/>
        </w:rPr>
        <w:t>2019</w:t>
      </w:r>
      <w:r w:rsidR="00BE6D80" w:rsidRPr="00DB68FB">
        <w:rPr>
          <w:rFonts w:ascii="Times New Roman" w:hAnsi="Times New Roman"/>
          <w:szCs w:val="24"/>
        </w:rPr>
        <w:t>.</w:t>
      </w:r>
    </w:p>
    <w:p w14:paraId="34F04E96" w14:textId="77777777" w:rsidR="00BE6D80" w:rsidRDefault="00BE6D80" w:rsidP="00BE6D80">
      <w:pPr>
        <w:tabs>
          <w:tab w:val="left" w:pos="0"/>
          <w:tab w:val="left" w:pos="2520"/>
        </w:tabs>
        <w:suppressAutoHyphens/>
        <w:ind w:left="0"/>
        <w:rPr>
          <w:rFonts w:ascii="Times New Roman" w:hAnsi="Times New Roman"/>
          <w:szCs w:val="24"/>
        </w:rPr>
      </w:pPr>
    </w:p>
    <w:p w14:paraId="02039FEC" w14:textId="77777777" w:rsidR="00BE6D80" w:rsidRPr="001653D2" w:rsidRDefault="00BE6D80" w:rsidP="00BE6D80">
      <w:pPr>
        <w:ind w:left="0"/>
        <w:rPr>
          <w:rFonts w:ascii="Times New Roman" w:hAnsi="Times New Roman"/>
          <w:b/>
        </w:rPr>
      </w:pPr>
      <w:r>
        <w:rPr>
          <w:rFonts w:ascii="Times New Roman" w:hAnsi="Times New Roman"/>
          <w:b/>
        </w:rPr>
        <w:t>Respondent Locating Techniques</w:t>
      </w:r>
    </w:p>
    <w:p w14:paraId="601AC287" w14:textId="6E1EE9F5" w:rsidR="00BE6D80" w:rsidRPr="00DB68FB" w:rsidRDefault="00BE6D80" w:rsidP="00BE6D80">
      <w:pPr>
        <w:tabs>
          <w:tab w:val="left" w:pos="0"/>
          <w:tab w:val="left" w:pos="2520"/>
        </w:tabs>
        <w:suppressAutoHyphens/>
        <w:ind w:left="0"/>
        <w:rPr>
          <w:rFonts w:ascii="Times New Roman" w:hAnsi="Times New Roman"/>
          <w:szCs w:val="24"/>
        </w:rPr>
      </w:pPr>
      <w:r w:rsidRPr="00DB68FB">
        <w:rPr>
          <w:rFonts w:ascii="Times New Roman" w:hAnsi="Times New Roman"/>
          <w:szCs w:val="24"/>
        </w:rPr>
        <w:t>The Census Bureau will refine and use a combination of locating and contact methods based on the past surveys to maximize the survey response rate. The Census Bureau will utilize all available locating tools and resources to make the first contact with the sample person.  The Census Bureau will use the U.S. Postal Service</w:t>
      </w:r>
      <w:r w:rsidR="00645D7B">
        <w:rPr>
          <w:rFonts w:ascii="Times New Roman" w:hAnsi="Times New Roman"/>
          <w:szCs w:val="24"/>
        </w:rPr>
        <w:t>’s</w:t>
      </w:r>
      <w:r w:rsidRPr="00DB68FB">
        <w:rPr>
          <w:rFonts w:ascii="Times New Roman" w:hAnsi="Times New Roman"/>
          <w:szCs w:val="24"/>
        </w:rPr>
        <w:t xml:space="preserve"> (USPS) automated National Change of Address (NCOA) database to update addresses for the sample.  The NCOA incorporates all change of name/address orders submitted to the USPS nationwide</w:t>
      </w:r>
      <w:r>
        <w:rPr>
          <w:rFonts w:ascii="Times New Roman" w:hAnsi="Times New Roman"/>
          <w:szCs w:val="24"/>
        </w:rPr>
        <w:t xml:space="preserve"> and</w:t>
      </w:r>
      <w:r w:rsidRPr="00DB68FB">
        <w:rPr>
          <w:rFonts w:ascii="Times New Roman" w:hAnsi="Times New Roman"/>
          <w:szCs w:val="24"/>
        </w:rPr>
        <w:t xml:space="preserve"> is updated at least biweekly. </w:t>
      </w:r>
    </w:p>
    <w:p w14:paraId="7DA58BCF" w14:textId="77777777" w:rsidR="00BE6D80" w:rsidRPr="00DB68FB" w:rsidRDefault="00BE6D80" w:rsidP="00BE6D80">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hanging="527"/>
        <w:rPr>
          <w:rFonts w:ascii="Times New Roman" w:hAnsi="Times New Roman"/>
          <w:szCs w:val="24"/>
        </w:rPr>
      </w:pPr>
    </w:p>
    <w:p w14:paraId="52F18214" w14:textId="11DB3F5E" w:rsidR="00BE6D80" w:rsidRPr="00DB68FB" w:rsidRDefault="00BE6D80" w:rsidP="00BE6D80">
      <w:pPr>
        <w:tabs>
          <w:tab w:val="left" w:pos="0"/>
          <w:tab w:val="left" w:pos="2520"/>
        </w:tabs>
        <w:suppressAutoHyphens/>
        <w:ind w:left="0"/>
        <w:rPr>
          <w:rFonts w:ascii="Times New Roman" w:hAnsi="Times New Roman"/>
          <w:szCs w:val="24"/>
        </w:rPr>
      </w:pPr>
      <w:r>
        <w:rPr>
          <w:rFonts w:ascii="Times New Roman" w:hAnsi="Times New Roman"/>
          <w:szCs w:val="24"/>
        </w:rPr>
        <w:t>The Census Bureau</w:t>
      </w:r>
      <w:r w:rsidRPr="00DB68FB">
        <w:rPr>
          <w:rFonts w:ascii="Times New Roman" w:hAnsi="Times New Roman"/>
          <w:szCs w:val="24"/>
        </w:rPr>
        <w:t xml:space="preserve"> will </w:t>
      </w:r>
      <w:r w:rsidR="00645D7B">
        <w:rPr>
          <w:rFonts w:ascii="Times New Roman" w:hAnsi="Times New Roman"/>
          <w:szCs w:val="24"/>
        </w:rPr>
        <w:t>use</w:t>
      </w:r>
      <w:r w:rsidRPr="00DB68FB">
        <w:rPr>
          <w:rFonts w:ascii="Times New Roman" w:hAnsi="Times New Roman"/>
          <w:szCs w:val="24"/>
        </w:rPr>
        <w:t xml:space="preserve"> the “Return Service Requested” option </w:t>
      </w:r>
      <w:r>
        <w:rPr>
          <w:rFonts w:ascii="Times New Roman" w:hAnsi="Times New Roman"/>
          <w:szCs w:val="24"/>
        </w:rPr>
        <w:t xml:space="preserve">for mailings </w:t>
      </w:r>
      <w:r w:rsidRPr="00DB68FB">
        <w:rPr>
          <w:rFonts w:ascii="Times New Roman" w:hAnsi="Times New Roman"/>
          <w:szCs w:val="24"/>
        </w:rPr>
        <w:t xml:space="preserve">to ensure that the postal service will provide a forwarding address for any undeliverable mail.  For the majority of the cases, the initial mailing to the NSCG sample members will </w:t>
      </w:r>
      <w:r>
        <w:rPr>
          <w:rFonts w:ascii="Times New Roman" w:hAnsi="Times New Roman"/>
          <w:szCs w:val="24"/>
        </w:rPr>
        <w:t>be</w:t>
      </w:r>
      <w:r w:rsidRPr="00DB68FB">
        <w:rPr>
          <w:rFonts w:ascii="Times New Roman" w:hAnsi="Times New Roman"/>
          <w:szCs w:val="24"/>
        </w:rPr>
        <w:t xml:space="preserve"> a letter introducing the survey and inviting them to complete the survey by the web data collection mode.  For the cases that stated a preferred mode for use in future survey rounds (e.g., mailed questionnaire or telephone), </w:t>
      </w:r>
      <w:r>
        <w:rPr>
          <w:rFonts w:ascii="Times New Roman" w:hAnsi="Times New Roman"/>
          <w:szCs w:val="24"/>
        </w:rPr>
        <w:t>NCSES</w:t>
      </w:r>
      <w:r w:rsidRPr="00DB68FB">
        <w:rPr>
          <w:rFonts w:ascii="Times New Roman" w:hAnsi="Times New Roman"/>
          <w:szCs w:val="24"/>
        </w:rPr>
        <w:t xml:space="preserve"> will honor that request by contacting the sample member using the preferred mode to introduce the survey and request their participation.</w:t>
      </w:r>
    </w:p>
    <w:p w14:paraId="1618191A" w14:textId="77777777" w:rsidR="00BE6D80" w:rsidRPr="00DB68FB" w:rsidRDefault="00BE6D80" w:rsidP="00BE6D80">
      <w:pPr>
        <w:tabs>
          <w:tab w:val="left" w:pos="0"/>
          <w:tab w:val="left" w:pos="2520"/>
        </w:tabs>
        <w:suppressAutoHyphens/>
        <w:ind w:left="0"/>
        <w:rPr>
          <w:rFonts w:ascii="Times New Roman" w:hAnsi="Times New Roman"/>
          <w:szCs w:val="24"/>
        </w:rPr>
      </w:pPr>
    </w:p>
    <w:p w14:paraId="3587BA23" w14:textId="572C85E6" w:rsidR="00BE6D80" w:rsidRDefault="00BE6D80" w:rsidP="00BE6D80">
      <w:pPr>
        <w:tabs>
          <w:tab w:val="left" w:pos="0"/>
          <w:tab w:val="left" w:pos="2520"/>
        </w:tabs>
        <w:suppressAutoHyphens/>
        <w:ind w:left="0"/>
        <w:rPr>
          <w:rFonts w:ascii="Times New Roman" w:hAnsi="Times New Roman"/>
          <w:szCs w:val="24"/>
        </w:rPr>
      </w:pPr>
      <w:r w:rsidRPr="00DB68FB">
        <w:rPr>
          <w:rFonts w:ascii="Times New Roman" w:hAnsi="Times New Roman"/>
          <w:szCs w:val="24"/>
        </w:rPr>
        <w:t>The locating efforts will include using such sources as educational institutions</w:t>
      </w:r>
      <w:r>
        <w:rPr>
          <w:rFonts w:ascii="Times New Roman" w:hAnsi="Times New Roman"/>
          <w:szCs w:val="24"/>
        </w:rPr>
        <w:t>,</w:t>
      </w:r>
      <w:r w:rsidRPr="00DB68FB">
        <w:rPr>
          <w:rFonts w:ascii="Times New Roman" w:hAnsi="Times New Roman"/>
          <w:szCs w:val="24"/>
        </w:rPr>
        <w:t xml:space="preserve"> alumni associations</w:t>
      </w:r>
      <w:r>
        <w:rPr>
          <w:rFonts w:ascii="Times New Roman" w:hAnsi="Times New Roman"/>
          <w:szCs w:val="24"/>
        </w:rPr>
        <w:t xml:space="preserve">, and other </w:t>
      </w:r>
      <w:r w:rsidR="007505A4">
        <w:rPr>
          <w:rFonts w:ascii="Times New Roman" w:hAnsi="Times New Roman"/>
          <w:szCs w:val="24"/>
        </w:rPr>
        <w:t>publicly</w:t>
      </w:r>
      <w:r>
        <w:rPr>
          <w:rFonts w:ascii="Times New Roman" w:hAnsi="Times New Roman"/>
          <w:szCs w:val="24"/>
        </w:rPr>
        <w:t xml:space="preserve"> available data found on the internet</w:t>
      </w:r>
      <w:r w:rsidRPr="00DB68FB">
        <w:rPr>
          <w:rFonts w:ascii="Times New Roman" w:hAnsi="Times New Roman"/>
          <w:szCs w:val="24"/>
        </w:rPr>
        <w:t xml:space="preserve">, Directory Assistance for published telephone numbers, </w:t>
      </w:r>
      <w:r>
        <w:rPr>
          <w:rFonts w:ascii="Times New Roman" w:hAnsi="Times New Roman"/>
          <w:szCs w:val="24"/>
        </w:rPr>
        <w:t xml:space="preserve">and </w:t>
      </w:r>
      <w:r w:rsidRPr="00DB68FB">
        <w:rPr>
          <w:rFonts w:ascii="Times New Roman" w:hAnsi="Times New Roman"/>
          <w:szCs w:val="24"/>
        </w:rPr>
        <w:t xml:space="preserve">FastData </w:t>
      </w:r>
      <w:r>
        <w:rPr>
          <w:rFonts w:ascii="Times New Roman" w:hAnsi="Times New Roman"/>
          <w:szCs w:val="24"/>
        </w:rPr>
        <w:t xml:space="preserve">and/or Accurint </w:t>
      </w:r>
      <w:r w:rsidRPr="00DB68FB">
        <w:rPr>
          <w:rFonts w:ascii="Times New Roman" w:hAnsi="Times New Roman"/>
          <w:szCs w:val="24"/>
        </w:rPr>
        <w:t xml:space="preserve">for address </w:t>
      </w:r>
      <w:r>
        <w:rPr>
          <w:rFonts w:ascii="Times New Roman" w:hAnsi="Times New Roman"/>
          <w:szCs w:val="24"/>
        </w:rPr>
        <w:t xml:space="preserve">and telephone number </w:t>
      </w:r>
      <w:r w:rsidRPr="00DB68FB">
        <w:rPr>
          <w:rFonts w:ascii="Times New Roman" w:hAnsi="Times New Roman"/>
          <w:szCs w:val="24"/>
        </w:rPr>
        <w:t xml:space="preserve">searches.  </w:t>
      </w:r>
    </w:p>
    <w:p w14:paraId="32FC9354" w14:textId="77777777" w:rsidR="00BE6D80" w:rsidRPr="00DB68FB" w:rsidRDefault="00BE6D80" w:rsidP="00BE6D80">
      <w:pPr>
        <w:tabs>
          <w:tab w:val="left" w:pos="0"/>
          <w:tab w:val="left" w:pos="2520"/>
        </w:tabs>
        <w:suppressAutoHyphens/>
        <w:ind w:left="0"/>
        <w:rPr>
          <w:rFonts w:ascii="Times New Roman" w:hAnsi="Times New Roman"/>
          <w:szCs w:val="24"/>
        </w:rPr>
      </w:pPr>
    </w:p>
    <w:p w14:paraId="1EACC35A" w14:textId="77777777" w:rsidR="00BE6D80" w:rsidRPr="001653D2" w:rsidRDefault="00BE6D80" w:rsidP="00BE6D80">
      <w:pPr>
        <w:keepNext/>
        <w:tabs>
          <w:tab w:val="left" w:pos="0"/>
          <w:tab w:val="left" w:pos="2520"/>
        </w:tabs>
        <w:suppressAutoHyphens/>
        <w:ind w:left="0"/>
        <w:rPr>
          <w:rFonts w:ascii="Times New Roman" w:hAnsi="Times New Roman"/>
          <w:b/>
          <w:szCs w:val="24"/>
        </w:rPr>
      </w:pPr>
      <w:r w:rsidRPr="001653D2">
        <w:rPr>
          <w:rFonts w:ascii="Times New Roman" w:hAnsi="Times New Roman"/>
          <w:b/>
          <w:szCs w:val="24"/>
        </w:rPr>
        <w:t>Data Collection Methodology</w:t>
      </w:r>
    </w:p>
    <w:p w14:paraId="64CF1242" w14:textId="2B98FE72" w:rsidR="00BE6D80" w:rsidRDefault="00BE6D80" w:rsidP="00BE6D80">
      <w:pPr>
        <w:pStyle w:val="NormalSS"/>
        <w:keepNext/>
        <w:ind w:firstLine="0"/>
        <w:jc w:val="left"/>
        <w:rPr>
          <w:szCs w:val="24"/>
        </w:rPr>
      </w:pPr>
      <w:r w:rsidRPr="00DB68FB">
        <w:rPr>
          <w:szCs w:val="24"/>
        </w:rPr>
        <w:t>A multimode data collection protocol will be used to improve the likelihood of gaining cooperation from sample cases that are located.  Using the findings from the 2010 NSCG mode effects</w:t>
      </w:r>
      <w:r>
        <w:rPr>
          <w:szCs w:val="24"/>
        </w:rPr>
        <w:t xml:space="preserve"> experiment and the positive results of using the web first approach in the 2013, 2015 and 2017 NSCG data collection effort</w:t>
      </w:r>
      <w:r w:rsidR="00645D7B">
        <w:rPr>
          <w:szCs w:val="24"/>
        </w:rPr>
        <w:t>s</w:t>
      </w:r>
      <w:r>
        <w:rPr>
          <w:szCs w:val="24"/>
        </w:rPr>
        <w:t>, the majority of the 2019</w:t>
      </w:r>
      <w:r w:rsidRPr="00DB68FB">
        <w:rPr>
          <w:szCs w:val="24"/>
        </w:rPr>
        <w:t xml:space="preserve"> NSCG sample cases will initially receive a web invitation letter encouraging response to the survey online.  Nonrespondents will be given a paper questionnaire mailing and will be followed</w:t>
      </w:r>
      <w:r w:rsidR="00645D7B">
        <w:rPr>
          <w:szCs w:val="24"/>
        </w:rPr>
        <w:t xml:space="preserve"> up</w:t>
      </w:r>
      <w:r w:rsidRPr="00DB68FB">
        <w:rPr>
          <w:szCs w:val="24"/>
        </w:rPr>
        <w:t xml:space="preserve"> in CATI.  The college graduate population is mostly web-literate</w:t>
      </w:r>
      <w:r>
        <w:rPr>
          <w:szCs w:val="24"/>
        </w:rPr>
        <w:t xml:space="preserve"> and, as shown in the 2010 mode effects experiment</w:t>
      </w:r>
      <w:r w:rsidRPr="00DB68FB">
        <w:rPr>
          <w:szCs w:val="24"/>
        </w:rPr>
        <w:t>, the initial offering of a web response option appeal</w:t>
      </w:r>
      <w:r>
        <w:rPr>
          <w:szCs w:val="24"/>
        </w:rPr>
        <w:t xml:space="preserve">s to NSCG potential respondents.  </w:t>
      </w:r>
    </w:p>
    <w:p w14:paraId="76FC6183" w14:textId="77777777" w:rsidR="00BE6D80" w:rsidRDefault="00BE6D80" w:rsidP="00BE6D80">
      <w:pPr>
        <w:pStyle w:val="NormalSS"/>
        <w:ind w:firstLine="0"/>
        <w:jc w:val="left"/>
        <w:rPr>
          <w:szCs w:val="24"/>
        </w:rPr>
      </w:pPr>
    </w:p>
    <w:p w14:paraId="4B35E23D" w14:textId="6C3062A2" w:rsidR="00BE6D80" w:rsidRPr="0013667E" w:rsidRDefault="00BE6D80" w:rsidP="00BE6D80">
      <w:pPr>
        <w:pStyle w:val="NormalSS"/>
        <w:ind w:firstLine="0"/>
        <w:jc w:val="left"/>
        <w:rPr>
          <w:szCs w:val="24"/>
        </w:rPr>
      </w:pPr>
      <w:r w:rsidRPr="00DB68FB">
        <w:rPr>
          <w:rFonts w:eastAsia="Arial Unicode MS"/>
          <w:color w:val="000000"/>
          <w:szCs w:val="24"/>
          <w:u w:color="000000"/>
        </w:rPr>
        <w:t>Mo</w:t>
      </w:r>
      <w:r>
        <w:rPr>
          <w:rFonts w:eastAsia="Arial Unicode MS"/>
          <w:color w:val="000000"/>
          <w:szCs w:val="24"/>
          <w:u w:color="000000"/>
        </w:rPr>
        <w:t>tivated by the findings from the</w:t>
      </w:r>
      <w:r w:rsidRPr="00DB68FB">
        <w:rPr>
          <w:rFonts w:eastAsia="Arial Unicode MS"/>
          <w:color w:val="000000"/>
          <w:szCs w:val="24"/>
          <w:u w:color="000000"/>
        </w:rPr>
        <w:t xml:space="preserve"> </w:t>
      </w:r>
      <w:r>
        <w:rPr>
          <w:rFonts w:eastAsia="Arial Unicode MS"/>
          <w:color w:val="000000"/>
          <w:szCs w:val="24"/>
          <w:u w:color="000000"/>
        </w:rPr>
        <w:t>incentive experiments included in the 2010 and 2013 NSCG data collection efforts, and the positive results from the 2015 and 2017 NSCG incentive usage, NCSES</w:t>
      </w:r>
      <w:r w:rsidRPr="00403A65">
        <w:rPr>
          <w:rFonts w:eastAsia="Arial Unicode MS"/>
          <w:color w:val="000000"/>
          <w:szCs w:val="24"/>
          <w:u w:color="000000"/>
        </w:rPr>
        <w:t xml:space="preserve"> </w:t>
      </w:r>
      <w:r>
        <w:rPr>
          <w:rFonts w:eastAsia="Arial Unicode MS"/>
          <w:color w:val="000000"/>
          <w:szCs w:val="24"/>
          <w:u w:color="000000"/>
        </w:rPr>
        <w:t xml:space="preserve">is planning to use </w:t>
      </w:r>
      <w:r w:rsidRPr="00403A65">
        <w:rPr>
          <w:rFonts w:eastAsia="Arial Unicode MS"/>
          <w:color w:val="000000"/>
          <w:szCs w:val="24"/>
          <w:u w:color="000000"/>
        </w:rPr>
        <w:t>monetary incentive</w:t>
      </w:r>
      <w:r>
        <w:rPr>
          <w:rFonts w:eastAsia="Arial Unicode MS"/>
          <w:color w:val="000000"/>
          <w:szCs w:val="24"/>
          <w:u w:color="000000"/>
        </w:rPr>
        <w:t xml:space="preserve">s to offset </w:t>
      </w:r>
      <w:r w:rsidRPr="00403A65">
        <w:rPr>
          <w:rFonts w:eastAsia="Arial Unicode MS"/>
          <w:color w:val="000000"/>
          <w:szCs w:val="24"/>
          <w:u w:color="000000"/>
        </w:rPr>
        <w:t>potent</w:t>
      </w:r>
      <w:r>
        <w:rPr>
          <w:rFonts w:eastAsia="Arial Unicode MS"/>
          <w:color w:val="000000"/>
          <w:szCs w:val="24"/>
          <w:u w:color="000000"/>
        </w:rPr>
        <w:t>ial nonresponse bias in the 2019 NSCG.  W</w:t>
      </w:r>
      <w:r>
        <w:rPr>
          <w:szCs w:val="24"/>
        </w:rPr>
        <w:t xml:space="preserve">e plan to offer a </w:t>
      </w:r>
      <w:r w:rsidRPr="00817426">
        <w:rPr>
          <w:szCs w:val="24"/>
        </w:rPr>
        <w:t>$30 prepaid debit card incentive</w:t>
      </w:r>
      <w:r>
        <w:rPr>
          <w:szCs w:val="24"/>
        </w:rPr>
        <w:t xml:space="preserve"> to a subset of highly influential new sample cases at week 1 of the 2019 NSCG data collection effort.  “Highly influential” refers to the cases that had large sampling weights and a low response/locating propensity.  We expect to offer $30 debit card incentives to approximately 1</w:t>
      </w:r>
      <w:r w:rsidR="00B75975">
        <w:rPr>
          <w:szCs w:val="24"/>
        </w:rPr>
        <w:t>3</w:t>
      </w:r>
      <w:r>
        <w:rPr>
          <w:szCs w:val="24"/>
        </w:rPr>
        <w:t>,</w:t>
      </w:r>
      <w:r w:rsidR="00AF6201">
        <w:rPr>
          <w:szCs w:val="24"/>
        </w:rPr>
        <w:t>4</w:t>
      </w:r>
      <w:r>
        <w:rPr>
          <w:szCs w:val="24"/>
        </w:rPr>
        <w:t xml:space="preserve">00 of the </w:t>
      </w:r>
      <w:r w:rsidR="00B75975">
        <w:rPr>
          <w:szCs w:val="24"/>
        </w:rPr>
        <w:t>6</w:t>
      </w:r>
      <w:r w:rsidR="003125BB">
        <w:rPr>
          <w:szCs w:val="24"/>
        </w:rPr>
        <w:t>7</w:t>
      </w:r>
      <w:r>
        <w:rPr>
          <w:szCs w:val="24"/>
        </w:rPr>
        <w:t xml:space="preserve">,000 new sample cases included in the 2019 NSCG.  In addition, we will offer a </w:t>
      </w:r>
      <w:r w:rsidRPr="00817426">
        <w:rPr>
          <w:szCs w:val="24"/>
        </w:rPr>
        <w:t>$30 prepaid debit card incentive</w:t>
      </w:r>
      <w:r>
        <w:rPr>
          <w:szCs w:val="24"/>
        </w:rPr>
        <w:t xml:space="preserve"> to past incentive recipients at week 1 of the 2019 NSCG data collection effort.  We expect to offer $30 debit card incentives to approximately </w:t>
      </w:r>
      <w:r w:rsidR="00C91C47">
        <w:rPr>
          <w:szCs w:val="24"/>
        </w:rPr>
        <w:t>11,0</w:t>
      </w:r>
      <w:r>
        <w:rPr>
          <w:szCs w:val="24"/>
        </w:rPr>
        <w:t xml:space="preserve">00 of the </w:t>
      </w:r>
      <w:r w:rsidR="00276FDB">
        <w:rPr>
          <w:szCs w:val="24"/>
        </w:rPr>
        <w:t>81,00</w:t>
      </w:r>
      <w:r>
        <w:rPr>
          <w:szCs w:val="24"/>
        </w:rPr>
        <w:t xml:space="preserve">0 returning sample members.  </w:t>
      </w:r>
      <w:r w:rsidRPr="00BC4A52">
        <w:rPr>
          <w:szCs w:val="24"/>
        </w:rPr>
        <w:t xml:space="preserve">These debit cards will have a </w:t>
      </w:r>
      <w:r w:rsidR="003857DE">
        <w:rPr>
          <w:szCs w:val="24"/>
        </w:rPr>
        <w:t>six</w:t>
      </w:r>
      <w:r w:rsidR="003857DE" w:rsidRPr="00BC4A52">
        <w:rPr>
          <w:szCs w:val="24"/>
        </w:rPr>
        <w:t>-month</w:t>
      </w:r>
      <w:r w:rsidRPr="00BC4A52">
        <w:rPr>
          <w:szCs w:val="24"/>
        </w:rPr>
        <w:t xml:space="preserve"> usage </w:t>
      </w:r>
      <w:r>
        <w:rPr>
          <w:szCs w:val="24"/>
        </w:rPr>
        <w:t>period</w:t>
      </w:r>
      <w:r w:rsidRPr="00BC4A52">
        <w:rPr>
          <w:szCs w:val="24"/>
        </w:rPr>
        <w:t xml:space="preserve"> at which time the cards will expire and the unused funds will be returned to </w:t>
      </w:r>
      <w:r>
        <w:rPr>
          <w:szCs w:val="24"/>
        </w:rPr>
        <w:t xml:space="preserve">the </w:t>
      </w:r>
      <w:r w:rsidRPr="00BC4A52">
        <w:rPr>
          <w:szCs w:val="24"/>
        </w:rPr>
        <w:t>Census</w:t>
      </w:r>
      <w:r>
        <w:rPr>
          <w:szCs w:val="24"/>
        </w:rPr>
        <w:t xml:space="preserve"> Bureau</w:t>
      </w:r>
      <w:r w:rsidRPr="00BC4A52">
        <w:rPr>
          <w:szCs w:val="24"/>
        </w:rPr>
        <w:t xml:space="preserve"> and </w:t>
      </w:r>
      <w:r>
        <w:rPr>
          <w:szCs w:val="24"/>
        </w:rPr>
        <w:t>NCSES</w:t>
      </w:r>
      <w:r w:rsidRPr="00BC4A52">
        <w:rPr>
          <w:szCs w:val="24"/>
        </w:rPr>
        <w:t>.</w:t>
      </w:r>
      <w:r>
        <w:rPr>
          <w:szCs w:val="24"/>
        </w:rPr>
        <w:t xml:space="preserve"> </w:t>
      </w:r>
    </w:p>
    <w:p w14:paraId="29BB401A" w14:textId="77777777" w:rsidR="00BE6D80" w:rsidRDefault="00BE6D80" w:rsidP="00BE6D80">
      <w:pPr>
        <w:pStyle w:val="NormalSS"/>
        <w:ind w:firstLine="0"/>
        <w:rPr>
          <w:szCs w:val="24"/>
        </w:rPr>
      </w:pPr>
    </w:p>
    <w:p w14:paraId="0F9700C9" w14:textId="23F66F8D" w:rsidR="00BE6D80" w:rsidRPr="00DB68FB" w:rsidRDefault="00E529F3" w:rsidP="00915ECD">
      <w:pPr>
        <w:pStyle w:val="NormalSS"/>
        <w:spacing w:after="120"/>
        <w:ind w:firstLine="0"/>
        <w:jc w:val="left"/>
        <w:rPr>
          <w:szCs w:val="24"/>
        </w:rPr>
      </w:pPr>
      <w:r>
        <w:rPr>
          <w:szCs w:val="24"/>
        </w:rPr>
        <w:t xml:space="preserve">Within the </w:t>
      </w:r>
      <w:r w:rsidR="00F00CA1">
        <w:rPr>
          <w:szCs w:val="24"/>
        </w:rPr>
        <w:t xml:space="preserve">2019 NSCG </w:t>
      </w:r>
      <w:r>
        <w:rPr>
          <w:szCs w:val="24"/>
        </w:rPr>
        <w:t>data collection effort, t</w:t>
      </w:r>
      <w:r w:rsidR="00BE6D80" w:rsidRPr="00DB68FB">
        <w:rPr>
          <w:szCs w:val="24"/>
        </w:rPr>
        <w:t>he following steps will be taken to maximize response rates and minimize nonresponse:</w:t>
      </w:r>
    </w:p>
    <w:p w14:paraId="2F05E29B" w14:textId="77777777" w:rsidR="00BE6D80" w:rsidRPr="00DB68FB" w:rsidRDefault="00BE6D80" w:rsidP="00BA3389">
      <w:pPr>
        <w:pStyle w:val="Bullet"/>
        <w:numPr>
          <w:ilvl w:val="0"/>
          <w:numId w:val="14"/>
        </w:numPr>
        <w:spacing w:after="120"/>
        <w:jc w:val="left"/>
        <w:rPr>
          <w:szCs w:val="24"/>
        </w:rPr>
      </w:pPr>
      <w:r w:rsidRPr="00DB68FB">
        <w:rPr>
          <w:szCs w:val="24"/>
        </w:rPr>
        <w:t>Developing “user friendly” survey materials that are simple to understand and use</w:t>
      </w:r>
      <w:r>
        <w:rPr>
          <w:szCs w:val="24"/>
        </w:rPr>
        <w:t>;</w:t>
      </w:r>
    </w:p>
    <w:p w14:paraId="0FD32802" w14:textId="77777777" w:rsidR="00BE6D80" w:rsidRPr="00DB68FB" w:rsidRDefault="00BE6D80" w:rsidP="00BA3389">
      <w:pPr>
        <w:pStyle w:val="Bullet"/>
        <w:numPr>
          <w:ilvl w:val="0"/>
          <w:numId w:val="14"/>
        </w:numPr>
        <w:spacing w:after="120"/>
        <w:jc w:val="left"/>
        <w:rPr>
          <w:szCs w:val="24"/>
        </w:rPr>
      </w:pPr>
      <w:r w:rsidRPr="00DB68FB">
        <w:rPr>
          <w:szCs w:val="24"/>
        </w:rPr>
        <w:t>Sending attractive, personalized material, making a reasonable request of the respondent’s time, and making it easy for the respondent to comply</w:t>
      </w:r>
      <w:r>
        <w:rPr>
          <w:szCs w:val="24"/>
        </w:rPr>
        <w:t>;</w:t>
      </w:r>
    </w:p>
    <w:p w14:paraId="32B28415" w14:textId="77777777" w:rsidR="00BE6D80" w:rsidRPr="00DB68FB" w:rsidRDefault="00BE6D80" w:rsidP="00BA3389">
      <w:pPr>
        <w:pStyle w:val="Bullet"/>
        <w:numPr>
          <w:ilvl w:val="0"/>
          <w:numId w:val="14"/>
        </w:numPr>
        <w:spacing w:after="120"/>
        <w:jc w:val="left"/>
        <w:rPr>
          <w:szCs w:val="24"/>
        </w:rPr>
      </w:pPr>
      <w:r w:rsidRPr="00DB68FB">
        <w:rPr>
          <w:szCs w:val="24"/>
        </w:rPr>
        <w:t>Using priority mail for targeted mailings to improve the chances of reaching respondents and convincing them that the survey is important</w:t>
      </w:r>
      <w:r>
        <w:rPr>
          <w:szCs w:val="24"/>
        </w:rPr>
        <w:t>;</w:t>
      </w:r>
    </w:p>
    <w:p w14:paraId="0581EBAE" w14:textId="77777777" w:rsidR="00BE6D80" w:rsidRPr="00DB68FB" w:rsidRDefault="00BE6D80" w:rsidP="00BA3389">
      <w:pPr>
        <w:pStyle w:val="Bullet"/>
        <w:numPr>
          <w:ilvl w:val="0"/>
          <w:numId w:val="14"/>
        </w:numPr>
        <w:spacing w:after="120"/>
        <w:jc w:val="left"/>
        <w:rPr>
          <w:szCs w:val="24"/>
        </w:rPr>
      </w:pPr>
      <w:r w:rsidRPr="00DB68FB">
        <w:rPr>
          <w:szCs w:val="24"/>
        </w:rPr>
        <w:t>Devoting significant time to interviewer training on how to deal with problems related to nonresponse and ensuring that interviewers are appropriately supervised and monitored</w:t>
      </w:r>
      <w:r>
        <w:rPr>
          <w:szCs w:val="24"/>
        </w:rPr>
        <w:t>; and</w:t>
      </w:r>
    </w:p>
    <w:p w14:paraId="643B21B7" w14:textId="77777777" w:rsidR="00BE6D80" w:rsidRPr="002F3AD7" w:rsidRDefault="00BE6D80" w:rsidP="00BA3389">
      <w:pPr>
        <w:pStyle w:val="Bullet"/>
        <w:numPr>
          <w:ilvl w:val="0"/>
          <w:numId w:val="14"/>
        </w:numPr>
        <w:spacing w:after="0"/>
        <w:jc w:val="left"/>
        <w:rPr>
          <w:szCs w:val="24"/>
        </w:rPr>
      </w:pPr>
      <w:r w:rsidRPr="00DB68FB">
        <w:rPr>
          <w:szCs w:val="24"/>
        </w:rPr>
        <w:t>Using refusal-conversion strategies that specifically address the reason why a potential respondent has initially refused, and then training conversion specialists in effective counterarguments</w:t>
      </w:r>
      <w:r>
        <w:rPr>
          <w:szCs w:val="24"/>
        </w:rPr>
        <w:t>.</w:t>
      </w:r>
    </w:p>
    <w:p w14:paraId="4B894977" w14:textId="77777777" w:rsidR="00BE6D80" w:rsidRDefault="00BE6D80" w:rsidP="00BE6D80">
      <w:pPr>
        <w:ind w:left="0"/>
        <w:rPr>
          <w:rFonts w:ascii="Times New Roman" w:hAnsi="Times New Roman"/>
          <w:szCs w:val="24"/>
        </w:rPr>
      </w:pPr>
    </w:p>
    <w:p w14:paraId="6CD427DB" w14:textId="385F1268" w:rsidR="00BE6D80" w:rsidRDefault="00BE6D80" w:rsidP="00BE6D80">
      <w:pPr>
        <w:ind w:left="0"/>
        <w:rPr>
          <w:rFonts w:ascii="Times New Roman" w:hAnsi="Times New Roman"/>
          <w:szCs w:val="24"/>
        </w:rPr>
      </w:pPr>
      <w:r>
        <w:rPr>
          <w:rFonts w:ascii="Times New Roman" w:hAnsi="Times New Roman"/>
          <w:szCs w:val="24"/>
        </w:rPr>
        <w:t>Please see Appendix F</w:t>
      </w:r>
      <w:r w:rsidRPr="00DB68FB">
        <w:rPr>
          <w:rFonts w:ascii="Times New Roman" w:hAnsi="Times New Roman"/>
          <w:szCs w:val="24"/>
        </w:rPr>
        <w:t xml:space="preserve"> for survey mailing materials</w:t>
      </w:r>
      <w:r>
        <w:rPr>
          <w:rFonts w:ascii="Times New Roman" w:hAnsi="Times New Roman"/>
          <w:szCs w:val="24"/>
        </w:rPr>
        <w:t xml:space="preserve"> and Appendix G for the data collection pathway that provides insight on when the different survey mailing materials will be used throughout the data collection effort</w:t>
      </w:r>
      <w:r w:rsidRPr="00DB68FB">
        <w:rPr>
          <w:rFonts w:ascii="Times New Roman" w:hAnsi="Times New Roman"/>
          <w:szCs w:val="24"/>
        </w:rPr>
        <w:t>.</w:t>
      </w:r>
      <w:r w:rsidR="002226C3">
        <w:rPr>
          <w:rFonts w:ascii="Times New Roman" w:hAnsi="Times New Roman"/>
          <w:szCs w:val="24"/>
        </w:rPr>
        <w:t xml:space="preserve">  </w:t>
      </w:r>
      <w:r w:rsidR="00FE3E72">
        <w:rPr>
          <w:color w:val="000000"/>
          <w:szCs w:val="24"/>
        </w:rPr>
        <w:t xml:space="preserve">Each cycle, the NSCG asks respondents to report in which mode (web, paper, or CATI) they </w:t>
      </w:r>
      <w:r w:rsidR="00A40155">
        <w:rPr>
          <w:color w:val="000000"/>
          <w:szCs w:val="24"/>
        </w:rPr>
        <w:t xml:space="preserve">would </w:t>
      </w:r>
      <w:r w:rsidR="00FE3E72">
        <w:rPr>
          <w:color w:val="000000"/>
          <w:szCs w:val="24"/>
        </w:rPr>
        <w:t>prefer to complete</w:t>
      </w:r>
      <w:r w:rsidR="00A40155">
        <w:rPr>
          <w:color w:val="000000"/>
          <w:szCs w:val="24"/>
        </w:rPr>
        <w:t xml:space="preserve"> future rounds of the survey</w:t>
      </w:r>
      <w:r w:rsidR="00FE3E72">
        <w:rPr>
          <w:color w:val="000000"/>
          <w:szCs w:val="24"/>
        </w:rPr>
        <w:t xml:space="preserve">.  In past cycles, respondents who reported a preference for paper received a paper questionnaire in the first week of data collection.  In the 2017 cycle, about 21% of returning respondents had indicated a preference for paper, but only half of them used the paper questionnaire to respond, while 43% responded online.  Given the high rate of web response among people who reported a paper preference, we will be delaying the paper questionnaire until the second week to see if we can maximize the number of web respondents.  This delay will still provide respondents with their preferred </w:t>
      </w:r>
      <w:r w:rsidR="00A40155">
        <w:rPr>
          <w:color w:val="000000"/>
          <w:szCs w:val="24"/>
        </w:rPr>
        <w:t>mode but</w:t>
      </w:r>
      <w:r w:rsidR="00FE3E72">
        <w:rPr>
          <w:color w:val="000000"/>
          <w:szCs w:val="24"/>
        </w:rPr>
        <w:t xml:space="preserve"> will attempt to </w:t>
      </w:r>
      <w:r w:rsidR="00A40155">
        <w:rPr>
          <w:color w:val="000000"/>
          <w:szCs w:val="24"/>
        </w:rPr>
        <w:t>move</w:t>
      </w:r>
      <w:r w:rsidR="00FE3E72">
        <w:rPr>
          <w:color w:val="000000"/>
          <w:szCs w:val="24"/>
        </w:rPr>
        <w:t xml:space="preserve"> more people to the web, resulting in faster data processing and less postage paid in questionna</w:t>
      </w:r>
      <w:r w:rsidR="00A40155">
        <w:rPr>
          <w:color w:val="000000"/>
          <w:szCs w:val="24"/>
        </w:rPr>
        <w:t>ire returns.  Additionally, if the</w:t>
      </w:r>
      <w:r w:rsidR="00FE3E72">
        <w:rPr>
          <w:color w:val="000000"/>
          <w:szCs w:val="24"/>
        </w:rPr>
        <w:t xml:space="preserve"> web response rate among respondents with a paper preference increases significantly, it may be possible </w:t>
      </w:r>
      <w:r w:rsidR="00950A14">
        <w:rPr>
          <w:color w:val="000000"/>
          <w:szCs w:val="24"/>
        </w:rPr>
        <w:t xml:space="preserve">in future NSCG survey cycles </w:t>
      </w:r>
      <w:r w:rsidR="00FE3E72">
        <w:rPr>
          <w:color w:val="000000"/>
          <w:szCs w:val="24"/>
        </w:rPr>
        <w:t xml:space="preserve">to either move the </w:t>
      </w:r>
      <w:r w:rsidR="00A40155">
        <w:rPr>
          <w:color w:val="000000"/>
          <w:szCs w:val="24"/>
        </w:rPr>
        <w:t xml:space="preserve">paper </w:t>
      </w:r>
      <w:r w:rsidR="00FE3E72">
        <w:rPr>
          <w:color w:val="000000"/>
          <w:szCs w:val="24"/>
        </w:rPr>
        <w:t>questionnaire to week 5, where there will be a large reduction in the number of questionnaires mailed</w:t>
      </w:r>
      <w:r w:rsidR="00950A14">
        <w:rPr>
          <w:color w:val="000000"/>
          <w:szCs w:val="24"/>
        </w:rPr>
        <w:t>,</w:t>
      </w:r>
      <w:r w:rsidR="00FE3E72">
        <w:rPr>
          <w:color w:val="000000"/>
          <w:szCs w:val="24"/>
        </w:rPr>
        <w:t xml:space="preserve"> or remove the mode preference altogether, which would simplify operations in the future.</w:t>
      </w:r>
    </w:p>
    <w:p w14:paraId="629B5C38" w14:textId="77777777" w:rsidR="00A7176F" w:rsidRPr="00DB68FB" w:rsidRDefault="00A7176F" w:rsidP="005267F2">
      <w:pPr>
        <w:ind w:left="0"/>
        <w:rPr>
          <w:rFonts w:ascii="Times New Roman" w:hAnsi="Times New Roman"/>
          <w:szCs w:val="24"/>
        </w:rPr>
      </w:pPr>
    </w:p>
    <w:p w14:paraId="7240F8E7" w14:textId="4199BD63" w:rsidR="00835699" w:rsidRDefault="00835699">
      <w:pPr>
        <w:ind w:left="0"/>
        <w:rPr>
          <w:rFonts w:ascii="Times New Roman" w:hAnsi="Times New Roman"/>
          <w:b/>
          <w:bCs/>
          <w:szCs w:val="24"/>
        </w:rPr>
      </w:pPr>
      <w:bookmarkStart w:id="16" w:name="_Hlt122335114"/>
      <w:bookmarkStart w:id="17" w:name="_Toc257283599"/>
      <w:bookmarkEnd w:id="16"/>
    </w:p>
    <w:p w14:paraId="7D2DCC0C" w14:textId="10644893" w:rsidR="00B776D7" w:rsidRPr="00DB68FB" w:rsidRDefault="00B776D7" w:rsidP="00AC278D">
      <w:pPr>
        <w:pStyle w:val="Heading2"/>
        <w:numPr>
          <w:ilvl w:val="0"/>
          <w:numId w:val="4"/>
        </w:numPr>
        <w:tabs>
          <w:tab w:val="clear" w:pos="1440"/>
          <w:tab w:val="num" w:pos="0"/>
          <w:tab w:val="left" w:pos="720"/>
          <w:tab w:val="left" w:pos="2520"/>
        </w:tabs>
        <w:spacing w:before="0" w:after="0"/>
        <w:ind w:left="0" w:firstLine="0"/>
        <w:rPr>
          <w:szCs w:val="24"/>
        </w:rPr>
      </w:pPr>
      <w:bookmarkStart w:id="18" w:name="_Toc536767277"/>
      <w:r w:rsidRPr="00DB68FB">
        <w:rPr>
          <w:szCs w:val="24"/>
        </w:rPr>
        <w:t>TESTING OF PROCEDURES</w:t>
      </w:r>
      <w:bookmarkEnd w:id="17"/>
      <w:bookmarkEnd w:id="18"/>
    </w:p>
    <w:p w14:paraId="60F9E44A" w14:textId="77777777" w:rsidR="00B776D7" w:rsidRPr="00DB68FB" w:rsidRDefault="00B776D7">
      <w:pPr>
        <w:tabs>
          <w:tab w:val="left" w:pos="0"/>
          <w:tab w:val="left" w:pos="2520"/>
        </w:tabs>
        <w:suppressAutoHyphens/>
        <w:ind w:left="0"/>
        <w:rPr>
          <w:rFonts w:ascii="Times New Roman" w:hAnsi="Times New Roman"/>
          <w:szCs w:val="24"/>
        </w:rPr>
      </w:pPr>
    </w:p>
    <w:p w14:paraId="46C013DA" w14:textId="77777777" w:rsidR="002B3579" w:rsidRPr="001A353A" w:rsidRDefault="002B3579" w:rsidP="002B3579">
      <w:pPr>
        <w:pStyle w:val="NormalSS"/>
        <w:keepNext/>
        <w:ind w:firstLine="0"/>
        <w:jc w:val="left"/>
        <w:rPr>
          <w:b/>
          <w:szCs w:val="24"/>
        </w:rPr>
      </w:pPr>
      <w:bookmarkStart w:id="19" w:name="_Hlt122334884"/>
      <w:bookmarkStart w:id="20" w:name="_Hlt122334898"/>
      <w:bookmarkStart w:id="21" w:name="_Hlt122334911"/>
      <w:bookmarkStart w:id="22" w:name="_Hlt122334956"/>
      <w:bookmarkStart w:id="23" w:name="_Hlt122335044"/>
      <w:bookmarkStart w:id="24" w:name="_Hlt122335110"/>
      <w:bookmarkStart w:id="25" w:name="_Contacts_for_Statistical"/>
      <w:bookmarkStart w:id="26" w:name="_Toc29626864"/>
      <w:bookmarkStart w:id="27" w:name="_Ref122335284"/>
      <w:bookmarkEnd w:id="19"/>
      <w:bookmarkEnd w:id="20"/>
      <w:bookmarkEnd w:id="21"/>
      <w:bookmarkEnd w:id="22"/>
      <w:bookmarkEnd w:id="23"/>
      <w:bookmarkEnd w:id="24"/>
      <w:bookmarkEnd w:id="25"/>
      <w:r>
        <w:rPr>
          <w:b/>
          <w:szCs w:val="24"/>
        </w:rPr>
        <w:t>Survey Methodological</w:t>
      </w:r>
      <w:r w:rsidRPr="001A353A">
        <w:rPr>
          <w:b/>
          <w:szCs w:val="24"/>
        </w:rPr>
        <w:t xml:space="preserve"> </w:t>
      </w:r>
      <w:r>
        <w:rPr>
          <w:b/>
          <w:szCs w:val="24"/>
        </w:rPr>
        <w:t>Experiment</w:t>
      </w:r>
      <w:r w:rsidRPr="001A353A">
        <w:rPr>
          <w:b/>
          <w:szCs w:val="24"/>
        </w:rPr>
        <w:t xml:space="preserve">s </w:t>
      </w:r>
    </w:p>
    <w:p w14:paraId="51C663F1" w14:textId="50667F79" w:rsidR="002B3579" w:rsidRPr="00E87FB4" w:rsidRDefault="002B3579" w:rsidP="002B3579">
      <w:pPr>
        <w:keepNext/>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20"/>
        <w:ind w:left="0"/>
        <w:rPr>
          <w:rFonts w:ascii="Times New Roman" w:hAnsi="Times New Roman"/>
          <w:iCs/>
          <w:szCs w:val="24"/>
        </w:rPr>
      </w:pPr>
      <w:r>
        <w:rPr>
          <w:rFonts w:ascii="Times New Roman" w:hAnsi="Times New Roman"/>
          <w:iCs/>
          <w:szCs w:val="24"/>
        </w:rPr>
        <w:t xml:space="preserve">Two </w:t>
      </w:r>
      <w:r w:rsidRPr="001215B1">
        <w:rPr>
          <w:rFonts w:ascii="Times New Roman" w:hAnsi="Times New Roman"/>
          <w:iCs/>
          <w:szCs w:val="24"/>
        </w:rPr>
        <w:t xml:space="preserve">survey methodological </w:t>
      </w:r>
      <w:r>
        <w:rPr>
          <w:rFonts w:ascii="Times New Roman" w:hAnsi="Times New Roman"/>
          <w:iCs/>
          <w:szCs w:val="24"/>
        </w:rPr>
        <w:t>experiments are planned as part of the 201</w:t>
      </w:r>
      <w:r w:rsidR="00A1532D">
        <w:rPr>
          <w:rFonts w:ascii="Times New Roman" w:hAnsi="Times New Roman"/>
          <w:iCs/>
          <w:szCs w:val="24"/>
        </w:rPr>
        <w:t>9</w:t>
      </w:r>
      <w:r w:rsidRPr="001215B1">
        <w:rPr>
          <w:rFonts w:ascii="Times New Roman" w:hAnsi="Times New Roman"/>
          <w:iCs/>
          <w:szCs w:val="24"/>
        </w:rPr>
        <w:t xml:space="preserve"> NSCG data collection effort.  Together, these </w:t>
      </w:r>
      <w:r>
        <w:rPr>
          <w:rFonts w:ascii="Times New Roman" w:hAnsi="Times New Roman"/>
          <w:iCs/>
          <w:szCs w:val="24"/>
        </w:rPr>
        <w:t>experiments are designed to help</w:t>
      </w:r>
      <w:r w:rsidRPr="001215B1">
        <w:rPr>
          <w:rFonts w:ascii="Times New Roman" w:hAnsi="Times New Roman"/>
          <w:iCs/>
          <w:szCs w:val="24"/>
        </w:rPr>
        <w:t xml:space="preserve"> </w:t>
      </w:r>
      <w:r>
        <w:rPr>
          <w:rFonts w:ascii="Times New Roman" w:hAnsi="Times New Roman"/>
          <w:iCs/>
          <w:szCs w:val="24"/>
        </w:rPr>
        <w:t>NCSES</w:t>
      </w:r>
      <w:r w:rsidRPr="001215B1">
        <w:rPr>
          <w:rFonts w:ascii="Times New Roman" w:hAnsi="Times New Roman"/>
          <w:iCs/>
          <w:szCs w:val="24"/>
        </w:rPr>
        <w:t xml:space="preserve"> and </w:t>
      </w:r>
      <w:r>
        <w:rPr>
          <w:rFonts w:ascii="Times New Roman" w:hAnsi="Times New Roman"/>
          <w:iCs/>
          <w:szCs w:val="24"/>
        </w:rPr>
        <w:t xml:space="preserve">the </w:t>
      </w:r>
      <w:r w:rsidRPr="001215B1">
        <w:rPr>
          <w:rFonts w:ascii="Times New Roman" w:hAnsi="Times New Roman"/>
          <w:iCs/>
          <w:szCs w:val="24"/>
        </w:rPr>
        <w:t>Census Bureau strive toward the following data collection goals:</w:t>
      </w:r>
    </w:p>
    <w:p w14:paraId="42F4F4E9" w14:textId="77777777" w:rsidR="002B3579" w:rsidRDefault="002B3579" w:rsidP="002B3579">
      <w:pPr>
        <w:numPr>
          <w:ilvl w:val="0"/>
          <w:numId w:val="8"/>
        </w:numPr>
        <w:tabs>
          <w:tab w:val="clear" w:pos="2160"/>
          <w:tab w:val="num" w:pos="720"/>
          <w:tab w:val="left" w:pos="2520"/>
        </w:tabs>
        <w:spacing w:after="120"/>
        <w:ind w:left="720"/>
        <w:rPr>
          <w:rFonts w:ascii="Times New Roman" w:hAnsi="Times New Roman"/>
          <w:szCs w:val="24"/>
        </w:rPr>
      </w:pPr>
      <w:r>
        <w:rPr>
          <w:rFonts w:ascii="Times New Roman" w:hAnsi="Times New Roman"/>
          <w:szCs w:val="24"/>
        </w:rPr>
        <w:t>Lower overall data collection costs</w:t>
      </w:r>
    </w:p>
    <w:p w14:paraId="4A6458C0" w14:textId="77777777" w:rsidR="002B3579" w:rsidRDefault="002B3579" w:rsidP="002B3579">
      <w:pPr>
        <w:numPr>
          <w:ilvl w:val="0"/>
          <w:numId w:val="8"/>
        </w:numPr>
        <w:tabs>
          <w:tab w:val="clear" w:pos="2160"/>
          <w:tab w:val="num" w:pos="720"/>
          <w:tab w:val="left" w:pos="2520"/>
        </w:tabs>
        <w:spacing w:after="120"/>
        <w:ind w:left="720"/>
        <w:rPr>
          <w:rFonts w:ascii="Times New Roman" w:hAnsi="Times New Roman"/>
          <w:szCs w:val="24"/>
        </w:rPr>
      </w:pPr>
      <w:r>
        <w:rPr>
          <w:rFonts w:ascii="Times New Roman" w:hAnsi="Times New Roman"/>
          <w:szCs w:val="24"/>
        </w:rPr>
        <w:t>Decrease potential for nonresponse bias in the NSCG survey estimates</w:t>
      </w:r>
    </w:p>
    <w:p w14:paraId="06AD89E2" w14:textId="77777777" w:rsidR="002B3579" w:rsidRDefault="002B3579" w:rsidP="002B3579">
      <w:pPr>
        <w:numPr>
          <w:ilvl w:val="0"/>
          <w:numId w:val="8"/>
        </w:numPr>
        <w:tabs>
          <w:tab w:val="clear" w:pos="2160"/>
          <w:tab w:val="num" w:pos="720"/>
          <w:tab w:val="left" w:pos="2520"/>
        </w:tabs>
        <w:spacing w:after="120"/>
        <w:ind w:left="720"/>
        <w:rPr>
          <w:rFonts w:ascii="Times New Roman" w:hAnsi="Times New Roman"/>
          <w:szCs w:val="24"/>
        </w:rPr>
      </w:pPr>
      <w:r>
        <w:rPr>
          <w:rFonts w:ascii="Times New Roman" w:hAnsi="Times New Roman"/>
          <w:szCs w:val="24"/>
        </w:rPr>
        <w:t>Increase or maintain response rates</w:t>
      </w:r>
    </w:p>
    <w:p w14:paraId="4A8F4532" w14:textId="77777777" w:rsidR="002B3579" w:rsidRDefault="002B3579" w:rsidP="002B3579">
      <w:pPr>
        <w:numPr>
          <w:ilvl w:val="0"/>
          <w:numId w:val="8"/>
        </w:numPr>
        <w:tabs>
          <w:tab w:val="clear" w:pos="2160"/>
          <w:tab w:val="num" w:pos="720"/>
          <w:tab w:val="left" w:pos="2520"/>
        </w:tabs>
        <w:ind w:left="720"/>
        <w:rPr>
          <w:rFonts w:ascii="Times New Roman" w:hAnsi="Times New Roman"/>
          <w:szCs w:val="24"/>
        </w:rPr>
      </w:pPr>
      <w:r>
        <w:rPr>
          <w:rFonts w:ascii="Times New Roman" w:hAnsi="Times New Roman"/>
          <w:szCs w:val="24"/>
        </w:rPr>
        <w:t>Increase efficiency and reduce respondent burden in the data collection methodology</w:t>
      </w:r>
    </w:p>
    <w:p w14:paraId="755E5B70" w14:textId="77777777" w:rsidR="002B3579" w:rsidRDefault="002B3579" w:rsidP="002B3579">
      <w:pPr>
        <w:keepNext/>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iCs/>
          <w:szCs w:val="24"/>
        </w:rPr>
      </w:pPr>
    </w:p>
    <w:p w14:paraId="3FE6D472" w14:textId="77777777" w:rsidR="002B3579" w:rsidRPr="00330B5C" w:rsidRDefault="002B3579" w:rsidP="002B3579">
      <w:pPr>
        <w:keepNext/>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20"/>
        <w:ind w:left="0"/>
        <w:rPr>
          <w:rFonts w:ascii="Times New Roman" w:hAnsi="Times New Roman"/>
          <w:iCs/>
          <w:szCs w:val="24"/>
        </w:rPr>
      </w:pPr>
      <w:r w:rsidRPr="005307B2">
        <w:rPr>
          <w:rFonts w:ascii="Times New Roman" w:hAnsi="Times New Roman"/>
          <w:iCs/>
          <w:szCs w:val="24"/>
        </w:rPr>
        <w:t xml:space="preserve">The </w:t>
      </w:r>
      <w:r>
        <w:rPr>
          <w:rFonts w:ascii="Times New Roman" w:hAnsi="Times New Roman"/>
          <w:iCs/>
          <w:szCs w:val="24"/>
        </w:rPr>
        <w:t>two methodological experiments are:</w:t>
      </w:r>
    </w:p>
    <w:p w14:paraId="1570DD87" w14:textId="4BF50C6F" w:rsidR="002B3579" w:rsidRPr="00330B5C" w:rsidRDefault="002B3579" w:rsidP="002B3579">
      <w:pPr>
        <w:numPr>
          <w:ilvl w:val="0"/>
          <w:numId w:val="8"/>
        </w:numPr>
        <w:tabs>
          <w:tab w:val="clear" w:pos="2160"/>
          <w:tab w:val="num" w:pos="720"/>
          <w:tab w:val="left" w:pos="2520"/>
        </w:tabs>
        <w:spacing w:after="120"/>
        <w:ind w:left="720"/>
        <w:rPr>
          <w:rFonts w:ascii="Times New Roman" w:hAnsi="Times New Roman"/>
          <w:szCs w:val="24"/>
        </w:rPr>
      </w:pPr>
      <w:r>
        <w:rPr>
          <w:rFonts w:ascii="Times New Roman" w:hAnsi="Times New Roman"/>
          <w:szCs w:val="24"/>
        </w:rPr>
        <w:t>Adaptive</w:t>
      </w:r>
      <w:r w:rsidR="00470EF9">
        <w:rPr>
          <w:rFonts w:ascii="Times New Roman" w:hAnsi="Times New Roman"/>
          <w:szCs w:val="24"/>
        </w:rPr>
        <w:t xml:space="preserve"> Survey</w:t>
      </w:r>
      <w:r>
        <w:rPr>
          <w:rFonts w:ascii="Times New Roman" w:hAnsi="Times New Roman"/>
          <w:szCs w:val="24"/>
        </w:rPr>
        <w:t xml:space="preserve"> Design Experiment</w:t>
      </w:r>
    </w:p>
    <w:p w14:paraId="25EF3BCB" w14:textId="0F5E8A24" w:rsidR="002B3579" w:rsidRPr="005B787C" w:rsidRDefault="009B7BBE" w:rsidP="002B3579">
      <w:pPr>
        <w:numPr>
          <w:ilvl w:val="0"/>
          <w:numId w:val="8"/>
        </w:numPr>
        <w:tabs>
          <w:tab w:val="clear" w:pos="2160"/>
          <w:tab w:val="num" w:pos="720"/>
          <w:tab w:val="left" w:pos="2520"/>
        </w:tabs>
        <w:spacing w:after="120"/>
        <w:ind w:left="720"/>
        <w:rPr>
          <w:rFonts w:ascii="Times New Roman" w:hAnsi="Times New Roman"/>
          <w:szCs w:val="24"/>
        </w:rPr>
      </w:pPr>
      <w:r>
        <w:rPr>
          <w:rFonts w:ascii="Times New Roman" w:hAnsi="Times New Roman"/>
          <w:szCs w:val="24"/>
        </w:rPr>
        <w:t>Mailout Strategy</w:t>
      </w:r>
      <w:r w:rsidR="002B3579">
        <w:rPr>
          <w:rFonts w:ascii="Times New Roman" w:hAnsi="Times New Roman"/>
          <w:szCs w:val="24"/>
        </w:rPr>
        <w:t xml:space="preserve"> Experiment</w:t>
      </w:r>
    </w:p>
    <w:p w14:paraId="65D5939D" w14:textId="039A2C54" w:rsidR="002B3579" w:rsidRDefault="004C3640" w:rsidP="002B3579">
      <w:pPr>
        <w:tabs>
          <w:tab w:val="left" w:pos="2520"/>
        </w:tabs>
        <w:ind w:left="0"/>
        <w:rPr>
          <w:rFonts w:ascii="Times New Roman" w:hAnsi="Times New Roman"/>
          <w:szCs w:val="24"/>
        </w:rPr>
      </w:pPr>
      <w:r>
        <w:rPr>
          <w:rFonts w:ascii="Times New Roman" w:hAnsi="Times New Roman"/>
          <w:szCs w:val="24"/>
        </w:rPr>
        <w:t xml:space="preserve">An overview of </w:t>
      </w:r>
      <w:r w:rsidR="006A2ABD">
        <w:rPr>
          <w:rFonts w:ascii="Times New Roman" w:hAnsi="Times New Roman"/>
          <w:szCs w:val="24"/>
        </w:rPr>
        <w:t xml:space="preserve">ongoing and </w:t>
      </w:r>
      <w:r w:rsidR="00BA3389">
        <w:rPr>
          <w:rFonts w:ascii="Times New Roman" w:hAnsi="Times New Roman"/>
          <w:szCs w:val="24"/>
        </w:rPr>
        <w:t>past</w:t>
      </w:r>
      <w:r>
        <w:rPr>
          <w:rFonts w:ascii="Times New Roman" w:hAnsi="Times New Roman"/>
          <w:szCs w:val="24"/>
        </w:rPr>
        <w:t xml:space="preserve"> experiments is provided in Supporting Statement A, Section 8; details on the </w:t>
      </w:r>
      <w:r w:rsidR="006A2ABD">
        <w:rPr>
          <w:rFonts w:ascii="Times New Roman" w:hAnsi="Times New Roman"/>
          <w:szCs w:val="24"/>
        </w:rPr>
        <w:t xml:space="preserve">two 2019 </w:t>
      </w:r>
      <w:r>
        <w:rPr>
          <w:rFonts w:ascii="Times New Roman" w:hAnsi="Times New Roman"/>
          <w:szCs w:val="24"/>
        </w:rPr>
        <w:t>experiments can be found in Appendices H and I.</w:t>
      </w:r>
      <w:r w:rsidR="00BA3389">
        <w:rPr>
          <w:rFonts w:ascii="Times New Roman" w:hAnsi="Times New Roman"/>
          <w:szCs w:val="24"/>
        </w:rPr>
        <w:t xml:space="preserve"> </w:t>
      </w:r>
      <w:r>
        <w:rPr>
          <w:rFonts w:ascii="Times New Roman" w:hAnsi="Times New Roman"/>
          <w:szCs w:val="24"/>
        </w:rPr>
        <w:t xml:space="preserve"> </w:t>
      </w:r>
      <w:r w:rsidR="002B3579">
        <w:rPr>
          <w:rFonts w:ascii="Times New Roman" w:hAnsi="Times New Roman"/>
          <w:szCs w:val="24"/>
        </w:rPr>
        <w:t xml:space="preserve">Both experiments are planned for both the new sample and the returning sample data collection efforts.  This section introduces the design for each experiment, describes the research questions each experiment is attempting to address, and includes information on the sample selection proposed for these studies. </w:t>
      </w:r>
    </w:p>
    <w:p w14:paraId="4D8CE911" w14:textId="466F7759" w:rsidR="002B3579" w:rsidRDefault="002B3579" w:rsidP="002B3579">
      <w:pPr>
        <w:pStyle w:val="NormalSS"/>
        <w:ind w:firstLine="0"/>
        <w:jc w:val="left"/>
        <w:rPr>
          <w:szCs w:val="24"/>
          <w:u w:val="single"/>
        </w:rPr>
      </w:pPr>
    </w:p>
    <w:p w14:paraId="31D614C2" w14:textId="45C6C7CF" w:rsidR="002B3579" w:rsidRPr="005A7393" w:rsidRDefault="002B3579" w:rsidP="002B3579">
      <w:pPr>
        <w:pStyle w:val="NormalSS"/>
        <w:ind w:firstLine="0"/>
        <w:jc w:val="left"/>
        <w:rPr>
          <w:i/>
          <w:szCs w:val="24"/>
          <w:u w:val="single"/>
        </w:rPr>
      </w:pPr>
      <w:r w:rsidRPr="005A7393">
        <w:rPr>
          <w:i/>
          <w:szCs w:val="24"/>
          <w:u w:val="single"/>
        </w:rPr>
        <w:t xml:space="preserve">Adaptive </w:t>
      </w:r>
      <w:r w:rsidR="00470EF9" w:rsidRPr="005A7393">
        <w:rPr>
          <w:i/>
          <w:szCs w:val="24"/>
          <w:u w:val="single"/>
        </w:rPr>
        <w:t xml:space="preserve">Survey </w:t>
      </w:r>
      <w:r w:rsidRPr="005A7393">
        <w:rPr>
          <w:i/>
          <w:szCs w:val="24"/>
          <w:u w:val="single"/>
        </w:rPr>
        <w:t xml:space="preserve">Design </w:t>
      </w:r>
      <w:r w:rsidR="00470EF9" w:rsidRPr="005A7393">
        <w:rPr>
          <w:i/>
          <w:szCs w:val="24"/>
          <w:u w:val="single"/>
        </w:rPr>
        <w:t xml:space="preserve">Experiment </w:t>
      </w:r>
    </w:p>
    <w:p w14:paraId="216C01A7" w14:textId="0DCAC2E3" w:rsidR="00470EF9" w:rsidRPr="00470EF9" w:rsidRDefault="00470EF9" w:rsidP="00470EF9">
      <w:pPr>
        <w:ind w:left="0"/>
        <w:rPr>
          <w:rFonts w:ascii="Times New Roman" w:hAnsi="Times New Roman"/>
        </w:rPr>
      </w:pPr>
      <w:r w:rsidRPr="00470EF9">
        <w:rPr>
          <w:rFonts w:ascii="Times New Roman" w:hAnsi="Times New Roman"/>
        </w:rPr>
        <w:t xml:space="preserve">Beginning in 2013, the NSCG has included adaptive survey design (ASD) experiments in production data collection.  Each survey round (2013, 2015, and 2017) has focused on different operational or methodological goals.  The 2013 NSCG experiment functioned as a proof of concept.  The experiment was relatively small (4,000-case treatment and control groups) and only used new sample members.  From an operational perspective, the experiment was a success, as the NSCG team was able to work with several Census data collection systems to enable adaptive interventions.  A team of methodologists from Census and NCSES would determine which cases should be subject to interventions, that information was provided to programming staff, and </w:t>
      </w:r>
      <w:r w:rsidRPr="00470EF9">
        <w:rPr>
          <w:rFonts w:ascii="Times New Roman" w:hAnsi="Times New Roman"/>
          <w:i/>
        </w:rPr>
        <w:t>ad hoc</w:t>
      </w:r>
      <w:r w:rsidRPr="00470EF9">
        <w:rPr>
          <w:rFonts w:ascii="Times New Roman" w:hAnsi="Times New Roman"/>
        </w:rPr>
        <w:t xml:space="preserve"> intervention files were manually created and transmitted to the various systems.  The 2015 and 2017 adaptive design experiments also relied upon the same intervention file creation and transmission mechanisms.  </w:t>
      </w:r>
    </w:p>
    <w:p w14:paraId="487C65AD" w14:textId="77777777" w:rsidR="00470EF9" w:rsidRPr="00470EF9" w:rsidRDefault="00470EF9" w:rsidP="00470EF9">
      <w:pPr>
        <w:ind w:left="0"/>
        <w:rPr>
          <w:rFonts w:ascii="Times New Roman" w:hAnsi="Times New Roman"/>
        </w:rPr>
      </w:pPr>
    </w:p>
    <w:p w14:paraId="4788399D" w14:textId="0F04DC19" w:rsidR="00470EF9" w:rsidRPr="00470EF9" w:rsidRDefault="00470EF9" w:rsidP="00470EF9">
      <w:pPr>
        <w:ind w:left="0"/>
        <w:rPr>
          <w:rFonts w:ascii="Times New Roman" w:hAnsi="Times New Roman"/>
        </w:rPr>
      </w:pPr>
      <w:r w:rsidRPr="00470EF9">
        <w:rPr>
          <w:rFonts w:ascii="Times New Roman" w:hAnsi="Times New Roman"/>
        </w:rPr>
        <w:t xml:space="preserve">The 2013 experiment used variable-level and category-level unconditional partial R-indicators to identify which subgroups should be included in enhanced or reduced contact effort interventions.  Every two weeks, survey managers and methodologists would meet to finalize the cases selected for intervention.   Overall R-indicators, as well as overall and subgroup-level response rates, were monitored to understand the effect of targeted interventions on high-level progress and quality metrics.  The overall size of the 2013 experiment groups meant that intervention groups were very small (often less than 100 cases), so we did not find statistically significant differences.  However, promising trends in both response rate and R-indicators (along with a 15% lower cost per case in the treatment vs the control) led to an expanded experiment in 2015.  </w:t>
      </w:r>
    </w:p>
    <w:p w14:paraId="551CA9C3" w14:textId="77777777" w:rsidR="00470EF9" w:rsidRPr="00470EF9" w:rsidRDefault="00470EF9" w:rsidP="00470EF9">
      <w:pPr>
        <w:ind w:left="0"/>
        <w:rPr>
          <w:rFonts w:ascii="Times New Roman" w:hAnsi="Times New Roman"/>
        </w:rPr>
      </w:pPr>
    </w:p>
    <w:p w14:paraId="50170820" w14:textId="40155781" w:rsidR="00470EF9" w:rsidRPr="00470EF9" w:rsidRDefault="00470EF9" w:rsidP="00470EF9">
      <w:pPr>
        <w:ind w:left="0"/>
        <w:rPr>
          <w:rFonts w:ascii="Times New Roman" w:hAnsi="Times New Roman"/>
        </w:rPr>
      </w:pPr>
      <w:r w:rsidRPr="00470EF9">
        <w:rPr>
          <w:rFonts w:ascii="Times New Roman" w:hAnsi="Times New Roman"/>
        </w:rPr>
        <w:t xml:space="preserve">The 2015 experiment was similar to the 2013 experiment, except it included both new and returning sample members, and the experimental groups were much larger than in 2013.  Among new sample members, the treatment and control groups each had 8,300 cases, and among returning sample members the treatment and control groups each had 10,000 cases.  The main goal in 2015 was to apply fewer, larger interventions in a way that would improve representativeness in the treatment group versus the control group, while monitoring the effect on response rate and data collection cost.  Interventions made during the 2015 experiment resulted in statistically significant improvements in overall representativeness and subgroup level variability in the treatment groups of both new and returning sample members, when compared to the control groups.  Additionally, the returning sample members had a significantly higher response rate, while the new sample members showed no significant reduction in response rate.  Overall costs per case were slightly lower in the treatment groups than in the control groups.  Counterfactuals also illustrated the fact that the treatment groups achieved the final representativeness level of the control groups after spending only 60% of the control groups’ data collection costs.  These findings have been submitted to the </w:t>
      </w:r>
      <w:r w:rsidRPr="00470EF9">
        <w:rPr>
          <w:rFonts w:ascii="Times New Roman" w:hAnsi="Times New Roman"/>
          <w:i/>
        </w:rPr>
        <w:t>Journal of Survey Statistics and Methodology</w:t>
      </w:r>
      <w:r w:rsidRPr="00470EF9">
        <w:rPr>
          <w:rFonts w:ascii="Times New Roman" w:hAnsi="Times New Roman"/>
        </w:rPr>
        <w:t xml:space="preserve"> (Coffey, et al, 2018)</w:t>
      </w:r>
      <w:r w:rsidRPr="00470EF9">
        <w:rPr>
          <w:rStyle w:val="FootnoteReference"/>
          <w:rFonts w:ascii="Times New Roman" w:hAnsi="Times New Roman"/>
        </w:rPr>
        <w:footnoteReference w:id="7"/>
      </w:r>
      <w:r w:rsidRPr="00470EF9">
        <w:rPr>
          <w:rFonts w:ascii="Times New Roman" w:hAnsi="Times New Roman"/>
        </w:rPr>
        <w:t xml:space="preserve"> for publication as they are strong support for the potential of adaptive survey design to be able to improve cost and quality outcomes in the current survey climate.</w:t>
      </w:r>
    </w:p>
    <w:p w14:paraId="2F3B2B27" w14:textId="77777777" w:rsidR="00470EF9" w:rsidRPr="00470EF9" w:rsidRDefault="00470EF9" w:rsidP="00470EF9">
      <w:pPr>
        <w:ind w:left="0"/>
        <w:rPr>
          <w:rFonts w:ascii="Times New Roman" w:hAnsi="Times New Roman"/>
        </w:rPr>
      </w:pPr>
    </w:p>
    <w:p w14:paraId="1E9F8BBE" w14:textId="36A33BD5" w:rsidR="00470EF9" w:rsidRPr="00470EF9" w:rsidRDefault="00470EF9" w:rsidP="00470EF9">
      <w:pPr>
        <w:ind w:left="0"/>
        <w:rPr>
          <w:rFonts w:ascii="Times New Roman" w:hAnsi="Times New Roman"/>
        </w:rPr>
      </w:pPr>
      <w:r w:rsidRPr="00470EF9">
        <w:rPr>
          <w:rFonts w:ascii="Times New Roman" w:hAnsi="Times New Roman"/>
        </w:rPr>
        <w:t xml:space="preserve">Given the methodological success of the 2015 experiment, the 2017 adaptive design experiment was designed to increase automation of the case identification and file preparation process.  Prior to 2017, nearly all aspects of the adaptive design experiment, from ingesting and manipulating paradata and metric creation to creation and delivery of intervention files, required human effort and interaction.  Very few processes were automated on a schedule.  While this provided flexibility if additional analytic questions of interest arose, it required a disparate group of individuals to all be available on “intervention days” in order to submit intervention file requests, create intervention files, translate those into the correct input files, and deliver those files.  </w:t>
      </w:r>
    </w:p>
    <w:p w14:paraId="15BB116F" w14:textId="77777777" w:rsidR="00873A4B" w:rsidRDefault="00873A4B" w:rsidP="00470EF9">
      <w:pPr>
        <w:ind w:left="0"/>
        <w:rPr>
          <w:rFonts w:ascii="Times New Roman" w:hAnsi="Times New Roman"/>
        </w:rPr>
      </w:pPr>
    </w:p>
    <w:p w14:paraId="299F86FE" w14:textId="77777777" w:rsidR="00873A4B" w:rsidRDefault="00470EF9" w:rsidP="00470EF9">
      <w:pPr>
        <w:ind w:left="0"/>
        <w:rPr>
          <w:rFonts w:ascii="Times New Roman" w:hAnsi="Times New Roman"/>
        </w:rPr>
      </w:pPr>
      <w:r w:rsidRPr="00470EF9">
        <w:rPr>
          <w:rFonts w:ascii="Times New Roman" w:hAnsi="Times New Roman"/>
        </w:rPr>
        <w:t>In addition to the increase in automation in 2017, the number of data quality metrics that were monitored during data collection also increased to help understand the relationship between them and how they reacted to data collection interventions.  Along with response rates and R-indicators, which have been utilized since the 2013 experiment, we also calculated and monitored the coefficients of variation (CVs) of the balancing propensities and response propensities.  Additionally, we monitored the completion rate for the “high effort” cases in the treatment and control groups to see if the interventions were increasing response among under-represented cases.</w:t>
      </w:r>
    </w:p>
    <w:p w14:paraId="69C0C2E0" w14:textId="44988127" w:rsidR="00470EF9" w:rsidRPr="00470EF9" w:rsidRDefault="00470EF9" w:rsidP="00470EF9">
      <w:pPr>
        <w:ind w:left="0"/>
        <w:rPr>
          <w:rFonts w:ascii="Times New Roman" w:hAnsi="Times New Roman"/>
        </w:rPr>
      </w:pPr>
      <w:r w:rsidRPr="00470EF9">
        <w:rPr>
          <w:rFonts w:ascii="Times New Roman" w:hAnsi="Times New Roman"/>
        </w:rPr>
        <w:t xml:space="preserve">  </w:t>
      </w:r>
    </w:p>
    <w:p w14:paraId="2300F6D3" w14:textId="6B6BBD16" w:rsidR="00470EF9" w:rsidRPr="00EF1FD7" w:rsidRDefault="00470EF9" w:rsidP="00470EF9">
      <w:pPr>
        <w:ind w:left="0"/>
        <w:rPr>
          <w:rFonts w:ascii="Times New Roman" w:hAnsi="Times New Roman"/>
          <w:i/>
        </w:rPr>
      </w:pPr>
      <w:r w:rsidRPr="00EF1FD7">
        <w:rPr>
          <w:rFonts w:ascii="Times New Roman" w:hAnsi="Times New Roman"/>
          <w:i/>
        </w:rPr>
        <w:t xml:space="preserve">Adaptive </w:t>
      </w:r>
      <w:r w:rsidR="009D69E6" w:rsidRPr="00EF1FD7">
        <w:rPr>
          <w:rFonts w:ascii="Times New Roman" w:hAnsi="Times New Roman"/>
          <w:i/>
        </w:rPr>
        <w:t xml:space="preserve">Survey </w:t>
      </w:r>
      <w:r w:rsidRPr="00EF1FD7">
        <w:rPr>
          <w:rFonts w:ascii="Times New Roman" w:hAnsi="Times New Roman"/>
          <w:i/>
        </w:rPr>
        <w:t>Design in the 2019 NSCG</w:t>
      </w:r>
    </w:p>
    <w:p w14:paraId="7709C242" w14:textId="680A7F3C" w:rsidR="00470EF9" w:rsidRPr="00470EF9" w:rsidRDefault="00470EF9" w:rsidP="00470EF9">
      <w:pPr>
        <w:ind w:left="0"/>
        <w:rPr>
          <w:rFonts w:ascii="Times New Roman" w:hAnsi="Times New Roman"/>
        </w:rPr>
      </w:pPr>
      <w:r w:rsidRPr="00470EF9">
        <w:rPr>
          <w:rFonts w:ascii="Times New Roman" w:hAnsi="Times New Roman"/>
        </w:rPr>
        <w:t xml:space="preserve">In the 2019 NSCG, NCSES and the Census Bureau are continuing to innovate with respect to adaptive survey design.  In past rounds, we used variable-level partial unconditional R-indicators in order to identify cases that fell into very under-represented or very over-represented subgroups.  These classifications were defined by values of the R-indicator itself.  When compared to the production data collection pathway (the control), under-represented cases received more contact effort, and over-represented cases received less contact effort.  However, when making these interventions, we did not attempt to predict the effect on survey outcomes, such as the expected gain in response, reduction in mean squared error of survey estimates, or effects on survey costs by applying an intervention on a particular subset of cases.  </w:t>
      </w:r>
    </w:p>
    <w:p w14:paraId="1A27D8ED" w14:textId="77777777" w:rsidR="00873A4B" w:rsidRDefault="00873A4B" w:rsidP="00470EF9">
      <w:pPr>
        <w:ind w:left="0"/>
        <w:rPr>
          <w:rFonts w:ascii="Times New Roman" w:hAnsi="Times New Roman"/>
        </w:rPr>
      </w:pPr>
    </w:p>
    <w:p w14:paraId="4C6E545D" w14:textId="63C510F1" w:rsidR="00470EF9" w:rsidRPr="00470EF9" w:rsidRDefault="00470EF9" w:rsidP="00470EF9">
      <w:pPr>
        <w:ind w:left="0"/>
        <w:rPr>
          <w:rFonts w:ascii="Times New Roman" w:hAnsi="Times New Roman"/>
        </w:rPr>
      </w:pPr>
      <w:r w:rsidRPr="00470EF9">
        <w:rPr>
          <w:rFonts w:ascii="Times New Roman" w:hAnsi="Times New Roman"/>
        </w:rPr>
        <w:t>In other words, the cost savings and relatively stable response rates our experiments have achieved was not by design – we did not control for those outcomes, though we did monitor them.  However, it is possible that we could have obtained better results by ensuring that our interventions maintained a neutral cost per case while intervening on a larger group of cases (or reducing contact effort on fewer cases).  This may have resulted in further improved survey outcomes.  There is also no guarantee that, in the future, continuing to intervene in the same way will result in the same outcomes of cost savings and stable response rates.  Further, while representativeness is often considered a proxy for nonresponse bias, the interventions made historically do not take into account any expected effect on key estimates, such as the mean squared error or the size of nonresponse adjustments.</w:t>
      </w:r>
    </w:p>
    <w:p w14:paraId="413DB8CE" w14:textId="77777777" w:rsidR="00873A4B" w:rsidRDefault="00873A4B" w:rsidP="00470EF9">
      <w:pPr>
        <w:ind w:left="0"/>
        <w:rPr>
          <w:rFonts w:ascii="Times New Roman" w:hAnsi="Times New Roman"/>
        </w:rPr>
      </w:pPr>
    </w:p>
    <w:p w14:paraId="3FA74D53" w14:textId="79B060D8" w:rsidR="00470EF9" w:rsidRPr="00470EF9" w:rsidRDefault="00470EF9" w:rsidP="00873A4B">
      <w:pPr>
        <w:ind w:left="0"/>
        <w:rPr>
          <w:rFonts w:ascii="Times New Roman" w:hAnsi="Times New Roman"/>
        </w:rPr>
      </w:pPr>
      <w:r w:rsidRPr="00470EF9">
        <w:rPr>
          <w:rFonts w:ascii="Times New Roman" w:hAnsi="Times New Roman"/>
        </w:rPr>
        <w:t xml:space="preserve">To address these research gaps, </w:t>
      </w:r>
      <w:r w:rsidR="006F733A">
        <w:rPr>
          <w:rFonts w:ascii="Times New Roman" w:hAnsi="Times New Roman"/>
        </w:rPr>
        <w:t>we</w:t>
      </w:r>
      <w:r w:rsidRPr="00470EF9">
        <w:rPr>
          <w:rFonts w:ascii="Times New Roman" w:hAnsi="Times New Roman"/>
        </w:rPr>
        <w:t xml:space="preserve"> </w:t>
      </w:r>
      <w:r w:rsidR="006F733A">
        <w:rPr>
          <w:rFonts w:ascii="Times New Roman" w:hAnsi="Times New Roman"/>
        </w:rPr>
        <w:t>propose</w:t>
      </w:r>
      <w:r w:rsidRPr="00470EF9">
        <w:rPr>
          <w:rFonts w:ascii="Times New Roman" w:hAnsi="Times New Roman"/>
        </w:rPr>
        <w:t xml:space="preserve"> an adaptive survey design experiment that focuses on improving a data quality metric (e.g., root mean squared error, or RMSE) for a given cost to see if </w:t>
      </w:r>
      <w:r w:rsidR="001057B3">
        <w:rPr>
          <w:rFonts w:ascii="Times New Roman" w:hAnsi="Times New Roman"/>
        </w:rPr>
        <w:t>we</w:t>
      </w:r>
      <w:r w:rsidRPr="00470EF9">
        <w:rPr>
          <w:rFonts w:ascii="Times New Roman" w:hAnsi="Times New Roman"/>
        </w:rPr>
        <w:t xml:space="preserve"> can also apply interventions in a way that improves the quality of survey estimates directly, rather than improving proxies, like R-indicators.  The work will include prediction of response propensity, expected costs, and both item</w:t>
      </w:r>
      <w:r w:rsidR="003E5943">
        <w:rPr>
          <w:rFonts w:ascii="Times New Roman" w:hAnsi="Times New Roman"/>
        </w:rPr>
        <w:t>-</w:t>
      </w:r>
      <w:r w:rsidRPr="00470EF9">
        <w:rPr>
          <w:rFonts w:ascii="Times New Roman" w:hAnsi="Times New Roman"/>
        </w:rPr>
        <w:t xml:space="preserve"> and unit</w:t>
      </w:r>
      <w:r w:rsidR="003E5943">
        <w:rPr>
          <w:rFonts w:ascii="Times New Roman" w:hAnsi="Times New Roman"/>
        </w:rPr>
        <w:t>-</w:t>
      </w:r>
      <w:r w:rsidRPr="00470EF9">
        <w:rPr>
          <w:rFonts w:ascii="Times New Roman" w:hAnsi="Times New Roman"/>
        </w:rPr>
        <w:t>level imputation under different data collection scenarios in order to predict key outcomes of interest.  High quality predictions will allow us to selectively apply data collection features in a way that has a direct impact on key survey estimates in the NSCG.  To evaluate the effect of adaptive design on the key survey estimates of the NSCG, the following high-level methodology will be used:</w:t>
      </w:r>
    </w:p>
    <w:p w14:paraId="104E4551" w14:textId="520419A3" w:rsidR="00470EF9" w:rsidRPr="00470EF9" w:rsidRDefault="00470EF9" w:rsidP="00873A4B">
      <w:pPr>
        <w:spacing w:before="120"/>
        <w:ind w:left="720"/>
        <w:rPr>
          <w:rFonts w:ascii="Times New Roman" w:hAnsi="Times New Roman"/>
        </w:rPr>
      </w:pPr>
      <w:r w:rsidRPr="00470EF9">
        <w:rPr>
          <w:rFonts w:ascii="Times New Roman" w:hAnsi="Times New Roman"/>
        </w:rPr>
        <w:t>(1)</w:t>
      </w:r>
      <w:r w:rsidRPr="00470EF9">
        <w:rPr>
          <w:rFonts w:ascii="Times New Roman" w:hAnsi="Times New Roman"/>
        </w:rPr>
        <w:tab/>
        <w:t>After each week of data collection, obtain posterior estimates of response propensity for all unresolved cases, using the methodology in Wagner and Hubbard (2014)</w:t>
      </w:r>
      <w:r w:rsidR="003E5943">
        <w:rPr>
          <w:rFonts w:ascii="Times New Roman" w:hAnsi="Times New Roman"/>
        </w:rPr>
        <w:t>.</w:t>
      </w:r>
      <w:r w:rsidRPr="00470EF9">
        <w:rPr>
          <w:rStyle w:val="FootnoteReference"/>
          <w:rFonts w:ascii="Times New Roman" w:hAnsi="Times New Roman"/>
        </w:rPr>
        <w:footnoteReference w:id="8"/>
      </w:r>
    </w:p>
    <w:p w14:paraId="25C5F7F0" w14:textId="77777777" w:rsidR="00470EF9" w:rsidRPr="00470EF9" w:rsidRDefault="00470EF9" w:rsidP="00873A4B">
      <w:pPr>
        <w:spacing w:before="120"/>
        <w:ind w:left="720"/>
        <w:rPr>
          <w:rFonts w:ascii="Times New Roman" w:hAnsi="Times New Roman"/>
        </w:rPr>
      </w:pPr>
      <w:r w:rsidRPr="00470EF9">
        <w:rPr>
          <w:rFonts w:ascii="Times New Roman" w:hAnsi="Times New Roman"/>
        </w:rPr>
        <w:t>(2)</w:t>
      </w:r>
      <w:r w:rsidRPr="00470EF9">
        <w:rPr>
          <w:rFonts w:ascii="Times New Roman" w:hAnsi="Times New Roman"/>
        </w:rPr>
        <w:tab/>
        <w:t xml:space="preserve">For pre-identified key survey variables, use available paradata and sampling frame information to impute missing values for all unresolved cases.  The resulting estimate of the mean for each of these variables will be treated as the unbiased target parameters of interest.  </w:t>
      </w:r>
    </w:p>
    <w:p w14:paraId="36C57EEA" w14:textId="77777777" w:rsidR="00470EF9" w:rsidRPr="00470EF9" w:rsidRDefault="00470EF9" w:rsidP="00873A4B">
      <w:pPr>
        <w:spacing w:before="120"/>
        <w:ind w:left="720"/>
        <w:rPr>
          <w:rFonts w:ascii="Times New Roman" w:hAnsi="Times New Roman"/>
        </w:rPr>
      </w:pPr>
      <w:r w:rsidRPr="00470EF9">
        <w:rPr>
          <w:rFonts w:ascii="Times New Roman" w:hAnsi="Times New Roman"/>
        </w:rPr>
        <w:t>(3)</w:t>
      </w:r>
      <w:r w:rsidRPr="00470EF9">
        <w:rPr>
          <w:rFonts w:ascii="Times New Roman" w:hAnsi="Times New Roman"/>
        </w:rPr>
        <w:tab/>
        <w:t xml:space="preserve">For given response propensity cut-points identified using the propensity output in (1), assign cases to adaptive interventions (e.g., sending cases to CATI early, or replacing questionnaires with web invites) and re-compute the estimates of response propensity from step (1) under the new scenario to predict who will respond.  </w:t>
      </w:r>
    </w:p>
    <w:p w14:paraId="51A2B0D9" w14:textId="77777777" w:rsidR="00470EF9" w:rsidRPr="00470EF9" w:rsidRDefault="00470EF9" w:rsidP="00873A4B">
      <w:pPr>
        <w:spacing w:before="120"/>
        <w:ind w:left="720"/>
        <w:rPr>
          <w:rFonts w:ascii="Times New Roman" w:hAnsi="Times New Roman"/>
        </w:rPr>
      </w:pPr>
      <w:r w:rsidRPr="00470EF9">
        <w:rPr>
          <w:rFonts w:ascii="Times New Roman" w:hAnsi="Times New Roman"/>
        </w:rPr>
        <w:t>(4)</w:t>
      </w:r>
      <w:r w:rsidRPr="00470EF9">
        <w:rPr>
          <w:rFonts w:ascii="Times New Roman" w:hAnsi="Times New Roman"/>
        </w:rPr>
        <w:tab/>
        <w:t xml:space="preserve">Re-compute estimates from step (2) after removing cases who are predicted to be nonrespondents from the dataset (meaning fewer unresolved cases will be imputed).  This will enable a comparison of the estimates in step (3) vs step (2).  The root mean squared error (RMSE) will be estimated using the output of step (2) as the truth.  </w:t>
      </w:r>
    </w:p>
    <w:p w14:paraId="69674680" w14:textId="77777777" w:rsidR="00470EF9" w:rsidRPr="00470EF9" w:rsidRDefault="00470EF9" w:rsidP="00873A4B">
      <w:pPr>
        <w:spacing w:before="120"/>
        <w:ind w:left="720"/>
        <w:rPr>
          <w:rFonts w:ascii="Times New Roman" w:hAnsi="Times New Roman"/>
        </w:rPr>
      </w:pPr>
      <w:r w:rsidRPr="00470EF9">
        <w:rPr>
          <w:rFonts w:ascii="Times New Roman" w:hAnsi="Times New Roman"/>
        </w:rPr>
        <w:t>(5)</w:t>
      </w:r>
      <w:r w:rsidRPr="00470EF9">
        <w:rPr>
          <w:rFonts w:ascii="Times New Roman" w:hAnsi="Times New Roman"/>
        </w:rPr>
        <w:tab/>
        <w:t xml:space="preserve">Compare the estimated cost of contacting all unresolved cases using the current data collection protocol versus only those retained in steps (3) and (4) using a new data collection protocol (e.g., introducing CATI early, withholding different contact strategies, etc.).  Cost estimates will be obtained from prior rounds of the NSCG, incorporating information from the sampling frame, and costs by mode of response.  </w:t>
      </w:r>
    </w:p>
    <w:p w14:paraId="3A089C41" w14:textId="77777777" w:rsidR="00470EF9" w:rsidRPr="00470EF9" w:rsidRDefault="00470EF9" w:rsidP="00873A4B">
      <w:pPr>
        <w:spacing w:before="120"/>
        <w:ind w:left="720"/>
        <w:rPr>
          <w:rFonts w:ascii="Times New Roman" w:hAnsi="Times New Roman"/>
        </w:rPr>
      </w:pPr>
      <w:r w:rsidRPr="00470EF9">
        <w:rPr>
          <w:rFonts w:ascii="Times New Roman" w:hAnsi="Times New Roman"/>
        </w:rPr>
        <w:t>(6)</w:t>
      </w:r>
      <w:r w:rsidRPr="00470EF9">
        <w:rPr>
          <w:rFonts w:ascii="Times New Roman" w:hAnsi="Times New Roman"/>
        </w:rPr>
        <w:tab/>
        <w:t xml:space="preserve">Repeat steps (3) - (5) throughout data collection, plotting the estimated costs versus the RMSE by cut-point.  Times where there are sharp drops in cost with small increases in RMSE point to times where design features should be changed to reduce cost without increasing the expected RMSE.  </w:t>
      </w:r>
    </w:p>
    <w:p w14:paraId="1610D43C" w14:textId="77777777" w:rsidR="00873A4B" w:rsidRDefault="00873A4B" w:rsidP="00470EF9">
      <w:pPr>
        <w:ind w:left="0"/>
        <w:rPr>
          <w:rFonts w:ascii="Times New Roman" w:hAnsi="Times New Roman"/>
        </w:rPr>
      </w:pPr>
    </w:p>
    <w:p w14:paraId="775F37D6" w14:textId="4C3FC0BE" w:rsidR="00470EF9" w:rsidRPr="00470EF9" w:rsidRDefault="001D5E95" w:rsidP="00470EF9">
      <w:pPr>
        <w:ind w:left="0"/>
        <w:rPr>
          <w:rFonts w:ascii="Times New Roman" w:hAnsi="Times New Roman"/>
        </w:rPr>
      </w:pPr>
      <w:r>
        <w:rPr>
          <w:rFonts w:ascii="Times New Roman" w:hAnsi="Times New Roman"/>
        </w:rPr>
        <w:t>To</w:t>
      </w:r>
      <w:r w:rsidR="00470EF9" w:rsidRPr="00470EF9">
        <w:rPr>
          <w:rFonts w:ascii="Times New Roman" w:hAnsi="Times New Roman"/>
        </w:rPr>
        <w:t xml:space="preserve"> leverage historical information that can aid in predicting response propensity, </w:t>
      </w:r>
      <w:r>
        <w:rPr>
          <w:rFonts w:ascii="Times New Roman" w:hAnsi="Times New Roman"/>
        </w:rPr>
        <w:t xml:space="preserve">along with </w:t>
      </w:r>
      <w:r w:rsidR="00470EF9" w:rsidRPr="00470EF9">
        <w:rPr>
          <w:rFonts w:ascii="Times New Roman" w:hAnsi="Times New Roman"/>
        </w:rPr>
        <w:t xml:space="preserve">survey outcomes and cost, the predictive models developed here will use a Bayesian framework.  Historical predictors are used to create </w:t>
      </w:r>
      <w:r w:rsidR="00470EF9" w:rsidRPr="00470EF9">
        <w:rPr>
          <w:rFonts w:ascii="Times New Roman" w:hAnsi="Times New Roman"/>
          <w:i/>
        </w:rPr>
        <w:t>priors</w:t>
      </w:r>
      <w:r w:rsidR="00470EF9" w:rsidRPr="00470EF9">
        <w:rPr>
          <w:rFonts w:ascii="Times New Roman" w:hAnsi="Times New Roman"/>
        </w:rPr>
        <w:t xml:space="preserve">, or initial predictive model coefficients, which are then updated with the current round of information, as more data is collected to create </w:t>
      </w:r>
      <w:r w:rsidR="00470EF9" w:rsidRPr="00470EF9">
        <w:rPr>
          <w:rFonts w:ascii="Times New Roman" w:hAnsi="Times New Roman"/>
          <w:i/>
        </w:rPr>
        <w:t>posteriors</w:t>
      </w:r>
      <w:r w:rsidR="00470EF9" w:rsidRPr="00470EF9">
        <w:rPr>
          <w:rFonts w:ascii="Times New Roman" w:hAnsi="Times New Roman"/>
        </w:rPr>
        <w:t xml:space="preserve">.  The posteriors are then used in the predictive models mentioned above.  A benefit of these types of models, particularly early in data collection, </w:t>
      </w:r>
      <w:r>
        <w:rPr>
          <w:rFonts w:ascii="Times New Roman" w:hAnsi="Times New Roman"/>
        </w:rPr>
        <w:t xml:space="preserve">is that </w:t>
      </w:r>
      <w:r w:rsidR="00470EF9" w:rsidRPr="00470EF9">
        <w:rPr>
          <w:rFonts w:ascii="Times New Roman" w:hAnsi="Times New Roman"/>
        </w:rPr>
        <w:t xml:space="preserve">the historical data can compensate for the data that has not been collected in the current survey round.  </w:t>
      </w:r>
    </w:p>
    <w:p w14:paraId="2625A93B" w14:textId="77777777" w:rsidR="00873A4B" w:rsidRDefault="00873A4B" w:rsidP="00470EF9">
      <w:pPr>
        <w:ind w:left="0"/>
        <w:rPr>
          <w:rFonts w:ascii="Times New Roman" w:hAnsi="Times New Roman"/>
        </w:rPr>
      </w:pPr>
    </w:p>
    <w:p w14:paraId="1AEDFEDC" w14:textId="35F570AE" w:rsidR="00470EF9" w:rsidRPr="00470EF9" w:rsidRDefault="00470EF9" w:rsidP="00470EF9">
      <w:pPr>
        <w:ind w:left="0"/>
        <w:rPr>
          <w:rFonts w:ascii="Times New Roman" w:hAnsi="Times New Roman"/>
        </w:rPr>
      </w:pPr>
      <w:r w:rsidRPr="00470EF9">
        <w:rPr>
          <w:rFonts w:ascii="Times New Roman" w:hAnsi="Times New Roman"/>
        </w:rPr>
        <w:t xml:space="preserve">The Census Bureau is currently building and evaluating these predictive models, as well as identifying the survey conditions we would want to simulate (e.g., neutral cost-per-case, 10% reduction, 10% increase) from historical data.  This will help both Census and NCSES understand how these decisions would be made during data collection.  In the event that these models do not have sufficient power, or result in poor predictions of survey outcomes, we plan to adapt steps (1) to (6) above in order to maximize the survey R-indicator for a given cost constraint.  The propensity models underlying the NSCG R-indicators have been validated over the past three data collection cycles and include variables that are highly correlated </w:t>
      </w:r>
      <w:r w:rsidR="00CD2D3F">
        <w:rPr>
          <w:rFonts w:ascii="Times New Roman" w:hAnsi="Times New Roman"/>
        </w:rPr>
        <w:t>with</w:t>
      </w:r>
      <w:r w:rsidRPr="00470EF9">
        <w:rPr>
          <w:rFonts w:ascii="Times New Roman" w:hAnsi="Times New Roman"/>
        </w:rPr>
        <w:t xml:space="preserve"> survey outcomes</w:t>
      </w:r>
      <w:r w:rsidR="00CD2D3F">
        <w:rPr>
          <w:rFonts w:ascii="Times New Roman" w:hAnsi="Times New Roman"/>
        </w:rPr>
        <w:t>,</w:t>
      </w:r>
      <w:r w:rsidRPr="00470EF9">
        <w:rPr>
          <w:rStyle w:val="FootnoteReference"/>
          <w:rFonts w:ascii="Times New Roman" w:hAnsi="Times New Roman"/>
        </w:rPr>
        <w:footnoteReference w:id="9"/>
      </w:r>
      <w:r w:rsidRPr="00470EF9">
        <w:rPr>
          <w:rFonts w:ascii="Times New Roman" w:hAnsi="Times New Roman"/>
        </w:rPr>
        <w:t xml:space="preserve"> giving us confidence that our interventions are improving data collection, even if the metric we use is only a proxy for nonresponse bias.  </w:t>
      </w:r>
      <w:r w:rsidR="00296460">
        <w:rPr>
          <w:rFonts w:ascii="Times New Roman" w:hAnsi="Times New Roman"/>
        </w:rPr>
        <w:t xml:space="preserve">The </w:t>
      </w:r>
      <w:r w:rsidRPr="00470EF9">
        <w:rPr>
          <w:rFonts w:ascii="Times New Roman" w:hAnsi="Times New Roman"/>
        </w:rPr>
        <w:t>Census</w:t>
      </w:r>
      <w:r w:rsidR="00296460">
        <w:rPr>
          <w:rFonts w:ascii="Times New Roman" w:hAnsi="Times New Roman"/>
        </w:rPr>
        <w:t xml:space="preserve"> Bureau</w:t>
      </w:r>
      <w:r w:rsidRPr="00470EF9">
        <w:rPr>
          <w:rFonts w:ascii="Times New Roman" w:hAnsi="Times New Roman"/>
        </w:rPr>
        <w:t>, in conjunction with NCSES</w:t>
      </w:r>
      <w:r w:rsidR="00296460">
        <w:rPr>
          <w:rFonts w:ascii="Times New Roman" w:hAnsi="Times New Roman"/>
        </w:rPr>
        <w:t>,</w:t>
      </w:r>
      <w:r w:rsidRPr="00470EF9">
        <w:rPr>
          <w:rFonts w:ascii="Times New Roman" w:hAnsi="Times New Roman"/>
        </w:rPr>
        <w:t xml:space="preserve"> plans to make final decisions about the models used for intervention by December 2018.  This ensures the intervention methods selected have been jointly reviewed and agreed upon before data collection begins.  </w:t>
      </w:r>
    </w:p>
    <w:p w14:paraId="015EDB13" w14:textId="77777777" w:rsidR="00873A4B" w:rsidRDefault="00873A4B" w:rsidP="00470EF9">
      <w:pPr>
        <w:ind w:left="0"/>
        <w:rPr>
          <w:rFonts w:ascii="Times New Roman" w:hAnsi="Times New Roman"/>
        </w:rPr>
      </w:pPr>
    </w:p>
    <w:p w14:paraId="375709FA" w14:textId="267A90BC" w:rsidR="00470EF9" w:rsidRPr="00470EF9" w:rsidRDefault="00470EF9" w:rsidP="00470EF9">
      <w:pPr>
        <w:ind w:left="0"/>
        <w:rPr>
          <w:rFonts w:ascii="Times New Roman" w:hAnsi="Times New Roman"/>
        </w:rPr>
      </w:pPr>
      <w:r w:rsidRPr="00470EF9">
        <w:rPr>
          <w:rFonts w:ascii="Times New Roman" w:hAnsi="Times New Roman"/>
        </w:rPr>
        <w:t>The Census Bureau is not alone in exploring the use of Bayesian models in adaptive survey design.  The Census Bureau is working in consultation with Dr. Michael Elliott, from the University of Michigan, who has expertise with both Census data and Bayesian models (Elliott, et al., 20</w:t>
      </w:r>
      <w:r w:rsidR="00E74DB8">
        <w:rPr>
          <w:rFonts w:ascii="Times New Roman" w:hAnsi="Times New Roman"/>
        </w:rPr>
        <w:t>0</w:t>
      </w:r>
      <w:r w:rsidRPr="00470EF9">
        <w:rPr>
          <w:rFonts w:ascii="Times New Roman" w:hAnsi="Times New Roman"/>
        </w:rPr>
        <w:t>0</w:t>
      </w:r>
      <w:r w:rsidRPr="00470EF9">
        <w:rPr>
          <w:rStyle w:val="FootnoteReference"/>
          <w:rFonts w:ascii="Times New Roman" w:hAnsi="Times New Roman"/>
        </w:rPr>
        <w:footnoteReference w:id="10"/>
      </w:r>
      <w:r w:rsidRPr="00470EF9">
        <w:rPr>
          <w:rFonts w:ascii="Times New Roman" w:hAnsi="Times New Roman"/>
        </w:rPr>
        <w:t>; Elliott, 2017</w:t>
      </w:r>
      <w:r w:rsidRPr="00470EF9">
        <w:rPr>
          <w:rStyle w:val="FootnoteReference"/>
          <w:rFonts w:ascii="Times New Roman" w:hAnsi="Times New Roman"/>
        </w:rPr>
        <w:footnoteReference w:id="11"/>
      </w:r>
      <w:r w:rsidRPr="00470EF9">
        <w:rPr>
          <w:rFonts w:ascii="Times New Roman" w:hAnsi="Times New Roman"/>
        </w:rPr>
        <w:t xml:space="preserve">).  Additionally, ongoing research is being conducted by survey methodologists and statisticians from the Institute for Social Research at the University of Michigan as well as Statistics Netherlands.  A paper on the topic </w:t>
      </w:r>
      <w:r w:rsidR="00EF1FD7">
        <w:rPr>
          <w:rFonts w:ascii="Times New Roman" w:hAnsi="Times New Roman"/>
        </w:rPr>
        <w:t xml:space="preserve">by </w:t>
      </w:r>
      <w:r w:rsidRPr="00470EF9">
        <w:rPr>
          <w:rFonts w:ascii="Times New Roman" w:hAnsi="Times New Roman"/>
        </w:rPr>
        <w:t>researchers from both institutions</w:t>
      </w:r>
      <w:r w:rsidR="00EF1FD7">
        <w:rPr>
          <w:rFonts w:ascii="Times New Roman" w:hAnsi="Times New Roman"/>
        </w:rPr>
        <w:t xml:space="preserve"> was recently published </w:t>
      </w:r>
      <w:r w:rsidR="00EF1FD7" w:rsidRPr="00470EF9">
        <w:rPr>
          <w:rFonts w:ascii="Times New Roman" w:hAnsi="Times New Roman"/>
        </w:rPr>
        <w:t>(Schouten, et al, 2018)</w:t>
      </w:r>
      <w:r w:rsidR="00EF1FD7">
        <w:rPr>
          <w:rFonts w:ascii="Times New Roman" w:hAnsi="Times New Roman"/>
        </w:rPr>
        <w:t>.</w:t>
      </w:r>
      <w:r w:rsidR="00EF1FD7" w:rsidRPr="00470EF9">
        <w:rPr>
          <w:rStyle w:val="FootnoteReference"/>
          <w:rFonts w:ascii="Times New Roman" w:hAnsi="Times New Roman"/>
        </w:rPr>
        <w:footnoteReference w:id="12"/>
      </w:r>
      <w:r w:rsidRPr="00470EF9">
        <w:rPr>
          <w:rFonts w:ascii="Times New Roman" w:hAnsi="Times New Roman"/>
        </w:rPr>
        <w:t xml:space="preserve">  </w:t>
      </w:r>
    </w:p>
    <w:p w14:paraId="3C568512" w14:textId="77777777" w:rsidR="00873A4B" w:rsidRDefault="00873A4B" w:rsidP="00470EF9">
      <w:pPr>
        <w:ind w:left="0"/>
        <w:rPr>
          <w:rFonts w:ascii="Times New Roman" w:hAnsi="Times New Roman"/>
        </w:rPr>
      </w:pPr>
    </w:p>
    <w:p w14:paraId="21267D4F" w14:textId="2F070BA5" w:rsidR="00470EF9" w:rsidRPr="00470EF9" w:rsidRDefault="00470EF9" w:rsidP="00470EF9">
      <w:pPr>
        <w:ind w:left="0"/>
        <w:rPr>
          <w:rFonts w:ascii="Times New Roman" w:hAnsi="Times New Roman"/>
        </w:rPr>
      </w:pPr>
      <w:r w:rsidRPr="00470EF9">
        <w:rPr>
          <w:rFonts w:ascii="Times New Roman" w:hAnsi="Times New Roman"/>
        </w:rPr>
        <w:t xml:space="preserve">In preparation for the 2015 NSCG adaptive design experiment, and in response to a request from OMB, NCSES and the Census Bureau prepared a detailed adaptive design plan that included the time points where potential interventions would occur and the interventions that were available at each time point.  This documentation served us throughout the 2015 and 2017 NSCG data collections and, given the similarities between those implementations and the 2019 NSCG production data collection pathway, this documentation will continue to serve as an overview of the adaptive design approach for the 2019 NSCG, with appropriate adjustments incorporated to reflect changes in the production data collection operations plan.  </w:t>
      </w:r>
    </w:p>
    <w:p w14:paraId="38C6FE1A" w14:textId="77777777" w:rsidR="00873A4B" w:rsidRDefault="00873A4B" w:rsidP="00470EF9">
      <w:pPr>
        <w:ind w:left="0"/>
        <w:rPr>
          <w:rFonts w:ascii="Times New Roman" w:hAnsi="Times New Roman"/>
        </w:rPr>
      </w:pPr>
    </w:p>
    <w:p w14:paraId="5CA21019" w14:textId="5E3BD77F" w:rsidR="00470EF9" w:rsidRPr="00470EF9" w:rsidRDefault="00470EF9" w:rsidP="00470EF9">
      <w:pPr>
        <w:ind w:left="0"/>
        <w:rPr>
          <w:rFonts w:ascii="Times New Roman" w:hAnsi="Times New Roman"/>
        </w:rPr>
      </w:pPr>
      <w:r w:rsidRPr="00470EF9">
        <w:rPr>
          <w:rFonts w:ascii="Times New Roman" w:hAnsi="Times New Roman"/>
        </w:rPr>
        <w:t>Appendix H includes a table outlining the production data collection mailout schedule and the potential interventions available at each time point.  Additionally, Appendix H discusses the adaptive design goals, interventions, and monitoring metrics considered for the experiment.</w:t>
      </w:r>
    </w:p>
    <w:p w14:paraId="598E92FF" w14:textId="2F991694" w:rsidR="00E85616" w:rsidRPr="007F6722" w:rsidRDefault="00E85616" w:rsidP="00E85616">
      <w:pPr>
        <w:pStyle w:val="NormalSS"/>
        <w:ind w:firstLine="0"/>
        <w:jc w:val="left"/>
        <w:rPr>
          <w:szCs w:val="24"/>
        </w:rPr>
      </w:pPr>
    </w:p>
    <w:p w14:paraId="6983155C" w14:textId="6B55520D" w:rsidR="00057A5C" w:rsidRPr="00915ECD" w:rsidRDefault="00057A5C" w:rsidP="00057A5C">
      <w:pPr>
        <w:pStyle w:val="NormalSS"/>
        <w:ind w:firstLine="0"/>
        <w:jc w:val="left"/>
        <w:rPr>
          <w:i/>
          <w:szCs w:val="24"/>
          <w:u w:val="single"/>
        </w:rPr>
      </w:pPr>
      <w:r w:rsidRPr="00915ECD">
        <w:rPr>
          <w:i/>
          <w:szCs w:val="24"/>
          <w:u w:val="single"/>
        </w:rPr>
        <w:t>Mailout Strategy Experiment</w:t>
      </w:r>
    </w:p>
    <w:p w14:paraId="64D75C50" w14:textId="6EA49D62" w:rsidR="00057A5C" w:rsidRDefault="00057A5C" w:rsidP="00057A5C">
      <w:pPr>
        <w:ind w:left="0"/>
        <w:rPr>
          <w:rFonts w:ascii="Times New Roman" w:hAnsi="Times New Roman"/>
          <w:szCs w:val="24"/>
        </w:rPr>
      </w:pPr>
      <w:r>
        <w:rPr>
          <w:rFonts w:ascii="Times New Roman" w:hAnsi="Times New Roman"/>
          <w:szCs w:val="24"/>
        </w:rPr>
        <w:t xml:space="preserve">In the 2017 NSCG cycle, </w:t>
      </w:r>
      <w:r w:rsidR="00EE025B">
        <w:rPr>
          <w:rFonts w:ascii="Times New Roman" w:hAnsi="Times New Roman"/>
          <w:szCs w:val="24"/>
        </w:rPr>
        <w:t xml:space="preserve">NCSES </w:t>
      </w:r>
      <w:r>
        <w:rPr>
          <w:rFonts w:ascii="Times New Roman" w:hAnsi="Times New Roman"/>
          <w:szCs w:val="24"/>
        </w:rPr>
        <w:t>experimented with a new set of mailing materials. This experiment showed that by updating the type and content of mailing materials, the number of mail contacts could be reduced without harming response rates, sample representativeness, or key estimates.  Specifically, the majority of the NSCG’s mailing materials use standard letter-sized white envelopes, with the exception of a letter-sized brown envelop</w:t>
      </w:r>
      <w:r w:rsidR="002D0C30">
        <w:rPr>
          <w:rFonts w:ascii="Times New Roman" w:hAnsi="Times New Roman"/>
          <w:szCs w:val="24"/>
        </w:rPr>
        <w:t>e</w:t>
      </w:r>
      <w:r>
        <w:rPr>
          <w:rFonts w:ascii="Times New Roman" w:hAnsi="Times New Roman"/>
          <w:szCs w:val="24"/>
        </w:rPr>
        <w:t xml:space="preserve"> at the end of data collection and the questionnaire packets.</w:t>
      </w:r>
      <w:r w:rsidR="00A828C5">
        <w:rPr>
          <w:rFonts w:ascii="Times New Roman" w:hAnsi="Times New Roman"/>
          <w:szCs w:val="24"/>
        </w:rPr>
        <w:t xml:space="preserve"> </w:t>
      </w:r>
      <w:r>
        <w:rPr>
          <w:rFonts w:ascii="Times New Roman" w:hAnsi="Times New Roman"/>
          <w:szCs w:val="24"/>
        </w:rPr>
        <w:t xml:space="preserve"> Focus group research suggested that respondents are more likely to discard future letters if they look the same as one they have already opened because they know what it contains.</w:t>
      </w:r>
      <w:r w:rsidR="00AA359D">
        <w:rPr>
          <w:rStyle w:val="FootnoteReference"/>
          <w:rFonts w:ascii="Times New Roman" w:hAnsi="Times New Roman"/>
          <w:szCs w:val="24"/>
        </w:rPr>
        <w:footnoteReference w:id="13"/>
      </w:r>
      <w:r>
        <w:rPr>
          <w:rFonts w:ascii="Times New Roman" w:hAnsi="Times New Roman"/>
          <w:szCs w:val="24"/>
        </w:rPr>
        <w:t xml:space="preserve">  Therefore, the 2017 experiment used a variety </w:t>
      </w:r>
      <w:r w:rsidR="00EB0D1F">
        <w:rPr>
          <w:rFonts w:ascii="Times New Roman" w:hAnsi="Times New Roman"/>
          <w:szCs w:val="24"/>
        </w:rPr>
        <w:t>of envelopes, including an over</w:t>
      </w:r>
      <w:r>
        <w:rPr>
          <w:rFonts w:ascii="Times New Roman" w:hAnsi="Times New Roman"/>
          <w:szCs w:val="24"/>
        </w:rPr>
        <w:t xml:space="preserve">sized white envelope similar to what is used in the American Community Survey, a pressure-sealed letter-sized envelope, and a tabbed postcard.  Additionally, </w:t>
      </w:r>
      <w:r w:rsidR="005608AF">
        <w:rPr>
          <w:rFonts w:ascii="Times New Roman" w:hAnsi="Times New Roman"/>
          <w:szCs w:val="24"/>
        </w:rPr>
        <w:t xml:space="preserve">for the returning sample cases, </w:t>
      </w:r>
      <w:r>
        <w:rPr>
          <w:rFonts w:ascii="Times New Roman" w:hAnsi="Times New Roman"/>
          <w:szCs w:val="24"/>
        </w:rPr>
        <w:t>emails were sent immediately following mail contacts instead of as stand-alone reminders because research shows that simultaneous reminders in multiple modes are more effective than sequential reminders.</w:t>
      </w:r>
      <w:r w:rsidR="00AA359D">
        <w:rPr>
          <w:rStyle w:val="FootnoteReference"/>
          <w:rFonts w:ascii="Times New Roman" w:hAnsi="Times New Roman"/>
          <w:szCs w:val="24"/>
        </w:rPr>
        <w:footnoteReference w:id="14"/>
      </w:r>
      <w:r>
        <w:rPr>
          <w:rFonts w:ascii="Times New Roman" w:hAnsi="Times New Roman"/>
          <w:szCs w:val="24"/>
        </w:rPr>
        <w:t xml:space="preserve"> </w:t>
      </w:r>
    </w:p>
    <w:p w14:paraId="34FD4680" w14:textId="77777777" w:rsidR="00057A5C" w:rsidRDefault="00057A5C" w:rsidP="00057A5C">
      <w:pPr>
        <w:ind w:left="0"/>
        <w:rPr>
          <w:rFonts w:ascii="Times New Roman" w:hAnsi="Times New Roman"/>
          <w:szCs w:val="24"/>
        </w:rPr>
      </w:pPr>
    </w:p>
    <w:p w14:paraId="65221D9F" w14:textId="476833CF" w:rsidR="00432AD4" w:rsidRDefault="00057A5C" w:rsidP="00057A5C">
      <w:pPr>
        <w:ind w:left="0"/>
        <w:rPr>
          <w:rFonts w:ascii="Times New Roman" w:hAnsi="Times New Roman"/>
          <w:szCs w:val="24"/>
        </w:rPr>
      </w:pPr>
      <w:r>
        <w:rPr>
          <w:rFonts w:ascii="Times New Roman" w:hAnsi="Times New Roman"/>
          <w:szCs w:val="24"/>
        </w:rPr>
        <w:t xml:space="preserve">While the new mail materials were successful in generating response with fewer contacts, the experiment tested one overall strategy.  It did not have the sample size available to test variations of that strategy.  </w:t>
      </w:r>
      <w:r w:rsidR="00432AD4">
        <w:rPr>
          <w:rFonts w:ascii="Times New Roman" w:hAnsi="Times New Roman"/>
          <w:szCs w:val="24"/>
        </w:rPr>
        <w:t>The 2019 NSCG mailout strategy experiment is designed to te</w:t>
      </w:r>
      <w:r w:rsidR="00241015">
        <w:rPr>
          <w:rFonts w:ascii="Times New Roman" w:hAnsi="Times New Roman"/>
          <w:szCs w:val="24"/>
        </w:rPr>
        <w:t>s</w:t>
      </w:r>
      <w:r w:rsidR="00432AD4">
        <w:rPr>
          <w:rFonts w:ascii="Times New Roman" w:hAnsi="Times New Roman"/>
          <w:szCs w:val="24"/>
        </w:rPr>
        <w:t>t variations of the strategy implemented in the previous survey cycle with a specific focus on the use of due dates in survey contact materials.</w:t>
      </w:r>
    </w:p>
    <w:p w14:paraId="25FCE519" w14:textId="77777777" w:rsidR="00432AD4" w:rsidRDefault="00432AD4" w:rsidP="00057A5C">
      <w:pPr>
        <w:ind w:left="0"/>
        <w:rPr>
          <w:rFonts w:ascii="Times New Roman" w:hAnsi="Times New Roman"/>
          <w:szCs w:val="24"/>
        </w:rPr>
      </w:pPr>
    </w:p>
    <w:p w14:paraId="73866361" w14:textId="6C0A2579" w:rsidR="00057A5C" w:rsidRDefault="00057A5C" w:rsidP="00057A5C">
      <w:pPr>
        <w:ind w:left="0"/>
        <w:rPr>
          <w:rFonts w:ascii="Times New Roman" w:hAnsi="Times New Roman"/>
          <w:szCs w:val="24"/>
        </w:rPr>
      </w:pPr>
      <w:r>
        <w:rPr>
          <w:rFonts w:ascii="Times New Roman" w:hAnsi="Times New Roman"/>
          <w:szCs w:val="24"/>
        </w:rPr>
        <w:t>Feedback from focus groups suggested that providing a specific due date for the survey makes the request seem more urgent as compared to “please respond within two weeks,” which is currently used in the NSCG.</w:t>
      </w:r>
      <w:r w:rsidR="00C04CA4">
        <w:rPr>
          <w:rStyle w:val="FootnoteReference"/>
          <w:rFonts w:ascii="Times New Roman" w:hAnsi="Times New Roman"/>
          <w:szCs w:val="24"/>
        </w:rPr>
        <w:footnoteReference w:id="15"/>
      </w:r>
      <w:r>
        <w:rPr>
          <w:rFonts w:ascii="Times New Roman" w:hAnsi="Times New Roman"/>
          <w:szCs w:val="24"/>
        </w:rPr>
        <w:t xml:space="preserve">  The 2017 experiment used a due date two weeks from the initial invitation (May 4</w:t>
      </w:r>
      <w:r w:rsidRPr="0088557B">
        <w:rPr>
          <w:rFonts w:ascii="Times New Roman" w:hAnsi="Times New Roman"/>
          <w:szCs w:val="24"/>
          <w:vertAlign w:val="superscript"/>
        </w:rPr>
        <w:t>th</w:t>
      </w:r>
      <w:r w:rsidR="00EB0D1F">
        <w:rPr>
          <w:rFonts w:ascii="Times New Roman" w:hAnsi="Times New Roman"/>
          <w:szCs w:val="24"/>
        </w:rPr>
        <w:t>)</w:t>
      </w:r>
      <w:r>
        <w:rPr>
          <w:rFonts w:ascii="Times New Roman" w:hAnsi="Times New Roman"/>
          <w:szCs w:val="24"/>
        </w:rPr>
        <w:t xml:space="preserve"> but</w:t>
      </w:r>
      <w:r w:rsidR="00D4457B">
        <w:rPr>
          <w:rFonts w:ascii="Times New Roman" w:hAnsi="Times New Roman"/>
          <w:szCs w:val="24"/>
        </w:rPr>
        <w:t>,</w:t>
      </w:r>
      <w:r>
        <w:rPr>
          <w:rFonts w:ascii="Times New Roman" w:hAnsi="Times New Roman"/>
          <w:szCs w:val="24"/>
        </w:rPr>
        <w:t xml:space="preserve"> given the 6-month data collection period</w:t>
      </w:r>
      <w:r w:rsidR="00EB0D1F">
        <w:rPr>
          <w:rFonts w:ascii="Times New Roman" w:hAnsi="Times New Roman"/>
          <w:szCs w:val="24"/>
        </w:rPr>
        <w:t>,</w:t>
      </w:r>
      <w:r>
        <w:rPr>
          <w:rFonts w:ascii="Times New Roman" w:hAnsi="Times New Roman"/>
          <w:szCs w:val="24"/>
        </w:rPr>
        <w:t xml:space="preserve"> it is not clear that this was the most effective way to present the due date.  To answer these questions, the 2019 </w:t>
      </w:r>
      <w:r w:rsidR="002F5DC8">
        <w:rPr>
          <w:rFonts w:ascii="Times New Roman" w:hAnsi="Times New Roman"/>
          <w:szCs w:val="24"/>
        </w:rPr>
        <w:t>mailout</w:t>
      </w:r>
      <w:r>
        <w:rPr>
          <w:rFonts w:ascii="Times New Roman" w:hAnsi="Times New Roman"/>
          <w:szCs w:val="24"/>
        </w:rPr>
        <w:t xml:space="preserve"> strategy experiment has </w:t>
      </w:r>
      <w:r w:rsidR="00E80E94">
        <w:rPr>
          <w:rFonts w:ascii="Times New Roman" w:hAnsi="Times New Roman"/>
          <w:szCs w:val="24"/>
        </w:rPr>
        <w:t>two</w:t>
      </w:r>
      <w:r>
        <w:rPr>
          <w:rFonts w:ascii="Times New Roman" w:hAnsi="Times New Roman"/>
          <w:szCs w:val="24"/>
        </w:rPr>
        <w:t xml:space="preserve"> treatments:</w:t>
      </w:r>
    </w:p>
    <w:p w14:paraId="059F7A00" w14:textId="7DBCF508" w:rsidR="00057A5C" w:rsidRDefault="00D4457B" w:rsidP="00CD0ABF">
      <w:pPr>
        <w:pStyle w:val="ListParagraph"/>
        <w:numPr>
          <w:ilvl w:val="0"/>
          <w:numId w:val="59"/>
        </w:numPr>
        <w:spacing w:before="60"/>
        <w:contextualSpacing w:val="0"/>
        <w:rPr>
          <w:rFonts w:ascii="Times New Roman" w:hAnsi="Times New Roman"/>
          <w:szCs w:val="24"/>
        </w:rPr>
      </w:pPr>
      <w:r>
        <w:rPr>
          <w:rFonts w:ascii="Times New Roman" w:hAnsi="Times New Roman"/>
          <w:szCs w:val="24"/>
        </w:rPr>
        <w:t>l</w:t>
      </w:r>
      <w:r w:rsidR="00057A5C">
        <w:rPr>
          <w:rFonts w:ascii="Times New Roman" w:hAnsi="Times New Roman"/>
          <w:szCs w:val="24"/>
        </w:rPr>
        <w:t>ocation of the due date;</w:t>
      </w:r>
      <w:r w:rsidR="00E80E94">
        <w:rPr>
          <w:rFonts w:ascii="Times New Roman" w:hAnsi="Times New Roman"/>
          <w:szCs w:val="24"/>
        </w:rPr>
        <w:t xml:space="preserve"> and</w:t>
      </w:r>
    </w:p>
    <w:p w14:paraId="52180BEB" w14:textId="1E67A71D" w:rsidR="00057A5C" w:rsidRDefault="00D4457B" w:rsidP="00CD0ABF">
      <w:pPr>
        <w:pStyle w:val="ListParagraph"/>
        <w:numPr>
          <w:ilvl w:val="0"/>
          <w:numId w:val="59"/>
        </w:numPr>
        <w:spacing w:before="60"/>
        <w:contextualSpacing w:val="0"/>
        <w:rPr>
          <w:rFonts w:ascii="Times New Roman" w:hAnsi="Times New Roman"/>
          <w:szCs w:val="24"/>
        </w:rPr>
      </w:pPr>
      <w:r>
        <w:rPr>
          <w:rFonts w:ascii="Times New Roman" w:hAnsi="Times New Roman"/>
          <w:szCs w:val="24"/>
        </w:rPr>
        <w:t>h</w:t>
      </w:r>
      <w:r w:rsidR="00057A5C">
        <w:rPr>
          <w:rFonts w:ascii="Times New Roman" w:hAnsi="Times New Roman"/>
          <w:szCs w:val="24"/>
        </w:rPr>
        <w:t>ow and when t</w:t>
      </w:r>
      <w:r w:rsidR="00E80E94">
        <w:rPr>
          <w:rFonts w:ascii="Times New Roman" w:hAnsi="Times New Roman"/>
          <w:szCs w:val="24"/>
        </w:rPr>
        <w:t>he date is presented.</w:t>
      </w:r>
    </w:p>
    <w:p w14:paraId="0A697E43" w14:textId="77777777" w:rsidR="00057A5C" w:rsidRDefault="00057A5C" w:rsidP="00057A5C">
      <w:pPr>
        <w:ind w:left="0"/>
        <w:rPr>
          <w:rFonts w:ascii="Times New Roman" w:hAnsi="Times New Roman"/>
          <w:szCs w:val="24"/>
        </w:rPr>
      </w:pPr>
    </w:p>
    <w:p w14:paraId="0C1D9880" w14:textId="426F1739" w:rsidR="00057A5C" w:rsidRDefault="00057A5C" w:rsidP="00057A5C">
      <w:pPr>
        <w:ind w:left="0"/>
        <w:rPr>
          <w:rFonts w:ascii="Times New Roman" w:hAnsi="Times New Roman"/>
          <w:bCs/>
        </w:rPr>
      </w:pPr>
      <w:r>
        <w:rPr>
          <w:rFonts w:ascii="Times New Roman" w:hAnsi="Times New Roman"/>
          <w:bCs/>
        </w:rPr>
        <w:t xml:space="preserve">The examination of these </w:t>
      </w:r>
      <w:r w:rsidR="00E80E94">
        <w:rPr>
          <w:rFonts w:ascii="Times New Roman" w:hAnsi="Times New Roman"/>
          <w:bCs/>
        </w:rPr>
        <w:t>two</w:t>
      </w:r>
      <w:r>
        <w:rPr>
          <w:rFonts w:ascii="Times New Roman" w:hAnsi="Times New Roman"/>
          <w:bCs/>
        </w:rPr>
        <w:t xml:space="preserve"> different strategies creates a total of </w:t>
      </w:r>
      <w:r w:rsidR="00E80E94">
        <w:rPr>
          <w:rFonts w:ascii="Times New Roman" w:hAnsi="Times New Roman"/>
          <w:bCs/>
        </w:rPr>
        <w:t>four</w:t>
      </w:r>
      <w:r>
        <w:rPr>
          <w:rFonts w:ascii="Times New Roman" w:hAnsi="Times New Roman"/>
          <w:bCs/>
        </w:rPr>
        <w:t xml:space="preserve"> treatment groups that will be included within this experiment as displayed in the following table.</w:t>
      </w:r>
      <w:r w:rsidR="0032344B">
        <w:rPr>
          <w:rFonts w:ascii="Times New Roman" w:hAnsi="Times New Roman"/>
          <w:bCs/>
        </w:rPr>
        <w:t xml:space="preserve">  The experiment will be conducted separately for the new sample cases and the returning sample cases.  </w:t>
      </w:r>
    </w:p>
    <w:p w14:paraId="5493D2BB" w14:textId="122E70E6" w:rsidR="00700EBA" w:rsidRDefault="00700EBA" w:rsidP="00057A5C">
      <w:pPr>
        <w:ind w:left="0"/>
        <w:rPr>
          <w:rFonts w:ascii="Times New Roman" w:hAnsi="Times New Roman"/>
          <w:color w:val="0070C0"/>
        </w:rPr>
      </w:pPr>
    </w:p>
    <w:tbl>
      <w:tblPr>
        <w:tblW w:w="7915" w:type="dxa"/>
        <w:tblLook w:val="04A0" w:firstRow="1" w:lastRow="0" w:firstColumn="1" w:lastColumn="0" w:noHBand="0" w:noVBand="1"/>
      </w:tblPr>
      <w:tblGrid>
        <w:gridCol w:w="2245"/>
        <w:gridCol w:w="3420"/>
        <w:gridCol w:w="2250"/>
      </w:tblGrid>
      <w:tr w:rsidR="00E80E94" w:rsidRPr="00D40B62" w14:paraId="314B0B34" w14:textId="77777777" w:rsidTr="00DA7628">
        <w:trPr>
          <w:trHeight w:val="315"/>
        </w:trPr>
        <w:tc>
          <w:tcPr>
            <w:tcW w:w="2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B3CCDA2" w14:textId="77777777" w:rsidR="00E80E94" w:rsidRPr="00D40B62" w:rsidRDefault="00E80E94" w:rsidP="00DA7628">
            <w:pPr>
              <w:ind w:left="0"/>
              <w:rPr>
                <w:rFonts w:ascii="Times New Roman" w:hAnsi="Times New Roman"/>
                <w:b/>
                <w:bCs/>
                <w:color w:val="000000"/>
                <w:szCs w:val="24"/>
              </w:rPr>
            </w:pPr>
            <w:r w:rsidRPr="00D40B62">
              <w:rPr>
                <w:rFonts w:ascii="Times New Roman" w:hAnsi="Times New Roman"/>
                <w:b/>
                <w:bCs/>
                <w:color w:val="000000"/>
                <w:szCs w:val="24"/>
              </w:rPr>
              <w:t>Deadline Location</w:t>
            </w:r>
          </w:p>
        </w:tc>
        <w:tc>
          <w:tcPr>
            <w:tcW w:w="342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6A97521" w14:textId="77777777" w:rsidR="00E80E94" w:rsidRPr="00D40B62" w:rsidRDefault="00E80E94" w:rsidP="00DA7628">
            <w:pPr>
              <w:ind w:left="0"/>
              <w:rPr>
                <w:rFonts w:ascii="Times New Roman" w:hAnsi="Times New Roman"/>
                <w:b/>
                <w:bCs/>
                <w:color w:val="000000"/>
                <w:szCs w:val="24"/>
              </w:rPr>
            </w:pPr>
            <w:r w:rsidRPr="00D40B62">
              <w:rPr>
                <w:rFonts w:ascii="Times New Roman" w:hAnsi="Times New Roman"/>
                <w:b/>
                <w:bCs/>
                <w:color w:val="000000"/>
                <w:szCs w:val="24"/>
              </w:rPr>
              <w:t>Deadline Timing</w:t>
            </w:r>
          </w:p>
        </w:tc>
        <w:tc>
          <w:tcPr>
            <w:tcW w:w="225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DFF2C16" w14:textId="77777777" w:rsidR="00E80E94" w:rsidRPr="00D40B62" w:rsidRDefault="00E80E94" w:rsidP="00DA7628">
            <w:pPr>
              <w:ind w:left="0"/>
              <w:rPr>
                <w:rFonts w:ascii="Times New Roman" w:hAnsi="Times New Roman"/>
                <w:b/>
                <w:bCs/>
                <w:color w:val="000000"/>
                <w:szCs w:val="24"/>
              </w:rPr>
            </w:pPr>
            <w:r w:rsidRPr="00D40B62">
              <w:rPr>
                <w:rFonts w:ascii="Times New Roman" w:hAnsi="Times New Roman"/>
                <w:b/>
                <w:bCs/>
                <w:color w:val="000000"/>
                <w:szCs w:val="24"/>
              </w:rPr>
              <w:t>Treatment</w:t>
            </w:r>
          </w:p>
        </w:tc>
      </w:tr>
      <w:tr w:rsidR="00E80E94" w:rsidRPr="00D40B62" w14:paraId="64A98F27" w14:textId="77777777" w:rsidTr="00DA7628">
        <w:trPr>
          <w:trHeight w:val="315"/>
        </w:trPr>
        <w:tc>
          <w:tcPr>
            <w:tcW w:w="22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F9A11C" w14:textId="77777777" w:rsidR="00E80E94" w:rsidRPr="00D40B62" w:rsidRDefault="00E80E94" w:rsidP="00DA7628">
            <w:pPr>
              <w:ind w:left="0"/>
              <w:rPr>
                <w:rFonts w:ascii="Times New Roman" w:hAnsi="Times New Roman"/>
                <w:color w:val="000000"/>
                <w:szCs w:val="24"/>
              </w:rPr>
            </w:pPr>
            <w:r w:rsidRPr="00D40B62">
              <w:rPr>
                <w:rFonts w:ascii="Times New Roman" w:hAnsi="Times New Roman"/>
                <w:color w:val="000000"/>
                <w:szCs w:val="24"/>
              </w:rPr>
              <w:t>Within Letter</w:t>
            </w:r>
          </w:p>
        </w:tc>
        <w:tc>
          <w:tcPr>
            <w:tcW w:w="3420" w:type="dxa"/>
            <w:tcBorders>
              <w:top w:val="nil"/>
              <w:left w:val="nil"/>
              <w:bottom w:val="single" w:sz="4" w:space="0" w:color="auto"/>
              <w:right w:val="single" w:sz="4" w:space="0" w:color="auto"/>
            </w:tcBorders>
            <w:shd w:val="clear" w:color="auto" w:fill="auto"/>
            <w:noWrap/>
            <w:vAlign w:val="bottom"/>
            <w:hideMark/>
          </w:tcPr>
          <w:p w14:paraId="51A67322" w14:textId="77777777" w:rsidR="00E80E94" w:rsidRPr="00D40B62" w:rsidRDefault="00E80E94" w:rsidP="00DA7628">
            <w:pPr>
              <w:ind w:left="0"/>
              <w:rPr>
                <w:rFonts w:ascii="Times New Roman" w:hAnsi="Times New Roman"/>
                <w:color w:val="000000"/>
                <w:szCs w:val="24"/>
              </w:rPr>
            </w:pPr>
            <w:r w:rsidRPr="00D40B62">
              <w:rPr>
                <w:rFonts w:ascii="Times New Roman" w:hAnsi="Times New Roman"/>
                <w:color w:val="000000"/>
                <w:szCs w:val="24"/>
              </w:rPr>
              <w:t>Initial Mailout (Weeks 1 and 2)</w:t>
            </w:r>
          </w:p>
        </w:tc>
        <w:tc>
          <w:tcPr>
            <w:tcW w:w="2250" w:type="dxa"/>
            <w:tcBorders>
              <w:top w:val="nil"/>
              <w:left w:val="nil"/>
              <w:bottom w:val="single" w:sz="4" w:space="0" w:color="auto"/>
              <w:right w:val="single" w:sz="4" w:space="0" w:color="auto"/>
            </w:tcBorders>
            <w:shd w:val="clear" w:color="auto" w:fill="auto"/>
            <w:noWrap/>
            <w:vAlign w:val="bottom"/>
            <w:hideMark/>
          </w:tcPr>
          <w:p w14:paraId="799BAF86" w14:textId="77777777" w:rsidR="00E80E94" w:rsidRPr="00D40B62" w:rsidRDefault="00E80E94" w:rsidP="00DA7628">
            <w:pPr>
              <w:ind w:left="0"/>
              <w:rPr>
                <w:rFonts w:ascii="Times New Roman" w:hAnsi="Times New Roman"/>
                <w:color w:val="000000"/>
                <w:szCs w:val="24"/>
              </w:rPr>
            </w:pPr>
            <w:r w:rsidRPr="00D40B62">
              <w:rPr>
                <w:rFonts w:ascii="Times New Roman" w:hAnsi="Times New Roman"/>
                <w:color w:val="000000"/>
                <w:szCs w:val="24"/>
              </w:rPr>
              <w:t>LI (Letter/Initial)</w:t>
            </w:r>
            <w:r>
              <w:rPr>
                <w:rFonts w:ascii="Times New Roman" w:hAnsi="Times New Roman"/>
                <w:color w:val="000000"/>
                <w:szCs w:val="24"/>
              </w:rPr>
              <w:t>*</w:t>
            </w:r>
          </w:p>
        </w:tc>
      </w:tr>
      <w:tr w:rsidR="00E80E94" w:rsidRPr="00D40B62" w14:paraId="2698FCA4" w14:textId="77777777" w:rsidTr="00DA7628">
        <w:trPr>
          <w:trHeight w:val="315"/>
        </w:trPr>
        <w:tc>
          <w:tcPr>
            <w:tcW w:w="2245" w:type="dxa"/>
            <w:vMerge/>
            <w:tcBorders>
              <w:top w:val="nil"/>
              <w:left w:val="single" w:sz="4" w:space="0" w:color="auto"/>
              <w:bottom w:val="single" w:sz="4" w:space="0" w:color="auto"/>
              <w:right w:val="single" w:sz="4" w:space="0" w:color="auto"/>
            </w:tcBorders>
            <w:vAlign w:val="center"/>
            <w:hideMark/>
          </w:tcPr>
          <w:p w14:paraId="57E5C586" w14:textId="77777777" w:rsidR="00E80E94" w:rsidRPr="00D40B62" w:rsidRDefault="00E80E94" w:rsidP="00DA7628">
            <w:pPr>
              <w:ind w:left="0"/>
              <w:rPr>
                <w:rFonts w:ascii="Times New Roman" w:hAnsi="Times New Roman"/>
                <w:color w:val="000000"/>
                <w:szCs w:val="24"/>
              </w:rPr>
            </w:pPr>
          </w:p>
        </w:tc>
        <w:tc>
          <w:tcPr>
            <w:tcW w:w="3420" w:type="dxa"/>
            <w:tcBorders>
              <w:top w:val="nil"/>
              <w:left w:val="nil"/>
              <w:bottom w:val="single" w:sz="4" w:space="0" w:color="auto"/>
              <w:right w:val="single" w:sz="4" w:space="0" w:color="auto"/>
            </w:tcBorders>
            <w:shd w:val="clear" w:color="auto" w:fill="auto"/>
            <w:noWrap/>
            <w:vAlign w:val="bottom"/>
            <w:hideMark/>
          </w:tcPr>
          <w:p w14:paraId="24D79746" w14:textId="77777777" w:rsidR="00E80E94" w:rsidRPr="00D40B62" w:rsidRDefault="00E80E94" w:rsidP="00DA7628">
            <w:pPr>
              <w:ind w:left="0"/>
              <w:rPr>
                <w:rFonts w:ascii="Times New Roman" w:hAnsi="Times New Roman"/>
                <w:color w:val="000000"/>
                <w:szCs w:val="24"/>
              </w:rPr>
            </w:pPr>
            <w:r w:rsidRPr="00D40B62">
              <w:rPr>
                <w:rFonts w:ascii="Times New Roman" w:hAnsi="Times New Roman"/>
                <w:color w:val="000000"/>
                <w:szCs w:val="24"/>
              </w:rPr>
              <w:t>Late Mailout (Week 12)</w:t>
            </w:r>
          </w:p>
        </w:tc>
        <w:tc>
          <w:tcPr>
            <w:tcW w:w="2250" w:type="dxa"/>
            <w:tcBorders>
              <w:top w:val="nil"/>
              <w:left w:val="nil"/>
              <w:bottom w:val="single" w:sz="4" w:space="0" w:color="auto"/>
              <w:right w:val="single" w:sz="4" w:space="0" w:color="auto"/>
            </w:tcBorders>
            <w:shd w:val="clear" w:color="auto" w:fill="auto"/>
            <w:noWrap/>
            <w:vAlign w:val="bottom"/>
            <w:hideMark/>
          </w:tcPr>
          <w:p w14:paraId="7DD319FD" w14:textId="77777777" w:rsidR="00E80E94" w:rsidRPr="00D40B62" w:rsidRDefault="00E80E94" w:rsidP="00DA7628">
            <w:pPr>
              <w:ind w:left="0"/>
              <w:rPr>
                <w:rFonts w:ascii="Times New Roman" w:hAnsi="Times New Roman"/>
                <w:color w:val="000000"/>
                <w:szCs w:val="24"/>
              </w:rPr>
            </w:pPr>
            <w:r w:rsidRPr="00D40B62">
              <w:rPr>
                <w:rFonts w:ascii="Times New Roman" w:hAnsi="Times New Roman"/>
                <w:color w:val="000000"/>
                <w:szCs w:val="24"/>
              </w:rPr>
              <w:t>LL (Letter/Late)</w:t>
            </w:r>
          </w:p>
        </w:tc>
      </w:tr>
      <w:tr w:rsidR="00E80E94" w:rsidRPr="00D40B62" w14:paraId="07DE1D9B" w14:textId="77777777" w:rsidTr="00DA7628">
        <w:trPr>
          <w:trHeight w:val="315"/>
        </w:trPr>
        <w:tc>
          <w:tcPr>
            <w:tcW w:w="22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20F1A0" w14:textId="77777777" w:rsidR="00E80E94" w:rsidRPr="00D40B62" w:rsidRDefault="00E80E94" w:rsidP="00DA7628">
            <w:pPr>
              <w:ind w:left="0"/>
              <w:rPr>
                <w:rFonts w:ascii="Times New Roman" w:hAnsi="Times New Roman"/>
                <w:color w:val="000000"/>
                <w:szCs w:val="24"/>
              </w:rPr>
            </w:pPr>
            <w:r w:rsidRPr="00D40B62">
              <w:rPr>
                <w:rFonts w:ascii="Times New Roman" w:hAnsi="Times New Roman"/>
                <w:color w:val="000000"/>
                <w:szCs w:val="24"/>
              </w:rPr>
              <w:t>Envelope and Letter</w:t>
            </w:r>
          </w:p>
        </w:tc>
        <w:tc>
          <w:tcPr>
            <w:tcW w:w="3420" w:type="dxa"/>
            <w:tcBorders>
              <w:top w:val="nil"/>
              <w:left w:val="nil"/>
              <w:bottom w:val="single" w:sz="4" w:space="0" w:color="auto"/>
              <w:right w:val="single" w:sz="4" w:space="0" w:color="auto"/>
            </w:tcBorders>
            <w:shd w:val="clear" w:color="auto" w:fill="auto"/>
            <w:noWrap/>
            <w:vAlign w:val="bottom"/>
            <w:hideMark/>
          </w:tcPr>
          <w:p w14:paraId="48E25CFE" w14:textId="77777777" w:rsidR="00E80E94" w:rsidRPr="00D40B62" w:rsidRDefault="00E80E94" w:rsidP="00DA7628">
            <w:pPr>
              <w:ind w:left="0"/>
              <w:rPr>
                <w:rFonts w:ascii="Times New Roman" w:hAnsi="Times New Roman"/>
                <w:color w:val="000000"/>
                <w:szCs w:val="24"/>
              </w:rPr>
            </w:pPr>
            <w:r w:rsidRPr="00D40B62">
              <w:rPr>
                <w:rFonts w:ascii="Times New Roman" w:hAnsi="Times New Roman"/>
                <w:color w:val="000000"/>
                <w:szCs w:val="24"/>
              </w:rPr>
              <w:t>Initial Mailout (Weeks 1 and 2)</w:t>
            </w:r>
          </w:p>
        </w:tc>
        <w:tc>
          <w:tcPr>
            <w:tcW w:w="2250" w:type="dxa"/>
            <w:tcBorders>
              <w:top w:val="nil"/>
              <w:left w:val="nil"/>
              <w:bottom w:val="single" w:sz="4" w:space="0" w:color="auto"/>
              <w:right w:val="single" w:sz="4" w:space="0" w:color="auto"/>
            </w:tcBorders>
            <w:shd w:val="clear" w:color="auto" w:fill="auto"/>
            <w:noWrap/>
            <w:vAlign w:val="bottom"/>
            <w:hideMark/>
          </w:tcPr>
          <w:p w14:paraId="2F165C42" w14:textId="77777777" w:rsidR="00E80E94" w:rsidRPr="00D40B62" w:rsidRDefault="00E80E94" w:rsidP="00DA7628">
            <w:pPr>
              <w:ind w:left="0"/>
              <w:rPr>
                <w:rFonts w:ascii="Times New Roman" w:hAnsi="Times New Roman"/>
                <w:color w:val="000000"/>
                <w:szCs w:val="24"/>
              </w:rPr>
            </w:pPr>
            <w:r w:rsidRPr="00D40B62">
              <w:rPr>
                <w:rFonts w:ascii="Times New Roman" w:hAnsi="Times New Roman"/>
                <w:color w:val="000000"/>
                <w:szCs w:val="24"/>
              </w:rPr>
              <w:t>EI (Envelope/Initial)</w:t>
            </w:r>
          </w:p>
        </w:tc>
      </w:tr>
      <w:tr w:rsidR="00E80E94" w:rsidRPr="00D40B62" w14:paraId="71C427EB" w14:textId="77777777" w:rsidTr="00DA7628">
        <w:trPr>
          <w:trHeight w:val="315"/>
        </w:trPr>
        <w:tc>
          <w:tcPr>
            <w:tcW w:w="2245" w:type="dxa"/>
            <w:vMerge/>
            <w:tcBorders>
              <w:top w:val="nil"/>
              <w:left w:val="single" w:sz="4" w:space="0" w:color="auto"/>
              <w:bottom w:val="single" w:sz="4" w:space="0" w:color="auto"/>
              <w:right w:val="single" w:sz="4" w:space="0" w:color="auto"/>
            </w:tcBorders>
            <w:vAlign w:val="center"/>
            <w:hideMark/>
          </w:tcPr>
          <w:p w14:paraId="6F227DAD" w14:textId="77777777" w:rsidR="00E80E94" w:rsidRPr="00D40B62" w:rsidRDefault="00E80E94" w:rsidP="00DA7628">
            <w:pPr>
              <w:ind w:left="0"/>
              <w:rPr>
                <w:rFonts w:ascii="Times New Roman" w:hAnsi="Times New Roman"/>
                <w:color w:val="000000"/>
                <w:szCs w:val="24"/>
              </w:rPr>
            </w:pPr>
          </w:p>
        </w:tc>
        <w:tc>
          <w:tcPr>
            <w:tcW w:w="3420" w:type="dxa"/>
            <w:tcBorders>
              <w:top w:val="nil"/>
              <w:left w:val="nil"/>
              <w:bottom w:val="single" w:sz="4" w:space="0" w:color="auto"/>
              <w:right w:val="single" w:sz="4" w:space="0" w:color="auto"/>
            </w:tcBorders>
            <w:shd w:val="clear" w:color="auto" w:fill="auto"/>
            <w:noWrap/>
            <w:vAlign w:val="bottom"/>
            <w:hideMark/>
          </w:tcPr>
          <w:p w14:paraId="193C42CC" w14:textId="77777777" w:rsidR="00E80E94" w:rsidRPr="00D40B62" w:rsidRDefault="00E80E94" w:rsidP="00DA7628">
            <w:pPr>
              <w:ind w:left="0"/>
              <w:rPr>
                <w:rFonts w:ascii="Times New Roman" w:hAnsi="Times New Roman"/>
                <w:color w:val="000000"/>
                <w:szCs w:val="24"/>
              </w:rPr>
            </w:pPr>
            <w:r w:rsidRPr="00D40B62">
              <w:rPr>
                <w:rFonts w:ascii="Times New Roman" w:hAnsi="Times New Roman"/>
                <w:color w:val="000000"/>
                <w:szCs w:val="24"/>
              </w:rPr>
              <w:t>Late Mailout (Week 12)</w:t>
            </w:r>
          </w:p>
        </w:tc>
        <w:tc>
          <w:tcPr>
            <w:tcW w:w="2250" w:type="dxa"/>
            <w:tcBorders>
              <w:top w:val="nil"/>
              <w:left w:val="nil"/>
              <w:bottom w:val="single" w:sz="4" w:space="0" w:color="auto"/>
              <w:right w:val="single" w:sz="4" w:space="0" w:color="auto"/>
            </w:tcBorders>
            <w:shd w:val="clear" w:color="auto" w:fill="auto"/>
            <w:noWrap/>
            <w:vAlign w:val="bottom"/>
            <w:hideMark/>
          </w:tcPr>
          <w:p w14:paraId="37DB43C8" w14:textId="77777777" w:rsidR="00E80E94" w:rsidRPr="00D40B62" w:rsidRDefault="00E80E94" w:rsidP="00DA7628">
            <w:pPr>
              <w:ind w:left="0"/>
              <w:rPr>
                <w:rFonts w:ascii="Times New Roman" w:hAnsi="Times New Roman"/>
                <w:color w:val="000000"/>
                <w:szCs w:val="24"/>
              </w:rPr>
            </w:pPr>
            <w:r w:rsidRPr="00D40B62">
              <w:rPr>
                <w:rFonts w:ascii="Times New Roman" w:hAnsi="Times New Roman"/>
                <w:color w:val="000000"/>
                <w:szCs w:val="24"/>
              </w:rPr>
              <w:t>EL (Envelope/Late)</w:t>
            </w:r>
          </w:p>
        </w:tc>
      </w:tr>
    </w:tbl>
    <w:p w14:paraId="63BC0673" w14:textId="77777777" w:rsidR="00033B13" w:rsidRPr="00D40B62" w:rsidRDefault="00033B13" w:rsidP="00E42BCC">
      <w:pPr>
        <w:spacing w:after="120"/>
        <w:ind w:left="0"/>
        <w:rPr>
          <w:rFonts w:ascii="Times New Roman" w:hAnsi="Times New Roman"/>
          <w:bCs/>
          <w:sz w:val="20"/>
        </w:rPr>
      </w:pPr>
      <w:r w:rsidRPr="00D40B62">
        <w:rPr>
          <w:rFonts w:ascii="Times New Roman" w:hAnsi="Times New Roman"/>
          <w:bCs/>
          <w:sz w:val="20"/>
        </w:rPr>
        <w:t>*Control Group</w:t>
      </w:r>
    </w:p>
    <w:p w14:paraId="79E94253" w14:textId="3F504BC9" w:rsidR="00057A5C" w:rsidRDefault="00057A5C" w:rsidP="00057A5C">
      <w:pPr>
        <w:ind w:left="0"/>
        <w:rPr>
          <w:rFonts w:ascii="Times New Roman" w:hAnsi="Times New Roman"/>
          <w:bCs/>
        </w:rPr>
      </w:pPr>
    </w:p>
    <w:p w14:paraId="04A261D1" w14:textId="73B1989C" w:rsidR="00057A5C" w:rsidRPr="000D785A" w:rsidRDefault="00057A5C" w:rsidP="00057A5C">
      <w:pPr>
        <w:ind w:left="0"/>
        <w:rPr>
          <w:rFonts w:ascii="Times New Roman" w:hAnsi="Times New Roman"/>
          <w:szCs w:val="24"/>
        </w:rPr>
      </w:pPr>
      <w:r w:rsidRPr="007F6722">
        <w:rPr>
          <w:rFonts w:ascii="Times New Roman" w:hAnsi="Times New Roman"/>
          <w:bCs/>
        </w:rPr>
        <w:t xml:space="preserve">Appendix I provides more detail about </w:t>
      </w:r>
      <w:r>
        <w:rPr>
          <w:rFonts w:ascii="Times New Roman" w:hAnsi="Times New Roman"/>
          <w:bCs/>
        </w:rPr>
        <w:t xml:space="preserve">the </w:t>
      </w:r>
      <w:r w:rsidRPr="007F6722">
        <w:rPr>
          <w:rFonts w:ascii="Times New Roman" w:hAnsi="Times New Roman"/>
          <w:bCs/>
        </w:rPr>
        <w:t xml:space="preserve">different </w:t>
      </w:r>
      <w:r>
        <w:rPr>
          <w:rFonts w:ascii="Times New Roman" w:hAnsi="Times New Roman"/>
          <w:bCs/>
        </w:rPr>
        <w:t>treatments</w:t>
      </w:r>
      <w:r w:rsidRPr="007F6722">
        <w:rPr>
          <w:rFonts w:ascii="Times New Roman" w:hAnsi="Times New Roman"/>
          <w:bCs/>
        </w:rPr>
        <w:t>, the ratio</w:t>
      </w:r>
      <w:r>
        <w:rPr>
          <w:rFonts w:ascii="Times New Roman" w:hAnsi="Times New Roman"/>
          <w:bCs/>
        </w:rPr>
        <w:t>nal</w:t>
      </w:r>
      <w:r w:rsidR="00DF4AE4">
        <w:rPr>
          <w:rFonts w:ascii="Times New Roman" w:hAnsi="Times New Roman"/>
          <w:bCs/>
        </w:rPr>
        <w:t>e</w:t>
      </w:r>
      <w:r>
        <w:rPr>
          <w:rFonts w:ascii="Times New Roman" w:hAnsi="Times New Roman"/>
          <w:bCs/>
        </w:rPr>
        <w:t xml:space="preserve"> for their inclusion in the </w:t>
      </w:r>
      <w:r w:rsidR="00D460F8">
        <w:rPr>
          <w:rFonts w:ascii="Times New Roman" w:hAnsi="Times New Roman"/>
          <w:bCs/>
        </w:rPr>
        <w:t>mailout</w:t>
      </w:r>
      <w:r w:rsidRPr="007F6722">
        <w:rPr>
          <w:rFonts w:ascii="Times New Roman" w:hAnsi="Times New Roman"/>
          <w:bCs/>
        </w:rPr>
        <w:t xml:space="preserve"> </w:t>
      </w:r>
      <w:r>
        <w:rPr>
          <w:rFonts w:ascii="Times New Roman" w:hAnsi="Times New Roman"/>
          <w:bCs/>
        </w:rPr>
        <w:t>s</w:t>
      </w:r>
      <w:r w:rsidRPr="007F6722">
        <w:rPr>
          <w:rFonts w:ascii="Times New Roman" w:hAnsi="Times New Roman"/>
          <w:bCs/>
        </w:rPr>
        <w:t>trateg</w:t>
      </w:r>
      <w:r w:rsidR="00D460F8">
        <w:rPr>
          <w:rFonts w:ascii="Times New Roman" w:hAnsi="Times New Roman"/>
          <w:bCs/>
        </w:rPr>
        <w:t>y</w:t>
      </w:r>
      <w:r w:rsidRPr="007F6722">
        <w:rPr>
          <w:rFonts w:ascii="Times New Roman" w:hAnsi="Times New Roman"/>
          <w:bCs/>
        </w:rPr>
        <w:t xml:space="preserve"> </w:t>
      </w:r>
      <w:r>
        <w:rPr>
          <w:rFonts w:ascii="Times New Roman" w:hAnsi="Times New Roman"/>
          <w:bCs/>
        </w:rPr>
        <w:t>e</w:t>
      </w:r>
      <w:r w:rsidRPr="007F6722">
        <w:rPr>
          <w:rFonts w:ascii="Times New Roman" w:hAnsi="Times New Roman"/>
          <w:bCs/>
        </w:rPr>
        <w:t>xperiment, and the research questions we are attempting to answer through this experiment.</w:t>
      </w:r>
      <w:r>
        <w:rPr>
          <w:rFonts w:ascii="Times New Roman" w:hAnsi="Times New Roman"/>
          <w:bCs/>
        </w:rPr>
        <w:t xml:space="preserve">  </w:t>
      </w:r>
    </w:p>
    <w:p w14:paraId="648F458C" w14:textId="77777777" w:rsidR="00057A5C" w:rsidRPr="007F6722" w:rsidRDefault="00057A5C" w:rsidP="00057A5C">
      <w:pPr>
        <w:ind w:left="0"/>
        <w:rPr>
          <w:rFonts w:ascii="Times New Roman" w:hAnsi="Times New Roman"/>
          <w:szCs w:val="24"/>
        </w:rPr>
      </w:pPr>
    </w:p>
    <w:p w14:paraId="3ADCDE74" w14:textId="77777777" w:rsidR="002B3579" w:rsidRPr="00915ECD" w:rsidRDefault="002B3579" w:rsidP="002B3579">
      <w:pPr>
        <w:pStyle w:val="NormalSS"/>
        <w:ind w:firstLine="0"/>
        <w:jc w:val="left"/>
        <w:rPr>
          <w:i/>
          <w:szCs w:val="24"/>
          <w:u w:val="single"/>
        </w:rPr>
      </w:pPr>
      <w:r w:rsidRPr="00915ECD">
        <w:rPr>
          <w:i/>
          <w:szCs w:val="24"/>
          <w:u w:val="single"/>
        </w:rPr>
        <w:t>Designing the Sample Selection for the 2019 NSCG Methodological Experiments</w:t>
      </w:r>
    </w:p>
    <w:p w14:paraId="464ED791" w14:textId="19320538" w:rsidR="002B3579" w:rsidRDefault="002B3579" w:rsidP="002B3579">
      <w:pPr>
        <w:pStyle w:val="NormalSS"/>
        <w:ind w:firstLine="0"/>
        <w:jc w:val="left"/>
        <w:rPr>
          <w:szCs w:val="24"/>
        </w:rPr>
      </w:pPr>
      <w:r>
        <w:rPr>
          <w:szCs w:val="24"/>
        </w:rPr>
        <w:t>Two</w:t>
      </w:r>
      <w:r w:rsidRPr="00804D3C">
        <w:rPr>
          <w:szCs w:val="24"/>
        </w:rPr>
        <w:t xml:space="preserve"> methodolog</w:t>
      </w:r>
      <w:r>
        <w:rPr>
          <w:szCs w:val="24"/>
        </w:rPr>
        <w:t>y</w:t>
      </w:r>
      <w:r w:rsidRPr="00804D3C">
        <w:rPr>
          <w:szCs w:val="24"/>
        </w:rPr>
        <w:t xml:space="preserve"> studies </w:t>
      </w:r>
      <w:r>
        <w:rPr>
          <w:szCs w:val="24"/>
        </w:rPr>
        <w:t xml:space="preserve">are proposed for the </w:t>
      </w:r>
      <w:r w:rsidRPr="00804D3C">
        <w:rPr>
          <w:szCs w:val="24"/>
        </w:rPr>
        <w:t>201</w:t>
      </w:r>
      <w:r>
        <w:rPr>
          <w:szCs w:val="24"/>
        </w:rPr>
        <w:t>9</w:t>
      </w:r>
      <w:r w:rsidRPr="00804D3C">
        <w:rPr>
          <w:szCs w:val="24"/>
        </w:rPr>
        <w:t xml:space="preserve"> NSCG</w:t>
      </w:r>
      <w:r>
        <w:rPr>
          <w:szCs w:val="24"/>
        </w:rPr>
        <w:t xml:space="preserve">: the adaptive design experiment and the </w:t>
      </w:r>
      <w:r w:rsidR="00D460F8">
        <w:rPr>
          <w:szCs w:val="24"/>
        </w:rPr>
        <w:t>mailout</w:t>
      </w:r>
      <w:r>
        <w:rPr>
          <w:szCs w:val="24"/>
        </w:rPr>
        <w:t xml:space="preserve"> strateg</w:t>
      </w:r>
      <w:r w:rsidR="00D460F8">
        <w:rPr>
          <w:szCs w:val="24"/>
        </w:rPr>
        <w:t>y</w:t>
      </w:r>
      <w:r>
        <w:rPr>
          <w:szCs w:val="24"/>
        </w:rPr>
        <w:t xml:space="preserve"> experiment</w:t>
      </w:r>
      <w:r w:rsidRPr="00804D3C">
        <w:rPr>
          <w:szCs w:val="24"/>
        </w:rPr>
        <w:t>.  This section describes the sample selection methodology that will be used to create representative samples</w:t>
      </w:r>
      <w:r>
        <w:rPr>
          <w:szCs w:val="24"/>
        </w:rPr>
        <w:t xml:space="preserve"> </w:t>
      </w:r>
      <w:r w:rsidRPr="00804D3C">
        <w:rPr>
          <w:szCs w:val="24"/>
        </w:rPr>
        <w:t>for each treatment group within</w:t>
      </w:r>
      <w:r>
        <w:rPr>
          <w:szCs w:val="24"/>
        </w:rPr>
        <w:t xml:space="preserve"> the two experiments</w:t>
      </w:r>
      <w:r w:rsidRPr="00804D3C">
        <w:rPr>
          <w:szCs w:val="24"/>
        </w:rPr>
        <w:t xml:space="preserve">.  </w:t>
      </w:r>
      <w:r>
        <w:rPr>
          <w:szCs w:val="24"/>
        </w:rPr>
        <w:t>The eligibility criteria for selection into each of the studies are</w:t>
      </w:r>
      <w:r w:rsidR="00F63E40">
        <w:rPr>
          <w:szCs w:val="24"/>
        </w:rPr>
        <w:t xml:space="preserve"> as follows</w:t>
      </w:r>
      <w:r>
        <w:rPr>
          <w:szCs w:val="24"/>
        </w:rPr>
        <w:t>:</w:t>
      </w:r>
    </w:p>
    <w:p w14:paraId="11B53152" w14:textId="00050482" w:rsidR="002B3579" w:rsidRPr="00F63E40" w:rsidRDefault="002B3579" w:rsidP="00CD0ABF">
      <w:pPr>
        <w:pStyle w:val="NormalSS"/>
        <w:numPr>
          <w:ilvl w:val="0"/>
          <w:numId w:val="38"/>
        </w:numPr>
        <w:spacing w:before="60"/>
        <w:jc w:val="left"/>
        <w:rPr>
          <w:szCs w:val="24"/>
        </w:rPr>
      </w:pPr>
      <w:r w:rsidRPr="00F63E40">
        <w:rPr>
          <w:szCs w:val="24"/>
        </w:rPr>
        <w:t xml:space="preserve">Adaptive </w:t>
      </w:r>
      <w:r w:rsidR="00CD0ABF">
        <w:rPr>
          <w:szCs w:val="24"/>
        </w:rPr>
        <w:t xml:space="preserve">Survey </w:t>
      </w:r>
      <w:r w:rsidRPr="00F63E40">
        <w:rPr>
          <w:szCs w:val="24"/>
        </w:rPr>
        <w:t>Design Experiment</w:t>
      </w:r>
      <w:r w:rsidR="00726909">
        <w:rPr>
          <w:szCs w:val="24"/>
        </w:rPr>
        <w:t xml:space="preserve">:  </w:t>
      </w:r>
      <w:r w:rsidRPr="00F63E40">
        <w:rPr>
          <w:szCs w:val="24"/>
        </w:rPr>
        <w:t>All cases are eligible for selection</w:t>
      </w:r>
    </w:p>
    <w:p w14:paraId="666B2A61" w14:textId="228322E7" w:rsidR="002B3579" w:rsidRPr="00726909" w:rsidRDefault="002A5022" w:rsidP="00CD0ABF">
      <w:pPr>
        <w:pStyle w:val="NormalSS"/>
        <w:numPr>
          <w:ilvl w:val="0"/>
          <w:numId w:val="38"/>
        </w:numPr>
        <w:spacing w:before="60"/>
        <w:jc w:val="left"/>
        <w:rPr>
          <w:szCs w:val="24"/>
        </w:rPr>
      </w:pPr>
      <w:r w:rsidRPr="00726909">
        <w:rPr>
          <w:szCs w:val="24"/>
        </w:rPr>
        <w:t>Mailout</w:t>
      </w:r>
      <w:r w:rsidR="002B3579" w:rsidRPr="00726909">
        <w:rPr>
          <w:szCs w:val="24"/>
        </w:rPr>
        <w:t xml:space="preserve"> Strateg</w:t>
      </w:r>
      <w:r w:rsidRPr="00726909">
        <w:rPr>
          <w:szCs w:val="24"/>
        </w:rPr>
        <w:t>y</w:t>
      </w:r>
      <w:r w:rsidR="002B3579" w:rsidRPr="00726909">
        <w:rPr>
          <w:szCs w:val="24"/>
        </w:rPr>
        <w:t xml:space="preserve"> Experiment</w:t>
      </w:r>
      <w:r w:rsidR="00726909" w:rsidRPr="00726909">
        <w:rPr>
          <w:szCs w:val="24"/>
        </w:rPr>
        <w:t xml:space="preserve">:  </w:t>
      </w:r>
      <w:r w:rsidR="00DC23E1" w:rsidRPr="00726909">
        <w:rPr>
          <w:szCs w:val="24"/>
        </w:rPr>
        <w:t xml:space="preserve">Cases </w:t>
      </w:r>
      <w:r w:rsidR="00DC23E1">
        <w:rPr>
          <w:szCs w:val="24"/>
        </w:rPr>
        <w:t xml:space="preserve">must </w:t>
      </w:r>
      <w:r w:rsidR="00DC23E1" w:rsidRPr="00726909">
        <w:rPr>
          <w:szCs w:val="24"/>
        </w:rPr>
        <w:t xml:space="preserve">not </w:t>
      </w:r>
      <w:r w:rsidR="00DC23E1">
        <w:rPr>
          <w:szCs w:val="24"/>
        </w:rPr>
        <w:t xml:space="preserve">be </w:t>
      </w:r>
      <w:r w:rsidR="00DC23E1" w:rsidRPr="00726909">
        <w:rPr>
          <w:szCs w:val="24"/>
        </w:rPr>
        <w:t xml:space="preserve">selected in the adaptive design </w:t>
      </w:r>
      <w:r w:rsidR="00DC23E1">
        <w:rPr>
          <w:szCs w:val="24"/>
        </w:rPr>
        <w:t>treatment or control group, must have a mailable address, and must not have been sent new mailing materials as part of the 2017 NSCG contact strategies experiment (this last criteri</w:t>
      </w:r>
      <w:r w:rsidR="00C3148B">
        <w:rPr>
          <w:szCs w:val="24"/>
        </w:rPr>
        <w:t>on</w:t>
      </w:r>
      <w:r w:rsidR="00DC23E1">
        <w:rPr>
          <w:szCs w:val="24"/>
        </w:rPr>
        <w:t xml:space="preserve"> applies to 2019 old cohort cases only).</w:t>
      </w:r>
    </w:p>
    <w:p w14:paraId="3845B45D" w14:textId="77777777" w:rsidR="002B3579" w:rsidRDefault="002B3579" w:rsidP="00CD0ABF">
      <w:pPr>
        <w:pStyle w:val="NormalSS"/>
        <w:ind w:firstLine="0"/>
        <w:jc w:val="left"/>
        <w:rPr>
          <w:szCs w:val="24"/>
        </w:rPr>
      </w:pPr>
    </w:p>
    <w:p w14:paraId="6525278E" w14:textId="4EEE8148" w:rsidR="002B3579" w:rsidRDefault="002B3579" w:rsidP="00E42BCC">
      <w:pPr>
        <w:pStyle w:val="NormalSS"/>
        <w:ind w:firstLine="0"/>
        <w:jc w:val="left"/>
        <w:rPr>
          <w:szCs w:val="24"/>
        </w:rPr>
      </w:pPr>
      <w:r w:rsidRPr="004B44A2">
        <w:rPr>
          <w:szCs w:val="24"/>
        </w:rPr>
        <w:t xml:space="preserve">The sample for the adaptive design experiment will be selected independently of the sample selection for the </w:t>
      </w:r>
      <w:r w:rsidR="00D460F8">
        <w:rPr>
          <w:szCs w:val="24"/>
        </w:rPr>
        <w:t>mailout</w:t>
      </w:r>
      <w:r>
        <w:rPr>
          <w:szCs w:val="24"/>
        </w:rPr>
        <w:t xml:space="preserve"> strateg</w:t>
      </w:r>
      <w:r w:rsidR="00D460F8">
        <w:rPr>
          <w:szCs w:val="24"/>
        </w:rPr>
        <w:t>y</w:t>
      </w:r>
      <w:r>
        <w:rPr>
          <w:szCs w:val="24"/>
        </w:rPr>
        <w:t xml:space="preserve"> experiment</w:t>
      </w:r>
      <w:r w:rsidRPr="004B44A2">
        <w:rPr>
          <w:szCs w:val="24"/>
        </w:rPr>
        <w:t>.  Keeping the adaptive design cases sepa</w:t>
      </w:r>
      <w:r>
        <w:rPr>
          <w:szCs w:val="24"/>
        </w:rPr>
        <w:t xml:space="preserve">rate from the other experiment </w:t>
      </w:r>
      <w:r w:rsidRPr="004B44A2">
        <w:rPr>
          <w:szCs w:val="24"/>
        </w:rPr>
        <w:t xml:space="preserve">will allow maximum flexibility in data collection </w:t>
      </w:r>
      <w:r>
        <w:rPr>
          <w:szCs w:val="24"/>
        </w:rPr>
        <w:t>interventions for these cases.  In addition, the sample selection will occur separately for the new sample cases and the returning sample cases.  This separation will allow for separate analysis for these two different sets of potential respondents.  The</w:t>
      </w:r>
      <w:r w:rsidRPr="00804D3C">
        <w:rPr>
          <w:szCs w:val="24"/>
        </w:rPr>
        <w:t xml:space="preserve"> main steps associated with the sample selection for the 201</w:t>
      </w:r>
      <w:r>
        <w:rPr>
          <w:szCs w:val="24"/>
        </w:rPr>
        <w:t xml:space="preserve">9 </w:t>
      </w:r>
      <w:r w:rsidRPr="00804D3C">
        <w:rPr>
          <w:szCs w:val="24"/>
        </w:rPr>
        <w:t>NSCG methodological studies</w:t>
      </w:r>
      <w:r>
        <w:rPr>
          <w:szCs w:val="24"/>
        </w:rPr>
        <w:t xml:space="preserve"> are described below</w:t>
      </w:r>
      <w:r w:rsidRPr="00804D3C">
        <w:rPr>
          <w:szCs w:val="24"/>
        </w:rPr>
        <w:t>.</w:t>
      </w:r>
    </w:p>
    <w:p w14:paraId="5D6B4F45" w14:textId="77777777" w:rsidR="002B3579" w:rsidRPr="00804D3C" w:rsidRDefault="002B3579" w:rsidP="002B3579">
      <w:pPr>
        <w:pStyle w:val="NormalSS"/>
        <w:ind w:firstLine="0"/>
        <w:jc w:val="left"/>
        <w:rPr>
          <w:szCs w:val="24"/>
        </w:rPr>
      </w:pPr>
    </w:p>
    <w:p w14:paraId="78CCFE5A" w14:textId="77777777" w:rsidR="002B3579" w:rsidRPr="00804D3C" w:rsidRDefault="002B3579" w:rsidP="002B3579">
      <w:pPr>
        <w:pStyle w:val="NormalSS"/>
        <w:ind w:firstLine="0"/>
        <w:jc w:val="left"/>
        <w:rPr>
          <w:i/>
          <w:szCs w:val="24"/>
        </w:rPr>
      </w:pPr>
      <w:r w:rsidRPr="00804D3C">
        <w:rPr>
          <w:i/>
          <w:szCs w:val="24"/>
        </w:rPr>
        <w:t>Step 1:  Identification and Use of Sort Variables</w:t>
      </w:r>
    </w:p>
    <w:p w14:paraId="6B46BF4C" w14:textId="77777777" w:rsidR="002B3579" w:rsidRDefault="002B3579" w:rsidP="002B3579">
      <w:pPr>
        <w:pStyle w:val="NormalSS"/>
        <w:ind w:firstLine="0"/>
        <w:jc w:val="left"/>
        <w:rPr>
          <w:szCs w:val="24"/>
        </w:rPr>
      </w:pPr>
      <w:r w:rsidRPr="00804D3C">
        <w:rPr>
          <w:szCs w:val="24"/>
        </w:rPr>
        <w:t xml:space="preserve">Since the samples for the treatment and control groups within the </w:t>
      </w:r>
      <w:r>
        <w:rPr>
          <w:szCs w:val="24"/>
        </w:rPr>
        <w:t xml:space="preserve">methodological studies will be selected </w:t>
      </w:r>
      <w:r w:rsidRPr="00804D3C">
        <w:rPr>
          <w:szCs w:val="24"/>
        </w:rPr>
        <w:t xml:space="preserve">using systematic </w:t>
      </w:r>
      <w:r>
        <w:rPr>
          <w:szCs w:val="24"/>
        </w:rPr>
        <w:t xml:space="preserve">random </w:t>
      </w:r>
      <w:r w:rsidRPr="00804D3C">
        <w:rPr>
          <w:szCs w:val="24"/>
        </w:rPr>
        <w:t xml:space="preserve">sampling, the identification of sort variables and the use of an appropriate sort order is extremely important. </w:t>
      </w:r>
      <w:r>
        <w:rPr>
          <w:szCs w:val="24"/>
        </w:rPr>
        <w:t xml:space="preserve"> Including a particular variable in the sort ensures similar distributions of the levels of that variable across the control and treatment groups.</w:t>
      </w:r>
    </w:p>
    <w:p w14:paraId="1425C983" w14:textId="77777777" w:rsidR="002B3579" w:rsidRDefault="002B3579" w:rsidP="002B3579">
      <w:pPr>
        <w:pStyle w:val="NormalSS"/>
        <w:ind w:firstLine="0"/>
        <w:jc w:val="left"/>
        <w:rPr>
          <w:szCs w:val="24"/>
        </w:rPr>
      </w:pPr>
    </w:p>
    <w:p w14:paraId="08B066A8" w14:textId="77777777" w:rsidR="002B3579" w:rsidRDefault="002B3579" w:rsidP="002B3579">
      <w:pPr>
        <w:pStyle w:val="NormalSS"/>
        <w:ind w:firstLine="0"/>
        <w:jc w:val="left"/>
        <w:rPr>
          <w:szCs w:val="24"/>
        </w:rPr>
      </w:pPr>
      <w:r>
        <w:rPr>
          <w:szCs w:val="24"/>
        </w:rPr>
        <w:t>Incentives are proposed for use in the 2019 NSCG. It has been shown in methodological studies from previous NSCG surveys that incentives are highly influential on response.  An incentive indicator variable will be used as the first sort variable for both methodological studies.  The 2019 NSCG sample design variables are also highly predictive of response and will also be used as sort variables in all studies.  The specific sort variables used for each experiment are:</w:t>
      </w:r>
    </w:p>
    <w:p w14:paraId="40AE4EDA" w14:textId="77777777" w:rsidR="002B3579" w:rsidRDefault="002B3579" w:rsidP="002B3579">
      <w:pPr>
        <w:pStyle w:val="NormalSS"/>
        <w:keepNext/>
        <w:numPr>
          <w:ilvl w:val="0"/>
          <w:numId w:val="39"/>
        </w:numPr>
        <w:jc w:val="left"/>
        <w:rPr>
          <w:szCs w:val="24"/>
        </w:rPr>
      </w:pPr>
      <w:r w:rsidRPr="00584E0A">
        <w:rPr>
          <w:szCs w:val="24"/>
        </w:rPr>
        <w:t>Incentive indicator</w:t>
      </w:r>
    </w:p>
    <w:p w14:paraId="7A13E812" w14:textId="77777777" w:rsidR="002B3579" w:rsidRDefault="002B3579" w:rsidP="002B3579">
      <w:pPr>
        <w:pStyle w:val="NormalSS"/>
        <w:keepNext/>
        <w:numPr>
          <w:ilvl w:val="0"/>
          <w:numId w:val="39"/>
        </w:numPr>
        <w:jc w:val="left"/>
        <w:rPr>
          <w:szCs w:val="24"/>
        </w:rPr>
      </w:pPr>
      <w:r w:rsidRPr="00584E0A">
        <w:rPr>
          <w:szCs w:val="24"/>
        </w:rPr>
        <w:t>201</w:t>
      </w:r>
      <w:r>
        <w:rPr>
          <w:szCs w:val="24"/>
        </w:rPr>
        <w:t>9</w:t>
      </w:r>
      <w:r w:rsidRPr="00584E0A">
        <w:rPr>
          <w:szCs w:val="24"/>
        </w:rPr>
        <w:t xml:space="preserve"> NSCG sampling cell and sort variables</w:t>
      </w:r>
    </w:p>
    <w:p w14:paraId="68BAE370" w14:textId="77777777" w:rsidR="002B3579" w:rsidRPr="00584E0A" w:rsidRDefault="002B3579" w:rsidP="002B3579">
      <w:pPr>
        <w:pStyle w:val="NormalSS"/>
        <w:keepNext/>
        <w:ind w:left="720" w:firstLine="0"/>
        <w:jc w:val="left"/>
        <w:rPr>
          <w:szCs w:val="24"/>
        </w:rPr>
      </w:pPr>
    </w:p>
    <w:p w14:paraId="64B424EA" w14:textId="77777777" w:rsidR="002B3579" w:rsidRDefault="002B3579" w:rsidP="002B3579">
      <w:pPr>
        <w:pStyle w:val="NormalSS"/>
        <w:ind w:firstLine="0"/>
        <w:jc w:val="left"/>
        <w:rPr>
          <w:i/>
          <w:szCs w:val="24"/>
        </w:rPr>
      </w:pPr>
      <w:r>
        <w:rPr>
          <w:i/>
          <w:szCs w:val="24"/>
        </w:rPr>
        <w:t>Step 2:  Select the Samples</w:t>
      </w:r>
    </w:p>
    <w:p w14:paraId="0E2DD9FC" w14:textId="2AE54549" w:rsidR="00C3148B" w:rsidRDefault="00C3148B" w:rsidP="00C3148B">
      <w:pPr>
        <w:pStyle w:val="NormalSS"/>
        <w:ind w:firstLine="0"/>
        <w:jc w:val="left"/>
        <w:rPr>
          <w:color w:val="000000"/>
        </w:rPr>
      </w:pPr>
      <w:r w:rsidRPr="005B787C">
        <w:rPr>
          <w:color w:val="000000"/>
        </w:rPr>
        <w:t>For the new sample adaptive design experiment, a systematic random sample of approximately 8,000 cases will be selected to the treatment group</w:t>
      </w:r>
      <w:r>
        <w:rPr>
          <w:color w:val="000000"/>
        </w:rPr>
        <w:t xml:space="preserve"> and 8,000 cases will be selected to the control group</w:t>
      </w:r>
      <w:r w:rsidRPr="005B787C">
        <w:rPr>
          <w:color w:val="000000"/>
        </w:rPr>
        <w:t xml:space="preserve">.  For the new sample </w:t>
      </w:r>
      <w:r>
        <w:rPr>
          <w:color w:val="000000"/>
        </w:rPr>
        <w:t>mailout</w:t>
      </w:r>
      <w:r w:rsidRPr="005B787C">
        <w:rPr>
          <w:color w:val="000000"/>
        </w:rPr>
        <w:t xml:space="preserve"> strateg</w:t>
      </w:r>
      <w:r>
        <w:rPr>
          <w:color w:val="000000"/>
        </w:rPr>
        <w:t>y</w:t>
      </w:r>
      <w:r w:rsidRPr="005B787C">
        <w:rPr>
          <w:color w:val="000000"/>
        </w:rPr>
        <w:t xml:space="preserve"> experiment, </w:t>
      </w:r>
      <w:r>
        <w:rPr>
          <w:color w:val="000000"/>
        </w:rPr>
        <w:t xml:space="preserve">the sample will be subset to the eligible population (see above for eligibility criteria) and </w:t>
      </w:r>
      <w:r w:rsidRPr="005B787C">
        <w:rPr>
          <w:color w:val="000000"/>
        </w:rPr>
        <w:t xml:space="preserve">a systematic random sample of approximately </w:t>
      </w:r>
      <w:r w:rsidR="00143F5E">
        <w:rPr>
          <w:color w:val="000000"/>
        </w:rPr>
        <w:t>6</w:t>
      </w:r>
      <w:r w:rsidRPr="005B787C">
        <w:rPr>
          <w:color w:val="000000"/>
        </w:rPr>
        <w:t>,</w:t>
      </w:r>
      <w:r>
        <w:rPr>
          <w:color w:val="000000"/>
        </w:rPr>
        <w:t>875</w:t>
      </w:r>
      <w:r w:rsidRPr="005B787C">
        <w:rPr>
          <w:color w:val="000000"/>
        </w:rPr>
        <w:t xml:space="preserve"> cases will be selected in each </w:t>
      </w:r>
      <w:r w:rsidRPr="00607387">
        <w:rPr>
          <w:color w:val="000000"/>
        </w:rPr>
        <w:t xml:space="preserve">of </w:t>
      </w:r>
      <w:r w:rsidR="00143F5E" w:rsidRPr="00607387">
        <w:rPr>
          <w:color w:val="000000"/>
        </w:rPr>
        <w:t>three</w:t>
      </w:r>
      <w:r w:rsidRPr="00607387">
        <w:rPr>
          <w:color w:val="000000"/>
        </w:rPr>
        <w:t xml:space="preserve"> treatment</w:t>
      </w:r>
      <w:r w:rsidRPr="005B787C">
        <w:rPr>
          <w:color w:val="000000"/>
        </w:rPr>
        <w:t xml:space="preserve"> groups.  All eligible </w:t>
      </w:r>
      <w:r>
        <w:rPr>
          <w:color w:val="000000"/>
        </w:rPr>
        <w:t xml:space="preserve">new sample </w:t>
      </w:r>
      <w:r w:rsidRPr="005B787C">
        <w:rPr>
          <w:color w:val="000000"/>
        </w:rPr>
        <w:t xml:space="preserve">cases not selected into the adaptive design </w:t>
      </w:r>
      <w:r>
        <w:rPr>
          <w:color w:val="000000"/>
        </w:rPr>
        <w:t xml:space="preserve">treatment, adaptive design control, </w:t>
      </w:r>
      <w:r w:rsidRPr="005B787C">
        <w:rPr>
          <w:color w:val="000000"/>
        </w:rPr>
        <w:t xml:space="preserve">or </w:t>
      </w:r>
      <w:r>
        <w:rPr>
          <w:color w:val="000000"/>
        </w:rPr>
        <w:t>mailout</w:t>
      </w:r>
      <w:r w:rsidRPr="005B787C">
        <w:rPr>
          <w:color w:val="000000"/>
        </w:rPr>
        <w:t xml:space="preserve"> strateg</w:t>
      </w:r>
      <w:r>
        <w:rPr>
          <w:color w:val="000000"/>
        </w:rPr>
        <w:t>y</w:t>
      </w:r>
      <w:r w:rsidRPr="005B787C">
        <w:rPr>
          <w:color w:val="000000"/>
        </w:rPr>
        <w:t xml:space="preserve"> treatment groups will be assigned to th</w:t>
      </w:r>
      <w:r>
        <w:rPr>
          <w:color w:val="000000"/>
        </w:rPr>
        <w:t>e mailout strateg</w:t>
      </w:r>
      <w:r w:rsidR="0006203E">
        <w:rPr>
          <w:color w:val="000000"/>
        </w:rPr>
        <w:t>y control group (approximately 28,</w:t>
      </w:r>
      <w:r w:rsidRPr="005B787C">
        <w:rPr>
          <w:color w:val="000000"/>
        </w:rPr>
        <w:t>000 cases).</w:t>
      </w:r>
    </w:p>
    <w:p w14:paraId="6DF90E0E" w14:textId="24167FB4" w:rsidR="002B3579" w:rsidRDefault="002B3579" w:rsidP="002B3579">
      <w:pPr>
        <w:pStyle w:val="NormalSS"/>
        <w:ind w:firstLine="0"/>
        <w:jc w:val="left"/>
        <w:rPr>
          <w:color w:val="000000"/>
        </w:rPr>
      </w:pPr>
    </w:p>
    <w:p w14:paraId="79B089D9" w14:textId="16934734" w:rsidR="00C3148B" w:rsidRPr="005B787C" w:rsidRDefault="00C3148B" w:rsidP="00C3148B">
      <w:pPr>
        <w:pStyle w:val="NormalSS"/>
        <w:ind w:firstLine="0"/>
        <w:jc w:val="left"/>
        <w:rPr>
          <w:i/>
          <w:szCs w:val="24"/>
        </w:rPr>
      </w:pPr>
      <w:r w:rsidRPr="005B787C">
        <w:rPr>
          <w:color w:val="000000"/>
        </w:rPr>
        <w:t>For the returning sample adaptive design experiment, a systematic random sample of approximately 10,000 cases will be selected to the treatment group</w:t>
      </w:r>
      <w:r>
        <w:rPr>
          <w:color w:val="000000"/>
        </w:rPr>
        <w:t xml:space="preserve"> and 10,000 cases will be selected to the control group</w:t>
      </w:r>
      <w:r w:rsidRPr="005B787C">
        <w:rPr>
          <w:color w:val="000000"/>
        </w:rPr>
        <w:t xml:space="preserve">.  For the returning sample </w:t>
      </w:r>
      <w:r>
        <w:rPr>
          <w:color w:val="000000"/>
        </w:rPr>
        <w:t>mailout</w:t>
      </w:r>
      <w:r w:rsidRPr="005B787C">
        <w:rPr>
          <w:color w:val="000000"/>
        </w:rPr>
        <w:t xml:space="preserve"> strateg</w:t>
      </w:r>
      <w:r>
        <w:rPr>
          <w:color w:val="000000"/>
        </w:rPr>
        <w:t>y</w:t>
      </w:r>
      <w:r w:rsidRPr="005B787C">
        <w:rPr>
          <w:color w:val="000000"/>
        </w:rPr>
        <w:t xml:space="preserve"> experiment, </w:t>
      </w:r>
      <w:r>
        <w:rPr>
          <w:color w:val="000000"/>
        </w:rPr>
        <w:t>the sample will be subset to the eligible population (see above for eligibility criteria) and</w:t>
      </w:r>
      <w:r w:rsidRPr="005B787C">
        <w:rPr>
          <w:color w:val="000000"/>
        </w:rPr>
        <w:t xml:space="preserve"> a systematic random sample of approximately </w:t>
      </w:r>
      <w:r w:rsidR="00143F5E">
        <w:rPr>
          <w:color w:val="000000"/>
        </w:rPr>
        <w:t>6</w:t>
      </w:r>
      <w:r>
        <w:rPr>
          <w:color w:val="000000"/>
        </w:rPr>
        <w:t>,</w:t>
      </w:r>
      <w:r w:rsidR="00143F5E">
        <w:rPr>
          <w:color w:val="000000"/>
        </w:rPr>
        <w:t>29</w:t>
      </w:r>
      <w:r w:rsidR="0006203E">
        <w:rPr>
          <w:color w:val="000000"/>
        </w:rPr>
        <w:t>2</w:t>
      </w:r>
      <w:r w:rsidRPr="005B787C">
        <w:rPr>
          <w:color w:val="000000"/>
        </w:rPr>
        <w:t xml:space="preserve"> cases will be selected into </w:t>
      </w:r>
      <w:r w:rsidRPr="0006203E">
        <w:rPr>
          <w:color w:val="000000"/>
        </w:rPr>
        <w:t xml:space="preserve">each of </w:t>
      </w:r>
      <w:r w:rsidR="00143F5E" w:rsidRPr="0006203E">
        <w:rPr>
          <w:color w:val="000000"/>
        </w:rPr>
        <w:t>three</w:t>
      </w:r>
      <w:r w:rsidRPr="0006203E">
        <w:rPr>
          <w:color w:val="000000"/>
        </w:rPr>
        <w:t xml:space="preserve"> treatment</w:t>
      </w:r>
      <w:r w:rsidRPr="005B787C">
        <w:rPr>
          <w:color w:val="000000"/>
        </w:rPr>
        <w:t xml:space="preserve"> groups.  All eligible </w:t>
      </w:r>
      <w:r>
        <w:rPr>
          <w:color w:val="000000"/>
        </w:rPr>
        <w:t xml:space="preserve">returning sample cases not selected </w:t>
      </w:r>
      <w:r w:rsidRPr="005B787C">
        <w:rPr>
          <w:color w:val="000000"/>
        </w:rPr>
        <w:t xml:space="preserve">into the adaptive design </w:t>
      </w:r>
      <w:r>
        <w:rPr>
          <w:color w:val="000000"/>
        </w:rPr>
        <w:t xml:space="preserve">treatment, adaptive design control, </w:t>
      </w:r>
      <w:r w:rsidRPr="005B787C">
        <w:rPr>
          <w:color w:val="000000"/>
        </w:rPr>
        <w:t xml:space="preserve">or </w:t>
      </w:r>
      <w:r>
        <w:rPr>
          <w:color w:val="000000"/>
        </w:rPr>
        <w:t>mailout</w:t>
      </w:r>
      <w:r w:rsidRPr="005B787C">
        <w:rPr>
          <w:color w:val="000000"/>
        </w:rPr>
        <w:t xml:space="preserve"> strateg</w:t>
      </w:r>
      <w:r>
        <w:rPr>
          <w:color w:val="000000"/>
        </w:rPr>
        <w:t>y</w:t>
      </w:r>
      <w:r w:rsidRPr="005B787C">
        <w:rPr>
          <w:color w:val="000000"/>
        </w:rPr>
        <w:t xml:space="preserve"> treatment groups will be assigned to the </w:t>
      </w:r>
      <w:r>
        <w:rPr>
          <w:color w:val="000000"/>
        </w:rPr>
        <w:t xml:space="preserve">mailout strategy </w:t>
      </w:r>
      <w:r w:rsidRPr="005B787C">
        <w:rPr>
          <w:color w:val="000000"/>
        </w:rPr>
        <w:t xml:space="preserve">control group (approximately </w:t>
      </w:r>
      <w:r>
        <w:rPr>
          <w:color w:val="000000"/>
        </w:rPr>
        <w:t>30</w:t>
      </w:r>
      <w:r w:rsidRPr="005B787C">
        <w:rPr>
          <w:color w:val="000000"/>
        </w:rPr>
        <w:t>,</w:t>
      </w:r>
      <w:r w:rsidR="0006203E">
        <w:rPr>
          <w:color w:val="000000"/>
        </w:rPr>
        <w:t>0</w:t>
      </w:r>
      <w:r w:rsidRPr="005B787C">
        <w:rPr>
          <w:color w:val="000000"/>
        </w:rPr>
        <w:t>00 cases).</w:t>
      </w:r>
    </w:p>
    <w:p w14:paraId="598536DF" w14:textId="28FF41EF" w:rsidR="002B3579" w:rsidRDefault="002B3579" w:rsidP="002B3579">
      <w:pPr>
        <w:pStyle w:val="NormalSS"/>
        <w:tabs>
          <w:tab w:val="clear" w:pos="432"/>
          <w:tab w:val="left" w:pos="0"/>
        </w:tabs>
        <w:ind w:firstLine="0"/>
        <w:jc w:val="left"/>
        <w:rPr>
          <w:szCs w:val="24"/>
        </w:rPr>
      </w:pPr>
    </w:p>
    <w:p w14:paraId="6696DEA7" w14:textId="6D9CA358" w:rsidR="002B3579" w:rsidRPr="00915ECD" w:rsidRDefault="002B3579" w:rsidP="002B3579">
      <w:pPr>
        <w:pStyle w:val="NormalSS"/>
        <w:tabs>
          <w:tab w:val="clear" w:pos="432"/>
          <w:tab w:val="left" w:pos="0"/>
        </w:tabs>
        <w:ind w:firstLine="0"/>
        <w:jc w:val="left"/>
        <w:rPr>
          <w:i/>
          <w:szCs w:val="24"/>
        </w:rPr>
      </w:pPr>
      <w:r w:rsidRPr="00915ECD">
        <w:rPr>
          <w:i/>
          <w:szCs w:val="24"/>
          <w:u w:val="single"/>
        </w:rPr>
        <w:t>Minimum Detectable Differences for the 201</w:t>
      </w:r>
      <w:r w:rsidR="006E21F7" w:rsidRPr="00915ECD">
        <w:rPr>
          <w:i/>
          <w:szCs w:val="24"/>
          <w:u w:val="single"/>
        </w:rPr>
        <w:t>9</w:t>
      </w:r>
      <w:r w:rsidRPr="00915ECD">
        <w:rPr>
          <w:i/>
          <w:szCs w:val="24"/>
          <w:u w:val="single"/>
        </w:rPr>
        <w:t xml:space="preserve"> NSCG Methodological Experiments</w:t>
      </w:r>
    </w:p>
    <w:p w14:paraId="44E89E1C" w14:textId="5234C3EB" w:rsidR="002B3579" w:rsidRDefault="00BB5D9B" w:rsidP="002B3579">
      <w:pPr>
        <w:ind w:left="0"/>
        <w:rPr>
          <w:rFonts w:ascii="Times New Roman" w:hAnsi="Times New Roman"/>
          <w:szCs w:val="24"/>
        </w:rPr>
      </w:pPr>
      <w:r w:rsidRPr="007F6722">
        <w:rPr>
          <w:szCs w:val="24"/>
        </w:rPr>
        <w:t>Appendix J</w:t>
      </w:r>
      <w:r w:rsidRPr="00E45CCB">
        <w:rPr>
          <w:szCs w:val="24"/>
        </w:rPr>
        <w:t xml:space="preserve"> provides information on the minimum detectible differences achieved by the sample sizes</w:t>
      </w:r>
      <w:r>
        <w:rPr>
          <w:szCs w:val="24"/>
        </w:rPr>
        <w:t xml:space="preserve"> </w:t>
      </w:r>
      <w:r>
        <w:rPr>
          <w:rFonts w:ascii="Times New Roman" w:hAnsi="Times New Roman"/>
          <w:szCs w:val="24"/>
        </w:rPr>
        <w:t>associated with the 2019 NSCG methodological experiments.</w:t>
      </w:r>
    </w:p>
    <w:p w14:paraId="2B06722A" w14:textId="77777777" w:rsidR="002B3579" w:rsidRDefault="002B3579" w:rsidP="002B3579">
      <w:pPr>
        <w:ind w:left="0"/>
        <w:rPr>
          <w:rFonts w:ascii="Times New Roman" w:hAnsi="Times New Roman"/>
          <w:szCs w:val="24"/>
        </w:rPr>
      </w:pPr>
    </w:p>
    <w:p w14:paraId="31566E81" w14:textId="77777777" w:rsidR="002B3579" w:rsidRPr="00915ECD" w:rsidRDefault="002B3579" w:rsidP="002B3579">
      <w:pPr>
        <w:pStyle w:val="NormalSS"/>
        <w:ind w:firstLine="0"/>
        <w:jc w:val="left"/>
        <w:rPr>
          <w:i/>
          <w:szCs w:val="24"/>
          <w:u w:val="single"/>
        </w:rPr>
      </w:pPr>
      <w:r w:rsidRPr="00915ECD">
        <w:rPr>
          <w:i/>
          <w:szCs w:val="24"/>
          <w:u w:val="single"/>
        </w:rPr>
        <w:t>Analysis of Methodological Experiments</w:t>
      </w:r>
    </w:p>
    <w:p w14:paraId="5BDA1C02" w14:textId="77777777" w:rsidR="002B3579" w:rsidRDefault="002B3579" w:rsidP="002B3579">
      <w:pPr>
        <w:ind w:left="0"/>
        <w:rPr>
          <w:rFonts w:ascii="Times New Roman" w:hAnsi="Times New Roman"/>
        </w:rPr>
      </w:pPr>
      <w:r>
        <w:rPr>
          <w:rFonts w:ascii="Times New Roman" w:hAnsi="Times New Roman"/>
        </w:rPr>
        <w:t>In addition to the analysis discussed in the sections describing the experiments, we</w:t>
      </w:r>
      <w:r w:rsidRPr="008B68CD">
        <w:rPr>
          <w:rFonts w:ascii="Times New Roman" w:hAnsi="Times New Roman"/>
        </w:rPr>
        <w:t xml:space="preserve"> will </w:t>
      </w:r>
      <w:r>
        <w:rPr>
          <w:rFonts w:ascii="Times New Roman" w:hAnsi="Times New Roman"/>
        </w:rPr>
        <w:t xml:space="preserve">calculate </w:t>
      </w:r>
      <w:r w:rsidRPr="008B68CD">
        <w:rPr>
          <w:rFonts w:ascii="Times New Roman" w:hAnsi="Times New Roman"/>
        </w:rPr>
        <w:t>several metrics to evaluate the effects of the methodological interventions and will compare the metrics between the control group and treatment groups.  We will evaluate:</w:t>
      </w:r>
    </w:p>
    <w:p w14:paraId="6F9846E2" w14:textId="77777777" w:rsidR="002B3579" w:rsidRPr="00CD0ABF" w:rsidRDefault="002B3579" w:rsidP="00CD0ABF">
      <w:pPr>
        <w:pStyle w:val="ListParagraph"/>
        <w:numPr>
          <w:ilvl w:val="0"/>
          <w:numId w:val="61"/>
        </w:numPr>
        <w:spacing w:before="60"/>
        <w:contextualSpacing w:val="0"/>
        <w:rPr>
          <w:rFonts w:ascii="Times New Roman" w:hAnsi="Times New Roman"/>
        </w:rPr>
      </w:pPr>
      <w:r w:rsidRPr="00CD0ABF">
        <w:rPr>
          <w:rFonts w:ascii="Times New Roman" w:hAnsi="Times New Roman"/>
        </w:rPr>
        <w:t>response rates (overall and by subgroup);</w:t>
      </w:r>
    </w:p>
    <w:p w14:paraId="3FE43B98" w14:textId="77777777" w:rsidR="002B3579" w:rsidRPr="00CD0ABF" w:rsidRDefault="002B3579" w:rsidP="00CD0ABF">
      <w:pPr>
        <w:pStyle w:val="ListParagraph"/>
        <w:numPr>
          <w:ilvl w:val="0"/>
          <w:numId w:val="61"/>
        </w:numPr>
        <w:spacing w:before="60"/>
        <w:contextualSpacing w:val="0"/>
        <w:rPr>
          <w:rFonts w:ascii="Times New Roman" w:hAnsi="Times New Roman"/>
        </w:rPr>
      </w:pPr>
      <w:r w:rsidRPr="00CD0ABF">
        <w:rPr>
          <w:rFonts w:ascii="Times New Roman" w:hAnsi="Times New Roman"/>
        </w:rPr>
        <w:t>R-indicators (overall R-indicators, variable-level partial R-indicators, and category-level partial R-indicators);</w:t>
      </w:r>
    </w:p>
    <w:p w14:paraId="31CF1AD9" w14:textId="77777777" w:rsidR="002B3579" w:rsidRPr="00CD0ABF" w:rsidRDefault="002B3579" w:rsidP="00CD0ABF">
      <w:pPr>
        <w:pStyle w:val="ListParagraph"/>
        <w:keepNext/>
        <w:numPr>
          <w:ilvl w:val="0"/>
          <w:numId w:val="61"/>
        </w:numPr>
        <w:spacing w:before="60"/>
        <w:contextualSpacing w:val="0"/>
        <w:rPr>
          <w:rFonts w:ascii="Times New Roman" w:hAnsi="Times New Roman"/>
        </w:rPr>
      </w:pPr>
      <w:r w:rsidRPr="00CD0ABF">
        <w:rPr>
          <w:rFonts w:ascii="Times New Roman" w:hAnsi="Times New Roman"/>
        </w:rPr>
        <w:t xml:space="preserve">mean square error (MSE) effect on key estimates; and </w:t>
      </w:r>
    </w:p>
    <w:p w14:paraId="7145CE7F" w14:textId="77777777" w:rsidR="002B3579" w:rsidRPr="00CD0ABF" w:rsidRDefault="002B3579" w:rsidP="00CD0ABF">
      <w:pPr>
        <w:pStyle w:val="ListParagraph"/>
        <w:keepNext/>
        <w:numPr>
          <w:ilvl w:val="0"/>
          <w:numId w:val="61"/>
        </w:numPr>
        <w:spacing w:before="60"/>
        <w:contextualSpacing w:val="0"/>
        <w:rPr>
          <w:rFonts w:ascii="Times New Roman" w:hAnsi="Times New Roman"/>
        </w:rPr>
      </w:pPr>
      <w:r w:rsidRPr="00CD0ABF">
        <w:rPr>
          <w:rFonts w:ascii="Times New Roman" w:hAnsi="Times New Roman"/>
        </w:rPr>
        <w:t>cost per sample case/cost per complete interview (overall and by subgroup).</w:t>
      </w:r>
    </w:p>
    <w:p w14:paraId="1E0FCBE9" w14:textId="77777777" w:rsidR="002B3579" w:rsidRDefault="002B3579" w:rsidP="002B3579">
      <w:pPr>
        <w:ind w:left="0"/>
        <w:rPr>
          <w:rFonts w:ascii="Times New Roman" w:hAnsi="Times New Roman"/>
        </w:rPr>
      </w:pPr>
    </w:p>
    <w:p w14:paraId="5F0E612A" w14:textId="77777777" w:rsidR="002B3579" w:rsidRDefault="002B3579" w:rsidP="002B3579">
      <w:pPr>
        <w:ind w:left="0"/>
        <w:rPr>
          <w:rFonts w:ascii="Times New Roman" w:hAnsi="Times New Roman"/>
        </w:rPr>
      </w:pPr>
      <w:r w:rsidRPr="008B68CD">
        <w:rPr>
          <w:rFonts w:ascii="Times New Roman" w:hAnsi="Times New Roman"/>
        </w:rPr>
        <w:t>The subgroups that will be broken out are the ones that primarily drive differences in response rates and include: age group, race/ethnicity, highest degree, and hard-to-</w:t>
      </w:r>
      <w:r>
        <w:rPr>
          <w:rFonts w:ascii="Times New Roman" w:hAnsi="Times New Roman"/>
        </w:rPr>
        <w:t xml:space="preserve">enumerate. </w:t>
      </w:r>
    </w:p>
    <w:p w14:paraId="08BBE1A0" w14:textId="77777777" w:rsidR="00C16225" w:rsidRPr="008B68CD" w:rsidRDefault="00C16225" w:rsidP="00CF0B6B">
      <w:pPr>
        <w:ind w:left="0"/>
        <w:rPr>
          <w:rFonts w:ascii="Times New Roman" w:hAnsi="Times New Roman"/>
        </w:rPr>
      </w:pPr>
    </w:p>
    <w:p w14:paraId="2ACB5ED7" w14:textId="77777777" w:rsidR="00F1658B" w:rsidRPr="008B68CD" w:rsidRDefault="00F1658B" w:rsidP="008B68CD">
      <w:pPr>
        <w:ind w:left="0"/>
        <w:rPr>
          <w:rFonts w:ascii="Times New Roman" w:hAnsi="Times New Roman"/>
        </w:rPr>
      </w:pPr>
    </w:p>
    <w:p w14:paraId="57021BEC" w14:textId="77777777" w:rsidR="00B776D7" w:rsidRPr="00DB68FB" w:rsidRDefault="00B776D7" w:rsidP="00AC278D">
      <w:pPr>
        <w:pStyle w:val="Heading2"/>
        <w:numPr>
          <w:ilvl w:val="0"/>
          <w:numId w:val="4"/>
        </w:numPr>
        <w:tabs>
          <w:tab w:val="clear" w:pos="0"/>
          <w:tab w:val="clear" w:pos="1440"/>
          <w:tab w:val="num" w:pos="720"/>
          <w:tab w:val="left" w:pos="2520"/>
        </w:tabs>
        <w:spacing w:before="0" w:after="0"/>
        <w:ind w:hanging="1440"/>
        <w:rPr>
          <w:szCs w:val="24"/>
        </w:rPr>
      </w:pPr>
      <w:bookmarkStart w:id="28" w:name="_Toc257283600"/>
      <w:bookmarkStart w:id="29" w:name="_Toc536767278"/>
      <w:r w:rsidRPr="00DB68FB">
        <w:rPr>
          <w:szCs w:val="24"/>
        </w:rPr>
        <w:t>CONTACTS FOR STATISTICAL ASPECTS OF DATA COLLECTION</w:t>
      </w:r>
      <w:bookmarkEnd w:id="26"/>
      <w:bookmarkEnd w:id="27"/>
      <w:bookmarkEnd w:id="28"/>
      <w:bookmarkEnd w:id="29"/>
    </w:p>
    <w:p w14:paraId="06F600F5" w14:textId="77777777" w:rsidR="00B776D7" w:rsidRPr="00DB68FB" w:rsidRDefault="00B776D7" w:rsidP="001D1174">
      <w:pPr>
        <w:pStyle w:val="NormalSS"/>
      </w:pPr>
    </w:p>
    <w:p w14:paraId="268F70C7" w14:textId="37D936B2" w:rsidR="00E95CA6" w:rsidRDefault="00B776D7" w:rsidP="007F6117">
      <w:pPr>
        <w:pStyle w:val="NormalSS"/>
        <w:ind w:firstLine="0"/>
      </w:pPr>
      <w:r w:rsidRPr="00DB68FB">
        <w:t xml:space="preserve">Chief consultant on statistical aspects of data collection </w:t>
      </w:r>
      <w:r w:rsidR="00354BF8">
        <w:t xml:space="preserve">at the Census Bureau </w:t>
      </w:r>
      <w:r w:rsidRPr="00DB68FB">
        <w:t xml:space="preserve">is </w:t>
      </w:r>
      <w:r w:rsidR="00027D48">
        <w:t>Stephen Simoncini</w:t>
      </w:r>
      <w:r w:rsidR="00354BF8">
        <w:t xml:space="preserve">, </w:t>
      </w:r>
      <w:r w:rsidR="000F53EB">
        <w:t>NSCG Survey Director</w:t>
      </w:r>
      <w:r w:rsidR="00AB7EA0">
        <w:t xml:space="preserve"> </w:t>
      </w:r>
      <w:r w:rsidR="00027D48">
        <w:t>(301) 763-4816</w:t>
      </w:r>
      <w:r w:rsidR="00354BF8">
        <w:t xml:space="preserve">.  </w:t>
      </w:r>
      <w:r w:rsidRPr="00DB68FB">
        <w:t>The Demographic St</w:t>
      </w:r>
      <w:r w:rsidR="00354BF8">
        <w:t xml:space="preserve">atistical Methods Division will </w:t>
      </w:r>
      <w:r w:rsidRPr="00DB68FB">
        <w:t>manage all sample selection operation</w:t>
      </w:r>
      <w:r w:rsidR="00354BF8">
        <w:t xml:space="preserve">s at the Census Bureau.  </w:t>
      </w:r>
    </w:p>
    <w:p w14:paraId="67E6377D" w14:textId="77777777" w:rsidR="00E95CA6" w:rsidRDefault="00E95CA6" w:rsidP="007F6117">
      <w:pPr>
        <w:pStyle w:val="NormalSS"/>
        <w:ind w:firstLine="0"/>
      </w:pPr>
    </w:p>
    <w:p w14:paraId="4AF6E823" w14:textId="2D073B45" w:rsidR="00AB7EA0" w:rsidRDefault="00354BF8" w:rsidP="00932851">
      <w:pPr>
        <w:pStyle w:val="NormalSS"/>
        <w:ind w:firstLine="0"/>
        <w:rPr>
          <w:b/>
          <w:sz w:val="48"/>
          <w:szCs w:val="48"/>
        </w:rPr>
      </w:pPr>
      <w:r>
        <w:t xml:space="preserve">At </w:t>
      </w:r>
      <w:r w:rsidR="00B20F74">
        <w:t>NCSES</w:t>
      </w:r>
      <w:r>
        <w:t xml:space="preserve">, </w:t>
      </w:r>
      <w:r w:rsidR="00B776D7" w:rsidRPr="00DB68FB">
        <w:t xml:space="preserve">the contacts for statistical aspects of data collection are </w:t>
      </w:r>
      <w:r w:rsidR="00027D48">
        <w:t>Samson Adeshiyan</w:t>
      </w:r>
      <w:r w:rsidR="00B776D7" w:rsidRPr="00DB68FB">
        <w:t xml:space="preserve">, </w:t>
      </w:r>
      <w:r w:rsidR="00A62A78" w:rsidRPr="00DB68FB">
        <w:t>NCSES</w:t>
      </w:r>
      <w:r>
        <w:t xml:space="preserve"> Chief Statistician </w:t>
      </w:r>
      <w:r w:rsidR="00B776D7" w:rsidRPr="00DB68FB">
        <w:t>(703) 292-</w:t>
      </w:r>
      <w:r w:rsidR="00027D48">
        <w:t>7769</w:t>
      </w:r>
      <w:r w:rsidR="00B776D7" w:rsidRPr="00DB68FB">
        <w:t xml:space="preserve">, and </w:t>
      </w:r>
      <w:r w:rsidR="009625C0">
        <w:t>Lynn Milan</w:t>
      </w:r>
      <w:r w:rsidR="000F53EB">
        <w:t>, NSCG Project Officer</w:t>
      </w:r>
      <w:r>
        <w:t xml:space="preserve"> </w:t>
      </w:r>
      <w:r w:rsidR="00B776D7" w:rsidRPr="00DB68FB">
        <w:t>(703) 292-</w:t>
      </w:r>
      <w:r w:rsidR="009625C0">
        <w:t>2275</w:t>
      </w:r>
      <w:r w:rsidR="00B776D7" w:rsidRPr="00DB68FB">
        <w:t>.</w:t>
      </w:r>
    </w:p>
    <w:sectPr w:rsidR="00AB7EA0" w:rsidSect="001125BA">
      <w:headerReference w:type="default" r:id="rId13"/>
      <w:footerReference w:type="default" r:id="rId14"/>
      <w:pgSz w:w="12240" w:h="15840" w:code="1"/>
      <w:pgMar w:top="1152" w:right="1296" w:bottom="864" w:left="1296" w:header="0" w:footer="288"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75326" w14:textId="77777777" w:rsidR="002E13C8" w:rsidRDefault="002E13C8">
      <w:r>
        <w:separator/>
      </w:r>
    </w:p>
  </w:endnote>
  <w:endnote w:type="continuationSeparator" w:id="0">
    <w:p w14:paraId="5AB3E187" w14:textId="77777777" w:rsidR="002E13C8" w:rsidRDefault="002E1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5BFDA" w14:textId="77777777" w:rsidR="00D23B3D" w:rsidRDefault="00D23B3D" w:rsidP="001F0AC8">
    <w:pPr>
      <w:pStyle w:val="Footer"/>
      <w:ind w:left="0"/>
      <w:jc w:val="center"/>
    </w:pPr>
  </w:p>
  <w:p w14:paraId="543DE303" w14:textId="77777777" w:rsidR="00D23B3D" w:rsidRDefault="00D23B3D">
    <w:pPr>
      <w:ind w:left="0"/>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02569"/>
      <w:docPartObj>
        <w:docPartGallery w:val="Page Numbers (Bottom of Page)"/>
        <w:docPartUnique/>
      </w:docPartObj>
    </w:sdtPr>
    <w:sdtEndPr>
      <w:rPr>
        <w:noProof/>
      </w:rPr>
    </w:sdtEndPr>
    <w:sdtContent>
      <w:p w14:paraId="7CFFD607" w14:textId="367B4107" w:rsidR="002D6D49" w:rsidRDefault="002D6D49" w:rsidP="00D3124E">
        <w:pPr>
          <w:pStyle w:val="Footer"/>
          <w:ind w:left="0"/>
          <w:jc w:val="center"/>
        </w:pPr>
        <w:r>
          <w:fldChar w:fldCharType="begin"/>
        </w:r>
        <w:r>
          <w:instrText xml:space="preserve"> PAGE   \* MERGEFORMAT </w:instrText>
        </w:r>
        <w:r>
          <w:fldChar w:fldCharType="separate"/>
        </w:r>
        <w:r>
          <w:rPr>
            <w:noProof/>
          </w:rPr>
          <w:t>2</w:t>
        </w:r>
        <w:r>
          <w:rPr>
            <w:noProof/>
          </w:rPr>
          <w:fldChar w:fldCharType="end"/>
        </w:r>
      </w:p>
    </w:sdtContent>
  </w:sdt>
  <w:p w14:paraId="5AE75C3B" w14:textId="77777777" w:rsidR="002D6D49" w:rsidRDefault="002D6D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580325"/>
      <w:docPartObj>
        <w:docPartGallery w:val="Page Numbers (Bottom of Page)"/>
        <w:docPartUnique/>
      </w:docPartObj>
    </w:sdtPr>
    <w:sdtEndPr>
      <w:rPr>
        <w:noProof/>
      </w:rPr>
    </w:sdtEndPr>
    <w:sdtContent>
      <w:p w14:paraId="056E867B" w14:textId="30E89D56" w:rsidR="00D23B3D" w:rsidRDefault="00D23B3D" w:rsidP="0043651B">
        <w:pPr>
          <w:pStyle w:val="Footer"/>
          <w:ind w:left="0"/>
          <w:jc w:val="center"/>
        </w:pPr>
        <w:r>
          <w:fldChar w:fldCharType="begin"/>
        </w:r>
        <w:r>
          <w:instrText xml:space="preserve"> PAGE   \* MERGEFORMAT </w:instrText>
        </w:r>
        <w:r>
          <w:fldChar w:fldCharType="separate"/>
        </w:r>
        <w:r>
          <w:rPr>
            <w:noProof/>
          </w:rPr>
          <w:t>6</w:t>
        </w:r>
        <w:r>
          <w:rPr>
            <w:noProof/>
          </w:rPr>
          <w:fldChar w:fldCharType="end"/>
        </w:r>
      </w:p>
    </w:sdtContent>
  </w:sdt>
  <w:p w14:paraId="08DD5B14" w14:textId="77777777" w:rsidR="00D23B3D" w:rsidRDefault="00D23B3D">
    <w:pPr>
      <w:ind w:left="0"/>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9A244" w14:textId="77777777" w:rsidR="002E13C8" w:rsidRDefault="002E13C8" w:rsidP="002E4749">
      <w:pPr>
        <w:ind w:left="0"/>
        <w:rPr>
          <w:sz w:val="23"/>
        </w:rPr>
      </w:pPr>
      <w:r>
        <w:rPr>
          <w:sz w:val="23"/>
        </w:rPr>
        <w:separator/>
      </w:r>
    </w:p>
  </w:footnote>
  <w:footnote w:type="continuationSeparator" w:id="0">
    <w:p w14:paraId="1EA58790" w14:textId="77777777" w:rsidR="002E13C8" w:rsidRDefault="002E13C8">
      <w:r>
        <w:continuationSeparator/>
      </w:r>
    </w:p>
  </w:footnote>
  <w:footnote w:id="1">
    <w:p w14:paraId="2DDF1971" w14:textId="53FAB18B" w:rsidR="00D23B3D" w:rsidRPr="00E576AF" w:rsidRDefault="00D23B3D" w:rsidP="00E576AF">
      <w:pPr>
        <w:pStyle w:val="FootnoteText"/>
        <w:ind w:left="0"/>
        <w:rPr>
          <w:rFonts w:ascii="Times New Roman" w:hAnsi="Times New Roman"/>
          <w:sz w:val="22"/>
          <w:szCs w:val="22"/>
        </w:rPr>
      </w:pPr>
      <w:r w:rsidRPr="00E576AF">
        <w:rPr>
          <w:rStyle w:val="FootnoteReference"/>
          <w:rFonts w:ascii="Times New Roman" w:hAnsi="Times New Roman"/>
          <w:sz w:val="22"/>
          <w:szCs w:val="22"/>
        </w:rPr>
        <w:footnoteRef/>
      </w:r>
      <w:r w:rsidRPr="00E576AF">
        <w:rPr>
          <w:rFonts w:ascii="Times New Roman" w:hAnsi="Times New Roman"/>
          <w:sz w:val="22"/>
          <w:szCs w:val="22"/>
        </w:rPr>
        <w:t xml:space="preserve"> </w:t>
      </w:r>
      <w:r>
        <w:rPr>
          <w:rFonts w:ascii="Times New Roman" w:hAnsi="Times New Roman"/>
          <w:sz w:val="22"/>
          <w:szCs w:val="22"/>
        </w:rPr>
        <w:t xml:space="preserve">Prior to 2010, the NSCG selected its sample once each decade from the decennial census long form.  NSCG respondents educated or working in S&amp;E fields were then followed biennially throughout the decade.  Since no additional NSCG sample was selected throughout the decade, the previous NSCG design suffered from undercoverage of immigrants who entered the U.S. during the decade and individuals who began working in an S&amp;E occupation during the decade.  </w:t>
      </w:r>
    </w:p>
  </w:footnote>
  <w:footnote w:id="2">
    <w:p w14:paraId="5C0FEA74" w14:textId="04EF1184" w:rsidR="005960D9" w:rsidRPr="00666039" w:rsidRDefault="005960D9" w:rsidP="005960D9">
      <w:pPr>
        <w:pStyle w:val="FootnoteText"/>
        <w:ind w:left="0"/>
        <w:rPr>
          <w:rFonts w:ascii="Times New Roman" w:hAnsi="Times New Roman"/>
          <w:sz w:val="22"/>
          <w:szCs w:val="22"/>
        </w:rPr>
      </w:pPr>
      <w:r w:rsidRPr="00666039">
        <w:rPr>
          <w:rStyle w:val="FootnoteReference"/>
          <w:rFonts w:ascii="Times New Roman" w:hAnsi="Times New Roman"/>
          <w:sz w:val="22"/>
          <w:szCs w:val="22"/>
        </w:rPr>
        <w:footnoteRef/>
      </w:r>
      <w:r w:rsidRPr="00666039">
        <w:rPr>
          <w:rFonts w:ascii="Times New Roman" w:hAnsi="Times New Roman"/>
          <w:sz w:val="22"/>
          <w:szCs w:val="22"/>
        </w:rPr>
        <w:t xml:space="preserve"> </w:t>
      </w:r>
      <w:hyperlink r:id="rId1" w:history="1">
        <w:r w:rsidRPr="00666039">
          <w:rPr>
            <w:rStyle w:val="Hyperlink"/>
            <w:rFonts w:ascii="Times New Roman" w:hAnsi="Times New Roman"/>
            <w:sz w:val="22"/>
            <w:szCs w:val="22"/>
          </w:rPr>
          <w:t>https://www.nap.edu/catalog/24968/measuring-the-21st-century-science-and-engineering-workforce-population-evolving</w:t>
        </w:r>
      </w:hyperlink>
      <w:r>
        <w:rPr>
          <w:rStyle w:val="Hyperlink"/>
          <w:rFonts w:ascii="Times New Roman" w:hAnsi="Times New Roman"/>
          <w:sz w:val="22"/>
          <w:szCs w:val="22"/>
        </w:rPr>
        <w:t xml:space="preserve"> </w:t>
      </w:r>
      <w:r w:rsidRPr="000B409E">
        <w:rPr>
          <w:rStyle w:val="Hyperlink"/>
          <w:rFonts w:ascii="Times New Roman" w:hAnsi="Times New Roman"/>
          <w:color w:val="auto"/>
          <w:sz w:val="22"/>
          <w:szCs w:val="22"/>
          <w:u w:val="none"/>
        </w:rPr>
        <w:t>(Recommendation 4.2</w:t>
      </w:r>
      <w:r w:rsidR="007760B1">
        <w:rPr>
          <w:rStyle w:val="Hyperlink"/>
          <w:rFonts w:ascii="Times New Roman" w:hAnsi="Times New Roman"/>
          <w:color w:val="auto"/>
          <w:sz w:val="22"/>
          <w:szCs w:val="22"/>
          <w:u w:val="none"/>
        </w:rPr>
        <w:t xml:space="preserve"> on p. 77</w:t>
      </w:r>
      <w:r w:rsidRPr="000B409E">
        <w:rPr>
          <w:rStyle w:val="Hyperlink"/>
          <w:rFonts w:ascii="Times New Roman" w:hAnsi="Times New Roman"/>
          <w:color w:val="auto"/>
          <w:sz w:val="22"/>
          <w:szCs w:val="22"/>
          <w:u w:val="none"/>
        </w:rPr>
        <w:t>)</w:t>
      </w:r>
      <w:r w:rsidR="000B409E" w:rsidRPr="000B409E">
        <w:rPr>
          <w:rStyle w:val="Hyperlink"/>
          <w:rFonts w:ascii="Times New Roman" w:hAnsi="Times New Roman"/>
          <w:color w:val="auto"/>
          <w:sz w:val="22"/>
          <w:szCs w:val="22"/>
          <w:u w:val="none"/>
        </w:rPr>
        <w:t>.</w:t>
      </w:r>
    </w:p>
  </w:footnote>
  <w:footnote w:id="3">
    <w:p w14:paraId="638091C8" w14:textId="77777777" w:rsidR="00D23B3D" w:rsidRPr="00AA0744" w:rsidRDefault="00D23B3D" w:rsidP="004326F7">
      <w:pPr>
        <w:pStyle w:val="FootnoteText"/>
        <w:ind w:left="0"/>
        <w:rPr>
          <w:rFonts w:ascii="Times New Roman" w:hAnsi="Times New Roman"/>
          <w:sz w:val="22"/>
          <w:szCs w:val="22"/>
        </w:rPr>
      </w:pPr>
      <w:r w:rsidRPr="00AA0744">
        <w:rPr>
          <w:rStyle w:val="FootnoteReference"/>
          <w:rFonts w:ascii="Times New Roman" w:hAnsi="Times New Roman"/>
          <w:sz w:val="22"/>
          <w:szCs w:val="22"/>
        </w:rPr>
        <w:footnoteRef/>
      </w:r>
      <w:r w:rsidRPr="00AA0744">
        <w:rPr>
          <w:rFonts w:ascii="Times New Roman" w:hAnsi="Times New Roman"/>
          <w:sz w:val="22"/>
          <w:szCs w:val="22"/>
        </w:rPr>
        <w:t xml:space="preserve"> AIAN = American Indian / Alaska Native, NHPI = Native Hawaiian / Pacific Islander</w:t>
      </w:r>
    </w:p>
  </w:footnote>
  <w:footnote w:id="4">
    <w:p w14:paraId="56658018" w14:textId="65546A2A" w:rsidR="00D23B3D" w:rsidRPr="00DB68FB" w:rsidRDefault="00D23B3D" w:rsidP="004326F7">
      <w:pPr>
        <w:pStyle w:val="FootnoteText"/>
        <w:ind w:left="0"/>
        <w:rPr>
          <w:rFonts w:ascii="Times New Roman" w:hAnsi="Times New Roman"/>
          <w:sz w:val="22"/>
          <w:szCs w:val="22"/>
        </w:rPr>
      </w:pPr>
      <w:r w:rsidRPr="00DB68FB">
        <w:rPr>
          <w:rStyle w:val="FootnoteReference"/>
          <w:rFonts w:ascii="Times New Roman" w:hAnsi="Times New Roman"/>
          <w:sz w:val="22"/>
          <w:szCs w:val="22"/>
        </w:rPr>
        <w:footnoteRef/>
      </w:r>
      <w:r w:rsidRPr="00DB68FB">
        <w:rPr>
          <w:rFonts w:ascii="Times New Roman" w:hAnsi="Times New Roman"/>
          <w:sz w:val="22"/>
          <w:szCs w:val="22"/>
        </w:rPr>
        <w:t xml:space="preserve"> Since the young graduate oversample planned for the NSCG serves to offset the discontinuation of the </w:t>
      </w:r>
      <w:r>
        <w:rPr>
          <w:rFonts w:ascii="Times New Roman" w:hAnsi="Times New Roman"/>
          <w:sz w:val="22"/>
          <w:szCs w:val="22"/>
        </w:rPr>
        <w:t>National Survey of Recent College Graduates (</w:t>
      </w:r>
      <w:r w:rsidRPr="00DB68FB">
        <w:rPr>
          <w:rFonts w:ascii="Times New Roman" w:hAnsi="Times New Roman"/>
          <w:sz w:val="22"/>
          <w:szCs w:val="22"/>
        </w:rPr>
        <w:t>NSRCG</w:t>
      </w:r>
      <w:r>
        <w:rPr>
          <w:rFonts w:ascii="Times New Roman" w:hAnsi="Times New Roman"/>
          <w:sz w:val="22"/>
          <w:szCs w:val="22"/>
        </w:rPr>
        <w:t>)</w:t>
      </w:r>
      <w:r w:rsidRPr="00DB68FB">
        <w:rPr>
          <w:rFonts w:ascii="Times New Roman" w:hAnsi="Times New Roman"/>
          <w:sz w:val="22"/>
          <w:szCs w:val="22"/>
        </w:rPr>
        <w:t>, the oversample will focus only on bachelor’s and master’s degree recipients as had the NSRCG.</w:t>
      </w:r>
    </w:p>
  </w:footnote>
  <w:footnote w:id="5">
    <w:p w14:paraId="39A9F797" w14:textId="77777777" w:rsidR="00D23B3D" w:rsidRPr="000E6F0D" w:rsidRDefault="00D23B3D" w:rsidP="002B3579">
      <w:pPr>
        <w:pStyle w:val="FootnoteText"/>
        <w:ind w:left="0"/>
        <w:rPr>
          <w:rFonts w:ascii="Times New Roman" w:hAnsi="Times New Roman"/>
          <w:sz w:val="22"/>
          <w:szCs w:val="22"/>
        </w:rPr>
      </w:pPr>
      <w:r>
        <w:rPr>
          <w:rStyle w:val="FootnoteReference"/>
        </w:rPr>
        <w:footnoteRef/>
      </w:r>
      <w:r>
        <w:t xml:space="preserve"> </w:t>
      </w:r>
      <w:r>
        <w:rPr>
          <w:rFonts w:ascii="Times New Roman" w:hAnsi="Times New Roman"/>
          <w:sz w:val="22"/>
          <w:szCs w:val="22"/>
        </w:rPr>
        <w:t>Creamer</w:t>
      </w:r>
      <w:r w:rsidRPr="00DC4571">
        <w:rPr>
          <w:rFonts w:ascii="Times New Roman" w:hAnsi="Times New Roman"/>
          <w:sz w:val="22"/>
          <w:szCs w:val="22"/>
        </w:rPr>
        <w:t>,</w:t>
      </w:r>
      <w:r>
        <w:rPr>
          <w:rFonts w:ascii="Times New Roman" w:hAnsi="Times New Roman"/>
          <w:sz w:val="22"/>
          <w:szCs w:val="22"/>
        </w:rPr>
        <w:t xml:space="preserve"> Selmin</w:t>
      </w:r>
      <w:r w:rsidRPr="00DC4571">
        <w:rPr>
          <w:rFonts w:ascii="Times New Roman" w:hAnsi="Times New Roman"/>
          <w:sz w:val="22"/>
          <w:szCs w:val="22"/>
        </w:rPr>
        <w:t xml:space="preserve"> “</w:t>
      </w:r>
      <w:r>
        <w:rPr>
          <w:rFonts w:ascii="Times New Roman" w:hAnsi="Times New Roman"/>
          <w:sz w:val="22"/>
          <w:szCs w:val="22"/>
        </w:rPr>
        <w:t>2017 NSCG Non-Sampling Error Report,</w:t>
      </w:r>
      <w:r w:rsidRPr="00DC4571">
        <w:rPr>
          <w:rFonts w:ascii="Times New Roman" w:hAnsi="Times New Roman"/>
          <w:sz w:val="22"/>
          <w:szCs w:val="22"/>
        </w:rPr>
        <w:t xml:space="preserve">” Census Bureau Memorandum from </w:t>
      </w:r>
      <w:r>
        <w:rPr>
          <w:rFonts w:ascii="Times New Roman" w:hAnsi="Times New Roman"/>
          <w:sz w:val="22"/>
          <w:szCs w:val="22"/>
        </w:rPr>
        <w:t>Tersine</w:t>
      </w:r>
      <w:r w:rsidRPr="00DC4571">
        <w:rPr>
          <w:rFonts w:ascii="Times New Roman" w:hAnsi="Times New Roman"/>
          <w:sz w:val="22"/>
          <w:szCs w:val="22"/>
        </w:rPr>
        <w:t xml:space="preserve"> to </w:t>
      </w:r>
      <w:r>
        <w:rPr>
          <w:rFonts w:ascii="Times New Roman" w:hAnsi="Times New Roman"/>
          <w:sz w:val="22"/>
          <w:szCs w:val="22"/>
        </w:rPr>
        <w:t>Milan</w:t>
      </w:r>
      <w:r w:rsidRPr="00DC4571">
        <w:rPr>
          <w:rFonts w:ascii="Times New Roman" w:hAnsi="Times New Roman"/>
          <w:sz w:val="22"/>
          <w:szCs w:val="22"/>
        </w:rPr>
        <w:t xml:space="preserve">, </w:t>
      </w:r>
      <w:r>
        <w:rPr>
          <w:rFonts w:ascii="Times New Roman" w:hAnsi="Times New Roman"/>
          <w:sz w:val="22"/>
          <w:szCs w:val="22"/>
        </w:rPr>
        <w:t>July 2018,</w:t>
      </w:r>
      <w:r w:rsidRPr="00DC4571">
        <w:rPr>
          <w:rFonts w:ascii="Times New Roman" w:hAnsi="Times New Roman"/>
          <w:sz w:val="22"/>
          <w:szCs w:val="22"/>
        </w:rPr>
        <w:t xml:space="preserve"> draft.</w:t>
      </w:r>
    </w:p>
  </w:footnote>
  <w:footnote w:id="6">
    <w:p w14:paraId="488C31CC" w14:textId="6B326A76" w:rsidR="00D23B3D" w:rsidRPr="004457B5" w:rsidRDefault="00D23B3D" w:rsidP="002B3579">
      <w:pPr>
        <w:pStyle w:val="FootnoteText"/>
        <w:ind w:left="0"/>
        <w:rPr>
          <w:rFonts w:ascii="Times New Roman" w:hAnsi="Times New Roman"/>
          <w:sz w:val="22"/>
          <w:szCs w:val="22"/>
        </w:rPr>
      </w:pPr>
      <w:r w:rsidRPr="004457B5">
        <w:rPr>
          <w:rStyle w:val="FootnoteReference"/>
          <w:rFonts w:ascii="Times New Roman" w:hAnsi="Times New Roman"/>
          <w:sz w:val="22"/>
          <w:szCs w:val="22"/>
        </w:rPr>
        <w:footnoteRef/>
      </w:r>
      <w:r w:rsidRPr="004457B5">
        <w:rPr>
          <w:rFonts w:ascii="Times New Roman" w:hAnsi="Times New Roman"/>
          <w:sz w:val="22"/>
          <w:szCs w:val="22"/>
        </w:rPr>
        <w:t xml:space="preserve"> Off-year estimation would pr</w:t>
      </w:r>
      <w:r>
        <w:rPr>
          <w:rFonts w:ascii="Times New Roman" w:hAnsi="Times New Roman"/>
          <w:sz w:val="22"/>
          <w:szCs w:val="22"/>
        </w:rPr>
        <w:t>ovide estimates for the college-</w:t>
      </w:r>
      <w:r w:rsidRPr="004457B5">
        <w:rPr>
          <w:rFonts w:ascii="Times New Roman" w:hAnsi="Times New Roman"/>
          <w:sz w:val="22"/>
          <w:szCs w:val="22"/>
        </w:rPr>
        <w:t>educated population, using only ACS data, in the years where the NSCG is not in the field.  For example, as the NSCG is conducted in 2015, 2017,</w:t>
      </w:r>
      <w:r>
        <w:rPr>
          <w:rFonts w:ascii="Times New Roman" w:hAnsi="Times New Roman"/>
          <w:sz w:val="22"/>
          <w:szCs w:val="22"/>
        </w:rPr>
        <w:t xml:space="preserve"> and 2019,</w:t>
      </w:r>
      <w:r w:rsidRPr="004457B5">
        <w:rPr>
          <w:rFonts w:ascii="Times New Roman" w:hAnsi="Times New Roman"/>
          <w:sz w:val="22"/>
          <w:szCs w:val="22"/>
        </w:rPr>
        <w:t xml:space="preserve"> off-year estimation would produce estimates for the college-</w:t>
      </w:r>
      <w:r>
        <w:rPr>
          <w:rFonts w:ascii="Times New Roman" w:hAnsi="Times New Roman"/>
          <w:sz w:val="22"/>
          <w:szCs w:val="22"/>
        </w:rPr>
        <w:t xml:space="preserve">educated population in 2016 and </w:t>
      </w:r>
      <w:r w:rsidRPr="004457B5">
        <w:rPr>
          <w:rFonts w:ascii="Times New Roman" w:hAnsi="Times New Roman"/>
          <w:sz w:val="22"/>
          <w:szCs w:val="22"/>
        </w:rPr>
        <w:t>201</w:t>
      </w:r>
      <w:r>
        <w:rPr>
          <w:rFonts w:ascii="Times New Roman" w:hAnsi="Times New Roman"/>
          <w:sz w:val="22"/>
          <w:szCs w:val="22"/>
        </w:rPr>
        <w:t>8</w:t>
      </w:r>
      <w:r w:rsidRPr="004457B5">
        <w:rPr>
          <w:rFonts w:ascii="Times New Roman" w:hAnsi="Times New Roman"/>
          <w:sz w:val="22"/>
          <w:szCs w:val="22"/>
        </w:rPr>
        <w:t>.</w:t>
      </w:r>
    </w:p>
  </w:footnote>
  <w:footnote w:id="7">
    <w:p w14:paraId="50506519" w14:textId="57429E94" w:rsidR="00470EF9" w:rsidRPr="00F51912" w:rsidRDefault="00470EF9" w:rsidP="00470EF9">
      <w:pPr>
        <w:pStyle w:val="FootnoteText"/>
        <w:ind w:left="0"/>
        <w:rPr>
          <w:rFonts w:ascii="Times New Roman" w:hAnsi="Times New Roman"/>
          <w:sz w:val="22"/>
          <w:szCs w:val="22"/>
        </w:rPr>
      </w:pPr>
      <w:r w:rsidRPr="00F51912">
        <w:rPr>
          <w:rStyle w:val="FootnoteReference"/>
          <w:rFonts w:ascii="Times New Roman" w:hAnsi="Times New Roman"/>
          <w:sz w:val="22"/>
          <w:szCs w:val="22"/>
        </w:rPr>
        <w:footnoteRef/>
      </w:r>
      <w:r w:rsidRPr="00F51912">
        <w:rPr>
          <w:rFonts w:ascii="Times New Roman" w:hAnsi="Times New Roman"/>
          <w:sz w:val="22"/>
          <w:szCs w:val="22"/>
        </w:rPr>
        <w:t xml:space="preserve"> Coffey, S., Reist, B., Miller, P. (2018)</w:t>
      </w:r>
      <w:r w:rsidR="00CD2D3F" w:rsidRPr="00F51912">
        <w:rPr>
          <w:rFonts w:ascii="Times New Roman" w:hAnsi="Times New Roman"/>
          <w:sz w:val="22"/>
          <w:szCs w:val="22"/>
        </w:rPr>
        <w:t>.</w:t>
      </w:r>
      <w:r w:rsidRPr="00F51912">
        <w:rPr>
          <w:rFonts w:ascii="Times New Roman" w:hAnsi="Times New Roman"/>
          <w:sz w:val="22"/>
          <w:szCs w:val="22"/>
        </w:rPr>
        <w:t xml:space="preserve"> Interventions on Call: Dynamic Adaptive Design in the National Survey of College Graduates.  Under Review in </w:t>
      </w:r>
      <w:r w:rsidRPr="00F51912">
        <w:rPr>
          <w:rFonts w:ascii="Times New Roman" w:hAnsi="Times New Roman"/>
          <w:i/>
          <w:sz w:val="22"/>
          <w:szCs w:val="22"/>
        </w:rPr>
        <w:t>Journal of Survey Statistics and Methodology</w:t>
      </w:r>
      <w:r w:rsidRPr="00F51912">
        <w:rPr>
          <w:rFonts w:ascii="Times New Roman" w:hAnsi="Times New Roman"/>
          <w:sz w:val="22"/>
          <w:szCs w:val="22"/>
        </w:rPr>
        <w:t xml:space="preserve">.  </w:t>
      </w:r>
    </w:p>
  </w:footnote>
  <w:footnote w:id="8">
    <w:p w14:paraId="37435E01" w14:textId="77777777" w:rsidR="00470EF9" w:rsidRPr="00F51912" w:rsidRDefault="00470EF9" w:rsidP="00470EF9">
      <w:pPr>
        <w:pStyle w:val="FootnoteText"/>
        <w:ind w:left="0"/>
        <w:rPr>
          <w:rFonts w:ascii="Times New Roman" w:hAnsi="Times New Roman"/>
          <w:sz w:val="22"/>
          <w:szCs w:val="22"/>
        </w:rPr>
      </w:pPr>
      <w:r w:rsidRPr="00F51912">
        <w:rPr>
          <w:rStyle w:val="FootnoteReference"/>
          <w:rFonts w:ascii="Times New Roman" w:hAnsi="Times New Roman"/>
          <w:sz w:val="22"/>
          <w:szCs w:val="22"/>
        </w:rPr>
        <w:footnoteRef/>
      </w:r>
      <w:r w:rsidRPr="00F51912">
        <w:rPr>
          <w:rFonts w:ascii="Times New Roman" w:hAnsi="Times New Roman"/>
          <w:sz w:val="22"/>
          <w:szCs w:val="22"/>
        </w:rPr>
        <w:t xml:space="preserve"> Wagner, J., Hubbard, F. (2014). Producing Unbiased Estimates of Propensity Models During Data Collection, </w:t>
      </w:r>
      <w:r w:rsidRPr="00F51912">
        <w:rPr>
          <w:rFonts w:ascii="Times New Roman" w:hAnsi="Times New Roman"/>
          <w:i/>
          <w:sz w:val="22"/>
          <w:szCs w:val="22"/>
        </w:rPr>
        <w:t>Journal of Survey Statistics and Methodology</w:t>
      </w:r>
      <w:r w:rsidRPr="00F51912">
        <w:rPr>
          <w:rFonts w:ascii="Times New Roman" w:hAnsi="Times New Roman"/>
          <w:sz w:val="22"/>
          <w:szCs w:val="22"/>
        </w:rPr>
        <w:t>, 2:3, Pages 323–342, https://doi.org/10.1093/jssam/smu009</w:t>
      </w:r>
    </w:p>
  </w:footnote>
  <w:footnote w:id="9">
    <w:p w14:paraId="2E7A11C0" w14:textId="31CA7ED7" w:rsidR="00470EF9" w:rsidRPr="00F51912" w:rsidRDefault="00470EF9" w:rsidP="00470EF9">
      <w:pPr>
        <w:pStyle w:val="FootnoteText"/>
        <w:ind w:left="0"/>
        <w:rPr>
          <w:rFonts w:ascii="Times New Roman" w:hAnsi="Times New Roman"/>
          <w:sz w:val="22"/>
          <w:szCs w:val="22"/>
        </w:rPr>
      </w:pPr>
      <w:r w:rsidRPr="00F51912">
        <w:rPr>
          <w:rStyle w:val="FootnoteReference"/>
          <w:rFonts w:ascii="Times New Roman" w:hAnsi="Times New Roman"/>
          <w:sz w:val="22"/>
          <w:szCs w:val="22"/>
        </w:rPr>
        <w:footnoteRef/>
      </w:r>
      <w:r w:rsidRPr="00F51912">
        <w:rPr>
          <w:rFonts w:ascii="Times New Roman" w:hAnsi="Times New Roman"/>
          <w:sz w:val="22"/>
          <w:szCs w:val="22"/>
        </w:rPr>
        <w:t xml:space="preserve"> Singer</w:t>
      </w:r>
      <w:r w:rsidR="00CD2D3F" w:rsidRPr="00F51912">
        <w:rPr>
          <w:rFonts w:ascii="Times New Roman" w:hAnsi="Times New Roman"/>
          <w:sz w:val="22"/>
          <w:szCs w:val="22"/>
        </w:rPr>
        <w:t>,</w:t>
      </w:r>
      <w:r w:rsidRPr="00F51912">
        <w:rPr>
          <w:rFonts w:ascii="Times New Roman" w:hAnsi="Times New Roman"/>
          <w:sz w:val="22"/>
          <w:szCs w:val="22"/>
        </w:rPr>
        <w:t xml:space="preserve"> P., Sirkis, R. (2013)</w:t>
      </w:r>
      <w:r w:rsidR="00CD2D3F" w:rsidRPr="00F51912">
        <w:rPr>
          <w:rFonts w:ascii="Times New Roman" w:hAnsi="Times New Roman"/>
          <w:sz w:val="22"/>
          <w:szCs w:val="22"/>
        </w:rPr>
        <w:t>.</w:t>
      </w:r>
      <w:r w:rsidRPr="00F51912">
        <w:rPr>
          <w:rFonts w:ascii="Times New Roman" w:hAnsi="Times New Roman"/>
          <w:sz w:val="22"/>
          <w:szCs w:val="22"/>
        </w:rPr>
        <w:t xml:space="preserve"> “Evaluating the Consistency between Responses to the 2010 NSCG and the 2009 ACS,” Proceedings of the Survey Research Methods Section, American Statistical Association. 2013.</w:t>
      </w:r>
    </w:p>
  </w:footnote>
  <w:footnote w:id="10">
    <w:p w14:paraId="1C07ADDF" w14:textId="77777777" w:rsidR="00470EF9" w:rsidRPr="000C50B7" w:rsidRDefault="00470EF9" w:rsidP="00CD0ABF">
      <w:pPr>
        <w:pStyle w:val="FootnoteText"/>
        <w:ind w:left="0"/>
        <w:rPr>
          <w:rFonts w:ascii="Times New Roman" w:hAnsi="Times New Roman"/>
          <w:sz w:val="22"/>
          <w:szCs w:val="22"/>
        </w:rPr>
      </w:pPr>
      <w:r w:rsidRPr="000C50B7">
        <w:rPr>
          <w:rStyle w:val="FootnoteReference"/>
          <w:rFonts w:ascii="Times New Roman" w:hAnsi="Times New Roman"/>
          <w:sz w:val="22"/>
          <w:szCs w:val="22"/>
        </w:rPr>
        <w:footnoteRef/>
      </w:r>
      <w:r w:rsidRPr="000C50B7">
        <w:rPr>
          <w:rFonts w:ascii="Times New Roman" w:hAnsi="Times New Roman"/>
          <w:sz w:val="22"/>
          <w:szCs w:val="22"/>
        </w:rPr>
        <w:t xml:space="preserve"> Elliott, M.R., Little, R.J.A, and Lewitzky, S. (2000).  Subsampling Callbacks to Improve Survey Efficiency.  </w:t>
      </w:r>
      <w:r w:rsidRPr="000C50B7">
        <w:rPr>
          <w:rFonts w:ascii="Times New Roman" w:hAnsi="Times New Roman"/>
          <w:i/>
          <w:sz w:val="22"/>
          <w:szCs w:val="22"/>
        </w:rPr>
        <w:t>Journal of the American Statistical Association</w:t>
      </w:r>
      <w:r w:rsidRPr="000C50B7">
        <w:rPr>
          <w:rFonts w:ascii="Times New Roman" w:hAnsi="Times New Roman"/>
          <w:sz w:val="22"/>
          <w:szCs w:val="22"/>
        </w:rPr>
        <w:t xml:space="preserve">, 95, 730-738.  </w:t>
      </w:r>
    </w:p>
  </w:footnote>
  <w:footnote w:id="11">
    <w:p w14:paraId="6DA6038C" w14:textId="77777777" w:rsidR="00470EF9" w:rsidRPr="000C50B7" w:rsidRDefault="00470EF9" w:rsidP="00CD0ABF">
      <w:pPr>
        <w:pStyle w:val="FootnoteText"/>
        <w:ind w:left="0"/>
        <w:rPr>
          <w:rFonts w:ascii="Times New Roman" w:hAnsi="Times New Roman"/>
          <w:sz w:val="22"/>
          <w:szCs w:val="22"/>
        </w:rPr>
      </w:pPr>
      <w:r w:rsidRPr="000C50B7">
        <w:rPr>
          <w:rStyle w:val="FootnoteReference"/>
          <w:rFonts w:ascii="Times New Roman" w:hAnsi="Times New Roman"/>
          <w:sz w:val="22"/>
          <w:szCs w:val="22"/>
        </w:rPr>
        <w:footnoteRef/>
      </w:r>
      <w:r w:rsidRPr="000C50B7">
        <w:rPr>
          <w:rFonts w:ascii="Times New Roman" w:hAnsi="Times New Roman"/>
          <w:sz w:val="22"/>
          <w:szCs w:val="22"/>
        </w:rPr>
        <w:t xml:space="preserve"> Elliott, M.R. (2017).  Preliminary ideas for responsive design implementation.  Internal Census Bureau – Center for Adaptive Design Memo.  (2/27/2017).</w:t>
      </w:r>
    </w:p>
  </w:footnote>
  <w:footnote w:id="12">
    <w:p w14:paraId="43E00336" w14:textId="77777777" w:rsidR="00EF1FD7" w:rsidRPr="000C50B7" w:rsidRDefault="00EF1FD7" w:rsidP="00EF1FD7">
      <w:pPr>
        <w:pStyle w:val="FootnoteText"/>
        <w:ind w:left="0"/>
        <w:rPr>
          <w:rFonts w:ascii="Times New Roman" w:hAnsi="Times New Roman"/>
          <w:sz w:val="22"/>
          <w:szCs w:val="22"/>
        </w:rPr>
      </w:pPr>
      <w:r w:rsidRPr="000C50B7">
        <w:rPr>
          <w:rStyle w:val="FootnoteReference"/>
          <w:rFonts w:ascii="Times New Roman" w:hAnsi="Times New Roman"/>
          <w:sz w:val="22"/>
          <w:szCs w:val="22"/>
        </w:rPr>
        <w:footnoteRef/>
      </w:r>
      <w:r w:rsidRPr="000C50B7">
        <w:rPr>
          <w:rFonts w:ascii="Times New Roman" w:hAnsi="Times New Roman"/>
          <w:sz w:val="22"/>
          <w:szCs w:val="22"/>
        </w:rPr>
        <w:t xml:space="preserve"> Schouten, B., Mushkudiani, N., Shlomo, N., Durrant, G., Lundquist, P., Wager, J. (2018). A Bayesian Analysis of Design Parameters in Survey Data Collection.  </w:t>
      </w:r>
      <w:r w:rsidRPr="000C50B7">
        <w:rPr>
          <w:rFonts w:ascii="Times New Roman" w:hAnsi="Times New Roman"/>
          <w:i/>
          <w:sz w:val="22"/>
          <w:szCs w:val="22"/>
        </w:rPr>
        <w:t>Journal of Survey Statistics and Methodology</w:t>
      </w:r>
      <w:r w:rsidRPr="000C50B7">
        <w:rPr>
          <w:rFonts w:ascii="Times New Roman" w:hAnsi="Times New Roman"/>
          <w:sz w:val="22"/>
          <w:szCs w:val="22"/>
        </w:rPr>
        <w:t xml:space="preserve">, </w:t>
      </w:r>
      <w:hyperlink r:id="rId2" w:history="1">
        <w:r w:rsidRPr="000C50B7">
          <w:rPr>
            <w:rStyle w:val="Hyperlink"/>
            <w:rFonts w:ascii="Times New Roman" w:hAnsi="Times New Roman"/>
            <w:sz w:val="22"/>
            <w:szCs w:val="22"/>
          </w:rPr>
          <w:t>https://doi.org/10.1093/jssam/smy012</w:t>
        </w:r>
      </w:hyperlink>
      <w:r w:rsidRPr="000C50B7">
        <w:rPr>
          <w:rFonts w:ascii="Times New Roman" w:hAnsi="Times New Roman"/>
          <w:sz w:val="22"/>
          <w:szCs w:val="22"/>
        </w:rPr>
        <w:t>.</w:t>
      </w:r>
    </w:p>
  </w:footnote>
  <w:footnote w:id="13">
    <w:p w14:paraId="7DCF811D" w14:textId="6BFC7CB6" w:rsidR="00AA359D" w:rsidRPr="000C50B7" w:rsidRDefault="00AA359D" w:rsidP="00CD0ABF">
      <w:pPr>
        <w:pStyle w:val="FootnoteText"/>
        <w:ind w:left="0"/>
        <w:rPr>
          <w:rFonts w:ascii="Times New Roman" w:hAnsi="Times New Roman"/>
          <w:sz w:val="22"/>
          <w:szCs w:val="22"/>
        </w:rPr>
      </w:pPr>
      <w:r w:rsidRPr="000C50B7">
        <w:rPr>
          <w:rStyle w:val="FootnoteReference"/>
          <w:rFonts w:ascii="Times New Roman" w:hAnsi="Times New Roman"/>
          <w:sz w:val="22"/>
          <w:szCs w:val="22"/>
        </w:rPr>
        <w:footnoteRef/>
      </w:r>
      <w:r w:rsidRPr="000C50B7">
        <w:rPr>
          <w:rFonts w:ascii="Times New Roman" w:hAnsi="Times New Roman"/>
          <w:sz w:val="22"/>
          <w:szCs w:val="22"/>
        </w:rPr>
        <w:t xml:space="preserve"> </w:t>
      </w:r>
      <w:r w:rsidRPr="000C50B7">
        <w:rPr>
          <w:rFonts w:ascii="Times New Roman" w:hAnsi="Times New Roman"/>
          <w:noProof/>
          <w:sz w:val="22"/>
          <w:szCs w:val="22"/>
        </w:rPr>
        <w:t xml:space="preserve">Morales, G. D. (2016). </w:t>
      </w:r>
      <w:r w:rsidRPr="000C50B7">
        <w:rPr>
          <w:rFonts w:ascii="Times New Roman" w:hAnsi="Times New Roman"/>
          <w:i/>
          <w:iCs/>
          <w:noProof/>
          <w:sz w:val="22"/>
          <w:szCs w:val="22"/>
        </w:rPr>
        <w:t>Assessing the National Survey of College Graduates Mailing Materials: Focus Group Sessions</w:t>
      </w:r>
      <w:r w:rsidRPr="000C50B7">
        <w:rPr>
          <w:rFonts w:ascii="Times New Roman" w:hAnsi="Times New Roman"/>
          <w:sz w:val="22"/>
          <w:szCs w:val="22"/>
        </w:rPr>
        <w:t>.</w:t>
      </w:r>
    </w:p>
  </w:footnote>
  <w:footnote w:id="14">
    <w:p w14:paraId="238C97B7" w14:textId="0AD93475" w:rsidR="00AA359D" w:rsidRPr="000C50B7" w:rsidRDefault="00AA359D" w:rsidP="00CD0ABF">
      <w:pPr>
        <w:pStyle w:val="FootnoteText"/>
        <w:ind w:left="0"/>
        <w:rPr>
          <w:rFonts w:ascii="Times New Roman" w:hAnsi="Times New Roman"/>
          <w:sz w:val="22"/>
          <w:szCs w:val="22"/>
        </w:rPr>
      </w:pPr>
      <w:r w:rsidRPr="000C50B7">
        <w:rPr>
          <w:rStyle w:val="FootnoteReference"/>
          <w:rFonts w:ascii="Times New Roman" w:hAnsi="Times New Roman"/>
          <w:sz w:val="22"/>
          <w:szCs w:val="22"/>
        </w:rPr>
        <w:footnoteRef/>
      </w:r>
      <w:r w:rsidRPr="000C50B7">
        <w:rPr>
          <w:rFonts w:ascii="Times New Roman" w:hAnsi="Times New Roman"/>
          <w:sz w:val="22"/>
          <w:szCs w:val="22"/>
        </w:rPr>
        <w:t xml:space="preserve"> </w:t>
      </w:r>
      <w:r w:rsidRPr="000C50B7">
        <w:rPr>
          <w:rFonts w:ascii="Times New Roman" w:hAnsi="Times New Roman"/>
          <w:noProof/>
          <w:sz w:val="22"/>
          <w:szCs w:val="22"/>
        </w:rPr>
        <w:t xml:space="preserve">Dillman, D., Smyth, J., &amp; Christian, L. (2014). </w:t>
      </w:r>
      <w:r w:rsidRPr="000C50B7">
        <w:rPr>
          <w:rFonts w:ascii="Times New Roman" w:hAnsi="Times New Roman"/>
          <w:i/>
          <w:iCs/>
          <w:noProof/>
          <w:sz w:val="22"/>
          <w:szCs w:val="22"/>
        </w:rPr>
        <w:t>Internet, Phone, Mail, and Mixed-Mode Surveys: The Tailored Design Method (4th Edition).</w:t>
      </w:r>
      <w:r w:rsidRPr="000C50B7">
        <w:rPr>
          <w:rFonts w:ascii="Times New Roman" w:hAnsi="Times New Roman"/>
          <w:noProof/>
          <w:sz w:val="22"/>
          <w:szCs w:val="22"/>
        </w:rPr>
        <w:t xml:space="preserve"> New York: Wiley &amp; Sons.</w:t>
      </w:r>
    </w:p>
  </w:footnote>
  <w:footnote w:id="15">
    <w:p w14:paraId="31E73AAF" w14:textId="42E6C1C0" w:rsidR="00C04CA4" w:rsidRPr="00F51912" w:rsidRDefault="00C04CA4" w:rsidP="00CD0ABF">
      <w:pPr>
        <w:pStyle w:val="FootnoteText"/>
        <w:ind w:left="0"/>
        <w:rPr>
          <w:rFonts w:ascii="Times New Roman" w:hAnsi="Times New Roman"/>
          <w:sz w:val="22"/>
          <w:szCs w:val="22"/>
        </w:rPr>
      </w:pPr>
      <w:r w:rsidRPr="00F51912">
        <w:rPr>
          <w:rStyle w:val="FootnoteReference"/>
          <w:rFonts w:ascii="Times New Roman" w:hAnsi="Times New Roman"/>
          <w:sz w:val="22"/>
          <w:szCs w:val="22"/>
        </w:rPr>
        <w:footnoteRef/>
      </w:r>
      <w:r w:rsidRPr="00F51912">
        <w:rPr>
          <w:rFonts w:ascii="Times New Roman" w:hAnsi="Times New Roman"/>
          <w:sz w:val="22"/>
          <w:szCs w:val="22"/>
        </w:rPr>
        <w:t xml:space="preserve"> </w:t>
      </w:r>
      <w:r w:rsidRPr="00F51912">
        <w:rPr>
          <w:rFonts w:ascii="Times New Roman" w:hAnsi="Times New Roman"/>
          <w:noProof/>
          <w:sz w:val="22"/>
          <w:szCs w:val="22"/>
        </w:rPr>
        <w:t xml:space="preserve">Morales, G. D. (2016). </w:t>
      </w:r>
      <w:r w:rsidRPr="00F51912">
        <w:rPr>
          <w:rFonts w:ascii="Times New Roman" w:hAnsi="Times New Roman"/>
          <w:i/>
          <w:iCs/>
          <w:noProof/>
          <w:sz w:val="22"/>
          <w:szCs w:val="22"/>
        </w:rPr>
        <w:t>Assessing the National Survey of College Graduates Mailing Materials: Focus Group Sessions</w:t>
      </w:r>
      <w:r w:rsidRPr="00F51912">
        <w:rPr>
          <w:rFonts w:ascii="Times New Roman" w:hAnsi="Times New Roman"/>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13FE8" w14:textId="77777777" w:rsidR="00D23B3D" w:rsidRDefault="00D23B3D">
    <w:pPr>
      <w:pStyle w:val="Header"/>
    </w:pPr>
    <w:r>
      <w:rPr>
        <w:noProof/>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80C75E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24345F8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6B1937"/>
    <w:multiLevelType w:val="hybridMultilevel"/>
    <w:tmpl w:val="9B9414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41078AF"/>
    <w:multiLevelType w:val="hybridMultilevel"/>
    <w:tmpl w:val="54B4DE9E"/>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nsid w:val="052F1E18"/>
    <w:multiLevelType w:val="hybridMultilevel"/>
    <w:tmpl w:val="84869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5">
    <w:nsid w:val="05D869FB"/>
    <w:multiLevelType w:val="hybridMultilevel"/>
    <w:tmpl w:val="210AB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6">
    <w:nsid w:val="063F58FD"/>
    <w:multiLevelType w:val="hybridMultilevel"/>
    <w:tmpl w:val="354E5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A54126"/>
    <w:multiLevelType w:val="hybridMultilevel"/>
    <w:tmpl w:val="3FA8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94190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nsid w:val="0A160FBE"/>
    <w:multiLevelType w:val="hybridMultilevel"/>
    <w:tmpl w:val="F176BB52"/>
    <w:lvl w:ilvl="0" w:tplc="ECB47C7A">
      <w:start w:val="2"/>
      <w:numFmt w:val="decimal"/>
      <w:lvlText w:val="%1."/>
      <w:lvlJc w:val="left"/>
      <w:pPr>
        <w:tabs>
          <w:tab w:val="num" w:pos="1440"/>
        </w:tabs>
        <w:ind w:left="1440" w:hanging="720"/>
      </w:pPr>
      <w:rPr>
        <w:rFonts w:hint="default"/>
      </w:rPr>
    </w:lvl>
    <w:lvl w:ilvl="1" w:tplc="EEBC5206">
      <w:start w:val="1"/>
      <w:numFmt w:val="lowerLetter"/>
      <w:lvlText w:val="%2."/>
      <w:lvlJc w:val="left"/>
      <w:pPr>
        <w:tabs>
          <w:tab w:val="num" w:pos="1800"/>
        </w:tabs>
        <w:ind w:left="1800" w:hanging="360"/>
      </w:pPr>
    </w:lvl>
    <w:lvl w:ilvl="2" w:tplc="274256CE" w:tentative="1">
      <w:start w:val="1"/>
      <w:numFmt w:val="lowerRoman"/>
      <w:lvlText w:val="%3."/>
      <w:lvlJc w:val="right"/>
      <w:pPr>
        <w:tabs>
          <w:tab w:val="num" w:pos="2520"/>
        </w:tabs>
        <w:ind w:left="2520" w:hanging="180"/>
      </w:pPr>
    </w:lvl>
    <w:lvl w:ilvl="3" w:tplc="81CE5D58" w:tentative="1">
      <w:start w:val="1"/>
      <w:numFmt w:val="decimal"/>
      <w:lvlText w:val="%4."/>
      <w:lvlJc w:val="left"/>
      <w:pPr>
        <w:tabs>
          <w:tab w:val="num" w:pos="3240"/>
        </w:tabs>
        <w:ind w:left="3240" w:hanging="360"/>
      </w:pPr>
    </w:lvl>
    <w:lvl w:ilvl="4" w:tplc="8B2E07AE" w:tentative="1">
      <w:start w:val="1"/>
      <w:numFmt w:val="lowerLetter"/>
      <w:lvlText w:val="%5."/>
      <w:lvlJc w:val="left"/>
      <w:pPr>
        <w:tabs>
          <w:tab w:val="num" w:pos="3960"/>
        </w:tabs>
        <w:ind w:left="3960" w:hanging="360"/>
      </w:pPr>
    </w:lvl>
    <w:lvl w:ilvl="5" w:tplc="06AE9880" w:tentative="1">
      <w:start w:val="1"/>
      <w:numFmt w:val="lowerRoman"/>
      <w:lvlText w:val="%6."/>
      <w:lvlJc w:val="right"/>
      <w:pPr>
        <w:tabs>
          <w:tab w:val="num" w:pos="4680"/>
        </w:tabs>
        <w:ind w:left="4680" w:hanging="180"/>
      </w:pPr>
    </w:lvl>
    <w:lvl w:ilvl="6" w:tplc="F2DC6638" w:tentative="1">
      <w:start w:val="1"/>
      <w:numFmt w:val="decimal"/>
      <w:lvlText w:val="%7."/>
      <w:lvlJc w:val="left"/>
      <w:pPr>
        <w:tabs>
          <w:tab w:val="num" w:pos="5400"/>
        </w:tabs>
        <w:ind w:left="5400" w:hanging="360"/>
      </w:pPr>
    </w:lvl>
    <w:lvl w:ilvl="7" w:tplc="D98091A6" w:tentative="1">
      <w:start w:val="1"/>
      <w:numFmt w:val="lowerLetter"/>
      <w:lvlText w:val="%8."/>
      <w:lvlJc w:val="left"/>
      <w:pPr>
        <w:tabs>
          <w:tab w:val="num" w:pos="6120"/>
        </w:tabs>
        <w:ind w:left="6120" w:hanging="360"/>
      </w:pPr>
    </w:lvl>
    <w:lvl w:ilvl="8" w:tplc="18606C94" w:tentative="1">
      <w:start w:val="1"/>
      <w:numFmt w:val="lowerRoman"/>
      <w:lvlText w:val="%9."/>
      <w:lvlJc w:val="right"/>
      <w:pPr>
        <w:tabs>
          <w:tab w:val="num" w:pos="6840"/>
        </w:tabs>
        <w:ind w:left="6840" w:hanging="180"/>
      </w:pPr>
    </w:lvl>
  </w:abstractNum>
  <w:abstractNum w:abstractNumId="10">
    <w:nsid w:val="0D4C5801"/>
    <w:multiLevelType w:val="hybridMultilevel"/>
    <w:tmpl w:val="F332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B20C06"/>
    <w:multiLevelType w:val="hybridMultilevel"/>
    <w:tmpl w:val="F19CA2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F6A16E7"/>
    <w:multiLevelType w:val="hybridMultilevel"/>
    <w:tmpl w:val="276CBB50"/>
    <w:lvl w:ilvl="0" w:tplc="C92E69F6">
      <w:start w:val="1"/>
      <w:numFmt w:val="upperLetter"/>
      <w:lvlText w:val="%1."/>
      <w:lvlJc w:val="left"/>
      <w:pPr>
        <w:tabs>
          <w:tab w:val="num" w:pos="1080"/>
        </w:tabs>
        <w:ind w:left="1080" w:hanging="720"/>
      </w:pPr>
      <w:rPr>
        <w:rFonts w:hint="default"/>
      </w:rPr>
    </w:lvl>
    <w:lvl w:ilvl="1" w:tplc="5EF8D8AC" w:tentative="1">
      <w:start w:val="1"/>
      <w:numFmt w:val="lowerLetter"/>
      <w:lvlText w:val="%2."/>
      <w:lvlJc w:val="left"/>
      <w:pPr>
        <w:tabs>
          <w:tab w:val="num" w:pos="1440"/>
        </w:tabs>
        <w:ind w:left="1440" w:hanging="360"/>
      </w:pPr>
    </w:lvl>
    <w:lvl w:ilvl="2" w:tplc="E2184DD6" w:tentative="1">
      <w:start w:val="1"/>
      <w:numFmt w:val="lowerRoman"/>
      <w:lvlText w:val="%3."/>
      <w:lvlJc w:val="right"/>
      <w:pPr>
        <w:tabs>
          <w:tab w:val="num" w:pos="2160"/>
        </w:tabs>
        <w:ind w:left="2160" w:hanging="180"/>
      </w:pPr>
    </w:lvl>
    <w:lvl w:ilvl="3" w:tplc="9C1A3614" w:tentative="1">
      <w:start w:val="1"/>
      <w:numFmt w:val="decimal"/>
      <w:lvlText w:val="%4."/>
      <w:lvlJc w:val="left"/>
      <w:pPr>
        <w:tabs>
          <w:tab w:val="num" w:pos="2880"/>
        </w:tabs>
        <w:ind w:left="2880" w:hanging="360"/>
      </w:pPr>
    </w:lvl>
    <w:lvl w:ilvl="4" w:tplc="E876BD4E" w:tentative="1">
      <w:start w:val="1"/>
      <w:numFmt w:val="lowerLetter"/>
      <w:lvlText w:val="%5."/>
      <w:lvlJc w:val="left"/>
      <w:pPr>
        <w:tabs>
          <w:tab w:val="num" w:pos="3600"/>
        </w:tabs>
        <w:ind w:left="3600" w:hanging="360"/>
      </w:pPr>
    </w:lvl>
    <w:lvl w:ilvl="5" w:tplc="FD0665E0" w:tentative="1">
      <w:start w:val="1"/>
      <w:numFmt w:val="lowerRoman"/>
      <w:lvlText w:val="%6."/>
      <w:lvlJc w:val="right"/>
      <w:pPr>
        <w:tabs>
          <w:tab w:val="num" w:pos="4320"/>
        </w:tabs>
        <w:ind w:left="4320" w:hanging="180"/>
      </w:pPr>
    </w:lvl>
    <w:lvl w:ilvl="6" w:tplc="BDCA957C" w:tentative="1">
      <w:start w:val="1"/>
      <w:numFmt w:val="decimal"/>
      <w:lvlText w:val="%7."/>
      <w:lvlJc w:val="left"/>
      <w:pPr>
        <w:tabs>
          <w:tab w:val="num" w:pos="5040"/>
        </w:tabs>
        <w:ind w:left="5040" w:hanging="360"/>
      </w:pPr>
    </w:lvl>
    <w:lvl w:ilvl="7" w:tplc="62502F9E" w:tentative="1">
      <w:start w:val="1"/>
      <w:numFmt w:val="lowerLetter"/>
      <w:lvlText w:val="%8."/>
      <w:lvlJc w:val="left"/>
      <w:pPr>
        <w:tabs>
          <w:tab w:val="num" w:pos="5760"/>
        </w:tabs>
        <w:ind w:left="5760" w:hanging="360"/>
      </w:pPr>
    </w:lvl>
    <w:lvl w:ilvl="8" w:tplc="40D47A3C" w:tentative="1">
      <w:start w:val="1"/>
      <w:numFmt w:val="lowerRoman"/>
      <w:lvlText w:val="%9."/>
      <w:lvlJc w:val="right"/>
      <w:pPr>
        <w:tabs>
          <w:tab w:val="num" w:pos="6480"/>
        </w:tabs>
        <w:ind w:left="6480" w:hanging="180"/>
      </w:pPr>
    </w:lvl>
  </w:abstractNum>
  <w:abstractNum w:abstractNumId="13">
    <w:nsid w:val="0F747B30"/>
    <w:multiLevelType w:val="hybridMultilevel"/>
    <w:tmpl w:val="7376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A738F1"/>
    <w:multiLevelType w:val="hybridMultilevel"/>
    <w:tmpl w:val="7D5C9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8C169EF"/>
    <w:multiLevelType w:val="hybridMultilevel"/>
    <w:tmpl w:val="A56A7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841D7D"/>
    <w:multiLevelType w:val="hybridMultilevel"/>
    <w:tmpl w:val="6FFEF5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0A37BE"/>
    <w:multiLevelType w:val="hybridMultilevel"/>
    <w:tmpl w:val="A754B67A"/>
    <w:lvl w:ilvl="0" w:tplc="45A40E2A">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776F02"/>
    <w:multiLevelType w:val="hybridMultilevel"/>
    <w:tmpl w:val="C5E6AA14"/>
    <w:lvl w:ilvl="0" w:tplc="0D68C24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212844F0"/>
    <w:multiLevelType w:val="hybridMultilevel"/>
    <w:tmpl w:val="D8F0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1BE29EE"/>
    <w:multiLevelType w:val="hybridMultilevel"/>
    <w:tmpl w:val="825A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E1382A"/>
    <w:multiLevelType w:val="hybridMultilevel"/>
    <w:tmpl w:val="AB14B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22">
    <w:nsid w:val="2864464D"/>
    <w:multiLevelType w:val="hybridMultilevel"/>
    <w:tmpl w:val="957C6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DA10AE"/>
    <w:multiLevelType w:val="hybridMultilevel"/>
    <w:tmpl w:val="1D84C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6F4F9A"/>
    <w:multiLevelType w:val="hybridMultilevel"/>
    <w:tmpl w:val="A16077F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E49551F"/>
    <w:multiLevelType w:val="hybridMultilevel"/>
    <w:tmpl w:val="B99C4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FB1563E"/>
    <w:multiLevelType w:val="hybridMultilevel"/>
    <w:tmpl w:val="BBAC2F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11C4DC1"/>
    <w:multiLevelType w:val="hybridMultilevel"/>
    <w:tmpl w:val="28E41022"/>
    <w:lvl w:ilvl="0" w:tplc="D8E8FA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3DE0DB5"/>
    <w:multiLevelType w:val="hybridMultilevel"/>
    <w:tmpl w:val="0CF6B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29">
    <w:nsid w:val="34107BC9"/>
    <w:multiLevelType w:val="hybridMultilevel"/>
    <w:tmpl w:val="21843CC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nsid w:val="34306439"/>
    <w:multiLevelType w:val="hybridMultilevel"/>
    <w:tmpl w:val="72BE5F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373813A4"/>
    <w:multiLevelType w:val="hybridMultilevel"/>
    <w:tmpl w:val="77EE5BB4"/>
    <w:lvl w:ilvl="0" w:tplc="EFFAF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7E20CA3"/>
    <w:multiLevelType w:val="hybridMultilevel"/>
    <w:tmpl w:val="97CA8EDA"/>
    <w:lvl w:ilvl="0" w:tplc="792C1964">
      <w:start w:val="1"/>
      <w:numFmt w:val="upperLetter"/>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8706C3A"/>
    <w:multiLevelType w:val="hybridMultilevel"/>
    <w:tmpl w:val="555CFF82"/>
    <w:lvl w:ilvl="0" w:tplc="8084E5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8D32BC0"/>
    <w:multiLevelType w:val="hybridMultilevel"/>
    <w:tmpl w:val="CAE0ABB6"/>
    <w:lvl w:ilvl="0" w:tplc="E8A80AF6">
      <w:start w:val="1"/>
      <w:numFmt w:val="decimal"/>
      <w:lvlText w:val="%1."/>
      <w:lvlJc w:val="left"/>
      <w:pPr>
        <w:ind w:left="360" w:hanging="360"/>
      </w:pPr>
      <w:rPr>
        <w:rFonts w:ascii="Calibri" w:hAnsi="Calibri" w:hint="default"/>
        <w:sz w:val="22"/>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nsid w:val="39844F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3D36753D"/>
    <w:multiLevelType w:val="hybridMultilevel"/>
    <w:tmpl w:val="C324D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E56278D"/>
    <w:multiLevelType w:val="hybridMultilevel"/>
    <w:tmpl w:val="00483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38">
    <w:nsid w:val="42D94DD0"/>
    <w:multiLevelType w:val="hybridMultilevel"/>
    <w:tmpl w:val="65BC5FC2"/>
    <w:lvl w:ilvl="0" w:tplc="519EB3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3E01F92"/>
    <w:multiLevelType w:val="hybridMultilevel"/>
    <w:tmpl w:val="04AEF054"/>
    <w:lvl w:ilvl="0" w:tplc="96302F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40E06FC"/>
    <w:multiLevelType w:val="hybridMultilevel"/>
    <w:tmpl w:val="5574D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43F63C2"/>
    <w:multiLevelType w:val="hybridMultilevel"/>
    <w:tmpl w:val="52B8DC92"/>
    <w:lvl w:ilvl="0" w:tplc="A0C05C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43">
    <w:nsid w:val="490215E7"/>
    <w:multiLevelType w:val="hybridMultilevel"/>
    <w:tmpl w:val="D5EEB9F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4">
    <w:nsid w:val="4D080221"/>
    <w:multiLevelType w:val="hybridMultilevel"/>
    <w:tmpl w:val="D6AAC276"/>
    <w:lvl w:ilvl="0" w:tplc="04090001">
      <w:start w:val="1"/>
      <w:numFmt w:val="bullet"/>
      <w:lvlText w:val=""/>
      <w:lvlJc w:val="left"/>
      <w:pPr>
        <w:ind w:left="720" w:hanging="360"/>
      </w:pPr>
      <w:rPr>
        <w:rFonts w:ascii="Symbol" w:hAnsi="Symbol" w:hint="default"/>
      </w:rPr>
    </w:lvl>
    <w:lvl w:ilvl="1" w:tplc="5D5E428E">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4DD23135"/>
    <w:multiLevelType w:val="hybridMultilevel"/>
    <w:tmpl w:val="F110A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46">
    <w:nsid w:val="551E20FF"/>
    <w:multiLevelType w:val="hybridMultilevel"/>
    <w:tmpl w:val="6520E6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7">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48">
    <w:nsid w:val="5C8B0A46"/>
    <w:multiLevelType w:val="hybridMultilevel"/>
    <w:tmpl w:val="4314DB4C"/>
    <w:lvl w:ilvl="0" w:tplc="A9744182">
      <w:start w:val="1"/>
      <w:numFmt w:val="lowerLetter"/>
      <w:lvlText w:val="(%1)"/>
      <w:lvlJc w:val="left"/>
      <w:pPr>
        <w:tabs>
          <w:tab w:val="num" w:pos="360"/>
        </w:tabs>
        <w:ind w:left="360" w:hanging="360"/>
      </w:pPr>
      <w:rPr>
        <w:rFonts w:hint="default"/>
      </w:rPr>
    </w:lvl>
    <w:lvl w:ilvl="1" w:tplc="63CA9974">
      <w:start w:val="1"/>
      <w:numFmt w:val="upperLetter"/>
      <w:lvlText w:val="(%2)"/>
      <w:lvlJc w:val="left"/>
      <w:pPr>
        <w:tabs>
          <w:tab w:val="num" w:pos="1080"/>
        </w:tabs>
        <w:ind w:left="1080" w:hanging="360"/>
      </w:pPr>
      <w:rPr>
        <w:rFonts w:hint="default"/>
      </w:rPr>
    </w:lvl>
    <w:lvl w:ilvl="2" w:tplc="612EA8BA" w:tentative="1">
      <w:start w:val="1"/>
      <w:numFmt w:val="lowerRoman"/>
      <w:lvlText w:val="%3."/>
      <w:lvlJc w:val="right"/>
      <w:pPr>
        <w:tabs>
          <w:tab w:val="num" w:pos="1800"/>
        </w:tabs>
        <w:ind w:left="1800" w:hanging="180"/>
      </w:pPr>
    </w:lvl>
    <w:lvl w:ilvl="3" w:tplc="873690BC" w:tentative="1">
      <w:start w:val="1"/>
      <w:numFmt w:val="decimal"/>
      <w:lvlText w:val="%4."/>
      <w:lvlJc w:val="left"/>
      <w:pPr>
        <w:tabs>
          <w:tab w:val="num" w:pos="2520"/>
        </w:tabs>
        <w:ind w:left="2520" w:hanging="360"/>
      </w:pPr>
    </w:lvl>
    <w:lvl w:ilvl="4" w:tplc="E2E05562" w:tentative="1">
      <w:start w:val="1"/>
      <w:numFmt w:val="lowerLetter"/>
      <w:lvlText w:val="%5."/>
      <w:lvlJc w:val="left"/>
      <w:pPr>
        <w:tabs>
          <w:tab w:val="num" w:pos="3240"/>
        </w:tabs>
        <w:ind w:left="3240" w:hanging="360"/>
      </w:pPr>
    </w:lvl>
    <w:lvl w:ilvl="5" w:tplc="FCBEBA2E" w:tentative="1">
      <w:start w:val="1"/>
      <w:numFmt w:val="lowerRoman"/>
      <w:lvlText w:val="%6."/>
      <w:lvlJc w:val="right"/>
      <w:pPr>
        <w:tabs>
          <w:tab w:val="num" w:pos="3960"/>
        </w:tabs>
        <w:ind w:left="3960" w:hanging="180"/>
      </w:pPr>
    </w:lvl>
    <w:lvl w:ilvl="6" w:tplc="FCFAB19C" w:tentative="1">
      <w:start w:val="1"/>
      <w:numFmt w:val="decimal"/>
      <w:lvlText w:val="%7."/>
      <w:lvlJc w:val="left"/>
      <w:pPr>
        <w:tabs>
          <w:tab w:val="num" w:pos="4680"/>
        </w:tabs>
        <w:ind w:left="4680" w:hanging="360"/>
      </w:pPr>
    </w:lvl>
    <w:lvl w:ilvl="7" w:tplc="2D6AB720" w:tentative="1">
      <w:start w:val="1"/>
      <w:numFmt w:val="lowerLetter"/>
      <w:lvlText w:val="%8."/>
      <w:lvlJc w:val="left"/>
      <w:pPr>
        <w:tabs>
          <w:tab w:val="num" w:pos="5400"/>
        </w:tabs>
        <w:ind w:left="5400" w:hanging="360"/>
      </w:pPr>
    </w:lvl>
    <w:lvl w:ilvl="8" w:tplc="BB6A4E4A" w:tentative="1">
      <w:start w:val="1"/>
      <w:numFmt w:val="lowerRoman"/>
      <w:lvlText w:val="%9."/>
      <w:lvlJc w:val="right"/>
      <w:pPr>
        <w:tabs>
          <w:tab w:val="num" w:pos="6120"/>
        </w:tabs>
        <w:ind w:left="6120" w:hanging="180"/>
      </w:pPr>
    </w:lvl>
  </w:abstractNum>
  <w:abstractNum w:abstractNumId="49">
    <w:nsid w:val="600454DB"/>
    <w:multiLevelType w:val="hybridMultilevel"/>
    <w:tmpl w:val="BCFCB6B2"/>
    <w:lvl w:ilvl="0" w:tplc="DFBE2CB6">
      <w:start w:val="8"/>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05E434A"/>
    <w:multiLevelType w:val="hybridMultilevel"/>
    <w:tmpl w:val="C6820CA4"/>
    <w:lvl w:ilvl="0" w:tplc="CA2C8678">
      <w:start w:val="16"/>
      <w:numFmt w:val="decimal"/>
      <w:lvlText w:val="%1."/>
      <w:lvlJc w:val="left"/>
      <w:pPr>
        <w:tabs>
          <w:tab w:val="num" w:pos="1440"/>
        </w:tabs>
        <w:ind w:left="1440" w:hanging="720"/>
      </w:pPr>
      <w:rPr>
        <w:rFonts w:hint="default"/>
      </w:rPr>
    </w:lvl>
    <w:lvl w:ilvl="1" w:tplc="0BC4BDD2" w:tentative="1">
      <w:start w:val="1"/>
      <w:numFmt w:val="lowerLetter"/>
      <w:lvlText w:val="%2."/>
      <w:lvlJc w:val="left"/>
      <w:pPr>
        <w:tabs>
          <w:tab w:val="num" w:pos="1800"/>
        </w:tabs>
        <w:ind w:left="1800" w:hanging="360"/>
      </w:pPr>
    </w:lvl>
    <w:lvl w:ilvl="2" w:tplc="B48AC14E" w:tentative="1">
      <w:start w:val="1"/>
      <w:numFmt w:val="lowerRoman"/>
      <w:lvlText w:val="%3."/>
      <w:lvlJc w:val="right"/>
      <w:pPr>
        <w:tabs>
          <w:tab w:val="num" w:pos="2520"/>
        </w:tabs>
        <w:ind w:left="2520" w:hanging="180"/>
      </w:pPr>
    </w:lvl>
    <w:lvl w:ilvl="3" w:tplc="745EC290" w:tentative="1">
      <w:start w:val="1"/>
      <w:numFmt w:val="decimal"/>
      <w:lvlText w:val="%4."/>
      <w:lvlJc w:val="left"/>
      <w:pPr>
        <w:tabs>
          <w:tab w:val="num" w:pos="3240"/>
        </w:tabs>
        <w:ind w:left="3240" w:hanging="360"/>
      </w:pPr>
    </w:lvl>
    <w:lvl w:ilvl="4" w:tplc="8772CAFC" w:tentative="1">
      <w:start w:val="1"/>
      <w:numFmt w:val="lowerLetter"/>
      <w:lvlText w:val="%5."/>
      <w:lvlJc w:val="left"/>
      <w:pPr>
        <w:tabs>
          <w:tab w:val="num" w:pos="3960"/>
        </w:tabs>
        <w:ind w:left="3960" w:hanging="360"/>
      </w:pPr>
    </w:lvl>
    <w:lvl w:ilvl="5" w:tplc="AE58DE60" w:tentative="1">
      <w:start w:val="1"/>
      <w:numFmt w:val="lowerRoman"/>
      <w:lvlText w:val="%6."/>
      <w:lvlJc w:val="right"/>
      <w:pPr>
        <w:tabs>
          <w:tab w:val="num" w:pos="4680"/>
        </w:tabs>
        <w:ind w:left="4680" w:hanging="180"/>
      </w:pPr>
    </w:lvl>
    <w:lvl w:ilvl="6" w:tplc="A574C57C" w:tentative="1">
      <w:start w:val="1"/>
      <w:numFmt w:val="decimal"/>
      <w:lvlText w:val="%7."/>
      <w:lvlJc w:val="left"/>
      <w:pPr>
        <w:tabs>
          <w:tab w:val="num" w:pos="5400"/>
        </w:tabs>
        <w:ind w:left="5400" w:hanging="360"/>
      </w:pPr>
    </w:lvl>
    <w:lvl w:ilvl="7" w:tplc="A9105F7A" w:tentative="1">
      <w:start w:val="1"/>
      <w:numFmt w:val="lowerLetter"/>
      <w:lvlText w:val="%8."/>
      <w:lvlJc w:val="left"/>
      <w:pPr>
        <w:tabs>
          <w:tab w:val="num" w:pos="6120"/>
        </w:tabs>
        <w:ind w:left="6120" w:hanging="360"/>
      </w:pPr>
    </w:lvl>
    <w:lvl w:ilvl="8" w:tplc="5C766D2A" w:tentative="1">
      <w:start w:val="1"/>
      <w:numFmt w:val="lowerRoman"/>
      <w:lvlText w:val="%9."/>
      <w:lvlJc w:val="right"/>
      <w:pPr>
        <w:tabs>
          <w:tab w:val="num" w:pos="6840"/>
        </w:tabs>
        <w:ind w:left="6840" w:hanging="180"/>
      </w:pPr>
    </w:lvl>
  </w:abstractNum>
  <w:abstractNum w:abstractNumId="51">
    <w:nsid w:val="63C540D1"/>
    <w:multiLevelType w:val="hybridMultilevel"/>
    <w:tmpl w:val="C708374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2">
    <w:nsid w:val="659F4DC7"/>
    <w:multiLevelType w:val="hybridMultilevel"/>
    <w:tmpl w:val="340A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5C62EBC"/>
    <w:multiLevelType w:val="hybridMultilevel"/>
    <w:tmpl w:val="50CE4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9827FDD"/>
    <w:multiLevelType w:val="hybridMultilevel"/>
    <w:tmpl w:val="094AE0EC"/>
    <w:lvl w:ilvl="0" w:tplc="438A5930">
      <w:start w:val="8"/>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5">
    <w:nsid w:val="6CEB4595"/>
    <w:multiLevelType w:val="hybridMultilevel"/>
    <w:tmpl w:val="578E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4B4705D"/>
    <w:multiLevelType w:val="hybridMultilevel"/>
    <w:tmpl w:val="5B0C6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4D602A9"/>
    <w:multiLevelType w:val="hybridMultilevel"/>
    <w:tmpl w:val="6128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6BD79BF"/>
    <w:multiLevelType w:val="hybridMultilevel"/>
    <w:tmpl w:val="EF24D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74F5C38"/>
    <w:multiLevelType w:val="hybridMultilevel"/>
    <w:tmpl w:val="F54AB9D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60">
    <w:nsid w:val="7824586A"/>
    <w:multiLevelType w:val="hybridMultilevel"/>
    <w:tmpl w:val="45344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7D1C6B6B"/>
    <w:multiLevelType w:val="hybridMultilevel"/>
    <w:tmpl w:val="362CC826"/>
    <w:lvl w:ilvl="0" w:tplc="9E20C7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47"/>
  </w:num>
  <w:num w:numId="3">
    <w:abstractNumId w:val="12"/>
  </w:num>
  <w:num w:numId="4">
    <w:abstractNumId w:val="9"/>
  </w:num>
  <w:num w:numId="5">
    <w:abstractNumId w:val="1"/>
  </w:num>
  <w:num w:numId="6">
    <w:abstractNumId w:val="0"/>
  </w:num>
  <w:num w:numId="7">
    <w:abstractNumId w:val="50"/>
  </w:num>
  <w:num w:numId="8">
    <w:abstractNumId w:val="2"/>
  </w:num>
  <w:num w:numId="9">
    <w:abstractNumId w:val="54"/>
  </w:num>
  <w:num w:numId="10">
    <w:abstractNumId w:val="18"/>
  </w:num>
  <w:num w:numId="11">
    <w:abstractNumId w:val="48"/>
  </w:num>
  <w:num w:numId="12">
    <w:abstractNumId w:val="42"/>
  </w:num>
  <w:num w:numId="13">
    <w:abstractNumId w:val="60"/>
  </w:num>
  <w:num w:numId="14">
    <w:abstractNumId w:val="43"/>
  </w:num>
  <w:num w:numId="15">
    <w:abstractNumId w:val="38"/>
  </w:num>
  <w:num w:numId="16">
    <w:abstractNumId w:val="56"/>
  </w:num>
  <w:num w:numId="17">
    <w:abstractNumId w:val="3"/>
  </w:num>
  <w:num w:numId="18">
    <w:abstractNumId w:val="52"/>
  </w:num>
  <w:num w:numId="19">
    <w:abstractNumId w:val="11"/>
  </w:num>
  <w:num w:numId="20">
    <w:abstractNumId w:val="44"/>
  </w:num>
  <w:num w:numId="21">
    <w:abstractNumId w:val="24"/>
  </w:num>
  <w:num w:numId="22">
    <w:abstractNumId w:val="14"/>
  </w:num>
  <w:num w:numId="23">
    <w:abstractNumId w:val="17"/>
  </w:num>
  <w:num w:numId="24">
    <w:abstractNumId w:val="59"/>
  </w:num>
  <w:num w:numId="25">
    <w:abstractNumId w:val="5"/>
  </w:num>
  <w:num w:numId="26">
    <w:abstractNumId w:val="10"/>
  </w:num>
  <w:num w:numId="27">
    <w:abstractNumId w:val="21"/>
  </w:num>
  <w:num w:numId="28">
    <w:abstractNumId w:val="28"/>
  </w:num>
  <w:num w:numId="29">
    <w:abstractNumId w:val="37"/>
  </w:num>
  <w:num w:numId="30">
    <w:abstractNumId w:val="45"/>
  </w:num>
  <w:num w:numId="31">
    <w:abstractNumId w:val="4"/>
  </w:num>
  <w:num w:numId="32">
    <w:abstractNumId w:val="22"/>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33"/>
  </w:num>
  <w:num w:numId="36">
    <w:abstractNumId w:val="31"/>
  </w:num>
  <w:num w:numId="37">
    <w:abstractNumId w:val="32"/>
  </w:num>
  <w:num w:numId="38">
    <w:abstractNumId w:val="23"/>
  </w:num>
  <w:num w:numId="39">
    <w:abstractNumId w:val="40"/>
  </w:num>
  <w:num w:numId="4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16"/>
  </w:num>
  <w:num w:numId="43">
    <w:abstractNumId w:val="36"/>
  </w:num>
  <w:num w:numId="44">
    <w:abstractNumId w:val="19"/>
  </w:num>
  <w:num w:numId="45">
    <w:abstractNumId w:val="6"/>
  </w:num>
  <w:num w:numId="46">
    <w:abstractNumId w:val="35"/>
  </w:num>
  <w:num w:numId="47">
    <w:abstractNumId w:val="51"/>
  </w:num>
  <w:num w:numId="48">
    <w:abstractNumId w:val="20"/>
  </w:num>
  <w:num w:numId="49">
    <w:abstractNumId w:val="55"/>
  </w:num>
  <w:num w:numId="50">
    <w:abstractNumId w:val="53"/>
  </w:num>
  <w:num w:numId="51">
    <w:abstractNumId w:val="27"/>
  </w:num>
  <w:num w:numId="52">
    <w:abstractNumId w:val="13"/>
  </w:num>
  <w:num w:numId="53">
    <w:abstractNumId w:val="57"/>
  </w:num>
  <w:num w:numId="54">
    <w:abstractNumId w:val="49"/>
  </w:num>
  <w:num w:numId="55">
    <w:abstractNumId w:val="58"/>
  </w:num>
  <w:num w:numId="56">
    <w:abstractNumId w:val="61"/>
  </w:num>
  <w:num w:numId="57">
    <w:abstractNumId w:val="41"/>
  </w:num>
  <w:num w:numId="58">
    <w:abstractNumId w:val="26"/>
  </w:num>
  <w:num w:numId="59">
    <w:abstractNumId w:val="15"/>
  </w:num>
  <w:num w:numId="60">
    <w:abstractNumId w:val="29"/>
  </w:num>
  <w:num w:numId="61">
    <w:abstractNumId w:val="25"/>
  </w:num>
  <w:num w:numId="62">
    <w:abstractNumId w:val="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defaultTabStop w:val="288"/>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597"/>
    <w:rsid w:val="000001ED"/>
    <w:rsid w:val="00000C1A"/>
    <w:rsid w:val="00000FA7"/>
    <w:rsid w:val="00002501"/>
    <w:rsid w:val="0000574C"/>
    <w:rsid w:val="00006C48"/>
    <w:rsid w:val="00010BFE"/>
    <w:rsid w:val="00010FBC"/>
    <w:rsid w:val="0001144C"/>
    <w:rsid w:val="00011DD5"/>
    <w:rsid w:val="00012BD1"/>
    <w:rsid w:val="00012EE8"/>
    <w:rsid w:val="00013A88"/>
    <w:rsid w:val="000158E2"/>
    <w:rsid w:val="00016F4A"/>
    <w:rsid w:val="000203D3"/>
    <w:rsid w:val="0002223B"/>
    <w:rsid w:val="00022290"/>
    <w:rsid w:val="00022F3F"/>
    <w:rsid w:val="000230A6"/>
    <w:rsid w:val="00027D48"/>
    <w:rsid w:val="00027DA4"/>
    <w:rsid w:val="0003316B"/>
    <w:rsid w:val="00033B13"/>
    <w:rsid w:val="00034960"/>
    <w:rsid w:val="00040849"/>
    <w:rsid w:val="00041999"/>
    <w:rsid w:val="00041A00"/>
    <w:rsid w:val="000449F5"/>
    <w:rsid w:val="00045D95"/>
    <w:rsid w:val="00046398"/>
    <w:rsid w:val="00047E05"/>
    <w:rsid w:val="00051B50"/>
    <w:rsid w:val="00052AF6"/>
    <w:rsid w:val="0005368D"/>
    <w:rsid w:val="00055239"/>
    <w:rsid w:val="00055C02"/>
    <w:rsid w:val="000567B4"/>
    <w:rsid w:val="00056D3B"/>
    <w:rsid w:val="00057235"/>
    <w:rsid w:val="0005725C"/>
    <w:rsid w:val="00057451"/>
    <w:rsid w:val="00057A5C"/>
    <w:rsid w:val="00057B3E"/>
    <w:rsid w:val="000600CC"/>
    <w:rsid w:val="000601C8"/>
    <w:rsid w:val="000605AA"/>
    <w:rsid w:val="00060767"/>
    <w:rsid w:val="00061062"/>
    <w:rsid w:val="0006203E"/>
    <w:rsid w:val="000620AA"/>
    <w:rsid w:val="000636EC"/>
    <w:rsid w:val="00063D5F"/>
    <w:rsid w:val="0006486A"/>
    <w:rsid w:val="00066378"/>
    <w:rsid w:val="0006675F"/>
    <w:rsid w:val="00066F82"/>
    <w:rsid w:val="000728BE"/>
    <w:rsid w:val="00072AD2"/>
    <w:rsid w:val="00072B7B"/>
    <w:rsid w:val="00073877"/>
    <w:rsid w:val="00076D3B"/>
    <w:rsid w:val="0007787E"/>
    <w:rsid w:val="00077925"/>
    <w:rsid w:val="00080A33"/>
    <w:rsid w:val="00080E39"/>
    <w:rsid w:val="000810FA"/>
    <w:rsid w:val="000815FA"/>
    <w:rsid w:val="00081A65"/>
    <w:rsid w:val="00081BC7"/>
    <w:rsid w:val="0008337D"/>
    <w:rsid w:val="00085193"/>
    <w:rsid w:val="000859F2"/>
    <w:rsid w:val="00086E01"/>
    <w:rsid w:val="00086FA7"/>
    <w:rsid w:val="000871D7"/>
    <w:rsid w:val="00091458"/>
    <w:rsid w:val="00094F53"/>
    <w:rsid w:val="00096855"/>
    <w:rsid w:val="000A0660"/>
    <w:rsid w:val="000A1A8C"/>
    <w:rsid w:val="000A2118"/>
    <w:rsid w:val="000A228C"/>
    <w:rsid w:val="000A3DF6"/>
    <w:rsid w:val="000A5134"/>
    <w:rsid w:val="000A589A"/>
    <w:rsid w:val="000A6301"/>
    <w:rsid w:val="000A6827"/>
    <w:rsid w:val="000A7CEE"/>
    <w:rsid w:val="000A7D9D"/>
    <w:rsid w:val="000B05DB"/>
    <w:rsid w:val="000B1A17"/>
    <w:rsid w:val="000B23C4"/>
    <w:rsid w:val="000B2A23"/>
    <w:rsid w:val="000B34B9"/>
    <w:rsid w:val="000B409E"/>
    <w:rsid w:val="000B5ABE"/>
    <w:rsid w:val="000B6B50"/>
    <w:rsid w:val="000C0736"/>
    <w:rsid w:val="000C0D34"/>
    <w:rsid w:val="000C287C"/>
    <w:rsid w:val="000C30E5"/>
    <w:rsid w:val="000C3FE6"/>
    <w:rsid w:val="000C50B7"/>
    <w:rsid w:val="000C6038"/>
    <w:rsid w:val="000C60CA"/>
    <w:rsid w:val="000C6B81"/>
    <w:rsid w:val="000D1638"/>
    <w:rsid w:val="000D1CDB"/>
    <w:rsid w:val="000D2CB8"/>
    <w:rsid w:val="000D3094"/>
    <w:rsid w:val="000D3B1A"/>
    <w:rsid w:val="000D4EEB"/>
    <w:rsid w:val="000E02DE"/>
    <w:rsid w:val="000E05BA"/>
    <w:rsid w:val="000E5438"/>
    <w:rsid w:val="000E673F"/>
    <w:rsid w:val="000E6F0D"/>
    <w:rsid w:val="000E71D1"/>
    <w:rsid w:val="000E7DD8"/>
    <w:rsid w:val="000F2A34"/>
    <w:rsid w:val="000F3183"/>
    <w:rsid w:val="000F39AD"/>
    <w:rsid w:val="000F53EB"/>
    <w:rsid w:val="000F5DD4"/>
    <w:rsid w:val="000F63E8"/>
    <w:rsid w:val="000F6B09"/>
    <w:rsid w:val="001004C8"/>
    <w:rsid w:val="00100797"/>
    <w:rsid w:val="001016F3"/>
    <w:rsid w:val="00101795"/>
    <w:rsid w:val="00102944"/>
    <w:rsid w:val="0010297C"/>
    <w:rsid w:val="00102B5F"/>
    <w:rsid w:val="00102BEA"/>
    <w:rsid w:val="0010527A"/>
    <w:rsid w:val="00105461"/>
    <w:rsid w:val="001057B3"/>
    <w:rsid w:val="00105980"/>
    <w:rsid w:val="00107FE5"/>
    <w:rsid w:val="00110F6E"/>
    <w:rsid w:val="001125BA"/>
    <w:rsid w:val="00114788"/>
    <w:rsid w:val="00114DB5"/>
    <w:rsid w:val="0011653E"/>
    <w:rsid w:val="001215B1"/>
    <w:rsid w:val="00123800"/>
    <w:rsid w:val="00124591"/>
    <w:rsid w:val="00124672"/>
    <w:rsid w:val="001261A0"/>
    <w:rsid w:val="00126F8C"/>
    <w:rsid w:val="00130086"/>
    <w:rsid w:val="00131768"/>
    <w:rsid w:val="00134B9A"/>
    <w:rsid w:val="0013667E"/>
    <w:rsid w:val="0013682F"/>
    <w:rsid w:val="00136C44"/>
    <w:rsid w:val="00136E72"/>
    <w:rsid w:val="001370EF"/>
    <w:rsid w:val="00137995"/>
    <w:rsid w:val="00140AD3"/>
    <w:rsid w:val="00141F1D"/>
    <w:rsid w:val="001437FE"/>
    <w:rsid w:val="00143CF1"/>
    <w:rsid w:val="00143F5E"/>
    <w:rsid w:val="00143FC1"/>
    <w:rsid w:val="001447D4"/>
    <w:rsid w:val="00146F98"/>
    <w:rsid w:val="001470B7"/>
    <w:rsid w:val="00152D28"/>
    <w:rsid w:val="00153704"/>
    <w:rsid w:val="001543B3"/>
    <w:rsid w:val="00156C1C"/>
    <w:rsid w:val="001577BE"/>
    <w:rsid w:val="00160D78"/>
    <w:rsid w:val="0016128B"/>
    <w:rsid w:val="00161543"/>
    <w:rsid w:val="00162ED7"/>
    <w:rsid w:val="00163207"/>
    <w:rsid w:val="0016384B"/>
    <w:rsid w:val="00164072"/>
    <w:rsid w:val="0016409A"/>
    <w:rsid w:val="001653D2"/>
    <w:rsid w:val="00165F98"/>
    <w:rsid w:val="001671F2"/>
    <w:rsid w:val="00170725"/>
    <w:rsid w:val="0017076B"/>
    <w:rsid w:val="001710B4"/>
    <w:rsid w:val="00171557"/>
    <w:rsid w:val="00172987"/>
    <w:rsid w:val="00174EF5"/>
    <w:rsid w:val="00175279"/>
    <w:rsid w:val="00176C28"/>
    <w:rsid w:val="00176E41"/>
    <w:rsid w:val="00177665"/>
    <w:rsid w:val="00177F20"/>
    <w:rsid w:val="00181B9B"/>
    <w:rsid w:val="00182F56"/>
    <w:rsid w:val="0018569E"/>
    <w:rsid w:val="0018698A"/>
    <w:rsid w:val="001869A0"/>
    <w:rsid w:val="00187DBE"/>
    <w:rsid w:val="0019050E"/>
    <w:rsid w:val="00191561"/>
    <w:rsid w:val="00193CDC"/>
    <w:rsid w:val="00193E13"/>
    <w:rsid w:val="00195DC7"/>
    <w:rsid w:val="00196497"/>
    <w:rsid w:val="001968E1"/>
    <w:rsid w:val="00197F1B"/>
    <w:rsid w:val="001A15E5"/>
    <w:rsid w:val="001A1B04"/>
    <w:rsid w:val="001A2325"/>
    <w:rsid w:val="001A26FC"/>
    <w:rsid w:val="001A2D35"/>
    <w:rsid w:val="001A353A"/>
    <w:rsid w:val="001A4037"/>
    <w:rsid w:val="001A4DA2"/>
    <w:rsid w:val="001A4FBA"/>
    <w:rsid w:val="001A57F0"/>
    <w:rsid w:val="001A6DF8"/>
    <w:rsid w:val="001A6E2A"/>
    <w:rsid w:val="001B09A8"/>
    <w:rsid w:val="001B113B"/>
    <w:rsid w:val="001B3033"/>
    <w:rsid w:val="001B34D9"/>
    <w:rsid w:val="001B3F1A"/>
    <w:rsid w:val="001B3F98"/>
    <w:rsid w:val="001B6C56"/>
    <w:rsid w:val="001B7572"/>
    <w:rsid w:val="001B7A62"/>
    <w:rsid w:val="001C002E"/>
    <w:rsid w:val="001C0D02"/>
    <w:rsid w:val="001C0EA1"/>
    <w:rsid w:val="001C2132"/>
    <w:rsid w:val="001C3FF5"/>
    <w:rsid w:val="001C60DF"/>
    <w:rsid w:val="001C64F9"/>
    <w:rsid w:val="001C657A"/>
    <w:rsid w:val="001C66AB"/>
    <w:rsid w:val="001C69C8"/>
    <w:rsid w:val="001C6B06"/>
    <w:rsid w:val="001C79CE"/>
    <w:rsid w:val="001C7DFA"/>
    <w:rsid w:val="001D0182"/>
    <w:rsid w:val="001D1174"/>
    <w:rsid w:val="001D16EC"/>
    <w:rsid w:val="001D2945"/>
    <w:rsid w:val="001D2F08"/>
    <w:rsid w:val="001D3B1B"/>
    <w:rsid w:val="001D5E95"/>
    <w:rsid w:val="001D6077"/>
    <w:rsid w:val="001D7834"/>
    <w:rsid w:val="001E15AE"/>
    <w:rsid w:val="001E2847"/>
    <w:rsid w:val="001E4237"/>
    <w:rsid w:val="001F0AC8"/>
    <w:rsid w:val="001F1384"/>
    <w:rsid w:val="001F61D6"/>
    <w:rsid w:val="0020001A"/>
    <w:rsid w:val="00201801"/>
    <w:rsid w:val="00201C0A"/>
    <w:rsid w:val="00202FBB"/>
    <w:rsid w:val="00203E2F"/>
    <w:rsid w:val="00204299"/>
    <w:rsid w:val="00206008"/>
    <w:rsid w:val="002061A1"/>
    <w:rsid w:val="0020673E"/>
    <w:rsid w:val="00207BD6"/>
    <w:rsid w:val="00207EA9"/>
    <w:rsid w:val="0021143B"/>
    <w:rsid w:val="00213086"/>
    <w:rsid w:val="0021396E"/>
    <w:rsid w:val="00213DB2"/>
    <w:rsid w:val="00213DE3"/>
    <w:rsid w:val="0021414C"/>
    <w:rsid w:val="00214C7C"/>
    <w:rsid w:val="00215F88"/>
    <w:rsid w:val="0022242C"/>
    <w:rsid w:val="002226C3"/>
    <w:rsid w:val="00223C84"/>
    <w:rsid w:val="00224102"/>
    <w:rsid w:val="0022483F"/>
    <w:rsid w:val="00224DC5"/>
    <w:rsid w:val="002269A6"/>
    <w:rsid w:val="00226A71"/>
    <w:rsid w:val="002272CD"/>
    <w:rsid w:val="002272D4"/>
    <w:rsid w:val="002278E4"/>
    <w:rsid w:val="00231610"/>
    <w:rsid w:val="002331DE"/>
    <w:rsid w:val="00234A4D"/>
    <w:rsid w:val="00236B9C"/>
    <w:rsid w:val="00241015"/>
    <w:rsid w:val="00241E3F"/>
    <w:rsid w:val="00242636"/>
    <w:rsid w:val="00245188"/>
    <w:rsid w:val="00246285"/>
    <w:rsid w:val="00246651"/>
    <w:rsid w:val="00246FD2"/>
    <w:rsid w:val="00251AC5"/>
    <w:rsid w:val="00251EE3"/>
    <w:rsid w:val="00252EE8"/>
    <w:rsid w:val="00253FB0"/>
    <w:rsid w:val="002549DE"/>
    <w:rsid w:val="00260D10"/>
    <w:rsid w:val="00261BFD"/>
    <w:rsid w:val="00262F22"/>
    <w:rsid w:val="0026314E"/>
    <w:rsid w:val="0026327F"/>
    <w:rsid w:val="00263403"/>
    <w:rsid w:val="002642E2"/>
    <w:rsid w:val="0026495C"/>
    <w:rsid w:val="00264962"/>
    <w:rsid w:val="00270736"/>
    <w:rsid w:val="002720B8"/>
    <w:rsid w:val="00273884"/>
    <w:rsid w:val="002745F0"/>
    <w:rsid w:val="00275984"/>
    <w:rsid w:val="00276FDB"/>
    <w:rsid w:val="00277CE5"/>
    <w:rsid w:val="0028232B"/>
    <w:rsid w:val="002824B7"/>
    <w:rsid w:val="00283CDF"/>
    <w:rsid w:val="002868F2"/>
    <w:rsid w:val="00286FEB"/>
    <w:rsid w:val="00287F94"/>
    <w:rsid w:val="00290010"/>
    <w:rsid w:val="00290547"/>
    <w:rsid w:val="00290C2F"/>
    <w:rsid w:val="002911B9"/>
    <w:rsid w:val="00291419"/>
    <w:rsid w:val="00291805"/>
    <w:rsid w:val="002937DF"/>
    <w:rsid w:val="00294CA0"/>
    <w:rsid w:val="00295377"/>
    <w:rsid w:val="002961C8"/>
    <w:rsid w:val="00296460"/>
    <w:rsid w:val="00296F2D"/>
    <w:rsid w:val="00296FCC"/>
    <w:rsid w:val="00297273"/>
    <w:rsid w:val="00297A90"/>
    <w:rsid w:val="002A0903"/>
    <w:rsid w:val="002A2086"/>
    <w:rsid w:val="002A3532"/>
    <w:rsid w:val="002A48E6"/>
    <w:rsid w:val="002A5022"/>
    <w:rsid w:val="002A743B"/>
    <w:rsid w:val="002B3579"/>
    <w:rsid w:val="002B4BAD"/>
    <w:rsid w:val="002B51CE"/>
    <w:rsid w:val="002B5551"/>
    <w:rsid w:val="002B64D4"/>
    <w:rsid w:val="002B7301"/>
    <w:rsid w:val="002C184A"/>
    <w:rsid w:val="002C266C"/>
    <w:rsid w:val="002C29D4"/>
    <w:rsid w:val="002C3202"/>
    <w:rsid w:val="002C3CCC"/>
    <w:rsid w:val="002C406C"/>
    <w:rsid w:val="002C42EB"/>
    <w:rsid w:val="002C4A2B"/>
    <w:rsid w:val="002C4B25"/>
    <w:rsid w:val="002C6ABC"/>
    <w:rsid w:val="002C6CBF"/>
    <w:rsid w:val="002C74BE"/>
    <w:rsid w:val="002C78C0"/>
    <w:rsid w:val="002D0C30"/>
    <w:rsid w:val="002D152E"/>
    <w:rsid w:val="002D2CC0"/>
    <w:rsid w:val="002D5C52"/>
    <w:rsid w:val="002D6D49"/>
    <w:rsid w:val="002D7B53"/>
    <w:rsid w:val="002E01DC"/>
    <w:rsid w:val="002E02F9"/>
    <w:rsid w:val="002E04BE"/>
    <w:rsid w:val="002E13C8"/>
    <w:rsid w:val="002E1903"/>
    <w:rsid w:val="002E1DC6"/>
    <w:rsid w:val="002E2073"/>
    <w:rsid w:val="002E279D"/>
    <w:rsid w:val="002E2AF7"/>
    <w:rsid w:val="002E4638"/>
    <w:rsid w:val="002E4749"/>
    <w:rsid w:val="002E4E6D"/>
    <w:rsid w:val="002E5D92"/>
    <w:rsid w:val="002F13A2"/>
    <w:rsid w:val="002F3798"/>
    <w:rsid w:val="002F380C"/>
    <w:rsid w:val="002F3AD7"/>
    <w:rsid w:val="002F4494"/>
    <w:rsid w:val="002F4627"/>
    <w:rsid w:val="002F5717"/>
    <w:rsid w:val="002F581F"/>
    <w:rsid w:val="002F593D"/>
    <w:rsid w:val="002F5C1E"/>
    <w:rsid w:val="002F5DC8"/>
    <w:rsid w:val="003006C2"/>
    <w:rsid w:val="00301BCD"/>
    <w:rsid w:val="00301DA3"/>
    <w:rsid w:val="0030227D"/>
    <w:rsid w:val="00302AE7"/>
    <w:rsid w:val="00302B2A"/>
    <w:rsid w:val="00302D64"/>
    <w:rsid w:val="00303F07"/>
    <w:rsid w:val="003040CF"/>
    <w:rsid w:val="00304D0C"/>
    <w:rsid w:val="003051D8"/>
    <w:rsid w:val="003055D5"/>
    <w:rsid w:val="00305C64"/>
    <w:rsid w:val="00305C96"/>
    <w:rsid w:val="00306B99"/>
    <w:rsid w:val="003076B8"/>
    <w:rsid w:val="0030781E"/>
    <w:rsid w:val="00307A63"/>
    <w:rsid w:val="003115A6"/>
    <w:rsid w:val="003123B8"/>
    <w:rsid w:val="003125BB"/>
    <w:rsid w:val="003137E9"/>
    <w:rsid w:val="0031490D"/>
    <w:rsid w:val="00314FD7"/>
    <w:rsid w:val="00315898"/>
    <w:rsid w:val="00315E83"/>
    <w:rsid w:val="00316F81"/>
    <w:rsid w:val="003206BE"/>
    <w:rsid w:val="0032072C"/>
    <w:rsid w:val="0032305C"/>
    <w:rsid w:val="0032344B"/>
    <w:rsid w:val="00323EB6"/>
    <w:rsid w:val="003260C4"/>
    <w:rsid w:val="003269CD"/>
    <w:rsid w:val="00326C85"/>
    <w:rsid w:val="00330527"/>
    <w:rsid w:val="00330B5C"/>
    <w:rsid w:val="00332711"/>
    <w:rsid w:val="003339D6"/>
    <w:rsid w:val="00333D67"/>
    <w:rsid w:val="00334B0F"/>
    <w:rsid w:val="003355A4"/>
    <w:rsid w:val="00335E5C"/>
    <w:rsid w:val="003365C7"/>
    <w:rsid w:val="00336819"/>
    <w:rsid w:val="00337F07"/>
    <w:rsid w:val="00341A54"/>
    <w:rsid w:val="003441BD"/>
    <w:rsid w:val="00344246"/>
    <w:rsid w:val="003502AD"/>
    <w:rsid w:val="00350A41"/>
    <w:rsid w:val="00351C07"/>
    <w:rsid w:val="00352C7D"/>
    <w:rsid w:val="00353BA5"/>
    <w:rsid w:val="00354349"/>
    <w:rsid w:val="00354703"/>
    <w:rsid w:val="00354BF8"/>
    <w:rsid w:val="00356956"/>
    <w:rsid w:val="00361945"/>
    <w:rsid w:val="00361B8F"/>
    <w:rsid w:val="00361FD6"/>
    <w:rsid w:val="003620A8"/>
    <w:rsid w:val="003637CD"/>
    <w:rsid w:val="0036393F"/>
    <w:rsid w:val="00364325"/>
    <w:rsid w:val="003647F2"/>
    <w:rsid w:val="00366513"/>
    <w:rsid w:val="003703C0"/>
    <w:rsid w:val="00372266"/>
    <w:rsid w:val="00372FF3"/>
    <w:rsid w:val="00373F47"/>
    <w:rsid w:val="00375230"/>
    <w:rsid w:val="003755B8"/>
    <w:rsid w:val="00376AFF"/>
    <w:rsid w:val="0037708C"/>
    <w:rsid w:val="003823ED"/>
    <w:rsid w:val="00383414"/>
    <w:rsid w:val="00384A2D"/>
    <w:rsid w:val="00384C20"/>
    <w:rsid w:val="003857C8"/>
    <w:rsid w:val="003857DE"/>
    <w:rsid w:val="00386CD7"/>
    <w:rsid w:val="00387EC1"/>
    <w:rsid w:val="00390B5D"/>
    <w:rsid w:val="003910BC"/>
    <w:rsid w:val="00391D99"/>
    <w:rsid w:val="00391E02"/>
    <w:rsid w:val="00391E54"/>
    <w:rsid w:val="00392A8D"/>
    <w:rsid w:val="0039519A"/>
    <w:rsid w:val="00396304"/>
    <w:rsid w:val="00396722"/>
    <w:rsid w:val="003969F2"/>
    <w:rsid w:val="003A0202"/>
    <w:rsid w:val="003A1DCF"/>
    <w:rsid w:val="003A249F"/>
    <w:rsid w:val="003A550B"/>
    <w:rsid w:val="003A596A"/>
    <w:rsid w:val="003A722D"/>
    <w:rsid w:val="003B0125"/>
    <w:rsid w:val="003B128A"/>
    <w:rsid w:val="003B12AB"/>
    <w:rsid w:val="003B1402"/>
    <w:rsid w:val="003B15A4"/>
    <w:rsid w:val="003B26F2"/>
    <w:rsid w:val="003B4B3B"/>
    <w:rsid w:val="003B4DE7"/>
    <w:rsid w:val="003B50AC"/>
    <w:rsid w:val="003B5AB6"/>
    <w:rsid w:val="003B7251"/>
    <w:rsid w:val="003B73AA"/>
    <w:rsid w:val="003B7D48"/>
    <w:rsid w:val="003C109E"/>
    <w:rsid w:val="003C2CF0"/>
    <w:rsid w:val="003C3154"/>
    <w:rsid w:val="003C483E"/>
    <w:rsid w:val="003C55AA"/>
    <w:rsid w:val="003C63C5"/>
    <w:rsid w:val="003C6A5D"/>
    <w:rsid w:val="003C7EEC"/>
    <w:rsid w:val="003D06D0"/>
    <w:rsid w:val="003D0849"/>
    <w:rsid w:val="003D1C72"/>
    <w:rsid w:val="003D3C38"/>
    <w:rsid w:val="003D3CC2"/>
    <w:rsid w:val="003D5131"/>
    <w:rsid w:val="003D57D8"/>
    <w:rsid w:val="003D6890"/>
    <w:rsid w:val="003D7559"/>
    <w:rsid w:val="003D79C9"/>
    <w:rsid w:val="003D7E2C"/>
    <w:rsid w:val="003D7E6B"/>
    <w:rsid w:val="003E1443"/>
    <w:rsid w:val="003E1F6B"/>
    <w:rsid w:val="003E20EB"/>
    <w:rsid w:val="003E34F7"/>
    <w:rsid w:val="003E38A3"/>
    <w:rsid w:val="003E418E"/>
    <w:rsid w:val="003E428D"/>
    <w:rsid w:val="003E474F"/>
    <w:rsid w:val="003E5943"/>
    <w:rsid w:val="003E68D6"/>
    <w:rsid w:val="003E7700"/>
    <w:rsid w:val="003F1B84"/>
    <w:rsid w:val="003F200D"/>
    <w:rsid w:val="003F2538"/>
    <w:rsid w:val="003F5C5E"/>
    <w:rsid w:val="003F6360"/>
    <w:rsid w:val="003F6B3F"/>
    <w:rsid w:val="003F6E95"/>
    <w:rsid w:val="003F7E0C"/>
    <w:rsid w:val="003F7E31"/>
    <w:rsid w:val="004000BE"/>
    <w:rsid w:val="0040273D"/>
    <w:rsid w:val="00403A65"/>
    <w:rsid w:val="0040626B"/>
    <w:rsid w:val="0041015B"/>
    <w:rsid w:val="00410BB0"/>
    <w:rsid w:val="00410DEA"/>
    <w:rsid w:val="00411161"/>
    <w:rsid w:val="004124A9"/>
    <w:rsid w:val="00412E25"/>
    <w:rsid w:val="00414629"/>
    <w:rsid w:val="00414B93"/>
    <w:rsid w:val="004152E6"/>
    <w:rsid w:val="0041568D"/>
    <w:rsid w:val="004160E3"/>
    <w:rsid w:val="0041673C"/>
    <w:rsid w:val="00416984"/>
    <w:rsid w:val="00421344"/>
    <w:rsid w:val="00422303"/>
    <w:rsid w:val="00422317"/>
    <w:rsid w:val="004248E2"/>
    <w:rsid w:val="0042576C"/>
    <w:rsid w:val="004268B8"/>
    <w:rsid w:val="0043222A"/>
    <w:rsid w:val="004326F7"/>
    <w:rsid w:val="00432AD4"/>
    <w:rsid w:val="0043398D"/>
    <w:rsid w:val="004342D7"/>
    <w:rsid w:val="00434479"/>
    <w:rsid w:val="00434664"/>
    <w:rsid w:val="0043616E"/>
    <w:rsid w:val="0043651B"/>
    <w:rsid w:val="00436694"/>
    <w:rsid w:val="00442FEB"/>
    <w:rsid w:val="004441B9"/>
    <w:rsid w:val="004457B5"/>
    <w:rsid w:val="00445B98"/>
    <w:rsid w:val="004464CA"/>
    <w:rsid w:val="00447705"/>
    <w:rsid w:val="00447BDF"/>
    <w:rsid w:val="00450B65"/>
    <w:rsid w:val="00452622"/>
    <w:rsid w:val="00452718"/>
    <w:rsid w:val="004535AD"/>
    <w:rsid w:val="004543C3"/>
    <w:rsid w:val="00455B38"/>
    <w:rsid w:val="004613E5"/>
    <w:rsid w:val="00465082"/>
    <w:rsid w:val="00467B48"/>
    <w:rsid w:val="00470ED1"/>
    <w:rsid w:val="00470EF9"/>
    <w:rsid w:val="00472401"/>
    <w:rsid w:val="00472485"/>
    <w:rsid w:val="00472607"/>
    <w:rsid w:val="00473094"/>
    <w:rsid w:val="004757CE"/>
    <w:rsid w:val="00475D61"/>
    <w:rsid w:val="00476AAC"/>
    <w:rsid w:val="004806C9"/>
    <w:rsid w:val="00480C8A"/>
    <w:rsid w:val="00480DCD"/>
    <w:rsid w:val="004824E9"/>
    <w:rsid w:val="004830C0"/>
    <w:rsid w:val="00483699"/>
    <w:rsid w:val="00483C61"/>
    <w:rsid w:val="00485B8F"/>
    <w:rsid w:val="00485C37"/>
    <w:rsid w:val="00485E67"/>
    <w:rsid w:val="00486F4B"/>
    <w:rsid w:val="0048730D"/>
    <w:rsid w:val="00490912"/>
    <w:rsid w:val="00494A89"/>
    <w:rsid w:val="00495582"/>
    <w:rsid w:val="004962DF"/>
    <w:rsid w:val="004A0FDD"/>
    <w:rsid w:val="004A176E"/>
    <w:rsid w:val="004A2418"/>
    <w:rsid w:val="004A532C"/>
    <w:rsid w:val="004A63FC"/>
    <w:rsid w:val="004A6666"/>
    <w:rsid w:val="004A7841"/>
    <w:rsid w:val="004B027A"/>
    <w:rsid w:val="004B1D4D"/>
    <w:rsid w:val="004B2A1A"/>
    <w:rsid w:val="004B2A90"/>
    <w:rsid w:val="004B2CAF"/>
    <w:rsid w:val="004B3754"/>
    <w:rsid w:val="004B3A1E"/>
    <w:rsid w:val="004B44A2"/>
    <w:rsid w:val="004B4F5F"/>
    <w:rsid w:val="004B590E"/>
    <w:rsid w:val="004B5C0A"/>
    <w:rsid w:val="004B66C0"/>
    <w:rsid w:val="004C2A29"/>
    <w:rsid w:val="004C3640"/>
    <w:rsid w:val="004C3820"/>
    <w:rsid w:val="004C4235"/>
    <w:rsid w:val="004D034A"/>
    <w:rsid w:val="004D063E"/>
    <w:rsid w:val="004D0C9F"/>
    <w:rsid w:val="004D2194"/>
    <w:rsid w:val="004D25C1"/>
    <w:rsid w:val="004D3E35"/>
    <w:rsid w:val="004D508A"/>
    <w:rsid w:val="004D6D27"/>
    <w:rsid w:val="004E0A09"/>
    <w:rsid w:val="004E0F76"/>
    <w:rsid w:val="004E1541"/>
    <w:rsid w:val="004E1E0D"/>
    <w:rsid w:val="004E3D49"/>
    <w:rsid w:val="004E58DC"/>
    <w:rsid w:val="004E5CD1"/>
    <w:rsid w:val="004E6DD4"/>
    <w:rsid w:val="004E79B1"/>
    <w:rsid w:val="004E7AC7"/>
    <w:rsid w:val="004F2C82"/>
    <w:rsid w:val="004F45BC"/>
    <w:rsid w:val="004F6537"/>
    <w:rsid w:val="004F7CDE"/>
    <w:rsid w:val="00501CB1"/>
    <w:rsid w:val="0050225F"/>
    <w:rsid w:val="005024CD"/>
    <w:rsid w:val="00503E01"/>
    <w:rsid w:val="00504C27"/>
    <w:rsid w:val="0050531A"/>
    <w:rsid w:val="00505800"/>
    <w:rsid w:val="00506A99"/>
    <w:rsid w:val="005105CE"/>
    <w:rsid w:val="00511B1E"/>
    <w:rsid w:val="00511F50"/>
    <w:rsid w:val="00512D6D"/>
    <w:rsid w:val="00514E80"/>
    <w:rsid w:val="005162A6"/>
    <w:rsid w:val="0051648D"/>
    <w:rsid w:val="005175D2"/>
    <w:rsid w:val="00520285"/>
    <w:rsid w:val="0052049C"/>
    <w:rsid w:val="005209D4"/>
    <w:rsid w:val="00521267"/>
    <w:rsid w:val="00521BDD"/>
    <w:rsid w:val="00523607"/>
    <w:rsid w:val="00523ECB"/>
    <w:rsid w:val="00525B30"/>
    <w:rsid w:val="005267F2"/>
    <w:rsid w:val="00527FC8"/>
    <w:rsid w:val="005307B2"/>
    <w:rsid w:val="00531D20"/>
    <w:rsid w:val="005336EC"/>
    <w:rsid w:val="0053456B"/>
    <w:rsid w:val="005354DE"/>
    <w:rsid w:val="00535F71"/>
    <w:rsid w:val="005400E5"/>
    <w:rsid w:val="005403C8"/>
    <w:rsid w:val="00543535"/>
    <w:rsid w:val="0054434C"/>
    <w:rsid w:val="00546322"/>
    <w:rsid w:val="0054776F"/>
    <w:rsid w:val="005479C7"/>
    <w:rsid w:val="005533E8"/>
    <w:rsid w:val="0055661F"/>
    <w:rsid w:val="00557AD9"/>
    <w:rsid w:val="005608AF"/>
    <w:rsid w:val="00560AA5"/>
    <w:rsid w:val="00564BB1"/>
    <w:rsid w:val="005716E7"/>
    <w:rsid w:val="00573DB7"/>
    <w:rsid w:val="00575482"/>
    <w:rsid w:val="00575483"/>
    <w:rsid w:val="005754C0"/>
    <w:rsid w:val="00575942"/>
    <w:rsid w:val="00577471"/>
    <w:rsid w:val="005774F5"/>
    <w:rsid w:val="00577A93"/>
    <w:rsid w:val="00580759"/>
    <w:rsid w:val="00580C5B"/>
    <w:rsid w:val="00582C2B"/>
    <w:rsid w:val="005834AE"/>
    <w:rsid w:val="00584E0A"/>
    <w:rsid w:val="005871F8"/>
    <w:rsid w:val="00587D46"/>
    <w:rsid w:val="00587F35"/>
    <w:rsid w:val="0059080F"/>
    <w:rsid w:val="00591971"/>
    <w:rsid w:val="00591C9F"/>
    <w:rsid w:val="0059220C"/>
    <w:rsid w:val="005922FF"/>
    <w:rsid w:val="00592343"/>
    <w:rsid w:val="005941CB"/>
    <w:rsid w:val="005956E5"/>
    <w:rsid w:val="005957C3"/>
    <w:rsid w:val="005960D9"/>
    <w:rsid w:val="005A0FF0"/>
    <w:rsid w:val="005A1878"/>
    <w:rsid w:val="005A2085"/>
    <w:rsid w:val="005A3419"/>
    <w:rsid w:val="005A4D89"/>
    <w:rsid w:val="005A7393"/>
    <w:rsid w:val="005A79D8"/>
    <w:rsid w:val="005A7C1E"/>
    <w:rsid w:val="005A7F36"/>
    <w:rsid w:val="005B0FFF"/>
    <w:rsid w:val="005B13B4"/>
    <w:rsid w:val="005B1C5D"/>
    <w:rsid w:val="005B4E49"/>
    <w:rsid w:val="005B5334"/>
    <w:rsid w:val="005B55BF"/>
    <w:rsid w:val="005B664B"/>
    <w:rsid w:val="005B68ED"/>
    <w:rsid w:val="005B7487"/>
    <w:rsid w:val="005B787C"/>
    <w:rsid w:val="005C0B74"/>
    <w:rsid w:val="005C11AD"/>
    <w:rsid w:val="005C2911"/>
    <w:rsid w:val="005C3053"/>
    <w:rsid w:val="005C3F96"/>
    <w:rsid w:val="005C4467"/>
    <w:rsid w:val="005C4BA8"/>
    <w:rsid w:val="005C65B4"/>
    <w:rsid w:val="005C7EEE"/>
    <w:rsid w:val="005D2615"/>
    <w:rsid w:val="005D2A28"/>
    <w:rsid w:val="005D37AB"/>
    <w:rsid w:val="005D3A6A"/>
    <w:rsid w:val="005D3FA2"/>
    <w:rsid w:val="005D4313"/>
    <w:rsid w:val="005D57BF"/>
    <w:rsid w:val="005D6187"/>
    <w:rsid w:val="005D6495"/>
    <w:rsid w:val="005D66D2"/>
    <w:rsid w:val="005D7F18"/>
    <w:rsid w:val="005E1312"/>
    <w:rsid w:val="005E1FC0"/>
    <w:rsid w:val="005E2AF7"/>
    <w:rsid w:val="005E794B"/>
    <w:rsid w:val="005F1741"/>
    <w:rsid w:val="005F268F"/>
    <w:rsid w:val="005F291A"/>
    <w:rsid w:val="005F2D3A"/>
    <w:rsid w:val="005F6EDD"/>
    <w:rsid w:val="005F79E7"/>
    <w:rsid w:val="0060068E"/>
    <w:rsid w:val="006022D0"/>
    <w:rsid w:val="00602519"/>
    <w:rsid w:val="0060277E"/>
    <w:rsid w:val="00603F0E"/>
    <w:rsid w:val="0060550B"/>
    <w:rsid w:val="00605EA2"/>
    <w:rsid w:val="00605F7D"/>
    <w:rsid w:val="00605FDD"/>
    <w:rsid w:val="00607387"/>
    <w:rsid w:val="00607A58"/>
    <w:rsid w:val="00610591"/>
    <w:rsid w:val="00612EF9"/>
    <w:rsid w:val="0061386A"/>
    <w:rsid w:val="0061536B"/>
    <w:rsid w:val="00615482"/>
    <w:rsid w:val="006162A3"/>
    <w:rsid w:val="006164D9"/>
    <w:rsid w:val="00616545"/>
    <w:rsid w:val="00616F6C"/>
    <w:rsid w:val="0061741B"/>
    <w:rsid w:val="00620597"/>
    <w:rsid w:val="006206A4"/>
    <w:rsid w:val="006226A1"/>
    <w:rsid w:val="0062282A"/>
    <w:rsid w:val="0062307F"/>
    <w:rsid w:val="006252C0"/>
    <w:rsid w:val="006276C0"/>
    <w:rsid w:val="00630103"/>
    <w:rsid w:val="006307F2"/>
    <w:rsid w:val="006325AA"/>
    <w:rsid w:val="00635A47"/>
    <w:rsid w:val="006366AE"/>
    <w:rsid w:val="00637852"/>
    <w:rsid w:val="00637AD1"/>
    <w:rsid w:val="0064030A"/>
    <w:rsid w:val="00640769"/>
    <w:rsid w:val="00641781"/>
    <w:rsid w:val="006436CD"/>
    <w:rsid w:val="006442B2"/>
    <w:rsid w:val="006446B2"/>
    <w:rsid w:val="00645A8C"/>
    <w:rsid w:val="00645D7B"/>
    <w:rsid w:val="00650B5E"/>
    <w:rsid w:val="00652923"/>
    <w:rsid w:val="00653001"/>
    <w:rsid w:val="0065446F"/>
    <w:rsid w:val="006550A4"/>
    <w:rsid w:val="006551CE"/>
    <w:rsid w:val="00657D5D"/>
    <w:rsid w:val="0066097F"/>
    <w:rsid w:val="00661DCD"/>
    <w:rsid w:val="00662CB1"/>
    <w:rsid w:val="0066398A"/>
    <w:rsid w:val="00663EC3"/>
    <w:rsid w:val="0066523B"/>
    <w:rsid w:val="00665320"/>
    <w:rsid w:val="00665C94"/>
    <w:rsid w:val="00666124"/>
    <w:rsid w:val="00666D0B"/>
    <w:rsid w:val="0067008B"/>
    <w:rsid w:val="0067031B"/>
    <w:rsid w:val="00670635"/>
    <w:rsid w:val="00670AA4"/>
    <w:rsid w:val="00672293"/>
    <w:rsid w:val="00674474"/>
    <w:rsid w:val="00675393"/>
    <w:rsid w:val="0067639D"/>
    <w:rsid w:val="00677B25"/>
    <w:rsid w:val="00682A5A"/>
    <w:rsid w:val="00682EB0"/>
    <w:rsid w:val="00683F77"/>
    <w:rsid w:val="006854F3"/>
    <w:rsid w:val="00685842"/>
    <w:rsid w:val="00685A72"/>
    <w:rsid w:val="00685BDD"/>
    <w:rsid w:val="00685E54"/>
    <w:rsid w:val="00685FDE"/>
    <w:rsid w:val="00686C1F"/>
    <w:rsid w:val="0068709A"/>
    <w:rsid w:val="006907D1"/>
    <w:rsid w:val="00692BA8"/>
    <w:rsid w:val="00693A87"/>
    <w:rsid w:val="00693DE7"/>
    <w:rsid w:val="00695D92"/>
    <w:rsid w:val="0069673C"/>
    <w:rsid w:val="0069691F"/>
    <w:rsid w:val="006A0181"/>
    <w:rsid w:val="006A0B9B"/>
    <w:rsid w:val="006A1D1A"/>
    <w:rsid w:val="006A2280"/>
    <w:rsid w:val="006A23F9"/>
    <w:rsid w:val="006A2ABD"/>
    <w:rsid w:val="006A5933"/>
    <w:rsid w:val="006A5D08"/>
    <w:rsid w:val="006B2A6E"/>
    <w:rsid w:val="006B3257"/>
    <w:rsid w:val="006B3F0F"/>
    <w:rsid w:val="006B485D"/>
    <w:rsid w:val="006C05D2"/>
    <w:rsid w:val="006C08FB"/>
    <w:rsid w:val="006C0A06"/>
    <w:rsid w:val="006C2E9F"/>
    <w:rsid w:val="006C414B"/>
    <w:rsid w:val="006C48D7"/>
    <w:rsid w:val="006C7C12"/>
    <w:rsid w:val="006C7FDF"/>
    <w:rsid w:val="006D02A2"/>
    <w:rsid w:val="006D0AB8"/>
    <w:rsid w:val="006D2209"/>
    <w:rsid w:val="006D2EF9"/>
    <w:rsid w:val="006D4BC0"/>
    <w:rsid w:val="006D6118"/>
    <w:rsid w:val="006E0B1E"/>
    <w:rsid w:val="006E1632"/>
    <w:rsid w:val="006E21F7"/>
    <w:rsid w:val="006E6346"/>
    <w:rsid w:val="006E7A1F"/>
    <w:rsid w:val="006F1F5C"/>
    <w:rsid w:val="006F232C"/>
    <w:rsid w:val="006F67C7"/>
    <w:rsid w:val="006F733A"/>
    <w:rsid w:val="006F7FE6"/>
    <w:rsid w:val="00700EBA"/>
    <w:rsid w:val="0070136F"/>
    <w:rsid w:val="007023B0"/>
    <w:rsid w:val="00702DD8"/>
    <w:rsid w:val="00703AAE"/>
    <w:rsid w:val="00706440"/>
    <w:rsid w:val="00707630"/>
    <w:rsid w:val="007079AA"/>
    <w:rsid w:val="00714266"/>
    <w:rsid w:val="007153E3"/>
    <w:rsid w:val="007228E4"/>
    <w:rsid w:val="007249AC"/>
    <w:rsid w:val="00725283"/>
    <w:rsid w:val="00726909"/>
    <w:rsid w:val="0073051B"/>
    <w:rsid w:val="0073147C"/>
    <w:rsid w:val="007346D7"/>
    <w:rsid w:val="0073533F"/>
    <w:rsid w:val="00737AE0"/>
    <w:rsid w:val="007424F3"/>
    <w:rsid w:val="00743161"/>
    <w:rsid w:val="00746060"/>
    <w:rsid w:val="00746536"/>
    <w:rsid w:val="0074720D"/>
    <w:rsid w:val="00747776"/>
    <w:rsid w:val="00750369"/>
    <w:rsid w:val="007505A4"/>
    <w:rsid w:val="007506AF"/>
    <w:rsid w:val="00750F3F"/>
    <w:rsid w:val="007532D5"/>
    <w:rsid w:val="007533EB"/>
    <w:rsid w:val="007539C5"/>
    <w:rsid w:val="00754B50"/>
    <w:rsid w:val="00755072"/>
    <w:rsid w:val="00756581"/>
    <w:rsid w:val="00756668"/>
    <w:rsid w:val="00756AE1"/>
    <w:rsid w:val="00756BBF"/>
    <w:rsid w:val="007609FE"/>
    <w:rsid w:val="00760EB9"/>
    <w:rsid w:val="0076272F"/>
    <w:rsid w:val="00762774"/>
    <w:rsid w:val="00762C30"/>
    <w:rsid w:val="007630D0"/>
    <w:rsid w:val="00764649"/>
    <w:rsid w:val="00771701"/>
    <w:rsid w:val="00771FB3"/>
    <w:rsid w:val="00772101"/>
    <w:rsid w:val="0077486F"/>
    <w:rsid w:val="007760B1"/>
    <w:rsid w:val="007771DB"/>
    <w:rsid w:val="0078095C"/>
    <w:rsid w:val="007810CC"/>
    <w:rsid w:val="0078192A"/>
    <w:rsid w:val="00782E89"/>
    <w:rsid w:val="007848BB"/>
    <w:rsid w:val="00784C80"/>
    <w:rsid w:val="00785C98"/>
    <w:rsid w:val="007861F3"/>
    <w:rsid w:val="00787169"/>
    <w:rsid w:val="00790FA1"/>
    <w:rsid w:val="00791AD3"/>
    <w:rsid w:val="00791C3E"/>
    <w:rsid w:val="00792488"/>
    <w:rsid w:val="007A03FC"/>
    <w:rsid w:val="007A049A"/>
    <w:rsid w:val="007A157C"/>
    <w:rsid w:val="007A3CF3"/>
    <w:rsid w:val="007A70F0"/>
    <w:rsid w:val="007A7710"/>
    <w:rsid w:val="007A7AA8"/>
    <w:rsid w:val="007B0F73"/>
    <w:rsid w:val="007B1216"/>
    <w:rsid w:val="007B241A"/>
    <w:rsid w:val="007B2E0E"/>
    <w:rsid w:val="007B36CE"/>
    <w:rsid w:val="007B3DC0"/>
    <w:rsid w:val="007B49EA"/>
    <w:rsid w:val="007B640C"/>
    <w:rsid w:val="007C15ED"/>
    <w:rsid w:val="007C1B6B"/>
    <w:rsid w:val="007C253F"/>
    <w:rsid w:val="007C258F"/>
    <w:rsid w:val="007C2EB5"/>
    <w:rsid w:val="007C39B5"/>
    <w:rsid w:val="007C4393"/>
    <w:rsid w:val="007C461C"/>
    <w:rsid w:val="007C48FE"/>
    <w:rsid w:val="007C4DE4"/>
    <w:rsid w:val="007C5034"/>
    <w:rsid w:val="007C5CF2"/>
    <w:rsid w:val="007D0BD9"/>
    <w:rsid w:val="007D2E63"/>
    <w:rsid w:val="007D3602"/>
    <w:rsid w:val="007D3CF5"/>
    <w:rsid w:val="007D3DE0"/>
    <w:rsid w:val="007D4E12"/>
    <w:rsid w:val="007D5106"/>
    <w:rsid w:val="007D6D58"/>
    <w:rsid w:val="007D6F04"/>
    <w:rsid w:val="007D70EB"/>
    <w:rsid w:val="007E144C"/>
    <w:rsid w:val="007E2DC1"/>
    <w:rsid w:val="007E42D8"/>
    <w:rsid w:val="007F19E6"/>
    <w:rsid w:val="007F290D"/>
    <w:rsid w:val="007F6117"/>
    <w:rsid w:val="007F6722"/>
    <w:rsid w:val="007F6873"/>
    <w:rsid w:val="007F696C"/>
    <w:rsid w:val="008015F5"/>
    <w:rsid w:val="00801B20"/>
    <w:rsid w:val="00802EF4"/>
    <w:rsid w:val="0080486A"/>
    <w:rsid w:val="00804A29"/>
    <w:rsid w:val="00804D3C"/>
    <w:rsid w:val="0080503E"/>
    <w:rsid w:val="008061B8"/>
    <w:rsid w:val="00807635"/>
    <w:rsid w:val="00810CA6"/>
    <w:rsid w:val="0081145B"/>
    <w:rsid w:val="00811643"/>
    <w:rsid w:val="0081168D"/>
    <w:rsid w:val="00812F06"/>
    <w:rsid w:val="00815483"/>
    <w:rsid w:val="00815DBF"/>
    <w:rsid w:val="00816372"/>
    <w:rsid w:val="00817426"/>
    <w:rsid w:val="00817C90"/>
    <w:rsid w:val="00820314"/>
    <w:rsid w:val="00820A61"/>
    <w:rsid w:val="0082180D"/>
    <w:rsid w:val="00822382"/>
    <w:rsid w:val="00822D75"/>
    <w:rsid w:val="008234DB"/>
    <w:rsid w:val="0082767F"/>
    <w:rsid w:val="0082785F"/>
    <w:rsid w:val="00830B45"/>
    <w:rsid w:val="00831CB7"/>
    <w:rsid w:val="00831CCD"/>
    <w:rsid w:val="00831DCD"/>
    <w:rsid w:val="00832655"/>
    <w:rsid w:val="00835356"/>
    <w:rsid w:val="00835699"/>
    <w:rsid w:val="008359D0"/>
    <w:rsid w:val="00836390"/>
    <w:rsid w:val="00836846"/>
    <w:rsid w:val="00836EE6"/>
    <w:rsid w:val="00840060"/>
    <w:rsid w:val="0084303D"/>
    <w:rsid w:val="00844DA7"/>
    <w:rsid w:val="008460CA"/>
    <w:rsid w:val="008465F5"/>
    <w:rsid w:val="00851E3D"/>
    <w:rsid w:val="0085255B"/>
    <w:rsid w:val="00856CC9"/>
    <w:rsid w:val="00857070"/>
    <w:rsid w:val="00857DF2"/>
    <w:rsid w:val="0086044A"/>
    <w:rsid w:val="0086054F"/>
    <w:rsid w:val="008616A5"/>
    <w:rsid w:val="00861DC1"/>
    <w:rsid w:val="00862535"/>
    <w:rsid w:val="0086742F"/>
    <w:rsid w:val="00870FE0"/>
    <w:rsid w:val="00872836"/>
    <w:rsid w:val="00872AEC"/>
    <w:rsid w:val="00873A4B"/>
    <w:rsid w:val="00875535"/>
    <w:rsid w:val="00877059"/>
    <w:rsid w:val="008816B3"/>
    <w:rsid w:val="008851E6"/>
    <w:rsid w:val="0088622A"/>
    <w:rsid w:val="008864C6"/>
    <w:rsid w:val="00887C1E"/>
    <w:rsid w:val="0089058F"/>
    <w:rsid w:val="00891AC2"/>
    <w:rsid w:val="008935F3"/>
    <w:rsid w:val="0089482E"/>
    <w:rsid w:val="00896231"/>
    <w:rsid w:val="00896242"/>
    <w:rsid w:val="00896CAE"/>
    <w:rsid w:val="00897F4E"/>
    <w:rsid w:val="008A0558"/>
    <w:rsid w:val="008A1E78"/>
    <w:rsid w:val="008A5E1E"/>
    <w:rsid w:val="008A6664"/>
    <w:rsid w:val="008A7377"/>
    <w:rsid w:val="008A7BCB"/>
    <w:rsid w:val="008B0863"/>
    <w:rsid w:val="008B277B"/>
    <w:rsid w:val="008B5E99"/>
    <w:rsid w:val="008B68CD"/>
    <w:rsid w:val="008B7527"/>
    <w:rsid w:val="008B7B7D"/>
    <w:rsid w:val="008C2700"/>
    <w:rsid w:val="008C2BFF"/>
    <w:rsid w:val="008C39C8"/>
    <w:rsid w:val="008C4054"/>
    <w:rsid w:val="008C491E"/>
    <w:rsid w:val="008C5080"/>
    <w:rsid w:val="008C58E9"/>
    <w:rsid w:val="008C6D74"/>
    <w:rsid w:val="008D11D1"/>
    <w:rsid w:val="008D128B"/>
    <w:rsid w:val="008D27E3"/>
    <w:rsid w:val="008D35D0"/>
    <w:rsid w:val="008D3E8A"/>
    <w:rsid w:val="008D70E2"/>
    <w:rsid w:val="008D7FB5"/>
    <w:rsid w:val="008E06D4"/>
    <w:rsid w:val="008E0E99"/>
    <w:rsid w:val="008E25AC"/>
    <w:rsid w:val="008E3455"/>
    <w:rsid w:val="008E41D9"/>
    <w:rsid w:val="008F0104"/>
    <w:rsid w:val="008F012D"/>
    <w:rsid w:val="008F1221"/>
    <w:rsid w:val="008F21DB"/>
    <w:rsid w:val="008F26D3"/>
    <w:rsid w:val="008F3318"/>
    <w:rsid w:val="008F3B1F"/>
    <w:rsid w:val="008F3B7F"/>
    <w:rsid w:val="008F5E10"/>
    <w:rsid w:val="00900107"/>
    <w:rsid w:val="009001C4"/>
    <w:rsid w:val="00900F5D"/>
    <w:rsid w:val="009019AB"/>
    <w:rsid w:val="00901D54"/>
    <w:rsid w:val="00903256"/>
    <w:rsid w:val="00904551"/>
    <w:rsid w:val="00904C36"/>
    <w:rsid w:val="009067CB"/>
    <w:rsid w:val="00906AE1"/>
    <w:rsid w:val="00910834"/>
    <w:rsid w:val="00910CD9"/>
    <w:rsid w:val="00910F32"/>
    <w:rsid w:val="00915ECD"/>
    <w:rsid w:val="009161C3"/>
    <w:rsid w:val="00916602"/>
    <w:rsid w:val="009215B6"/>
    <w:rsid w:val="00922736"/>
    <w:rsid w:val="00923104"/>
    <w:rsid w:val="0092365B"/>
    <w:rsid w:val="00923AF7"/>
    <w:rsid w:val="00924FE8"/>
    <w:rsid w:val="009254A3"/>
    <w:rsid w:val="00926C89"/>
    <w:rsid w:val="00930C5B"/>
    <w:rsid w:val="00930F20"/>
    <w:rsid w:val="00930F63"/>
    <w:rsid w:val="00932851"/>
    <w:rsid w:val="00932EE6"/>
    <w:rsid w:val="00935112"/>
    <w:rsid w:val="00936DEA"/>
    <w:rsid w:val="00942AE1"/>
    <w:rsid w:val="00943097"/>
    <w:rsid w:val="00944CA2"/>
    <w:rsid w:val="00946545"/>
    <w:rsid w:val="00946B6E"/>
    <w:rsid w:val="00950A14"/>
    <w:rsid w:val="00953072"/>
    <w:rsid w:val="009533DD"/>
    <w:rsid w:val="009541E6"/>
    <w:rsid w:val="00954648"/>
    <w:rsid w:val="00954FBC"/>
    <w:rsid w:val="00955B45"/>
    <w:rsid w:val="009567CC"/>
    <w:rsid w:val="00960650"/>
    <w:rsid w:val="00962385"/>
    <w:rsid w:val="009625C0"/>
    <w:rsid w:val="0096671F"/>
    <w:rsid w:val="00967478"/>
    <w:rsid w:val="00967B47"/>
    <w:rsid w:val="009713B0"/>
    <w:rsid w:val="009713EC"/>
    <w:rsid w:val="00974553"/>
    <w:rsid w:val="009748E5"/>
    <w:rsid w:val="009753EC"/>
    <w:rsid w:val="00977717"/>
    <w:rsid w:val="009846A7"/>
    <w:rsid w:val="0098596D"/>
    <w:rsid w:val="00987422"/>
    <w:rsid w:val="00990121"/>
    <w:rsid w:val="00990EE8"/>
    <w:rsid w:val="00991FF6"/>
    <w:rsid w:val="009977C2"/>
    <w:rsid w:val="0099784E"/>
    <w:rsid w:val="00997E12"/>
    <w:rsid w:val="00997FAF"/>
    <w:rsid w:val="009A276C"/>
    <w:rsid w:val="009A2F70"/>
    <w:rsid w:val="009A3212"/>
    <w:rsid w:val="009A49B4"/>
    <w:rsid w:val="009A594F"/>
    <w:rsid w:val="009A64A9"/>
    <w:rsid w:val="009A6E91"/>
    <w:rsid w:val="009B0451"/>
    <w:rsid w:val="009B075F"/>
    <w:rsid w:val="009B0A57"/>
    <w:rsid w:val="009B11A9"/>
    <w:rsid w:val="009B1D9F"/>
    <w:rsid w:val="009B4CB4"/>
    <w:rsid w:val="009B5713"/>
    <w:rsid w:val="009B5AAF"/>
    <w:rsid w:val="009B6347"/>
    <w:rsid w:val="009B6C2F"/>
    <w:rsid w:val="009B7220"/>
    <w:rsid w:val="009B7BBE"/>
    <w:rsid w:val="009C1BF0"/>
    <w:rsid w:val="009C2733"/>
    <w:rsid w:val="009C3F6F"/>
    <w:rsid w:val="009C53DD"/>
    <w:rsid w:val="009C5890"/>
    <w:rsid w:val="009C59C3"/>
    <w:rsid w:val="009D1646"/>
    <w:rsid w:val="009D18E4"/>
    <w:rsid w:val="009D2966"/>
    <w:rsid w:val="009D428A"/>
    <w:rsid w:val="009D496F"/>
    <w:rsid w:val="009D4E39"/>
    <w:rsid w:val="009D548E"/>
    <w:rsid w:val="009D69E6"/>
    <w:rsid w:val="009D7998"/>
    <w:rsid w:val="009D7A7A"/>
    <w:rsid w:val="009E2623"/>
    <w:rsid w:val="009E4270"/>
    <w:rsid w:val="009E4D23"/>
    <w:rsid w:val="009E5F16"/>
    <w:rsid w:val="009E64DE"/>
    <w:rsid w:val="009F0465"/>
    <w:rsid w:val="009F38DC"/>
    <w:rsid w:val="009F48DA"/>
    <w:rsid w:val="009F54EA"/>
    <w:rsid w:val="009F5BE7"/>
    <w:rsid w:val="009F63B2"/>
    <w:rsid w:val="00A00EE1"/>
    <w:rsid w:val="00A01267"/>
    <w:rsid w:val="00A04130"/>
    <w:rsid w:val="00A045E9"/>
    <w:rsid w:val="00A07C1A"/>
    <w:rsid w:val="00A10652"/>
    <w:rsid w:val="00A117F3"/>
    <w:rsid w:val="00A1183D"/>
    <w:rsid w:val="00A1532D"/>
    <w:rsid w:val="00A168D7"/>
    <w:rsid w:val="00A16913"/>
    <w:rsid w:val="00A20A67"/>
    <w:rsid w:val="00A21119"/>
    <w:rsid w:val="00A247A2"/>
    <w:rsid w:val="00A24E27"/>
    <w:rsid w:val="00A25E23"/>
    <w:rsid w:val="00A26B3E"/>
    <w:rsid w:val="00A31FAC"/>
    <w:rsid w:val="00A32553"/>
    <w:rsid w:val="00A34383"/>
    <w:rsid w:val="00A3460E"/>
    <w:rsid w:val="00A3787C"/>
    <w:rsid w:val="00A40155"/>
    <w:rsid w:val="00A41001"/>
    <w:rsid w:val="00A414CC"/>
    <w:rsid w:val="00A41BD6"/>
    <w:rsid w:val="00A421EB"/>
    <w:rsid w:val="00A4254C"/>
    <w:rsid w:val="00A42E13"/>
    <w:rsid w:val="00A441C2"/>
    <w:rsid w:val="00A44A4C"/>
    <w:rsid w:val="00A453C9"/>
    <w:rsid w:val="00A4581B"/>
    <w:rsid w:val="00A460CD"/>
    <w:rsid w:val="00A46104"/>
    <w:rsid w:val="00A504DA"/>
    <w:rsid w:val="00A5082A"/>
    <w:rsid w:val="00A50DB8"/>
    <w:rsid w:val="00A51573"/>
    <w:rsid w:val="00A5175D"/>
    <w:rsid w:val="00A52258"/>
    <w:rsid w:val="00A534CB"/>
    <w:rsid w:val="00A55514"/>
    <w:rsid w:val="00A55BBD"/>
    <w:rsid w:val="00A573F5"/>
    <w:rsid w:val="00A60087"/>
    <w:rsid w:val="00A615EE"/>
    <w:rsid w:val="00A617ED"/>
    <w:rsid w:val="00A62A78"/>
    <w:rsid w:val="00A6605F"/>
    <w:rsid w:val="00A66695"/>
    <w:rsid w:val="00A6698E"/>
    <w:rsid w:val="00A66DF7"/>
    <w:rsid w:val="00A677A2"/>
    <w:rsid w:val="00A7176F"/>
    <w:rsid w:val="00A724E2"/>
    <w:rsid w:val="00A72DA6"/>
    <w:rsid w:val="00A750B9"/>
    <w:rsid w:val="00A75F56"/>
    <w:rsid w:val="00A76116"/>
    <w:rsid w:val="00A77B35"/>
    <w:rsid w:val="00A77ECB"/>
    <w:rsid w:val="00A823C9"/>
    <w:rsid w:val="00A828C5"/>
    <w:rsid w:val="00A82CE3"/>
    <w:rsid w:val="00A852AC"/>
    <w:rsid w:val="00A8677D"/>
    <w:rsid w:val="00A86CF6"/>
    <w:rsid w:val="00A903C3"/>
    <w:rsid w:val="00A906D7"/>
    <w:rsid w:val="00A927D6"/>
    <w:rsid w:val="00A9412C"/>
    <w:rsid w:val="00A96049"/>
    <w:rsid w:val="00AA0367"/>
    <w:rsid w:val="00AA1658"/>
    <w:rsid w:val="00AA1665"/>
    <w:rsid w:val="00AA1F92"/>
    <w:rsid w:val="00AA2770"/>
    <w:rsid w:val="00AA359D"/>
    <w:rsid w:val="00AA3836"/>
    <w:rsid w:val="00AA3DDE"/>
    <w:rsid w:val="00AA6AD2"/>
    <w:rsid w:val="00AA7354"/>
    <w:rsid w:val="00AA7B01"/>
    <w:rsid w:val="00AA7C78"/>
    <w:rsid w:val="00AA7F28"/>
    <w:rsid w:val="00AB098D"/>
    <w:rsid w:val="00AB0FDD"/>
    <w:rsid w:val="00AB1863"/>
    <w:rsid w:val="00AB22B9"/>
    <w:rsid w:val="00AB24C8"/>
    <w:rsid w:val="00AB2CE8"/>
    <w:rsid w:val="00AB2D80"/>
    <w:rsid w:val="00AB38F1"/>
    <w:rsid w:val="00AB4CE8"/>
    <w:rsid w:val="00AB509F"/>
    <w:rsid w:val="00AB703E"/>
    <w:rsid w:val="00AB7EA0"/>
    <w:rsid w:val="00AC0142"/>
    <w:rsid w:val="00AC06DB"/>
    <w:rsid w:val="00AC119B"/>
    <w:rsid w:val="00AC278D"/>
    <w:rsid w:val="00AC3A0E"/>
    <w:rsid w:val="00AC3FAA"/>
    <w:rsid w:val="00AC7B21"/>
    <w:rsid w:val="00AD1E7B"/>
    <w:rsid w:val="00AD2221"/>
    <w:rsid w:val="00AD7000"/>
    <w:rsid w:val="00AD79C8"/>
    <w:rsid w:val="00AE111A"/>
    <w:rsid w:val="00AE1DE3"/>
    <w:rsid w:val="00AE2E16"/>
    <w:rsid w:val="00AE2E60"/>
    <w:rsid w:val="00AE381C"/>
    <w:rsid w:val="00AE392C"/>
    <w:rsid w:val="00AE39E8"/>
    <w:rsid w:val="00AE3A44"/>
    <w:rsid w:val="00AE6807"/>
    <w:rsid w:val="00AE6818"/>
    <w:rsid w:val="00AE6B65"/>
    <w:rsid w:val="00AE7EFA"/>
    <w:rsid w:val="00AE7F54"/>
    <w:rsid w:val="00AF03E6"/>
    <w:rsid w:val="00AF178D"/>
    <w:rsid w:val="00AF53B1"/>
    <w:rsid w:val="00AF6201"/>
    <w:rsid w:val="00AF623A"/>
    <w:rsid w:val="00AF7CBE"/>
    <w:rsid w:val="00B02B78"/>
    <w:rsid w:val="00B033C4"/>
    <w:rsid w:val="00B045CF"/>
    <w:rsid w:val="00B04F18"/>
    <w:rsid w:val="00B05B12"/>
    <w:rsid w:val="00B10605"/>
    <w:rsid w:val="00B10A1F"/>
    <w:rsid w:val="00B10D2A"/>
    <w:rsid w:val="00B10F2C"/>
    <w:rsid w:val="00B11154"/>
    <w:rsid w:val="00B1491F"/>
    <w:rsid w:val="00B1539B"/>
    <w:rsid w:val="00B2009A"/>
    <w:rsid w:val="00B208C3"/>
    <w:rsid w:val="00B20F16"/>
    <w:rsid w:val="00B20F74"/>
    <w:rsid w:val="00B211BF"/>
    <w:rsid w:val="00B214DB"/>
    <w:rsid w:val="00B217F8"/>
    <w:rsid w:val="00B22195"/>
    <w:rsid w:val="00B22D94"/>
    <w:rsid w:val="00B2590B"/>
    <w:rsid w:val="00B25B66"/>
    <w:rsid w:val="00B30CDA"/>
    <w:rsid w:val="00B310E5"/>
    <w:rsid w:val="00B33654"/>
    <w:rsid w:val="00B34772"/>
    <w:rsid w:val="00B34D34"/>
    <w:rsid w:val="00B3600C"/>
    <w:rsid w:val="00B36506"/>
    <w:rsid w:val="00B36CD8"/>
    <w:rsid w:val="00B37F5F"/>
    <w:rsid w:val="00B407DA"/>
    <w:rsid w:val="00B41262"/>
    <w:rsid w:val="00B41767"/>
    <w:rsid w:val="00B4288A"/>
    <w:rsid w:val="00B4323A"/>
    <w:rsid w:val="00B44A0B"/>
    <w:rsid w:val="00B45D42"/>
    <w:rsid w:val="00B470BA"/>
    <w:rsid w:val="00B47AD9"/>
    <w:rsid w:val="00B47F3B"/>
    <w:rsid w:val="00B5209C"/>
    <w:rsid w:val="00B525AB"/>
    <w:rsid w:val="00B5387F"/>
    <w:rsid w:val="00B538CD"/>
    <w:rsid w:val="00B53F16"/>
    <w:rsid w:val="00B54B47"/>
    <w:rsid w:val="00B5500D"/>
    <w:rsid w:val="00B553D6"/>
    <w:rsid w:val="00B55C6A"/>
    <w:rsid w:val="00B560D9"/>
    <w:rsid w:val="00B56759"/>
    <w:rsid w:val="00B571FC"/>
    <w:rsid w:val="00B60005"/>
    <w:rsid w:val="00B62B72"/>
    <w:rsid w:val="00B6458A"/>
    <w:rsid w:val="00B64C63"/>
    <w:rsid w:val="00B64D5F"/>
    <w:rsid w:val="00B66A5E"/>
    <w:rsid w:val="00B710B0"/>
    <w:rsid w:val="00B716F3"/>
    <w:rsid w:val="00B719E4"/>
    <w:rsid w:val="00B71A0C"/>
    <w:rsid w:val="00B737D9"/>
    <w:rsid w:val="00B74458"/>
    <w:rsid w:val="00B75975"/>
    <w:rsid w:val="00B76629"/>
    <w:rsid w:val="00B776D7"/>
    <w:rsid w:val="00B77FC7"/>
    <w:rsid w:val="00B815BD"/>
    <w:rsid w:val="00B81AF4"/>
    <w:rsid w:val="00B81E35"/>
    <w:rsid w:val="00B82728"/>
    <w:rsid w:val="00B84093"/>
    <w:rsid w:val="00B864D8"/>
    <w:rsid w:val="00B908AC"/>
    <w:rsid w:val="00B924B2"/>
    <w:rsid w:val="00B92BCA"/>
    <w:rsid w:val="00B946BC"/>
    <w:rsid w:val="00B94871"/>
    <w:rsid w:val="00B951F6"/>
    <w:rsid w:val="00B96C7F"/>
    <w:rsid w:val="00BA2806"/>
    <w:rsid w:val="00BA3389"/>
    <w:rsid w:val="00BA66E0"/>
    <w:rsid w:val="00BA6E0F"/>
    <w:rsid w:val="00BB157E"/>
    <w:rsid w:val="00BB2017"/>
    <w:rsid w:val="00BB358C"/>
    <w:rsid w:val="00BB5D9B"/>
    <w:rsid w:val="00BB6635"/>
    <w:rsid w:val="00BB6B28"/>
    <w:rsid w:val="00BC3035"/>
    <w:rsid w:val="00BC330F"/>
    <w:rsid w:val="00BC49F5"/>
    <w:rsid w:val="00BC4A52"/>
    <w:rsid w:val="00BC7ED4"/>
    <w:rsid w:val="00BD0391"/>
    <w:rsid w:val="00BD3C35"/>
    <w:rsid w:val="00BD5B70"/>
    <w:rsid w:val="00BD5BD9"/>
    <w:rsid w:val="00BD5E8F"/>
    <w:rsid w:val="00BD6915"/>
    <w:rsid w:val="00BD6B02"/>
    <w:rsid w:val="00BD7670"/>
    <w:rsid w:val="00BD7C02"/>
    <w:rsid w:val="00BE0EF6"/>
    <w:rsid w:val="00BE168B"/>
    <w:rsid w:val="00BE24D2"/>
    <w:rsid w:val="00BE2AB7"/>
    <w:rsid w:val="00BE2E56"/>
    <w:rsid w:val="00BE4AA4"/>
    <w:rsid w:val="00BE50DE"/>
    <w:rsid w:val="00BE6D80"/>
    <w:rsid w:val="00BE7269"/>
    <w:rsid w:val="00BE784E"/>
    <w:rsid w:val="00BE7986"/>
    <w:rsid w:val="00BF2938"/>
    <w:rsid w:val="00BF5409"/>
    <w:rsid w:val="00BF7A94"/>
    <w:rsid w:val="00C00B74"/>
    <w:rsid w:val="00C01765"/>
    <w:rsid w:val="00C0391D"/>
    <w:rsid w:val="00C04CA4"/>
    <w:rsid w:val="00C054A9"/>
    <w:rsid w:val="00C0701A"/>
    <w:rsid w:val="00C07D42"/>
    <w:rsid w:val="00C10009"/>
    <w:rsid w:val="00C10189"/>
    <w:rsid w:val="00C13210"/>
    <w:rsid w:val="00C15752"/>
    <w:rsid w:val="00C16225"/>
    <w:rsid w:val="00C163C6"/>
    <w:rsid w:val="00C16A8D"/>
    <w:rsid w:val="00C17CF8"/>
    <w:rsid w:val="00C20310"/>
    <w:rsid w:val="00C20346"/>
    <w:rsid w:val="00C20A15"/>
    <w:rsid w:val="00C2111F"/>
    <w:rsid w:val="00C230FC"/>
    <w:rsid w:val="00C23619"/>
    <w:rsid w:val="00C24326"/>
    <w:rsid w:val="00C26CC4"/>
    <w:rsid w:val="00C30BED"/>
    <w:rsid w:val="00C30D25"/>
    <w:rsid w:val="00C3148B"/>
    <w:rsid w:val="00C31745"/>
    <w:rsid w:val="00C330B9"/>
    <w:rsid w:val="00C352A2"/>
    <w:rsid w:val="00C37A45"/>
    <w:rsid w:val="00C40861"/>
    <w:rsid w:val="00C4140A"/>
    <w:rsid w:val="00C431D0"/>
    <w:rsid w:val="00C4373B"/>
    <w:rsid w:val="00C44921"/>
    <w:rsid w:val="00C458D1"/>
    <w:rsid w:val="00C45A41"/>
    <w:rsid w:val="00C4712E"/>
    <w:rsid w:val="00C4720E"/>
    <w:rsid w:val="00C5579F"/>
    <w:rsid w:val="00C557DD"/>
    <w:rsid w:val="00C5600A"/>
    <w:rsid w:val="00C575A6"/>
    <w:rsid w:val="00C57A62"/>
    <w:rsid w:val="00C60FA4"/>
    <w:rsid w:val="00C6105F"/>
    <w:rsid w:val="00C61201"/>
    <w:rsid w:val="00C61516"/>
    <w:rsid w:val="00C62788"/>
    <w:rsid w:val="00C63577"/>
    <w:rsid w:val="00C64BE3"/>
    <w:rsid w:val="00C704E6"/>
    <w:rsid w:val="00C706AE"/>
    <w:rsid w:val="00C70FC2"/>
    <w:rsid w:val="00C71609"/>
    <w:rsid w:val="00C72C30"/>
    <w:rsid w:val="00C73D9B"/>
    <w:rsid w:val="00C73F0D"/>
    <w:rsid w:val="00C74716"/>
    <w:rsid w:val="00C76D4B"/>
    <w:rsid w:val="00C77960"/>
    <w:rsid w:val="00C800AE"/>
    <w:rsid w:val="00C803CA"/>
    <w:rsid w:val="00C80B69"/>
    <w:rsid w:val="00C83013"/>
    <w:rsid w:val="00C839E5"/>
    <w:rsid w:val="00C8407E"/>
    <w:rsid w:val="00C863B1"/>
    <w:rsid w:val="00C8666D"/>
    <w:rsid w:val="00C8670D"/>
    <w:rsid w:val="00C87532"/>
    <w:rsid w:val="00C8765F"/>
    <w:rsid w:val="00C91C47"/>
    <w:rsid w:val="00C91F53"/>
    <w:rsid w:val="00C92B13"/>
    <w:rsid w:val="00C94B70"/>
    <w:rsid w:val="00C9539A"/>
    <w:rsid w:val="00C960EC"/>
    <w:rsid w:val="00C970EB"/>
    <w:rsid w:val="00CA0789"/>
    <w:rsid w:val="00CA0E1D"/>
    <w:rsid w:val="00CA14FB"/>
    <w:rsid w:val="00CA3103"/>
    <w:rsid w:val="00CA5BE7"/>
    <w:rsid w:val="00CA5F54"/>
    <w:rsid w:val="00CA73B7"/>
    <w:rsid w:val="00CB0008"/>
    <w:rsid w:val="00CB0C93"/>
    <w:rsid w:val="00CB252C"/>
    <w:rsid w:val="00CB27A3"/>
    <w:rsid w:val="00CB44EF"/>
    <w:rsid w:val="00CB59E2"/>
    <w:rsid w:val="00CB5A14"/>
    <w:rsid w:val="00CC09A8"/>
    <w:rsid w:val="00CC0B94"/>
    <w:rsid w:val="00CC13E2"/>
    <w:rsid w:val="00CC278A"/>
    <w:rsid w:val="00CC2D4A"/>
    <w:rsid w:val="00CC2D65"/>
    <w:rsid w:val="00CC3580"/>
    <w:rsid w:val="00CC4C6C"/>
    <w:rsid w:val="00CC6076"/>
    <w:rsid w:val="00CC7D47"/>
    <w:rsid w:val="00CD04F7"/>
    <w:rsid w:val="00CD0ABF"/>
    <w:rsid w:val="00CD17A0"/>
    <w:rsid w:val="00CD1E5B"/>
    <w:rsid w:val="00CD2CAB"/>
    <w:rsid w:val="00CD2D3F"/>
    <w:rsid w:val="00CD6CA9"/>
    <w:rsid w:val="00CD77E0"/>
    <w:rsid w:val="00CD79E3"/>
    <w:rsid w:val="00CE089A"/>
    <w:rsid w:val="00CE0B54"/>
    <w:rsid w:val="00CE0DE7"/>
    <w:rsid w:val="00CE0FFB"/>
    <w:rsid w:val="00CE2B8F"/>
    <w:rsid w:val="00CE36EC"/>
    <w:rsid w:val="00CE4834"/>
    <w:rsid w:val="00CE642E"/>
    <w:rsid w:val="00CE6635"/>
    <w:rsid w:val="00CE7255"/>
    <w:rsid w:val="00CE7CF8"/>
    <w:rsid w:val="00CF0B6B"/>
    <w:rsid w:val="00CF0F63"/>
    <w:rsid w:val="00CF0FBE"/>
    <w:rsid w:val="00CF3477"/>
    <w:rsid w:val="00CF4474"/>
    <w:rsid w:val="00CF4836"/>
    <w:rsid w:val="00CF5354"/>
    <w:rsid w:val="00CF58F7"/>
    <w:rsid w:val="00CF66DB"/>
    <w:rsid w:val="00D00575"/>
    <w:rsid w:val="00D00708"/>
    <w:rsid w:val="00D01056"/>
    <w:rsid w:val="00D0134A"/>
    <w:rsid w:val="00D016EE"/>
    <w:rsid w:val="00D01BCE"/>
    <w:rsid w:val="00D01F18"/>
    <w:rsid w:val="00D0235D"/>
    <w:rsid w:val="00D025ED"/>
    <w:rsid w:val="00D03A65"/>
    <w:rsid w:val="00D05A9C"/>
    <w:rsid w:val="00D05FAF"/>
    <w:rsid w:val="00D07E56"/>
    <w:rsid w:val="00D11492"/>
    <w:rsid w:val="00D11DBD"/>
    <w:rsid w:val="00D13306"/>
    <w:rsid w:val="00D1498D"/>
    <w:rsid w:val="00D14C19"/>
    <w:rsid w:val="00D14EB8"/>
    <w:rsid w:val="00D15594"/>
    <w:rsid w:val="00D21597"/>
    <w:rsid w:val="00D2159A"/>
    <w:rsid w:val="00D23B3D"/>
    <w:rsid w:val="00D248A7"/>
    <w:rsid w:val="00D252D7"/>
    <w:rsid w:val="00D278B5"/>
    <w:rsid w:val="00D30233"/>
    <w:rsid w:val="00D303F2"/>
    <w:rsid w:val="00D3124E"/>
    <w:rsid w:val="00D3149E"/>
    <w:rsid w:val="00D33351"/>
    <w:rsid w:val="00D334C0"/>
    <w:rsid w:val="00D33D58"/>
    <w:rsid w:val="00D34086"/>
    <w:rsid w:val="00D4007D"/>
    <w:rsid w:val="00D40457"/>
    <w:rsid w:val="00D4457B"/>
    <w:rsid w:val="00D448D6"/>
    <w:rsid w:val="00D45AD0"/>
    <w:rsid w:val="00D460F8"/>
    <w:rsid w:val="00D46E3A"/>
    <w:rsid w:val="00D514DC"/>
    <w:rsid w:val="00D544F6"/>
    <w:rsid w:val="00D55928"/>
    <w:rsid w:val="00D55FFB"/>
    <w:rsid w:val="00D569BC"/>
    <w:rsid w:val="00D62415"/>
    <w:rsid w:val="00D65374"/>
    <w:rsid w:val="00D66584"/>
    <w:rsid w:val="00D673DE"/>
    <w:rsid w:val="00D72541"/>
    <w:rsid w:val="00D72A50"/>
    <w:rsid w:val="00D752B2"/>
    <w:rsid w:val="00D77354"/>
    <w:rsid w:val="00D7755A"/>
    <w:rsid w:val="00D775DA"/>
    <w:rsid w:val="00D81F04"/>
    <w:rsid w:val="00D8325C"/>
    <w:rsid w:val="00D83C80"/>
    <w:rsid w:val="00D8701B"/>
    <w:rsid w:val="00D87024"/>
    <w:rsid w:val="00D9035A"/>
    <w:rsid w:val="00D934EA"/>
    <w:rsid w:val="00D94C56"/>
    <w:rsid w:val="00D97013"/>
    <w:rsid w:val="00D972D3"/>
    <w:rsid w:val="00D974C5"/>
    <w:rsid w:val="00DA3E0B"/>
    <w:rsid w:val="00DA6074"/>
    <w:rsid w:val="00DA75FE"/>
    <w:rsid w:val="00DA7BAE"/>
    <w:rsid w:val="00DB09D6"/>
    <w:rsid w:val="00DB2D60"/>
    <w:rsid w:val="00DB3571"/>
    <w:rsid w:val="00DB54E4"/>
    <w:rsid w:val="00DB59D9"/>
    <w:rsid w:val="00DB5EB6"/>
    <w:rsid w:val="00DB68FB"/>
    <w:rsid w:val="00DB6DF6"/>
    <w:rsid w:val="00DB6F9D"/>
    <w:rsid w:val="00DC031E"/>
    <w:rsid w:val="00DC097F"/>
    <w:rsid w:val="00DC0B38"/>
    <w:rsid w:val="00DC1012"/>
    <w:rsid w:val="00DC1B3D"/>
    <w:rsid w:val="00DC1B92"/>
    <w:rsid w:val="00DC23E1"/>
    <w:rsid w:val="00DC353E"/>
    <w:rsid w:val="00DC4571"/>
    <w:rsid w:val="00DC46E3"/>
    <w:rsid w:val="00DC4F16"/>
    <w:rsid w:val="00DC5251"/>
    <w:rsid w:val="00DC6B8A"/>
    <w:rsid w:val="00DC6DC7"/>
    <w:rsid w:val="00DC6E19"/>
    <w:rsid w:val="00DD0A07"/>
    <w:rsid w:val="00DD2669"/>
    <w:rsid w:val="00DD2F3D"/>
    <w:rsid w:val="00DD39D6"/>
    <w:rsid w:val="00DD64B9"/>
    <w:rsid w:val="00DE503F"/>
    <w:rsid w:val="00DE725E"/>
    <w:rsid w:val="00DF16D9"/>
    <w:rsid w:val="00DF1B24"/>
    <w:rsid w:val="00DF1C1F"/>
    <w:rsid w:val="00DF3910"/>
    <w:rsid w:val="00DF3D8C"/>
    <w:rsid w:val="00DF4AE4"/>
    <w:rsid w:val="00DF617C"/>
    <w:rsid w:val="00DF6FED"/>
    <w:rsid w:val="00DF72AC"/>
    <w:rsid w:val="00E00777"/>
    <w:rsid w:val="00E007B5"/>
    <w:rsid w:val="00E008E2"/>
    <w:rsid w:val="00E00FCB"/>
    <w:rsid w:val="00E01EC8"/>
    <w:rsid w:val="00E03683"/>
    <w:rsid w:val="00E03992"/>
    <w:rsid w:val="00E03AEF"/>
    <w:rsid w:val="00E04FD6"/>
    <w:rsid w:val="00E052F3"/>
    <w:rsid w:val="00E05733"/>
    <w:rsid w:val="00E102F5"/>
    <w:rsid w:val="00E10B88"/>
    <w:rsid w:val="00E10C3C"/>
    <w:rsid w:val="00E126DE"/>
    <w:rsid w:val="00E13703"/>
    <w:rsid w:val="00E14F76"/>
    <w:rsid w:val="00E204A2"/>
    <w:rsid w:val="00E204D1"/>
    <w:rsid w:val="00E21875"/>
    <w:rsid w:val="00E2187F"/>
    <w:rsid w:val="00E226E5"/>
    <w:rsid w:val="00E2421F"/>
    <w:rsid w:val="00E24352"/>
    <w:rsid w:val="00E269AA"/>
    <w:rsid w:val="00E278BA"/>
    <w:rsid w:val="00E30263"/>
    <w:rsid w:val="00E30869"/>
    <w:rsid w:val="00E3122D"/>
    <w:rsid w:val="00E3286A"/>
    <w:rsid w:val="00E32AA5"/>
    <w:rsid w:val="00E33636"/>
    <w:rsid w:val="00E3377F"/>
    <w:rsid w:val="00E3530C"/>
    <w:rsid w:val="00E353E8"/>
    <w:rsid w:val="00E35419"/>
    <w:rsid w:val="00E35954"/>
    <w:rsid w:val="00E36BF4"/>
    <w:rsid w:val="00E37104"/>
    <w:rsid w:val="00E37ABF"/>
    <w:rsid w:val="00E37CBE"/>
    <w:rsid w:val="00E37DEC"/>
    <w:rsid w:val="00E429A8"/>
    <w:rsid w:val="00E42BCC"/>
    <w:rsid w:val="00E4503C"/>
    <w:rsid w:val="00E45CCB"/>
    <w:rsid w:val="00E46050"/>
    <w:rsid w:val="00E465F9"/>
    <w:rsid w:val="00E4680C"/>
    <w:rsid w:val="00E50B62"/>
    <w:rsid w:val="00E50CB4"/>
    <w:rsid w:val="00E50D50"/>
    <w:rsid w:val="00E529F3"/>
    <w:rsid w:val="00E5332E"/>
    <w:rsid w:val="00E54871"/>
    <w:rsid w:val="00E54BCE"/>
    <w:rsid w:val="00E576AF"/>
    <w:rsid w:val="00E60589"/>
    <w:rsid w:val="00E61C4D"/>
    <w:rsid w:val="00E628AE"/>
    <w:rsid w:val="00E640C8"/>
    <w:rsid w:val="00E64DB8"/>
    <w:rsid w:val="00E6523A"/>
    <w:rsid w:val="00E6744A"/>
    <w:rsid w:val="00E70E3D"/>
    <w:rsid w:val="00E71888"/>
    <w:rsid w:val="00E73688"/>
    <w:rsid w:val="00E74DB8"/>
    <w:rsid w:val="00E750DE"/>
    <w:rsid w:val="00E7545F"/>
    <w:rsid w:val="00E75BE1"/>
    <w:rsid w:val="00E77297"/>
    <w:rsid w:val="00E80E94"/>
    <w:rsid w:val="00E82F5E"/>
    <w:rsid w:val="00E840A4"/>
    <w:rsid w:val="00E84AEC"/>
    <w:rsid w:val="00E84CBC"/>
    <w:rsid w:val="00E853C4"/>
    <w:rsid w:val="00E85616"/>
    <w:rsid w:val="00E878E0"/>
    <w:rsid w:val="00E87FB4"/>
    <w:rsid w:val="00E91026"/>
    <w:rsid w:val="00E92A4D"/>
    <w:rsid w:val="00E9306C"/>
    <w:rsid w:val="00E93786"/>
    <w:rsid w:val="00E95535"/>
    <w:rsid w:val="00E95CA6"/>
    <w:rsid w:val="00E960EE"/>
    <w:rsid w:val="00E964DE"/>
    <w:rsid w:val="00EA01BF"/>
    <w:rsid w:val="00EA057E"/>
    <w:rsid w:val="00EA092E"/>
    <w:rsid w:val="00EA2330"/>
    <w:rsid w:val="00EA500C"/>
    <w:rsid w:val="00EA5FFC"/>
    <w:rsid w:val="00EA63EB"/>
    <w:rsid w:val="00EA7A57"/>
    <w:rsid w:val="00EB0D1F"/>
    <w:rsid w:val="00EB21A3"/>
    <w:rsid w:val="00EB326B"/>
    <w:rsid w:val="00EB6BA3"/>
    <w:rsid w:val="00EC07C5"/>
    <w:rsid w:val="00EC20E3"/>
    <w:rsid w:val="00EC2263"/>
    <w:rsid w:val="00EC2B72"/>
    <w:rsid w:val="00EC2DCE"/>
    <w:rsid w:val="00EC3E37"/>
    <w:rsid w:val="00EC4120"/>
    <w:rsid w:val="00EC4759"/>
    <w:rsid w:val="00EC66ED"/>
    <w:rsid w:val="00EC6A6F"/>
    <w:rsid w:val="00EC7854"/>
    <w:rsid w:val="00EC7FC0"/>
    <w:rsid w:val="00ED23F4"/>
    <w:rsid w:val="00ED24CE"/>
    <w:rsid w:val="00ED3FC3"/>
    <w:rsid w:val="00ED6108"/>
    <w:rsid w:val="00ED6721"/>
    <w:rsid w:val="00ED6993"/>
    <w:rsid w:val="00EE025B"/>
    <w:rsid w:val="00EE0C3F"/>
    <w:rsid w:val="00EE1E0D"/>
    <w:rsid w:val="00EE1EE0"/>
    <w:rsid w:val="00EE2E52"/>
    <w:rsid w:val="00EE4740"/>
    <w:rsid w:val="00EE4AEA"/>
    <w:rsid w:val="00EF0146"/>
    <w:rsid w:val="00EF1FD7"/>
    <w:rsid w:val="00EF3C3C"/>
    <w:rsid w:val="00EF4401"/>
    <w:rsid w:val="00EF54E6"/>
    <w:rsid w:val="00EF7293"/>
    <w:rsid w:val="00F00CA1"/>
    <w:rsid w:val="00F02529"/>
    <w:rsid w:val="00F034CE"/>
    <w:rsid w:val="00F03726"/>
    <w:rsid w:val="00F07CE4"/>
    <w:rsid w:val="00F100B0"/>
    <w:rsid w:val="00F10EC8"/>
    <w:rsid w:val="00F12DB5"/>
    <w:rsid w:val="00F13284"/>
    <w:rsid w:val="00F13DD6"/>
    <w:rsid w:val="00F147BF"/>
    <w:rsid w:val="00F15992"/>
    <w:rsid w:val="00F16102"/>
    <w:rsid w:val="00F164D8"/>
    <w:rsid w:val="00F1658B"/>
    <w:rsid w:val="00F20B8E"/>
    <w:rsid w:val="00F21DE4"/>
    <w:rsid w:val="00F22BF7"/>
    <w:rsid w:val="00F242AE"/>
    <w:rsid w:val="00F25172"/>
    <w:rsid w:val="00F26C77"/>
    <w:rsid w:val="00F30742"/>
    <w:rsid w:val="00F32487"/>
    <w:rsid w:val="00F3730D"/>
    <w:rsid w:val="00F416CB"/>
    <w:rsid w:val="00F422C2"/>
    <w:rsid w:val="00F44AB6"/>
    <w:rsid w:val="00F462BE"/>
    <w:rsid w:val="00F46DB2"/>
    <w:rsid w:val="00F472FF"/>
    <w:rsid w:val="00F47C0B"/>
    <w:rsid w:val="00F47F65"/>
    <w:rsid w:val="00F50717"/>
    <w:rsid w:val="00F51912"/>
    <w:rsid w:val="00F53772"/>
    <w:rsid w:val="00F53F6F"/>
    <w:rsid w:val="00F54B19"/>
    <w:rsid w:val="00F55494"/>
    <w:rsid w:val="00F6397F"/>
    <w:rsid w:val="00F63BF7"/>
    <w:rsid w:val="00F63E40"/>
    <w:rsid w:val="00F63E60"/>
    <w:rsid w:val="00F65AC6"/>
    <w:rsid w:val="00F661CC"/>
    <w:rsid w:val="00F66913"/>
    <w:rsid w:val="00F670FA"/>
    <w:rsid w:val="00F6761D"/>
    <w:rsid w:val="00F6784F"/>
    <w:rsid w:val="00F67EC6"/>
    <w:rsid w:val="00F70049"/>
    <w:rsid w:val="00F7020B"/>
    <w:rsid w:val="00F716B8"/>
    <w:rsid w:val="00F725CA"/>
    <w:rsid w:val="00F749F4"/>
    <w:rsid w:val="00F75EAA"/>
    <w:rsid w:val="00F76C90"/>
    <w:rsid w:val="00F80564"/>
    <w:rsid w:val="00F83457"/>
    <w:rsid w:val="00F83E14"/>
    <w:rsid w:val="00F84925"/>
    <w:rsid w:val="00F86166"/>
    <w:rsid w:val="00F868CE"/>
    <w:rsid w:val="00F87529"/>
    <w:rsid w:val="00F90422"/>
    <w:rsid w:val="00F90F68"/>
    <w:rsid w:val="00F94267"/>
    <w:rsid w:val="00F94BB9"/>
    <w:rsid w:val="00FA1BA0"/>
    <w:rsid w:val="00FA1C62"/>
    <w:rsid w:val="00FA2C1F"/>
    <w:rsid w:val="00FA3397"/>
    <w:rsid w:val="00FA3F76"/>
    <w:rsid w:val="00FA65E6"/>
    <w:rsid w:val="00FA666E"/>
    <w:rsid w:val="00FA6D47"/>
    <w:rsid w:val="00FA76C6"/>
    <w:rsid w:val="00FB0466"/>
    <w:rsid w:val="00FB099B"/>
    <w:rsid w:val="00FB286A"/>
    <w:rsid w:val="00FB55C8"/>
    <w:rsid w:val="00FB6DB3"/>
    <w:rsid w:val="00FC3A05"/>
    <w:rsid w:val="00FC53CB"/>
    <w:rsid w:val="00FC5AF0"/>
    <w:rsid w:val="00FD338C"/>
    <w:rsid w:val="00FD5543"/>
    <w:rsid w:val="00FD5AE2"/>
    <w:rsid w:val="00FD77BD"/>
    <w:rsid w:val="00FE18A2"/>
    <w:rsid w:val="00FE21F1"/>
    <w:rsid w:val="00FE2B4E"/>
    <w:rsid w:val="00FE3E72"/>
    <w:rsid w:val="00FE509C"/>
    <w:rsid w:val="00FF03E9"/>
    <w:rsid w:val="00FF0541"/>
    <w:rsid w:val="00FF06EA"/>
    <w:rsid w:val="00FF21B9"/>
    <w:rsid w:val="00FF407A"/>
    <w:rsid w:val="00FF44D0"/>
    <w:rsid w:val="00FF495B"/>
    <w:rsid w:val="00FF4CFE"/>
    <w:rsid w:val="00FF4DE5"/>
    <w:rsid w:val="00FF514E"/>
    <w:rsid w:val="00FF5706"/>
    <w:rsid w:val="00FF5E93"/>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40D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11F"/>
    <w:pPr>
      <w:ind w:left="1440"/>
    </w:pPr>
    <w:rPr>
      <w:sz w:val="24"/>
    </w:rPr>
  </w:style>
  <w:style w:type="paragraph" w:styleId="Heading1">
    <w:name w:val="heading 1"/>
    <w:basedOn w:val="Normal"/>
    <w:next w:val="Normal"/>
    <w:link w:val="Heading1Char"/>
    <w:qFormat/>
    <w:rsid w:val="00C2111F"/>
    <w:pPr>
      <w:keepNext/>
      <w:ind w:firstLine="540"/>
      <w:outlineLvl w:val="0"/>
    </w:pPr>
    <w:rPr>
      <w:iCs/>
    </w:rPr>
  </w:style>
  <w:style w:type="paragraph" w:styleId="Heading2">
    <w:name w:val="heading 2"/>
    <w:basedOn w:val="Normal"/>
    <w:next w:val="Normal"/>
    <w:link w:val="Heading2Char"/>
    <w:qFormat/>
    <w:rsid w:val="00C2111F"/>
    <w:pPr>
      <w:keepNext/>
      <w:tabs>
        <w:tab w:val="left" w:pos="0"/>
      </w:tabs>
      <w:spacing w:before="240" w:after="60"/>
      <w:ind w:left="720"/>
      <w:outlineLvl w:val="1"/>
    </w:pPr>
    <w:rPr>
      <w:rFonts w:ascii="Times New Roman" w:hAnsi="Times New Roman"/>
      <w:b/>
      <w:bCs/>
      <w:szCs w:val="28"/>
    </w:rPr>
  </w:style>
  <w:style w:type="paragraph" w:styleId="Heading3">
    <w:name w:val="heading 3"/>
    <w:basedOn w:val="Normal"/>
    <w:next w:val="Normal"/>
    <w:qFormat/>
    <w:rsid w:val="00C2111F"/>
    <w:pPr>
      <w:keepNext/>
      <w:autoSpaceDE w:val="0"/>
      <w:autoSpaceDN w:val="0"/>
      <w:adjustRightInd w:val="0"/>
      <w:spacing w:line="240" w:lineRule="atLeast"/>
      <w:outlineLvl w:val="2"/>
    </w:pPr>
    <w:rPr>
      <w:rFonts w:ascii="Times New Roman" w:hAnsi="Times New Roman"/>
      <w:b/>
      <w:bCs/>
      <w:color w:val="000000"/>
    </w:rPr>
  </w:style>
  <w:style w:type="paragraph" w:styleId="Heading4">
    <w:name w:val="heading 4"/>
    <w:basedOn w:val="Normal"/>
    <w:next w:val="Normal"/>
    <w:qFormat/>
    <w:rsid w:val="007249AC"/>
    <w:pPr>
      <w:keepNext/>
      <w:outlineLvl w:val="3"/>
    </w:pPr>
    <w:rPr>
      <w:rFonts w:ascii="Times New Roman" w:hAnsi="Times New Roman"/>
      <w:i/>
      <w:iCs/>
    </w:rPr>
  </w:style>
  <w:style w:type="paragraph" w:styleId="Heading5">
    <w:name w:val="heading 5"/>
    <w:basedOn w:val="Normal"/>
    <w:next w:val="Normal"/>
    <w:qFormat/>
    <w:rsid w:val="00C2111F"/>
    <w:pPr>
      <w:spacing w:before="240" w:after="60"/>
      <w:outlineLvl w:val="4"/>
    </w:pPr>
    <w:rPr>
      <w:b/>
      <w:bCs/>
      <w:i/>
      <w:iCs/>
      <w:sz w:val="26"/>
      <w:szCs w:val="26"/>
    </w:rPr>
  </w:style>
  <w:style w:type="paragraph" w:styleId="Heading6">
    <w:name w:val="heading 6"/>
    <w:basedOn w:val="Normal"/>
    <w:next w:val="Normal"/>
    <w:qFormat/>
    <w:rsid w:val="00C2111F"/>
    <w:pPr>
      <w:spacing w:before="240" w:after="60"/>
      <w:outlineLvl w:val="5"/>
    </w:pPr>
    <w:rPr>
      <w:rFonts w:ascii="Times New Roman" w:hAnsi="Times New Roman"/>
      <w:b/>
      <w:bCs/>
      <w:sz w:val="22"/>
      <w:szCs w:val="22"/>
    </w:rPr>
  </w:style>
  <w:style w:type="paragraph" w:styleId="Heading7">
    <w:name w:val="heading 7"/>
    <w:basedOn w:val="Normal"/>
    <w:next w:val="Normal"/>
    <w:qFormat/>
    <w:rsid w:val="00C2111F"/>
    <w:pPr>
      <w:keepNext/>
      <w:tabs>
        <w:tab w:val="left" w:pos="2520"/>
      </w:tabs>
      <w:ind w:left="0"/>
      <w:outlineLvl w:val="6"/>
    </w:pPr>
    <w:rPr>
      <w:rFonts w:ascii="Times New Roman" w:hAnsi="Times New Roman"/>
      <w:i/>
      <w:iCs/>
    </w:rPr>
  </w:style>
  <w:style w:type="paragraph" w:styleId="Heading8">
    <w:name w:val="heading 8"/>
    <w:basedOn w:val="Normal"/>
    <w:next w:val="Normal"/>
    <w:qFormat/>
    <w:rsid w:val="00C2111F"/>
    <w:pPr>
      <w:keepNext/>
      <w:overflowPunct w:val="0"/>
      <w:autoSpaceDE w:val="0"/>
      <w:autoSpaceDN w:val="0"/>
      <w:adjustRightInd w:val="0"/>
      <w:ind w:left="0"/>
      <w:jc w:val="center"/>
      <w:outlineLvl w:val="7"/>
    </w:pPr>
    <w:rPr>
      <w:b/>
      <w:bCs/>
    </w:rPr>
  </w:style>
  <w:style w:type="paragraph" w:styleId="Heading9">
    <w:name w:val="heading 9"/>
    <w:basedOn w:val="Normal"/>
    <w:next w:val="Normal"/>
    <w:qFormat/>
    <w:rsid w:val="00C2111F"/>
    <w:pPr>
      <w:keepNext/>
      <w:tabs>
        <w:tab w:val="left" w:pos="2520"/>
      </w:tabs>
      <w:ind w:left="0"/>
      <w:outlineLvl w:val="8"/>
    </w:pPr>
    <w:rPr>
      <w:rFonts w:ascii="Times New Roman" w:hAnsi="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C2111F"/>
    <w:pPr>
      <w:tabs>
        <w:tab w:val="right" w:pos="9360"/>
      </w:tabs>
      <w:ind w:left="720" w:hanging="720"/>
    </w:pPr>
  </w:style>
  <w:style w:type="paragraph" w:styleId="TOC7">
    <w:name w:val="toc 7"/>
    <w:basedOn w:val="Normal"/>
    <w:next w:val="Normal"/>
    <w:semiHidden/>
    <w:rsid w:val="00C2111F"/>
    <w:pPr>
      <w:ind w:left="720" w:hanging="720"/>
    </w:pPr>
  </w:style>
  <w:style w:type="paragraph" w:styleId="TOC6">
    <w:name w:val="toc 6"/>
    <w:basedOn w:val="Normal"/>
    <w:next w:val="Normal"/>
    <w:semiHidden/>
    <w:rsid w:val="00C2111F"/>
    <w:pPr>
      <w:tabs>
        <w:tab w:val="right" w:pos="9360"/>
      </w:tabs>
      <w:ind w:left="720" w:hanging="720"/>
    </w:pPr>
  </w:style>
  <w:style w:type="paragraph" w:styleId="TOC5">
    <w:name w:val="toc 5"/>
    <w:basedOn w:val="Normal"/>
    <w:next w:val="Normal"/>
    <w:semiHidden/>
    <w:rsid w:val="00C2111F"/>
    <w:pPr>
      <w:tabs>
        <w:tab w:val="right" w:leader="dot" w:pos="9360"/>
      </w:tabs>
      <w:ind w:left="3600" w:right="720" w:hanging="720"/>
    </w:pPr>
  </w:style>
  <w:style w:type="paragraph" w:styleId="TOC4">
    <w:name w:val="toc 4"/>
    <w:basedOn w:val="Normal"/>
    <w:next w:val="Normal"/>
    <w:semiHidden/>
    <w:rsid w:val="00C2111F"/>
    <w:pPr>
      <w:tabs>
        <w:tab w:val="right" w:leader="dot" w:pos="9360"/>
      </w:tabs>
      <w:ind w:left="2880" w:right="720" w:hanging="720"/>
    </w:pPr>
  </w:style>
  <w:style w:type="paragraph" w:styleId="TOC3">
    <w:name w:val="toc 3"/>
    <w:basedOn w:val="Normal"/>
    <w:next w:val="Normal"/>
    <w:semiHidden/>
    <w:rsid w:val="00C2111F"/>
    <w:pPr>
      <w:tabs>
        <w:tab w:val="right" w:leader="dot" w:pos="9360"/>
      </w:tabs>
      <w:ind w:left="2160" w:right="720" w:hanging="720"/>
    </w:pPr>
  </w:style>
  <w:style w:type="paragraph" w:styleId="TOC2">
    <w:name w:val="toc 2"/>
    <w:basedOn w:val="Normal"/>
    <w:next w:val="Normal"/>
    <w:uiPriority w:val="39"/>
    <w:rsid w:val="00C2111F"/>
    <w:pPr>
      <w:tabs>
        <w:tab w:val="right" w:leader="dot" w:pos="9360"/>
      </w:tabs>
      <w:ind w:right="720" w:hanging="720"/>
    </w:pPr>
  </w:style>
  <w:style w:type="paragraph" w:styleId="TOC1">
    <w:name w:val="toc 1"/>
    <w:basedOn w:val="Normal"/>
    <w:next w:val="Normal"/>
    <w:uiPriority w:val="39"/>
    <w:rsid w:val="00C2111F"/>
    <w:pPr>
      <w:tabs>
        <w:tab w:val="right" w:leader="dot" w:pos="9360"/>
      </w:tabs>
      <w:spacing w:before="480"/>
      <w:ind w:left="720" w:right="720" w:hanging="720"/>
    </w:pPr>
  </w:style>
  <w:style w:type="paragraph" w:styleId="Index2">
    <w:name w:val="index 2"/>
    <w:basedOn w:val="Normal"/>
    <w:next w:val="Normal"/>
    <w:semiHidden/>
    <w:rsid w:val="00C2111F"/>
    <w:pPr>
      <w:tabs>
        <w:tab w:val="right" w:leader="dot" w:pos="9360"/>
      </w:tabs>
      <w:ind w:right="720" w:hanging="720"/>
    </w:pPr>
  </w:style>
  <w:style w:type="paragraph" w:styleId="Index1">
    <w:name w:val="index 1"/>
    <w:basedOn w:val="Normal"/>
    <w:next w:val="Normal"/>
    <w:semiHidden/>
    <w:rsid w:val="00C2111F"/>
    <w:pPr>
      <w:tabs>
        <w:tab w:val="right" w:leader="dot" w:pos="9360"/>
      </w:tabs>
      <w:ind w:right="720" w:hanging="1440"/>
    </w:pPr>
  </w:style>
  <w:style w:type="paragraph" w:styleId="Footer">
    <w:name w:val="footer"/>
    <w:basedOn w:val="Normal"/>
    <w:link w:val="FooterChar"/>
    <w:uiPriority w:val="99"/>
    <w:rsid w:val="00C2111F"/>
    <w:pPr>
      <w:tabs>
        <w:tab w:val="center" w:pos="4320"/>
        <w:tab w:val="right" w:pos="8640"/>
      </w:tabs>
    </w:pPr>
  </w:style>
  <w:style w:type="paragraph" w:styleId="Header">
    <w:name w:val="header"/>
    <w:basedOn w:val="Normal"/>
    <w:link w:val="HeaderChar"/>
    <w:uiPriority w:val="99"/>
    <w:rsid w:val="00C2111F"/>
    <w:pPr>
      <w:tabs>
        <w:tab w:val="center" w:pos="4320"/>
        <w:tab w:val="right" w:pos="8640"/>
      </w:tabs>
    </w:pPr>
  </w:style>
  <w:style w:type="paragraph" w:styleId="FootnoteText">
    <w:name w:val="footnote text"/>
    <w:basedOn w:val="Normal"/>
    <w:link w:val="FootnoteTextChar"/>
    <w:uiPriority w:val="99"/>
    <w:semiHidden/>
    <w:rsid w:val="00C2111F"/>
  </w:style>
  <w:style w:type="paragraph" w:customStyle="1" w:styleId="EndnoteText1">
    <w:name w:val="Endnote Text1"/>
    <w:basedOn w:val="Normal"/>
    <w:rsid w:val="00C2111F"/>
  </w:style>
  <w:style w:type="paragraph" w:customStyle="1" w:styleId="TOC91">
    <w:name w:val="TOC 91"/>
    <w:basedOn w:val="Normal"/>
    <w:next w:val="Normal"/>
    <w:rsid w:val="00C2111F"/>
    <w:pPr>
      <w:tabs>
        <w:tab w:val="right" w:leader="dot" w:pos="9360"/>
      </w:tabs>
      <w:ind w:left="720" w:hanging="720"/>
    </w:pPr>
  </w:style>
  <w:style w:type="paragraph" w:customStyle="1" w:styleId="TOAHeading1">
    <w:name w:val="TOA Heading1"/>
    <w:basedOn w:val="Normal"/>
    <w:next w:val="Normal"/>
    <w:rsid w:val="00C2111F"/>
    <w:pPr>
      <w:tabs>
        <w:tab w:val="right" w:pos="9360"/>
      </w:tabs>
    </w:pPr>
  </w:style>
  <w:style w:type="paragraph" w:customStyle="1" w:styleId="Caption1">
    <w:name w:val="Caption1"/>
    <w:basedOn w:val="Normal"/>
    <w:next w:val="Normal"/>
    <w:rsid w:val="00C2111F"/>
  </w:style>
  <w:style w:type="character" w:styleId="PageNumber">
    <w:name w:val="page number"/>
    <w:basedOn w:val="DefaultParagraphFont"/>
    <w:semiHidden/>
    <w:rsid w:val="00C2111F"/>
  </w:style>
  <w:style w:type="paragraph" w:customStyle="1" w:styleId="P1-StandPara">
    <w:name w:val="P1-Stand Para"/>
    <w:uiPriority w:val="99"/>
    <w:rsid w:val="00C2111F"/>
    <w:pPr>
      <w:spacing w:line="360" w:lineRule="atLeast"/>
      <w:ind w:firstLine="1152"/>
      <w:jc w:val="both"/>
    </w:pPr>
    <w:rPr>
      <w:rFonts w:ascii="Times New Roman" w:hAnsi="Times New Roman"/>
      <w:sz w:val="22"/>
    </w:rPr>
  </w:style>
  <w:style w:type="paragraph" w:styleId="BodyTextIndent">
    <w:name w:val="Body Text Indent"/>
    <w:basedOn w:val="Normal"/>
    <w:semiHidden/>
    <w:rsid w:val="00C2111F"/>
    <w:pPr>
      <w:tabs>
        <w:tab w:val="left" w:pos="211"/>
        <w:tab w:val="left" w:pos="528"/>
        <w:tab w:val="left" w:pos="633"/>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527" w:hanging="527"/>
    </w:pPr>
  </w:style>
  <w:style w:type="paragraph" w:styleId="BodyTextIndent2">
    <w:name w:val="Body Text Indent 2"/>
    <w:basedOn w:val="Normal"/>
    <w:link w:val="BodyTextIndent2Char"/>
    <w:semiHidden/>
    <w:rsid w:val="007249AC"/>
    <w:pPr>
      <w:tabs>
        <w:tab w:val="left" w:pos="720"/>
      </w:tabs>
      <w:ind w:left="527"/>
    </w:pPr>
  </w:style>
  <w:style w:type="paragraph" w:styleId="BodyTextIndent3">
    <w:name w:val="Body Text Indent 3"/>
    <w:basedOn w:val="Normal"/>
    <w:semiHidden/>
    <w:rsid w:val="00C2111F"/>
    <w:pPr>
      <w:tabs>
        <w:tab w:val="left" w:pos="211"/>
        <w:tab w:val="left" w:pos="72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720"/>
    </w:pPr>
  </w:style>
  <w:style w:type="paragraph" w:styleId="Title">
    <w:name w:val="Title"/>
    <w:basedOn w:val="Normal"/>
    <w:qFormat/>
    <w:rsid w:val="00C2111F"/>
    <w:pPr>
      <w:tabs>
        <w:tab w:val="center" w:pos="4680"/>
      </w:tabs>
      <w:jc w:val="center"/>
    </w:pPr>
    <w:rPr>
      <w:b/>
    </w:rPr>
  </w:style>
  <w:style w:type="paragraph" w:styleId="ListNumber">
    <w:name w:val="List Number"/>
    <w:basedOn w:val="List"/>
    <w:semiHidden/>
    <w:rsid w:val="00C2111F"/>
    <w:pPr>
      <w:numPr>
        <w:numId w:val="2"/>
      </w:numPr>
      <w:spacing w:after="240" w:line="240" w:lineRule="atLeast"/>
      <w:jc w:val="both"/>
    </w:pPr>
    <w:rPr>
      <w:rFonts w:ascii="Arial" w:hAnsi="Arial"/>
      <w:spacing w:val="-5"/>
      <w:sz w:val="20"/>
    </w:rPr>
  </w:style>
  <w:style w:type="paragraph" w:styleId="List">
    <w:name w:val="List"/>
    <w:basedOn w:val="Normal"/>
    <w:semiHidden/>
    <w:rsid w:val="00C2111F"/>
    <w:pPr>
      <w:ind w:left="360" w:hanging="360"/>
    </w:pPr>
  </w:style>
  <w:style w:type="paragraph" w:styleId="TOC9">
    <w:name w:val="toc 9"/>
    <w:basedOn w:val="Normal"/>
    <w:next w:val="Normal"/>
    <w:autoRedefine/>
    <w:semiHidden/>
    <w:rsid w:val="00C2111F"/>
    <w:pPr>
      <w:ind w:left="1920"/>
    </w:pPr>
  </w:style>
  <w:style w:type="character" w:styleId="Hyperlink">
    <w:name w:val="Hyperlink"/>
    <w:basedOn w:val="DefaultParagraphFont"/>
    <w:uiPriority w:val="99"/>
    <w:rsid w:val="00C2111F"/>
    <w:rPr>
      <w:color w:val="0000FF"/>
      <w:u w:val="single"/>
    </w:rPr>
  </w:style>
  <w:style w:type="character" w:styleId="FollowedHyperlink">
    <w:name w:val="FollowedHyperlink"/>
    <w:basedOn w:val="DefaultParagraphFont"/>
    <w:semiHidden/>
    <w:rsid w:val="00C2111F"/>
    <w:rPr>
      <w:color w:val="800080"/>
      <w:u w:val="single"/>
    </w:rPr>
  </w:style>
  <w:style w:type="character" w:styleId="FootnoteReference">
    <w:name w:val="footnote reference"/>
    <w:basedOn w:val="DefaultParagraphFont"/>
    <w:uiPriority w:val="99"/>
    <w:rsid w:val="00C2111F"/>
    <w:rPr>
      <w:vertAlign w:val="superscript"/>
    </w:rPr>
  </w:style>
  <w:style w:type="paragraph" w:styleId="ListBullet">
    <w:name w:val="List Bullet"/>
    <w:basedOn w:val="Normal"/>
    <w:autoRedefine/>
    <w:semiHidden/>
    <w:rsid w:val="00C2111F"/>
    <w:pPr>
      <w:numPr>
        <w:numId w:val="5"/>
      </w:numPr>
    </w:pPr>
  </w:style>
  <w:style w:type="paragraph" w:styleId="ListBullet2">
    <w:name w:val="List Bullet 2"/>
    <w:basedOn w:val="Normal"/>
    <w:autoRedefine/>
    <w:semiHidden/>
    <w:rsid w:val="00C2111F"/>
    <w:pPr>
      <w:numPr>
        <w:numId w:val="6"/>
      </w:numPr>
    </w:pPr>
  </w:style>
  <w:style w:type="paragraph" w:styleId="ListContinue">
    <w:name w:val="List Continue"/>
    <w:basedOn w:val="Normal"/>
    <w:semiHidden/>
    <w:rsid w:val="00C2111F"/>
    <w:pPr>
      <w:spacing w:after="120"/>
      <w:ind w:left="360"/>
    </w:pPr>
  </w:style>
  <w:style w:type="paragraph" w:styleId="ListContinue2">
    <w:name w:val="List Continue 2"/>
    <w:basedOn w:val="Normal"/>
    <w:rsid w:val="00C2111F"/>
    <w:pPr>
      <w:spacing w:after="120"/>
      <w:ind w:left="720"/>
    </w:pPr>
  </w:style>
  <w:style w:type="paragraph" w:customStyle="1" w:styleId="InsideAddress">
    <w:name w:val="Inside Address"/>
    <w:basedOn w:val="Normal"/>
    <w:rsid w:val="00C2111F"/>
  </w:style>
  <w:style w:type="paragraph" w:styleId="BodyText">
    <w:name w:val="Body Text"/>
    <w:basedOn w:val="Normal"/>
    <w:link w:val="BodyTextChar"/>
    <w:uiPriority w:val="99"/>
    <w:semiHidden/>
    <w:rsid w:val="00C2111F"/>
    <w:pPr>
      <w:spacing w:after="120"/>
    </w:pPr>
  </w:style>
  <w:style w:type="paragraph" w:styleId="BalloonText">
    <w:name w:val="Balloon Text"/>
    <w:basedOn w:val="Normal"/>
    <w:link w:val="BalloonTextChar"/>
    <w:uiPriority w:val="99"/>
    <w:semiHidden/>
    <w:rsid w:val="00C2111F"/>
    <w:rPr>
      <w:rFonts w:ascii="Tahoma" w:hAnsi="Tahoma" w:cs="Tahoma"/>
      <w:sz w:val="16"/>
      <w:szCs w:val="16"/>
    </w:rPr>
  </w:style>
  <w:style w:type="character" w:styleId="CommentReference">
    <w:name w:val="annotation reference"/>
    <w:basedOn w:val="DefaultParagraphFont"/>
    <w:uiPriority w:val="99"/>
    <w:semiHidden/>
    <w:rsid w:val="00C2111F"/>
    <w:rPr>
      <w:sz w:val="16"/>
      <w:szCs w:val="16"/>
    </w:rPr>
  </w:style>
  <w:style w:type="paragraph" w:styleId="CommentText">
    <w:name w:val="annotation text"/>
    <w:basedOn w:val="Normal"/>
    <w:link w:val="CommentTextChar"/>
    <w:uiPriority w:val="99"/>
    <w:semiHidden/>
    <w:rsid w:val="00C2111F"/>
    <w:rPr>
      <w:sz w:val="20"/>
    </w:rPr>
  </w:style>
  <w:style w:type="paragraph" w:styleId="CommentSubject">
    <w:name w:val="annotation subject"/>
    <w:basedOn w:val="CommentText"/>
    <w:next w:val="CommentText"/>
    <w:semiHidden/>
    <w:rsid w:val="00C2111F"/>
    <w:rPr>
      <w:b/>
      <w:bCs/>
    </w:rPr>
  </w:style>
  <w:style w:type="paragraph" w:styleId="PlainText">
    <w:name w:val="Plain Text"/>
    <w:basedOn w:val="Normal"/>
    <w:link w:val="PlainTextChar"/>
    <w:uiPriority w:val="99"/>
    <w:rsid w:val="00C2111F"/>
    <w:pPr>
      <w:ind w:left="0"/>
    </w:pPr>
    <w:rPr>
      <w:rFonts w:ascii="Courier New" w:hAnsi="Courier New"/>
      <w:sz w:val="20"/>
    </w:rPr>
  </w:style>
  <w:style w:type="paragraph" w:customStyle="1" w:styleId="NormalSS">
    <w:name w:val="NormalSS"/>
    <w:basedOn w:val="Normal"/>
    <w:qFormat/>
    <w:rsid w:val="007249AC"/>
    <w:pPr>
      <w:tabs>
        <w:tab w:val="left" w:pos="432"/>
      </w:tabs>
      <w:ind w:left="0" w:firstLine="432"/>
      <w:jc w:val="both"/>
    </w:pPr>
    <w:rPr>
      <w:rFonts w:ascii="Times New Roman" w:hAnsi="Times New Roman"/>
    </w:rPr>
  </w:style>
  <w:style w:type="paragraph" w:customStyle="1" w:styleId="ParagraphLAST">
    <w:name w:val="Paragraph (LAST)"/>
    <w:basedOn w:val="Normal"/>
    <w:next w:val="Normal"/>
    <w:rsid w:val="007249AC"/>
    <w:pPr>
      <w:tabs>
        <w:tab w:val="left" w:pos="432"/>
      </w:tabs>
      <w:spacing w:after="240" w:line="480" w:lineRule="auto"/>
      <w:ind w:left="0" w:firstLine="432"/>
      <w:jc w:val="both"/>
    </w:pPr>
    <w:rPr>
      <w:rFonts w:ascii="Times New Roman" w:hAnsi="Times New Roman"/>
    </w:rPr>
  </w:style>
  <w:style w:type="paragraph" w:customStyle="1" w:styleId="MarkforTable">
    <w:name w:val="Mark for Table"/>
    <w:next w:val="Normal"/>
    <w:rsid w:val="00C2111F"/>
    <w:pPr>
      <w:spacing w:line="480" w:lineRule="auto"/>
      <w:jc w:val="center"/>
    </w:pPr>
    <w:rPr>
      <w:rFonts w:ascii="Times New Roman" w:hAnsi="Times New Roman"/>
      <w:caps/>
      <w:sz w:val="24"/>
    </w:rPr>
  </w:style>
  <w:style w:type="paragraph" w:styleId="BodyText2">
    <w:name w:val="Body Text 2"/>
    <w:basedOn w:val="Normal"/>
    <w:semiHidden/>
    <w:rsid w:val="00C2111F"/>
    <w:pPr>
      <w:tabs>
        <w:tab w:val="left" w:pos="0"/>
        <w:tab w:val="left" w:pos="2520"/>
      </w:tabs>
      <w:suppressAutoHyphens/>
      <w:ind w:left="0"/>
    </w:pPr>
    <w:rPr>
      <w:rFonts w:ascii="Times New Roman" w:hAnsi="Times New Roman"/>
    </w:rPr>
  </w:style>
  <w:style w:type="paragraph" w:customStyle="1" w:styleId="Quicka">
    <w:name w:val="Quick a."/>
    <w:basedOn w:val="Normal"/>
    <w:rsid w:val="00C2111F"/>
    <w:pPr>
      <w:widowControl w:val="0"/>
      <w:ind w:left="0"/>
    </w:pPr>
    <w:rPr>
      <w:rFonts w:ascii="Times New Roman" w:hAnsi="Times New Roman"/>
      <w:snapToGrid w:val="0"/>
    </w:rPr>
  </w:style>
  <w:style w:type="paragraph" w:styleId="BodyText3">
    <w:name w:val="Body Text 3"/>
    <w:basedOn w:val="Normal"/>
    <w:semiHidden/>
    <w:rsid w:val="00C2111F"/>
    <w:pPr>
      <w:autoSpaceDE w:val="0"/>
      <w:autoSpaceDN w:val="0"/>
      <w:adjustRightInd w:val="0"/>
      <w:ind w:left="0"/>
      <w:jc w:val="center"/>
    </w:pPr>
    <w:rPr>
      <w:rFonts w:ascii="Arial" w:hAnsi="Arial" w:cs="Arial"/>
      <w:sz w:val="72"/>
      <w:szCs w:val="22"/>
    </w:rPr>
  </w:style>
  <w:style w:type="paragraph" w:customStyle="1" w:styleId="SL-FlLftSgl">
    <w:name w:val="SL-Fl Lft Sgl"/>
    <w:rsid w:val="00C2111F"/>
    <w:pPr>
      <w:spacing w:line="240" w:lineRule="atLeast"/>
      <w:jc w:val="both"/>
    </w:pPr>
    <w:rPr>
      <w:rFonts w:ascii="Arial" w:hAnsi="Arial"/>
      <w:sz w:val="18"/>
    </w:rPr>
  </w:style>
  <w:style w:type="paragraph" w:styleId="DocumentMap">
    <w:name w:val="Document Map"/>
    <w:basedOn w:val="Normal"/>
    <w:semiHidden/>
    <w:rsid w:val="00C2111F"/>
    <w:pPr>
      <w:shd w:val="clear" w:color="auto" w:fill="000080"/>
    </w:pPr>
    <w:rPr>
      <w:rFonts w:ascii="Tahoma" w:hAnsi="Tahoma" w:cs="Tahoma"/>
    </w:rPr>
  </w:style>
  <w:style w:type="paragraph" w:customStyle="1" w:styleId="Default">
    <w:name w:val="Default"/>
    <w:rsid w:val="00C2111F"/>
    <w:pPr>
      <w:autoSpaceDE w:val="0"/>
      <w:autoSpaceDN w:val="0"/>
      <w:adjustRightInd w:val="0"/>
    </w:pPr>
    <w:rPr>
      <w:rFonts w:ascii="Times New Roman" w:hAnsi="Times New Roman"/>
      <w:color w:val="000000"/>
      <w:sz w:val="24"/>
      <w:szCs w:val="24"/>
    </w:rPr>
  </w:style>
  <w:style w:type="character" w:customStyle="1" w:styleId="pageheadline1">
    <w:name w:val="pageheadline1"/>
    <w:basedOn w:val="DefaultParagraphFont"/>
    <w:rsid w:val="00C2111F"/>
    <w:rPr>
      <w:rFonts w:ascii="Verdana" w:hAnsi="Verdana" w:hint="default"/>
      <w:b/>
      <w:bCs/>
      <w:color w:val="000000"/>
      <w:w w:val="0"/>
      <w:sz w:val="36"/>
      <w:szCs w:val="36"/>
    </w:rPr>
  </w:style>
  <w:style w:type="paragraph" w:customStyle="1" w:styleId="Bullet">
    <w:name w:val="Bullet"/>
    <w:rsid w:val="007249AC"/>
    <w:pPr>
      <w:spacing w:after="180"/>
      <w:ind w:left="720" w:right="360" w:hanging="288"/>
      <w:jc w:val="both"/>
    </w:pPr>
    <w:rPr>
      <w:rFonts w:ascii="Times New Roman" w:hAnsi="Times New Roman"/>
      <w:sz w:val="24"/>
    </w:rPr>
  </w:style>
  <w:style w:type="paragraph" w:customStyle="1" w:styleId="BulletLAST">
    <w:name w:val="Bullet (LAST)"/>
    <w:next w:val="Normal"/>
    <w:rsid w:val="00C2111F"/>
    <w:pPr>
      <w:numPr>
        <w:numId w:val="12"/>
      </w:numPr>
      <w:spacing w:after="480"/>
      <w:ind w:left="720" w:right="360" w:hanging="288"/>
      <w:jc w:val="both"/>
    </w:pPr>
    <w:rPr>
      <w:rFonts w:ascii="Times New Roman" w:hAnsi="Times New Roman"/>
      <w:sz w:val="24"/>
    </w:rPr>
  </w:style>
  <w:style w:type="paragraph" w:customStyle="1" w:styleId="bodytext0">
    <w:name w:val="bodytext"/>
    <w:basedOn w:val="Normal"/>
    <w:rsid w:val="00C2111F"/>
    <w:pPr>
      <w:spacing w:before="100" w:beforeAutospacing="1" w:after="100" w:afterAutospacing="1"/>
      <w:ind w:left="0"/>
    </w:pPr>
    <w:rPr>
      <w:rFonts w:ascii="Verdana" w:hAnsi="Verdana"/>
      <w:color w:val="000000"/>
      <w:sz w:val="18"/>
      <w:szCs w:val="18"/>
    </w:rPr>
  </w:style>
  <w:style w:type="paragraph" w:customStyle="1" w:styleId="chkbox">
    <w:name w:val="chkbox"/>
    <w:basedOn w:val="Normal"/>
    <w:rsid w:val="00C2111F"/>
    <w:pPr>
      <w:spacing w:before="167" w:after="100" w:afterAutospacing="1"/>
      <w:ind w:left="0"/>
    </w:pPr>
    <w:rPr>
      <w:rFonts w:ascii="Arial Unicode MS" w:eastAsia="Arial Unicode MS" w:hAnsi="Arial Unicode MS"/>
      <w:szCs w:val="24"/>
    </w:rPr>
  </w:style>
  <w:style w:type="paragraph" w:styleId="Revision">
    <w:name w:val="Revision"/>
    <w:hidden/>
    <w:uiPriority w:val="99"/>
    <w:semiHidden/>
    <w:rsid w:val="006A5D08"/>
    <w:rPr>
      <w:sz w:val="24"/>
    </w:rPr>
  </w:style>
  <w:style w:type="character" w:customStyle="1" w:styleId="FootnoteTextChar">
    <w:name w:val="Footnote Text Char"/>
    <w:basedOn w:val="DefaultParagraphFont"/>
    <w:link w:val="FootnoteText"/>
    <w:uiPriority w:val="99"/>
    <w:semiHidden/>
    <w:rsid w:val="00991FF6"/>
    <w:rPr>
      <w:sz w:val="24"/>
    </w:rPr>
  </w:style>
  <w:style w:type="paragraph" w:customStyle="1" w:styleId="EndnoteText2">
    <w:name w:val="Endnote Text2"/>
    <w:basedOn w:val="Normal"/>
    <w:rsid w:val="004F7CDE"/>
  </w:style>
  <w:style w:type="paragraph" w:customStyle="1" w:styleId="TOC92">
    <w:name w:val="TOC 92"/>
    <w:basedOn w:val="Normal"/>
    <w:next w:val="Normal"/>
    <w:rsid w:val="004F7CDE"/>
    <w:pPr>
      <w:tabs>
        <w:tab w:val="right" w:leader="dot" w:pos="9360"/>
      </w:tabs>
      <w:ind w:left="720" w:hanging="720"/>
    </w:pPr>
  </w:style>
  <w:style w:type="paragraph" w:customStyle="1" w:styleId="TOAHeading2">
    <w:name w:val="TOA Heading2"/>
    <w:basedOn w:val="Normal"/>
    <w:next w:val="Normal"/>
    <w:rsid w:val="004F7CDE"/>
    <w:pPr>
      <w:tabs>
        <w:tab w:val="right" w:pos="9360"/>
      </w:tabs>
    </w:pPr>
  </w:style>
  <w:style w:type="paragraph" w:customStyle="1" w:styleId="Caption2">
    <w:name w:val="Caption2"/>
    <w:basedOn w:val="Normal"/>
    <w:next w:val="Normal"/>
    <w:rsid w:val="004F7CDE"/>
  </w:style>
  <w:style w:type="character" w:customStyle="1" w:styleId="PlainTextChar">
    <w:name w:val="Plain Text Char"/>
    <w:basedOn w:val="DefaultParagraphFont"/>
    <w:link w:val="PlainText"/>
    <w:uiPriority w:val="99"/>
    <w:rsid w:val="00F94BB9"/>
    <w:rPr>
      <w:rFonts w:ascii="Courier New" w:hAnsi="Courier New"/>
    </w:rPr>
  </w:style>
  <w:style w:type="paragraph" w:customStyle="1" w:styleId="QuestionHead1">
    <w:name w:val="QuestionHead1"/>
    <w:basedOn w:val="PlainText"/>
    <w:rsid w:val="00F94BB9"/>
    <w:pPr>
      <w:ind w:left="576" w:hanging="576"/>
    </w:pPr>
    <w:rPr>
      <w:rFonts w:ascii="Arial" w:hAnsi="Arial" w:cs="Arial"/>
      <w:b/>
      <w:bCs/>
      <w:color w:val="000000"/>
      <w:kern w:val="28"/>
    </w:rPr>
  </w:style>
  <w:style w:type="paragraph" w:customStyle="1" w:styleId="Question1Italic">
    <w:name w:val="Question1 Italic"/>
    <w:aliases w:val="Regular"/>
    <w:basedOn w:val="QuestionHead1"/>
    <w:rsid w:val="00F94BB9"/>
    <w:pPr>
      <w:ind w:firstLine="0"/>
    </w:pPr>
    <w:rPr>
      <w:b w:val="0"/>
      <w:bCs w:val="0"/>
      <w:i/>
      <w:iCs/>
    </w:rPr>
  </w:style>
  <w:style w:type="paragraph" w:customStyle="1" w:styleId="NumberedBox1">
    <w:name w:val="Numbered Box1"/>
    <w:basedOn w:val="Normal"/>
    <w:rsid w:val="00F94BB9"/>
    <w:pPr>
      <w:tabs>
        <w:tab w:val="left" w:pos="312"/>
      </w:tabs>
      <w:spacing w:before="120"/>
      <w:ind w:left="991" w:hanging="415"/>
    </w:pPr>
    <w:rPr>
      <w:rFonts w:ascii="Arial" w:hAnsi="Arial" w:cs="Arial"/>
      <w:color w:val="000000"/>
      <w:kern w:val="28"/>
      <w:sz w:val="20"/>
    </w:rPr>
  </w:style>
  <w:style w:type="paragraph" w:styleId="ListParagraph">
    <w:name w:val="List Paragraph"/>
    <w:basedOn w:val="Normal"/>
    <w:uiPriority w:val="34"/>
    <w:qFormat/>
    <w:rsid w:val="005A0FF0"/>
    <w:pPr>
      <w:ind w:left="720"/>
      <w:contextualSpacing/>
    </w:pPr>
  </w:style>
  <w:style w:type="character" w:customStyle="1" w:styleId="FooterChar">
    <w:name w:val="Footer Char"/>
    <w:basedOn w:val="DefaultParagraphFont"/>
    <w:link w:val="Footer"/>
    <w:uiPriority w:val="99"/>
    <w:rsid w:val="0002223B"/>
    <w:rPr>
      <w:sz w:val="24"/>
    </w:rPr>
  </w:style>
  <w:style w:type="paragraph" w:customStyle="1" w:styleId="EndnoteText3">
    <w:name w:val="Endnote Text3"/>
    <w:basedOn w:val="Normal"/>
    <w:rsid w:val="007249AC"/>
  </w:style>
  <w:style w:type="paragraph" w:customStyle="1" w:styleId="TOC93">
    <w:name w:val="TOC 93"/>
    <w:basedOn w:val="Normal"/>
    <w:next w:val="Normal"/>
    <w:rsid w:val="007249AC"/>
    <w:pPr>
      <w:tabs>
        <w:tab w:val="right" w:leader="dot" w:pos="9360"/>
      </w:tabs>
      <w:ind w:left="720" w:hanging="720"/>
    </w:pPr>
  </w:style>
  <w:style w:type="paragraph" w:customStyle="1" w:styleId="TOAHeading3">
    <w:name w:val="TOA Heading3"/>
    <w:basedOn w:val="Normal"/>
    <w:next w:val="Normal"/>
    <w:rsid w:val="007249AC"/>
    <w:pPr>
      <w:tabs>
        <w:tab w:val="right" w:pos="9360"/>
      </w:tabs>
    </w:pPr>
  </w:style>
  <w:style w:type="paragraph" w:customStyle="1" w:styleId="Caption3">
    <w:name w:val="Caption3"/>
    <w:basedOn w:val="Normal"/>
    <w:next w:val="Normal"/>
    <w:rsid w:val="007249AC"/>
  </w:style>
  <w:style w:type="paragraph" w:customStyle="1" w:styleId="Body1">
    <w:name w:val="Body 1"/>
    <w:rsid w:val="0006675F"/>
    <w:pPr>
      <w:ind w:left="1440"/>
      <w:outlineLvl w:val="0"/>
    </w:pPr>
    <w:rPr>
      <w:rFonts w:ascii="Helvetica" w:eastAsia="Arial Unicode MS" w:hAnsi="Helvetica"/>
      <w:color w:val="000000"/>
      <w:sz w:val="24"/>
      <w:u w:color="000000"/>
    </w:rPr>
  </w:style>
  <w:style w:type="paragraph" w:customStyle="1" w:styleId="citable">
    <w:name w:val="citable"/>
    <w:basedOn w:val="Normal"/>
    <w:uiPriority w:val="99"/>
    <w:rsid w:val="003D79C9"/>
    <w:pPr>
      <w:spacing w:before="100" w:beforeAutospacing="1" w:after="100" w:afterAutospacing="1"/>
      <w:ind w:left="0"/>
    </w:pPr>
    <w:rPr>
      <w:rFonts w:ascii="Times New Roman" w:hAnsi="Times New Roman"/>
      <w:szCs w:val="24"/>
    </w:rPr>
  </w:style>
  <w:style w:type="paragraph" w:styleId="NormalWeb">
    <w:name w:val="Normal (Web)"/>
    <w:basedOn w:val="Normal"/>
    <w:uiPriority w:val="99"/>
    <w:unhideWhenUsed/>
    <w:rsid w:val="009A3212"/>
    <w:pPr>
      <w:spacing w:before="100" w:beforeAutospacing="1" w:after="100" w:afterAutospacing="1"/>
      <w:ind w:left="0"/>
    </w:pPr>
    <w:rPr>
      <w:rFonts w:ascii="Times New Roman" w:eastAsiaTheme="minorEastAsia" w:hAnsi="Times New Roman"/>
      <w:szCs w:val="24"/>
    </w:rPr>
  </w:style>
  <w:style w:type="paragraph" w:customStyle="1" w:styleId="SU-FlLftUndln">
    <w:name w:val="SU-Fl Lft Undln"/>
    <w:uiPriority w:val="99"/>
    <w:rsid w:val="00277CE5"/>
    <w:pPr>
      <w:keepNext/>
      <w:spacing w:line="240" w:lineRule="exact"/>
    </w:pPr>
    <w:rPr>
      <w:rFonts w:ascii="Times New Roman" w:hAnsi="Times New Roman"/>
      <w:sz w:val="22"/>
      <w:u w:val="single"/>
    </w:rPr>
  </w:style>
  <w:style w:type="table" w:styleId="TableGrid">
    <w:name w:val="Table Grid"/>
    <w:basedOn w:val="TableNormal"/>
    <w:uiPriority w:val="59"/>
    <w:rsid w:val="00A45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772101"/>
  </w:style>
  <w:style w:type="character" w:customStyle="1" w:styleId="HeaderChar">
    <w:name w:val="Header Char"/>
    <w:basedOn w:val="DefaultParagraphFont"/>
    <w:link w:val="Header"/>
    <w:uiPriority w:val="99"/>
    <w:rsid w:val="00DB6F9D"/>
    <w:rPr>
      <w:sz w:val="24"/>
    </w:rPr>
  </w:style>
  <w:style w:type="paragraph" w:styleId="Subtitle">
    <w:name w:val="Subtitle"/>
    <w:basedOn w:val="Normal"/>
    <w:next w:val="Normal"/>
    <w:link w:val="SubtitleChar"/>
    <w:uiPriority w:val="11"/>
    <w:qFormat/>
    <w:rsid w:val="00DB6F9D"/>
    <w:pPr>
      <w:spacing w:after="60"/>
      <w:ind w:left="0"/>
      <w:jc w:val="center"/>
      <w:outlineLvl w:val="1"/>
    </w:pPr>
    <w:rPr>
      <w:rFonts w:ascii="Cambria" w:hAnsi="Cambria"/>
      <w:szCs w:val="24"/>
    </w:rPr>
  </w:style>
  <w:style w:type="character" w:customStyle="1" w:styleId="SubtitleChar">
    <w:name w:val="Subtitle Char"/>
    <w:basedOn w:val="DefaultParagraphFont"/>
    <w:link w:val="Subtitle"/>
    <w:uiPriority w:val="11"/>
    <w:rsid w:val="00DB6F9D"/>
    <w:rPr>
      <w:rFonts w:ascii="Cambria" w:hAnsi="Cambria"/>
      <w:sz w:val="24"/>
      <w:szCs w:val="24"/>
    </w:rPr>
  </w:style>
  <w:style w:type="character" w:customStyle="1" w:styleId="BodyTextIndent2Char">
    <w:name w:val="Body Text Indent 2 Char"/>
    <w:basedOn w:val="DefaultParagraphFont"/>
    <w:link w:val="BodyTextIndent2"/>
    <w:semiHidden/>
    <w:rsid w:val="00DB6F9D"/>
    <w:rPr>
      <w:sz w:val="24"/>
    </w:rPr>
  </w:style>
  <w:style w:type="character" w:customStyle="1" w:styleId="BodyTextChar">
    <w:name w:val="Body Text Char"/>
    <w:basedOn w:val="DefaultParagraphFont"/>
    <w:link w:val="BodyText"/>
    <w:uiPriority w:val="99"/>
    <w:semiHidden/>
    <w:rsid w:val="00DB6F9D"/>
    <w:rPr>
      <w:sz w:val="24"/>
    </w:rPr>
  </w:style>
  <w:style w:type="character" w:customStyle="1" w:styleId="BalloonTextChar">
    <w:name w:val="Balloon Text Char"/>
    <w:basedOn w:val="DefaultParagraphFont"/>
    <w:link w:val="BalloonText"/>
    <w:uiPriority w:val="99"/>
    <w:semiHidden/>
    <w:rsid w:val="00DB6F9D"/>
    <w:rPr>
      <w:rFonts w:ascii="Tahoma" w:hAnsi="Tahoma" w:cs="Tahoma"/>
      <w:sz w:val="16"/>
      <w:szCs w:val="16"/>
    </w:rPr>
  </w:style>
  <w:style w:type="character" w:customStyle="1" w:styleId="Heading1Char">
    <w:name w:val="Heading 1 Char"/>
    <w:basedOn w:val="DefaultParagraphFont"/>
    <w:link w:val="Heading1"/>
    <w:rsid w:val="00DB6F9D"/>
    <w:rPr>
      <w:iCs/>
      <w:sz w:val="24"/>
    </w:rPr>
  </w:style>
  <w:style w:type="character" w:customStyle="1" w:styleId="Heading2Char">
    <w:name w:val="Heading 2 Char"/>
    <w:basedOn w:val="DefaultParagraphFont"/>
    <w:link w:val="Heading2"/>
    <w:rsid w:val="00DB6F9D"/>
    <w:rPr>
      <w:rFonts w:ascii="Times New Roman" w:hAnsi="Times New Roman"/>
      <w:b/>
      <w:bCs/>
      <w:sz w:val="24"/>
      <w:szCs w:val="28"/>
    </w:rPr>
  </w:style>
  <w:style w:type="character" w:customStyle="1" w:styleId="ptext-">
    <w:name w:val="ptext-"/>
    <w:basedOn w:val="DefaultParagraphFont"/>
    <w:rsid w:val="00875535"/>
  </w:style>
  <w:style w:type="paragraph" w:customStyle="1" w:styleId="EndNoteBibliography">
    <w:name w:val="EndNote Bibliography"/>
    <w:basedOn w:val="Normal"/>
    <w:link w:val="EndNoteBibliographyChar"/>
    <w:rsid w:val="00010FBC"/>
    <w:pPr>
      <w:spacing w:after="160"/>
      <w:ind w:left="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010FBC"/>
    <w:rPr>
      <w:rFonts w:ascii="Calibri" w:eastAsiaTheme="minorHAnsi" w:hAnsi="Calibri" w:cs="Calibri"/>
      <w:noProof/>
      <w:sz w:val="22"/>
      <w:szCs w:val="22"/>
    </w:rPr>
  </w:style>
  <w:style w:type="paragraph" w:styleId="TOCHeading">
    <w:name w:val="TOC Heading"/>
    <w:basedOn w:val="Heading1"/>
    <w:next w:val="Normal"/>
    <w:uiPriority w:val="39"/>
    <w:unhideWhenUsed/>
    <w:qFormat/>
    <w:rsid w:val="001D1174"/>
    <w:pPr>
      <w:keepLines/>
      <w:spacing w:before="240" w:line="259" w:lineRule="auto"/>
      <w:ind w:left="0" w:firstLine="0"/>
      <w:outlineLvl w:val="9"/>
    </w:pPr>
    <w:rPr>
      <w:rFonts w:asciiTheme="majorHAnsi" w:eastAsiaTheme="majorEastAsia" w:hAnsiTheme="majorHAnsi" w:cstheme="majorBidi"/>
      <w:iCs w:val="0"/>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11F"/>
    <w:pPr>
      <w:ind w:left="1440"/>
    </w:pPr>
    <w:rPr>
      <w:sz w:val="24"/>
    </w:rPr>
  </w:style>
  <w:style w:type="paragraph" w:styleId="Heading1">
    <w:name w:val="heading 1"/>
    <w:basedOn w:val="Normal"/>
    <w:next w:val="Normal"/>
    <w:link w:val="Heading1Char"/>
    <w:qFormat/>
    <w:rsid w:val="00C2111F"/>
    <w:pPr>
      <w:keepNext/>
      <w:ind w:firstLine="540"/>
      <w:outlineLvl w:val="0"/>
    </w:pPr>
    <w:rPr>
      <w:iCs/>
    </w:rPr>
  </w:style>
  <w:style w:type="paragraph" w:styleId="Heading2">
    <w:name w:val="heading 2"/>
    <w:basedOn w:val="Normal"/>
    <w:next w:val="Normal"/>
    <w:link w:val="Heading2Char"/>
    <w:qFormat/>
    <w:rsid w:val="00C2111F"/>
    <w:pPr>
      <w:keepNext/>
      <w:tabs>
        <w:tab w:val="left" w:pos="0"/>
      </w:tabs>
      <w:spacing w:before="240" w:after="60"/>
      <w:ind w:left="720"/>
      <w:outlineLvl w:val="1"/>
    </w:pPr>
    <w:rPr>
      <w:rFonts w:ascii="Times New Roman" w:hAnsi="Times New Roman"/>
      <w:b/>
      <w:bCs/>
      <w:szCs w:val="28"/>
    </w:rPr>
  </w:style>
  <w:style w:type="paragraph" w:styleId="Heading3">
    <w:name w:val="heading 3"/>
    <w:basedOn w:val="Normal"/>
    <w:next w:val="Normal"/>
    <w:qFormat/>
    <w:rsid w:val="00C2111F"/>
    <w:pPr>
      <w:keepNext/>
      <w:autoSpaceDE w:val="0"/>
      <w:autoSpaceDN w:val="0"/>
      <w:adjustRightInd w:val="0"/>
      <w:spacing w:line="240" w:lineRule="atLeast"/>
      <w:outlineLvl w:val="2"/>
    </w:pPr>
    <w:rPr>
      <w:rFonts w:ascii="Times New Roman" w:hAnsi="Times New Roman"/>
      <w:b/>
      <w:bCs/>
      <w:color w:val="000000"/>
    </w:rPr>
  </w:style>
  <w:style w:type="paragraph" w:styleId="Heading4">
    <w:name w:val="heading 4"/>
    <w:basedOn w:val="Normal"/>
    <w:next w:val="Normal"/>
    <w:qFormat/>
    <w:rsid w:val="007249AC"/>
    <w:pPr>
      <w:keepNext/>
      <w:outlineLvl w:val="3"/>
    </w:pPr>
    <w:rPr>
      <w:rFonts w:ascii="Times New Roman" w:hAnsi="Times New Roman"/>
      <w:i/>
      <w:iCs/>
    </w:rPr>
  </w:style>
  <w:style w:type="paragraph" w:styleId="Heading5">
    <w:name w:val="heading 5"/>
    <w:basedOn w:val="Normal"/>
    <w:next w:val="Normal"/>
    <w:qFormat/>
    <w:rsid w:val="00C2111F"/>
    <w:pPr>
      <w:spacing w:before="240" w:after="60"/>
      <w:outlineLvl w:val="4"/>
    </w:pPr>
    <w:rPr>
      <w:b/>
      <w:bCs/>
      <w:i/>
      <w:iCs/>
      <w:sz w:val="26"/>
      <w:szCs w:val="26"/>
    </w:rPr>
  </w:style>
  <w:style w:type="paragraph" w:styleId="Heading6">
    <w:name w:val="heading 6"/>
    <w:basedOn w:val="Normal"/>
    <w:next w:val="Normal"/>
    <w:qFormat/>
    <w:rsid w:val="00C2111F"/>
    <w:pPr>
      <w:spacing w:before="240" w:after="60"/>
      <w:outlineLvl w:val="5"/>
    </w:pPr>
    <w:rPr>
      <w:rFonts w:ascii="Times New Roman" w:hAnsi="Times New Roman"/>
      <w:b/>
      <w:bCs/>
      <w:sz w:val="22"/>
      <w:szCs w:val="22"/>
    </w:rPr>
  </w:style>
  <w:style w:type="paragraph" w:styleId="Heading7">
    <w:name w:val="heading 7"/>
    <w:basedOn w:val="Normal"/>
    <w:next w:val="Normal"/>
    <w:qFormat/>
    <w:rsid w:val="00C2111F"/>
    <w:pPr>
      <w:keepNext/>
      <w:tabs>
        <w:tab w:val="left" w:pos="2520"/>
      </w:tabs>
      <w:ind w:left="0"/>
      <w:outlineLvl w:val="6"/>
    </w:pPr>
    <w:rPr>
      <w:rFonts w:ascii="Times New Roman" w:hAnsi="Times New Roman"/>
      <w:i/>
      <w:iCs/>
    </w:rPr>
  </w:style>
  <w:style w:type="paragraph" w:styleId="Heading8">
    <w:name w:val="heading 8"/>
    <w:basedOn w:val="Normal"/>
    <w:next w:val="Normal"/>
    <w:qFormat/>
    <w:rsid w:val="00C2111F"/>
    <w:pPr>
      <w:keepNext/>
      <w:overflowPunct w:val="0"/>
      <w:autoSpaceDE w:val="0"/>
      <w:autoSpaceDN w:val="0"/>
      <w:adjustRightInd w:val="0"/>
      <w:ind w:left="0"/>
      <w:jc w:val="center"/>
      <w:outlineLvl w:val="7"/>
    </w:pPr>
    <w:rPr>
      <w:b/>
      <w:bCs/>
    </w:rPr>
  </w:style>
  <w:style w:type="paragraph" w:styleId="Heading9">
    <w:name w:val="heading 9"/>
    <w:basedOn w:val="Normal"/>
    <w:next w:val="Normal"/>
    <w:qFormat/>
    <w:rsid w:val="00C2111F"/>
    <w:pPr>
      <w:keepNext/>
      <w:tabs>
        <w:tab w:val="left" w:pos="2520"/>
      </w:tabs>
      <w:ind w:left="0"/>
      <w:outlineLvl w:val="8"/>
    </w:pPr>
    <w:rPr>
      <w:rFonts w:ascii="Times New Roman" w:hAnsi="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C2111F"/>
    <w:pPr>
      <w:tabs>
        <w:tab w:val="right" w:pos="9360"/>
      </w:tabs>
      <w:ind w:left="720" w:hanging="720"/>
    </w:pPr>
  </w:style>
  <w:style w:type="paragraph" w:styleId="TOC7">
    <w:name w:val="toc 7"/>
    <w:basedOn w:val="Normal"/>
    <w:next w:val="Normal"/>
    <w:semiHidden/>
    <w:rsid w:val="00C2111F"/>
    <w:pPr>
      <w:ind w:left="720" w:hanging="720"/>
    </w:pPr>
  </w:style>
  <w:style w:type="paragraph" w:styleId="TOC6">
    <w:name w:val="toc 6"/>
    <w:basedOn w:val="Normal"/>
    <w:next w:val="Normal"/>
    <w:semiHidden/>
    <w:rsid w:val="00C2111F"/>
    <w:pPr>
      <w:tabs>
        <w:tab w:val="right" w:pos="9360"/>
      </w:tabs>
      <w:ind w:left="720" w:hanging="720"/>
    </w:pPr>
  </w:style>
  <w:style w:type="paragraph" w:styleId="TOC5">
    <w:name w:val="toc 5"/>
    <w:basedOn w:val="Normal"/>
    <w:next w:val="Normal"/>
    <w:semiHidden/>
    <w:rsid w:val="00C2111F"/>
    <w:pPr>
      <w:tabs>
        <w:tab w:val="right" w:leader="dot" w:pos="9360"/>
      </w:tabs>
      <w:ind w:left="3600" w:right="720" w:hanging="720"/>
    </w:pPr>
  </w:style>
  <w:style w:type="paragraph" w:styleId="TOC4">
    <w:name w:val="toc 4"/>
    <w:basedOn w:val="Normal"/>
    <w:next w:val="Normal"/>
    <w:semiHidden/>
    <w:rsid w:val="00C2111F"/>
    <w:pPr>
      <w:tabs>
        <w:tab w:val="right" w:leader="dot" w:pos="9360"/>
      </w:tabs>
      <w:ind w:left="2880" w:right="720" w:hanging="720"/>
    </w:pPr>
  </w:style>
  <w:style w:type="paragraph" w:styleId="TOC3">
    <w:name w:val="toc 3"/>
    <w:basedOn w:val="Normal"/>
    <w:next w:val="Normal"/>
    <w:semiHidden/>
    <w:rsid w:val="00C2111F"/>
    <w:pPr>
      <w:tabs>
        <w:tab w:val="right" w:leader="dot" w:pos="9360"/>
      </w:tabs>
      <w:ind w:left="2160" w:right="720" w:hanging="720"/>
    </w:pPr>
  </w:style>
  <w:style w:type="paragraph" w:styleId="TOC2">
    <w:name w:val="toc 2"/>
    <w:basedOn w:val="Normal"/>
    <w:next w:val="Normal"/>
    <w:uiPriority w:val="39"/>
    <w:rsid w:val="00C2111F"/>
    <w:pPr>
      <w:tabs>
        <w:tab w:val="right" w:leader="dot" w:pos="9360"/>
      </w:tabs>
      <w:ind w:right="720" w:hanging="720"/>
    </w:pPr>
  </w:style>
  <w:style w:type="paragraph" w:styleId="TOC1">
    <w:name w:val="toc 1"/>
    <w:basedOn w:val="Normal"/>
    <w:next w:val="Normal"/>
    <w:uiPriority w:val="39"/>
    <w:rsid w:val="00C2111F"/>
    <w:pPr>
      <w:tabs>
        <w:tab w:val="right" w:leader="dot" w:pos="9360"/>
      </w:tabs>
      <w:spacing w:before="480"/>
      <w:ind w:left="720" w:right="720" w:hanging="720"/>
    </w:pPr>
  </w:style>
  <w:style w:type="paragraph" w:styleId="Index2">
    <w:name w:val="index 2"/>
    <w:basedOn w:val="Normal"/>
    <w:next w:val="Normal"/>
    <w:semiHidden/>
    <w:rsid w:val="00C2111F"/>
    <w:pPr>
      <w:tabs>
        <w:tab w:val="right" w:leader="dot" w:pos="9360"/>
      </w:tabs>
      <w:ind w:right="720" w:hanging="720"/>
    </w:pPr>
  </w:style>
  <w:style w:type="paragraph" w:styleId="Index1">
    <w:name w:val="index 1"/>
    <w:basedOn w:val="Normal"/>
    <w:next w:val="Normal"/>
    <w:semiHidden/>
    <w:rsid w:val="00C2111F"/>
    <w:pPr>
      <w:tabs>
        <w:tab w:val="right" w:leader="dot" w:pos="9360"/>
      </w:tabs>
      <w:ind w:right="720" w:hanging="1440"/>
    </w:pPr>
  </w:style>
  <w:style w:type="paragraph" w:styleId="Footer">
    <w:name w:val="footer"/>
    <w:basedOn w:val="Normal"/>
    <w:link w:val="FooterChar"/>
    <w:uiPriority w:val="99"/>
    <w:rsid w:val="00C2111F"/>
    <w:pPr>
      <w:tabs>
        <w:tab w:val="center" w:pos="4320"/>
        <w:tab w:val="right" w:pos="8640"/>
      </w:tabs>
    </w:pPr>
  </w:style>
  <w:style w:type="paragraph" w:styleId="Header">
    <w:name w:val="header"/>
    <w:basedOn w:val="Normal"/>
    <w:link w:val="HeaderChar"/>
    <w:uiPriority w:val="99"/>
    <w:rsid w:val="00C2111F"/>
    <w:pPr>
      <w:tabs>
        <w:tab w:val="center" w:pos="4320"/>
        <w:tab w:val="right" w:pos="8640"/>
      </w:tabs>
    </w:pPr>
  </w:style>
  <w:style w:type="paragraph" w:styleId="FootnoteText">
    <w:name w:val="footnote text"/>
    <w:basedOn w:val="Normal"/>
    <w:link w:val="FootnoteTextChar"/>
    <w:uiPriority w:val="99"/>
    <w:semiHidden/>
    <w:rsid w:val="00C2111F"/>
  </w:style>
  <w:style w:type="paragraph" w:customStyle="1" w:styleId="EndnoteText1">
    <w:name w:val="Endnote Text1"/>
    <w:basedOn w:val="Normal"/>
    <w:rsid w:val="00C2111F"/>
  </w:style>
  <w:style w:type="paragraph" w:customStyle="1" w:styleId="TOC91">
    <w:name w:val="TOC 91"/>
    <w:basedOn w:val="Normal"/>
    <w:next w:val="Normal"/>
    <w:rsid w:val="00C2111F"/>
    <w:pPr>
      <w:tabs>
        <w:tab w:val="right" w:leader="dot" w:pos="9360"/>
      </w:tabs>
      <w:ind w:left="720" w:hanging="720"/>
    </w:pPr>
  </w:style>
  <w:style w:type="paragraph" w:customStyle="1" w:styleId="TOAHeading1">
    <w:name w:val="TOA Heading1"/>
    <w:basedOn w:val="Normal"/>
    <w:next w:val="Normal"/>
    <w:rsid w:val="00C2111F"/>
    <w:pPr>
      <w:tabs>
        <w:tab w:val="right" w:pos="9360"/>
      </w:tabs>
    </w:pPr>
  </w:style>
  <w:style w:type="paragraph" w:customStyle="1" w:styleId="Caption1">
    <w:name w:val="Caption1"/>
    <w:basedOn w:val="Normal"/>
    <w:next w:val="Normal"/>
    <w:rsid w:val="00C2111F"/>
  </w:style>
  <w:style w:type="character" w:styleId="PageNumber">
    <w:name w:val="page number"/>
    <w:basedOn w:val="DefaultParagraphFont"/>
    <w:semiHidden/>
    <w:rsid w:val="00C2111F"/>
  </w:style>
  <w:style w:type="paragraph" w:customStyle="1" w:styleId="P1-StandPara">
    <w:name w:val="P1-Stand Para"/>
    <w:uiPriority w:val="99"/>
    <w:rsid w:val="00C2111F"/>
    <w:pPr>
      <w:spacing w:line="360" w:lineRule="atLeast"/>
      <w:ind w:firstLine="1152"/>
      <w:jc w:val="both"/>
    </w:pPr>
    <w:rPr>
      <w:rFonts w:ascii="Times New Roman" w:hAnsi="Times New Roman"/>
      <w:sz w:val="22"/>
    </w:rPr>
  </w:style>
  <w:style w:type="paragraph" w:styleId="BodyTextIndent">
    <w:name w:val="Body Text Indent"/>
    <w:basedOn w:val="Normal"/>
    <w:semiHidden/>
    <w:rsid w:val="00C2111F"/>
    <w:pPr>
      <w:tabs>
        <w:tab w:val="left" w:pos="211"/>
        <w:tab w:val="left" w:pos="528"/>
        <w:tab w:val="left" w:pos="633"/>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527" w:hanging="527"/>
    </w:pPr>
  </w:style>
  <w:style w:type="paragraph" w:styleId="BodyTextIndent2">
    <w:name w:val="Body Text Indent 2"/>
    <w:basedOn w:val="Normal"/>
    <w:link w:val="BodyTextIndent2Char"/>
    <w:semiHidden/>
    <w:rsid w:val="007249AC"/>
    <w:pPr>
      <w:tabs>
        <w:tab w:val="left" w:pos="720"/>
      </w:tabs>
      <w:ind w:left="527"/>
    </w:pPr>
  </w:style>
  <w:style w:type="paragraph" w:styleId="BodyTextIndent3">
    <w:name w:val="Body Text Indent 3"/>
    <w:basedOn w:val="Normal"/>
    <w:semiHidden/>
    <w:rsid w:val="00C2111F"/>
    <w:pPr>
      <w:tabs>
        <w:tab w:val="left" w:pos="211"/>
        <w:tab w:val="left" w:pos="72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720"/>
    </w:pPr>
  </w:style>
  <w:style w:type="paragraph" w:styleId="Title">
    <w:name w:val="Title"/>
    <w:basedOn w:val="Normal"/>
    <w:qFormat/>
    <w:rsid w:val="00C2111F"/>
    <w:pPr>
      <w:tabs>
        <w:tab w:val="center" w:pos="4680"/>
      </w:tabs>
      <w:jc w:val="center"/>
    </w:pPr>
    <w:rPr>
      <w:b/>
    </w:rPr>
  </w:style>
  <w:style w:type="paragraph" w:styleId="ListNumber">
    <w:name w:val="List Number"/>
    <w:basedOn w:val="List"/>
    <w:semiHidden/>
    <w:rsid w:val="00C2111F"/>
    <w:pPr>
      <w:numPr>
        <w:numId w:val="2"/>
      </w:numPr>
      <w:spacing w:after="240" w:line="240" w:lineRule="atLeast"/>
      <w:jc w:val="both"/>
    </w:pPr>
    <w:rPr>
      <w:rFonts w:ascii="Arial" w:hAnsi="Arial"/>
      <w:spacing w:val="-5"/>
      <w:sz w:val="20"/>
    </w:rPr>
  </w:style>
  <w:style w:type="paragraph" w:styleId="List">
    <w:name w:val="List"/>
    <w:basedOn w:val="Normal"/>
    <w:semiHidden/>
    <w:rsid w:val="00C2111F"/>
    <w:pPr>
      <w:ind w:left="360" w:hanging="360"/>
    </w:pPr>
  </w:style>
  <w:style w:type="paragraph" w:styleId="TOC9">
    <w:name w:val="toc 9"/>
    <w:basedOn w:val="Normal"/>
    <w:next w:val="Normal"/>
    <w:autoRedefine/>
    <w:semiHidden/>
    <w:rsid w:val="00C2111F"/>
    <w:pPr>
      <w:ind w:left="1920"/>
    </w:pPr>
  </w:style>
  <w:style w:type="character" w:styleId="Hyperlink">
    <w:name w:val="Hyperlink"/>
    <w:basedOn w:val="DefaultParagraphFont"/>
    <w:uiPriority w:val="99"/>
    <w:rsid w:val="00C2111F"/>
    <w:rPr>
      <w:color w:val="0000FF"/>
      <w:u w:val="single"/>
    </w:rPr>
  </w:style>
  <w:style w:type="character" w:styleId="FollowedHyperlink">
    <w:name w:val="FollowedHyperlink"/>
    <w:basedOn w:val="DefaultParagraphFont"/>
    <w:semiHidden/>
    <w:rsid w:val="00C2111F"/>
    <w:rPr>
      <w:color w:val="800080"/>
      <w:u w:val="single"/>
    </w:rPr>
  </w:style>
  <w:style w:type="character" w:styleId="FootnoteReference">
    <w:name w:val="footnote reference"/>
    <w:basedOn w:val="DefaultParagraphFont"/>
    <w:uiPriority w:val="99"/>
    <w:rsid w:val="00C2111F"/>
    <w:rPr>
      <w:vertAlign w:val="superscript"/>
    </w:rPr>
  </w:style>
  <w:style w:type="paragraph" w:styleId="ListBullet">
    <w:name w:val="List Bullet"/>
    <w:basedOn w:val="Normal"/>
    <w:autoRedefine/>
    <w:semiHidden/>
    <w:rsid w:val="00C2111F"/>
    <w:pPr>
      <w:numPr>
        <w:numId w:val="5"/>
      </w:numPr>
    </w:pPr>
  </w:style>
  <w:style w:type="paragraph" w:styleId="ListBullet2">
    <w:name w:val="List Bullet 2"/>
    <w:basedOn w:val="Normal"/>
    <w:autoRedefine/>
    <w:semiHidden/>
    <w:rsid w:val="00C2111F"/>
    <w:pPr>
      <w:numPr>
        <w:numId w:val="6"/>
      </w:numPr>
    </w:pPr>
  </w:style>
  <w:style w:type="paragraph" w:styleId="ListContinue">
    <w:name w:val="List Continue"/>
    <w:basedOn w:val="Normal"/>
    <w:semiHidden/>
    <w:rsid w:val="00C2111F"/>
    <w:pPr>
      <w:spacing w:after="120"/>
      <w:ind w:left="360"/>
    </w:pPr>
  </w:style>
  <w:style w:type="paragraph" w:styleId="ListContinue2">
    <w:name w:val="List Continue 2"/>
    <w:basedOn w:val="Normal"/>
    <w:rsid w:val="00C2111F"/>
    <w:pPr>
      <w:spacing w:after="120"/>
      <w:ind w:left="720"/>
    </w:pPr>
  </w:style>
  <w:style w:type="paragraph" w:customStyle="1" w:styleId="InsideAddress">
    <w:name w:val="Inside Address"/>
    <w:basedOn w:val="Normal"/>
    <w:rsid w:val="00C2111F"/>
  </w:style>
  <w:style w:type="paragraph" w:styleId="BodyText">
    <w:name w:val="Body Text"/>
    <w:basedOn w:val="Normal"/>
    <w:link w:val="BodyTextChar"/>
    <w:uiPriority w:val="99"/>
    <w:semiHidden/>
    <w:rsid w:val="00C2111F"/>
    <w:pPr>
      <w:spacing w:after="120"/>
    </w:pPr>
  </w:style>
  <w:style w:type="paragraph" w:styleId="BalloonText">
    <w:name w:val="Balloon Text"/>
    <w:basedOn w:val="Normal"/>
    <w:link w:val="BalloonTextChar"/>
    <w:uiPriority w:val="99"/>
    <w:semiHidden/>
    <w:rsid w:val="00C2111F"/>
    <w:rPr>
      <w:rFonts w:ascii="Tahoma" w:hAnsi="Tahoma" w:cs="Tahoma"/>
      <w:sz w:val="16"/>
      <w:szCs w:val="16"/>
    </w:rPr>
  </w:style>
  <w:style w:type="character" w:styleId="CommentReference">
    <w:name w:val="annotation reference"/>
    <w:basedOn w:val="DefaultParagraphFont"/>
    <w:uiPriority w:val="99"/>
    <w:semiHidden/>
    <w:rsid w:val="00C2111F"/>
    <w:rPr>
      <w:sz w:val="16"/>
      <w:szCs w:val="16"/>
    </w:rPr>
  </w:style>
  <w:style w:type="paragraph" w:styleId="CommentText">
    <w:name w:val="annotation text"/>
    <w:basedOn w:val="Normal"/>
    <w:link w:val="CommentTextChar"/>
    <w:uiPriority w:val="99"/>
    <w:semiHidden/>
    <w:rsid w:val="00C2111F"/>
    <w:rPr>
      <w:sz w:val="20"/>
    </w:rPr>
  </w:style>
  <w:style w:type="paragraph" w:styleId="CommentSubject">
    <w:name w:val="annotation subject"/>
    <w:basedOn w:val="CommentText"/>
    <w:next w:val="CommentText"/>
    <w:semiHidden/>
    <w:rsid w:val="00C2111F"/>
    <w:rPr>
      <w:b/>
      <w:bCs/>
    </w:rPr>
  </w:style>
  <w:style w:type="paragraph" w:styleId="PlainText">
    <w:name w:val="Plain Text"/>
    <w:basedOn w:val="Normal"/>
    <w:link w:val="PlainTextChar"/>
    <w:uiPriority w:val="99"/>
    <w:rsid w:val="00C2111F"/>
    <w:pPr>
      <w:ind w:left="0"/>
    </w:pPr>
    <w:rPr>
      <w:rFonts w:ascii="Courier New" w:hAnsi="Courier New"/>
      <w:sz w:val="20"/>
    </w:rPr>
  </w:style>
  <w:style w:type="paragraph" w:customStyle="1" w:styleId="NormalSS">
    <w:name w:val="NormalSS"/>
    <w:basedOn w:val="Normal"/>
    <w:qFormat/>
    <w:rsid w:val="007249AC"/>
    <w:pPr>
      <w:tabs>
        <w:tab w:val="left" w:pos="432"/>
      </w:tabs>
      <w:ind w:left="0" w:firstLine="432"/>
      <w:jc w:val="both"/>
    </w:pPr>
    <w:rPr>
      <w:rFonts w:ascii="Times New Roman" w:hAnsi="Times New Roman"/>
    </w:rPr>
  </w:style>
  <w:style w:type="paragraph" w:customStyle="1" w:styleId="ParagraphLAST">
    <w:name w:val="Paragraph (LAST)"/>
    <w:basedOn w:val="Normal"/>
    <w:next w:val="Normal"/>
    <w:rsid w:val="007249AC"/>
    <w:pPr>
      <w:tabs>
        <w:tab w:val="left" w:pos="432"/>
      </w:tabs>
      <w:spacing w:after="240" w:line="480" w:lineRule="auto"/>
      <w:ind w:left="0" w:firstLine="432"/>
      <w:jc w:val="both"/>
    </w:pPr>
    <w:rPr>
      <w:rFonts w:ascii="Times New Roman" w:hAnsi="Times New Roman"/>
    </w:rPr>
  </w:style>
  <w:style w:type="paragraph" w:customStyle="1" w:styleId="MarkforTable">
    <w:name w:val="Mark for Table"/>
    <w:next w:val="Normal"/>
    <w:rsid w:val="00C2111F"/>
    <w:pPr>
      <w:spacing w:line="480" w:lineRule="auto"/>
      <w:jc w:val="center"/>
    </w:pPr>
    <w:rPr>
      <w:rFonts w:ascii="Times New Roman" w:hAnsi="Times New Roman"/>
      <w:caps/>
      <w:sz w:val="24"/>
    </w:rPr>
  </w:style>
  <w:style w:type="paragraph" w:styleId="BodyText2">
    <w:name w:val="Body Text 2"/>
    <w:basedOn w:val="Normal"/>
    <w:semiHidden/>
    <w:rsid w:val="00C2111F"/>
    <w:pPr>
      <w:tabs>
        <w:tab w:val="left" w:pos="0"/>
        <w:tab w:val="left" w:pos="2520"/>
      </w:tabs>
      <w:suppressAutoHyphens/>
      <w:ind w:left="0"/>
    </w:pPr>
    <w:rPr>
      <w:rFonts w:ascii="Times New Roman" w:hAnsi="Times New Roman"/>
    </w:rPr>
  </w:style>
  <w:style w:type="paragraph" w:customStyle="1" w:styleId="Quicka">
    <w:name w:val="Quick a."/>
    <w:basedOn w:val="Normal"/>
    <w:rsid w:val="00C2111F"/>
    <w:pPr>
      <w:widowControl w:val="0"/>
      <w:ind w:left="0"/>
    </w:pPr>
    <w:rPr>
      <w:rFonts w:ascii="Times New Roman" w:hAnsi="Times New Roman"/>
      <w:snapToGrid w:val="0"/>
    </w:rPr>
  </w:style>
  <w:style w:type="paragraph" w:styleId="BodyText3">
    <w:name w:val="Body Text 3"/>
    <w:basedOn w:val="Normal"/>
    <w:semiHidden/>
    <w:rsid w:val="00C2111F"/>
    <w:pPr>
      <w:autoSpaceDE w:val="0"/>
      <w:autoSpaceDN w:val="0"/>
      <w:adjustRightInd w:val="0"/>
      <w:ind w:left="0"/>
      <w:jc w:val="center"/>
    </w:pPr>
    <w:rPr>
      <w:rFonts w:ascii="Arial" w:hAnsi="Arial" w:cs="Arial"/>
      <w:sz w:val="72"/>
      <w:szCs w:val="22"/>
    </w:rPr>
  </w:style>
  <w:style w:type="paragraph" w:customStyle="1" w:styleId="SL-FlLftSgl">
    <w:name w:val="SL-Fl Lft Sgl"/>
    <w:rsid w:val="00C2111F"/>
    <w:pPr>
      <w:spacing w:line="240" w:lineRule="atLeast"/>
      <w:jc w:val="both"/>
    </w:pPr>
    <w:rPr>
      <w:rFonts w:ascii="Arial" w:hAnsi="Arial"/>
      <w:sz w:val="18"/>
    </w:rPr>
  </w:style>
  <w:style w:type="paragraph" w:styleId="DocumentMap">
    <w:name w:val="Document Map"/>
    <w:basedOn w:val="Normal"/>
    <w:semiHidden/>
    <w:rsid w:val="00C2111F"/>
    <w:pPr>
      <w:shd w:val="clear" w:color="auto" w:fill="000080"/>
    </w:pPr>
    <w:rPr>
      <w:rFonts w:ascii="Tahoma" w:hAnsi="Tahoma" w:cs="Tahoma"/>
    </w:rPr>
  </w:style>
  <w:style w:type="paragraph" w:customStyle="1" w:styleId="Default">
    <w:name w:val="Default"/>
    <w:rsid w:val="00C2111F"/>
    <w:pPr>
      <w:autoSpaceDE w:val="0"/>
      <w:autoSpaceDN w:val="0"/>
      <w:adjustRightInd w:val="0"/>
    </w:pPr>
    <w:rPr>
      <w:rFonts w:ascii="Times New Roman" w:hAnsi="Times New Roman"/>
      <w:color w:val="000000"/>
      <w:sz w:val="24"/>
      <w:szCs w:val="24"/>
    </w:rPr>
  </w:style>
  <w:style w:type="character" w:customStyle="1" w:styleId="pageheadline1">
    <w:name w:val="pageheadline1"/>
    <w:basedOn w:val="DefaultParagraphFont"/>
    <w:rsid w:val="00C2111F"/>
    <w:rPr>
      <w:rFonts w:ascii="Verdana" w:hAnsi="Verdana" w:hint="default"/>
      <w:b/>
      <w:bCs/>
      <w:color w:val="000000"/>
      <w:w w:val="0"/>
      <w:sz w:val="36"/>
      <w:szCs w:val="36"/>
    </w:rPr>
  </w:style>
  <w:style w:type="paragraph" w:customStyle="1" w:styleId="Bullet">
    <w:name w:val="Bullet"/>
    <w:rsid w:val="007249AC"/>
    <w:pPr>
      <w:spacing w:after="180"/>
      <w:ind w:left="720" w:right="360" w:hanging="288"/>
      <w:jc w:val="both"/>
    </w:pPr>
    <w:rPr>
      <w:rFonts w:ascii="Times New Roman" w:hAnsi="Times New Roman"/>
      <w:sz w:val="24"/>
    </w:rPr>
  </w:style>
  <w:style w:type="paragraph" w:customStyle="1" w:styleId="BulletLAST">
    <w:name w:val="Bullet (LAST)"/>
    <w:next w:val="Normal"/>
    <w:rsid w:val="00C2111F"/>
    <w:pPr>
      <w:numPr>
        <w:numId w:val="12"/>
      </w:numPr>
      <w:spacing w:after="480"/>
      <w:ind w:left="720" w:right="360" w:hanging="288"/>
      <w:jc w:val="both"/>
    </w:pPr>
    <w:rPr>
      <w:rFonts w:ascii="Times New Roman" w:hAnsi="Times New Roman"/>
      <w:sz w:val="24"/>
    </w:rPr>
  </w:style>
  <w:style w:type="paragraph" w:customStyle="1" w:styleId="bodytext0">
    <w:name w:val="bodytext"/>
    <w:basedOn w:val="Normal"/>
    <w:rsid w:val="00C2111F"/>
    <w:pPr>
      <w:spacing w:before="100" w:beforeAutospacing="1" w:after="100" w:afterAutospacing="1"/>
      <w:ind w:left="0"/>
    </w:pPr>
    <w:rPr>
      <w:rFonts w:ascii="Verdana" w:hAnsi="Verdana"/>
      <w:color w:val="000000"/>
      <w:sz w:val="18"/>
      <w:szCs w:val="18"/>
    </w:rPr>
  </w:style>
  <w:style w:type="paragraph" w:customStyle="1" w:styleId="chkbox">
    <w:name w:val="chkbox"/>
    <w:basedOn w:val="Normal"/>
    <w:rsid w:val="00C2111F"/>
    <w:pPr>
      <w:spacing w:before="167" w:after="100" w:afterAutospacing="1"/>
      <w:ind w:left="0"/>
    </w:pPr>
    <w:rPr>
      <w:rFonts w:ascii="Arial Unicode MS" w:eastAsia="Arial Unicode MS" w:hAnsi="Arial Unicode MS"/>
      <w:szCs w:val="24"/>
    </w:rPr>
  </w:style>
  <w:style w:type="paragraph" w:styleId="Revision">
    <w:name w:val="Revision"/>
    <w:hidden/>
    <w:uiPriority w:val="99"/>
    <w:semiHidden/>
    <w:rsid w:val="006A5D08"/>
    <w:rPr>
      <w:sz w:val="24"/>
    </w:rPr>
  </w:style>
  <w:style w:type="character" w:customStyle="1" w:styleId="FootnoteTextChar">
    <w:name w:val="Footnote Text Char"/>
    <w:basedOn w:val="DefaultParagraphFont"/>
    <w:link w:val="FootnoteText"/>
    <w:uiPriority w:val="99"/>
    <w:semiHidden/>
    <w:rsid w:val="00991FF6"/>
    <w:rPr>
      <w:sz w:val="24"/>
    </w:rPr>
  </w:style>
  <w:style w:type="paragraph" w:customStyle="1" w:styleId="EndnoteText2">
    <w:name w:val="Endnote Text2"/>
    <w:basedOn w:val="Normal"/>
    <w:rsid w:val="004F7CDE"/>
  </w:style>
  <w:style w:type="paragraph" w:customStyle="1" w:styleId="TOC92">
    <w:name w:val="TOC 92"/>
    <w:basedOn w:val="Normal"/>
    <w:next w:val="Normal"/>
    <w:rsid w:val="004F7CDE"/>
    <w:pPr>
      <w:tabs>
        <w:tab w:val="right" w:leader="dot" w:pos="9360"/>
      </w:tabs>
      <w:ind w:left="720" w:hanging="720"/>
    </w:pPr>
  </w:style>
  <w:style w:type="paragraph" w:customStyle="1" w:styleId="TOAHeading2">
    <w:name w:val="TOA Heading2"/>
    <w:basedOn w:val="Normal"/>
    <w:next w:val="Normal"/>
    <w:rsid w:val="004F7CDE"/>
    <w:pPr>
      <w:tabs>
        <w:tab w:val="right" w:pos="9360"/>
      </w:tabs>
    </w:pPr>
  </w:style>
  <w:style w:type="paragraph" w:customStyle="1" w:styleId="Caption2">
    <w:name w:val="Caption2"/>
    <w:basedOn w:val="Normal"/>
    <w:next w:val="Normal"/>
    <w:rsid w:val="004F7CDE"/>
  </w:style>
  <w:style w:type="character" w:customStyle="1" w:styleId="PlainTextChar">
    <w:name w:val="Plain Text Char"/>
    <w:basedOn w:val="DefaultParagraphFont"/>
    <w:link w:val="PlainText"/>
    <w:uiPriority w:val="99"/>
    <w:rsid w:val="00F94BB9"/>
    <w:rPr>
      <w:rFonts w:ascii="Courier New" w:hAnsi="Courier New"/>
    </w:rPr>
  </w:style>
  <w:style w:type="paragraph" w:customStyle="1" w:styleId="QuestionHead1">
    <w:name w:val="QuestionHead1"/>
    <w:basedOn w:val="PlainText"/>
    <w:rsid w:val="00F94BB9"/>
    <w:pPr>
      <w:ind w:left="576" w:hanging="576"/>
    </w:pPr>
    <w:rPr>
      <w:rFonts w:ascii="Arial" w:hAnsi="Arial" w:cs="Arial"/>
      <w:b/>
      <w:bCs/>
      <w:color w:val="000000"/>
      <w:kern w:val="28"/>
    </w:rPr>
  </w:style>
  <w:style w:type="paragraph" w:customStyle="1" w:styleId="Question1Italic">
    <w:name w:val="Question1 Italic"/>
    <w:aliases w:val="Regular"/>
    <w:basedOn w:val="QuestionHead1"/>
    <w:rsid w:val="00F94BB9"/>
    <w:pPr>
      <w:ind w:firstLine="0"/>
    </w:pPr>
    <w:rPr>
      <w:b w:val="0"/>
      <w:bCs w:val="0"/>
      <w:i/>
      <w:iCs/>
    </w:rPr>
  </w:style>
  <w:style w:type="paragraph" w:customStyle="1" w:styleId="NumberedBox1">
    <w:name w:val="Numbered Box1"/>
    <w:basedOn w:val="Normal"/>
    <w:rsid w:val="00F94BB9"/>
    <w:pPr>
      <w:tabs>
        <w:tab w:val="left" w:pos="312"/>
      </w:tabs>
      <w:spacing w:before="120"/>
      <w:ind w:left="991" w:hanging="415"/>
    </w:pPr>
    <w:rPr>
      <w:rFonts w:ascii="Arial" w:hAnsi="Arial" w:cs="Arial"/>
      <w:color w:val="000000"/>
      <w:kern w:val="28"/>
      <w:sz w:val="20"/>
    </w:rPr>
  </w:style>
  <w:style w:type="paragraph" w:styleId="ListParagraph">
    <w:name w:val="List Paragraph"/>
    <w:basedOn w:val="Normal"/>
    <w:uiPriority w:val="34"/>
    <w:qFormat/>
    <w:rsid w:val="005A0FF0"/>
    <w:pPr>
      <w:ind w:left="720"/>
      <w:contextualSpacing/>
    </w:pPr>
  </w:style>
  <w:style w:type="character" w:customStyle="1" w:styleId="FooterChar">
    <w:name w:val="Footer Char"/>
    <w:basedOn w:val="DefaultParagraphFont"/>
    <w:link w:val="Footer"/>
    <w:uiPriority w:val="99"/>
    <w:rsid w:val="0002223B"/>
    <w:rPr>
      <w:sz w:val="24"/>
    </w:rPr>
  </w:style>
  <w:style w:type="paragraph" w:customStyle="1" w:styleId="EndnoteText3">
    <w:name w:val="Endnote Text3"/>
    <w:basedOn w:val="Normal"/>
    <w:rsid w:val="007249AC"/>
  </w:style>
  <w:style w:type="paragraph" w:customStyle="1" w:styleId="TOC93">
    <w:name w:val="TOC 93"/>
    <w:basedOn w:val="Normal"/>
    <w:next w:val="Normal"/>
    <w:rsid w:val="007249AC"/>
    <w:pPr>
      <w:tabs>
        <w:tab w:val="right" w:leader="dot" w:pos="9360"/>
      </w:tabs>
      <w:ind w:left="720" w:hanging="720"/>
    </w:pPr>
  </w:style>
  <w:style w:type="paragraph" w:customStyle="1" w:styleId="TOAHeading3">
    <w:name w:val="TOA Heading3"/>
    <w:basedOn w:val="Normal"/>
    <w:next w:val="Normal"/>
    <w:rsid w:val="007249AC"/>
    <w:pPr>
      <w:tabs>
        <w:tab w:val="right" w:pos="9360"/>
      </w:tabs>
    </w:pPr>
  </w:style>
  <w:style w:type="paragraph" w:customStyle="1" w:styleId="Caption3">
    <w:name w:val="Caption3"/>
    <w:basedOn w:val="Normal"/>
    <w:next w:val="Normal"/>
    <w:rsid w:val="007249AC"/>
  </w:style>
  <w:style w:type="paragraph" w:customStyle="1" w:styleId="Body1">
    <w:name w:val="Body 1"/>
    <w:rsid w:val="0006675F"/>
    <w:pPr>
      <w:ind w:left="1440"/>
      <w:outlineLvl w:val="0"/>
    </w:pPr>
    <w:rPr>
      <w:rFonts w:ascii="Helvetica" w:eastAsia="Arial Unicode MS" w:hAnsi="Helvetica"/>
      <w:color w:val="000000"/>
      <w:sz w:val="24"/>
      <w:u w:color="000000"/>
    </w:rPr>
  </w:style>
  <w:style w:type="paragraph" w:customStyle="1" w:styleId="citable">
    <w:name w:val="citable"/>
    <w:basedOn w:val="Normal"/>
    <w:uiPriority w:val="99"/>
    <w:rsid w:val="003D79C9"/>
    <w:pPr>
      <w:spacing w:before="100" w:beforeAutospacing="1" w:after="100" w:afterAutospacing="1"/>
      <w:ind w:left="0"/>
    </w:pPr>
    <w:rPr>
      <w:rFonts w:ascii="Times New Roman" w:hAnsi="Times New Roman"/>
      <w:szCs w:val="24"/>
    </w:rPr>
  </w:style>
  <w:style w:type="paragraph" w:styleId="NormalWeb">
    <w:name w:val="Normal (Web)"/>
    <w:basedOn w:val="Normal"/>
    <w:uiPriority w:val="99"/>
    <w:unhideWhenUsed/>
    <w:rsid w:val="009A3212"/>
    <w:pPr>
      <w:spacing w:before="100" w:beforeAutospacing="1" w:after="100" w:afterAutospacing="1"/>
      <w:ind w:left="0"/>
    </w:pPr>
    <w:rPr>
      <w:rFonts w:ascii="Times New Roman" w:eastAsiaTheme="minorEastAsia" w:hAnsi="Times New Roman"/>
      <w:szCs w:val="24"/>
    </w:rPr>
  </w:style>
  <w:style w:type="paragraph" w:customStyle="1" w:styleId="SU-FlLftUndln">
    <w:name w:val="SU-Fl Lft Undln"/>
    <w:uiPriority w:val="99"/>
    <w:rsid w:val="00277CE5"/>
    <w:pPr>
      <w:keepNext/>
      <w:spacing w:line="240" w:lineRule="exact"/>
    </w:pPr>
    <w:rPr>
      <w:rFonts w:ascii="Times New Roman" w:hAnsi="Times New Roman"/>
      <w:sz w:val="22"/>
      <w:u w:val="single"/>
    </w:rPr>
  </w:style>
  <w:style w:type="table" w:styleId="TableGrid">
    <w:name w:val="Table Grid"/>
    <w:basedOn w:val="TableNormal"/>
    <w:uiPriority w:val="59"/>
    <w:rsid w:val="00A45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772101"/>
  </w:style>
  <w:style w:type="character" w:customStyle="1" w:styleId="HeaderChar">
    <w:name w:val="Header Char"/>
    <w:basedOn w:val="DefaultParagraphFont"/>
    <w:link w:val="Header"/>
    <w:uiPriority w:val="99"/>
    <w:rsid w:val="00DB6F9D"/>
    <w:rPr>
      <w:sz w:val="24"/>
    </w:rPr>
  </w:style>
  <w:style w:type="paragraph" w:styleId="Subtitle">
    <w:name w:val="Subtitle"/>
    <w:basedOn w:val="Normal"/>
    <w:next w:val="Normal"/>
    <w:link w:val="SubtitleChar"/>
    <w:uiPriority w:val="11"/>
    <w:qFormat/>
    <w:rsid w:val="00DB6F9D"/>
    <w:pPr>
      <w:spacing w:after="60"/>
      <w:ind w:left="0"/>
      <w:jc w:val="center"/>
      <w:outlineLvl w:val="1"/>
    </w:pPr>
    <w:rPr>
      <w:rFonts w:ascii="Cambria" w:hAnsi="Cambria"/>
      <w:szCs w:val="24"/>
    </w:rPr>
  </w:style>
  <w:style w:type="character" w:customStyle="1" w:styleId="SubtitleChar">
    <w:name w:val="Subtitle Char"/>
    <w:basedOn w:val="DefaultParagraphFont"/>
    <w:link w:val="Subtitle"/>
    <w:uiPriority w:val="11"/>
    <w:rsid w:val="00DB6F9D"/>
    <w:rPr>
      <w:rFonts w:ascii="Cambria" w:hAnsi="Cambria"/>
      <w:sz w:val="24"/>
      <w:szCs w:val="24"/>
    </w:rPr>
  </w:style>
  <w:style w:type="character" w:customStyle="1" w:styleId="BodyTextIndent2Char">
    <w:name w:val="Body Text Indent 2 Char"/>
    <w:basedOn w:val="DefaultParagraphFont"/>
    <w:link w:val="BodyTextIndent2"/>
    <w:semiHidden/>
    <w:rsid w:val="00DB6F9D"/>
    <w:rPr>
      <w:sz w:val="24"/>
    </w:rPr>
  </w:style>
  <w:style w:type="character" w:customStyle="1" w:styleId="BodyTextChar">
    <w:name w:val="Body Text Char"/>
    <w:basedOn w:val="DefaultParagraphFont"/>
    <w:link w:val="BodyText"/>
    <w:uiPriority w:val="99"/>
    <w:semiHidden/>
    <w:rsid w:val="00DB6F9D"/>
    <w:rPr>
      <w:sz w:val="24"/>
    </w:rPr>
  </w:style>
  <w:style w:type="character" w:customStyle="1" w:styleId="BalloonTextChar">
    <w:name w:val="Balloon Text Char"/>
    <w:basedOn w:val="DefaultParagraphFont"/>
    <w:link w:val="BalloonText"/>
    <w:uiPriority w:val="99"/>
    <w:semiHidden/>
    <w:rsid w:val="00DB6F9D"/>
    <w:rPr>
      <w:rFonts w:ascii="Tahoma" w:hAnsi="Tahoma" w:cs="Tahoma"/>
      <w:sz w:val="16"/>
      <w:szCs w:val="16"/>
    </w:rPr>
  </w:style>
  <w:style w:type="character" w:customStyle="1" w:styleId="Heading1Char">
    <w:name w:val="Heading 1 Char"/>
    <w:basedOn w:val="DefaultParagraphFont"/>
    <w:link w:val="Heading1"/>
    <w:rsid w:val="00DB6F9D"/>
    <w:rPr>
      <w:iCs/>
      <w:sz w:val="24"/>
    </w:rPr>
  </w:style>
  <w:style w:type="character" w:customStyle="1" w:styleId="Heading2Char">
    <w:name w:val="Heading 2 Char"/>
    <w:basedOn w:val="DefaultParagraphFont"/>
    <w:link w:val="Heading2"/>
    <w:rsid w:val="00DB6F9D"/>
    <w:rPr>
      <w:rFonts w:ascii="Times New Roman" w:hAnsi="Times New Roman"/>
      <w:b/>
      <w:bCs/>
      <w:sz w:val="24"/>
      <w:szCs w:val="28"/>
    </w:rPr>
  </w:style>
  <w:style w:type="character" w:customStyle="1" w:styleId="ptext-">
    <w:name w:val="ptext-"/>
    <w:basedOn w:val="DefaultParagraphFont"/>
    <w:rsid w:val="00875535"/>
  </w:style>
  <w:style w:type="paragraph" w:customStyle="1" w:styleId="EndNoteBibliography">
    <w:name w:val="EndNote Bibliography"/>
    <w:basedOn w:val="Normal"/>
    <w:link w:val="EndNoteBibliographyChar"/>
    <w:rsid w:val="00010FBC"/>
    <w:pPr>
      <w:spacing w:after="160"/>
      <w:ind w:left="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010FBC"/>
    <w:rPr>
      <w:rFonts w:ascii="Calibri" w:eastAsiaTheme="minorHAnsi" w:hAnsi="Calibri" w:cs="Calibri"/>
      <w:noProof/>
      <w:sz w:val="22"/>
      <w:szCs w:val="22"/>
    </w:rPr>
  </w:style>
  <w:style w:type="paragraph" w:styleId="TOCHeading">
    <w:name w:val="TOC Heading"/>
    <w:basedOn w:val="Heading1"/>
    <w:next w:val="Normal"/>
    <w:uiPriority w:val="39"/>
    <w:unhideWhenUsed/>
    <w:qFormat/>
    <w:rsid w:val="001D1174"/>
    <w:pPr>
      <w:keepLines/>
      <w:spacing w:before="240" w:line="259" w:lineRule="auto"/>
      <w:ind w:left="0" w:firstLine="0"/>
      <w:outlineLvl w:val="9"/>
    </w:pPr>
    <w:rPr>
      <w:rFonts w:asciiTheme="majorHAnsi" w:eastAsiaTheme="majorEastAsia" w:hAnsiTheme="majorHAnsi" w:cstheme="majorBidi"/>
      <w:i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792">
      <w:bodyDiv w:val="1"/>
      <w:marLeft w:val="0"/>
      <w:marRight w:val="0"/>
      <w:marTop w:val="0"/>
      <w:marBottom w:val="0"/>
      <w:divBdr>
        <w:top w:val="none" w:sz="0" w:space="0" w:color="auto"/>
        <w:left w:val="none" w:sz="0" w:space="0" w:color="auto"/>
        <w:bottom w:val="none" w:sz="0" w:space="0" w:color="auto"/>
        <w:right w:val="none" w:sz="0" w:space="0" w:color="auto"/>
      </w:divBdr>
      <w:divsChild>
        <w:div w:id="1929921378">
          <w:marLeft w:val="0"/>
          <w:marRight w:val="0"/>
          <w:marTop w:val="0"/>
          <w:marBottom w:val="0"/>
          <w:divBdr>
            <w:top w:val="none" w:sz="0" w:space="0" w:color="auto"/>
            <w:left w:val="none" w:sz="0" w:space="0" w:color="auto"/>
            <w:bottom w:val="none" w:sz="0" w:space="0" w:color="auto"/>
            <w:right w:val="none" w:sz="0" w:space="0" w:color="auto"/>
          </w:divBdr>
        </w:div>
        <w:div w:id="844049269">
          <w:marLeft w:val="0"/>
          <w:marRight w:val="0"/>
          <w:marTop w:val="0"/>
          <w:marBottom w:val="0"/>
          <w:divBdr>
            <w:top w:val="none" w:sz="0" w:space="0" w:color="auto"/>
            <w:left w:val="none" w:sz="0" w:space="0" w:color="auto"/>
            <w:bottom w:val="none" w:sz="0" w:space="0" w:color="auto"/>
            <w:right w:val="none" w:sz="0" w:space="0" w:color="auto"/>
          </w:divBdr>
        </w:div>
        <w:div w:id="963538777">
          <w:marLeft w:val="0"/>
          <w:marRight w:val="0"/>
          <w:marTop w:val="0"/>
          <w:marBottom w:val="0"/>
          <w:divBdr>
            <w:top w:val="none" w:sz="0" w:space="0" w:color="auto"/>
            <w:left w:val="none" w:sz="0" w:space="0" w:color="auto"/>
            <w:bottom w:val="none" w:sz="0" w:space="0" w:color="auto"/>
            <w:right w:val="none" w:sz="0" w:space="0" w:color="auto"/>
          </w:divBdr>
        </w:div>
        <w:div w:id="1274746274">
          <w:marLeft w:val="0"/>
          <w:marRight w:val="0"/>
          <w:marTop w:val="0"/>
          <w:marBottom w:val="0"/>
          <w:divBdr>
            <w:top w:val="none" w:sz="0" w:space="0" w:color="auto"/>
            <w:left w:val="none" w:sz="0" w:space="0" w:color="auto"/>
            <w:bottom w:val="none" w:sz="0" w:space="0" w:color="auto"/>
            <w:right w:val="none" w:sz="0" w:space="0" w:color="auto"/>
          </w:divBdr>
        </w:div>
        <w:div w:id="1671441358">
          <w:marLeft w:val="0"/>
          <w:marRight w:val="0"/>
          <w:marTop w:val="0"/>
          <w:marBottom w:val="0"/>
          <w:divBdr>
            <w:top w:val="none" w:sz="0" w:space="0" w:color="auto"/>
            <w:left w:val="none" w:sz="0" w:space="0" w:color="auto"/>
            <w:bottom w:val="none" w:sz="0" w:space="0" w:color="auto"/>
            <w:right w:val="none" w:sz="0" w:space="0" w:color="auto"/>
          </w:divBdr>
        </w:div>
      </w:divsChild>
    </w:div>
    <w:div w:id="5597433">
      <w:bodyDiv w:val="1"/>
      <w:marLeft w:val="0"/>
      <w:marRight w:val="0"/>
      <w:marTop w:val="0"/>
      <w:marBottom w:val="0"/>
      <w:divBdr>
        <w:top w:val="none" w:sz="0" w:space="0" w:color="auto"/>
        <w:left w:val="none" w:sz="0" w:space="0" w:color="auto"/>
        <w:bottom w:val="none" w:sz="0" w:space="0" w:color="auto"/>
        <w:right w:val="none" w:sz="0" w:space="0" w:color="auto"/>
      </w:divBdr>
    </w:div>
    <w:div w:id="87704445">
      <w:bodyDiv w:val="1"/>
      <w:marLeft w:val="0"/>
      <w:marRight w:val="0"/>
      <w:marTop w:val="0"/>
      <w:marBottom w:val="0"/>
      <w:divBdr>
        <w:top w:val="none" w:sz="0" w:space="0" w:color="auto"/>
        <w:left w:val="none" w:sz="0" w:space="0" w:color="auto"/>
        <w:bottom w:val="none" w:sz="0" w:space="0" w:color="auto"/>
        <w:right w:val="none" w:sz="0" w:space="0" w:color="auto"/>
      </w:divBdr>
    </w:div>
    <w:div w:id="109595060">
      <w:bodyDiv w:val="1"/>
      <w:marLeft w:val="0"/>
      <w:marRight w:val="0"/>
      <w:marTop w:val="0"/>
      <w:marBottom w:val="0"/>
      <w:divBdr>
        <w:top w:val="none" w:sz="0" w:space="0" w:color="auto"/>
        <w:left w:val="none" w:sz="0" w:space="0" w:color="auto"/>
        <w:bottom w:val="none" w:sz="0" w:space="0" w:color="auto"/>
        <w:right w:val="none" w:sz="0" w:space="0" w:color="auto"/>
      </w:divBdr>
      <w:divsChild>
        <w:div w:id="1266621028">
          <w:marLeft w:val="0"/>
          <w:marRight w:val="0"/>
          <w:marTop w:val="0"/>
          <w:marBottom w:val="0"/>
          <w:divBdr>
            <w:top w:val="none" w:sz="0" w:space="0" w:color="auto"/>
            <w:left w:val="none" w:sz="0" w:space="0" w:color="auto"/>
            <w:bottom w:val="none" w:sz="0" w:space="0" w:color="auto"/>
            <w:right w:val="none" w:sz="0" w:space="0" w:color="auto"/>
          </w:divBdr>
        </w:div>
        <w:div w:id="264659812">
          <w:marLeft w:val="0"/>
          <w:marRight w:val="0"/>
          <w:marTop w:val="0"/>
          <w:marBottom w:val="0"/>
          <w:divBdr>
            <w:top w:val="none" w:sz="0" w:space="0" w:color="auto"/>
            <w:left w:val="none" w:sz="0" w:space="0" w:color="auto"/>
            <w:bottom w:val="none" w:sz="0" w:space="0" w:color="auto"/>
            <w:right w:val="none" w:sz="0" w:space="0" w:color="auto"/>
          </w:divBdr>
        </w:div>
      </w:divsChild>
    </w:div>
    <w:div w:id="152992498">
      <w:bodyDiv w:val="1"/>
      <w:marLeft w:val="0"/>
      <w:marRight w:val="0"/>
      <w:marTop w:val="0"/>
      <w:marBottom w:val="0"/>
      <w:divBdr>
        <w:top w:val="none" w:sz="0" w:space="0" w:color="auto"/>
        <w:left w:val="none" w:sz="0" w:space="0" w:color="auto"/>
        <w:bottom w:val="none" w:sz="0" w:space="0" w:color="auto"/>
        <w:right w:val="none" w:sz="0" w:space="0" w:color="auto"/>
      </w:divBdr>
    </w:div>
    <w:div w:id="167184110">
      <w:bodyDiv w:val="1"/>
      <w:marLeft w:val="0"/>
      <w:marRight w:val="0"/>
      <w:marTop w:val="0"/>
      <w:marBottom w:val="0"/>
      <w:divBdr>
        <w:top w:val="none" w:sz="0" w:space="0" w:color="auto"/>
        <w:left w:val="none" w:sz="0" w:space="0" w:color="auto"/>
        <w:bottom w:val="none" w:sz="0" w:space="0" w:color="auto"/>
        <w:right w:val="none" w:sz="0" w:space="0" w:color="auto"/>
      </w:divBdr>
      <w:divsChild>
        <w:div w:id="39988088">
          <w:marLeft w:val="0"/>
          <w:marRight w:val="0"/>
          <w:marTop w:val="0"/>
          <w:marBottom w:val="0"/>
          <w:divBdr>
            <w:top w:val="none" w:sz="0" w:space="0" w:color="auto"/>
            <w:left w:val="none" w:sz="0" w:space="0" w:color="auto"/>
            <w:bottom w:val="none" w:sz="0" w:space="0" w:color="auto"/>
            <w:right w:val="none" w:sz="0" w:space="0" w:color="auto"/>
          </w:divBdr>
        </w:div>
        <w:div w:id="746807612">
          <w:marLeft w:val="0"/>
          <w:marRight w:val="0"/>
          <w:marTop w:val="0"/>
          <w:marBottom w:val="0"/>
          <w:divBdr>
            <w:top w:val="none" w:sz="0" w:space="0" w:color="auto"/>
            <w:left w:val="none" w:sz="0" w:space="0" w:color="auto"/>
            <w:bottom w:val="none" w:sz="0" w:space="0" w:color="auto"/>
            <w:right w:val="none" w:sz="0" w:space="0" w:color="auto"/>
          </w:divBdr>
        </w:div>
        <w:div w:id="1522862879">
          <w:marLeft w:val="0"/>
          <w:marRight w:val="0"/>
          <w:marTop w:val="0"/>
          <w:marBottom w:val="0"/>
          <w:divBdr>
            <w:top w:val="none" w:sz="0" w:space="0" w:color="auto"/>
            <w:left w:val="none" w:sz="0" w:space="0" w:color="auto"/>
            <w:bottom w:val="none" w:sz="0" w:space="0" w:color="auto"/>
            <w:right w:val="none" w:sz="0" w:space="0" w:color="auto"/>
          </w:divBdr>
        </w:div>
        <w:div w:id="1105005095">
          <w:marLeft w:val="0"/>
          <w:marRight w:val="0"/>
          <w:marTop w:val="0"/>
          <w:marBottom w:val="0"/>
          <w:divBdr>
            <w:top w:val="none" w:sz="0" w:space="0" w:color="auto"/>
            <w:left w:val="none" w:sz="0" w:space="0" w:color="auto"/>
            <w:bottom w:val="none" w:sz="0" w:space="0" w:color="auto"/>
            <w:right w:val="none" w:sz="0" w:space="0" w:color="auto"/>
          </w:divBdr>
        </w:div>
      </w:divsChild>
    </w:div>
    <w:div w:id="230653580">
      <w:bodyDiv w:val="1"/>
      <w:marLeft w:val="0"/>
      <w:marRight w:val="0"/>
      <w:marTop w:val="0"/>
      <w:marBottom w:val="0"/>
      <w:divBdr>
        <w:top w:val="none" w:sz="0" w:space="0" w:color="auto"/>
        <w:left w:val="none" w:sz="0" w:space="0" w:color="auto"/>
        <w:bottom w:val="none" w:sz="0" w:space="0" w:color="auto"/>
        <w:right w:val="none" w:sz="0" w:space="0" w:color="auto"/>
      </w:divBdr>
    </w:div>
    <w:div w:id="262106994">
      <w:bodyDiv w:val="1"/>
      <w:marLeft w:val="0"/>
      <w:marRight w:val="0"/>
      <w:marTop w:val="0"/>
      <w:marBottom w:val="0"/>
      <w:divBdr>
        <w:top w:val="none" w:sz="0" w:space="0" w:color="auto"/>
        <w:left w:val="none" w:sz="0" w:space="0" w:color="auto"/>
        <w:bottom w:val="none" w:sz="0" w:space="0" w:color="auto"/>
        <w:right w:val="none" w:sz="0" w:space="0" w:color="auto"/>
      </w:divBdr>
    </w:div>
    <w:div w:id="320038425">
      <w:bodyDiv w:val="1"/>
      <w:marLeft w:val="0"/>
      <w:marRight w:val="0"/>
      <w:marTop w:val="0"/>
      <w:marBottom w:val="0"/>
      <w:divBdr>
        <w:top w:val="none" w:sz="0" w:space="0" w:color="auto"/>
        <w:left w:val="none" w:sz="0" w:space="0" w:color="auto"/>
        <w:bottom w:val="none" w:sz="0" w:space="0" w:color="auto"/>
        <w:right w:val="none" w:sz="0" w:space="0" w:color="auto"/>
      </w:divBdr>
    </w:div>
    <w:div w:id="343482620">
      <w:bodyDiv w:val="1"/>
      <w:marLeft w:val="0"/>
      <w:marRight w:val="0"/>
      <w:marTop w:val="0"/>
      <w:marBottom w:val="0"/>
      <w:divBdr>
        <w:top w:val="none" w:sz="0" w:space="0" w:color="auto"/>
        <w:left w:val="none" w:sz="0" w:space="0" w:color="auto"/>
        <w:bottom w:val="none" w:sz="0" w:space="0" w:color="auto"/>
        <w:right w:val="none" w:sz="0" w:space="0" w:color="auto"/>
      </w:divBdr>
    </w:div>
    <w:div w:id="444273545">
      <w:bodyDiv w:val="1"/>
      <w:marLeft w:val="0"/>
      <w:marRight w:val="0"/>
      <w:marTop w:val="0"/>
      <w:marBottom w:val="0"/>
      <w:divBdr>
        <w:top w:val="none" w:sz="0" w:space="0" w:color="auto"/>
        <w:left w:val="none" w:sz="0" w:space="0" w:color="auto"/>
        <w:bottom w:val="none" w:sz="0" w:space="0" w:color="auto"/>
        <w:right w:val="none" w:sz="0" w:space="0" w:color="auto"/>
      </w:divBdr>
    </w:div>
    <w:div w:id="530067719">
      <w:bodyDiv w:val="1"/>
      <w:marLeft w:val="0"/>
      <w:marRight w:val="0"/>
      <w:marTop w:val="0"/>
      <w:marBottom w:val="0"/>
      <w:divBdr>
        <w:top w:val="none" w:sz="0" w:space="0" w:color="auto"/>
        <w:left w:val="none" w:sz="0" w:space="0" w:color="auto"/>
        <w:bottom w:val="none" w:sz="0" w:space="0" w:color="auto"/>
        <w:right w:val="none" w:sz="0" w:space="0" w:color="auto"/>
      </w:divBdr>
    </w:div>
    <w:div w:id="637226269">
      <w:bodyDiv w:val="1"/>
      <w:marLeft w:val="0"/>
      <w:marRight w:val="0"/>
      <w:marTop w:val="0"/>
      <w:marBottom w:val="0"/>
      <w:divBdr>
        <w:top w:val="none" w:sz="0" w:space="0" w:color="auto"/>
        <w:left w:val="none" w:sz="0" w:space="0" w:color="auto"/>
        <w:bottom w:val="none" w:sz="0" w:space="0" w:color="auto"/>
        <w:right w:val="none" w:sz="0" w:space="0" w:color="auto"/>
      </w:divBdr>
    </w:div>
    <w:div w:id="701125225">
      <w:bodyDiv w:val="1"/>
      <w:marLeft w:val="0"/>
      <w:marRight w:val="0"/>
      <w:marTop w:val="0"/>
      <w:marBottom w:val="0"/>
      <w:divBdr>
        <w:top w:val="none" w:sz="0" w:space="0" w:color="auto"/>
        <w:left w:val="none" w:sz="0" w:space="0" w:color="auto"/>
        <w:bottom w:val="none" w:sz="0" w:space="0" w:color="auto"/>
        <w:right w:val="none" w:sz="0" w:space="0" w:color="auto"/>
      </w:divBdr>
    </w:div>
    <w:div w:id="752749682">
      <w:bodyDiv w:val="1"/>
      <w:marLeft w:val="0"/>
      <w:marRight w:val="0"/>
      <w:marTop w:val="0"/>
      <w:marBottom w:val="0"/>
      <w:divBdr>
        <w:top w:val="none" w:sz="0" w:space="0" w:color="auto"/>
        <w:left w:val="none" w:sz="0" w:space="0" w:color="auto"/>
        <w:bottom w:val="none" w:sz="0" w:space="0" w:color="auto"/>
        <w:right w:val="none" w:sz="0" w:space="0" w:color="auto"/>
      </w:divBdr>
      <w:divsChild>
        <w:div w:id="1388914300">
          <w:marLeft w:val="0"/>
          <w:marRight w:val="0"/>
          <w:marTop w:val="0"/>
          <w:marBottom w:val="0"/>
          <w:divBdr>
            <w:top w:val="none" w:sz="0" w:space="0" w:color="auto"/>
            <w:left w:val="none" w:sz="0" w:space="0" w:color="auto"/>
            <w:bottom w:val="none" w:sz="0" w:space="0" w:color="auto"/>
            <w:right w:val="none" w:sz="0" w:space="0" w:color="auto"/>
          </w:divBdr>
        </w:div>
        <w:div w:id="1749032658">
          <w:marLeft w:val="0"/>
          <w:marRight w:val="0"/>
          <w:marTop w:val="0"/>
          <w:marBottom w:val="0"/>
          <w:divBdr>
            <w:top w:val="none" w:sz="0" w:space="0" w:color="auto"/>
            <w:left w:val="none" w:sz="0" w:space="0" w:color="auto"/>
            <w:bottom w:val="none" w:sz="0" w:space="0" w:color="auto"/>
            <w:right w:val="none" w:sz="0" w:space="0" w:color="auto"/>
          </w:divBdr>
        </w:div>
        <w:div w:id="2010983649">
          <w:marLeft w:val="0"/>
          <w:marRight w:val="0"/>
          <w:marTop w:val="0"/>
          <w:marBottom w:val="0"/>
          <w:divBdr>
            <w:top w:val="none" w:sz="0" w:space="0" w:color="auto"/>
            <w:left w:val="none" w:sz="0" w:space="0" w:color="auto"/>
            <w:bottom w:val="none" w:sz="0" w:space="0" w:color="auto"/>
            <w:right w:val="none" w:sz="0" w:space="0" w:color="auto"/>
          </w:divBdr>
        </w:div>
        <w:div w:id="1157843733">
          <w:marLeft w:val="0"/>
          <w:marRight w:val="0"/>
          <w:marTop w:val="0"/>
          <w:marBottom w:val="0"/>
          <w:divBdr>
            <w:top w:val="none" w:sz="0" w:space="0" w:color="auto"/>
            <w:left w:val="none" w:sz="0" w:space="0" w:color="auto"/>
            <w:bottom w:val="none" w:sz="0" w:space="0" w:color="auto"/>
            <w:right w:val="none" w:sz="0" w:space="0" w:color="auto"/>
          </w:divBdr>
        </w:div>
        <w:div w:id="2014725713">
          <w:marLeft w:val="0"/>
          <w:marRight w:val="0"/>
          <w:marTop w:val="0"/>
          <w:marBottom w:val="0"/>
          <w:divBdr>
            <w:top w:val="none" w:sz="0" w:space="0" w:color="auto"/>
            <w:left w:val="none" w:sz="0" w:space="0" w:color="auto"/>
            <w:bottom w:val="none" w:sz="0" w:space="0" w:color="auto"/>
            <w:right w:val="none" w:sz="0" w:space="0" w:color="auto"/>
          </w:divBdr>
        </w:div>
        <w:div w:id="1062212423">
          <w:marLeft w:val="0"/>
          <w:marRight w:val="0"/>
          <w:marTop w:val="0"/>
          <w:marBottom w:val="0"/>
          <w:divBdr>
            <w:top w:val="none" w:sz="0" w:space="0" w:color="auto"/>
            <w:left w:val="none" w:sz="0" w:space="0" w:color="auto"/>
            <w:bottom w:val="none" w:sz="0" w:space="0" w:color="auto"/>
            <w:right w:val="none" w:sz="0" w:space="0" w:color="auto"/>
          </w:divBdr>
        </w:div>
        <w:div w:id="169150532">
          <w:marLeft w:val="0"/>
          <w:marRight w:val="0"/>
          <w:marTop w:val="0"/>
          <w:marBottom w:val="0"/>
          <w:divBdr>
            <w:top w:val="none" w:sz="0" w:space="0" w:color="auto"/>
            <w:left w:val="none" w:sz="0" w:space="0" w:color="auto"/>
            <w:bottom w:val="none" w:sz="0" w:space="0" w:color="auto"/>
            <w:right w:val="none" w:sz="0" w:space="0" w:color="auto"/>
          </w:divBdr>
        </w:div>
      </w:divsChild>
    </w:div>
    <w:div w:id="833257239">
      <w:bodyDiv w:val="1"/>
      <w:marLeft w:val="0"/>
      <w:marRight w:val="0"/>
      <w:marTop w:val="0"/>
      <w:marBottom w:val="0"/>
      <w:divBdr>
        <w:top w:val="none" w:sz="0" w:space="0" w:color="auto"/>
        <w:left w:val="none" w:sz="0" w:space="0" w:color="auto"/>
        <w:bottom w:val="none" w:sz="0" w:space="0" w:color="auto"/>
        <w:right w:val="none" w:sz="0" w:space="0" w:color="auto"/>
      </w:divBdr>
    </w:div>
    <w:div w:id="884025712">
      <w:bodyDiv w:val="1"/>
      <w:marLeft w:val="0"/>
      <w:marRight w:val="0"/>
      <w:marTop w:val="0"/>
      <w:marBottom w:val="0"/>
      <w:divBdr>
        <w:top w:val="none" w:sz="0" w:space="0" w:color="auto"/>
        <w:left w:val="none" w:sz="0" w:space="0" w:color="auto"/>
        <w:bottom w:val="none" w:sz="0" w:space="0" w:color="auto"/>
        <w:right w:val="none" w:sz="0" w:space="0" w:color="auto"/>
      </w:divBdr>
    </w:div>
    <w:div w:id="886717893">
      <w:bodyDiv w:val="1"/>
      <w:marLeft w:val="0"/>
      <w:marRight w:val="0"/>
      <w:marTop w:val="0"/>
      <w:marBottom w:val="0"/>
      <w:divBdr>
        <w:top w:val="none" w:sz="0" w:space="0" w:color="auto"/>
        <w:left w:val="none" w:sz="0" w:space="0" w:color="auto"/>
        <w:bottom w:val="none" w:sz="0" w:space="0" w:color="auto"/>
        <w:right w:val="none" w:sz="0" w:space="0" w:color="auto"/>
      </w:divBdr>
    </w:div>
    <w:div w:id="890653917">
      <w:bodyDiv w:val="1"/>
      <w:marLeft w:val="0"/>
      <w:marRight w:val="0"/>
      <w:marTop w:val="0"/>
      <w:marBottom w:val="0"/>
      <w:divBdr>
        <w:top w:val="none" w:sz="0" w:space="0" w:color="auto"/>
        <w:left w:val="none" w:sz="0" w:space="0" w:color="auto"/>
        <w:bottom w:val="none" w:sz="0" w:space="0" w:color="auto"/>
        <w:right w:val="none" w:sz="0" w:space="0" w:color="auto"/>
      </w:divBdr>
      <w:divsChild>
        <w:div w:id="657415598">
          <w:marLeft w:val="0"/>
          <w:marRight w:val="0"/>
          <w:marTop w:val="0"/>
          <w:marBottom w:val="0"/>
          <w:divBdr>
            <w:top w:val="none" w:sz="0" w:space="0" w:color="auto"/>
            <w:left w:val="none" w:sz="0" w:space="0" w:color="auto"/>
            <w:bottom w:val="none" w:sz="0" w:space="0" w:color="auto"/>
            <w:right w:val="none" w:sz="0" w:space="0" w:color="auto"/>
          </w:divBdr>
        </w:div>
        <w:div w:id="1942255556">
          <w:marLeft w:val="0"/>
          <w:marRight w:val="0"/>
          <w:marTop w:val="0"/>
          <w:marBottom w:val="0"/>
          <w:divBdr>
            <w:top w:val="none" w:sz="0" w:space="0" w:color="auto"/>
            <w:left w:val="none" w:sz="0" w:space="0" w:color="auto"/>
            <w:bottom w:val="none" w:sz="0" w:space="0" w:color="auto"/>
            <w:right w:val="none" w:sz="0" w:space="0" w:color="auto"/>
          </w:divBdr>
        </w:div>
        <w:div w:id="1248077158">
          <w:marLeft w:val="0"/>
          <w:marRight w:val="0"/>
          <w:marTop w:val="0"/>
          <w:marBottom w:val="0"/>
          <w:divBdr>
            <w:top w:val="none" w:sz="0" w:space="0" w:color="auto"/>
            <w:left w:val="none" w:sz="0" w:space="0" w:color="auto"/>
            <w:bottom w:val="none" w:sz="0" w:space="0" w:color="auto"/>
            <w:right w:val="none" w:sz="0" w:space="0" w:color="auto"/>
          </w:divBdr>
        </w:div>
        <w:div w:id="1120222957">
          <w:marLeft w:val="0"/>
          <w:marRight w:val="0"/>
          <w:marTop w:val="0"/>
          <w:marBottom w:val="0"/>
          <w:divBdr>
            <w:top w:val="none" w:sz="0" w:space="0" w:color="auto"/>
            <w:left w:val="none" w:sz="0" w:space="0" w:color="auto"/>
            <w:bottom w:val="none" w:sz="0" w:space="0" w:color="auto"/>
            <w:right w:val="none" w:sz="0" w:space="0" w:color="auto"/>
          </w:divBdr>
        </w:div>
        <w:div w:id="736706269">
          <w:marLeft w:val="0"/>
          <w:marRight w:val="0"/>
          <w:marTop w:val="0"/>
          <w:marBottom w:val="0"/>
          <w:divBdr>
            <w:top w:val="none" w:sz="0" w:space="0" w:color="auto"/>
            <w:left w:val="none" w:sz="0" w:space="0" w:color="auto"/>
            <w:bottom w:val="none" w:sz="0" w:space="0" w:color="auto"/>
            <w:right w:val="none" w:sz="0" w:space="0" w:color="auto"/>
          </w:divBdr>
        </w:div>
        <w:div w:id="974213745">
          <w:marLeft w:val="0"/>
          <w:marRight w:val="0"/>
          <w:marTop w:val="0"/>
          <w:marBottom w:val="0"/>
          <w:divBdr>
            <w:top w:val="none" w:sz="0" w:space="0" w:color="auto"/>
            <w:left w:val="none" w:sz="0" w:space="0" w:color="auto"/>
            <w:bottom w:val="none" w:sz="0" w:space="0" w:color="auto"/>
            <w:right w:val="none" w:sz="0" w:space="0" w:color="auto"/>
          </w:divBdr>
        </w:div>
        <w:div w:id="1231498738">
          <w:marLeft w:val="0"/>
          <w:marRight w:val="0"/>
          <w:marTop w:val="0"/>
          <w:marBottom w:val="0"/>
          <w:divBdr>
            <w:top w:val="none" w:sz="0" w:space="0" w:color="auto"/>
            <w:left w:val="none" w:sz="0" w:space="0" w:color="auto"/>
            <w:bottom w:val="none" w:sz="0" w:space="0" w:color="auto"/>
            <w:right w:val="none" w:sz="0" w:space="0" w:color="auto"/>
          </w:divBdr>
        </w:div>
        <w:div w:id="532118024">
          <w:marLeft w:val="0"/>
          <w:marRight w:val="0"/>
          <w:marTop w:val="0"/>
          <w:marBottom w:val="0"/>
          <w:divBdr>
            <w:top w:val="none" w:sz="0" w:space="0" w:color="auto"/>
            <w:left w:val="none" w:sz="0" w:space="0" w:color="auto"/>
            <w:bottom w:val="none" w:sz="0" w:space="0" w:color="auto"/>
            <w:right w:val="none" w:sz="0" w:space="0" w:color="auto"/>
          </w:divBdr>
        </w:div>
        <w:div w:id="1070075105">
          <w:marLeft w:val="0"/>
          <w:marRight w:val="0"/>
          <w:marTop w:val="0"/>
          <w:marBottom w:val="0"/>
          <w:divBdr>
            <w:top w:val="none" w:sz="0" w:space="0" w:color="auto"/>
            <w:left w:val="none" w:sz="0" w:space="0" w:color="auto"/>
            <w:bottom w:val="none" w:sz="0" w:space="0" w:color="auto"/>
            <w:right w:val="none" w:sz="0" w:space="0" w:color="auto"/>
          </w:divBdr>
        </w:div>
        <w:div w:id="821314219">
          <w:marLeft w:val="0"/>
          <w:marRight w:val="0"/>
          <w:marTop w:val="0"/>
          <w:marBottom w:val="0"/>
          <w:divBdr>
            <w:top w:val="none" w:sz="0" w:space="0" w:color="auto"/>
            <w:left w:val="none" w:sz="0" w:space="0" w:color="auto"/>
            <w:bottom w:val="none" w:sz="0" w:space="0" w:color="auto"/>
            <w:right w:val="none" w:sz="0" w:space="0" w:color="auto"/>
          </w:divBdr>
        </w:div>
        <w:div w:id="591470709">
          <w:marLeft w:val="0"/>
          <w:marRight w:val="0"/>
          <w:marTop w:val="0"/>
          <w:marBottom w:val="0"/>
          <w:divBdr>
            <w:top w:val="none" w:sz="0" w:space="0" w:color="auto"/>
            <w:left w:val="none" w:sz="0" w:space="0" w:color="auto"/>
            <w:bottom w:val="none" w:sz="0" w:space="0" w:color="auto"/>
            <w:right w:val="none" w:sz="0" w:space="0" w:color="auto"/>
          </w:divBdr>
        </w:div>
      </w:divsChild>
    </w:div>
    <w:div w:id="1249460865">
      <w:bodyDiv w:val="1"/>
      <w:marLeft w:val="0"/>
      <w:marRight w:val="0"/>
      <w:marTop w:val="0"/>
      <w:marBottom w:val="0"/>
      <w:divBdr>
        <w:top w:val="none" w:sz="0" w:space="0" w:color="auto"/>
        <w:left w:val="none" w:sz="0" w:space="0" w:color="auto"/>
        <w:bottom w:val="none" w:sz="0" w:space="0" w:color="auto"/>
        <w:right w:val="none" w:sz="0" w:space="0" w:color="auto"/>
      </w:divBdr>
    </w:div>
    <w:div w:id="1297640032">
      <w:bodyDiv w:val="1"/>
      <w:marLeft w:val="0"/>
      <w:marRight w:val="0"/>
      <w:marTop w:val="0"/>
      <w:marBottom w:val="0"/>
      <w:divBdr>
        <w:top w:val="none" w:sz="0" w:space="0" w:color="auto"/>
        <w:left w:val="none" w:sz="0" w:space="0" w:color="auto"/>
        <w:bottom w:val="none" w:sz="0" w:space="0" w:color="auto"/>
        <w:right w:val="none" w:sz="0" w:space="0" w:color="auto"/>
      </w:divBdr>
    </w:div>
    <w:div w:id="1326668647">
      <w:bodyDiv w:val="1"/>
      <w:marLeft w:val="0"/>
      <w:marRight w:val="0"/>
      <w:marTop w:val="0"/>
      <w:marBottom w:val="0"/>
      <w:divBdr>
        <w:top w:val="none" w:sz="0" w:space="0" w:color="auto"/>
        <w:left w:val="none" w:sz="0" w:space="0" w:color="auto"/>
        <w:bottom w:val="none" w:sz="0" w:space="0" w:color="auto"/>
        <w:right w:val="none" w:sz="0" w:space="0" w:color="auto"/>
      </w:divBdr>
    </w:div>
    <w:div w:id="1346635393">
      <w:bodyDiv w:val="1"/>
      <w:marLeft w:val="0"/>
      <w:marRight w:val="0"/>
      <w:marTop w:val="0"/>
      <w:marBottom w:val="0"/>
      <w:divBdr>
        <w:top w:val="none" w:sz="0" w:space="0" w:color="auto"/>
        <w:left w:val="none" w:sz="0" w:space="0" w:color="auto"/>
        <w:bottom w:val="none" w:sz="0" w:space="0" w:color="auto"/>
        <w:right w:val="none" w:sz="0" w:space="0" w:color="auto"/>
      </w:divBdr>
      <w:divsChild>
        <w:div w:id="1175073222">
          <w:marLeft w:val="0"/>
          <w:marRight w:val="0"/>
          <w:marTop w:val="0"/>
          <w:marBottom w:val="0"/>
          <w:divBdr>
            <w:top w:val="none" w:sz="0" w:space="0" w:color="auto"/>
            <w:left w:val="none" w:sz="0" w:space="0" w:color="auto"/>
            <w:bottom w:val="none" w:sz="0" w:space="0" w:color="auto"/>
            <w:right w:val="none" w:sz="0" w:space="0" w:color="auto"/>
          </w:divBdr>
        </w:div>
        <w:div w:id="24134581">
          <w:marLeft w:val="0"/>
          <w:marRight w:val="0"/>
          <w:marTop w:val="0"/>
          <w:marBottom w:val="0"/>
          <w:divBdr>
            <w:top w:val="none" w:sz="0" w:space="0" w:color="auto"/>
            <w:left w:val="none" w:sz="0" w:space="0" w:color="auto"/>
            <w:bottom w:val="none" w:sz="0" w:space="0" w:color="auto"/>
            <w:right w:val="none" w:sz="0" w:space="0" w:color="auto"/>
          </w:divBdr>
        </w:div>
        <w:div w:id="478303604">
          <w:marLeft w:val="0"/>
          <w:marRight w:val="0"/>
          <w:marTop w:val="0"/>
          <w:marBottom w:val="0"/>
          <w:divBdr>
            <w:top w:val="none" w:sz="0" w:space="0" w:color="auto"/>
            <w:left w:val="none" w:sz="0" w:space="0" w:color="auto"/>
            <w:bottom w:val="none" w:sz="0" w:space="0" w:color="auto"/>
            <w:right w:val="none" w:sz="0" w:space="0" w:color="auto"/>
          </w:divBdr>
        </w:div>
        <w:div w:id="1462990842">
          <w:marLeft w:val="0"/>
          <w:marRight w:val="0"/>
          <w:marTop w:val="0"/>
          <w:marBottom w:val="0"/>
          <w:divBdr>
            <w:top w:val="none" w:sz="0" w:space="0" w:color="auto"/>
            <w:left w:val="none" w:sz="0" w:space="0" w:color="auto"/>
            <w:bottom w:val="none" w:sz="0" w:space="0" w:color="auto"/>
            <w:right w:val="none" w:sz="0" w:space="0" w:color="auto"/>
          </w:divBdr>
        </w:div>
        <w:div w:id="1416317873">
          <w:marLeft w:val="0"/>
          <w:marRight w:val="0"/>
          <w:marTop w:val="0"/>
          <w:marBottom w:val="0"/>
          <w:divBdr>
            <w:top w:val="none" w:sz="0" w:space="0" w:color="auto"/>
            <w:left w:val="none" w:sz="0" w:space="0" w:color="auto"/>
            <w:bottom w:val="none" w:sz="0" w:space="0" w:color="auto"/>
            <w:right w:val="none" w:sz="0" w:space="0" w:color="auto"/>
          </w:divBdr>
        </w:div>
        <w:div w:id="1941832551">
          <w:marLeft w:val="0"/>
          <w:marRight w:val="0"/>
          <w:marTop w:val="0"/>
          <w:marBottom w:val="0"/>
          <w:divBdr>
            <w:top w:val="none" w:sz="0" w:space="0" w:color="auto"/>
            <w:left w:val="none" w:sz="0" w:space="0" w:color="auto"/>
            <w:bottom w:val="none" w:sz="0" w:space="0" w:color="auto"/>
            <w:right w:val="none" w:sz="0" w:space="0" w:color="auto"/>
          </w:divBdr>
        </w:div>
        <w:div w:id="453867681">
          <w:marLeft w:val="0"/>
          <w:marRight w:val="0"/>
          <w:marTop w:val="0"/>
          <w:marBottom w:val="0"/>
          <w:divBdr>
            <w:top w:val="none" w:sz="0" w:space="0" w:color="auto"/>
            <w:left w:val="none" w:sz="0" w:space="0" w:color="auto"/>
            <w:bottom w:val="none" w:sz="0" w:space="0" w:color="auto"/>
            <w:right w:val="none" w:sz="0" w:space="0" w:color="auto"/>
          </w:divBdr>
        </w:div>
        <w:div w:id="1832600929">
          <w:marLeft w:val="0"/>
          <w:marRight w:val="0"/>
          <w:marTop w:val="0"/>
          <w:marBottom w:val="0"/>
          <w:divBdr>
            <w:top w:val="none" w:sz="0" w:space="0" w:color="auto"/>
            <w:left w:val="none" w:sz="0" w:space="0" w:color="auto"/>
            <w:bottom w:val="none" w:sz="0" w:space="0" w:color="auto"/>
            <w:right w:val="none" w:sz="0" w:space="0" w:color="auto"/>
          </w:divBdr>
        </w:div>
        <w:div w:id="1143230383">
          <w:marLeft w:val="0"/>
          <w:marRight w:val="0"/>
          <w:marTop w:val="0"/>
          <w:marBottom w:val="0"/>
          <w:divBdr>
            <w:top w:val="none" w:sz="0" w:space="0" w:color="auto"/>
            <w:left w:val="none" w:sz="0" w:space="0" w:color="auto"/>
            <w:bottom w:val="none" w:sz="0" w:space="0" w:color="auto"/>
            <w:right w:val="none" w:sz="0" w:space="0" w:color="auto"/>
          </w:divBdr>
        </w:div>
        <w:div w:id="378209873">
          <w:marLeft w:val="0"/>
          <w:marRight w:val="0"/>
          <w:marTop w:val="0"/>
          <w:marBottom w:val="0"/>
          <w:divBdr>
            <w:top w:val="none" w:sz="0" w:space="0" w:color="auto"/>
            <w:left w:val="none" w:sz="0" w:space="0" w:color="auto"/>
            <w:bottom w:val="none" w:sz="0" w:space="0" w:color="auto"/>
            <w:right w:val="none" w:sz="0" w:space="0" w:color="auto"/>
          </w:divBdr>
        </w:div>
        <w:div w:id="1769957438">
          <w:marLeft w:val="0"/>
          <w:marRight w:val="0"/>
          <w:marTop w:val="0"/>
          <w:marBottom w:val="0"/>
          <w:divBdr>
            <w:top w:val="none" w:sz="0" w:space="0" w:color="auto"/>
            <w:left w:val="none" w:sz="0" w:space="0" w:color="auto"/>
            <w:bottom w:val="none" w:sz="0" w:space="0" w:color="auto"/>
            <w:right w:val="none" w:sz="0" w:space="0" w:color="auto"/>
          </w:divBdr>
        </w:div>
        <w:div w:id="671373347">
          <w:marLeft w:val="0"/>
          <w:marRight w:val="0"/>
          <w:marTop w:val="0"/>
          <w:marBottom w:val="0"/>
          <w:divBdr>
            <w:top w:val="none" w:sz="0" w:space="0" w:color="auto"/>
            <w:left w:val="none" w:sz="0" w:space="0" w:color="auto"/>
            <w:bottom w:val="none" w:sz="0" w:space="0" w:color="auto"/>
            <w:right w:val="none" w:sz="0" w:space="0" w:color="auto"/>
          </w:divBdr>
        </w:div>
      </w:divsChild>
    </w:div>
    <w:div w:id="1432434577">
      <w:bodyDiv w:val="1"/>
      <w:marLeft w:val="0"/>
      <w:marRight w:val="0"/>
      <w:marTop w:val="0"/>
      <w:marBottom w:val="0"/>
      <w:divBdr>
        <w:top w:val="none" w:sz="0" w:space="0" w:color="auto"/>
        <w:left w:val="none" w:sz="0" w:space="0" w:color="auto"/>
        <w:bottom w:val="none" w:sz="0" w:space="0" w:color="auto"/>
        <w:right w:val="none" w:sz="0" w:space="0" w:color="auto"/>
      </w:divBdr>
    </w:div>
    <w:div w:id="1476336911">
      <w:bodyDiv w:val="1"/>
      <w:marLeft w:val="0"/>
      <w:marRight w:val="0"/>
      <w:marTop w:val="0"/>
      <w:marBottom w:val="0"/>
      <w:divBdr>
        <w:top w:val="none" w:sz="0" w:space="0" w:color="auto"/>
        <w:left w:val="none" w:sz="0" w:space="0" w:color="auto"/>
        <w:bottom w:val="none" w:sz="0" w:space="0" w:color="auto"/>
        <w:right w:val="none" w:sz="0" w:space="0" w:color="auto"/>
      </w:divBdr>
    </w:div>
    <w:div w:id="1513182038">
      <w:bodyDiv w:val="1"/>
      <w:marLeft w:val="0"/>
      <w:marRight w:val="0"/>
      <w:marTop w:val="0"/>
      <w:marBottom w:val="0"/>
      <w:divBdr>
        <w:top w:val="none" w:sz="0" w:space="0" w:color="auto"/>
        <w:left w:val="none" w:sz="0" w:space="0" w:color="auto"/>
        <w:bottom w:val="none" w:sz="0" w:space="0" w:color="auto"/>
        <w:right w:val="none" w:sz="0" w:space="0" w:color="auto"/>
      </w:divBdr>
    </w:div>
    <w:div w:id="1535918302">
      <w:bodyDiv w:val="1"/>
      <w:marLeft w:val="0"/>
      <w:marRight w:val="0"/>
      <w:marTop w:val="0"/>
      <w:marBottom w:val="0"/>
      <w:divBdr>
        <w:top w:val="none" w:sz="0" w:space="0" w:color="auto"/>
        <w:left w:val="none" w:sz="0" w:space="0" w:color="auto"/>
        <w:bottom w:val="none" w:sz="0" w:space="0" w:color="auto"/>
        <w:right w:val="none" w:sz="0" w:space="0" w:color="auto"/>
      </w:divBdr>
    </w:div>
    <w:div w:id="1553804609">
      <w:bodyDiv w:val="1"/>
      <w:marLeft w:val="0"/>
      <w:marRight w:val="0"/>
      <w:marTop w:val="0"/>
      <w:marBottom w:val="0"/>
      <w:divBdr>
        <w:top w:val="none" w:sz="0" w:space="0" w:color="auto"/>
        <w:left w:val="none" w:sz="0" w:space="0" w:color="auto"/>
        <w:bottom w:val="none" w:sz="0" w:space="0" w:color="auto"/>
        <w:right w:val="none" w:sz="0" w:space="0" w:color="auto"/>
      </w:divBdr>
    </w:div>
    <w:div w:id="1631939190">
      <w:bodyDiv w:val="1"/>
      <w:marLeft w:val="0"/>
      <w:marRight w:val="0"/>
      <w:marTop w:val="0"/>
      <w:marBottom w:val="0"/>
      <w:divBdr>
        <w:top w:val="none" w:sz="0" w:space="0" w:color="auto"/>
        <w:left w:val="none" w:sz="0" w:space="0" w:color="auto"/>
        <w:bottom w:val="none" w:sz="0" w:space="0" w:color="auto"/>
        <w:right w:val="none" w:sz="0" w:space="0" w:color="auto"/>
      </w:divBdr>
    </w:div>
    <w:div w:id="1659338145">
      <w:bodyDiv w:val="1"/>
      <w:marLeft w:val="0"/>
      <w:marRight w:val="0"/>
      <w:marTop w:val="0"/>
      <w:marBottom w:val="0"/>
      <w:divBdr>
        <w:top w:val="none" w:sz="0" w:space="0" w:color="auto"/>
        <w:left w:val="none" w:sz="0" w:space="0" w:color="auto"/>
        <w:bottom w:val="none" w:sz="0" w:space="0" w:color="auto"/>
        <w:right w:val="none" w:sz="0" w:space="0" w:color="auto"/>
      </w:divBdr>
    </w:div>
    <w:div w:id="1680349915">
      <w:bodyDiv w:val="1"/>
      <w:marLeft w:val="0"/>
      <w:marRight w:val="0"/>
      <w:marTop w:val="0"/>
      <w:marBottom w:val="0"/>
      <w:divBdr>
        <w:top w:val="none" w:sz="0" w:space="0" w:color="auto"/>
        <w:left w:val="none" w:sz="0" w:space="0" w:color="auto"/>
        <w:bottom w:val="none" w:sz="0" w:space="0" w:color="auto"/>
        <w:right w:val="none" w:sz="0" w:space="0" w:color="auto"/>
      </w:divBdr>
    </w:div>
    <w:div w:id="1715932124">
      <w:bodyDiv w:val="1"/>
      <w:marLeft w:val="0"/>
      <w:marRight w:val="0"/>
      <w:marTop w:val="0"/>
      <w:marBottom w:val="0"/>
      <w:divBdr>
        <w:top w:val="none" w:sz="0" w:space="0" w:color="auto"/>
        <w:left w:val="none" w:sz="0" w:space="0" w:color="auto"/>
        <w:bottom w:val="none" w:sz="0" w:space="0" w:color="auto"/>
        <w:right w:val="none" w:sz="0" w:space="0" w:color="auto"/>
      </w:divBdr>
    </w:div>
    <w:div w:id="1724715926">
      <w:bodyDiv w:val="1"/>
      <w:marLeft w:val="0"/>
      <w:marRight w:val="0"/>
      <w:marTop w:val="0"/>
      <w:marBottom w:val="0"/>
      <w:divBdr>
        <w:top w:val="none" w:sz="0" w:space="0" w:color="auto"/>
        <w:left w:val="none" w:sz="0" w:space="0" w:color="auto"/>
        <w:bottom w:val="none" w:sz="0" w:space="0" w:color="auto"/>
        <w:right w:val="none" w:sz="0" w:space="0" w:color="auto"/>
      </w:divBdr>
    </w:div>
    <w:div w:id="1728072242">
      <w:bodyDiv w:val="1"/>
      <w:marLeft w:val="0"/>
      <w:marRight w:val="0"/>
      <w:marTop w:val="0"/>
      <w:marBottom w:val="0"/>
      <w:divBdr>
        <w:top w:val="none" w:sz="0" w:space="0" w:color="auto"/>
        <w:left w:val="none" w:sz="0" w:space="0" w:color="auto"/>
        <w:bottom w:val="none" w:sz="0" w:space="0" w:color="auto"/>
        <w:right w:val="none" w:sz="0" w:space="0" w:color="auto"/>
      </w:divBdr>
    </w:div>
    <w:div w:id="1734352417">
      <w:bodyDiv w:val="1"/>
      <w:marLeft w:val="0"/>
      <w:marRight w:val="0"/>
      <w:marTop w:val="0"/>
      <w:marBottom w:val="0"/>
      <w:divBdr>
        <w:top w:val="none" w:sz="0" w:space="0" w:color="auto"/>
        <w:left w:val="none" w:sz="0" w:space="0" w:color="auto"/>
        <w:bottom w:val="none" w:sz="0" w:space="0" w:color="auto"/>
        <w:right w:val="none" w:sz="0" w:space="0" w:color="auto"/>
      </w:divBdr>
    </w:div>
    <w:div w:id="1736392445">
      <w:bodyDiv w:val="1"/>
      <w:marLeft w:val="0"/>
      <w:marRight w:val="0"/>
      <w:marTop w:val="0"/>
      <w:marBottom w:val="0"/>
      <w:divBdr>
        <w:top w:val="none" w:sz="0" w:space="0" w:color="auto"/>
        <w:left w:val="none" w:sz="0" w:space="0" w:color="auto"/>
        <w:bottom w:val="none" w:sz="0" w:space="0" w:color="auto"/>
        <w:right w:val="none" w:sz="0" w:space="0" w:color="auto"/>
      </w:divBdr>
    </w:div>
    <w:div w:id="1740903954">
      <w:bodyDiv w:val="1"/>
      <w:marLeft w:val="0"/>
      <w:marRight w:val="0"/>
      <w:marTop w:val="0"/>
      <w:marBottom w:val="0"/>
      <w:divBdr>
        <w:top w:val="none" w:sz="0" w:space="0" w:color="auto"/>
        <w:left w:val="none" w:sz="0" w:space="0" w:color="auto"/>
        <w:bottom w:val="none" w:sz="0" w:space="0" w:color="auto"/>
        <w:right w:val="none" w:sz="0" w:space="0" w:color="auto"/>
      </w:divBdr>
    </w:div>
    <w:div w:id="1774788958">
      <w:bodyDiv w:val="1"/>
      <w:marLeft w:val="0"/>
      <w:marRight w:val="0"/>
      <w:marTop w:val="0"/>
      <w:marBottom w:val="0"/>
      <w:divBdr>
        <w:top w:val="none" w:sz="0" w:space="0" w:color="auto"/>
        <w:left w:val="none" w:sz="0" w:space="0" w:color="auto"/>
        <w:bottom w:val="none" w:sz="0" w:space="0" w:color="auto"/>
        <w:right w:val="none" w:sz="0" w:space="0" w:color="auto"/>
      </w:divBdr>
    </w:div>
    <w:div w:id="1836141643">
      <w:bodyDiv w:val="1"/>
      <w:marLeft w:val="0"/>
      <w:marRight w:val="0"/>
      <w:marTop w:val="0"/>
      <w:marBottom w:val="0"/>
      <w:divBdr>
        <w:top w:val="none" w:sz="0" w:space="0" w:color="auto"/>
        <w:left w:val="none" w:sz="0" w:space="0" w:color="auto"/>
        <w:bottom w:val="none" w:sz="0" w:space="0" w:color="auto"/>
        <w:right w:val="none" w:sz="0" w:space="0" w:color="auto"/>
      </w:divBdr>
    </w:div>
    <w:div w:id="1906646230">
      <w:bodyDiv w:val="1"/>
      <w:marLeft w:val="0"/>
      <w:marRight w:val="0"/>
      <w:marTop w:val="0"/>
      <w:marBottom w:val="0"/>
      <w:divBdr>
        <w:top w:val="none" w:sz="0" w:space="0" w:color="auto"/>
        <w:left w:val="none" w:sz="0" w:space="0" w:color="auto"/>
        <w:bottom w:val="none" w:sz="0" w:space="0" w:color="auto"/>
        <w:right w:val="none" w:sz="0" w:space="0" w:color="auto"/>
      </w:divBdr>
    </w:div>
    <w:div w:id="1940210304">
      <w:bodyDiv w:val="1"/>
      <w:marLeft w:val="0"/>
      <w:marRight w:val="0"/>
      <w:marTop w:val="0"/>
      <w:marBottom w:val="0"/>
      <w:divBdr>
        <w:top w:val="none" w:sz="0" w:space="0" w:color="auto"/>
        <w:left w:val="none" w:sz="0" w:space="0" w:color="auto"/>
        <w:bottom w:val="none" w:sz="0" w:space="0" w:color="auto"/>
        <w:right w:val="none" w:sz="0" w:space="0" w:color="auto"/>
      </w:divBdr>
      <w:divsChild>
        <w:div w:id="882250806">
          <w:marLeft w:val="0"/>
          <w:marRight w:val="0"/>
          <w:marTop w:val="0"/>
          <w:marBottom w:val="0"/>
          <w:divBdr>
            <w:top w:val="none" w:sz="0" w:space="0" w:color="auto"/>
            <w:left w:val="none" w:sz="0" w:space="0" w:color="auto"/>
            <w:bottom w:val="none" w:sz="0" w:space="0" w:color="auto"/>
            <w:right w:val="none" w:sz="0" w:space="0" w:color="auto"/>
          </w:divBdr>
          <w:divsChild>
            <w:div w:id="718941317">
              <w:marLeft w:val="0"/>
              <w:marRight w:val="0"/>
              <w:marTop w:val="0"/>
              <w:marBottom w:val="0"/>
              <w:divBdr>
                <w:top w:val="none" w:sz="0" w:space="0" w:color="auto"/>
                <w:left w:val="none" w:sz="0" w:space="0" w:color="auto"/>
                <w:bottom w:val="none" w:sz="0" w:space="0" w:color="auto"/>
                <w:right w:val="none" w:sz="0" w:space="0" w:color="auto"/>
              </w:divBdr>
            </w:div>
            <w:div w:id="2023045835">
              <w:marLeft w:val="0"/>
              <w:marRight w:val="0"/>
              <w:marTop w:val="0"/>
              <w:marBottom w:val="0"/>
              <w:divBdr>
                <w:top w:val="none" w:sz="0" w:space="0" w:color="auto"/>
                <w:left w:val="none" w:sz="0" w:space="0" w:color="auto"/>
                <w:bottom w:val="none" w:sz="0" w:space="0" w:color="auto"/>
                <w:right w:val="none" w:sz="0" w:space="0" w:color="auto"/>
              </w:divBdr>
            </w:div>
            <w:div w:id="318464223">
              <w:marLeft w:val="0"/>
              <w:marRight w:val="0"/>
              <w:marTop w:val="0"/>
              <w:marBottom w:val="0"/>
              <w:divBdr>
                <w:top w:val="none" w:sz="0" w:space="0" w:color="auto"/>
                <w:left w:val="none" w:sz="0" w:space="0" w:color="auto"/>
                <w:bottom w:val="none" w:sz="0" w:space="0" w:color="auto"/>
                <w:right w:val="none" w:sz="0" w:space="0" w:color="auto"/>
              </w:divBdr>
            </w:div>
            <w:div w:id="1867677291">
              <w:marLeft w:val="0"/>
              <w:marRight w:val="0"/>
              <w:marTop w:val="0"/>
              <w:marBottom w:val="0"/>
              <w:divBdr>
                <w:top w:val="none" w:sz="0" w:space="0" w:color="auto"/>
                <w:left w:val="none" w:sz="0" w:space="0" w:color="auto"/>
                <w:bottom w:val="none" w:sz="0" w:space="0" w:color="auto"/>
                <w:right w:val="none" w:sz="0" w:space="0" w:color="auto"/>
              </w:divBdr>
            </w:div>
            <w:div w:id="1904300">
              <w:marLeft w:val="0"/>
              <w:marRight w:val="0"/>
              <w:marTop w:val="0"/>
              <w:marBottom w:val="0"/>
              <w:divBdr>
                <w:top w:val="none" w:sz="0" w:space="0" w:color="auto"/>
                <w:left w:val="none" w:sz="0" w:space="0" w:color="auto"/>
                <w:bottom w:val="none" w:sz="0" w:space="0" w:color="auto"/>
                <w:right w:val="none" w:sz="0" w:space="0" w:color="auto"/>
              </w:divBdr>
            </w:div>
            <w:div w:id="1693414786">
              <w:marLeft w:val="0"/>
              <w:marRight w:val="0"/>
              <w:marTop w:val="0"/>
              <w:marBottom w:val="0"/>
              <w:divBdr>
                <w:top w:val="none" w:sz="0" w:space="0" w:color="auto"/>
                <w:left w:val="none" w:sz="0" w:space="0" w:color="auto"/>
                <w:bottom w:val="none" w:sz="0" w:space="0" w:color="auto"/>
                <w:right w:val="none" w:sz="0" w:space="0" w:color="auto"/>
              </w:divBdr>
            </w:div>
            <w:div w:id="436023610">
              <w:marLeft w:val="0"/>
              <w:marRight w:val="0"/>
              <w:marTop w:val="0"/>
              <w:marBottom w:val="0"/>
              <w:divBdr>
                <w:top w:val="none" w:sz="0" w:space="0" w:color="auto"/>
                <w:left w:val="none" w:sz="0" w:space="0" w:color="auto"/>
                <w:bottom w:val="none" w:sz="0" w:space="0" w:color="auto"/>
                <w:right w:val="none" w:sz="0" w:space="0" w:color="auto"/>
              </w:divBdr>
            </w:div>
            <w:div w:id="405803761">
              <w:marLeft w:val="0"/>
              <w:marRight w:val="0"/>
              <w:marTop w:val="0"/>
              <w:marBottom w:val="0"/>
              <w:divBdr>
                <w:top w:val="none" w:sz="0" w:space="0" w:color="auto"/>
                <w:left w:val="none" w:sz="0" w:space="0" w:color="auto"/>
                <w:bottom w:val="none" w:sz="0" w:space="0" w:color="auto"/>
                <w:right w:val="none" w:sz="0" w:space="0" w:color="auto"/>
              </w:divBdr>
            </w:div>
            <w:div w:id="1021129451">
              <w:marLeft w:val="0"/>
              <w:marRight w:val="0"/>
              <w:marTop w:val="0"/>
              <w:marBottom w:val="0"/>
              <w:divBdr>
                <w:top w:val="none" w:sz="0" w:space="0" w:color="auto"/>
                <w:left w:val="none" w:sz="0" w:space="0" w:color="auto"/>
                <w:bottom w:val="none" w:sz="0" w:space="0" w:color="auto"/>
                <w:right w:val="none" w:sz="0" w:space="0" w:color="auto"/>
              </w:divBdr>
            </w:div>
            <w:div w:id="52050662">
              <w:marLeft w:val="0"/>
              <w:marRight w:val="0"/>
              <w:marTop w:val="0"/>
              <w:marBottom w:val="0"/>
              <w:divBdr>
                <w:top w:val="none" w:sz="0" w:space="0" w:color="auto"/>
                <w:left w:val="none" w:sz="0" w:space="0" w:color="auto"/>
                <w:bottom w:val="none" w:sz="0" w:space="0" w:color="auto"/>
                <w:right w:val="none" w:sz="0" w:space="0" w:color="auto"/>
              </w:divBdr>
            </w:div>
            <w:div w:id="899249626">
              <w:marLeft w:val="0"/>
              <w:marRight w:val="0"/>
              <w:marTop w:val="0"/>
              <w:marBottom w:val="0"/>
              <w:divBdr>
                <w:top w:val="none" w:sz="0" w:space="0" w:color="auto"/>
                <w:left w:val="none" w:sz="0" w:space="0" w:color="auto"/>
                <w:bottom w:val="none" w:sz="0" w:space="0" w:color="auto"/>
                <w:right w:val="none" w:sz="0" w:space="0" w:color="auto"/>
              </w:divBdr>
            </w:div>
            <w:div w:id="1361708084">
              <w:marLeft w:val="0"/>
              <w:marRight w:val="0"/>
              <w:marTop w:val="0"/>
              <w:marBottom w:val="0"/>
              <w:divBdr>
                <w:top w:val="none" w:sz="0" w:space="0" w:color="auto"/>
                <w:left w:val="none" w:sz="0" w:space="0" w:color="auto"/>
                <w:bottom w:val="none" w:sz="0" w:space="0" w:color="auto"/>
                <w:right w:val="none" w:sz="0" w:space="0" w:color="auto"/>
              </w:divBdr>
            </w:div>
            <w:div w:id="1258753273">
              <w:marLeft w:val="0"/>
              <w:marRight w:val="0"/>
              <w:marTop w:val="0"/>
              <w:marBottom w:val="0"/>
              <w:divBdr>
                <w:top w:val="none" w:sz="0" w:space="0" w:color="auto"/>
                <w:left w:val="none" w:sz="0" w:space="0" w:color="auto"/>
                <w:bottom w:val="none" w:sz="0" w:space="0" w:color="auto"/>
                <w:right w:val="none" w:sz="0" w:space="0" w:color="auto"/>
              </w:divBdr>
            </w:div>
            <w:div w:id="788664398">
              <w:marLeft w:val="0"/>
              <w:marRight w:val="0"/>
              <w:marTop w:val="0"/>
              <w:marBottom w:val="0"/>
              <w:divBdr>
                <w:top w:val="none" w:sz="0" w:space="0" w:color="auto"/>
                <w:left w:val="none" w:sz="0" w:space="0" w:color="auto"/>
                <w:bottom w:val="none" w:sz="0" w:space="0" w:color="auto"/>
                <w:right w:val="none" w:sz="0" w:space="0" w:color="auto"/>
              </w:divBdr>
            </w:div>
            <w:div w:id="113250794">
              <w:marLeft w:val="0"/>
              <w:marRight w:val="0"/>
              <w:marTop w:val="0"/>
              <w:marBottom w:val="0"/>
              <w:divBdr>
                <w:top w:val="none" w:sz="0" w:space="0" w:color="auto"/>
                <w:left w:val="none" w:sz="0" w:space="0" w:color="auto"/>
                <w:bottom w:val="none" w:sz="0" w:space="0" w:color="auto"/>
                <w:right w:val="none" w:sz="0" w:space="0" w:color="auto"/>
              </w:divBdr>
            </w:div>
            <w:div w:id="1514105760">
              <w:marLeft w:val="0"/>
              <w:marRight w:val="0"/>
              <w:marTop w:val="0"/>
              <w:marBottom w:val="0"/>
              <w:divBdr>
                <w:top w:val="none" w:sz="0" w:space="0" w:color="auto"/>
                <w:left w:val="none" w:sz="0" w:space="0" w:color="auto"/>
                <w:bottom w:val="none" w:sz="0" w:space="0" w:color="auto"/>
                <w:right w:val="none" w:sz="0" w:space="0" w:color="auto"/>
              </w:divBdr>
            </w:div>
            <w:div w:id="271212794">
              <w:marLeft w:val="0"/>
              <w:marRight w:val="0"/>
              <w:marTop w:val="0"/>
              <w:marBottom w:val="0"/>
              <w:divBdr>
                <w:top w:val="none" w:sz="0" w:space="0" w:color="auto"/>
                <w:left w:val="none" w:sz="0" w:space="0" w:color="auto"/>
                <w:bottom w:val="none" w:sz="0" w:space="0" w:color="auto"/>
                <w:right w:val="none" w:sz="0" w:space="0" w:color="auto"/>
              </w:divBdr>
            </w:div>
            <w:div w:id="124468280">
              <w:marLeft w:val="0"/>
              <w:marRight w:val="0"/>
              <w:marTop w:val="0"/>
              <w:marBottom w:val="0"/>
              <w:divBdr>
                <w:top w:val="none" w:sz="0" w:space="0" w:color="auto"/>
                <w:left w:val="none" w:sz="0" w:space="0" w:color="auto"/>
                <w:bottom w:val="none" w:sz="0" w:space="0" w:color="auto"/>
                <w:right w:val="none" w:sz="0" w:space="0" w:color="auto"/>
              </w:divBdr>
            </w:div>
            <w:div w:id="1135833599">
              <w:marLeft w:val="0"/>
              <w:marRight w:val="0"/>
              <w:marTop w:val="0"/>
              <w:marBottom w:val="0"/>
              <w:divBdr>
                <w:top w:val="none" w:sz="0" w:space="0" w:color="auto"/>
                <w:left w:val="none" w:sz="0" w:space="0" w:color="auto"/>
                <w:bottom w:val="none" w:sz="0" w:space="0" w:color="auto"/>
                <w:right w:val="none" w:sz="0" w:space="0" w:color="auto"/>
              </w:divBdr>
            </w:div>
            <w:div w:id="1542084735">
              <w:marLeft w:val="0"/>
              <w:marRight w:val="0"/>
              <w:marTop w:val="0"/>
              <w:marBottom w:val="0"/>
              <w:divBdr>
                <w:top w:val="none" w:sz="0" w:space="0" w:color="auto"/>
                <w:left w:val="none" w:sz="0" w:space="0" w:color="auto"/>
                <w:bottom w:val="none" w:sz="0" w:space="0" w:color="auto"/>
                <w:right w:val="none" w:sz="0" w:space="0" w:color="auto"/>
              </w:divBdr>
            </w:div>
            <w:div w:id="855189111">
              <w:marLeft w:val="0"/>
              <w:marRight w:val="0"/>
              <w:marTop w:val="0"/>
              <w:marBottom w:val="0"/>
              <w:divBdr>
                <w:top w:val="none" w:sz="0" w:space="0" w:color="auto"/>
                <w:left w:val="none" w:sz="0" w:space="0" w:color="auto"/>
                <w:bottom w:val="none" w:sz="0" w:space="0" w:color="auto"/>
                <w:right w:val="none" w:sz="0" w:space="0" w:color="auto"/>
              </w:divBdr>
            </w:div>
            <w:div w:id="973755226">
              <w:marLeft w:val="0"/>
              <w:marRight w:val="0"/>
              <w:marTop w:val="0"/>
              <w:marBottom w:val="0"/>
              <w:divBdr>
                <w:top w:val="none" w:sz="0" w:space="0" w:color="auto"/>
                <w:left w:val="none" w:sz="0" w:space="0" w:color="auto"/>
                <w:bottom w:val="none" w:sz="0" w:space="0" w:color="auto"/>
                <w:right w:val="none" w:sz="0" w:space="0" w:color="auto"/>
              </w:divBdr>
            </w:div>
            <w:div w:id="846139197">
              <w:marLeft w:val="0"/>
              <w:marRight w:val="0"/>
              <w:marTop w:val="0"/>
              <w:marBottom w:val="0"/>
              <w:divBdr>
                <w:top w:val="none" w:sz="0" w:space="0" w:color="auto"/>
                <w:left w:val="none" w:sz="0" w:space="0" w:color="auto"/>
                <w:bottom w:val="none" w:sz="0" w:space="0" w:color="auto"/>
                <w:right w:val="none" w:sz="0" w:space="0" w:color="auto"/>
              </w:divBdr>
            </w:div>
            <w:div w:id="380129887">
              <w:marLeft w:val="0"/>
              <w:marRight w:val="0"/>
              <w:marTop w:val="0"/>
              <w:marBottom w:val="0"/>
              <w:divBdr>
                <w:top w:val="none" w:sz="0" w:space="0" w:color="auto"/>
                <w:left w:val="none" w:sz="0" w:space="0" w:color="auto"/>
                <w:bottom w:val="none" w:sz="0" w:space="0" w:color="auto"/>
                <w:right w:val="none" w:sz="0" w:space="0" w:color="auto"/>
              </w:divBdr>
            </w:div>
            <w:div w:id="631248741">
              <w:marLeft w:val="0"/>
              <w:marRight w:val="0"/>
              <w:marTop w:val="0"/>
              <w:marBottom w:val="0"/>
              <w:divBdr>
                <w:top w:val="none" w:sz="0" w:space="0" w:color="auto"/>
                <w:left w:val="none" w:sz="0" w:space="0" w:color="auto"/>
                <w:bottom w:val="none" w:sz="0" w:space="0" w:color="auto"/>
                <w:right w:val="none" w:sz="0" w:space="0" w:color="auto"/>
              </w:divBdr>
            </w:div>
            <w:div w:id="47069727">
              <w:marLeft w:val="0"/>
              <w:marRight w:val="0"/>
              <w:marTop w:val="0"/>
              <w:marBottom w:val="0"/>
              <w:divBdr>
                <w:top w:val="none" w:sz="0" w:space="0" w:color="auto"/>
                <w:left w:val="none" w:sz="0" w:space="0" w:color="auto"/>
                <w:bottom w:val="none" w:sz="0" w:space="0" w:color="auto"/>
                <w:right w:val="none" w:sz="0" w:space="0" w:color="auto"/>
              </w:divBdr>
            </w:div>
            <w:div w:id="1314682861">
              <w:marLeft w:val="0"/>
              <w:marRight w:val="0"/>
              <w:marTop w:val="0"/>
              <w:marBottom w:val="0"/>
              <w:divBdr>
                <w:top w:val="none" w:sz="0" w:space="0" w:color="auto"/>
                <w:left w:val="none" w:sz="0" w:space="0" w:color="auto"/>
                <w:bottom w:val="none" w:sz="0" w:space="0" w:color="auto"/>
                <w:right w:val="none" w:sz="0" w:space="0" w:color="auto"/>
              </w:divBdr>
            </w:div>
            <w:div w:id="2007979186">
              <w:marLeft w:val="0"/>
              <w:marRight w:val="0"/>
              <w:marTop w:val="0"/>
              <w:marBottom w:val="0"/>
              <w:divBdr>
                <w:top w:val="none" w:sz="0" w:space="0" w:color="auto"/>
                <w:left w:val="none" w:sz="0" w:space="0" w:color="auto"/>
                <w:bottom w:val="none" w:sz="0" w:space="0" w:color="auto"/>
                <w:right w:val="none" w:sz="0" w:space="0" w:color="auto"/>
              </w:divBdr>
            </w:div>
            <w:div w:id="1434328095">
              <w:marLeft w:val="0"/>
              <w:marRight w:val="0"/>
              <w:marTop w:val="0"/>
              <w:marBottom w:val="0"/>
              <w:divBdr>
                <w:top w:val="none" w:sz="0" w:space="0" w:color="auto"/>
                <w:left w:val="none" w:sz="0" w:space="0" w:color="auto"/>
                <w:bottom w:val="none" w:sz="0" w:space="0" w:color="auto"/>
                <w:right w:val="none" w:sz="0" w:space="0" w:color="auto"/>
              </w:divBdr>
            </w:div>
            <w:div w:id="1587886954">
              <w:marLeft w:val="0"/>
              <w:marRight w:val="0"/>
              <w:marTop w:val="0"/>
              <w:marBottom w:val="0"/>
              <w:divBdr>
                <w:top w:val="none" w:sz="0" w:space="0" w:color="auto"/>
                <w:left w:val="none" w:sz="0" w:space="0" w:color="auto"/>
                <w:bottom w:val="none" w:sz="0" w:space="0" w:color="auto"/>
                <w:right w:val="none" w:sz="0" w:space="0" w:color="auto"/>
              </w:divBdr>
            </w:div>
            <w:div w:id="1642421539">
              <w:marLeft w:val="0"/>
              <w:marRight w:val="0"/>
              <w:marTop w:val="0"/>
              <w:marBottom w:val="0"/>
              <w:divBdr>
                <w:top w:val="none" w:sz="0" w:space="0" w:color="auto"/>
                <w:left w:val="none" w:sz="0" w:space="0" w:color="auto"/>
                <w:bottom w:val="none" w:sz="0" w:space="0" w:color="auto"/>
                <w:right w:val="none" w:sz="0" w:space="0" w:color="auto"/>
              </w:divBdr>
            </w:div>
            <w:div w:id="419370581">
              <w:marLeft w:val="0"/>
              <w:marRight w:val="0"/>
              <w:marTop w:val="0"/>
              <w:marBottom w:val="0"/>
              <w:divBdr>
                <w:top w:val="none" w:sz="0" w:space="0" w:color="auto"/>
                <w:left w:val="none" w:sz="0" w:space="0" w:color="auto"/>
                <w:bottom w:val="none" w:sz="0" w:space="0" w:color="auto"/>
                <w:right w:val="none" w:sz="0" w:space="0" w:color="auto"/>
              </w:divBdr>
            </w:div>
            <w:div w:id="1446926927">
              <w:marLeft w:val="0"/>
              <w:marRight w:val="0"/>
              <w:marTop w:val="0"/>
              <w:marBottom w:val="0"/>
              <w:divBdr>
                <w:top w:val="none" w:sz="0" w:space="0" w:color="auto"/>
                <w:left w:val="none" w:sz="0" w:space="0" w:color="auto"/>
                <w:bottom w:val="none" w:sz="0" w:space="0" w:color="auto"/>
                <w:right w:val="none" w:sz="0" w:space="0" w:color="auto"/>
              </w:divBdr>
            </w:div>
            <w:div w:id="645278190">
              <w:marLeft w:val="0"/>
              <w:marRight w:val="0"/>
              <w:marTop w:val="0"/>
              <w:marBottom w:val="0"/>
              <w:divBdr>
                <w:top w:val="none" w:sz="0" w:space="0" w:color="auto"/>
                <w:left w:val="none" w:sz="0" w:space="0" w:color="auto"/>
                <w:bottom w:val="none" w:sz="0" w:space="0" w:color="auto"/>
                <w:right w:val="none" w:sz="0" w:space="0" w:color="auto"/>
              </w:divBdr>
            </w:div>
            <w:div w:id="527721349">
              <w:marLeft w:val="0"/>
              <w:marRight w:val="0"/>
              <w:marTop w:val="0"/>
              <w:marBottom w:val="0"/>
              <w:divBdr>
                <w:top w:val="none" w:sz="0" w:space="0" w:color="auto"/>
                <w:left w:val="none" w:sz="0" w:space="0" w:color="auto"/>
                <w:bottom w:val="none" w:sz="0" w:space="0" w:color="auto"/>
                <w:right w:val="none" w:sz="0" w:space="0" w:color="auto"/>
              </w:divBdr>
            </w:div>
            <w:div w:id="2035300701">
              <w:marLeft w:val="0"/>
              <w:marRight w:val="0"/>
              <w:marTop w:val="0"/>
              <w:marBottom w:val="0"/>
              <w:divBdr>
                <w:top w:val="none" w:sz="0" w:space="0" w:color="auto"/>
                <w:left w:val="none" w:sz="0" w:space="0" w:color="auto"/>
                <w:bottom w:val="none" w:sz="0" w:space="0" w:color="auto"/>
                <w:right w:val="none" w:sz="0" w:space="0" w:color="auto"/>
              </w:divBdr>
            </w:div>
            <w:div w:id="1083532310">
              <w:marLeft w:val="0"/>
              <w:marRight w:val="0"/>
              <w:marTop w:val="0"/>
              <w:marBottom w:val="0"/>
              <w:divBdr>
                <w:top w:val="none" w:sz="0" w:space="0" w:color="auto"/>
                <w:left w:val="none" w:sz="0" w:space="0" w:color="auto"/>
                <w:bottom w:val="none" w:sz="0" w:space="0" w:color="auto"/>
                <w:right w:val="none" w:sz="0" w:space="0" w:color="auto"/>
              </w:divBdr>
            </w:div>
            <w:div w:id="1355693760">
              <w:marLeft w:val="0"/>
              <w:marRight w:val="0"/>
              <w:marTop w:val="0"/>
              <w:marBottom w:val="0"/>
              <w:divBdr>
                <w:top w:val="none" w:sz="0" w:space="0" w:color="auto"/>
                <w:left w:val="none" w:sz="0" w:space="0" w:color="auto"/>
                <w:bottom w:val="none" w:sz="0" w:space="0" w:color="auto"/>
                <w:right w:val="none" w:sz="0" w:space="0" w:color="auto"/>
              </w:divBdr>
            </w:div>
            <w:div w:id="2023625215">
              <w:marLeft w:val="0"/>
              <w:marRight w:val="0"/>
              <w:marTop w:val="0"/>
              <w:marBottom w:val="0"/>
              <w:divBdr>
                <w:top w:val="none" w:sz="0" w:space="0" w:color="auto"/>
                <w:left w:val="none" w:sz="0" w:space="0" w:color="auto"/>
                <w:bottom w:val="none" w:sz="0" w:space="0" w:color="auto"/>
                <w:right w:val="none" w:sz="0" w:space="0" w:color="auto"/>
              </w:divBdr>
            </w:div>
            <w:div w:id="18802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34965">
      <w:bodyDiv w:val="1"/>
      <w:marLeft w:val="0"/>
      <w:marRight w:val="0"/>
      <w:marTop w:val="0"/>
      <w:marBottom w:val="0"/>
      <w:divBdr>
        <w:top w:val="none" w:sz="0" w:space="0" w:color="auto"/>
        <w:left w:val="none" w:sz="0" w:space="0" w:color="auto"/>
        <w:bottom w:val="none" w:sz="0" w:space="0" w:color="auto"/>
        <w:right w:val="none" w:sz="0" w:space="0" w:color="auto"/>
      </w:divBdr>
    </w:div>
    <w:div w:id="2036610557">
      <w:bodyDiv w:val="1"/>
      <w:marLeft w:val="0"/>
      <w:marRight w:val="0"/>
      <w:marTop w:val="0"/>
      <w:marBottom w:val="0"/>
      <w:divBdr>
        <w:top w:val="none" w:sz="0" w:space="0" w:color="auto"/>
        <w:left w:val="none" w:sz="0" w:space="0" w:color="auto"/>
        <w:bottom w:val="none" w:sz="0" w:space="0" w:color="auto"/>
        <w:right w:val="none" w:sz="0" w:space="0" w:color="auto"/>
      </w:divBdr>
    </w:div>
    <w:div w:id="2039700679">
      <w:bodyDiv w:val="1"/>
      <w:marLeft w:val="0"/>
      <w:marRight w:val="0"/>
      <w:marTop w:val="0"/>
      <w:marBottom w:val="0"/>
      <w:divBdr>
        <w:top w:val="none" w:sz="0" w:space="0" w:color="auto"/>
        <w:left w:val="none" w:sz="0" w:space="0" w:color="auto"/>
        <w:bottom w:val="none" w:sz="0" w:space="0" w:color="auto"/>
        <w:right w:val="none" w:sz="0" w:space="0" w:color="auto"/>
      </w:divBdr>
    </w:div>
    <w:div w:id="212553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093/jssam/smy012" TargetMode="External"/><Relationship Id="rId1" Type="http://schemas.openxmlformats.org/officeDocument/2006/relationships/hyperlink" Target="https://www.nap.edu/catalog/24968/measuring-the-21st-century-science-and-engineering-workforce-population-evol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b:Source>
    <b:Tag>McG15</b:Tag>
    <b:SourceType>InternetSite</b:SourceType>
    <b:Guid>{A4902AAA-7C1F-4C92-A072-6790D2FE0DB3}</b:Guid>
    <b:Title>Tips for Creating Web Surveys for Completion on a Mobile Device</b:Title>
    <b:Year>2015</b:Year>
    <b:Author>
      <b:Author>
        <b:NameList>
          <b:Person>
            <b:Last>Kyley</b:Last>
            <b:First>McGeeney</b:First>
          </b:Person>
        </b:NameList>
      </b:Author>
    </b:Author>
    <b:InternetSiteTitle>Pew Research Center</b:InternetSiteTitle>
    <b:Month>July</b:Month>
    <b:Day>1</b:Day>
    <b:YearAccessed>2016</b:YearAccessed>
    <b:MonthAccessed>February</b:MonthAccessed>
    <b:URL>http://www.pewresearch.org/2015/06/11/tips-for-creating-web-surveys-for-completion-on-a-mobile-device/</b:URL>
    <b:RefOrder>4</b:RefOrder>
  </b:Source>
</b:Sources>
</file>

<file path=customXml/item2.xml><?xml version="1.0" encoding="utf-8"?>
<b:Sources xmlns:b="http://schemas.openxmlformats.org/officeDocument/2006/bibliography" xmlns="http://schemas.openxmlformats.org/officeDocument/2006/bibliography" SelectedStyle="\APA.XSL" StyleName="APA">
  <b:Source>
    <b:Tag>McG15</b:Tag>
    <b:SourceType>InternetSite</b:SourceType>
    <b:Guid>{A4902AAA-7C1F-4C92-A072-6790D2FE0DB3}</b:Guid>
    <b:Title>Tips for Creating Web Surveys for Completion on a Mobile Device</b:Title>
    <b:Year>2015</b:Year>
    <b:Author>
      <b:Author>
        <b:NameList>
          <b:Person>
            <b:Last>Kyley</b:Last>
            <b:First>McGeeney</b:First>
          </b:Person>
        </b:NameList>
      </b:Author>
    </b:Author>
    <b:InternetSiteTitle>Pew Research Center</b:InternetSiteTitle>
    <b:Month>July</b:Month>
    <b:Day>1</b:Day>
    <b:YearAccessed>2016</b:YearAccessed>
    <b:MonthAccessed>February</b:MonthAccessed>
    <b:URL>http://www.pewresearch.org/2015/06/11/tips-for-creating-web-surveys-for-completion-on-a-mobile-device/</b:URL>
    <b:RefOrder>4</b:RefOrder>
  </b:Source>
</b:Sources>
</file>

<file path=customXml/itemProps1.xml><?xml version="1.0" encoding="utf-8"?>
<ds:datastoreItem xmlns:ds="http://schemas.openxmlformats.org/officeDocument/2006/customXml" ds:itemID="{E8B3931C-3D40-4056-BA23-D430DB58602B}">
  <ds:schemaRefs>
    <ds:schemaRef ds:uri="http://schemas.openxmlformats.org/officeDocument/2006/bibliography"/>
  </ds:schemaRefs>
</ds:datastoreItem>
</file>

<file path=customXml/itemProps2.xml><?xml version="1.0" encoding="utf-8"?>
<ds:datastoreItem xmlns:ds="http://schemas.openxmlformats.org/officeDocument/2006/customXml" ds:itemID="{4A3FAF0F-AD06-4F25-BFF1-E0C455C9B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8379</Words>
  <Characters>47763</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1999 OMB Supporting Statement Draft</vt:lpstr>
    </vt:vector>
  </TitlesOfParts>
  <Company>census</Company>
  <LinksUpToDate>false</LinksUpToDate>
  <CharactersWithSpaces>56030</CharactersWithSpaces>
  <SharedDoc>false</SharedDoc>
  <HLinks>
    <vt:vector size="174" baseType="variant">
      <vt:variant>
        <vt:i4>1310789</vt:i4>
      </vt:variant>
      <vt:variant>
        <vt:i4>165</vt:i4>
      </vt:variant>
      <vt:variant>
        <vt:i4>0</vt:i4>
      </vt:variant>
      <vt:variant>
        <vt:i4>5</vt:i4>
      </vt:variant>
      <vt:variant>
        <vt:lpwstr>http://www.nsf.gov/statistics/sestat</vt:lpwstr>
      </vt:variant>
      <vt:variant>
        <vt:lpwstr/>
      </vt:variant>
      <vt:variant>
        <vt:i4>6160471</vt:i4>
      </vt:variant>
      <vt:variant>
        <vt:i4>162</vt:i4>
      </vt:variant>
      <vt:variant>
        <vt:i4>0</vt:i4>
      </vt:variant>
      <vt:variant>
        <vt:i4>5</vt:i4>
      </vt:variant>
      <vt:variant>
        <vt:lpwstr>http://www.nsf.gov/statistics</vt:lpwstr>
      </vt:variant>
      <vt:variant>
        <vt:lpwstr/>
      </vt:variant>
      <vt:variant>
        <vt:i4>1114192</vt:i4>
      </vt:variant>
      <vt:variant>
        <vt:i4>159</vt:i4>
      </vt:variant>
      <vt:variant>
        <vt:i4>0</vt:i4>
      </vt:variant>
      <vt:variant>
        <vt:i4>5</vt:i4>
      </vt:variant>
      <vt:variant>
        <vt:lpwstr>http://nsf.gov/nsb/documents/2003/nsb0369</vt:lpwstr>
      </vt:variant>
      <vt:variant>
        <vt:lpwstr/>
      </vt:variant>
      <vt:variant>
        <vt:i4>1245243</vt:i4>
      </vt:variant>
      <vt:variant>
        <vt:i4>152</vt:i4>
      </vt:variant>
      <vt:variant>
        <vt:i4>0</vt:i4>
      </vt:variant>
      <vt:variant>
        <vt:i4>5</vt:i4>
      </vt:variant>
      <vt:variant>
        <vt:lpwstr/>
      </vt:variant>
      <vt:variant>
        <vt:lpwstr>_Toc257283600</vt:lpwstr>
      </vt:variant>
      <vt:variant>
        <vt:i4>1703992</vt:i4>
      </vt:variant>
      <vt:variant>
        <vt:i4>146</vt:i4>
      </vt:variant>
      <vt:variant>
        <vt:i4>0</vt:i4>
      </vt:variant>
      <vt:variant>
        <vt:i4>5</vt:i4>
      </vt:variant>
      <vt:variant>
        <vt:lpwstr/>
      </vt:variant>
      <vt:variant>
        <vt:lpwstr>_Toc257283599</vt:lpwstr>
      </vt:variant>
      <vt:variant>
        <vt:i4>1703992</vt:i4>
      </vt:variant>
      <vt:variant>
        <vt:i4>140</vt:i4>
      </vt:variant>
      <vt:variant>
        <vt:i4>0</vt:i4>
      </vt:variant>
      <vt:variant>
        <vt:i4>5</vt:i4>
      </vt:variant>
      <vt:variant>
        <vt:lpwstr/>
      </vt:variant>
      <vt:variant>
        <vt:lpwstr>_Toc257283598</vt:lpwstr>
      </vt:variant>
      <vt:variant>
        <vt:i4>1703992</vt:i4>
      </vt:variant>
      <vt:variant>
        <vt:i4>134</vt:i4>
      </vt:variant>
      <vt:variant>
        <vt:i4>0</vt:i4>
      </vt:variant>
      <vt:variant>
        <vt:i4>5</vt:i4>
      </vt:variant>
      <vt:variant>
        <vt:lpwstr/>
      </vt:variant>
      <vt:variant>
        <vt:lpwstr>_Toc257283597</vt:lpwstr>
      </vt:variant>
      <vt:variant>
        <vt:i4>1703992</vt:i4>
      </vt:variant>
      <vt:variant>
        <vt:i4>128</vt:i4>
      </vt:variant>
      <vt:variant>
        <vt:i4>0</vt:i4>
      </vt:variant>
      <vt:variant>
        <vt:i4>5</vt:i4>
      </vt:variant>
      <vt:variant>
        <vt:lpwstr/>
      </vt:variant>
      <vt:variant>
        <vt:lpwstr>_Toc257283596</vt:lpwstr>
      </vt:variant>
      <vt:variant>
        <vt:i4>1703992</vt:i4>
      </vt:variant>
      <vt:variant>
        <vt:i4>122</vt:i4>
      </vt:variant>
      <vt:variant>
        <vt:i4>0</vt:i4>
      </vt:variant>
      <vt:variant>
        <vt:i4>5</vt:i4>
      </vt:variant>
      <vt:variant>
        <vt:lpwstr/>
      </vt:variant>
      <vt:variant>
        <vt:lpwstr>_Toc257283595</vt:lpwstr>
      </vt:variant>
      <vt:variant>
        <vt:i4>1703992</vt:i4>
      </vt:variant>
      <vt:variant>
        <vt:i4>116</vt:i4>
      </vt:variant>
      <vt:variant>
        <vt:i4>0</vt:i4>
      </vt:variant>
      <vt:variant>
        <vt:i4>5</vt:i4>
      </vt:variant>
      <vt:variant>
        <vt:lpwstr/>
      </vt:variant>
      <vt:variant>
        <vt:lpwstr>_Toc257283593</vt:lpwstr>
      </vt:variant>
      <vt:variant>
        <vt:i4>1703992</vt:i4>
      </vt:variant>
      <vt:variant>
        <vt:i4>110</vt:i4>
      </vt:variant>
      <vt:variant>
        <vt:i4>0</vt:i4>
      </vt:variant>
      <vt:variant>
        <vt:i4>5</vt:i4>
      </vt:variant>
      <vt:variant>
        <vt:lpwstr/>
      </vt:variant>
      <vt:variant>
        <vt:lpwstr>_Toc257283592</vt:lpwstr>
      </vt:variant>
      <vt:variant>
        <vt:i4>1703992</vt:i4>
      </vt:variant>
      <vt:variant>
        <vt:i4>104</vt:i4>
      </vt:variant>
      <vt:variant>
        <vt:i4>0</vt:i4>
      </vt:variant>
      <vt:variant>
        <vt:i4>5</vt:i4>
      </vt:variant>
      <vt:variant>
        <vt:lpwstr/>
      </vt:variant>
      <vt:variant>
        <vt:lpwstr>_Toc257283591</vt:lpwstr>
      </vt:variant>
      <vt:variant>
        <vt:i4>1703992</vt:i4>
      </vt:variant>
      <vt:variant>
        <vt:i4>98</vt:i4>
      </vt:variant>
      <vt:variant>
        <vt:i4>0</vt:i4>
      </vt:variant>
      <vt:variant>
        <vt:i4>5</vt:i4>
      </vt:variant>
      <vt:variant>
        <vt:lpwstr/>
      </vt:variant>
      <vt:variant>
        <vt:lpwstr>_Toc257283590</vt:lpwstr>
      </vt:variant>
      <vt:variant>
        <vt:i4>1769528</vt:i4>
      </vt:variant>
      <vt:variant>
        <vt:i4>92</vt:i4>
      </vt:variant>
      <vt:variant>
        <vt:i4>0</vt:i4>
      </vt:variant>
      <vt:variant>
        <vt:i4>5</vt:i4>
      </vt:variant>
      <vt:variant>
        <vt:lpwstr/>
      </vt:variant>
      <vt:variant>
        <vt:lpwstr>_Toc257283589</vt:lpwstr>
      </vt:variant>
      <vt:variant>
        <vt:i4>1769528</vt:i4>
      </vt:variant>
      <vt:variant>
        <vt:i4>86</vt:i4>
      </vt:variant>
      <vt:variant>
        <vt:i4>0</vt:i4>
      </vt:variant>
      <vt:variant>
        <vt:i4>5</vt:i4>
      </vt:variant>
      <vt:variant>
        <vt:lpwstr/>
      </vt:variant>
      <vt:variant>
        <vt:lpwstr>_Toc257283588</vt:lpwstr>
      </vt:variant>
      <vt:variant>
        <vt:i4>1769528</vt:i4>
      </vt:variant>
      <vt:variant>
        <vt:i4>80</vt:i4>
      </vt:variant>
      <vt:variant>
        <vt:i4>0</vt:i4>
      </vt:variant>
      <vt:variant>
        <vt:i4>5</vt:i4>
      </vt:variant>
      <vt:variant>
        <vt:lpwstr/>
      </vt:variant>
      <vt:variant>
        <vt:lpwstr>_Toc257283587</vt:lpwstr>
      </vt:variant>
      <vt:variant>
        <vt:i4>1769528</vt:i4>
      </vt:variant>
      <vt:variant>
        <vt:i4>74</vt:i4>
      </vt:variant>
      <vt:variant>
        <vt:i4>0</vt:i4>
      </vt:variant>
      <vt:variant>
        <vt:i4>5</vt:i4>
      </vt:variant>
      <vt:variant>
        <vt:lpwstr/>
      </vt:variant>
      <vt:variant>
        <vt:lpwstr>_Toc257283586</vt:lpwstr>
      </vt:variant>
      <vt:variant>
        <vt:i4>1769528</vt:i4>
      </vt:variant>
      <vt:variant>
        <vt:i4>68</vt:i4>
      </vt:variant>
      <vt:variant>
        <vt:i4>0</vt:i4>
      </vt:variant>
      <vt:variant>
        <vt:i4>5</vt:i4>
      </vt:variant>
      <vt:variant>
        <vt:lpwstr/>
      </vt:variant>
      <vt:variant>
        <vt:lpwstr>_Toc257283585</vt:lpwstr>
      </vt:variant>
      <vt:variant>
        <vt:i4>1769528</vt:i4>
      </vt:variant>
      <vt:variant>
        <vt:i4>62</vt:i4>
      </vt:variant>
      <vt:variant>
        <vt:i4>0</vt:i4>
      </vt:variant>
      <vt:variant>
        <vt:i4>5</vt:i4>
      </vt:variant>
      <vt:variant>
        <vt:lpwstr/>
      </vt:variant>
      <vt:variant>
        <vt:lpwstr>_Toc257283584</vt:lpwstr>
      </vt:variant>
      <vt:variant>
        <vt:i4>1769528</vt:i4>
      </vt:variant>
      <vt:variant>
        <vt:i4>56</vt:i4>
      </vt:variant>
      <vt:variant>
        <vt:i4>0</vt:i4>
      </vt:variant>
      <vt:variant>
        <vt:i4>5</vt:i4>
      </vt:variant>
      <vt:variant>
        <vt:lpwstr/>
      </vt:variant>
      <vt:variant>
        <vt:lpwstr>_Toc257283583</vt:lpwstr>
      </vt:variant>
      <vt:variant>
        <vt:i4>1769528</vt:i4>
      </vt:variant>
      <vt:variant>
        <vt:i4>50</vt:i4>
      </vt:variant>
      <vt:variant>
        <vt:i4>0</vt:i4>
      </vt:variant>
      <vt:variant>
        <vt:i4>5</vt:i4>
      </vt:variant>
      <vt:variant>
        <vt:lpwstr/>
      </vt:variant>
      <vt:variant>
        <vt:lpwstr>_Toc257283582</vt:lpwstr>
      </vt:variant>
      <vt:variant>
        <vt:i4>1769528</vt:i4>
      </vt:variant>
      <vt:variant>
        <vt:i4>44</vt:i4>
      </vt:variant>
      <vt:variant>
        <vt:i4>0</vt:i4>
      </vt:variant>
      <vt:variant>
        <vt:i4>5</vt:i4>
      </vt:variant>
      <vt:variant>
        <vt:lpwstr/>
      </vt:variant>
      <vt:variant>
        <vt:lpwstr>_Toc257283581</vt:lpwstr>
      </vt:variant>
      <vt:variant>
        <vt:i4>1769528</vt:i4>
      </vt:variant>
      <vt:variant>
        <vt:i4>38</vt:i4>
      </vt:variant>
      <vt:variant>
        <vt:i4>0</vt:i4>
      </vt:variant>
      <vt:variant>
        <vt:i4>5</vt:i4>
      </vt:variant>
      <vt:variant>
        <vt:lpwstr/>
      </vt:variant>
      <vt:variant>
        <vt:lpwstr>_Toc257283580</vt:lpwstr>
      </vt:variant>
      <vt:variant>
        <vt:i4>1310776</vt:i4>
      </vt:variant>
      <vt:variant>
        <vt:i4>32</vt:i4>
      </vt:variant>
      <vt:variant>
        <vt:i4>0</vt:i4>
      </vt:variant>
      <vt:variant>
        <vt:i4>5</vt:i4>
      </vt:variant>
      <vt:variant>
        <vt:lpwstr/>
      </vt:variant>
      <vt:variant>
        <vt:lpwstr>_Toc257283579</vt:lpwstr>
      </vt:variant>
      <vt:variant>
        <vt:i4>1310776</vt:i4>
      </vt:variant>
      <vt:variant>
        <vt:i4>26</vt:i4>
      </vt:variant>
      <vt:variant>
        <vt:i4>0</vt:i4>
      </vt:variant>
      <vt:variant>
        <vt:i4>5</vt:i4>
      </vt:variant>
      <vt:variant>
        <vt:lpwstr/>
      </vt:variant>
      <vt:variant>
        <vt:lpwstr>_Toc257283578</vt:lpwstr>
      </vt:variant>
      <vt:variant>
        <vt:i4>1310776</vt:i4>
      </vt:variant>
      <vt:variant>
        <vt:i4>20</vt:i4>
      </vt:variant>
      <vt:variant>
        <vt:i4>0</vt:i4>
      </vt:variant>
      <vt:variant>
        <vt:i4>5</vt:i4>
      </vt:variant>
      <vt:variant>
        <vt:lpwstr/>
      </vt:variant>
      <vt:variant>
        <vt:lpwstr>_Toc257283577</vt:lpwstr>
      </vt:variant>
      <vt:variant>
        <vt:i4>1310776</vt:i4>
      </vt:variant>
      <vt:variant>
        <vt:i4>14</vt:i4>
      </vt:variant>
      <vt:variant>
        <vt:i4>0</vt:i4>
      </vt:variant>
      <vt:variant>
        <vt:i4>5</vt:i4>
      </vt:variant>
      <vt:variant>
        <vt:lpwstr/>
      </vt:variant>
      <vt:variant>
        <vt:lpwstr>_Toc257283576</vt:lpwstr>
      </vt:variant>
      <vt:variant>
        <vt:i4>1310776</vt:i4>
      </vt:variant>
      <vt:variant>
        <vt:i4>8</vt:i4>
      </vt:variant>
      <vt:variant>
        <vt:i4>0</vt:i4>
      </vt:variant>
      <vt:variant>
        <vt:i4>5</vt:i4>
      </vt:variant>
      <vt:variant>
        <vt:lpwstr/>
      </vt:variant>
      <vt:variant>
        <vt:lpwstr>_Toc257283575</vt:lpwstr>
      </vt:variant>
      <vt:variant>
        <vt:i4>1310776</vt:i4>
      </vt:variant>
      <vt:variant>
        <vt:i4>2</vt:i4>
      </vt:variant>
      <vt:variant>
        <vt:i4>0</vt:i4>
      </vt:variant>
      <vt:variant>
        <vt:i4>5</vt:i4>
      </vt:variant>
      <vt:variant>
        <vt:lpwstr/>
      </vt:variant>
      <vt:variant>
        <vt:lpwstr>_Toc257283574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 OMB Supporting Statement Draft</dc:title>
  <dc:creator>Demographic LAN Branch</dc:creator>
  <cp:lastModifiedBy>SYSTEM</cp:lastModifiedBy>
  <cp:revision>2</cp:revision>
  <cp:lastPrinted>2018-08-21T14:48:00Z</cp:lastPrinted>
  <dcterms:created xsi:type="dcterms:W3CDTF">2019-02-01T13:58:00Z</dcterms:created>
  <dcterms:modified xsi:type="dcterms:W3CDTF">2019-02-01T13:58:00Z</dcterms:modified>
</cp:coreProperties>
</file>