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BD67" w14:textId="77777777" w:rsidR="00583309" w:rsidRPr="003F0326" w:rsidRDefault="00583309" w:rsidP="00F9028B">
      <w:pPr>
        <w:contextualSpacing/>
        <w:jc w:val="center"/>
        <w:rPr>
          <w:bCs/>
          <w:sz w:val="24"/>
          <w:szCs w:val="24"/>
        </w:rPr>
      </w:pPr>
      <w:bookmarkStart w:id="0" w:name="_GoBack"/>
      <w:bookmarkEnd w:id="0"/>
      <w:r w:rsidRPr="003F0326">
        <w:rPr>
          <w:bCs/>
          <w:sz w:val="24"/>
          <w:szCs w:val="24"/>
        </w:rPr>
        <w:t>SUPPORTING STATEMENT</w:t>
      </w:r>
    </w:p>
    <w:p w14:paraId="66AAB650" w14:textId="49B20BE4" w:rsidR="00583309" w:rsidRPr="003F0326" w:rsidRDefault="000329C0" w:rsidP="00F9028B">
      <w:pPr>
        <w:contextualSpacing/>
        <w:jc w:val="center"/>
        <w:rPr>
          <w:bCs/>
          <w:sz w:val="24"/>
          <w:szCs w:val="24"/>
        </w:rPr>
      </w:pPr>
      <w:r>
        <w:rPr>
          <w:bCs/>
          <w:sz w:val="24"/>
          <w:szCs w:val="24"/>
        </w:rPr>
        <w:t xml:space="preserve">NORTH </w:t>
      </w:r>
      <w:r w:rsidR="00583309" w:rsidRPr="003F0326">
        <w:rPr>
          <w:bCs/>
          <w:sz w:val="24"/>
          <w:szCs w:val="24"/>
        </w:rPr>
        <w:t>ATLANTIC</w:t>
      </w:r>
      <w:r w:rsidR="00363D78">
        <w:rPr>
          <w:bCs/>
          <w:sz w:val="24"/>
          <w:szCs w:val="24"/>
        </w:rPr>
        <w:t xml:space="preserve"> </w:t>
      </w:r>
      <w:r w:rsidR="00583309" w:rsidRPr="003F0326">
        <w:rPr>
          <w:bCs/>
          <w:sz w:val="24"/>
          <w:szCs w:val="24"/>
        </w:rPr>
        <w:t>RECREATIONAL FISHING SURVEY</w:t>
      </w:r>
    </w:p>
    <w:p w14:paraId="3E21071C" w14:textId="77777777" w:rsidR="00583309" w:rsidRPr="003F0326" w:rsidRDefault="00583309" w:rsidP="00F9028B">
      <w:pPr>
        <w:contextualSpacing/>
        <w:jc w:val="center"/>
        <w:rPr>
          <w:sz w:val="24"/>
          <w:szCs w:val="24"/>
        </w:rPr>
      </w:pPr>
      <w:r w:rsidRPr="003F0326">
        <w:rPr>
          <w:bCs/>
          <w:sz w:val="24"/>
          <w:szCs w:val="24"/>
        </w:rPr>
        <w:t>OMB CONTROL NO. XXXX-XXXX</w:t>
      </w:r>
    </w:p>
    <w:p w14:paraId="059A2387" w14:textId="28133999" w:rsidR="00C93614" w:rsidRPr="00E12028" w:rsidRDefault="00C93614" w:rsidP="009625D6">
      <w:pPr>
        <w:pStyle w:val="Style1"/>
      </w:pPr>
      <w:r w:rsidRPr="00E12028">
        <w:t>COLLECTIONS OF INFORMATION EMPLOYING STATISTICAL METHODS</w:t>
      </w:r>
    </w:p>
    <w:p w14:paraId="049566B2" w14:textId="77777777" w:rsidR="00E12028" w:rsidRPr="00E12028" w:rsidRDefault="00E12028" w:rsidP="00E12028">
      <w:pPr>
        <w:pStyle w:val="ListParagraph"/>
        <w:rPr>
          <w:b/>
          <w:sz w:val="24"/>
          <w:szCs w:val="24"/>
          <w:u w:val="single"/>
        </w:rPr>
      </w:pPr>
    </w:p>
    <w:p w14:paraId="3FB24E0A" w14:textId="4F39D0EC" w:rsidR="00C93614" w:rsidRPr="003A7CEB" w:rsidRDefault="00C93614" w:rsidP="0094229B">
      <w:pPr>
        <w:pStyle w:val="Style2"/>
        <w:numPr>
          <w:ilvl w:val="0"/>
          <w:numId w:val="19"/>
        </w:numPr>
      </w:pPr>
      <w:r w:rsidRPr="00AD3676">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w:t>
      </w:r>
      <w:r w:rsidRPr="003A7CEB">
        <w:t>ollection has been conducted before, provide the actual response rate achieved.</w:t>
      </w:r>
    </w:p>
    <w:p w14:paraId="3668A415" w14:textId="43A3A37E" w:rsidR="00C93614" w:rsidRP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7768FCC7" w14:textId="1FB9DE35" w:rsidR="0074602D" w:rsidRDefault="00C93614" w:rsidP="00E12028">
      <w:pPr>
        <w:contextualSpacing/>
        <w:rPr>
          <w:sz w:val="24"/>
          <w:szCs w:val="24"/>
        </w:rPr>
      </w:pPr>
      <w:r w:rsidRPr="00C93614">
        <w:rPr>
          <w:sz w:val="24"/>
          <w:szCs w:val="24"/>
        </w:rPr>
        <w:t xml:space="preserve">The target population for the </w:t>
      </w:r>
      <w:r w:rsidR="00CA0835">
        <w:rPr>
          <w:sz w:val="24"/>
          <w:szCs w:val="24"/>
        </w:rPr>
        <w:t>NARFS</w:t>
      </w:r>
      <w:r w:rsidRPr="00C93614">
        <w:rPr>
          <w:sz w:val="24"/>
          <w:szCs w:val="24"/>
        </w:rPr>
        <w:t xml:space="preserve"> is recreational anglers who have fished for Atlantic cod or haddock </w:t>
      </w:r>
      <w:r w:rsidR="00F94B07">
        <w:rPr>
          <w:sz w:val="24"/>
          <w:szCs w:val="24"/>
        </w:rPr>
        <w:t xml:space="preserve">in federal waters </w:t>
      </w:r>
      <w:r w:rsidRPr="00C93614">
        <w:rPr>
          <w:sz w:val="24"/>
          <w:szCs w:val="24"/>
        </w:rPr>
        <w:t xml:space="preserve">off the coast of Maine, New Hampshire, or Massachusetts in the past five years. Our sample frame </w:t>
      </w:r>
      <w:r w:rsidR="00B12896">
        <w:rPr>
          <w:sz w:val="24"/>
          <w:szCs w:val="24"/>
        </w:rPr>
        <w:t>will be drawn from</w:t>
      </w:r>
      <w:r w:rsidRPr="00C93614">
        <w:rPr>
          <w:sz w:val="24"/>
          <w:szCs w:val="24"/>
        </w:rPr>
        <w:t xml:space="preserve"> </w:t>
      </w:r>
      <w:r w:rsidR="0074602D">
        <w:rPr>
          <w:sz w:val="24"/>
          <w:szCs w:val="24"/>
        </w:rPr>
        <w:t xml:space="preserve">2018 </w:t>
      </w:r>
      <w:r w:rsidRPr="00C93614">
        <w:rPr>
          <w:sz w:val="24"/>
          <w:szCs w:val="24"/>
        </w:rPr>
        <w:t xml:space="preserve">recreational fishing license/registry databases maintained by the states of Maine, New Hampshire, and Massachusetts. </w:t>
      </w:r>
      <w:r w:rsidR="007E0682">
        <w:rPr>
          <w:sz w:val="24"/>
          <w:szCs w:val="24"/>
        </w:rPr>
        <w:t xml:space="preserve">Table </w:t>
      </w:r>
      <w:r w:rsidR="00776E48">
        <w:rPr>
          <w:sz w:val="24"/>
          <w:szCs w:val="24"/>
        </w:rPr>
        <w:t>4</w:t>
      </w:r>
      <w:r w:rsidR="007E0682">
        <w:rPr>
          <w:sz w:val="24"/>
          <w:szCs w:val="24"/>
        </w:rPr>
        <w:t xml:space="preserve"> displays information </w:t>
      </w:r>
      <w:r w:rsidR="002E5790">
        <w:rPr>
          <w:sz w:val="24"/>
          <w:szCs w:val="24"/>
        </w:rPr>
        <w:t>about</w:t>
      </w:r>
      <w:r w:rsidR="007E0682">
        <w:rPr>
          <w:sz w:val="24"/>
          <w:szCs w:val="24"/>
        </w:rPr>
        <w:t xml:space="preserve"> these </w:t>
      </w:r>
      <w:r w:rsidR="007E0682" w:rsidRPr="00C93614">
        <w:rPr>
          <w:sz w:val="24"/>
          <w:szCs w:val="24"/>
        </w:rPr>
        <w:t>databases</w:t>
      </w:r>
      <w:r w:rsidR="0074602D">
        <w:rPr>
          <w:sz w:val="24"/>
          <w:szCs w:val="24"/>
        </w:rPr>
        <w:t xml:space="preserve"> in 2017</w:t>
      </w:r>
      <w:r w:rsidR="00D112F0">
        <w:rPr>
          <w:sz w:val="24"/>
          <w:szCs w:val="24"/>
        </w:rPr>
        <w:t>, as the 2018 registry data is not yet complete</w:t>
      </w:r>
      <w:r w:rsidR="0074602D">
        <w:rPr>
          <w:sz w:val="24"/>
          <w:szCs w:val="24"/>
        </w:rPr>
        <w:t xml:space="preserve">. Note that the composition of the 2017 database is unlikely to differ much from that of 2018 database. </w:t>
      </w:r>
    </w:p>
    <w:p w14:paraId="1BF5243B" w14:textId="77777777" w:rsidR="0074602D" w:rsidRDefault="0074602D" w:rsidP="00E12028">
      <w:pPr>
        <w:contextualSpacing/>
        <w:rPr>
          <w:sz w:val="24"/>
          <w:szCs w:val="24"/>
        </w:rPr>
      </w:pPr>
    </w:p>
    <w:p w14:paraId="408098F0" w14:textId="60386446" w:rsidR="00DE7BE4" w:rsidRDefault="00DE7BE4" w:rsidP="00E12028">
      <w:pPr>
        <w:contextualSpacing/>
        <w:rPr>
          <w:sz w:val="24"/>
          <w:szCs w:val="24"/>
        </w:rPr>
      </w:pPr>
      <w:r>
        <w:rPr>
          <w:sz w:val="24"/>
          <w:szCs w:val="24"/>
        </w:rPr>
        <w:t xml:space="preserve">Given their lower per-unit cost relative to mail surveys and feedback from </w:t>
      </w:r>
      <w:r w:rsidR="00CA0835">
        <w:rPr>
          <w:sz w:val="24"/>
          <w:szCs w:val="24"/>
        </w:rPr>
        <w:t>NARFS</w:t>
      </w:r>
      <w:r>
        <w:rPr>
          <w:sz w:val="24"/>
          <w:szCs w:val="24"/>
        </w:rPr>
        <w:t xml:space="preserve"> focus group </w:t>
      </w:r>
      <w:r w:rsidR="00660268">
        <w:rPr>
          <w:sz w:val="24"/>
          <w:szCs w:val="24"/>
        </w:rPr>
        <w:t>participants</w:t>
      </w:r>
      <w:r>
        <w:rPr>
          <w:sz w:val="24"/>
          <w:szCs w:val="24"/>
        </w:rPr>
        <w:t xml:space="preserve">, web surveys will account for about three quarters </w:t>
      </w:r>
      <w:r w:rsidR="00D112F0">
        <w:rPr>
          <w:sz w:val="24"/>
          <w:szCs w:val="24"/>
        </w:rPr>
        <w:t xml:space="preserve">of the </w:t>
      </w:r>
      <w:r>
        <w:rPr>
          <w:sz w:val="24"/>
          <w:szCs w:val="24"/>
        </w:rPr>
        <w:t>total number of surveys distributed.</w:t>
      </w:r>
    </w:p>
    <w:p w14:paraId="70DEE1A0" w14:textId="0E6DF4B5" w:rsidR="00834012" w:rsidRDefault="00834012" w:rsidP="00E12028">
      <w:pPr>
        <w:contextualSpacing/>
        <w:rPr>
          <w:sz w:val="24"/>
          <w:szCs w:val="24"/>
        </w:rPr>
      </w:pPr>
    </w:p>
    <w:p w14:paraId="3C992CE4" w14:textId="77777777" w:rsidR="006068E9" w:rsidRDefault="006068E9" w:rsidP="00F9028B">
      <w:pPr>
        <w:contextualSpacing/>
        <w:rPr>
          <w:sz w:val="24"/>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170"/>
        <w:gridCol w:w="1062"/>
        <w:gridCol w:w="1152"/>
        <w:gridCol w:w="1152"/>
        <w:gridCol w:w="1584"/>
      </w:tblGrid>
      <w:tr w:rsidR="007E0682" w:rsidRPr="00D37293" w14:paraId="5824056D" w14:textId="77777777" w:rsidTr="004168EE">
        <w:trPr>
          <w:trHeight w:val="360"/>
          <w:jc w:val="center"/>
        </w:trPr>
        <w:tc>
          <w:tcPr>
            <w:tcW w:w="7920" w:type="dxa"/>
            <w:gridSpan w:val="6"/>
            <w:tcBorders>
              <w:bottom w:val="single" w:sz="4" w:space="0" w:color="auto"/>
            </w:tcBorders>
            <w:vAlign w:val="center"/>
          </w:tcPr>
          <w:p w14:paraId="05D504C1" w14:textId="388E5DC3" w:rsidR="007E0682" w:rsidRPr="00D37293" w:rsidRDefault="007E0682" w:rsidP="00F9028B">
            <w:pPr>
              <w:tabs>
                <w:tab w:val="left" w:pos="720"/>
              </w:tabs>
              <w:contextualSpacing/>
              <w:rPr>
                <w:sz w:val="22"/>
                <w:szCs w:val="24"/>
              </w:rPr>
            </w:pPr>
            <w:r w:rsidRPr="00D37293">
              <w:rPr>
                <w:sz w:val="22"/>
                <w:szCs w:val="24"/>
              </w:rPr>
              <w:t xml:space="preserve">Table </w:t>
            </w:r>
            <w:r w:rsidR="00776E48">
              <w:rPr>
                <w:sz w:val="22"/>
                <w:szCs w:val="24"/>
              </w:rPr>
              <w:t>4</w:t>
            </w:r>
            <w:r w:rsidRPr="00D37293">
              <w:rPr>
                <w:sz w:val="22"/>
                <w:szCs w:val="24"/>
              </w:rPr>
              <w:t>. 2017 saltwater recreational fishing licensees by state</w:t>
            </w:r>
            <w:r w:rsidR="00B12896" w:rsidRPr="00D37293">
              <w:rPr>
                <w:sz w:val="22"/>
                <w:szCs w:val="24"/>
              </w:rPr>
              <w:t xml:space="preserve"> and contact information availability. </w:t>
            </w:r>
          </w:p>
        </w:tc>
      </w:tr>
      <w:tr w:rsidR="007E0682" w:rsidRPr="00D37293" w14:paraId="46DEB753" w14:textId="77777777" w:rsidTr="000D1B0B">
        <w:trPr>
          <w:trHeight w:val="576"/>
          <w:jc w:val="center"/>
        </w:trPr>
        <w:tc>
          <w:tcPr>
            <w:tcW w:w="1800" w:type="dxa"/>
            <w:tcBorders>
              <w:top w:val="single" w:sz="4" w:space="0" w:color="auto"/>
              <w:bottom w:val="single" w:sz="4" w:space="0" w:color="auto"/>
            </w:tcBorders>
            <w:vAlign w:val="center"/>
          </w:tcPr>
          <w:p w14:paraId="78F111F7" w14:textId="77777777" w:rsidR="007E0682" w:rsidRPr="00D37293" w:rsidRDefault="007E0682" w:rsidP="00F9028B">
            <w:pPr>
              <w:tabs>
                <w:tab w:val="left" w:pos="720"/>
              </w:tabs>
              <w:contextualSpacing/>
              <w:rPr>
                <w:sz w:val="22"/>
                <w:szCs w:val="24"/>
              </w:rPr>
            </w:pPr>
            <w:r w:rsidRPr="00D37293">
              <w:rPr>
                <w:sz w:val="22"/>
                <w:szCs w:val="24"/>
              </w:rPr>
              <w:t>State</w:t>
            </w:r>
          </w:p>
        </w:tc>
        <w:tc>
          <w:tcPr>
            <w:tcW w:w="1170" w:type="dxa"/>
            <w:tcBorders>
              <w:top w:val="single" w:sz="4" w:space="0" w:color="auto"/>
              <w:bottom w:val="single" w:sz="4" w:space="0" w:color="auto"/>
            </w:tcBorders>
            <w:vAlign w:val="center"/>
          </w:tcPr>
          <w:p w14:paraId="534B3C19" w14:textId="77777777" w:rsidR="007E0682" w:rsidRPr="00D37293" w:rsidRDefault="007E0682" w:rsidP="00F9028B">
            <w:pPr>
              <w:tabs>
                <w:tab w:val="left" w:pos="720"/>
              </w:tabs>
              <w:contextualSpacing/>
              <w:jc w:val="center"/>
              <w:rPr>
                <w:sz w:val="22"/>
                <w:szCs w:val="24"/>
              </w:rPr>
            </w:pPr>
            <w:r w:rsidRPr="00D37293">
              <w:rPr>
                <w:sz w:val="22"/>
                <w:szCs w:val="24"/>
              </w:rPr>
              <w:t>Total # of licensees</w:t>
            </w:r>
          </w:p>
        </w:tc>
        <w:tc>
          <w:tcPr>
            <w:tcW w:w="1062" w:type="dxa"/>
            <w:tcBorders>
              <w:top w:val="single" w:sz="4" w:space="0" w:color="auto"/>
              <w:bottom w:val="single" w:sz="4" w:space="0" w:color="auto"/>
            </w:tcBorders>
            <w:vAlign w:val="center"/>
          </w:tcPr>
          <w:p w14:paraId="084D5F3B" w14:textId="77777777" w:rsidR="007E0682" w:rsidRPr="00D37293" w:rsidRDefault="007E0682" w:rsidP="00F9028B">
            <w:pPr>
              <w:tabs>
                <w:tab w:val="left" w:pos="720"/>
              </w:tabs>
              <w:contextualSpacing/>
              <w:jc w:val="center"/>
              <w:rPr>
                <w:sz w:val="22"/>
                <w:szCs w:val="24"/>
              </w:rPr>
            </w:pPr>
            <w:r w:rsidRPr="00D37293">
              <w:rPr>
                <w:sz w:val="22"/>
                <w:szCs w:val="24"/>
              </w:rPr>
              <w:t>Phone number</w:t>
            </w:r>
          </w:p>
        </w:tc>
        <w:tc>
          <w:tcPr>
            <w:tcW w:w="1152" w:type="dxa"/>
            <w:tcBorders>
              <w:top w:val="single" w:sz="4" w:space="0" w:color="auto"/>
              <w:bottom w:val="single" w:sz="4" w:space="0" w:color="auto"/>
            </w:tcBorders>
            <w:vAlign w:val="center"/>
          </w:tcPr>
          <w:p w14:paraId="1B4B0D3D" w14:textId="77777777" w:rsidR="007E0682" w:rsidRPr="00D37293" w:rsidRDefault="007E0682" w:rsidP="00F9028B">
            <w:pPr>
              <w:tabs>
                <w:tab w:val="left" w:pos="720"/>
              </w:tabs>
              <w:contextualSpacing/>
              <w:jc w:val="center"/>
              <w:rPr>
                <w:sz w:val="22"/>
                <w:szCs w:val="24"/>
              </w:rPr>
            </w:pPr>
            <w:r w:rsidRPr="00D37293">
              <w:rPr>
                <w:sz w:val="22"/>
                <w:szCs w:val="24"/>
              </w:rPr>
              <w:t>Mailing address</w:t>
            </w:r>
          </w:p>
        </w:tc>
        <w:tc>
          <w:tcPr>
            <w:tcW w:w="1152" w:type="dxa"/>
            <w:tcBorders>
              <w:top w:val="single" w:sz="4" w:space="0" w:color="auto"/>
              <w:bottom w:val="single" w:sz="4" w:space="0" w:color="auto"/>
            </w:tcBorders>
            <w:vAlign w:val="center"/>
          </w:tcPr>
          <w:p w14:paraId="2947967B" w14:textId="77777777" w:rsidR="007E0682" w:rsidRPr="00D37293" w:rsidRDefault="007E0682" w:rsidP="00F9028B">
            <w:pPr>
              <w:tabs>
                <w:tab w:val="left" w:pos="720"/>
              </w:tabs>
              <w:contextualSpacing/>
              <w:jc w:val="center"/>
              <w:rPr>
                <w:sz w:val="22"/>
                <w:szCs w:val="24"/>
              </w:rPr>
            </w:pPr>
            <w:r w:rsidRPr="00D37293">
              <w:rPr>
                <w:sz w:val="22"/>
                <w:szCs w:val="24"/>
              </w:rPr>
              <w:t>Email address</w:t>
            </w:r>
          </w:p>
        </w:tc>
        <w:tc>
          <w:tcPr>
            <w:tcW w:w="1584" w:type="dxa"/>
            <w:tcBorders>
              <w:top w:val="single" w:sz="4" w:space="0" w:color="auto"/>
              <w:bottom w:val="single" w:sz="4" w:space="0" w:color="auto"/>
            </w:tcBorders>
            <w:vAlign w:val="center"/>
          </w:tcPr>
          <w:p w14:paraId="3A64C4CD" w14:textId="77777777" w:rsidR="007E0682" w:rsidRPr="00D37293" w:rsidRDefault="007E0682" w:rsidP="00F9028B">
            <w:pPr>
              <w:tabs>
                <w:tab w:val="left" w:pos="720"/>
              </w:tabs>
              <w:contextualSpacing/>
              <w:jc w:val="center"/>
              <w:rPr>
                <w:sz w:val="22"/>
                <w:szCs w:val="24"/>
              </w:rPr>
            </w:pPr>
            <w:r w:rsidRPr="00D37293">
              <w:rPr>
                <w:sz w:val="22"/>
                <w:szCs w:val="24"/>
              </w:rPr>
              <w:t>Mailing and email address</w:t>
            </w:r>
          </w:p>
        </w:tc>
      </w:tr>
      <w:tr w:rsidR="007E0682" w:rsidRPr="00D37293" w14:paraId="3D2A0959" w14:textId="77777777" w:rsidTr="000D1B0B">
        <w:trPr>
          <w:trHeight w:val="360"/>
          <w:jc w:val="center"/>
        </w:trPr>
        <w:tc>
          <w:tcPr>
            <w:tcW w:w="1800" w:type="dxa"/>
            <w:tcBorders>
              <w:top w:val="single" w:sz="4" w:space="0" w:color="auto"/>
            </w:tcBorders>
            <w:vAlign w:val="center"/>
          </w:tcPr>
          <w:p w14:paraId="692BD699" w14:textId="77777777" w:rsidR="007E0682" w:rsidRPr="00D37293" w:rsidRDefault="007E0682" w:rsidP="00F9028B">
            <w:pPr>
              <w:tabs>
                <w:tab w:val="left" w:pos="720"/>
              </w:tabs>
              <w:contextualSpacing/>
              <w:rPr>
                <w:sz w:val="22"/>
                <w:szCs w:val="24"/>
              </w:rPr>
            </w:pPr>
            <w:r w:rsidRPr="00D37293">
              <w:rPr>
                <w:sz w:val="22"/>
                <w:szCs w:val="24"/>
              </w:rPr>
              <w:t>Maine</w:t>
            </w:r>
          </w:p>
        </w:tc>
        <w:tc>
          <w:tcPr>
            <w:tcW w:w="1170" w:type="dxa"/>
            <w:tcBorders>
              <w:top w:val="single" w:sz="4" w:space="0" w:color="auto"/>
            </w:tcBorders>
            <w:vAlign w:val="center"/>
          </w:tcPr>
          <w:p w14:paraId="51D4978E" w14:textId="77777777" w:rsidR="007E0682" w:rsidRPr="00D37293" w:rsidRDefault="007E0682" w:rsidP="00F9028B">
            <w:pPr>
              <w:tabs>
                <w:tab w:val="left" w:pos="720"/>
              </w:tabs>
              <w:contextualSpacing/>
              <w:jc w:val="center"/>
              <w:rPr>
                <w:sz w:val="22"/>
                <w:szCs w:val="24"/>
              </w:rPr>
            </w:pPr>
            <w:r w:rsidRPr="00D37293">
              <w:rPr>
                <w:sz w:val="22"/>
                <w:szCs w:val="24"/>
              </w:rPr>
              <w:t>61,234</w:t>
            </w:r>
          </w:p>
        </w:tc>
        <w:tc>
          <w:tcPr>
            <w:tcW w:w="1062" w:type="dxa"/>
            <w:tcBorders>
              <w:top w:val="single" w:sz="4" w:space="0" w:color="auto"/>
            </w:tcBorders>
            <w:vAlign w:val="center"/>
          </w:tcPr>
          <w:p w14:paraId="63C6F29C" w14:textId="77777777" w:rsidR="007E0682" w:rsidRPr="00D37293" w:rsidRDefault="007E0682" w:rsidP="00F9028B">
            <w:pPr>
              <w:tabs>
                <w:tab w:val="left" w:pos="720"/>
              </w:tabs>
              <w:contextualSpacing/>
              <w:jc w:val="center"/>
              <w:rPr>
                <w:sz w:val="22"/>
                <w:szCs w:val="24"/>
              </w:rPr>
            </w:pPr>
            <w:r w:rsidRPr="00D37293">
              <w:rPr>
                <w:sz w:val="22"/>
                <w:szCs w:val="24"/>
              </w:rPr>
              <w:t>60,752</w:t>
            </w:r>
          </w:p>
        </w:tc>
        <w:tc>
          <w:tcPr>
            <w:tcW w:w="1152" w:type="dxa"/>
            <w:tcBorders>
              <w:top w:val="single" w:sz="4" w:space="0" w:color="auto"/>
            </w:tcBorders>
            <w:vAlign w:val="center"/>
          </w:tcPr>
          <w:p w14:paraId="62562436" w14:textId="77777777" w:rsidR="007E0682" w:rsidRPr="00D37293" w:rsidRDefault="007E0682" w:rsidP="00F9028B">
            <w:pPr>
              <w:tabs>
                <w:tab w:val="left" w:pos="720"/>
              </w:tabs>
              <w:contextualSpacing/>
              <w:jc w:val="center"/>
              <w:rPr>
                <w:sz w:val="22"/>
                <w:szCs w:val="24"/>
              </w:rPr>
            </w:pPr>
            <w:r w:rsidRPr="00D37293">
              <w:rPr>
                <w:sz w:val="22"/>
                <w:szCs w:val="24"/>
              </w:rPr>
              <w:t>61,234</w:t>
            </w:r>
          </w:p>
        </w:tc>
        <w:tc>
          <w:tcPr>
            <w:tcW w:w="1152" w:type="dxa"/>
            <w:tcBorders>
              <w:top w:val="single" w:sz="4" w:space="0" w:color="auto"/>
            </w:tcBorders>
            <w:vAlign w:val="center"/>
          </w:tcPr>
          <w:p w14:paraId="1DB807C8" w14:textId="77777777" w:rsidR="007E0682" w:rsidRPr="00D37293" w:rsidRDefault="007E0682" w:rsidP="00F9028B">
            <w:pPr>
              <w:tabs>
                <w:tab w:val="left" w:pos="720"/>
              </w:tabs>
              <w:contextualSpacing/>
              <w:jc w:val="center"/>
              <w:rPr>
                <w:sz w:val="22"/>
                <w:szCs w:val="24"/>
              </w:rPr>
            </w:pPr>
            <w:r w:rsidRPr="00D37293">
              <w:rPr>
                <w:sz w:val="22"/>
                <w:szCs w:val="24"/>
              </w:rPr>
              <w:t>36,256</w:t>
            </w:r>
          </w:p>
        </w:tc>
        <w:tc>
          <w:tcPr>
            <w:tcW w:w="1584" w:type="dxa"/>
            <w:tcBorders>
              <w:top w:val="single" w:sz="4" w:space="0" w:color="auto"/>
            </w:tcBorders>
            <w:vAlign w:val="center"/>
          </w:tcPr>
          <w:p w14:paraId="380F472B" w14:textId="77777777" w:rsidR="007E0682" w:rsidRPr="00D37293" w:rsidRDefault="007E0682" w:rsidP="00F9028B">
            <w:pPr>
              <w:tabs>
                <w:tab w:val="left" w:pos="720"/>
              </w:tabs>
              <w:contextualSpacing/>
              <w:jc w:val="center"/>
              <w:rPr>
                <w:sz w:val="22"/>
                <w:szCs w:val="24"/>
              </w:rPr>
            </w:pPr>
            <w:r w:rsidRPr="00D37293">
              <w:rPr>
                <w:sz w:val="22"/>
                <w:szCs w:val="24"/>
              </w:rPr>
              <w:t>36,256</w:t>
            </w:r>
          </w:p>
        </w:tc>
      </w:tr>
      <w:tr w:rsidR="007E0682" w:rsidRPr="00D37293" w14:paraId="2C9B398B" w14:textId="77777777" w:rsidTr="000D1B0B">
        <w:trPr>
          <w:trHeight w:val="360"/>
          <w:jc w:val="center"/>
        </w:trPr>
        <w:tc>
          <w:tcPr>
            <w:tcW w:w="1800" w:type="dxa"/>
            <w:vAlign w:val="center"/>
          </w:tcPr>
          <w:p w14:paraId="10B5752D" w14:textId="77777777" w:rsidR="007E0682" w:rsidRPr="00D37293" w:rsidRDefault="007E0682" w:rsidP="00F9028B">
            <w:pPr>
              <w:tabs>
                <w:tab w:val="left" w:pos="720"/>
              </w:tabs>
              <w:contextualSpacing/>
              <w:rPr>
                <w:sz w:val="22"/>
                <w:szCs w:val="24"/>
              </w:rPr>
            </w:pPr>
            <w:r w:rsidRPr="00D37293">
              <w:rPr>
                <w:sz w:val="22"/>
                <w:szCs w:val="24"/>
              </w:rPr>
              <w:t>New Hampshire</w:t>
            </w:r>
          </w:p>
        </w:tc>
        <w:tc>
          <w:tcPr>
            <w:tcW w:w="1170" w:type="dxa"/>
            <w:vAlign w:val="center"/>
          </w:tcPr>
          <w:p w14:paraId="1C5CEAA9" w14:textId="77777777" w:rsidR="007E0682" w:rsidRPr="00D37293" w:rsidRDefault="007E0682" w:rsidP="00F9028B">
            <w:pPr>
              <w:tabs>
                <w:tab w:val="left" w:pos="720"/>
              </w:tabs>
              <w:contextualSpacing/>
              <w:jc w:val="center"/>
              <w:rPr>
                <w:sz w:val="22"/>
                <w:szCs w:val="24"/>
              </w:rPr>
            </w:pPr>
            <w:r w:rsidRPr="00D37293">
              <w:rPr>
                <w:sz w:val="22"/>
                <w:szCs w:val="24"/>
              </w:rPr>
              <w:t>30,348</w:t>
            </w:r>
          </w:p>
        </w:tc>
        <w:tc>
          <w:tcPr>
            <w:tcW w:w="1062" w:type="dxa"/>
            <w:vAlign w:val="center"/>
          </w:tcPr>
          <w:p w14:paraId="33A3086C" w14:textId="77777777" w:rsidR="007E0682" w:rsidRPr="00D37293" w:rsidRDefault="007E0682" w:rsidP="00F9028B">
            <w:pPr>
              <w:tabs>
                <w:tab w:val="left" w:pos="720"/>
              </w:tabs>
              <w:contextualSpacing/>
              <w:jc w:val="center"/>
              <w:rPr>
                <w:sz w:val="22"/>
                <w:szCs w:val="24"/>
              </w:rPr>
            </w:pPr>
            <w:r w:rsidRPr="00D37293">
              <w:rPr>
                <w:sz w:val="22"/>
                <w:szCs w:val="24"/>
              </w:rPr>
              <w:t>29,805</w:t>
            </w:r>
          </w:p>
        </w:tc>
        <w:tc>
          <w:tcPr>
            <w:tcW w:w="1152" w:type="dxa"/>
            <w:vAlign w:val="center"/>
          </w:tcPr>
          <w:p w14:paraId="1086E576" w14:textId="77777777" w:rsidR="007E0682" w:rsidRPr="00D37293" w:rsidRDefault="007E0682" w:rsidP="00F9028B">
            <w:pPr>
              <w:tabs>
                <w:tab w:val="left" w:pos="720"/>
              </w:tabs>
              <w:contextualSpacing/>
              <w:jc w:val="center"/>
              <w:rPr>
                <w:sz w:val="22"/>
                <w:szCs w:val="24"/>
              </w:rPr>
            </w:pPr>
            <w:r w:rsidRPr="00D37293">
              <w:rPr>
                <w:sz w:val="22"/>
                <w:szCs w:val="24"/>
              </w:rPr>
              <w:t>30,348</w:t>
            </w:r>
          </w:p>
        </w:tc>
        <w:tc>
          <w:tcPr>
            <w:tcW w:w="1152" w:type="dxa"/>
            <w:vAlign w:val="center"/>
          </w:tcPr>
          <w:p w14:paraId="221DAB9F" w14:textId="77777777" w:rsidR="007E0682" w:rsidRPr="00D37293" w:rsidRDefault="007E0682" w:rsidP="00F9028B">
            <w:pPr>
              <w:tabs>
                <w:tab w:val="left" w:pos="720"/>
              </w:tabs>
              <w:contextualSpacing/>
              <w:jc w:val="center"/>
              <w:rPr>
                <w:sz w:val="22"/>
                <w:szCs w:val="24"/>
              </w:rPr>
            </w:pPr>
            <w:r w:rsidRPr="00D37293">
              <w:rPr>
                <w:sz w:val="22"/>
                <w:szCs w:val="24"/>
              </w:rPr>
              <w:t>4,648</w:t>
            </w:r>
          </w:p>
        </w:tc>
        <w:tc>
          <w:tcPr>
            <w:tcW w:w="1584" w:type="dxa"/>
            <w:vAlign w:val="center"/>
          </w:tcPr>
          <w:p w14:paraId="674DBEBD" w14:textId="77777777" w:rsidR="007E0682" w:rsidRPr="00D37293" w:rsidRDefault="007E0682" w:rsidP="00F9028B">
            <w:pPr>
              <w:tabs>
                <w:tab w:val="left" w:pos="720"/>
              </w:tabs>
              <w:contextualSpacing/>
              <w:jc w:val="center"/>
              <w:rPr>
                <w:sz w:val="22"/>
                <w:szCs w:val="24"/>
              </w:rPr>
            </w:pPr>
            <w:r w:rsidRPr="00D37293">
              <w:rPr>
                <w:sz w:val="22"/>
                <w:szCs w:val="24"/>
              </w:rPr>
              <w:t>4,648</w:t>
            </w:r>
          </w:p>
        </w:tc>
      </w:tr>
      <w:tr w:rsidR="007E0682" w:rsidRPr="00D37293" w14:paraId="370250AE" w14:textId="77777777" w:rsidTr="000D1B0B">
        <w:trPr>
          <w:trHeight w:val="360"/>
          <w:jc w:val="center"/>
        </w:trPr>
        <w:tc>
          <w:tcPr>
            <w:tcW w:w="1800" w:type="dxa"/>
            <w:tcBorders>
              <w:bottom w:val="single" w:sz="4" w:space="0" w:color="auto"/>
            </w:tcBorders>
            <w:vAlign w:val="center"/>
          </w:tcPr>
          <w:p w14:paraId="59FB5E04" w14:textId="77777777" w:rsidR="007E0682" w:rsidRPr="00D37293" w:rsidRDefault="007E0682" w:rsidP="00F9028B">
            <w:pPr>
              <w:tabs>
                <w:tab w:val="left" w:pos="720"/>
              </w:tabs>
              <w:contextualSpacing/>
              <w:rPr>
                <w:sz w:val="22"/>
                <w:szCs w:val="24"/>
              </w:rPr>
            </w:pPr>
            <w:r w:rsidRPr="00D37293">
              <w:rPr>
                <w:sz w:val="22"/>
                <w:szCs w:val="24"/>
              </w:rPr>
              <w:t>Massachusetts</w:t>
            </w:r>
          </w:p>
        </w:tc>
        <w:tc>
          <w:tcPr>
            <w:tcW w:w="1170" w:type="dxa"/>
            <w:tcBorders>
              <w:bottom w:val="single" w:sz="4" w:space="0" w:color="auto"/>
            </w:tcBorders>
            <w:vAlign w:val="center"/>
          </w:tcPr>
          <w:p w14:paraId="1B529519" w14:textId="77777777" w:rsidR="007E0682" w:rsidRPr="00D37293" w:rsidRDefault="007E0682" w:rsidP="00F9028B">
            <w:pPr>
              <w:tabs>
                <w:tab w:val="left" w:pos="720"/>
              </w:tabs>
              <w:contextualSpacing/>
              <w:jc w:val="center"/>
              <w:rPr>
                <w:sz w:val="22"/>
                <w:szCs w:val="24"/>
              </w:rPr>
            </w:pPr>
            <w:r w:rsidRPr="00D37293">
              <w:rPr>
                <w:sz w:val="22"/>
                <w:szCs w:val="24"/>
              </w:rPr>
              <w:t>165,241</w:t>
            </w:r>
          </w:p>
        </w:tc>
        <w:tc>
          <w:tcPr>
            <w:tcW w:w="1062" w:type="dxa"/>
            <w:tcBorders>
              <w:bottom w:val="single" w:sz="4" w:space="0" w:color="auto"/>
            </w:tcBorders>
            <w:vAlign w:val="center"/>
          </w:tcPr>
          <w:p w14:paraId="4A2EAB29" w14:textId="77777777" w:rsidR="007E0682" w:rsidRPr="00D37293" w:rsidRDefault="007E0682" w:rsidP="00F9028B">
            <w:pPr>
              <w:tabs>
                <w:tab w:val="left" w:pos="720"/>
              </w:tabs>
              <w:contextualSpacing/>
              <w:jc w:val="center"/>
              <w:rPr>
                <w:sz w:val="22"/>
                <w:szCs w:val="24"/>
              </w:rPr>
            </w:pPr>
            <w:r w:rsidRPr="00D37293">
              <w:rPr>
                <w:sz w:val="22"/>
                <w:szCs w:val="24"/>
              </w:rPr>
              <w:t>162,373</w:t>
            </w:r>
          </w:p>
        </w:tc>
        <w:tc>
          <w:tcPr>
            <w:tcW w:w="1152" w:type="dxa"/>
            <w:tcBorders>
              <w:bottom w:val="single" w:sz="4" w:space="0" w:color="auto"/>
            </w:tcBorders>
            <w:vAlign w:val="center"/>
          </w:tcPr>
          <w:p w14:paraId="7B691DE1" w14:textId="77777777" w:rsidR="007E0682" w:rsidRPr="00D37293" w:rsidRDefault="007E0682" w:rsidP="00F9028B">
            <w:pPr>
              <w:tabs>
                <w:tab w:val="left" w:pos="720"/>
              </w:tabs>
              <w:contextualSpacing/>
              <w:jc w:val="center"/>
              <w:rPr>
                <w:sz w:val="22"/>
                <w:szCs w:val="24"/>
              </w:rPr>
            </w:pPr>
            <w:r w:rsidRPr="00D37293">
              <w:rPr>
                <w:sz w:val="22"/>
                <w:szCs w:val="24"/>
              </w:rPr>
              <w:t>165,241</w:t>
            </w:r>
          </w:p>
        </w:tc>
        <w:tc>
          <w:tcPr>
            <w:tcW w:w="1152" w:type="dxa"/>
            <w:tcBorders>
              <w:bottom w:val="single" w:sz="4" w:space="0" w:color="auto"/>
            </w:tcBorders>
            <w:vAlign w:val="center"/>
          </w:tcPr>
          <w:p w14:paraId="0AAC46B7" w14:textId="77777777" w:rsidR="007E0682" w:rsidRPr="00D37293" w:rsidRDefault="007E0682" w:rsidP="00F9028B">
            <w:pPr>
              <w:tabs>
                <w:tab w:val="left" w:pos="720"/>
              </w:tabs>
              <w:contextualSpacing/>
              <w:jc w:val="center"/>
              <w:rPr>
                <w:sz w:val="22"/>
                <w:szCs w:val="24"/>
              </w:rPr>
            </w:pPr>
            <w:r w:rsidRPr="00D37293">
              <w:rPr>
                <w:sz w:val="22"/>
                <w:szCs w:val="24"/>
              </w:rPr>
              <w:t>95,678</w:t>
            </w:r>
          </w:p>
        </w:tc>
        <w:tc>
          <w:tcPr>
            <w:tcW w:w="1584" w:type="dxa"/>
            <w:tcBorders>
              <w:bottom w:val="single" w:sz="4" w:space="0" w:color="auto"/>
            </w:tcBorders>
            <w:vAlign w:val="center"/>
          </w:tcPr>
          <w:p w14:paraId="0E218545" w14:textId="77777777" w:rsidR="007E0682" w:rsidRPr="00D37293" w:rsidRDefault="007E0682" w:rsidP="00F9028B">
            <w:pPr>
              <w:tabs>
                <w:tab w:val="left" w:pos="720"/>
              </w:tabs>
              <w:contextualSpacing/>
              <w:jc w:val="center"/>
              <w:rPr>
                <w:sz w:val="22"/>
                <w:szCs w:val="24"/>
              </w:rPr>
            </w:pPr>
            <w:r w:rsidRPr="00D37293">
              <w:rPr>
                <w:sz w:val="22"/>
                <w:szCs w:val="24"/>
              </w:rPr>
              <w:t>95,678</w:t>
            </w:r>
          </w:p>
        </w:tc>
      </w:tr>
    </w:tbl>
    <w:p w14:paraId="260AC880" w14:textId="3B99588E"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73F42D65" w14:textId="77777777" w:rsidR="006068E9" w:rsidRPr="00C93614" w:rsidRDefault="006068E9"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E855F65" w14:textId="37315E4F" w:rsidR="00C93614" w:rsidRP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As discussed in </w:t>
      </w:r>
      <w:r w:rsidR="007E0682">
        <w:rPr>
          <w:sz w:val="24"/>
          <w:szCs w:val="24"/>
        </w:rPr>
        <w:t xml:space="preserve">our response to question </w:t>
      </w:r>
      <w:r w:rsidRPr="00C93614">
        <w:rPr>
          <w:sz w:val="24"/>
          <w:szCs w:val="24"/>
        </w:rPr>
        <w:t xml:space="preserve">A1, the </w:t>
      </w:r>
      <w:r w:rsidR="00CA0835">
        <w:rPr>
          <w:sz w:val="24"/>
          <w:szCs w:val="24"/>
        </w:rPr>
        <w:t>NARFS</w:t>
      </w:r>
      <w:r w:rsidRPr="00C93614">
        <w:rPr>
          <w:sz w:val="24"/>
          <w:szCs w:val="24"/>
        </w:rPr>
        <w:t xml:space="preserve"> is comparable to a survey that was conducted in 2014. The two differ </w:t>
      </w:r>
      <w:r w:rsidR="00D112F0">
        <w:rPr>
          <w:sz w:val="24"/>
          <w:szCs w:val="24"/>
        </w:rPr>
        <w:t xml:space="preserve">somewhat </w:t>
      </w:r>
      <w:r w:rsidRPr="00C93614">
        <w:rPr>
          <w:sz w:val="24"/>
          <w:szCs w:val="24"/>
        </w:rPr>
        <w:t xml:space="preserve">in sampling methodology and scope, but </w:t>
      </w:r>
      <w:r w:rsidR="00BC1596">
        <w:rPr>
          <w:sz w:val="24"/>
          <w:szCs w:val="24"/>
        </w:rPr>
        <w:t xml:space="preserve">the </w:t>
      </w:r>
      <w:r w:rsidRPr="00C93614">
        <w:rPr>
          <w:sz w:val="24"/>
          <w:szCs w:val="24"/>
        </w:rPr>
        <w:t xml:space="preserve">response and eligibility rate from the 2014 survey provides the basis for those expected of the </w:t>
      </w:r>
      <w:r w:rsidR="00CA0835">
        <w:rPr>
          <w:sz w:val="24"/>
          <w:szCs w:val="24"/>
        </w:rPr>
        <w:t>NARFS</w:t>
      </w:r>
      <w:r w:rsidRPr="00C93614">
        <w:rPr>
          <w:sz w:val="24"/>
          <w:szCs w:val="24"/>
        </w:rPr>
        <w:t xml:space="preserve">. </w:t>
      </w:r>
    </w:p>
    <w:p w14:paraId="7FA9B5FF" w14:textId="77777777" w:rsidR="00E12028" w:rsidRDefault="00E12028"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1DA98A3F" w14:textId="48AFD8C2"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In terms of sampling methodology, the 2014 survey was conducted as mail follow-up to NOAA Fisheries’ Marine Recreational Information Program (MRIP) Access Point Angler Intercept Survey (APAIS). The sample frame for </w:t>
      </w:r>
      <w:r w:rsidR="00F94B07" w:rsidRPr="00C93614">
        <w:rPr>
          <w:sz w:val="24"/>
          <w:szCs w:val="24"/>
        </w:rPr>
        <w:t xml:space="preserve">the 2014 </w:t>
      </w:r>
      <w:r w:rsidRPr="00C93614">
        <w:rPr>
          <w:sz w:val="24"/>
          <w:szCs w:val="24"/>
        </w:rPr>
        <w:t xml:space="preserve">survey consisted of 1,890 anglers who were interviewed for the MRIP APAIS in private boat or party/charter fishing modes in Maine, New Hampshire, and Massachusetts. These anglers were willing to participate in the follow-up survey and subsequently received one in the mail. As displayed in Table </w:t>
      </w:r>
      <w:r w:rsidR="00776E48">
        <w:rPr>
          <w:sz w:val="24"/>
          <w:szCs w:val="24"/>
        </w:rPr>
        <w:t>5</w:t>
      </w:r>
      <w:r w:rsidRPr="00C93614">
        <w:rPr>
          <w:sz w:val="24"/>
          <w:szCs w:val="24"/>
        </w:rPr>
        <w:t xml:space="preserve">, the raw response rate for the 2014 survey was 29.3%. In contrast to the 2014 survey, the </w:t>
      </w:r>
      <w:r w:rsidR="00CA0835">
        <w:rPr>
          <w:sz w:val="24"/>
          <w:szCs w:val="24"/>
        </w:rPr>
        <w:t>NARFS</w:t>
      </w:r>
      <w:r w:rsidRPr="00C93614">
        <w:rPr>
          <w:sz w:val="24"/>
          <w:szCs w:val="24"/>
        </w:rPr>
        <w:t xml:space="preserve"> sampling methodology </w:t>
      </w:r>
      <w:r w:rsidRPr="00C93614">
        <w:rPr>
          <w:sz w:val="24"/>
          <w:szCs w:val="24"/>
        </w:rPr>
        <w:lastRenderedPageBreak/>
        <w:t xml:space="preserve">involves sending mail and email invitations containing a web link to participate to a list of potential respondents drawn at random from state license/registration databases. </w:t>
      </w:r>
    </w:p>
    <w:p w14:paraId="494CBF4B" w14:textId="267B9AF1" w:rsidR="00696957" w:rsidRDefault="00696957"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27B4D154" w14:textId="77777777" w:rsidR="00E12028" w:rsidRPr="00C93614" w:rsidRDefault="00E12028"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bl>
      <w:tblPr>
        <w:tblStyle w:val="TableGrid"/>
        <w:tblW w:w="30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2397"/>
      </w:tblGrid>
      <w:tr w:rsidR="00C93614" w:rsidRPr="00D37293" w14:paraId="32DD727F" w14:textId="77777777" w:rsidTr="00C93614">
        <w:trPr>
          <w:trHeight w:val="360"/>
          <w:jc w:val="center"/>
        </w:trPr>
        <w:tc>
          <w:tcPr>
            <w:tcW w:w="5000" w:type="pct"/>
            <w:gridSpan w:val="2"/>
            <w:vAlign w:val="center"/>
          </w:tcPr>
          <w:p w14:paraId="2AD7C641" w14:textId="1D1B58EE"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 xml:space="preserve">Table </w:t>
            </w:r>
            <w:r w:rsidR="00776E48">
              <w:rPr>
                <w:sz w:val="22"/>
                <w:szCs w:val="22"/>
              </w:rPr>
              <w:t>5</w:t>
            </w:r>
            <w:r w:rsidRPr="00D37293">
              <w:rPr>
                <w:sz w:val="22"/>
                <w:szCs w:val="22"/>
              </w:rPr>
              <w:t>. Survey response rates, 2014 survey</w:t>
            </w:r>
          </w:p>
        </w:tc>
      </w:tr>
      <w:tr w:rsidR="00C93614" w:rsidRPr="00D37293" w14:paraId="10F43392" w14:textId="77777777" w:rsidTr="00C93614">
        <w:trPr>
          <w:trHeight w:val="360"/>
          <w:jc w:val="center"/>
        </w:trPr>
        <w:tc>
          <w:tcPr>
            <w:tcW w:w="2967" w:type="pct"/>
            <w:tcBorders>
              <w:top w:val="single" w:sz="4" w:space="0" w:color="auto"/>
              <w:bottom w:val="single" w:sz="4" w:space="0" w:color="auto"/>
            </w:tcBorders>
            <w:vAlign w:val="center"/>
          </w:tcPr>
          <w:p w14:paraId="747E4587"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Disposition</w:t>
            </w:r>
          </w:p>
        </w:tc>
        <w:tc>
          <w:tcPr>
            <w:tcW w:w="2033" w:type="pct"/>
            <w:tcBorders>
              <w:top w:val="single" w:sz="4" w:space="0" w:color="auto"/>
              <w:bottom w:val="single" w:sz="4" w:space="0" w:color="auto"/>
            </w:tcBorders>
            <w:vAlign w:val="center"/>
          </w:tcPr>
          <w:p w14:paraId="2B3E529E"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Number of surveys</w:t>
            </w:r>
          </w:p>
        </w:tc>
      </w:tr>
      <w:tr w:rsidR="00C93614" w:rsidRPr="00D37293" w14:paraId="41A5697F" w14:textId="77777777" w:rsidTr="00C93614">
        <w:trPr>
          <w:trHeight w:val="288"/>
          <w:jc w:val="center"/>
        </w:trPr>
        <w:tc>
          <w:tcPr>
            <w:tcW w:w="2967" w:type="pct"/>
            <w:tcBorders>
              <w:top w:val="single" w:sz="4" w:space="0" w:color="auto"/>
            </w:tcBorders>
            <w:vAlign w:val="center"/>
          </w:tcPr>
          <w:p w14:paraId="036B160D"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Ineligible</w:t>
            </w:r>
            <w:r w:rsidRPr="00D37293">
              <w:rPr>
                <w:sz w:val="22"/>
                <w:szCs w:val="22"/>
                <w:vertAlign w:val="superscript"/>
              </w:rPr>
              <w:t>†</w:t>
            </w:r>
          </w:p>
        </w:tc>
        <w:tc>
          <w:tcPr>
            <w:tcW w:w="2033" w:type="pct"/>
            <w:tcBorders>
              <w:top w:val="single" w:sz="4" w:space="0" w:color="auto"/>
            </w:tcBorders>
            <w:vAlign w:val="center"/>
          </w:tcPr>
          <w:p w14:paraId="3E399211"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Calibri"/>
                <w:color w:val="000000"/>
                <w:sz w:val="22"/>
                <w:szCs w:val="22"/>
              </w:rPr>
            </w:pPr>
            <w:r w:rsidRPr="00D37293">
              <w:rPr>
                <w:rFonts w:eastAsia="Calibri"/>
                <w:color w:val="000000"/>
                <w:sz w:val="22"/>
                <w:szCs w:val="22"/>
              </w:rPr>
              <w:t>35 (1.9%)</w:t>
            </w:r>
          </w:p>
        </w:tc>
      </w:tr>
      <w:tr w:rsidR="00C93614" w:rsidRPr="00D37293" w14:paraId="42484A0A" w14:textId="77777777" w:rsidTr="00C93614">
        <w:trPr>
          <w:trHeight w:val="288"/>
          <w:jc w:val="center"/>
        </w:trPr>
        <w:tc>
          <w:tcPr>
            <w:tcW w:w="2967" w:type="pct"/>
            <w:vAlign w:val="center"/>
          </w:tcPr>
          <w:p w14:paraId="01CD0661" w14:textId="0E7BF42F"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 xml:space="preserve">Mail returned </w:t>
            </w:r>
            <w:r w:rsidR="00297BE2">
              <w:rPr>
                <w:sz w:val="22"/>
                <w:szCs w:val="22"/>
              </w:rPr>
              <w:t xml:space="preserve">as </w:t>
            </w:r>
            <w:r w:rsidRPr="00D37293">
              <w:rPr>
                <w:sz w:val="22"/>
                <w:szCs w:val="22"/>
              </w:rPr>
              <w:t>undeliverable</w:t>
            </w:r>
          </w:p>
        </w:tc>
        <w:tc>
          <w:tcPr>
            <w:tcW w:w="2033" w:type="pct"/>
            <w:vAlign w:val="center"/>
          </w:tcPr>
          <w:p w14:paraId="317A7787"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color w:val="000000"/>
                <w:sz w:val="22"/>
                <w:szCs w:val="22"/>
              </w:rPr>
              <w:t>232 (12.3%)</w:t>
            </w:r>
          </w:p>
        </w:tc>
      </w:tr>
      <w:tr w:rsidR="00C93614" w:rsidRPr="00D37293" w14:paraId="4C75E7A2" w14:textId="77777777" w:rsidTr="00C93614">
        <w:trPr>
          <w:trHeight w:val="288"/>
          <w:jc w:val="center"/>
        </w:trPr>
        <w:tc>
          <w:tcPr>
            <w:tcW w:w="2967" w:type="pct"/>
            <w:vAlign w:val="center"/>
          </w:tcPr>
          <w:p w14:paraId="6A4D43DD"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No response</w:t>
            </w:r>
          </w:p>
        </w:tc>
        <w:tc>
          <w:tcPr>
            <w:tcW w:w="2033" w:type="pct"/>
            <w:vAlign w:val="center"/>
          </w:tcPr>
          <w:p w14:paraId="31315425"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1063 (56.2%)</w:t>
            </w:r>
          </w:p>
        </w:tc>
      </w:tr>
      <w:tr w:rsidR="00C93614" w:rsidRPr="00D37293" w14:paraId="5084258B" w14:textId="77777777" w:rsidTr="00C93614">
        <w:trPr>
          <w:trHeight w:val="288"/>
          <w:jc w:val="center"/>
        </w:trPr>
        <w:tc>
          <w:tcPr>
            <w:tcW w:w="2967" w:type="pct"/>
            <w:vAlign w:val="center"/>
          </w:tcPr>
          <w:p w14:paraId="624403AC"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Refusal</w:t>
            </w:r>
          </w:p>
        </w:tc>
        <w:tc>
          <w:tcPr>
            <w:tcW w:w="2033" w:type="pct"/>
            <w:vAlign w:val="center"/>
          </w:tcPr>
          <w:p w14:paraId="664DC4CF" w14:textId="77777777" w:rsidR="00C93614" w:rsidRPr="00D37293" w:rsidRDefault="00C93614" w:rsidP="00297BE2">
            <w:pPr>
              <w:tabs>
                <w:tab w:val="left" w:pos="0"/>
                <w:tab w:val="left" w:pos="885"/>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Calibri"/>
                <w:color w:val="000000"/>
                <w:sz w:val="22"/>
                <w:szCs w:val="22"/>
              </w:rPr>
            </w:pPr>
            <w:r w:rsidRPr="00D37293">
              <w:rPr>
                <w:sz w:val="22"/>
                <w:szCs w:val="22"/>
              </w:rPr>
              <w:t>6 (0.3%)</w:t>
            </w:r>
          </w:p>
        </w:tc>
      </w:tr>
      <w:tr w:rsidR="00C93614" w:rsidRPr="00D37293" w14:paraId="6F80CCE0" w14:textId="77777777" w:rsidTr="00C93614">
        <w:trPr>
          <w:trHeight w:val="288"/>
          <w:jc w:val="center"/>
        </w:trPr>
        <w:tc>
          <w:tcPr>
            <w:tcW w:w="2967" w:type="pct"/>
            <w:tcBorders>
              <w:bottom w:val="single" w:sz="4" w:space="0" w:color="auto"/>
            </w:tcBorders>
            <w:vAlign w:val="center"/>
          </w:tcPr>
          <w:p w14:paraId="78A1385C"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Completed</w:t>
            </w:r>
          </w:p>
        </w:tc>
        <w:tc>
          <w:tcPr>
            <w:tcW w:w="2033" w:type="pct"/>
            <w:tcBorders>
              <w:bottom w:val="single" w:sz="4" w:space="0" w:color="auto"/>
            </w:tcBorders>
            <w:vAlign w:val="center"/>
          </w:tcPr>
          <w:p w14:paraId="5BFC0CB8"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Calibri"/>
                <w:color w:val="000000"/>
                <w:sz w:val="22"/>
                <w:szCs w:val="22"/>
              </w:rPr>
            </w:pPr>
            <w:r w:rsidRPr="00D37293">
              <w:rPr>
                <w:sz w:val="22"/>
                <w:szCs w:val="22"/>
              </w:rPr>
              <w:t>554 (29.3%)</w:t>
            </w:r>
          </w:p>
        </w:tc>
      </w:tr>
      <w:tr w:rsidR="00C93614" w:rsidRPr="00D37293" w14:paraId="756E2A1D" w14:textId="77777777" w:rsidTr="00C93614">
        <w:trPr>
          <w:trHeight w:val="360"/>
          <w:jc w:val="center"/>
        </w:trPr>
        <w:tc>
          <w:tcPr>
            <w:tcW w:w="2967" w:type="pct"/>
            <w:tcBorders>
              <w:top w:val="single" w:sz="4" w:space="0" w:color="auto"/>
              <w:bottom w:val="single" w:sz="4" w:space="0" w:color="auto"/>
            </w:tcBorders>
            <w:vAlign w:val="center"/>
          </w:tcPr>
          <w:p w14:paraId="3B40AC01"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 xml:space="preserve">Total </w:t>
            </w:r>
          </w:p>
        </w:tc>
        <w:tc>
          <w:tcPr>
            <w:tcW w:w="2033" w:type="pct"/>
            <w:tcBorders>
              <w:top w:val="single" w:sz="4" w:space="0" w:color="auto"/>
              <w:bottom w:val="single" w:sz="4" w:space="0" w:color="auto"/>
            </w:tcBorders>
            <w:vAlign w:val="center"/>
          </w:tcPr>
          <w:p w14:paraId="3B137B4E"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rFonts w:eastAsia="Calibri"/>
                <w:color w:val="000000"/>
                <w:sz w:val="22"/>
                <w:szCs w:val="22"/>
              </w:rPr>
              <w:t>1,890 (100%)</w:t>
            </w:r>
          </w:p>
        </w:tc>
      </w:tr>
      <w:tr w:rsidR="00C93614" w:rsidRPr="00D37293" w14:paraId="5DDF8642" w14:textId="77777777" w:rsidTr="00EF6E38">
        <w:trPr>
          <w:trHeight w:val="530"/>
          <w:jc w:val="center"/>
        </w:trPr>
        <w:tc>
          <w:tcPr>
            <w:tcW w:w="5000" w:type="pct"/>
            <w:gridSpan w:val="2"/>
            <w:tcBorders>
              <w:top w:val="single" w:sz="4" w:space="0" w:color="auto"/>
            </w:tcBorders>
          </w:tcPr>
          <w:p w14:paraId="1E527F04"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vertAlign w:val="superscript"/>
              </w:rPr>
              <w:t>†</w:t>
            </w:r>
            <w:r w:rsidRPr="00D37293">
              <w:rPr>
                <w:sz w:val="22"/>
                <w:szCs w:val="22"/>
              </w:rPr>
              <w:t>Eligibility criteria defined as having fished for cod, haddock, or pollock in the past 5 years.</w:t>
            </w:r>
          </w:p>
        </w:tc>
      </w:tr>
    </w:tbl>
    <w:p w14:paraId="4D0098DD" w14:textId="77777777" w:rsidR="00227793" w:rsidRDefault="00227793"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0F34532" w14:textId="77777777" w:rsidR="00C7479A" w:rsidRDefault="00C7479A"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66F682A" w14:textId="3D2F5CC1"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In terms of scope, the 2014 survey defined eligibility as having fished for cod, haddock, or pollock in the past five years, while the </w:t>
      </w:r>
      <w:r w:rsidR="00CA0835">
        <w:rPr>
          <w:sz w:val="24"/>
          <w:szCs w:val="24"/>
        </w:rPr>
        <w:t>NARFS</w:t>
      </w:r>
      <w:r w:rsidRPr="00C93614">
        <w:rPr>
          <w:sz w:val="24"/>
          <w:szCs w:val="24"/>
        </w:rPr>
        <w:t xml:space="preserve"> excludes pollock from this criteria. Fortunately, the 2014 survey collected the information necessary to give a sense of the likely proportion of anglers across the study region who will have fished for cod or haddock in the past five years. Specifically, one question in the 2014 survey asked anglers to indicate, among cod, haddock, pollock, or none of the three species, “Which of the following species have you personally caught or tried to catch in the </w:t>
      </w:r>
      <w:r w:rsidRPr="00C93614">
        <w:rPr>
          <w:b/>
          <w:sz w:val="24"/>
          <w:szCs w:val="24"/>
        </w:rPr>
        <w:t>last five years</w:t>
      </w:r>
      <w:r w:rsidRPr="00C93614">
        <w:rPr>
          <w:sz w:val="24"/>
          <w:szCs w:val="24"/>
        </w:rPr>
        <w:t xml:space="preserve">? (Please mark </w:t>
      </w:r>
      <w:r w:rsidRPr="00C93614">
        <w:rPr>
          <w:sz w:val="24"/>
          <w:szCs w:val="24"/>
          <w:u w:val="single"/>
        </w:rPr>
        <w:t>all</w:t>
      </w:r>
      <w:r w:rsidRPr="00C93614">
        <w:rPr>
          <w:sz w:val="24"/>
          <w:szCs w:val="24"/>
        </w:rPr>
        <w:t xml:space="preserve"> that apply)”. </w:t>
      </w:r>
      <w:r w:rsidR="002A675D">
        <w:rPr>
          <w:sz w:val="24"/>
          <w:szCs w:val="24"/>
        </w:rPr>
        <w:t>Responses to this question are displayed in T</w:t>
      </w:r>
      <w:r w:rsidR="002A675D" w:rsidRPr="00C93614">
        <w:rPr>
          <w:sz w:val="24"/>
          <w:szCs w:val="24"/>
        </w:rPr>
        <w:t xml:space="preserve">able </w:t>
      </w:r>
      <w:r w:rsidR="00776E48">
        <w:rPr>
          <w:sz w:val="24"/>
          <w:szCs w:val="24"/>
        </w:rPr>
        <w:t>6</w:t>
      </w:r>
      <w:r w:rsidR="002A675D">
        <w:rPr>
          <w:sz w:val="24"/>
          <w:szCs w:val="24"/>
        </w:rPr>
        <w:t xml:space="preserve">, which </w:t>
      </w:r>
      <w:r w:rsidR="00AA3099">
        <w:rPr>
          <w:sz w:val="24"/>
          <w:szCs w:val="24"/>
        </w:rPr>
        <w:t>shows</w:t>
      </w:r>
      <w:r w:rsidRPr="00C93614">
        <w:rPr>
          <w:sz w:val="24"/>
          <w:szCs w:val="24"/>
        </w:rPr>
        <w:t xml:space="preserve"> that 67% of the 554 anglers who completed </w:t>
      </w:r>
      <w:r w:rsidR="002A675D">
        <w:rPr>
          <w:sz w:val="24"/>
          <w:szCs w:val="24"/>
        </w:rPr>
        <w:t xml:space="preserve">the 2014 </w:t>
      </w:r>
      <w:r w:rsidRPr="00C93614">
        <w:rPr>
          <w:sz w:val="24"/>
          <w:szCs w:val="24"/>
        </w:rPr>
        <w:t xml:space="preserve">survey </w:t>
      </w:r>
      <w:r w:rsidR="00AA3099">
        <w:rPr>
          <w:sz w:val="24"/>
          <w:szCs w:val="24"/>
        </w:rPr>
        <w:t>indicated having</w:t>
      </w:r>
      <w:r w:rsidRPr="00C93614">
        <w:rPr>
          <w:sz w:val="24"/>
          <w:szCs w:val="24"/>
        </w:rPr>
        <w:t xml:space="preserve"> fished for cod and/or haddock in the past five years. </w:t>
      </w:r>
    </w:p>
    <w:p w14:paraId="61C3FFE5" w14:textId="77777777" w:rsidR="00124D79" w:rsidRDefault="00124D79"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310"/>
        <w:gridCol w:w="2610"/>
      </w:tblGrid>
      <w:tr w:rsidR="00C93614" w:rsidRPr="00D37293" w14:paraId="7666E462" w14:textId="77777777" w:rsidTr="00C93614">
        <w:trPr>
          <w:cantSplit/>
          <w:trHeight w:val="360"/>
          <w:tblHeader/>
          <w:jc w:val="center"/>
        </w:trPr>
        <w:tc>
          <w:tcPr>
            <w:tcW w:w="7920" w:type="dxa"/>
            <w:gridSpan w:val="2"/>
            <w:tcBorders>
              <w:bottom w:val="single" w:sz="4" w:space="0" w:color="auto"/>
            </w:tcBorders>
            <w:shd w:val="clear" w:color="auto" w:fill="auto"/>
            <w:tcMar>
              <w:left w:w="40" w:type="dxa"/>
              <w:right w:w="40" w:type="dxa"/>
            </w:tcMar>
            <w:vAlign w:val="center"/>
          </w:tcPr>
          <w:p w14:paraId="24373E89" w14:textId="5D063E1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2"/>
                <w:szCs w:val="22"/>
              </w:rPr>
            </w:pPr>
            <w:r w:rsidRPr="00D37293">
              <w:rPr>
                <w:bCs/>
                <w:sz w:val="22"/>
                <w:szCs w:val="22"/>
              </w:rPr>
              <w:t xml:space="preserve">Table </w:t>
            </w:r>
            <w:r w:rsidR="00776E48">
              <w:rPr>
                <w:bCs/>
                <w:sz w:val="22"/>
                <w:szCs w:val="22"/>
              </w:rPr>
              <w:t>6</w:t>
            </w:r>
            <w:r w:rsidRPr="00D37293">
              <w:rPr>
                <w:bCs/>
                <w:sz w:val="22"/>
                <w:szCs w:val="22"/>
              </w:rPr>
              <w:t>. Species caught or targeted in last five years, 2014 survey.</w:t>
            </w:r>
          </w:p>
        </w:tc>
      </w:tr>
      <w:tr w:rsidR="00C93614" w:rsidRPr="00D37293" w14:paraId="32E708CD" w14:textId="77777777" w:rsidTr="00C93614">
        <w:trPr>
          <w:cantSplit/>
          <w:trHeight w:val="360"/>
          <w:tblHeader/>
          <w:jc w:val="center"/>
        </w:trPr>
        <w:tc>
          <w:tcPr>
            <w:tcW w:w="5310" w:type="dxa"/>
            <w:tcBorders>
              <w:top w:val="single" w:sz="4" w:space="0" w:color="auto"/>
              <w:bottom w:val="single" w:sz="4" w:space="0" w:color="auto"/>
            </w:tcBorders>
            <w:shd w:val="clear" w:color="auto" w:fill="auto"/>
            <w:tcMar>
              <w:left w:w="40" w:type="dxa"/>
              <w:right w:w="40" w:type="dxa"/>
            </w:tcMar>
            <w:vAlign w:val="center"/>
          </w:tcPr>
          <w:p w14:paraId="645482E7"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2"/>
                <w:szCs w:val="22"/>
              </w:rPr>
            </w:pPr>
            <w:r w:rsidRPr="00D37293">
              <w:rPr>
                <w:bCs/>
                <w:sz w:val="22"/>
                <w:szCs w:val="22"/>
              </w:rPr>
              <w:t>Response</w:t>
            </w:r>
          </w:p>
        </w:tc>
        <w:tc>
          <w:tcPr>
            <w:tcW w:w="2610" w:type="dxa"/>
            <w:tcBorders>
              <w:top w:val="single" w:sz="4" w:space="0" w:color="auto"/>
              <w:bottom w:val="single" w:sz="4" w:space="0" w:color="auto"/>
            </w:tcBorders>
            <w:shd w:val="clear" w:color="auto" w:fill="auto"/>
            <w:tcMar>
              <w:left w:w="40" w:type="dxa"/>
              <w:right w:w="40" w:type="dxa"/>
            </w:tcMar>
            <w:vAlign w:val="center"/>
          </w:tcPr>
          <w:p w14:paraId="192EC923"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Cs/>
                <w:sz w:val="22"/>
                <w:szCs w:val="22"/>
              </w:rPr>
            </w:pPr>
            <w:r w:rsidRPr="00D37293">
              <w:rPr>
                <w:bCs/>
                <w:sz w:val="22"/>
                <w:szCs w:val="22"/>
              </w:rPr>
              <w:t>Number of respondents</w:t>
            </w:r>
          </w:p>
        </w:tc>
      </w:tr>
      <w:tr w:rsidR="00C93614" w:rsidRPr="00D37293" w14:paraId="563EF735" w14:textId="77777777" w:rsidTr="00C93614">
        <w:trPr>
          <w:cantSplit/>
          <w:trHeight w:val="360"/>
          <w:jc w:val="center"/>
        </w:trPr>
        <w:tc>
          <w:tcPr>
            <w:tcW w:w="5310" w:type="dxa"/>
            <w:tcBorders>
              <w:top w:val="single" w:sz="4" w:space="0" w:color="auto"/>
            </w:tcBorders>
            <w:shd w:val="clear" w:color="auto" w:fill="auto"/>
            <w:tcMar>
              <w:left w:w="40" w:type="dxa"/>
              <w:right w:w="40" w:type="dxa"/>
            </w:tcMar>
            <w:vAlign w:val="center"/>
          </w:tcPr>
          <w:p w14:paraId="64496614"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2"/>
                <w:szCs w:val="22"/>
              </w:rPr>
            </w:pPr>
            <w:r w:rsidRPr="00D37293">
              <w:rPr>
                <w:bCs/>
                <w:sz w:val="22"/>
                <w:szCs w:val="22"/>
              </w:rPr>
              <w:t>Pollock only, none of the 3 species, or not answered</w:t>
            </w:r>
          </w:p>
        </w:tc>
        <w:tc>
          <w:tcPr>
            <w:tcW w:w="2610" w:type="dxa"/>
            <w:tcBorders>
              <w:top w:val="single" w:sz="4" w:space="0" w:color="auto"/>
            </w:tcBorders>
            <w:shd w:val="clear" w:color="auto" w:fill="auto"/>
            <w:tcMar>
              <w:left w:w="40" w:type="dxa"/>
              <w:right w:w="40" w:type="dxa"/>
            </w:tcMar>
            <w:vAlign w:val="center"/>
          </w:tcPr>
          <w:p w14:paraId="6EDE03A6"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184 (33%)</w:t>
            </w:r>
          </w:p>
        </w:tc>
      </w:tr>
      <w:tr w:rsidR="00C93614" w:rsidRPr="00D37293" w14:paraId="3000CA38" w14:textId="77777777" w:rsidTr="00C93614">
        <w:trPr>
          <w:cantSplit/>
          <w:trHeight w:val="360"/>
          <w:jc w:val="center"/>
        </w:trPr>
        <w:tc>
          <w:tcPr>
            <w:tcW w:w="5310" w:type="dxa"/>
            <w:tcBorders>
              <w:bottom w:val="single" w:sz="4" w:space="0" w:color="auto"/>
            </w:tcBorders>
            <w:shd w:val="clear" w:color="auto" w:fill="auto"/>
            <w:tcMar>
              <w:left w:w="40" w:type="dxa"/>
              <w:right w:w="40" w:type="dxa"/>
            </w:tcMar>
            <w:vAlign w:val="center"/>
          </w:tcPr>
          <w:p w14:paraId="489E887E"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2"/>
                <w:szCs w:val="22"/>
              </w:rPr>
            </w:pPr>
            <w:r w:rsidRPr="00D37293">
              <w:rPr>
                <w:bCs/>
                <w:sz w:val="22"/>
                <w:szCs w:val="22"/>
              </w:rPr>
              <w:t>Cod and/or haddock</w:t>
            </w:r>
          </w:p>
        </w:tc>
        <w:tc>
          <w:tcPr>
            <w:tcW w:w="2610" w:type="dxa"/>
            <w:tcBorders>
              <w:bottom w:val="single" w:sz="4" w:space="0" w:color="auto"/>
            </w:tcBorders>
            <w:shd w:val="clear" w:color="auto" w:fill="auto"/>
            <w:tcMar>
              <w:left w:w="40" w:type="dxa"/>
              <w:right w:w="40" w:type="dxa"/>
            </w:tcMar>
            <w:vAlign w:val="center"/>
          </w:tcPr>
          <w:p w14:paraId="04E71442"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370 (67%)</w:t>
            </w:r>
          </w:p>
        </w:tc>
      </w:tr>
    </w:tbl>
    <w:p w14:paraId="14CE5C1A" w14:textId="3F8553CB"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59283A3" w14:textId="77777777" w:rsidR="00696957" w:rsidRDefault="00696957"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D51A588" w14:textId="442DEBBD"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The eligible response rate for the 2014 survey, based on the results in Table </w:t>
      </w:r>
      <w:r w:rsidR="00776E48">
        <w:rPr>
          <w:sz w:val="24"/>
          <w:szCs w:val="24"/>
        </w:rPr>
        <w:t>5</w:t>
      </w:r>
      <w:r w:rsidRPr="00C93614">
        <w:rPr>
          <w:sz w:val="24"/>
          <w:szCs w:val="24"/>
        </w:rPr>
        <w:t xml:space="preserve"> and Table </w:t>
      </w:r>
      <w:r w:rsidR="00776E48">
        <w:rPr>
          <w:sz w:val="24"/>
          <w:szCs w:val="24"/>
        </w:rPr>
        <w:t>6</w:t>
      </w:r>
      <w:r w:rsidRPr="00C93614">
        <w:rPr>
          <w:sz w:val="24"/>
          <w:szCs w:val="24"/>
        </w:rPr>
        <w:t xml:space="preserve">, is 19.6% (0.293*0.67). With that in mind, </w:t>
      </w:r>
      <w:r w:rsidR="002A675D">
        <w:rPr>
          <w:sz w:val="24"/>
          <w:szCs w:val="24"/>
        </w:rPr>
        <w:t>a</w:t>
      </w:r>
      <w:r w:rsidRPr="00C93614">
        <w:rPr>
          <w:sz w:val="24"/>
          <w:szCs w:val="24"/>
        </w:rPr>
        <w:t xml:space="preserve"> conservative estimate </w:t>
      </w:r>
      <w:r w:rsidR="002A675D">
        <w:rPr>
          <w:sz w:val="24"/>
          <w:szCs w:val="24"/>
        </w:rPr>
        <w:t xml:space="preserve">of </w:t>
      </w:r>
      <w:r w:rsidRPr="00C93614">
        <w:rPr>
          <w:sz w:val="24"/>
          <w:szCs w:val="24"/>
        </w:rPr>
        <w:t xml:space="preserve">the eligible response rate for the </w:t>
      </w:r>
      <w:r w:rsidR="00CA0835">
        <w:rPr>
          <w:sz w:val="24"/>
          <w:szCs w:val="24"/>
        </w:rPr>
        <w:t>NARFS</w:t>
      </w:r>
      <w:r w:rsidRPr="00C93614">
        <w:rPr>
          <w:sz w:val="24"/>
          <w:szCs w:val="24"/>
        </w:rPr>
        <w:t xml:space="preserve"> </w:t>
      </w:r>
      <w:r w:rsidR="002A675D">
        <w:rPr>
          <w:sz w:val="24"/>
          <w:szCs w:val="24"/>
        </w:rPr>
        <w:t xml:space="preserve">is </w:t>
      </w:r>
      <w:r w:rsidRPr="00C93614">
        <w:rPr>
          <w:sz w:val="24"/>
          <w:szCs w:val="24"/>
        </w:rPr>
        <w:t xml:space="preserve">15%. </w:t>
      </w:r>
    </w:p>
    <w:p w14:paraId="094C5111" w14:textId="77777777" w:rsidR="00E12028" w:rsidRPr="00C93614" w:rsidRDefault="00E12028"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04832EB" w14:textId="10E9C219"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Table </w:t>
      </w:r>
      <w:r w:rsidR="00776E48">
        <w:rPr>
          <w:sz w:val="24"/>
          <w:szCs w:val="24"/>
        </w:rPr>
        <w:t>7</w:t>
      </w:r>
      <w:r w:rsidRPr="00C93614">
        <w:rPr>
          <w:sz w:val="24"/>
          <w:szCs w:val="24"/>
        </w:rPr>
        <w:t xml:space="preserve"> describes the </w:t>
      </w:r>
      <w:r w:rsidR="00CA0835">
        <w:rPr>
          <w:sz w:val="24"/>
          <w:szCs w:val="24"/>
        </w:rPr>
        <w:t>NARFS</w:t>
      </w:r>
      <w:r w:rsidRPr="00C93614">
        <w:rPr>
          <w:sz w:val="24"/>
          <w:szCs w:val="24"/>
        </w:rPr>
        <w:t xml:space="preserve">’s respondent universe and predicted eligibility and response rates. The first row shows the total number of 2017 saltwater recreational fishing licensees by state. Multiplying these numbers by 0.67, the proportion of anglers who are expected to be eligible for the </w:t>
      </w:r>
      <w:r w:rsidR="00CA0835">
        <w:rPr>
          <w:sz w:val="24"/>
          <w:szCs w:val="24"/>
        </w:rPr>
        <w:t>NARFS</w:t>
      </w:r>
      <w:r w:rsidRPr="00C93614">
        <w:rPr>
          <w:sz w:val="24"/>
          <w:szCs w:val="24"/>
        </w:rPr>
        <w:t xml:space="preserve">, gives an estimate of the size of the respondent universe, which is shown in the second row of Table </w:t>
      </w:r>
      <w:r w:rsidR="00776E48">
        <w:rPr>
          <w:sz w:val="24"/>
          <w:szCs w:val="24"/>
        </w:rPr>
        <w:t>7</w:t>
      </w:r>
      <w:r w:rsidRPr="00C93614">
        <w:rPr>
          <w:sz w:val="24"/>
          <w:szCs w:val="24"/>
        </w:rPr>
        <w:t xml:space="preserve">. The third row of Table </w:t>
      </w:r>
      <w:r w:rsidR="00776E48">
        <w:rPr>
          <w:sz w:val="24"/>
          <w:szCs w:val="24"/>
        </w:rPr>
        <w:t>7</w:t>
      </w:r>
      <w:r w:rsidR="00124D79" w:rsidRPr="00C93614">
        <w:rPr>
          <w:sz w:val="24"/>
          <w:szCs w:val="24"/>
        </w:rPr>
        <w:t xml:space="preserve"> </w:t>
      </w:r>
      <w:r w:rsidRPr="00C93614">
        <w:rPr>
          <w:sz w:val="24"/>
          <w:szCs w:val="24"/>
        </w:rPr>
        <w:t>shows the number of surveys we plan to distribute by state</w:t>
      </w:r>
      <w:r w:rsidR="00023B34">
        <w:rPr>
          <w:sz w:val="24"/>
          <w:szCs w:val="24"/>
        </w:rPr>
        <w:t>; t</w:t>
      </w:r>
      <w:r w:rsidRPr="00C93614">
        <w:rPr>
          <w:sz w:val="24"/>
          <w:szCs w:val="24"/>
        </w:rPr>
        <w:t>he</w:t>
      </w:r>
      <w:r w:rsidR="00023B34">
        <w:rPr>
          <w:sz w:val="24"/>
          <w:szCs w:val="24"/>
        </w:rPr>
        <w:t>se</w:t>
      </w:r>
      <w:r w:rsidRPr="00C93614">
        <w:rPr>
          <w:sz w:val="24"/>
          <w:szCs w:val="24"/>
        </w:rPr>
        <w:t xml:space="preserve"> values are based on </w:t>
      </w:r>
      <w:r w:rsidR="00BC1596">
        <w:rPr>
          <w:sz w:val="24"/>
          <w:szCs w:val="24"/>
        </w:rPr>
        <w:t xml:space="preserve">(1) </w:t>
      </w:r>
      <w:r w:rsidRPr="00C93614">
        <w:rPr>
          <w:sz w:val="24"/>
          <w:szCs w:val="24"/>
        </w:rPr>
        <w:t xml:space="preserve">an expected eligible response rate of 15%, </w:t>
      </w:r>
      <w:r w:rsidR="00BC1596">
        <w:rPr>
          <w:sz w:val="24"/>
          <w:szCs w:val="24"/>
        </w:rPr>
        <w:t xml:space="preserve">(2) </w:t>
      </w:r>
      <w:r w:rsidRPr="00C93614">
        <w:rPr>
          <w:sz w:val="24"/>
          <w:szCs w:val="24"/>
        </w:rPr>
        <w:t xml:space="preserve">the </w:t>
      </w:r>
      <w:r w:rsidRPr="00C93614">
        <w:rPr>
          <w:bCs/>
          <w:sz w:val="24"/>
          <w:szCs w:val="24"/>
        </w:rPr>
        <w:t xml:space="preserve">sample stratification procedure, and </w:t>
      </w:r>
      <w:r w:rsidR="00BC1596">
        <w:rPr>
          <w:bCs/>
          <w:sz w:val="24"/>
          <w:szCs w:val="24"/>
        </w:rPr>
        <w:t xml:space="preserve">(3) </w:t>
      </w:r>
      <w:r w:rsidRPr="00C93614">
        <w:rPr>
          <w:bCs/>
          <w:sz w:val="24"/>
          <w:szCs w:val="24"/>
        </w:rPr>
        <w:t xml:space="preserve">the total number of </w:t>
      </w:r>
      <w:r w:rsidRPr="00C93614">
        <w:rPr>
          <w:sz w:val="24"/>
          <w:szCs w:val="24"/>
        </w:rPr>
        <w:t>surveys completed by eligible anglers we intend to collec</w:t>
      </w:r>
      <w:r w:rsidR="00BC1596">
        <w:rPr>
          <w:sz w:val="24"/>
          <w:szCs w:val="24"/>
        </w:rPr>
        <w:t xml:space="preserve">t; </w:t>
      </w:r>
      <w:r w:rsidRPr="00C93614">
        <w:rPr>
          <w:sz w:val="24"/>
          <w:szCs w:val="24"/>
        </w:rPr>
        <w:t xml:space="preserve">we discuss </w:t>
      </w:r>
      <w:r w:rsidR="00BC1596">
        <w:rPr>
          <w:sz w:val="24"/>
          <w:szCs w:val="24"/>
        </w:rPr>
        <w:t xml:space="preserve">(2) and (3) </w:t>
      </w:r>
      <w:r w:rsidRPr="00C93614">
        <w:rPr>
          <w:sz w:val="24"/>
          <w:szCs w:val="24"/>
        </w:rPr>
        <w:t xml:space="preserve">in more detail in </w:t>
      </w:r>
      <w:r w:rsidR="009A65D3">
        <w:rPr>
          <w:sz w:val="24"/>
          <w:szCs w:val="24"/>
        </w:rPr>
        <w:t xml:space="preserve">our response to </w:t>
      </w:r>
      <w:r w:rsidR="002A675D">
        <w:rPr>
          <w:sz w:val="24"/>
          <w:szCs w:val="24"/>
        </w:rPr>
        <w:t xml:space="preserve">question </w:t>
      </w:r>
      <w:r w:rsidRPr="00C93614">
        <w:rPr>
          <w:sz w:val="24"/>
          <w:szCs w:val="24"/>
        </w:rPr>
        <w:t xml:space="preserve">B2. </w:t>
      </w:r>
    </w:p>
    <w:p w14:paraId="386AEC53" w14:textId="0D1585C9" w:rsidR="00A60C0C" w:rsidRDefault="00A60C0C"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E05F59A" w14:textId="77777777" w:rsidR="00A60C0C" w:rsidRDefault="00A60C0C" w:rsidP="00A60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Once the study is completed, we will calculate the final response rate using the appropriate American Association for Public Opinion Research (AAPOR) </w:t>
      </w:r>
      <w:hyperlink r:id="rId9" w:history="1">
        <w:r w:rsidRPr="00D61A9A">
          <w:rPr>
            <w:rStyle w:val="Hyperlink"/>
            <w:sz w:val="24"/>
            <w:szCs w:val="24"/>
          </w:rPr>
          <w:t>Response Rate Calculator</w:t>
        </w:r>
      </w:hyperlink>
      <w:r>
        <w:rPr>
          <w:sz w:val="24"/>
          <w:szCs w:val="24"/>
        </w:rPr>
        <w:t xml:space="preserve">. </w:t>
      </w:r>
    </w:p>
    <w:p w14:paraId="0DBA1EC7" w14:textId="11753CE1" w:rsidR="00A60C0C" w:rsidRDefault="00A60C0C"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59AD50FD" w14:textId="77777777" w:rsidR="00C7479A" w:rsidRDefault="00C7479A"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5"/>
        <w:gridCol w:w="875"/>
        <w:gridCol w:w="1350"/>
        <w:gridCol w:w="1620"/>
      </w:tblGrid>
      <w:tr w:rsidR="00C93614" w:rsidRPr="00D37293" w14:paraId="4B9C4143" w14:textId="77777777" w:rsidTr="00C77DB2">
        <w:trPr>
          <w:trHeight w:val="360"/>
          <w:jc w:val="center"/>
        </w:trPr>
        <w:tc>
          <w:tcPr>
            <w:tcW w:w="8460" w:type="dxa"/>
            <w:gridSpan w:val="4"/>
            <w:tcBorders>
              <w:bottom w:val="single" w:sz="4" w:space="0" w:color="auto"/>
            </w:tcBorders>
            <w:vAlign w:val="center"/>
          </w:tcPr>
          <w:p w14:paraId="6BA59D9B" w14:textId="6960FDE8"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 xml:space="preserve">Table </w:t>
            </w:r>
            <w:r w:rsidR="00776E48">
              <w:rPr>
                <w:sz w:val="22"/>
                <w:szCs w:val="22"/>
              </w:rPr>
              <w:t>7</w:t>
            </w:r>
            <w:r w:rsidRPr="00D37293">
              <w:rPr>
                <w:sz w:val="22"/>
                <w:szCs w:val="22"/>
              </w:rPr>
              <w:t xml:space="preserve">. </w:t>
            </w:r>
            <w:r w:rsidR="00CA0835">
              <w:rPr>
                <w:sz w:val="22"/>
                <w:szCs w:val="22"/>
              </w:rPr>
              <w:t>NARFS</w:t>
            </w:r>
            <w:r w:rsidR="009A65D3" w:rsidRPr="00D37293">
              <w:rPr>
                <w:sz w:val="22"/>
                <w:szCs w:val="22"/>
              </w:rPr>
              <w:t xml:space="preserve"> respondent universe, s</w:t>
            </w:r>
            <w:r w:rsidRPr="00D37293">
              <w:rPr>
                <w:sz w:val="22"/>
                <w:szCs w:val="22"/>
              </w:rPr>
              <w:t>ample frame</w:t>
            </w:r>
            <w:r w:rsidR="009A65D3" w:rsidRPr="00D37293">
              <w:rPr>
                <w:sz w:val="22"/>
                <w:szCs w:val="22"/>
              </w:rPr>
              <w:t>,</w:t>
            </w:r>
            <w:r w:rsidRPr="00D37293">
              <w:rPr>
                <w:sz w:val="22"/>
                <w:szCs w:val="22"/>
              </w:rPr>
              <w:t xml:space="preserve"> and expected response rates </w:t>
            </w:r>
            <w:r w:rsidR="009A65D3" w:rsidRPr="00D37293">
              <w:rPr>
                <w:sz w:val="22"/>
                <w:szCs w:val="22"/>
              </w:rPr>
              <w:t>by state.</w:t>
            </w:r>
            <w:r w:rsidRPr="00D37293">
              <w:rPr>
                <w:sz w:val="22"/>
                <w:szCs w:val="22"/>
              </w:rPr>
              <w:t xml:space="preserve"> </w:t>
            </w:r>
          </w:p>
        </w:tc>
      </w:tr>
      <w:tr w:rsidR="00C93614" w:rsidRPr="00D37293" w14:paraId="4F49A975" w14:textId="77777777" w:rsidTr="00C77DB2">
        <w:trPr>
          <w:trHeight w:val="360"/>
          <w:jc w:val="center"/>
        </w:trPr>
        <w:tc>
          <w:tcPr>
            <w:tcW w:w="4615" w:type="dxa"/>
            <w:tcBorders>
              <w:top w:val="single" w:sz="4" w:space="0" w:color="auto"/>
              <w:bottom w:val="single" w:sz="4" w:space="0" w:color="auto"/>
            </w:tcBorders>
          </w:tcPr>
          <w:p w14:paraId="44808E37"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p>
        </w:tc>
        <w:tc>
          <w:tcPr>
            <w:tcW w:w="875" w:type="dxa"/>
            <w:tcBorders>
              <w:top w:val="single" w:sz="4" w:space="0" w:color="auto"/>
              <w:bottom w:val="single" w:sz="4" w:space="0" w:color="auto"/>
            </w:tcBorders>
            <w:vAlign w:val="center"/>
          </w:tcPr>
          <w:p w14:paraId="12DCBCE2"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Maine</w:t>
            </w:r>
          </w:p>
        </w:tc>
        <w:tc>
          <w:tcPr>
            <w:tcW w:w="1350" w:type="dxa"/>
            <w:tcBorders>
              <w:top w:val="single" w:sz="4" w:space="0" w:color="auto"/>
              <w:bottom w:val="single" w:sz="4" w:space="0" w:color="auto"/>
            </w:tcBorders>
            <w:vAlign w:val="center"/>
          </w:tcPr>
          <w:p w14:paraId="3946E8F8"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New Hampshire</w:t>
            </w:r>
          </w:p>
        </w:tc>
        <w:tc>
          <w:tcPr>
            <w:tcW w:w="1620" w:type="dxa"/>
            <w:tcBorders>
              <w:top w:val="single" w:sz="4" w:space="0" w:color="auto"/>
              <w:bottom w:val="single" w:sz="4" w:space="0" w:color="auto"/>
            </w:tcBorders>
            <w:vAlign w:val="center"/>
          </w:tcPr>
          <w:p w14:paraId="706434C7"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Massachusetts</w:t>
            </w:r>
          </w:p>
        </w:tc>
      </w:tr>
      <w:tr w:rsidR="00C93614" w:rsidRPr="00D37293" w14:paraId="01108A3B" w14:textId="77777777" w:rsidTr="00C77DB2">
        <w:trPr>
          <w:trHeight w:val="648"/>
          <w:jc w:val="center"/>
        </w:trPr>
        <w:tc>
          <w:tcPr>
            <w:tcW w:w="4615" w:type="dxa"/>
            <w:tcBorders>
              <w:top w:val="single" w:sz="4" w:space="0" w:color="auto"/>
            </w:tcBorders>
            <w:vAlign w:val="center"/>
          </w:tcPr>
          <w:p w14:paraId="57F6CE63"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 xml:space="preserve">Total number of 2017 saltwater recreational fishing license holders </w:t>
            </w:r>
          </w:p>
        </w:tc>
        <w:tc>
          <w:tcPr>
            <w:tcW w:w="875" w:type="dxa"/>
            <w:tcBorders>
              <w:top w:val="single" w:sz="4" w:space="0" w:color="auto"/>
            </w:tcBorders>
            <w:vAlign w:val="center"/>
          </w:tcPr>
          <w:p w14:paraId="3258807C"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61,234</w:t>
            </w:r>
          </w:p>
        </w:tc>
        <w:tc>
          <w:tcPr>
            <w:tcW w:w="1350" w:type="dxa"/>
            <w:tcBorders>
              <w:top w:val="single" w:sz="4" w:space="0" w:color="auto"/>
            </w:tcBorders>
            <w:vAlign w:val="center"/>
          </w:tcPr>
          <w:p w14:paraId="0845EAB2"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30,348</w:t>
            </w:r>
          </w:p>
        </w:tc>
        <w:tc>
          <w:tcPr>
            <w:tcW w:w="1620" w:type="dxa"/>
            <w:tcBorders>
              <w:top w:val="single" w:sz="4" w:space="0" w:color="auto"/>
            </w:tcBorders>
            <w:vAlign w:val="center"/>
          </w:tcPr>
          <w:p w14:paraId="7D495360"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165,241</w:t>
            </w:r>
          </w:p>
        </w:tc>
      </w:tr>
      <w:tr w:rsidR="00C93614" w:rsidRPr="00D37293" w14:paraId="5A7389DD" w14:textId="77777777" w:rsidTr="00C77DB2">
        <w:trPr>
          <w:trHeight w:val="648"/>
          <w:jc w:val="center"/>
        </w:trPr>
        <w:tc>
          <w:tcPr>
            <w:tcW w:w="4615" w:type="dxa"/>
            <w:vAlign w:val="center"/>
          </w:tcPr>
          <w:p w14:paraId="7293B2C0"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Expected number of eligible 2017 saltwater recreational fishing license holders (universe)</w:t>
            </w:r>
          </w:p>
        </w:tc>
        <w:tc>
          <w:tcPr>
            <w:tcW w:w="875" w:type="dxa"/>
            <w:vAlign w:val="center"/>
          </w:tcPr>
          <w:p w14:paraId="273D6E3B"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41,027</w:t>
            </w:r>
          </w:p>
        </w:tc>
        <w:tc>
          <w:tcPr>
            <w:tcW w:w="1350" w:type="dxa"/>
            <w:vAlign w:val="center"/>
          </w:tcPr>
          <w:p w14:paraId="7ABAA3D3"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20,333</w:t>
            </w:r>
          </w:p>
        </w:tc>
        <w:tc>
          <w:tcPr>
            <w:tcW w:w="1620" w:type="dxa"/>
            <w:vAlign w:val="center"/>
          </w:tcPr>
          <w:p w14:paraId="652BC00C"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110,711</w:t>
            </w:r>
          </w:p>
        </w:tc>
      </w:tr>
      <w:tr w:rsidR="00C93614" w:rsidRPr="00D37293" w14:paraId="610D6DAF" w14:textId="77777777" w:rsidTr="00C77DB2">
        <w:trPr>
          <w:trHeight w:val="648"/>
          <w:jc w:val="center"/>
        </w:trPr>
        <w:tc>
          <w:tcPr>
            <w:tcW w:w="4615" w:type="dxa"/>
            <w:vAlign w:val="center"/>
          </w:tcPr>
          <w:p w14:paraId="1D7CC6A4"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Number of saltwater recreational fishing license holder contacted (sample frame)</w:t>
            </w:r>
          </w:p>
        </w:tc>
        <w:tc>
          <w:tcPr>
            <w:tcW w:w="875" w:type="dxa"/>
            <w:vAlign w:val="center"/>
          </w:tcPr>
          <w:p w14:paraId="56DD55DF"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317</w:t>
            </w:r>
          </w:p>
        </w:tc>
        <w:tc>
          <w:tcPr>
            <w:tcW w:w="1350" w:type="dxa"/>
            <w:vAlign w:val="center"/>
          </w:tcPr>
          <w:p w14:paraId="0434331E"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937</w:t>
            </w:r>
          </w:p>
        </w:tc>
        <w:tc>
          <w:tcPr>
            <w:tcW w:w="1620" w:type="dxa"/>
            <w:vAlign w:val="center"/>
          </w:tcPr>
          <w:p w14:paraId="6199B6FA"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2,080</w:t>
            </w:r>
          </w:p>
        </w:tc>
      </w:tr>
      <w:tr w:rsidR="00C93614" w:rsidRPr="00D37293" w14:paraId="06BC1DAF" w14:textId="77777777" w:rsidTr="00C77DB2">
        <w:trPr>
          <w:trHeight w:val="648"/>
          <w:jc w:val="center"/>
        </w:trPr>
        <w:tc>
          <w:tcPr>
            <w:tcW w:w="4615" w:type="dxa"/>
            <w:vAlign w:val="center"/>
          </w:tcPr>
          <w:p w14:paraId="5B35BCBF"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Expected eligible response rate</w:t>
            </w:r>
          </w:p>
        </w:tc>
        <w:tc>
          <w:tcPr>
            <w:tcW w:w="875" w:type="dxa"/>
            <w:vAlign w:val="center"/>
          </w:tcPr>
          <w:p w14:paraId="3796D3FD"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15%</w:t>
            </w:r>
          </w:p>
        </w:tc>
        <w:tc>
          <w:tcPr>
            <w:tcW w:w="1350" w:type="dxa"/>
            <w:vAlign w:val="center"/>
          </w:tcPr>
          <w:p w14:paraId="304F5A44"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15%</w:t>
            </w:r>
          </w:p>
        </w:tc>
        <w:tc>
          <w:tcPr>
            <w:tcW w:w="1620" w:type="dxa"/>
            <w:vAlign w:val="center"/>
          </w:tcPr>
          <w:p w14:paraId="6F46B5DF"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15%</w:t>
            </w:r>
          </w:p>
        </w:tc>
      </w:tr>
      <w:tr w:rsidR="00C93614" w:rsidRPr="00D37293" w14:paraId="778D6B97" w14:textId="77777777" w:rsidTr="00C77DB2">
        <w:trPr>
          <w:trHeight w:val="648"/>
          <w:jc w:val="center"/>
        </w:trPr>
        <w:tc>
          <w:tcPr>
            <w:tcW w:w="4615" w:type="dxa"/>
            <w:tcBorders>
              <w:bottom w:val="single" w:sz="4" w:space="0" w:color="auto"/>
            </w:tcBorders>
            <w:vAlign w:val="center"/>
          </w:tcPr>
          <w:p w14:paraId="79CB64D0"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D37293">
              <w:rPr>
                <w:sz w:val="22"/>
                <w:szCs w:val="22"/>
              </w:rPr>
              <w:t>Expected number of surveys completed by eligible respondents</w:t>
            </w:r>
          </w:p>
        </w:tc>
        <w:tc>
          <w:tcPr>
            <w:tcW w:w="875" w:type="dxa"/>
            <w:tcBorders>
              <w:bottom w:val="single" w:sz="4" w:space="0" w:color="auto"/>
            </w:tcBorders>
            <w:vAlign w:val="center"/>
          </w:tcPr>
          <w:p w14:paraId="0AE78025"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48</w:t>
            </w:r>
          </w:p>
        </w:tc>
        <w:tc>
          <w:tcPr>
            <w:tcW w:w="1350" w:type="dxa"/>
            <w:tcBorders>
              <w:bottom w:val="single" w:sz="4" w:space="0" w:color="auto"/>
            </w:tcBorders>
            <w:vAlign w:val="center"/>
          </w:tcPr>
          <w:p w14:paraId="6E2BB33A"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141</w:t>
            </w:r>
          </w:p>
        </w:tc>
        <w:tc>
          <w:tcPr>
            <w:tcW w:w="1620" w:type="dxa"/>
            <w:tcBorders>
              <w:bottom w:val="single" w:sz="4" w:space="0" w:color="auto"/>
            </w:tcBorders>
            <w:vAlign w:val="center"/>
          </w:tcPr>
          <w:p w14:paraId="1D87A338" w14:textId="77777777" w:rsidR="00C93614" w:rsidRPr="00D37293"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sz w:val="22"/>
                <w:szCs w:val="22"/>
              </w:rPr>
            </w:pPr>
            <w:r w:rsidRPr="00D37293">
              <w:rPr>
                <w:sz w:val="22"/>
                <w:szCs w:val="22"/>
              </w:rPr>
              <w:t>312</w:t>
            </w:r>
          </w:p>
        </w:tc>
      </w:tr>
    </w:tbl>
    <w:p w14:paraId="3F77F6A3" w14:textId="478B9546" w:rsidR="00A60C0C" w:rsidRDefault="00A60C0C" w:rsidP="00A60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50EA6CA7" w14:textId="6908DE29" w:rsidR="00696957" w:rsidRDefault="00696957" w:rsidP="00A60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7656E4E" w14:textId="12121F45" w:rsidR="00C93614" w:rsidRPr="00E12028" w:rsidRDefault="00C93614" w:rsidP="0094229B">
      <w:pPr>
        <w:pStyle w:val="Style2"/>
        <w:numPr>
          <w:ilvl w:val="0"/>
          <w:numId w:val="17"/>
        </w:numPr>
      </w:pPr>
      <w:r w:rsidRPr="00E12028">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59454FEC" w14:textId="4678F9E9"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BCD2147" w14:textId="48F996DB" w:rsidR="001F69F9" w:rsidRPr="0094229B" w:rsidRDefault="001F69F9"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sidRPr="0094229B">
        <w:rPr>
          <w:sz w:val="24"/>
          <w:szCs w:val="24"/>
          <w:u w:val="single"/>
        </w:rPr>
        <w:t>Statistical methodology for stratification and sample selection</w:t>
      </w:r>
    </w:p>
    <w:p w14:paraId="0C65C49F" w14:textId="2A1D26C7" w:rsidR="008172D2" w:rsidRDefault="00912A8C"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w:t>
      </w:r>
      <w:r w:rsidRPr="00C93614">
        <w:rPr>
          <w:sz w:val="24"/>
          <w:szCs w:val="24"/>
        </w:rPr>
        <w:t xml:space="preserve"> stratified random sampling </w:t>
      </w:r>
      <w:r>
        <w:rPr>
          <w:sz w:val="24"/>
          <w:szCs w:val="24"/>
        </w:rPr>
        <w:t>strategy</w:t>
      </w:r>
      <w:r w:rsidRPr="00C93614">
        <w:rPr>
          <w:sz w:val="24"/>
          <w:szCs w:val="24"/>
        </w:rPr>
        <w:t xml:space="preserve"> </w:t>
      </w:r>
      <w:r>
        <w:rPr>
          <w:sz w:val="24"/>
          <w:szCs w:val="24"/>
        </w:rPr>
        <w:t>will be used t</w:t>
      </w:r>
      <w:r w:rsidR="00C93614" w:rsidRPr="00C93614">
        <w:rPr>
          <w:sz w:val="24"/>
          <w:szCs w:val="24"/>
        </w:rPr>
        <w:t>o focus efforts on the population of interest and reduce implement</w:t>
      </w:r>
      <w:r w:rsidR="006068E9">
        <w:rPr>
          <w:sz w:val="24"/>
          <w:szCs w:val="24"/>
        </w:rPr>
        <w:t>ation costs</w:t>
      </w:r>
      <w:r w:rsidR="00C93614" w:rsidRPr="00C93614">
        <w:rPr>
          <w:sz w:val="24"/>
          <w:szCs w:val="24"/>
        </w:rPr>
        <w:t>.</w:t>
      </w:r>
      <w:r w:rsidR="00BC1596">
        <w:rPr>
          <w:sz w:val="24"/>
          <w:szCs w:val="24"/>
        </w:rPr>
        <w:t xml:space="preserve"> P</w:t>
      </w:r>
      <w:r w:rsidR="00C93614" w:rsidRPr="00C93614">
        <w:rPr>
          <w:sz w:val="24"/>
          <w:szCs w:val="24"/>
        </w:rPr>
        <w:t>articipants</w:t>
      </w:r>
      <w:r w:rsidR="009A65D3">
        <w:rPr>
          <w:sz w:val="24"/>
          <w:szCs w:val="24"/>
        </w:rPr>
        <w:t xml:space="preserve"> will be drawn</w:t>
      </w:r>
      <w:r w:rsidR="00C93614" w:rsidRPr="00C93614">
        <w:rPr>
          <w:sz w:val="24"/>
          <w:szCs w:val="24"/>
        </w:rPr>
        <w:t xml:space="preserve"> from each state license database</w:t>
      </w:r>
      <w:r w:rsidR="00CB10BC">
        <w:rPr>
          <w:sz w:val="24"/>
          <w:szCs w:val="24"/>
        </w:rPr>
        <w:t xml:space="preserve"> </w:t>
      </w:r>
      <w:r w:rsidR="008172D2">
        <w:rPr>
          <w:sz w:val="24"/>
          <w:szCs w:val="24"/>
        </w:rPr>
        <w:t>(</w:t>
      </w:r>
      <m:oMath>
        <m:r>
          <w:rPr>
            <w:rFonts w:ascii="Cambria Math" w:hAnsi="Cambria Math"/>
            <w:sz w:val="24"/>
            <w:szCs w:val="24"/>
          </w:rPr>
          <m:t>g</m:t>
        </m:r>
      </m:oMath>
      <w:r w:rsidR="008172D2">
        <w:rPr>
          <w:sz w:val="24"/>
          <w:szCs w:val="24"/>
        </w:rPr>
        <w:t>)</w:t>
      </w:r>
      <w:r w:rsidR="00CB10BC">
        <w:rPr>
          <w:sz w:val="24"/>
          <w:szCs w:val="24"/>
        </w:rPr>
        <w:t xml:space="preserve"> </w:t>
      </w:r>
      <w:r w:rsidR="00C93614" w:rsidRPr="00C93614">
        <w:rPr>
          <w:sz w:val="24"/>
          <w:szCs w:val="24"/>
        </w:rPr>
        <w:t xml:space="preserve">in proportion to that state’s contribution to the </w:t>
      </w:r>
      <w:r w:rsidR="00CB10BC">
        <w:rPr>
          <w:sz w:val="24"/>
          <w:szCs w:val="24"/>
        </w:rPr>
        <w:t xml:space="preserve">total </w:t>
      </w:r>
      <w:r w:rsidR="008172D2">
        <w:rPr>
          <w:sz w:val="24"/>
          <w:szCs w:val="24"/>
        </w:rPr>
        <w:t xml:space="preserve">number of </w:t>
      </w:r>
      <w:r w:rsidR="00C93614" w:rsidRPr="00C93614">
        <w:rPr>
          <w:sz w:val="24"/>
          <w:szCs w:val="24"/>
        </w:rPr>
        <w:t>recreational fishing trips taken during 2017 that caught or targeted Atlantic cod or haddock</w:t>
      </w:r>
      <w:r w:rsidR="008172D2">
        <w:rPr>
          <w:sz w:val="24"/>
          <w:szCs w:val="24"/>
        </w:rPr>
        <w:t>. U</w:t>
      </w:r>
      <w:r w:rsidR="00CB10BC" w:rsidRPr="00C93614">
        <w:rPr>
          <w:sz w:val="24"/>
          <w:szCs w:val="24"/>
        </w:rPr>
        <w:t>sing publicly-available MRIP data</w:t>
      </w:r>
      <w:r w:rsidR="00CB10BC">
        <w:rPr>
          <w:sz w:val="24"/>
          <w:szCs w:val="24"/>
        </w:rPr>
        <w:t xml:space="preserve">, we </w:t>
      </w:r>
      <w:r w:rsidR="00C93614" w:rsidRPr="00C93614">
        <w:rPr>
          <w:sz w:val="24"/>
          <w:szCs w:val="24"/>
        </w:rPr>
        <w:t>estimated</w:t>
      </w:r>
      <w:r w:rsidR="008172D2">
        <w:rPr>
          <w:sz w:val="24"/>
          <w:szCs w:val="24"/>
        </w:rPr>
        <w:t xml:space="preserve"> the total number of trips to be </w:t>
      </w:r>
      <w:r w:rsidR="008172D2" w:rsidRPr="00C93614">
        <w:rPr>
          <w:sz w:val="24"/>
          <w:szCs w:val="24"/>
        </w:rPr>
        <w:t>370,243</w:t>
      </w:r>
      <w:r>
        <w:rPr>
          <w:sz w:val="24"/>
          <w:szCs w:val="24"/>
        </w:rPr>
        <w:t>; o</w:t>
      </w:r>
      <w:r w:rsidR="008172D2">
        <w:rPr>
          <w:sz w:val="24"/>
          <w:szCs w:val="24"/>
        </w:rPr>
        <w:t xml:space="preserve">f </w:t>
      </w:r>
      <w:r>
        <w:rPr>
          <w:sz w:val="24"/>
          <w:szCs w:val="24"/>
        </w:rPr>
        <w:t xml:space="preserve">these trips, </w:t>
      </w:r>
      <w:r w:rsidR="008172D2" w:rsidRPr="00C93614">
        <w:rPr>
          <w:sz w:val="24"/>
          <w:szCs w:val="24"/>
        </w:rPr>
        <w:t>Maine, New Hampshire, and Massachusetts</w:t>
      </w:r>
      <w:r w:rsidR="008172D2">
        <w:rPr>
          <w:sz w:val="24"/>
          <w:szCs w:val="24"/>
        </w:rPr>
        <w:t xml:space="preserve"> accounted </w:t>
      </w:r>
      <w:r w:rsidR="00CB10BC">
        <w:rPr>
          <w:sz w:val="24"/>
          <w:szCs w:val="24"/>
        </w:rPr>
        <w:t xml:space="preserve">for </w:t>
      </w:r>
      <w:r w:rsidR="00C93614" w:rsidRPr="00C93614">
        <w:rPr>
          <w:sz w:val="24"/>
          <w:szCs w:val="24"/>
        </w:rPr>
        <w:t>9.5%, 28.1%, and 62.4%</w:t>
      </w:r>
      <w:r w:rsidR="00CB10BC">
        <w:rPr>
          <w:sz w:val="24"/>
          <w:szCs w:val="24"/>
        </w:rPr>
        <w:t>, respectively</w:t>
      </w:r>
      <w:r w:rsidR="00160420">
        <w:rPr>
          <w:sz w:val="24"/>
          <w:szCs w:val="24"/>
        </w:rPr>
        <w:t>.</w:t>
      </w:r>
      <w:r w:rsidR="008172D2">
        <w:rPr>
          <w:sz w:val="24"/>
          <w:szCs w:val="24"/>
        </w:rPr>
        <w:t xml:space="preserve"> If we denote</w:t>
      </w:r>
      <w:r w:rsidR="00D70C3D" w:rsidRPr="00D70C3D">
        <w:rPr>
          <w:sz w:val="24"/>
          <w:szCs w:val="24"/>
        </w:rPr>
        <w:t xml:space="preserve"> </w:t>
      </w:r>
      <w:r w:rsidR="00D70C3D">
        <w:rPr>
          <w:sz w:val="24"/>
          <w:szCs w:val="24"/>
        </w:rPr>
        <w:t xml:space="preserve">these proportions as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g</m:t>
            </m:r>
          </m:sub>
        </m:sSub>
      </m:oMath>
      <w:r w:rsidR="00D70C3D">
        <w:rPr>
          <w:sz w:val="24"/>
          <w:szCs w:val="24"/>
        </w:rPr>
        <w:t>, and</w:t>
      </w:r>
      <w:r w:rsidR="00D70C3D" w:rsidRPr="00D70C3D">
        <w:rPr>
          <w:sz w:val="24"/>
          <w:szCs w:val="24"/>
        </w:rPr>
        <w:t xml:space="preserve"> </w:t>
      </w:r>
      <w:r w:rsidR="00D70C3D">
        <w:rPr>
          <w:sz w:val="24"/>
          <w:szCs w:val="24"/>
        </w:rPr>
        <w:t xml:space="preserve">the </w:t>
      </w:r>
      <w:r w:rsidR="00D70C3D" w:rsidRPr="008172D2">
        <w:rPr>
          <w:sz w:val="24"/>
          <w:szCs w:val="24"/>
        </w:rPr>
        <w:t>proportion</w:t>
      </w:r>
      <w:r w:rsidR="00D70C3D">
        <w:rPr>
          <w:sz w:val="24"/>
          <w:szCs w:val="24"/>
        </w:rPr>
        <w:t>s</w:t>
      </w:r>
      <w:r w:rsidR="00D70C3D" w:rsidRPr="008172D2">
        <w:rPr>
          <w:sz w:val="24"/>
          <w:szCs w:val="24"/>
        </w:rPr>
        <w:t xml:space="preserve"> </w:t>
      </w:r>
      <w:r w:rsidR="00D70C3D">
        <w:rPr>
          <w:sz w:val="24"/>
          <w:szCs w:val="24"/>
        </w:rPr>
        <w:t>from</w:t>
      </w:r>
      <w:r w:rsidR="00D70C3D" w:rsidRPr="008172D2">
        <w:rPr>
          <w:sz w:val="24"/>
          <w:szCs w:val="24"/>
        </w:rPr>
        <w:t xml:space="preserve"> the realized sample </w:t>
      </w:r>
      <w:r w:rsidR="00D70C3D">
        <w:rPr>
          <w:sz w:val="24"/>
          <w:szCs w:val="24"/>
        </w:rPr>
        <w:t xml:space="preserve">as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g</m:t>
            </m:r>
          </m:sub>
        </m:sSub>
      </m:oMath>
      <w:r w:rsidR="00D70C3D">
        <w:rPr>
          <w:sz w:val="24"/>
          <w:szCs w:val="24"/>
        </w:rPr>
        <w:t xml:space="preserve">, we can use </w:t>
      </w:r>
      <w:r w:rsidR="008172D2">
        <w:rPr>
          <w:sz w:val="24"/>
          <w:szCs w:val="24"/>
        </w:rPr>
        <w:t xml:space="preserve">stratification </w:t>
      </w:r>
      <w:r w:rsidR="008172D2" w:rsidRPr="008172D2">
        <w:rPr>
          <w:sz w:val="24"/>
          <w:szCs w:val="24"/>
        </w:rPr>
        <w:t>weights</w:t>
      </w:r>
      <w:r w:rsidR="00D70C3D">
        <w:rPr>
          <w:sz w:val="24"/>
          <w:szCs w:val="24"/>
        </w:rPr>
        <w:t xml:space="preserve"> equal to</w:t>
      </w:r>
      <w:r>
        <w:rPr>
          <w:sz w:val="24"/>
          <w:szCs w:val="24"/>
        </w:rPr>
        <w:t xml:space="preserve"> </w:t>
      </w:r>
      <m:oMath>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g</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g</m:t>
                </m:r>
              </m:sub>
            </m:sSub>
          </m:den>
        </m:f>
      </m:oMath>
      <w:r>
        <w:rPr>
          <w:sz w:val="24"/>
          <w:szCs w:val="24"/>
        </w:rPr>
        <w:t xml:space="preserve"> </w:t>
      </w:r>
      <w:r w:rsidR="00C56A37">
        <w:rPr>
          <w:sz w:val="24"/>
          <w:szCs w:val="24"/>
        </w:rPr>
        <w:t xml:space="preserve">during estimation of the economic model </w:t>
      </w:r>
      <w:r w:rsidR="008172D2">
        <w:rPr>
          <w:sz w:val="24"/>
          <w:szCs w:val="24"/>
        </w:rPr>
        <w:t>to obtain consistent parameter estimates</w:t>
      </w:r>
      <w:r w:rsidR="00D70C3D">
        <w:rPr>
          <w:sz w:val="24"/>
          <w:szCs w:val="24"/>
        </w:rPr>
        <w:t xml:space="preserve"> </w:t>
      </w:r>
      <w:r w:rsidR="008172D2">
        <w:rPr>
          <w:sz w:val="24"/>
          <w:szCs w:val="24"/>
        </w:rPr>
        <w:t>(</w:t>
      </w:r>
      <w:r w:rsidR="008172D2" w:rsidRPr="008172D2">
        <w:rPr>
          <w:sz w:val="24"/>
          <w:szCs w:val="24"/>
        </w:rPr>
        <w:fldChar w:fldCharType="begin" w:fldLock="1"/>
      </w:r>
      <w:r w:rsidR="00D70C3D">
        <w:rPr>
          <w:sz w:val="24"/>
          <w:szCs w:val="24"/>
        </w:rPr>
        <w:instrText>ADDIN CSL_CITATION {"citationItems":[{"id":"ITEM-1","itemData":{"author":[{"dropping-particle":"","family":"Louiviere","given":"Jordan J.","non-dropping-particle":"","parse-names":false,"suffix":""},{"dropping-particle":"","family":"Hensher","given":"David A.","non-dropping-particle":"","parse-names":false,"suffix":""},{"dropping-particle":"","family":"Swait.","given":"Joffre D.","non-dropping-particle":"","parse-names":false,"suffix":""}],"id":"ITEM-1","issued":{"date-parts":[["2000"]]},"publisher":"Cambridge University Press","title":"Stated Choice Methods: Analysis and Applications","type":"book"},"uris":["http://www.mendeley.com/documents/?uuid=93d7e66a-99ed-4a09-b95d-465cc9180753"]}],"mendeley":{"formattedCitation":"(Louiviere, Hensher, and Swait. 2000)","manualFormatting":"Louiviere et al. 2000)","plainTextFormattedCitation":"(Louiviere, Hensher, and Swait. 2000)","previouslyFormattedCitation":"(Louiviere, Hensher, and Swait. 2000)"},"properties":{"noteIndex":0},"schema":"https://github.com/citation-style-language/schema/raw/master/csl-citation.json"}</w:instrText>
      </w:r>
      <w:r w:rsidR="008172D2" w:rsidRPr="008172D2">
        <w:rPr>
          <w:sz w:val="24"/>
          <w:szCs w:val="24"/>
        </w:rPr>
        <w:fldChar w:fldCharType="separate"/>
      </w:r>
      <w:r w:rsidR="008172D2" w:rsidRPr="008172D2">
        <w:rPr>
          <w:noProof/>
          <w:sz w:val="24"/>
          <w:szCs w:val="24"/>
        </w:rPr>
        <w:t>Louiviere et al. 2000)</w:t>
      </w:r>
      <w:r w:rsidR="008172D2" w:rsidRPr="008172D2">
        <w:rPr>
          <w:sz w:val="24"/>
          <w:szCs w:val="24"/>
        </w:rPr>
        <w:fldChar w:fldCharType="end"/>
      </w:r>
      <w:r w:rsidR="008172D2">
        <w:rPr>
          <w:sz w:val="24"/>
          <w:szCs w:val="24"/>
        </w:rPr>
        <w:t xml:space="preserve">. </w:t>
      </w:r>
    </w:p>
    <w:p w14:paraId="59755FA6" w14:textId="36072E88" w:rsidR="00E12028" w:rsidRDefault="00E12028"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564DBB35" w14:textId="3B656441" w:rsidR="001F69F9" w:rsidRDefault="001F69F9" w:rsidP="001F6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u w:val="single"/>
        </w:rPr>
      </w:pPr>
      <w:r>
        <w:rPr>
          <w:sz w:val="24"/>
          <w:szCs w:val="24"/>
          <w:u w:val="single"/>
        </w:rPr>
        <w:t>Estimation procedure</w:t>
      </w:r>
    </w:p>
    <w:p w14:paraId="5AC1C3B0" w14:textId="629D9240" w:rsidR="00DB6675" w:rsidRDefault="00DB6675" w:rsidP="0080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The most critical input for estimating the angler behavioral model are the d</w:t>
      </w:r>
      <w:r w:rsidR="00805EA4">
        <w:rPr>
          <w:sz w:val="24"/>
          <w:szCs w:val="24"/>
        </w:rPr>
        <w:t xml:space="preserve">ata collected from </w:t>
      </w:r>
      <w:r>
        <w:rPr>
          <w:sz w:val="24"/>
          <w:szCs w:val="24"/>
        </w:rPr>
        <w:t xml:space="preserve">Section B of the </w:t>
      </w:r>
      <w:r w:rsidR="00CA0835">
        <w:rPr>
          <w:sz w:val="24"/>
          <w:szCs w:val="24"/>
        </w:rPr>
        <w:t>NARFS</w:t>
      </w:r>
      <w:r>
        <w:rPr>
          <w:sz w:val="24"/>
          <w:szCs w:val="24"/>
        </w:rPr>
        <w:t>, the discrete choice experiment</w:t>
      </w:r>
      <w:r w:rsidR="00805EA4">
        <w:rPr>
          <w:sz w:val="24"/>
          <w:szCs w:val="24"/>
        </w:rPr>
        <w:t>.</w:t>
      </w:r>
      <w:r>
        <w:rPr>
          <w:sz w:val="24"/>
          <w:szCs w:val="24"/>
        </w:rPr>
        <w:t xml:space="preserve"> Each question in this section presents respondents with three options—two hypothetical North Atlantic cod and haddock fishing trips that vary in catch</w:t>
      </w:r>
      <w:r w:rsidR="007C117A">
        <w:rPr>
          <w:sz w:val="24"/>
          <w:szCs w:val="24"/>
        </w:rPr>
        <w:t xml:space="preserve"> levels</w:t>
      </w:r>
      <w:r>
        <w:rPr>
          <w:sz w:val="24"/>
          <w:szCs w:val="24"/>
        </w:rPr>
        <w:t xml:space="preserve">, regulations, and cost, and the option to not go recreational saltwater fishing—and asks them to indicate which of the three options </w:t>
      </w:r>
      <w:r w:rsidR="000D3262">
        <w:rPr>
          <w:sz w:val="24"/>
          <w:szCs w:val="24"/>
        </w:rPr>
        <w:t xml:space="preserve">would be their first and second choice if they were presented with these options in the real world. </w:t>
      </w:r>
      <w:r w:rsidR="00CB2298">
        <w:rPr>
          <w:sz w:val="24"/>
          <w:szCs w:val="24"/>
        </w:rPr>
        <w:t xml:space="preserve">We use these data to </w:t>
      </w:r>
      <w:r w:rsidR="009C179D">
        <w:rPr>
          <w:sz w:val="24"/>
          <w:szCs w:val="24"/>
        </w:rPr>
        <w:t>estimate</w:t>
      </w:r>
      <w:r w:rsidR="00CB2298">
        <w:rPr>
          <w:sz w:val="24"/>
          <w:szCs w:val="24"/>
        </w:rPr>
        <w:t xml:space="preserve"> a vector of parameters </w:t>
      </w:r>
      <m:oMath>
        <m:r>
          <w:rPr>
            <w:rFonts w:ascii="Cambria Math" w:hAnsi="Cambria Math"/>
            <w:sz w:val="24"/>
            <w:szCs w:val="24"/>
          </w:rPr>
          <m:t>β'</m:t>
        </m:r>
      </m:oMath>
      <w:r w:rsidR="00CB2298">
        <w:rPr>
          <w:sz w:val="24"/>
          <w:szCs w:val="24"/>
        </w:rPr>
        <w:t xml:space="preserve"> that </w:t>
      </w:r>
      <w:r w:rsidR="007C117A">
        <w:rPr>
          <w:sz w:val="24"/>
          <w:szCs w:val="24"/>
        </w:rPr>
        <w:t xml:space="preserve">represent </w:t>
      </w:r>
      <w:r w:rsidR="003A7CEB">
        <w:rPr>
          <w:sz w:val="24"/>
          <w:szCs w:val="24"/>
        </w:rPr>
        <w:t>marginal utilities</w:t>
      </w:r>
      <w:r w:rsidR="007C117A">
        <w:rPr>
          <w:sz w:val="24"/>
          <w:szCs w:val="24"/>
        </w:rPr>
        <w:t xml:space="preserve"> </w:t>
      </w:r>
      <w:r w:rsidR="003A7CEB">
        <w:rPr>
          <w:sz w:val="24"/>
          <w:szCs w:val="24"/>
        </w:rPr>
        <w:t xml:space="preserve">of </w:t>
      </w:r>
      <w:r w:rsidR="007C117A">
        <w:rPr>
          <w:sz w:val="24"/>
          <w:szCs w:val="24"/>
        </w:rPr>
        <w:t>fishing trip attribute</w:t>
      </w:r>
      <w:r w:rsidR="00F61FBE">
        <w:rPr>
          <w:sz w:val="24"/>
          <w:szCs w:val="24"/>
        </w:rPr>
        <w:t>s</w:t>
      </w:r>
      <w:r w:rsidR="003A7CEB">
        <w:rPr>
          <w:sz w:val="24"/>
          <w:szCs w:val="24"/>
        </w:rPr>
        <w:t xml:space="preserve"> included in the discrete choice experiment</w:t>
      </w:r>
      <w:r w:rsidR="007C117A">
        <w:rPr>
          <w:sz w:val="24"/>
          <w:szCs w:val="24"/>
        </w:rPr>
        <w:t xml:space="preserve">. </w:t>
      </w:r>
    </w:p>
    <w:p w14:paraId="2CD280DF" w14:textId="77777777" w:rsidR="00DB6675" w:rsidRDefault="00DB6675" w:rsidP="0080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56B0986B" w14:textId="7A4187BE" w:rsidR="000D3262" w:rsidRPr="00353315"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 xml:space="preserve">We </w:t>
      </w:r>
      <w:r>
        <w:rPr>
          <w:sz w:val="24"/>
          <w:szCs w:val="24"/>
        </w:rPr>
        <w:t>will analyze</w:t>
      </w:r>
      <w:r w:rsidRPr="00353315">
        <w:rPr>
          <w:sz w:val="24"/>
          <w:szCs w:val="24"/>
        </w:rPr>
        <w:t xml:space="preserve"> </w:t>
      </w:r>
      <w:r w:rsidR="007C117A">
        <w:rPr>
          <w:sz w:val="24"/>
          <w:szCs w:val="24"/>
        </w:rPr>
        <w:t>the discrete choice experiment</w:t>
      </w:r>
      <w:r w:rsidR="007C117A" w:rsidRPr="00353315">
        <w:rPr>
          <w:sz w:val="24"/>
          <w:szCs w:val="24"/>
        </w:rPr>
        <w:t xml:space="preserve"> </w:t>
      </w:r>
      <w:r w:rsidRPr="00353315">
        <w:rPr>
          <w:sz w:val="24"/>
          <w:szCs w:val="24"/>
        </w:rPr>
        <w:t xml:space="preserve">data </w:t>
      </w:r>
      <w:r w:rsidR="007C117A">
        <w:rPr>
          <w:sz w:val="24"/>
          <w:szCs w:val="24"/>
        </w:rPr>
        <w:t xml:space="preserve">collected by the </w:t>
      </w:r>
      <w:r w:rsidR="00CA0835">
        <w:rPr>
          <w:sz w:val="24"/>
          <w:szCs w:val="24"/>
        </w:rPr>
        <w:t>NARFS</w:t>
      </w:r>
      <w:r w:rsidR="007C117A">
        <w:rPr>
          <w:sz w:val="24"/>
          <w:szCs w:val="24"/>
        </w:rPr>
        <w:t xml:space="preserve"> </w:t>
      </w:r>
      <w:r w:rsidRPr="00353315">
        <w:rPr>
          <w:sz w:val="24"/>
          <w:szCs w:val="24"/>
        </w:rPr>
        <w:t>using random utility maximization (RUM) models</w:t>
      </w:r>
      <w:r>
        <w:rPr>
          <w:sz w:val="24"/>
          <w:szCs w:val="24"/>
        </w:rPr>
        <w:t>, which</w:t>
      </w:r>
      <w:r w:rsidRPr="00353315">
        <w:rPr>
          <w:sz w:val="24"/>
          <w:szCs w:val="24"/>
        </w:rPr>
        <w:t xml:space="preserve"> decompose utility into its observable and unobservable components </w:t>
      </w:r>
      <w:r w:rsidRPr="00353315">
        <w:rPr>
          <w:sz w:val="24"/>
          <w:szCs w:val="24"/>
        </w:rPr>
        <w:fldChar w:fldCharType="begin" w:fldLock="1"/>
      </w:r>
      <w:r w:rsidR="003A7CEB">
        <w:rPr>
          <w:sz w:val="24"/>
          <w:szCs w:val="24"/>
        </w:rPr>
        <w:instrText>ADDIN CSL_CITATION {"citationItems":[{"id":"ITEM-1","itemData":{"abstract":"This paper outlines a general procedure for formulating econometric models of population choice behavior from distributions of individual decision rules. A concrete case with useful empirical properties, conditional logit analysis, is developed in detail. The relevance of these methods to economic anaiysis can be indicated by a list of the consumer choice problems to which conditional logit analysis has been applied: choice of college attended, choice of occupa- tion, labor force participation, choice of geographical location and migration, choice of number of children, housing choice, choice of number and brand of automobiles owned, choice of shopping travel mode and destination.","author":[{"dropping-particle":"","family":"McFadden","given":"Daniel","non-dropping-particle":"","parse-names":false,"suffix":""}],"chapter-number":"4","container-title":"Frontiers in Econometrics","id":"ITEM-1","issued":{"date-parts":[["1973"]]},"page":"105–142","publisher-place":"New York","title":"Conditional logit analysis of qualitative choice behavior","type":"chapter"},"uris":["http://www.mendeley.com/documents/?uuid=f8e24ab0-762a-4750-8cf0-6231bd4f9196"]}],"mendeley":{"formattedCitation":"(McFadden 1973)","plainTextFormattedCitation":"(McFadden 1973)","previouslyFormattedCitation":"(McFadden 1973)"},"properties":{"noteIndex":0},"schema":"https://github.com/citation-style-language/schema/raw/master/csl-citation.json"}</w:instrText>
      </w:r>
      <w:r w:rsidRPr="00353315">
        <w:rPr>
          <w:sz w:val="24"/>
          <w:szCs w:val="24"/>
        </w:rPr>
        <w:fldChar w:fldCharType="separate"/>
      </w:r>
      <w:r w:rsidRPr="00353315">
        <w:rPr>
          <w:noProof/>
          <w:sz w:val="24"/>
          <w:szCs w:val="24"/>
        </w:rPr>
        <w:t>(McFadden 1973)</w:t>
      </w:r>
      <w:r w:rsidRPr="00353315">
        <w:rPr>
          <w:sz w:val="24"/>
          <w:szCs w:val="24"/>
        </w:rPr>
        <w:fldChar w:fldCharType="end"/>
      </w:r>
      <w:r w:rsidRPr="00353315">
        <w:rPr>
          <w:sz w:val="24"/>
          <w:szCs w:val="24"/>
        </w:rPr>
        <w:t xml:space="preserve">. RUM models assume that when faced with multiple alternatives, individual </w:t>
      </w:r>
      <w:r w:rsidRPr="00353315">
        <w:rPr>
          <w:i/>
          <w:sz w:val="24"/>
          <w:szCs w:val="24"/>
        </w:rPr>
        <w:t xml:space="preserve">n </w:t>
      </w:r>
      <w:r w:rsidRPr="00353315">
        <w:rPr>
          <w:sz w:val="24"/>
          <w:szCs w:val="24"/>
        </w:rPr>
        <w:t xml:space="preserve">will select alternative </w:t>
      </w:r>
      <m:oMath>
        <m:r>
          <w:rPr>
            <w:rFonts w:ascii="Cambria Math" w:hAnsi="Cambria Math"/>
            <w:sz w:val="24"/>
            <w:szCs w:val="24"/>
          </w:rPr>
          <m:t>i</m:t>
        </m:r>
      </m:oMath>
      <w:r w:rsidRPr="00353315">
        <w:rPr>
          <w:sz w:val="24"/>
          <w:szCs w:val="24"/>
        </w:rPr>
        <w:t xml:space="preserve"> that maximizes utility,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ni</m:t>
            </m:r>
          </m:sub>
        </m:sSub>
      </m:oMath>
      <w:r w:rsidR="004033A3">
        <w:rPr>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8314"/>
        <w:gridCol w:w="540"/>
      </w:tblGrid>
      <w:tr w:rsidR="000D3262" w:rsidRPr="00353315" w14:paraId="1830FCDC" w14:textId="77777777" w:rsidTr="0094229B">
        <w:trPr>
          <w:trHeight w:hRule="exact" w:val="144"/>
        </w:trPr>
        <w:tc>
          <w:tcPr>
            <w:tcW w:w="9360" w:type="dxa"/>
            <w:gridSpan w:val="3"/>
          </w:tcPr>
          <w:p w14:paraId="4FD42234"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0D3262" w:rsidRPr="00353315" w14:paraId="2DFC7A38" w14:textId="77777777" w:rsidTr="0094229B">
        <w:trPr>
          <w:trHeight w:hRule="exact" w:val="432"/>
        </w:trPr>
        <w:tc>
          <w:tcPr>
            <w:tcW w:w="506" w:type="dxa"/>
          </w:tcPr>
          <w:p w14:paraId="2A6140D7"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4" w:type="dxa"/>
            <w:vAlign w:val="center"/>
          </w:tcPr>
          <w:p w14:paraId="7001456E" w14:textId="77777777" w:rsidR="000D3262" w:rsidRPr="00353315" w:rsidRDefault="0083784A"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ni</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 xml:space="preserve"> ∀ j≠i</m:t>
                </m:r>
              </m:oMath>
            </m:oMathPara>
          </w:p>
        </w:tc>
        <w:tc>
          <w:tcPr>
            <w:tcW w:w="540" w:type="dxa"/>
            <w:vAlign w:val="center"/>
          </w:tcPr>
          <w:p w14:paraId="7BD1782E"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(1)</w:t>
            </w:r>
          </w:p>
        </w:tc>
      </w:tr>
      <w:tr w:rsidR="000D3262" w:rsidRPr="00353315" w14:paraId="58A676A8" w14:textId="77777777" w:rsidTr="0094229B">
        <w:trPr>
          <w:trHeight w:hRule="exact" w:val="288"/>
        </w:trPr>
        <w:tc>
          <w:tcPr>
            <w:tcW w:w="506" w:type="dxa"/>
          </w:tcPr>
          <w:p w14:paraId="49E97369"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4" w:type="dxa"/>
            <w:vAlign w:val="center"/>
          </w:tcPr>
          <w:p w14:paraId="1BFD5E69"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40" w:type="dxa"/>
            <w:vAlign w:val="center"/>
          </w:tcPr>
          <w:p w14:paraId="621B9EC3"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0522E061" w14:textId="5E00FE62" w:rsidR="000D3262" w:rsidRPr="00353315"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 xml:space="preserve">Partitioning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ni</m:t>
            </m:r>
          </m:sub>
        </m:sSub>
      </m:oMath>
      <w:r w:rsidRPr="00353315">
        <w:rPr>
          <w:sz w:val="24"/>
          <w:szCs w:val="24"/>
        </w:rPr>
        <w:t xml:space="preserve"> into its two component parts, the choice of alternative </w:t>
      </w:r>
      <m:oMath>
        <m:r>
          <w:rPr>
            <w:rFonts w:ascii="Cambria Math" w:hAnsi="Cambria Math"/>
            <w:sz w:val="24"/>
            <w:szCs w:val="24"/>
          </w:rPr>
          <m:t>i</m:t>
        </m:r>
      </m:oMath>
      <w:r w:rsidRPr="00353315">
        <w:rPr>
          <w:sz w:val="24"/>
          <w:szCs w:val="24"/>
        </w:rPr>
        <w:t xml:space="preserve"> is such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8314"/>
        <w:gridCol w:w="540"/>
      </w:tblGrid>
      <w:tr w:rsidR="000D3262" w:rsidRPr="00353315" w14:paraId="4194679E" w14:textId="77777777" w:rsidTr="0094229B">
        <w:trPr>
          <w:trHeight w:hRule="exact" w:val="144"/>
        </w:trPr>
        <w:tc>
          <w:tcPr>
            <w:tcW w:w="506" w:type="dxa"/>
          </w:tcPr>
          <w:p w14:paraId="26069872"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4" w:type="dxa"/>
            <w:vAlign w:val="center"/>
          </w:tcPr>
          <w:p w14:paraId="66131186"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40" w:type="dxa"/>
            <w:vAlign w:val="center"/>
          </w:tcPr>
          <w:p w14:paraId="04941FCB"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0D3262" w:rsidRPr="00353315" w14:paraId="76DCE0AB" w14:textId="77777777" w:rsidTr="0094229B">
        <w:trPr>
          <w:trHeight w:hRule="exact" w:val="432"/>
        </w:trPr>
        <w:tc>
          <w:tcPr>
            <w:tcW w:w="506" w:type="dxa"/>
          </w:tcPr>
          <w:p w14:paraId="7557ED11"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4" w:type="dxa"/>
            <w:vAlign w:val="center"/>
          </w:tcPr>
          <w:p w14:paraId="492E88C1" w14:textId="5A2CC8DC" w:rsidR="000D3262" w:rsidRPr="00353315" w:rsidRDefault="0083784A"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ni</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r>
                  <w:rPr>
                    <w:rFonts w:ascii="Cambria Math" w:hAnsi="Cambria Math"/>
                    <w:sz w:val="24"/>
                    <w:szCs w:val="24"/>
                  </w:rPr>
                  <m:t xml:space="preserve"> ∀ j≠i,</m:t>
                </m:r>
              </m:oMath>
            </m:oMathPara>
          </w:p>
        </w:tc>
        <w:tc>
          <w:tcPr>
            <w:tcW w:w="540" w:type="dxa"/>
            <w:vAlign w:val="center"/>
          </w:tcPr>
          <w:p w14:paraId="19413D64"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(2)</w:t>
            </w:r>
          </w:p>
        </w:tc>
      </w:tr>
      <w:tr w:rsidR="000D3262" w:rsidRPr="00353315" w14:paraId="7CDAF082" w14:textId="77777777" w:rsidTr="0094229B">
        <w:trPr>
          <w:trHeight w:hRule="exact" w:val="288"/>
        </w:trPr>
        <w:tc>
          <w:tcPr>
            <w:tcW w:w="506" w:type="dxa"/>
          </w:tcPr>
          <w:p w14:paraId="12A3FAEF"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4" w:type="dxa"/>
            <w:vAlign w:val="center"/>
          </w:tcPr>
          <w:p w14:paraId="37DE4B36"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40" w:type="dxa"/>
            <w:vAlign w:val="center"/>
          </w:tcPr>
          <w:p w14:paraId="65F82CC8"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7649B517" w14:textId="2266C7CC" w:rsidR="000D3262" w:rsidRPr="00353315"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oMath>
      <w:r w:rsidR="005B755F">
        <w:rPr>
          <w:sz w:val="24"/>
          <w:szCs w:val="24"/>
        </w:rPr>
        <w:t xml:space="preserve"> i</w:t>
      </w:r>
      <w:r w:rsidRPr="00353315">
        <w:rPr>
          <w:sz w:val="24"/>
          <w:szCs w:val="24"/>
        </w:rPr>
        <w:t xml:space="preserve">s a function typically specified to be linear in parameters,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oMath>
      <w:r w:rsidRPr="00353315">
        <w:rPr>
          <w:sz w:val="24"/>
          <w:szCs w:val="24"/>
        </w:rPr>
        <w:t xml:space="preserve">, that relates observed attributes to utility and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oMath>
      <w:r w:rsidRPr="00353315">
        <w:rPr>
          <w:sz w:val="24"/>
          <w:szCs w:val="24"/>
        </w:rPr>
        <w:t xml:space="preserve"> captures the utility derived from all other unobservable factors. The utility parameters </w:t>
      </w:r>
      <m:oMath>
        <m:r>
          <w:rPr>
            <w:rFonts w:ascii="Cambria Math" w:hAnsi="Cambria Math"/>
            <w:sz w:val="24"/>
            <w:szCs w:val="24"/>
          </w:rPr>
          <m:t>β'</m:t>
        </m:r>
      </m:oMath>
      <w:r w:rsidRPr="00353315">
        <w:rPr>
          <w:sz w:val="24"/>
          <w:szCs w:val="24"/>
        </w:rPr>
        <w:t xml:space="preserve"> measure the relative importance of the attributes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oMath>
      <w:r w:rsidRPr="00353315">
        <w:rPr>
          <w:sz w:val="24"/>
          <w:szCs w:val="24"/>
        </w:rPr>
        <w:t xml:space="preserve"> that describe alternative </w:t>
      </w:r>
      <m:oMath>
        <m:r>
          <w:rPr>
            <w:rFonts w:ascii="Cambria Math" w:hAnsi="Cambria Math"/>
            <w:sz w:val="24"/>
            <w:szCs w:val="24"/>
          </w:rPr>
          <m:t>j</m:t>
        </m:r>
      </m:oMath>
      <w:r w:rsidRPr="00353315">
        <w:rPr>
          <w:sz w:val="24"/>
          <w:szCs w:val="24"/>
        </w:rPr>
        <w:t xml:space="preserve">. Because </w:t>
      </w:r>
      <m:oMath>
        <m:r>
          <w:rPr>
            <w:rFonts w:ascii="Cambria Math" w:hAnsi="Cambria Math"/>
            <w:sz w:val="24"/>
            <w:szCs w:val="24"/>
          </w:rPr>
          <m:t>ε</m:t>
        </m:r>
      </m:oMath>
      <w:r w:rsidRPr="00353315">
        <w:rPr>
          <w:sz w:val="24"/>
          <w:szCs w:val="24"/>
        </w:rPr>
        <w:t xml:space="preserve"> is stochastic, it is not possible to determine absolute levels of utility; however, probabilistic inference about individuals' choices can be made under the standard assumption for logit models that these terms are </w:t>
      </w:r>
      <w:r>
        <w:rPr>
          <w:sz w:val="24"/>
          <w:szCs w:val="24"/>
        </w:rPr>
        <w:t>independently and identically distributed</w:t>
      </w:r>
      <w:r w:rsidRPr="00353315">
        <w:rPr>
          <w:sz w:val="24"/>
          <w:szCs w:val="24"/>
        </w:rPr>
        <w:t xml:space="preserve"> Type I extreme value. From Equation 2, the probability that angler </w:t>
      </w:r>
      <m:oMath>
        <m:r>
          <w:rPr>
            <w:rFonts w:ascii="Cambria Math" w:hAnsi="Cambria Math"/>
            <w:sz w:val="24"/>
            <w:szCs w:val="24"/>
          </w:rPr>
          <m:t>n</m:t>
        </m:r>
      </m:oMath>
      <w:r w:rsidRPr="00353315">
        <w:rPr>
          <w:sz w:val="24"/>
          <w:szCs w:val="24"/>
        </w:rPr>
        <w:t xml:space="preserve"> selects fishing alternative </w:t>
      </w:r>
      <m:oMath>
        <m:r>
          <w:rPr>
            <w:rFonts w:ascii="Cambria Math" w:hAnsi="Cambria Math"/>
            <w:sz w:val="24"/>
            <w:szCs w:val="24"/>
          </w:rPr>
          <m:t>i</m:t>
        </m:r>
      </m:oMath>
      <w:r w:rsidRPr="00353315">
        <w:rPr>
          <w:sz w:val="24"/>
          <w:szCs w:val="24"/>
        </w:rPr>
        <w:t xml:space="preser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8317"/>
        <w:gridCol w:w="540"/>
      </w:tblGrid>
      <w:tr w:rsidR="000D3262" w:rsidRPr="00353315" w14:paraId="37C9B836" w14:textId="77777777" w:rsidTr="0094229B">
        <w:trPr>
          <w:trHeight w:hRule="exact" w:val="144"/>
        </w:trPr>
        <w:tc>
          <w:tcPr>
            <w:tcW w:w="9360" w:type="dxa"/>
            <w:gridSpan w:val="3"/>
          </w:tcPr>
          <w:p w14:paraId="04B53BF4"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4033A3" w:rsidRPr="00353315" w14:paraId="5889D148" w14:textId="77777777" w:rsidTr="0094229B">
        <w:trPr>
          <w:trHeight w:hRule="exact" w:val="432"/>
        </w:trPr>
        <w:tc>
          <w:tcPr>
            <w:tcW w:w="503" w:type="dxa"/>
          </w:tcPr>
          <w:p w14:paraId="50ACCEC7"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7" w:type="dxa"/>
            <w:vAlign w:val="center"/>
          </w:tcPr>
          <w:p w14:paraId="108575FF" w14:textId="0C63188A" w:rsidR="000D3262" w:rsidRPr="00353315" w:rsidRDefault="0083784A"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ni</m:t>
                    </m:r>
                  </m:sub>
                </m:sSub>
                <m:r>
                  <w:rPr>
                    <w:rFonts w:ascii="Cambria Math" w:hAnsi="Cambria Math"/>
                    <w:sz w:val="24"/>
                    <w:szCs w:val="24"/>
                  </w:rPr>
                  <m:t>=Prob</m:t>
                </m:r>
                <m:d>
                  <m:dPr>
                    <m:begChr m:val="["/>
                    <m:endChr m:val="]"/>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e>
                    </m:d>
                    <m:r>
                      <m:rPr>
                        <m:sty m:val="p"/>
                      </m:rPr>
                      <w:rPr>
                        <w:rFonts w:ascii="Cambria Math" w:hAnsi="Cambria Math"/>
                        <w:sz w:val="24"/>
                        <w:szCs w:val="24"/>
                      </w:rPr>
                      <m:t>&lt;</m:t>
                    </m:r>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β'x</m:t>
                        </m:r>
                      </m:e>
                      <m:sub>
                        <m:r>
                          <w:rPr>
                            <w:rFonts w:ascii="Cambria Math" w:hAnsi="Cambria Math"/>
                            <w:sz w:val="24"/>
                            <w:szCs w:val="24"/>
                          </w:rPr>
                          <m:t>nj</m:t>
                        </m:r>
                      </m:sub>
                    </m:sSub>
                    <m:r>
                      <w:rPr>
                        <w:rFonts w:ascii="Cambria Math" w:hAnsi="Cambria Math"/>
                        <w:sz w:val="24"/>
                        <w:szCs w:val="24"/>
                      </w:rPr>
                      <m:t>)- V(</m:t>
                    </m:r>
                    <m:sSub>
                      <m:sSubPr>
                        <m:ctrlPr>
                          <w:rPr>
                            <w:rFonts w:ascii="Cambria Math" w:hAnsi="Cambria Math"/>
                            <w:i/>
                            <w:sz w:val="24"/>
                            <w:szCs w:val="24"/>
                          </w:rPr>
                        </m:ctrlPr>
                      </m:sSubPr>
                      <m:e>
                        <m:r>
                          <w:rPr>
                            <w:rFonts w:ascii="Cambria Math" w:hAnsi="Cambria Math"/>
                            <w:sz w:val="24"/>
                            <w:szCs w:val="24"/>
                          </w:rPr>
                          <m:t>β'x</m:t>
                        </m:r>
                      </m:e>
                      <m:sub>
                        <m:r>
                          <w:rPr>
                            <w:rFonts w:ascii="Cambria Math" w:hAnsi="Cambria Math"/>
                            <w:sz w:val="24"/>
                            <w:szCs w:val="24"/>
                          </w:rPr>
                          <m:t>ni</m:t>
                        </m:r>
                      </m:sub>
                    </m:sSub>
                    <m:r>
                      <w:rPr>
                        <w:rFonts w:ascii="Cambria Math" w:hAnsi="Cambria Math"/>
                        <w:sz w:val="24"/>
                        <w:szCs w:val="24"/>
                      </w:rPr>
                      <m:t>)</m:t>
                    </m:r>
                  </m:e>
                </m:d>
                <m:r>
                  <w:rPr>
                    <w:rFonts w:ascii="Cambria Math" w:hAnsi="Cambria Math"/>
                    <w:sz w:val="24"/>
                    <w:szCs w:val="24"/>
                  </w:rPr>
                  <m:t xml:space="preserve"> ∀ j≠i</m:t>
                </m:r>
              </m:oMath>
            </m:oMathPara>
          </w:p>
        </w:tc>
        <w:tc>
          <w:tcPr>
            <w:tcW w:w="540" w:type="dxa"/>
            <w:vAlign w:val="center"/>
          </w:tcPr>
          <w:p w14:paraId="6B0C78F9" w14:textId="77777777" w:rsidR="000D3262" w:rsidRPr="00353315" w:rsidRDefault="000D3262"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353315">
              <w:rPr>
                <w:sz w:val="24"/>
                <w:szCs w:val="24"/>
              </w:rPr>
              <w:t>(3)</w:t>
            </w:r>
          </w:p>
        </w:tc>
      </w:tr>
      <w:tr w:rsidR="00AD3676" w:rsidRPr="00353315" w14:paraId="3A08F046" w14:textId="77777777" w:rsidTr="0094229B">
        <w:trPr>
          <w:trHeight w:hRule="exact" w:val="288"/>
        </w:trPr>
        <w:tc>
          <w:tcPr>
            <w:tcW w:w="503" w:type="dxa"/>
          </w:tcPr>
          <w:p w14:paraId="2EBE1EDB" w14:textId="77777777" w:rsidR="00AD3676" w:rsidRPr="00353315"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17" w:type="dxa"/>
            <w:vAlign w:val="center"/>
          </w:tcPr>
          <w:p w14:paraId="4EB27466" w14:textId="77777777" w:rsidR="00AD3676" w:rsidRPr="00616709"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40" w:type="dxa"/>
            <w:vAlign w:val="center"/>
          </w:tcPr>
          <w:p w14:paraId="2F2859C7" w14:textId="77777777" w:rsidR="00AD3676" w:rsidRPr="00353315"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7A48943A" w14:textId="5E57258A"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D3262">
        <w:rPr>
          <w:sz w:val="24"/>
          <w:szCs w:val="24"/>
        </w:rPr>
        <w:fldChar w:fldCharType="begin" w:fldLock="1"/>
      </w:r>
      <w:r w:rsidRPr="000D3262">
        <w:rPr>
          <w:sz w:val="24"/>
          <w:szCs w:val="24"/>
        </w:rPr>
        <w:instrText>ADDIN CSL_CITATION {"citationItems":[{"id":"ITEM-1","itemData":{"author":[{"dropping-particle":"","family":"Train","given":"Kenneth","non-dropping-particle":"","parse-names":false,"suffix":""}],"id":"ITEM-1","issued":{"date-parts":[["2003"]]},"publisher":"Cambridge University Press","publisher-place":"New York","title":"Discrete Choice Methods with Simulation","type":"book"},"uris":["http://www.mendeley.com/documents/?uuid=1587126f-a66e-4293-8052-6a9655920e4e"]}],"mendeley":{"formattedCitation":"(Train 2003)","manualFormatting":"Train (2003)","plainTextFormattedCitation":"(Train 2003)","previouslyFormattedCitation":"(Train 2003)"},"properties":{"noteIndex":0},"schema":"https://github.com/citation-style-language/schema/raw/master/csl-citation.json"}</w:instrText>
      </w:r>
      <w:r w:rsidRPr="000D3262">
        <w:rPr>
          <w:sz w:val="24"/>
          <w:szCs w:val="24"/>
        </w:rPr>
        <w:fldChar w:fldCharType="separate"/>
      </w:r>
      <w:r w:rsidRPr="000D3262">
        <w:rPr>
          <w:noProof/>
          <w:sz w:val="24"/>
          <w:szCs w:val="24"/>
        </w:rPr>
        <w:t>Train (2003)</w:t>
      </w:r>
      <w:r w:rsidRPr="000D3262">
        <w:rPr>
          <w:sz w:val="24"/>
          <w:szCs w:val="24"/>
        </w:rPr>
        <w:fldChar w:fldCharType="end"/>
      </w:r>
      <w:r w:rsidRPr="000D3262">
        <w:rPr>
          <w:sz w:val="24"/>
          <w:szCs w:val="24"/>
        </w:rPr>
        <w:t xml:space="preserve"> calculates this probability for a m</w:t>
      </w:r>
      <w:r w:rsidR="003238A8">
        <w:rPr>
          <w:sz w:val="24"/>
          <w:szCs w:val="24"/>
        </w:rPr>
        <w:t>ultinomial logit (MNL) model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80"/>
        <w:gridCol w:w="535"/>
      </w:tblGrid>
      <w:tr w:rsidR="000D3262" w:rsidRPr="000D3262" w14:paraId="771D0755" w14:textId="77777777" w:rsidTr="004033A3">
        <w:trPr>
          <w:trHeight w:hRule="exact" w:val="144"/>
        </w:trPr>
        <w:tc>
          <w:tcPr>
            <w:tcW w:w="535" w:type="dxa"/>
          </w:tcPr>
          <w:p w14:paraId="4D6B7A4B" w14:textId="77777777"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2F3F6797" w14:textId="77777777"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2E75C540" w14:textId="77777777"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0D3262" w:rsidRPr="000D3262" w14:paraId="51352874" w14:textId="77777777" w:rsidTr="0094229B">
        <w:trPr>
          <w:trHeight w:hRule="exact" w:val="864"/>
        </w:trPr>
        <w:tc>
          <w:tcPr>
            <w:tcW w:w="535" w:type="dxa"/>
          </w:tcPr>
          <w:p w14:paraId="2FAF34FA" w14:textId="77777777"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6F902047" w14:textId="44E16334" w:rsidR="000D3262" w:rsidRPr="000D3262" w:rsidRDefault="00837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ni</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ni</m:t>
                            </m:r>
                          </m:sub>
                        </m:sSub>
                      </m:sup>
                    </m:sSup>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J</m:t>
                        </m:r>
                      </m:sup>
                      <m:e>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sup>
                        </m:sSup>
                      </m:e>
                    </m:nary>
                  </m:den>
                </m:f>
              </m:oMath>
            </m:oMathPara>
          </w:p>
        </w:tc>
        <w:tc>
          <w:tcPr>
            <w:tcW w:w="535" w:type="dxa"/>
            <w:vAlign w:val="center"/>
          </w:tcPr>
          <w:p w14:paraId="07332C3F" w14:textId="77777777" w:rsidR="000D3262" w:rsidRPr="000D3262" w:rsidRDefault="000D3262"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D3262">
              <w:rPr>
                <w:sz w:val="24"/>
                <w:szCs w:val="24"/>
              </w:rPr>
              <w:t>(4)</w:t>
            </w:r>
          </w:p>
        </w:tc>
      </w:tr>
      <w:tr w:rsidR="00AD3676" w:rsidRPr="000D3262" w14:paraId="42BC1D19" w14:textId="77777777" w:rsidTr="0094229B">
        <w:trPr>
          <w:trHeight w:hRule="exact" w:val="288"/>
        </w:trPr>
        <w:tc>
          <w:tcPr>
            <w:tcW w:w="535" w:type="dxa"/>
          </w:tcPr>
          <w:p w14:paraId="114F48AC" w14:textId="77777777" w:rsidR="00AD3676" w:rsidRPr="000D3262" w:rsidRDefault="00AD3676"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29A3B7D7" w14:textId="77777777" w:rsidR="00AD3676" w:rsidRPr="00616709"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08D08648" w14:textId="77777777" w:rsidR="00AD3676" w:rsidRPr="000D3262" w:rsidRDefault="00AD3676" w:rsidP="000D3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57F3B248" w14:textId="187C4DF8" w:rsidR="000D3262" w:rsidRDefault="006756D7"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 xml:space="preserve">The probability of each individual in the sample choosing the alternative they were observed to actually choose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80"/>
        <w:gridCol w:w="535"/>
      </w:tblGrid>
      <w:tr w:rsidR="006756D7" w:rsidRPr="000D3262" w14:paraId="498C3733" w14:textId="77777777" w:rsidTr="004033A3">
        <w:trPr>
          <w:trHeight w:hRule="exact" w:val="144"/>
        </w:trPr>
        <w:tc>
          <w:tcPr>
            <w:tcW w:w="535" w:type="dxa"/>
          </w:tcPr>
          <w:p w14:paraId="20351A61"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3041CE7C"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679B3D51"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6756D7" w:rsidRPr="000D3262" w14:paraId="33A3099C" w14:textId="77777777" w:rsidTr="004033A3">
        <w:trPr>
          <w:trHeight w:hRule="exact" w:val="981"/>
        </w:trPr>
        <w:tc>
          <w:tcPr>
            <w:tcW w:w="535" w:type="dxa"/>
          </w:tcPr>
          <w:p w14:paraId="232E7326"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4804478E" w14:textId="5D3BD91C" w:rsidR="006756D7" w:rsidRPr="000D3262" w:rsidRDefault="006756D7"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r>
                  <w:rPr>
                    <w:rFonts w:ascii="Cambria Math" w:hAnsi="Cambria Math"/>
                    <w:sz w:val="24"/>
                    <w:szCs w:val="24"/>
                  </w:rPr>
                  <m:t>L(β')=</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ni</m:t>
                                </m:r>
                              </m:sub>
                            </m:sSub>
                            <m:r>
                              <w:rPr>
                                <w:rFonts w:ascii="Cambria Math" w:hAnsi="Cambria Math"/>
                                <w:sz w:val="24"/>
                                <w:szCs w:val="24"/>
                              </w:rPr>
                              <m:t>)</m:t>
                            </m:r>
                          </m:e>
                          <m:sup>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ni</m:t>
                                </m:r>
                              </m:sub>
                            </m:sSub>
                          </m:sup>
                        </m:sSup>
                      </m:e>
                    </m:nary>
                    <m:r>
                      <w:rPr>
                        <w:rFonts w:ascii="Cambria Math" w:hAnsi="Cambria Math"/>
                        <w:sz w:val="24"/>
                        <w:szCs w:val="24"/>
                      </w:rPr>
                      <m:t>,</m:t>
                    </m:r>
                  </m:e>
                </m:nary>
              </m:oMath>
            </m:oMathPara>
          </w:p>
        </w:tc>
        <w:tc>
          <w:tcPr>
            <w:tcW w:w="535" w:type="dxa"/>
            <w:vAlign w:val="center"/>
          </w:tcPr>
          <w:p w14:paraId="6739E8C0" w14:textId="58C54516" w:rsidR="006756D7" w:rsidRPr="000D3262" w:rsidRDefault="003238A8"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(5</w:t>
            </w:r>
            <w:r w:rsidR="006756D7" w:rsidRPr="000D3262">
              <w:rPr>
                <w:sz w:val="24"/>
                <w:szCs w:val="24"/>
              </w:rPr>
              <w:t>)</w:t>
            </w:r>
          </w:p>
        </w:tc>
      </w:tr>
      <w:tr w:rsidR="00AD3676" w:rsidRPr="000D3262" w14:paraId="69D8FDD9" w14:textId="77777777" w:rsidTr="0094229B">
        <w:trPr>
          <w:trHeight w:hRule="exact" w:val="288"/>
        </w:trPr>
        <w:tc>
          <w:tcPr>
            <w:tcW w:w="535" w:type="dxa"/>
          </w:tcPr>
          <w:p w14:paraId="11C5B74E" w14:textId="77777777" w:rsidR="00AD3676" w:rsidRPr="000D3262"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6915ECBF" w14:textId="77777777" w:rsidR="00AD3676"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09284B2F" w14:textId="77777777" w:rsidR="00AD3676"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168CD026" w14:textId="45587676" w:rsidR="000D3262" w:rsidRDefault="004033A3" w:rsidP="003A7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ni</m:t>
            </m:r>
          </m:sub>
        </m:sSub>
        <m:r>
          <w:rPr>
            <w:rFonts w:ascii="Cambria Math" w:hAnsi="Cambria Math"/>
            <w:sz w:val="24"/>
            <w:szCs w:val="24"/>
          </w:rPr>
          <m:t>=1</m:t>
        </m:r>
      </m:oMath>
      <w:r>
        <w:rPr>
          <w:sz w:val="24"/>
          <w:szCs w:val="24"/>
        </w:rPr>
        <w:t xml:space="preserve"> if an individual is observed to choose alternative </w:t>
      </w:r>
      <w:r w:rsidRPr="00353315">
        <w:rPr>
          <w:i/>
          <w:sz w:val="24"/>
          <w:szCs w:val="24"/>
        </w:rPr>
        <w:t>n</w:t>
      </w:r>
      <w:r>
        <w:rPr>
          <w:sz w:val="24"/>
          <w:szCs w:val="24"/>
        </w:rPr>
        <w:t xml:space="preserve">, and zero otherwise. </w:t>
      </w:r>
      <w:r w:rsidR="003238A8">
        <w:rPr>
          <w:sz w:val="24"/>
          <w:szCs w:val="24"/>
        </w:rPr>
        <w:t>We will obtain</w:t>
      </w:r>
      <w:r w:rsidR="003A7CEB">
        <w:rPr>
          <w:sz w:val="24"/>
          <w:szCs w:val="24"/>
        </w:rPr>
        <w:t>, using</w:t>
      </w:r>
      <w:r w:rsidR="003238A8">
        <w:rPr>
          <w:sz w:val="24"/>
          <w:szCs w:val="24"/>
        </w:rPr>
        <w:t xml:space="preserve"> </w:t>
      </w:r>
      <w:r w:rsidR="000D3262">
        <w:rPr>
          <w:sz w:val="24"/>
          <w:szCs w:val="24"/>
        </w:rPr>
        <w:t xml:space="preserve">maximum likelihood </w:t>
      </w:r>
      <w:r w:rsidR="003238A8">
        <w:rPr>
          <w:sz w:val="24"/>
          <w:szCs w:val="24"/>
        </w:rPr>
        <w:t>procedures</w:t>
      </w:r>
      <w:r w:rsidR="003A7CEB">
        <w:rPr>
          <w:sz w:val="24"/>
          <w:szCs w:val="24"/>
        </w:rPr>
        <w:t>,</w:t>
      </w:r>
      <w:r w:rsidR="003238A8">
        <w:rPr>
          <w:sz w:val="24"/>
          <w:szCs w:val="24"/>
        </w:rPr>
        <w:t xml:space="preserve"> </w:t>
      </w:r>
      <w:r w:rsidR="000D3262">
        <w:rPr>
          <w:sz w:val="24"/>
          <w:szCs w:val="24"/>
        </w:rPr>
        <w:t>estimate</w:t>
      </w:r>
      <w:r w:rsidR="003238A8">
        <w:rPr>
          <w:sz w:val="24"/>
          <w:szCs w:val="24"/>
        </w:rPr>
        <w:t>s</w:t>
      </w:r>
      <w:r w:rsidR="000D3262">
        <w:rPr>
          <w:sz w:val="24"/>
          <w:szCs w:val="24"/>
        </w:rPr>
        <w:t xml:space="preserve"> of the parameter vector </w:t>
      </w:r>
      <m:oMath>
        <m:r>
          <w:rPr>
            <w:rFonts w:ascii="Cambria Math" w:hAnsi="Cambria Math"/>
            <w:sz w:val="24"/>
            <w:szCs w:val="24"/>
          </w:rPr>
          <m:t>β'</m:t>
        </m:r>
      </m:oMath>
      <w:r w:rsidR="006756D7">
        <w:rPr>
          <w:sz w:val="24"/>
          <w:szCs w:val="24"/>
        </w:rPr>
        <w:t xml:space="preserve"> that </w:t>
      </w:r>
      <w:r w:rsidR="003238A8">
        <w:rPr>
          <w:sz w:val="24"/>
          <w:szCs w:val="24"/>
        </w:rPr>
        <w:t>maximize</w:t>
      </w:r>
      <w:r w:rsidR="006756D7">
        <w:rPr>
          <w:sz w:val="24"/>
          <w:szCs w:val="24"/>
        </w:rPr>
        <w:t xml:space="preserve"> the log likelihood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80"/>
        <w:gridCol w:w="535"/>
      </w:tblGrid>
      <w:tr w:rsidR="006756D7" w:rsidRPr="000D3262" w14:paraId="122ECB80" w14:textId="77777777" w:rsidTr="004033A3">
        <w:trPr>
          <w:trHeight w:hRule="exact" w:val="144"/>
        </w:trPr>
        <w:tc>
          <w:tcPr>
            <w:tcW w:w="535" w:type="dxa"/>
          </w:tcPr>
          <w:p w14:paraId="53BE7775"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4CF99780"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1E35D4BB"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6756D7" w:rsidRPr="000D3262" w14:paraId="5E7059CA" w14:textId="77777777" w:rsidTr="0094229B">
        <w:trPr>
          <w:trHeight w:hRule="exact" w:val="981"/>
        </w:trPr>
        <w:tc>
          <w:tcPr>
            <w:tcW w:w="535" w:type="dxa"/>
          </w:tcPr>
          <w:p w14:paraId="28419E81" w14:textId="77777777" w:rsidR="006756D7" w:rsidRPr="000D3262" w:rsidRDefault="006756D7"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786A8CC2" w14:textId="5B86B5AA" w:rsidR="006756D7" w:rsidRPr="000D3262" w:rsidRDefault="006756D7"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
                <m:r>
                  <w:rPr>
                    <w:rFonts w:ascii="Cambria Math" w:hAnsi="Cambria Math"/>
                    <w:sz w:val="24"/>
                    <w:szCs w:val="24"/>
                  </w:rPr>
                  <m:t>LL(β')=</m:t>
                </m:r>
                <m:nary>
                  <m:naryPr>
                    <m:chr m:val="∑"/>
                    <m:limLoc m:val="undOvr"/>
                    <m:supHide m:val="1"/>
                    <m:ctrlPr>
                      <w:rPr>
                        <w:rFonts w:ascii="Cambria Math" w:hAnsi="Cambria Math"/>
                        <w:i/>
                        <w:sz w:val="24"/>
                        <w:szCs w:val="24"/>
                      </w:rPr>
                    </m:ctrlPr>
                  </m:naryPr>
                  <m:sub>
                    <m:r>
                      <w:rPr>
                        <w:rFonts w:ascii="Cambria Math" w:hAnsi="Cambria Math"/>
                        <w:sz w:val="24"/>
                        <w:szCs w:val="24"/>
                      </w:rPr>
                      <m:t>n</m:t>
                    </m:r>
                  </m:sub>
                  <m:sup/>
                  <m:e>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ni</m:t>
                            </m:r>
                          </m:sub>
                        </m:sSub>
                        <m:r>
                          <m:rPr>
                            <m:sty m:val="p"/>
                          </m:rPr>
                          <w:rPr>
                            <w:rFonts w:ascii="Cambria Math" w:hAnsi="Cambria Math"/>
                            <w:sz w:val="24"/>
                            <w:szCs w:val="24"/>
                          </w:rPr>
                          <m:t>ln</m:t>
                        </m:r>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ni</m:t>
                                        </m:r>
                                      </m:sub>
                                    </m:sSub>
                                  </m:sup>
                                </m:sSup>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J</m:t>
                                    </m:r>
                                  </m:sup>
                                  <m:e>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β</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sup>
                                    </m:sSup>
                                  </m:e>
                                </m:nary>
                              </m:den>
                            </m:f>
                          </m:e>
                        </m:d>
                      </m:e>
                    </m:nary>
                  </m:e>
                </m:nary>
              </m:oMath>
            </m:oMathPara>
          </w:p>
        </w:tc>
        <w:tc>
          <w:tcPr>
            <w:tcW w:w="535" w:type="dxa"/>
            <w:vAlign w:val="center"/>
          </w:tcPr>
          <w:p w14:paraId="2AA6DCC6" w14:textId="501B270A" w:rsidR="006756D7" w:rsidRPr="000D3262" w:rsidRDefault="006756D7" w:rsidP="003A7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D3262">
              <w:rPr>
                <w:sz w:val="24"/>
                <w:szCs w:val="24"/>
              </w:rPr>
              <w:t>(</w:t>
            </w:r>
            <w:r w:rsidR="00CB2298">
              <w:rPr>
                <w:sz w:val="24"/>
                <w:szCs w:val="24"/>
              </w:rPr>
              <w:t>6</w:t>
            </w:r>
            <w:r w:rsidRPr="000D3262">
              <w:rPr>
                <w:sz w:val="24"/>
                <w:szCs w:val="24"/>
              </w:rPr>
              <w:t>)</w:t>
            </w:r>
          </w:p>
        </w:tc>
      </w:tr>
      <w:tr w:rsidR="00AD3676" w:rsidRPr="000D3262" w14:paraId="53EF1AB8" w14:textId="77777777" w:rsidTr="0094229B">
        <w:trPr>
          <w:trHeight w:hRule="exact" w:val="288"/>
        </w:trPr>
        <w:tc>
          <w:tcPr>
            <w:tcW w:w="535" w:type="dxa"/>
          </w:tcPr>
          <w:p w14:paraId="2EAE3317" w14:textId="77777777" w:rsidR="00AD3676" w:rsidRPr="000D3262"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280" w:type="dxa"/>
            <w:vAlign w:val="center"/>
          </w:tcPr>
          <w:p w14:paraId="6BEAD7B0" w14:textId="77777777" w:rsidR="00AD3676"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35" w:type="dxa"/>
            <w:vAlign w:val="center"/>
          </w:tcPr>
          <w:p w14:paraId="2B616F14" w14:textId="77777777" w:rsidR="00AD3676" w:rsidRPr="000D3262" w:rsidRDefault="00AD3676" w:rsidP="00CB2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3055832E" w14:textId="7D657D9E" w:rsidR="004033A3" w:rsidRPr="004033A3" w:rsidRDefault="009C179D"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F</w:t>
      </w:r>
      <w:r w:rsidR="004033A3" w:rsidRPr="004033A3">
        <w:rPr>
          <w:sz w:val="24"/>
          <w:szCs w:val="24"/>
        </w:rPr>
        <w:t xml:space="preserve">ishing trip utility </w:t>
      </w:r>
      <w:r w:rsidR="003A7CEB">
        <w:rPr>
          <w:sz w:val="24"/>
          <w:szCs w:val="24"/>
        </w:rPr>
        <w:t xml:space="preserve">will be modeled </w:t>
      </w:r>
      <w:r w:rsidR="004033A3" w:rsidRPr="004033A3">
        <w:rPr>
          <w:sz w:val="24"/>
          <w:szCs w:val="24"/>
        </w:rPr>
        <w:t xml:space="preserve">as a function of the number of </w:t>
      </w:r>
      <w:r w:rsidR="004033A3">
        <w:rPr>
          <w:sz w:val="24"/>
          <w:szCs w:val="24"/>
        </w:rPr>
        <w:t>North Atlantic cod and haddock kept and released</w:t>
      </w:r>
      <w:r w:rsidR="005B755F">
        <w:rPr>
          <w:sz w:val="24"/>
          <w:szCs w:val="24"/>
        </w:rPr>
        <w:t xml:space="preserve">, </w:t>
      </w:r>
      <w:r w:rsidR="004033A3">
        <w:rPr>
          <w:sz w:val="24"/>
          <w:szCs w:val="24"/>
        </w:rPr>
        <w:t xml:space="preserve">the trip length, the trip cost, </w:t>
      </w:r>
      <w:r w:rsidR="004033A3" w:rsidRPr="004033A3">
        <w:rPr>
          <w:sz w:val="24"/>
          <w:szCs w:val="24"/>
        </w:rPr>
        <w:t xml:space="preserve">and </w:t>
      </w:r>
      <w:r w:rsidR="004033A3">
        <w:rPr>
          <w:sz w:val="24"/>
          <w:szCs w:val="24"/>
        </w:rPr>
        <w:t xml:space="preserve">an indictor variable for the “do not go fishing” </w:t>
      </w:r>
      <w:r w:rsidR="004033A3" w:rsidRPr="004033A3">
        <w:rPr>
          <w:sz w:val="24"/>
          <w:szCs w:val="24"/>
        </w:rPr>
        <w:t>alternative</w:t>
      </w:r>
      <w:r w:rsidR="004033A3">
        <w:rPr>
          <w:sz w:val="24"/>
          <w:szCs w:val="24"/>
        </w:rPr>
        <w:t xml:space="preserve">. To allow for diminishing marginal utility of catch, as is common in the recreational demand literature, </w:t>
      </w:r>
      <w:r w:rsidR="003238A8">
        <w:rPr>
          <w:sz w:val="24"/>
          <w:szCs w:val="24"/>
        </w:rPr>
        <w:t xml:space="preserve">each </w:t>
      </w:r>
      <w:r w:rsidR="004033A3">
        <w:rPr>
          <w:sz w:val="24"/>
          <w:szCs w:val="24"/>
        </w:rPr>
        <w:t>catch variable</w:t>
      </w:r>
      <w:r w:rsidR="003238A8">
        <w:rPr>
          <w:sz w:val="24"/>
          <w:szCs w:val="24"/>
        </w:rPr>
        <w:t xml:space="preserve"> </w:t>
      </w:r>
      <w:r w:rsidR="004033A3">
        <w:rPr>
          <w:sz w:val="24"/>
          <w:szCs w:val="24"/>
        </w:rPr>
        <w:t xml:space="preserve">enters the model as </w:t>
      </w:r>
      <w:r w:rsidR="003238A8">
        <w:rPr>
          <w:sz w:val="24"/>
          <w:szCs w:val="24"/>
        </w:rPr>
        <w:t>its</w:t>
      </w:r>
      <w:r w:rsidR="004033A3">
        <w:rPr>
          <w:sz w:val="24"/>
          <w:szCs w:val="24"/>
        </w:rPr>
        <w:t xml:space="preserve"> square root. </w:t>
      </w:r>
      <w:r w:rsidR="003238A8">
        <w:rPr>
          <w:sz w:val="24"/>
          <w:szCs w:val="24"/>
        </w:rPr>
        <w:t>B</w:t>
      </w:r>
      <w:r w:rsidR="002B069B">
        <w:rPr>
          <w:sz w:val="24"/>
          <w:szCs w:val="24"/>
        </w:rPr>
        <w:t xml:space="preserve">elow is our baseline </w:t>
      </w:r>
      <w:r w:rsidR="003238A8">
        <w:rPr>
          <w:sz w:val="24"/>
          <w:szCs w:val="24"/>
        </w:rPr>
        <w:t xml:space="preserve">model of </w:t>
      </w:r>
      <w:r w:rsidR="003238A8" w:rsidRPr="004033A3">
        <w:rPr>
          <w:sz w:val="24"/>
          <w:szCs w:val="24"/>
        </w:rPr>
        <w:t>fishing trip utility</w:t>
      </w:r>
      <w:r w:rsidR="003238A8">
        <w:rPr>
          <w:sz w:val="24"/>
          <w:szCs w:val="24"/>
        </w:rPr>
        <w:t>. P</w:t>
      </w:r>
      <w:r w:rsidR="002B069B">
        <w:rPr>
          <w:sz w:val="24"/>
          <w:szCs w:val="24"/>
        </w:rPr>
        <w:t xml:space="preserve">reliminary model testing will </w:t>
      </w:r>
      <w:r w:rsidR="003238A8">
        <w:rPr>
          <w:sz w:val="24"/>
          <w:szCs w:val="24"/>
        </w:rPr>
        <w:t xml:space="preserve">dictate </w:t>
      </w:r>
      <w:r w:rsidR="005B755F">
        <w:rPr>
          <w:sz w:val="24"/>
          <w:szCs w:val="24"/>
        </w:rPr>
        <w:t xml:space="preserve">the </w:t>
      </w:r>
      <w:r w:rsidR="002B069B">
        <w:rPr>
          <w:sz w:val="24"/>
          <w:szCs w:val="24"/>
        </w:rPr>
        <w:t>control variables</w:t>
      </w:r>
      <w:r w:rsidR="005B755F">
        <w:rPr>
          <w:sz w:val="24"/>
          <w:szCs w:val="24"/>
        </w:rPr>
        <w:t xml:space="preserve"> derived </w:t>
      </w:r>
      <w:r w:rsidR="002B069B">
        <w:rPr>
          <w:sz w:val="24"/>
          <w:szCs w:val="24"/>
        </w:rPr>
        <w:t xml:space="preserve">from Sections A, C, and D of the </w:t>
      </w:r>
      <w:r w:rsidR="00CA0835">
        <w:rPr>
          <w:sz w:val="24"/>
          <w:szCs w:val="24"/>
        </w:rPr>
        <w:t>NARFS</w:t>
      </w:r>
      <w:r w:rsidR="005B755F">
        <w:rPr>
          <w:sz w:val="24"/>
          <w:szCs w:val="24"/>
        </w:rPr>
        <w:t xml:space="preserve"> that we</w:t>
      </w:r>
      <w:r w:rsidR="003238A8">
        <w:rPr>
          <w:sz w:val="24"/>
          <w:szCs w:val="24"/>
        </w:rPr>
        <w:t xml:space="preserve"> include</w:t>
      </w:r>
      <w:r w:rsidR="002B069B">
        <w:rPr>
          <w:sz w:val="24"/>
          <w:szCs w:val="24"/>
        </w:rPr>
        <w:t xml:space="preserve"> the model.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325"/>
        <w:gridCol w:w="540"/>
      </w:tblGrid>
      <w:tr w:rsidR="004033A3" w:rsidRPr="004033A3" w14:paraId="313495B5" w14:textId="77777777" w:rsidTr="0094229B">
        <w:trPr>
          <w:trHeight w:hRule="exact" w:val="288"/>
        </w:trPr>
        <w:tc>
          <w:tcPr>
            <w:tcW w:w="9360" w:type="dxa"/>
            <w:gridSpan w:val="3"/>
          </w:tcPr>
          <w:p w14:paraId="5B965480" w14:textId="77777777" w:rsidR="004033A3" w:rsidRPr="004033A3" w:rsidRDefault="004033A3"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4033A3" w:rsidRPr="004033A3" w14:paraId="0B9B0BDA" w14:textId="77777777" w:rsidTr="0094229B">
        <w:trPr>
          <w:trHeight w:hRule="exact" w:val="576"/>
        </w:trPr>
        <w:tc>
          <w:tcPr>
            <w:tcW w:w="495" w:type="dxa"/>
          </w:tcPr>
          <w:p w14:paraId="4960071C" w14:textId="77777777" w:rsidR="004033A3" w:rsidRPr="004033A3" w:rsidRDefault="004033A3"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25" w:type="dxa"/>
            <w:vAlign w:val="center"/>
          </w:tcPr>
          <w:p w14:paraId="03FDAC85" w14:textId="0EFC4EF5" w:rsidR="004033A3" w:rsidRPr="00AD3676" w:rsidRDefault="0083784A" w:rsidP="00942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Cod_keep</m:t>
                        </m:r>
                      </m:e>
                      <m:sub>
                        <m:r>
                          <w:rPr>
                            <w:rFonts w:ascii="Cambria Math" w:hAnsi="Cambria Math"/>
                            <w:sz w:val="24"/>
                            <w:szCs w:val="24"/>
                          </w:rPr>
                          <m:t>nj</m:t>
                        </m:r>
                      </m:sub>
                    </m:sSub>
                  </m:e>
                </m:ra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Haddock_keep</m:t>
                        </m:r>
                      </m:e>
                      <m:sub>
                        <m:r>
                          <w:rPr>
                            <w:rFonts w:ascii="Cambria Math" w:hAnsi="Cambria Math"/>
                            <w:sz w:val="24"/>
                            <w:szCs w:val="24"/>
                          </w:rPr>
                          <m:t>nj</m:t>
                        </m:r>
                      </m:sub>
                    </m:sSub>
                  </m:e>
                </m:rad>
                <m:r>
                  <w:rPr>
                    <w:rFonts w:ascii="Cambria Math" w:hAnsi="Cambria Math"/>
                    <w:sz w:val="24"/>
                    <w:szCs w:val="24"/>
                  </w:rPr>
                  <m:t xml:space="preserve">                             </m:t>
                </m:r>
              </m:oMath>
            </m:oMathPara>
          </w:p>
        </w:tc>
        <w:tc>
          <w:tcPr>
            <w:tcW w:w="540" w:type="dxa"/>
          </w:tcPr>
          <w:p w14:paraId="35D01AA5" w14:textId="77777777" w:rsidR="004033A3" w:rsidRPr="004033A3" w:rsidRDefault="004033A3"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r w:rsidR="004033A3" w:rsidRPr="004033A3" w14:paraId="5BB5F8EE" w14:textId="77777777" w:rsidTr="0094229B">
        <w:trPr>
          <w:trHeight w:hRule="exact" w:val="576"/>
        </w:trPr>
        <w:tc>
          <w:tcPr>
            <w:tcW w:w="495" w:type="dxa"/>
          </w:tcPr>
          <w:p w14:paraId="562270DA" w14:textId="77777777" w:rsidR="004033A3" w:rsidRPr="004033A3" w:rsidRDefault="004033A3"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865" w:type="dxa"/>
            <w:gridSpan w:val="2"/>
            <w:vAlign w:val="center"/>
          </w:tcPr>
          <w:p w14:paraId="0250400E" w14:textId="10F91845" w:rsidR="004033A3" w:rsidRPr="00AD3676" w:rsidRDefault="002B069B" w:rsidP="00942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sz w:val="24"/>
                <w:szCs w:val="24"/>
              </w:rPr>
            </w:pPr>
            <m:oMathPara>
              <m:oMathParaPr>
                <m:jc m:val="center"/>
              </m:oMathParaPr>
              <m:oMath>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Cod_release</m:t>
                        </m:r>
                      </m:e>
                      <m:sub>
                        <m:r>
                          <w:rPr>
                            <w:rFonts w:ascii="Cambria Math" w:hAnsi="Cambria Math"/>
                            <w:sz w:val="24"/>
                            <w:szCs w:val="24"/>
                          </w:rPr>
                          <m:t>nj</m:t>
                        </m:r>
                      </m:sub>
                    </m:sSub>
                  </m:e>
                </m:ra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Haddock_release</m:t>
                        </m:r>
                      </m:e>
                      <m:sub>
                        <m:r>
                          <w:rPr>
                            <w:rFonts w:ascii="Cambria Math" w:hAnsi="Cambria Math"/>
                            <w:sz w:val="24"/>
                            <w:szCs w:val="24"/>
                          </w:rPr>
                          <m:t>nj</m:t>
                        </m:r>
                      </m:sub>
                    </m:sSub>
                  </m:e>
                </m:rad>
                <m:r>
                  <w:rPr>
                    <w:rFonts w:ascii="Cambria Math" w:hAnsi="Cambria Math"/>
                    <w:sz w:val="24"/>
                    <w:szCs w:val="24"/>
                  </w:rPr>
                  <m:t xml:space="preserve">                       </m:t>
                </m:r>
              </m:oMath>
            </m:oMathPara>
          </w:p>
        </w:tc>
      </w:tr>
      <w:tr w:rsidR="004033A3" w:rsidRPr="004033A3" w14:paraId="0EDCD1C3" w14:textId="77777777" w:rsidTr="0094229B">
        <w:trPr>
          <w:trHeight w:hRule="exact" w:val="576"/>
        </w:trPr>
        <w:tc>
          <w:tcPr>
            <w:tcW w:w="495" w:type="dxa"/>
          </w:tcPr>
          <w:p w14:paraId="6F1BA3DE" w14:textId="77777777" w:rsidR="004033A3" w:rsidRPr="004033A3" w:rsidRDefault="004033A3"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25" w:type="dxa"/>
            <w:vAlign w:val="center"/>
          </w:tcPr>
          <w:p w14:paraId="126A7197" w14:textId="75155664" w:rsidR="004033A3" w:rsidRPr="00AD3676" w:rsidRDefault="002B0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m:oMathPara>
              <m:oMathParaPr>
                <m:jc m:val="center"/>
              </m:oMathParaPr>
              <m:oMath>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Trip_length</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Trip_Cost</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7</m:t>
                    </m:r>
                  </m:sub>
                </m:sSub>
                <m:sSub>
                  <m:sSubPr>
                    <m:ctrlPr>
                      <w:rPr>
                        <w:rFonts w:ascii="Cambria Math" w:hAnsi="Cambria Math"/>
                        <w:i/>
                        <w:sz w:val="24"/>
                        <w:szCs w:val="24"/>
                      </w:rPr>
                    </m:ctrlPr>
                  </m:sSubPr>
                  <m:e>
                    <m:r>
                      <w:rPr>
                        <w:rFonts w:ascii="Cambria Math" w:hAnsi="Cambria Math"/>
                        <w:sz w:val="24"/>
                        <w:szCs w:val="24"/>
                      </w:rPr>
                      <m:t>No_fish</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oMath>
            </m:oMathPara>
          </w:p>
        </w:tc>
        <w:tc>
          <w:tcPr>
            <w:tcW w:w="540" w:type="dxa"/>
            <w:vAlign w:val="center"/>
          </w:tcPr>
          <w:p w14:paraId="18945DBD" w14:textId="3E35ED22" w:rsidR="004033A3" w:rsidRPr="004033A3" w:rsidRDefault="004033A3" w:rsidP="003A7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4033A3">
              <w:rPr>
                <w:sz w:val="24"/>
                <w:szCs w:val="24"/>
              </w:rPr>
              <w:t>(</w:t>
            </w:r>
            <w:r w:rsidR="00CB2298">
              <w:rPr>
                <w:sz w:val="24"/>
                <w:szCs w:val="24"/>
              </w:rPr>
              <w:t>7</w:t>
            </w:r>
            <w:r w:rsidRPr="004033A3">
              <w:rPr>
                <w:sz w:val="24"/>
                <w:szCs w:val="24"/>
              </w:rPr>
              <w:t>)</w:t>
            </w:r>
          </w:p>
        </w:tc>
      </w:tr>
      <w:tr w:rsidR="00AD3676" w:rsidRPr="004033A3" w14:paraId="5777EC6F" w14:textId="77777777" w:rsidTr="0094229B">
        <w:trPr>
          <w:trHeight w:hRule="exact" w:val="288"/>
        </w:trPr>
        <w:tc>
          <w:tcPr>
            <w:tcW w:w="495" w:type="dxa"/>
          </w:tcPr>
          <w:p w14:paraId="7A42F775" w14:textId="77777777" w:rsidR="00AD3676" w:rsidRPr="004033A3"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8325" w:type="dxa"/>
            <w:vAlign w:val="center"/>
          </w:tcPr>
          <w:p w14:paraId="761C4AE5" w14:textId="77777777" w:rsidR="00AD3676" w:rsidRDefault="00AD3676" w:rsidP="00AD3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c>
          <w:tcPr>
            <w:tcW w:w="540" w:type="dxa"/>
            <w:vAlign w:val="center"/>
          </w:tcPr>
          <w:p w14:paraId="36723C16" w14:textId="77777777" w:rsidR="00AD3676" w:rsidRPr="004033A3" w:rsidRDefault="00AD3676" w:rsidP="00403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tc>
      </w:tr>
    </w:tbl>
    <w:p w14:paraId="1F846D9D" w14:textId="55725A9A" w:rsidR="002C0672" w:rsidRDefault="007C117A" w:rsidP="003A7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7C117A">
        <w:rPr>
          <w:sz w:val="24"/>
          <w:szCs w:val="24"/>
        </w:rPr>
        <w:t xml:space="preserve">The </w:t>
      </w:r>
      <w:r>
        <w:rPr>
          <w:sz w:val="24"/>
          <w:szCs w:val="24"/>
        </w:rPr>
        <w:t xml:space="preserve">bioeconomic </w:t>
      </w:r>
      <w:r w:rsidRPr="007C117A">
        <w:rPr>
          <w:sz w:val="24"/>
          <w:szCs w:val="24"/>
        </w:rPr>
        <w:t xml:space="preserve">model is parameterized with </w:t>
      </w:r>
      <w:r w:rsidR="002C0672">
        <w:rPr>
          <w:sz w:val="24"/>
          <w:szCs w:val="24"/>
        </w:rPr>
        <w:t xml:space="preserve">the </w:t>
      </w:r>
      <w:r>
        <w:rPr>
          <w:sz w:val="24"/>
          <w:szCs w:val="24"/>
        </w:rPr>
        <w:t>estimated marginal utilities</w:t>
      </w:r>
      <w:r w:rsidR="002C0672">
        <w:rPr>
          <w:sz w:val="24"/>
          <w:szCs w:val="24"/>
        </w:rPr>
        <w:t>,</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oMath>
      <w:r w:rsidR="002C0672">
        <w:rPr>
          <w:sz w:val="24"/>
          <w:szCs w:val="24"/>
        </w:rPr>
        <w:t xml:space="preserve"> </w:t>
      </w:r>
      <w:r w:rsidR="009F08F9">
        <w:rPr>
          <w:sz w:val="24"/>
          <w:szCs w:val="24"/>
        </w:rPr>
        <w:t>through</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7</m:t>
            </m:r>
          </m:sub>
        </m:sSub>
      </m:oMath>
      <w:r w:rsidRPr="007C117A">
        <w:rPr>
          <w:sz w:val="24"/>
          <w:szCs w:val="24"/>
        </w:rPr>
        <w:t xml:space="preserve">. </w:t>
      </w:r>
      <w:r>
        <w:rPr>
          <w:sz w:val="24"/>
          <w:szCs w:val="24"/>
        </w:rPr>
        <w:t>It</w:t>
      </w:r>
      <w:r w:rsidRPr="007C117A">
        <w:rPr>
          <w:sz w:val="24"/>
          <w:szCs w:val="24"/>
        </w:rPr>
        <w:t xml:space="preserve"> account</w:t>
      </w:r>
      <w:r>
        <w:rPr>
          <w:sz w:val="24"/>
          <w:szCs w:val="24"/>
        </w:rPr>
        <w:t>s</w:t>
      </w:r>
      <w:r w:rsidRPr="007C117A">
        <w:rPr>
          <w:sz w:val="24"/>
          <w:szCs w:val="24"/>
        </w:rPr>
        <w:t xml:space="preserve"> for randomness in catch by simulating trip-level outcomes based on probabilistic catch-per-trip and catch-</w:t>
      </w:r>
      <w:r w:rsidR="009F08F9">
        <w:rPr>
          <w:sz w:val="24"/>
          <w:szCs w:val="24"/>
        </w:rPr>
        <w:t>at-length</w:t>
      </w:r>
      <w:r w:rsidRPr="007C117A">
        <w:rPr>
          <w:sz w:val="24"/>
          <w:szCs w:val="24"/>
        </w:rPr>
        <w:t xml:space="preserve"> distributions</w:t>
      </w:r>
      <w:r w:rsidR="00834012">
        <w:rPr>
          <w:sz w:val="24"/>
          <w:szCs w:val="24"/>
        </w:rPr>
        <w:t xml:space="preserve"> that are </w:t>
      </w:r>
      <w:r w:rsidRPr="007C117A">
        <w:rPr>
          <w:sz w:val="24"/>
          <w:szCs w:val="24"/>
        </w:rPr>
        <w:t xml:space="preserve">fitted with historical </w:t>
      </w:r>
      <w:r w:rsidR="002C0672">
        <w:rPr>
          <w:sz w:val="24"/>
          <w:szCs w:val="24"/>
        </w:rPr>
        <w:t xml:space="preserve">recreational fishing </w:t>
      </w:r>
      <w:r w:rsidRPr="007C117A">
        <w:rPr>
          <w:sz w:val="24"/>
          <w:szCs w:val="24"/>
        </w:rPr>
        <w:t xml:space="preserve">data. On each simulated trip, </w:t>
      </w:r>
      <w:r>
        <w:rPr>
          <w:sz w:val="24"/>
          <w:szCs w:val="24"/>
        </w:rPr>
        <w:t>the model</w:t>
      </w:r>
      <w:r w:rsidRPr="007C117A">
        <w:rPr>
          <w:sz w:val="24"/>
          <w:szCs w:val="24"/>
        </w:rPr>
        <w:t xml:space="preserve"> impose</w:t>
      </w:r>
      <w:r>
        <w:rPr>
          <w:sz w:val="24"/>
          <w:szCs w:val="24"/>
        </w:rPr>
        <w:t>s</w:t>
      </w:r>
      <w:r w:rsidRPr="007C117A">
        <w:rPr>
          <w:sz w:val="24"/>
          <w:szCs w:val="24"/>
        </w:rPr>
        <w:t xml:space="preserve"> and determine the </w:t>
      </w:r>
      <w:r w:rsidR="003A7CEB">
        <w:rPr>
          <w:sz w:val="24"/>
          <w:szCs w:val="24"/>
        </w:rPr>
        <w:t xml:space="preserve">relative </w:t>
      </w:r>
      <w:r w:rsidRPr="007C117A">
        <w:rPr>
          <w:sz w:val="24"/>
          <w:szCs w:val="24"/>
        </w:rPr>
        <w:t xml:space="preserve">effect of </w:t>
      </w:r>
      <w:r>
        <w:rPr>
          <w:sz w:val="24"/>
          <w:szCs w:val="24"/>
        </w:rPr>
        <w:t>alternative management option</w:t>
      </w:r>
      <w:r w:rsidR="00E305A5">
        <w:rPr>
          <w:sz w:val="24"/>
          <w:szCs w:val="24"/>
        </w:rPr>
        <w:t>s</w:t>
      </w:r>
      <w:r>
        <w:rPr>
          <w:sz w:val="24"/>
          <w:szCs w:val="24"/>
        </w:rPr>
        <w:t xml:space="preserve"> for the recreational North Atlantic cod and haddock fisheries on </w:t>
      </w:r>
      <w:r w:rsidRPr="007C117A">
        <w:rPr>
          <w:sz w:val="24"/>
          <w:szCs w:val="24"/>
        </w:rPr>
        <w:t>angler</w:t>
      </w:r>
      <w:r>
        <w:rPr>
          <w:sz w:val="24"/>
          <w:szCs w:val="24"/>
        </w:rPr>
        <w:t xml:space="preserve"> welfare and </w:t>
      </w:r>
      <w:r w:rsidRPr="007C117A">
        <w:rPr>
          <w:sz w:val="24"/>
          <w:szCs w:val="24"/>
        </w:rPr>
        <w:t>participation</w:t>
      </w:r>
      <w:r>
        <w:rPr>
          <w:sz w:val="24"/>
          <w:szCs w:val="24"/>
        </w:rPr>
        <w:t>. E</w:t>
      </w:r>
      <w:r w:rsidRPr="007C117A">
        <w:rPr>
          <w:sz w:val="24"/>
          <w:szCs w:val="24"/>
        </w:rPr>
        <w:t xml:space="preserve">stimates of angler participation </w:t>
      </w:r>
      <w:r>
        <w:rPr>
          <w:sz w:val="24"/>
          <w:szCs w:val="24"/>
        </w:rPr>
        <w:t xml:space="preserve">are used to </w:t>
      </w:r>
      <w:r w:rsidRPr="007C117A">
        <w:rPr>
          <w:sz w:val="24"/>
          <w:szCs w:val="24"/>
        </w:rPr>
        <w:t xml:space="preserve">evaluate policy-induced impacts to </w:t>
      </w:r>
      <w:r>
        <w:rPr>
          <w:sz w:val="24"/>
          <w:szCs w:val="24"/>
        </w:rPr>
        <w:t>recreational fishing mortality and future stock levels.</w:t>
      </w:r>
      <w:r w:rsidR="002C0672">
        <w:rPr>
          <w:sz w:val="24"/>
          <w:szCs w:val="24"/>
        </w:rPr>
        <w:t xml:space="preserve"> A detailed description of </w:t>
      </w:r>
      <w:r w:rsidR="00834012">
        <w:rPr>
          <w:sz w:val="24"/>
          <w:szCs w:val="24"/>
        </w:rPr>
        <w:t xml:space="preserve">how the utility parameters described above are integrated into </w:t>
      </w:r>
      <w:r w:rsidR="002C0672">
        <w:rPr>
          <w:sz w:val="24"/>
          <w:szCs w:val="24"/>
        </w:rPr>
        <w:t xml:space="preserve">the bioeconomic model is given in </w:t>
      </w:r>
      <w:r w:rsidR="00AD3676">
        <w:rPr>
          <w:sz w:val="24"/>
          <w:szCs w:val="24"/>
        </w:rPr>
        <w:fldChar w:fldCharType="begin" w:fldLock="1"/>
      </w:r>
      <w:r w:rsidR="003A7CEB">
        <w:rPr>
          <w:sz w:val="24"/>
          <w:szCs w:val="24"/>
        </w:rPr>
        <w:instrText>ADDIN CSL_CITATION {"citationItems":[{"id":"ITEM-1","itemData":{"author":[{"dropping-particle":"","family":"Lee","given":"Min-Yang","non-dropping-particle":"","parse-names":false,"suffix":""},{"dropping-particle":"","family":"Steinback","given":"Scott","non-dropping-particle":"","parse-names":false,"suffix":""},{"dropping-particle":"","family":"Wallmo","given":"Kristy","non-dropping-particle":"","parse-names":false,"suffix":""}],"id":"ITEM-1","issue":"2","issued":{"date-parts":[["2017"]]},"title":"Applying a Bioeconomic Model to Recreational Fisheries Management: Groundfish in the Northeast United States","type":"article-journal","volume":"32"},"uris":["http://www.mendeley.com/documents/?uuid=4f37fc22-8d06-4d2c-980e-76316c4427d3"]}],"mendeley":{"formattedCitation":"(Lee, Steinback, and Wallmo 2017)","manualFormatting":"Lee et al. (2017)","plainTextFormattedCitation":"(Lee, Steinback, and Wallmo 2017)","previouslyFormattedCitation":"(Lee, Steinback, and Wallmo 2017)"},"properties":{"noteIndex":0},"schema":"https://github.com/citation-style-language/schema/raw/master/csl-citation.json"}</w:instrText>
      </w:r>
      <w:r w:rsidR="00AD3676">
        <w:rPr>
          <w:sz w:val="24"/>
          <w:szCs w:val="24"/>
        </w:rPr>
        <w:fldChar w:fldCharType="separate"/>
      </w:r>
      <w:r w:rsidR="00AD3676" w:rsidRPr="00AD3676">
        <w:rPr>
          <w:noProof/>
          <w:sz w:val="24"/>
          <w:szCs w:val="24"/>
        </w:rPr>
        <w:t>Lee</w:t>
      </w:r>
      <w:r w:rsidR="00AD3676">
        <w:rPr>
          <w:noProof/>
          <w:sz w:val="24"/>
          <w:szCs w:val="24"/>
        </w:rPr>
        <w:t xml:space="preserve"> et al. </w:t>
      </w:r>
      <w:r w:rsidR="003A7CEB">
        <w:rPr>
          <w:noProof/>
          <w:sz w:val="24"/>
          <w:szCs w:val="24"/>
        </w:rPr>
        <w:t>(</w:t>
      </w:r>
      <w:r w:rsidR="00AD3676" w:rsidRPr="00AD3676">
        <w:rPr>
          <w:noProof/>
          <w:sz w:val="24"/>
          <w:szCs w:val="24"/>
        </w:rPr>
        <w:t>2017)</w:t>
      </w:r>
      <w:r w:rsidR="00AD3676">
        <w:rPr>
          <w:sz w:val="24"/>
          <w:szCs w:val="24"/>
        </w:rPr>
        <w:fldChar w:fldCharType="end"/>
      </w:r>
      <w:r w:rsidR="00AD3676">
        <w:rPr>
          <w:sz w:val="24"/>
          <w:szCs w:val="24"/>
        </w:rPr>
        <w:t>.</w:t>
      </w:r>
    </w:p>
    <w:p w14:paraId="2FE7B25E" w14:textId="77777777" w:rsidR="002C0672" w:rsidRDefault="002C0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6D13DD25" w14:textId="681B0AB5" w:rsidR="003238A8" w:rsidRDefault="00AD3676"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u w:val="single"/>
        </w:rPr>
        <w:t xml:space="preserve">The </w:t>
      </w:r>
      <w:r w:rsidRPr="0094229B">
        <w:rPr>
          <w:sz w:val="24"/>
          <w:szCs w:val="24"/>
          <w:u w:val="single"/>
        </w:rPr>
        <w:t>degree of accuracy needed for the purpose described in the justification</w:t>
      </w:r>
    </w:p>
    <w:p w14:paraId="76DE0676" w14:textId="37941EE8" w:rsidR="00E12028"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The number of </w:t>
      </w:r>
      <w:r w:rsidR="007E0682">
        <w:rPr>
          <w:sz w:val="24"/>
          <w:szCs w:val="24"/>
        </w:rPr>
        <w:t>completed</w:t>
      </w:r>
      <w:r w:rsidRPr="00C93614">
        <w:rPr>
          <w:sz w:val="24"/>
          <w:szCs w:val="24"/>
        </w:rPr>
        <w:t xml:space="preserve"> surveys needed to estimate the behavioral model parameters with adequate precision is based the experimental design of the CE. </w:t>
      </w:r>
      <w:r w:rsidR="00912A8C">
        <w:rPr>
          <w:sz w:val="24"/>
          <w:szCs w:val="24"/>
        </w:rPr>
        <w:t xml:space="preserve">We </w:t>
      </w:r>
      <w:r w:rsidR="00D70C3D">
        <w:rPr>
          <w:sz w:val="24"/>
          <w:szCs w:val="24"/>
        </w:rPr>
        <w:t xml:space="preserve">evaluated </w:t>
      </w:r>
      <w:r w:rsidR="00912A8C">
        <w:rPr>
          <w:sz w:val="24"/>
          <w:szCs w:val="24"/>
        </w:rPr>
        <w:t xml:space="preserve">the minimum sample size </w:t>
      </w:r>
      <w:r w:rsidR="00C56A37">
        <w:rPr>
          <w:sz w:val="24"/>
          <w:szCs w:val="24"/>
        </w:rPr>
        <w:t>required for the ensuing economic model</w:t>
      </w:r>
      <w:r w:rsidR="00912A8C">
        <w:rPr>
          <w:sz w:val="24"/>
          <w:szCs w:val="24"/>
        </w:rPr>
        <w:t xml:space="preserve"> using two methods: (1) a general rule of thumb</w:t>
      </w:r>
      <w:r w:rsidR="003E1E49">
        <w:rPr>
          <w:sz w:val="24"/>
          <w:szCs w:val="24"/>
        </w:rPr>
        <w:t>,</w:t>
      </w:r>
      <w:r w:rsidR="00912A8C">
        <w:rPr>
          <w:sz w:val="24"/>
          <w:szCs w:val="24"/>
        </w:rPr>
        <w:t xml:space="preserve"> and (2) </w:t>
      </w:r>
      <w:r w:rsidR="00D70C3D">
        <w:rPr>
          <w:sz w:val="24"/>
          <w:szCs w:val="24"/>
        </w:rPr>
        <w:t>an approach based on</w:t>
      </w:r>
      <w:r w:rsidR="00912A8C">
        <w:rPr>
          <w:sz w:val="24"/>
          <w:szCs w:val="24"/>
        </w:rPr>
        <w:t xml:space="preserve"> the statistical power of hypothesis tests </w:t>
      </w:r>
      <w:r w:rsidR="00C56A37">
        <w:rPr>
          <w:sz w:val="24"/>
          <w:szCs w:val="24"/>
        </w:rPr>
        <w:t>for</w:t>
      </w:r>
      <w:r w:rsidR="00912A8C">
        <w:rPr>
          <w:sz w:val="24"/>
          <w:szCs w:val="24"/>
        </w:rPr>
        <w:t xml:space="preserve"> estimated coefficient</w:t>
      </w:r>
      <w:r w:rsidR="00D70C3D">
        <w:rPr>
          <w:sz w:val="24"/>
          <w:szCs w:val="24"/>
        </w:rPr>
        <w:t>s of interest</w:t>
      </w:r>
      <w:r w:rsidR="00912A8C">
        <w:rPr>
          <w:sz w:val="24"/>
          <w:szCs w:val="24"/>
        </w:rPr>
        <w:t xml:space="preserve">. </w:t>
      </w:r>
    </w:p>
    <w:p w14:paraId="6AE9CEDE" w14:textId="77777777" w:rsidR="00E12028" w:rsidRDefault="00E12028"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202644CE" w14:textId="01DAF67B" w:rsidR="00C93614" w:rsidRDefault="00912A8C"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The</w:t>
      </w:r>
      <w:r w:rsidR="00C93614" w:rsidRPr="00C93614">
        <w:rPr>
          <w:sz w:val="24"/>
          <w:szCs w:val="24"/>
        </w:rPr>
        <w:t xml:space="preserve"> rule-of-thumb for determining the minimum sample size for CE modelling, given by Orme (2010) is to: set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446"/>
        <w:gridCol w:w="586"/>
      </w:tblGrid>
      <w:tr w:rsidR="00C93614" w:rsidRPr="00C93614" w14:paraId="2EEEB92C" w14:textId="77777777" w:rsidTr="00C93614">
        <w:trPr>
          <w:trHeight w:hRule="exact" w:val="144"/>
        </w:trPr>
        <w:tc>
          <w:tcPr>
            <w:tcW w:w="5000" w:type="pct"/>
            <w:gridSpan w:val="3"/>
          </w:tcPr>
          <w:p w14:paraId="772A5AEA" w14:textId="77777777" w:rsidR="00C93614" w:rsidRPr="00C93614" w:rsidRDefault="00C93614" w:rsidP="00F9028B">
            <w:pPr>
              <w:contextualSpacing/>
              <w:jc w:val="center"/>
            </w:pPr>
          </w:p>
        </w:tc>
      </w:tr>
      <w:tr w:rsidR="00C93614" w:rsidRPr="00C93614" w14:paraId="2D9307DA" w14:textId="77777777" w:rsidTr="00C93614">
        <w:trPr>
          <w:trHeight w:hRule="exact" w:val="576"/>
        </w:trPr>
        <w:tc>
          <w:tcPr>
            <w:tcW w:w="284" w:type="pct"/>
          </w:tcPr>
          <w:p w14:paraId="174291B2" w14:textId="77777777" w:rsidR="00C93614" w:rsidRPr="00C93614" w:rsidRDefault="00C93614" w:rsidP="00F9028B">
            <w:pPr>
              <w:contextualSpacing/>
            </w:pPr>
          </w:p>
        </w:tc>
        <w:tc>
          <w:tcPr>
            <w:tcW w:w="4410" w:type="pct"/>
            <w:vAlign w:val="center"/>
          </w:tcPr>
          <w:p w14:paraId="6FDC22CB" w14:textId="77777777" w:rsidR="00C93614" w:rsidRPr="00C93614" w:rsidRDefault="0083784A" w:rsidP="00F9028B">
            <w:pPr>
              <w:contextualSpacing/>
              <w:rPr>
                <w:sz w:val="24"/>
                <w:szCs w:val="24"/>
              </w:rPr>
            </w:pPr>
            <m:oMathPara>
              <m:oMath>
                <m:f>
                  <m:fPr>
                    <m:ctrlPr>
                      <w:rPr>
                        <w:rFonts w:ascii="Cambria Math" w:hAnsi="Cambria Math"/>
                        <w:i/>
                        <w:sz w:val="24"/>
                        <w:szCs w:val="24"/>
                      </w:rPr>
                    </m:ctrlPr>
                  </m:fPr>
                  <m:num>
                    <m:r>
                      <w:rPr>
                        <w:rFonts w:ascii="Cambria Math" w:hAnsi="Cambria Math"/>
                        <w:sz w:val="24"/>
                        <w:szCs w:val="24"/>
                      </w:rPr>
                      <m:t>nta</m:t>
                    </m:r>
                  </m:num>
                  <m:den>
                    <m:r>
                      <w:rPr>
                        <w:rFonts w:ascii="Cambria Math" w:hAnsi="Cambria Math"/>
                        <w:sz w:val="24"/>
                        <w:szCs w:val="24"/>
                      </w:rPr>
                      <m:t>c</m:t>
                    </m:r>
                  </m:den>
                </m:f>
                <m:r>
                  <w:rPr>
                    <w:rFonts w:ascii="Cambria Math" w:hAnsi="Cambria Math"/>
                    <w:sz w:val="24"/>
                    <w:szCs w:val="24"/>
                  </w:rPr>
                  <m:t>≥500</m:t>
                </m:r>
              </m:oMath>
            </m:oMathPara>
          </w:p>
          <w:p w14:paraId="6B2FAA5F" w14:textId="77777777" w:rsidR="00C93614" w:rsidRPr="00C93614" w:rsidRDefault="00C93614" w:rsidP="00F9028B">
            <w:pPr>
              <w:contextualSpacing/>
            </w:pPr>
          </w:p>
        </w:tc>
        <w:tc>
          <w:tcPr>
            <w:tcW w:w="306" w:type="pct"/>
            <w:vAlign w:val="center"/>
          </w:tcPr>
          <w:p w14:paraId="1EA7FC9E" w14:textId="0CEB278E" w:rsidR="00C93614" w:rsidRPr="00C93614" w:rsidRDefault="00C93614" w:rsidP="00F9028B">
            <w:pPr>
              <w:contextualSpacing/>
              <w:jc w:val="right"/>
            </w:pPr>
            <w:r w:rsidRPr="00C93614">
              <w:rPr>
                <w:sz w:val="24"/>
              </w:rPr>
              <w:t>(</w:t>
            </w:r>
            <w:r w:rsidR="003A7CEB">
              <w:rPr>
                <w:sz w:val="24"/>
              </w:rPr>
              <w:t>8</w:t>
            </w:r>
            <w:r w:rsidRPr="00C93614">
              <w:rPr>
                <w:sz w:val="24"/>
              </w:rPr>
              <w:t>)</w:t>
            </w:r>
          </w:p>
        </w:tc>
      </w:tr>
      <w:tr w:rsidR="00C93614" w:rsidRPr="00C93614" w14:paraId="50C78E48" w14:textId="77777777" w:rsidTr="0094229B">
        <w:trPr>
          <w:trHeight w:hRule="exact" w:val="288"/>
        </w:trPr>
        <w:tc>
          <w:tcPr>
            <w:tcW w:w="284" w:type="pct"/>
          </w:tcPr>
          <w:p w14:paraId="7CA0F07C" w14:textId="77777777" w:rsidR="00C93614" w:rsidRPr="00C93614" w:rsidRDefault="00C93614" w:rsidP="00F9028B">
            <w:pPr>
              <w:contextualSpacing/>
            </w:pPr>
          </w:p>
        </w:tc>
        <w:tc>
          <w:tcPr>
            <w:tcW w:w="4410" w:type="pct"/>
            <w:vAlign w:val="center"/>
          </w:tcPr>
          <w:p w14:paraId="4536D163" w14:textId="77777777" w:rsidR="00C93614" w:rsidRPr="00C93614" w:rsidRDefault="00C93614" w:rsidP="00F9028B">
            <w:pPr>
              <w:contextualSpacing/>
            </w:pPr>
          </w:p>
        </w:tc>
        <w:tc>
          <w:tcPr>
            <w:tcW w:w="306" w:type="pct"/>
            <w:vAlign w:val="center"/>
          </w:tcPr>
          <w:p w14:paraId="630BA50B" w14:textId="77777777" w:rsidR="00C93614" w:rsidRPr="00C93614" w:rsidRDefault="00C93614" w:rsidP="00F9028B">
            <w:pPr>
              <w:contextualSpacing/>
              <w:jc w:val="center"/>
            </w:pPr>
          </w:p>
        </w:tc>
      </w:tr>
    </w:tbl>
    <w:p w14:paraId="53BE03E3" w14:textId="2BA05188" w:rsidR="00912A8C" w:rsidRDefault="00C93614" w:rsidP="00F9028B">
      <w:pPr>
        <w:widowControl/>
        <w:contextualSpacing/>
        <w:rPr>
          <w:sz w:val="24"/>
          <w:szCs w:val="24"/>
        </w:rPr>
      </w:pPr>
      <w:r w:rsidRPr="00C93614">
        <w:rPr>
          <w:sz w:val="24"/>
          <w:szCs w:val="24"/>
        </w:rPr>
        <w:t xml:space="preserve">where </w:t>
      </w:r>
      <m:oMath>
        <m:r>
          <w:rPr>
            <w:rFonts w:ascii="Cambria Math" w:hAnsi="Cambria Math"/>
            <w:sz w:val="24"/>
            <w:szCs w:val="24"/>
          </w:rPr>
          <m:t>n</m:t>
        </m:r>
      </m:oMath>
      <w:r w:rsidRPr="00C93614">
        <w:rPr>
          <w:sz w:val="24"/>
          <w:szCs w:val="24"/>
        </w:rPr>
        <w:t xml:space="preserve"> is the number of respondents, </w:t>
      </w:r>
      <m:oMath>
        <m:r>
          <w:rPr>
            <w:rFonts w:ascii="Cambria Math" w:hAnsi="Cambria Math"/>
            <w:sz w:val="24"/>
            <w:szCs w:val="24"/>
          </w:rPr>
          <m:t>t</m:t>
        </m:r>
      </m:oMath>
      <w:r w:rsidRPr="00C93614">
        <w:rPr>
          <w:sz w:val="24"/>
          <w:szCs w:val="24"/>
        </w:rPr>
        <w:t xml:space="preserve"> is the number of choice tasks per respondent, </w:t>
      </w:r>
      <m:oMath>
        <m:r>
          <w:rPr>
            <w:rFonts w:ascii="Cambria Math" w:hAnsi="Cambria Math"/>
            <w:sz w:val="24"/>
            <w:szCs w:val="24"/>
          </w:rPr>
          <m:t>a</m:t>
        </m:r>
      </m:oMath>
      <w:r w:rsidRPr="00C93614">
        <w:rPr>
          <w:sz w:val="24"/>
          <w:szCs w:val="24"/>
        </w:rPr>
        <w:t xml:space="preserve"> is the number of alternative per choice task excluding the opt-out alternative, and </w:t>
      </w:r>
      <m:oMath>
        <m:r>
          <w:rPr>
            <w:rFonts w:ascii="Cambria Math" w:hAnsi="Cambria Math"/>
            <w:sz w:val="24"/>
            <w:szCs w:val="24"/>
          </w:rPr>
          <m:t>c</m:t>
        </m:r>
      </m:oMath>
      <w:r w:rsidRPr="00C93614">
        <w:rPr>
          <w:sz w:val="24"/>
          <w:szCs w:val="24"/>
        </w:rPr>
        <w:t xml:space="preserve"> is the largest number of levels for any one attribute for a main effects model. </w:t>
      </w:r>
      <w:r w:rsidR="00023B34">
        <w:rPr>
          <w:sz w:val="24"/>
          <w:szCs w:val="24"/>
        </w:rPr>
        <w:t>While t</w:t>
      </w:r>
      <w:r w:rsidRPr="00C93614">
        <w:rPr>
          <w:sz w:val="24"/>
          <w:szCs w:val="24"/>
        </w:rPr>
        <w:t xml:space="preserve">he value of 500 refers to the number of times each main effect level of interest should be represented across the design to have ample stability in the ensuing parameter estimates, Orme (2010) notes that this value </w:t>
      </w:r>
      <w:r w:rsidRPr="00C93614">
        <w:rPr>
          <w:rFonts w:eastAsia="Calibri"/>
          <w:sz w:val="24"/>
          <w:szCs w:val="24"/>
        </w:rPr>
        <w:t>“was intended to be a minimum threshold when researchers cannot afford to do better. It would be better, when possible, to have 1,000 or more representations per main-effect level”.</w:t>
      </w:r>
      <w:r w:rsidRPr="00C93614">
        <w:rPr>
          <w:rFonts w:ascii="NimbusRomNo9L-Regu" w:eastAsia="Calibri" w:hAnsi="NimbusRomNo9L-Regu" w:cs="NimbusRomNo9L-Regu"/>
        </w:rPr>
        <w:t xml:space="preserve"> </w:t>
      </w:r>
      <w:r w:rsidRPr="00C93614">
        <w:rPr>
          <w:sz w:val="24"/>
          <w:szCs w:val="24"/>
        </w:rPr>
        <w:t>When its right-hand side set to 500, s</w:t>
      </w:r>
      <w:r w:rsidRPr="00C93614">
        <w:rPr>
          <w:rFonts w:eastAsia="Calibri"/>
          <w:sz w:val="24"/>
          <w:szCs w:val="24"/>
        </w:rPr>
        <w:t xml:space="preserve">olving </w:t>
      </w:r>
      <w:r w:rsidR="00023B34">
        <w:rPr>
          <w:sz w:val="24"/>
          <w:szCs w:val="24"/>
        </w:rPr>
        <w:t>E</w:t>
      </w:r>
      <w:r w:rsidRPr="00C93614">
        <w:rPr>
          <w:sz w:val="24"/>
          <w:szCs w:val="24"/>
        </w:rPr>
        <w:t>quation (</w:t>
      </w:r>
      <w:r w:rsidR="003A7CEB">
        <w:rPr>
          <w:sz w:val="24"/>
          <w:szCs w:val="24"/>
        </w:rPr>
        <w:t>8</w:t>
      </w:r>
      <w:r w:rsidRPr="00C93614">
        <w:rPr>
          <w:sz w:val="24"/>
          <w:szCs w:val="24"/>
        </w:rPr>
        <w:t xml:space="preserve">) </w:t>
      </w:r>
      <w:r w:rsidRPr="00C93614">
        <w:rPr>
          <w:rFonts w:eastAsia="Calibri"/>
          <w:sz w:val="24"/>
          <w:szCs w:val="24"/>
        </w:rPr>
        <w:t xml:space="preserve">for </w:t>
      </w:r>
      <m:oMath>
        <m:r>
          <w:rPr>
            <w:rFonts w:ascii="Cambria Math" w:hAnsi="Cambria Math"/>
            <w:sz w:val="24"/>
            <w:szCs w:val="24"/>
          </w:rPr>
          <m:t>n</m:t>
        </m:r>
      </m:oMath>
      <w:r w:rsidRPr="00C93614">
        <w:rPr>
          <w:sz w:val="24"/>
          <w:szCs w:val="24"/>
        </w:rPr>
        <w:t xml:space="preserve"> based on our main-effects experimental design </w:t>
      </w:r>
      <w:r w:rsidR="00E305A5" w:rsidRPr="00C93614">
        <w:rPr>
          <w:sz w:val="24"/>
          <w:szCs w:val="24"/>
        </w:rPr>
        <w:t>(</w:t>
      </w:r>
      <m:oMath>
        <m:r>
          <w:rPr>
            <w:rFonts w:ascii="Cambria Math" w:hAnsi="Cambria Math"/>
            <w:sz w:val="24"/>
            <w:szCs w:val="24"/>
          </w:rPr>
          <m:t>t</m:t>
        </m:r>
      </m:oMath>
      <w:r w:rsidR="00E305A5">
        <w:rPr>
          <w:sz w:val="24"/>
          <w:szCs w:val="24"/>
        </w:rPr>
        <w:t xml:space="preserve"> = 6</w:t>
      </w:r>
      <w:r w:rsidR="00E305A5" w:rsidRPr="00C93614">
        <w:rPr>
          <w:sz w:val="24"/>
          <w:szCs w:val="24"/>
        </w:rPr>
        <w:t xml:space="preserve">, </w:t>
      </w:r>
      <m:oMath>
        <m:r>
          <w:rPr>
            <w:rFonts w:ascii="Cambria Math" w:hAnsi="Cambria Math"/>
            <w:sz w:val="24"/>
            <w:szCs w:val="24"/>
          </w:rPr>
          <m:t>a</m:t>
        </m:r>
      </m:oMath>
      <w:r w:rsidR="00E305A5" w:rsidRPr="00C93614">
        <w:rPr>
          <w:sz w:val="24"/>
          <w:szCs w:val="24"/>
        </w:rPr>
        <w:t xml:space="preserve"> = 2, </w:t>
      </w:r>
      <m:oMath>
        <m:r>
          <w:rPr>
            <w:rFonts w:ascii="Cambria Math" w:hAnsi="Cambria Math"/>
            <w:sz w:val="24"/>
            <w:szCs w:val="24"/>
          </w:rPr>
          <m:t>c</m:t>
        </m:r>
      </m:oMath>
      <w:r w:rsidR="00E305A5" w:rsidRPr="00C93614">
        <w:rPr>
          <w:sz w:val="24"/>
          <w:szCs w:val="24"/>
        </w:rPr>
        <w:t xml:space="preserve"> = 6)</w:t>
      </w:r>
      <w:r w:rsidR="00E305A5">
        <w:rPr>
          <w:sz w:val="24"/>
          <w:szCs w:val="24"/>
        </w:rPr>
        <w:t xml:space="preserve"> </w:t>
      </w:r>
      <w:r w:rsidRPr="00C93614">
        <w:rPr>
          <w:sz w:val="24"/>
          <w:szCs w:val="24"/>
        </w:rPr>
        <w:t xml:space="preserve">yields </w:t>
      </w:r>
      <w:r w:rsidR="00E305A5">
        <w:rPr>
          <w:sz w:val="24"/>
          <w:szCs w:val="24"/>
        </w:rPr>
        <w:t>250</w:t>
      </w:r>
      <w:r w:rsidR="007E0682">
        <w:rPr>
          <w:sz w:val="24"/>
          <w:szCs w:val="24"/>
        </w:rPr>
        <w:t>; w</w:t>
      </w:r>
      <w:r w:rsidRPr="00C93614">
        <w:rPr>
          <w:sz w:val="24"/>
          <w:szCs w:val="24"/>
        </w:rPr>
        <w:t xml:space="preserve">hen the right-hand side of </w:t>
      </w:r>
      <w:r w:rsidR="00023B34">
        <w:rPr>
          <w:sz w:val="24"/>
          <w:szCs w:val="24"/>
        </w:rPr>
        <w:t>E</w:t>
      </w:r>
      <w:r w:rsidRPr="00C93614">
        <w:rPr>
          <w:sz w:val="24"/>
          <w:szCs w:val="24"/>
        </w:rPr>
        <w:t>quation (</w:t>
      </w:r>
      <w:r w:rsidR="003A7CEB">
        <w:rPr>
          <w:sz w:val="24"/>
          <w:szCs w:val="24"/>
        </w:rPr>
        <w:t>8</w:t>
      </w:r>
      <w:r w:rsidRPr="00C93614">
        <w:rPr>
          <w:sz w:val="24"/>
          <w:szCs w:val="24"/>
        </w:rPr>
        <w:t xml:space="preserve">) is set to 1,000, </w:t>
      </w:r>
      <m:oMath>
        <m:r>
          <w:rPr>
            <w:rFonts w:ascii="Cambria Math" w:hAnsi="Cambria Math"/>
            <w:sz w:val="24"/>
            <w:szCs w:val="24"/>
          </w:rPr>
          <m:t>n</m:t>
        </m:r>
      </m:oMath>
      <w:r w:rsidRPr="00C93614">
        <w:rPr>
          <w:sz w:val="24"/>
          <w:szCs w:val="24"/>
        </w:rPr>
        <w:t xml:space="preserve"> = </w:t>
      </w:r>
      <w:r w:rsidR="00E305A5">
        <w:rPr>
          <w:sz w:val="24"/>
          <w:szCs w:val="24"/>
        </w:rPr>
        <w:t>500</w:t>
      </w:r>
      <w:r w:rsidRPr="00C93614">
        <w:rPr>
          <w:sz w:val="24"/>
          <w:szCs w:val="24"/>
        </w:rPr>
        <w:t xml:space="preserve">. </w:t>
      </w:r>
      <w:r w:rsidR="00912A8C">
        <w:rPr>
          <w:sz w:val="24"/>
          <w:szCs w:val="24"/>
        </w:rPr>
        <w:t xml:space="preserve">Taken together, the general rule of thumb provided by </w:t>
      </w:r>
      <w:r w:rsidR="00912A8C" w:rsidRPr="00C93614">
        <w:rPr>
          <w:sz w:val="24"/>
          <w:szCs w:val="24"/>
        </w:rPr>
        <w:t>Orme (2010)</w:t>
      </w:r>
      <w:r w:rsidR="00912A8C">
        <w:rPr>
          <w:sz w:val="24"/>
          <w:szCs w:val="24"/>
        </w:rPr>
        <w:t xml:space="preserve"> suggest</w:t>
      </w:r>
      <w:r w:rsidR="00D70C3D">
        <w:rPr>
          <w:sz w:val="24"/>
          <w:szCs w:val="24"/>
        </w:rPr>
        <w:t>s</w:t>
      </w:r>
      <w:r w:rsidR="00912A8C">
        <w:rPr>
          <w:sz w:val="24"/>
          <w:szCs w:val="24"/>
        </w:rPr>
        <w:t xml:space="preserve"> </w:t>
      </w:r>
      <w:r w:rsidR="00D70C3D">
        <w:rPr>
          <w:sz w:val="24"/>
          <w:szCs w:val="24"/>
        </w:rPr>
        <w:t>that the minimum</w:t>
      </w:r>
      <w:r w:rsidR="00912A8C">
        <w:rPr>
          <w:sz w:val="24"/>
          <w:szCs w:val="24"/>
        </w:rPr>
        <w:t xml:space="preserve"> sample size </w:t>
      </w:r>
      <w:r w:rsidR="00D70C3D">
        <w:rPr>
          <w:sz w:val="24"/>
          <w:szCs w:val="24"/>
        </w:rPr>
        <w:t xml:space="preserve">for the </w:t>
      </w:r>
      <w:r w:rsidR="00CA0835">
        <w:rPr>
          <w:sz w:val="24"/>
          <w:szCs w:val="24"/>
        </w:rPr>
        <w:t>NARFS</w:t>
      </w:r>
      <w:r w:rsidR="00D70C3D">
        <w:rPr>
          <w:sz w:val="24"/>
          <w:szCs w:val="24"/>
        </w:rPr>
        <w:t xml:space="preserve"> should be </w:t>
      </w:r>
      <w:r w:rsidR="00912A8C">
        <w:rPr>
          <w:sz w:val="24"/>
          <w:szCs w:val="24"/>
        </w:rPr>
        <w:t xml:space="preserve">between </w:t>
      </w:r>
      <w:r w:rsidR="00E305A5">
        <w:rPr>
          <w:sz w:val="24"/>
          <w:szCs w:val="24"/>
        </w:rPr>
        <w:t>250</w:t>
      </w:r>
      <w:r w:rsidR="00912A8C">
        <w:rPr>
          <w:sz w:val="24"/>
          <w:szCs w:val="24"/>
        </w:rPr>
        <w:t xml:space="preserve"> and </w:t>
      </w:r>
      <w:r w:rsidR="00E305A5">
        <w:rPr>
          <w:sz w:val="24"/>
          <w:szCs w:val="24"/>
        </w:rPr>
        <w:t>500</w:t>
      </w:r>
      <w:r w:rsidR="00912A8C">
        <w:rPr>
          <w:sz w:val="24"/>
          <w:szCs w:val="24"/>
        </w:rPr>
        <w:t xml:space="preserve">. </w:t>
      </w:r>
    </w:p>
    <w:p w14:paraId="7B8AA5B0" w14:textId="77777777" w:rsidR="00E12028" w:rsidRDefault="00E12028" w:rsidP="00F9028B">
      <w:pPr>
        <w:widowControl/>
        <w:contextualSpacing/>
        <w:rPr>
          <w:sz w:val="24"/>
          <w:szCs w:val="24"/>
        </w:rPr>
      </w:pPr>
    </w:p>
    <w:p w14:paraId="33F95457" w14:textId="3B2C1215" w:rsidR="00912A8C" w:rsidRDefault="00E12028" w:rsidP="00E12028">
      <w:pPr>
        <w:widowControl/>
        <w:contextualSpacing/>
        <w:rPr>
          <w:sz w:val="24"/>
          <w:szCs w:val="24"/>
        </w:rPr>
      </w:pPr>
      <w:r>
        <w:rPr>
          <w:sz w:val="24"/>
          <w:szCs w:val="24"/>
        </w:rPr>
        <w:t>T</w:t>
      </w:r>
      <w:r w:rsidR="00D70C3D">
        <w:rPr>
          <w:sz w:val="24"/>
          <w:szCs w:val="24"/>
        </w:rPr>
        <w:t>he second method for determining the minimum sample size incorporates</w:t>
      </w:r>
      <w:r w:rsidR="003E7A55">
        <w:rPr>
          <w:sz w:val="24"/>
          <w:szCs w:val="24"/>
        </w:rPr>
        <w:t xml:space="preserve"> prior knowledge about the parameters </w:t>
      </w:r>
      <w:r w:rsidR="00BC5638">
        <w:rPr>
          <w:sz w:val="24"/>
          <w:szCs w:val="24"/>
        </w:rPr>
        <w:t>we wish to</w:t>
      </w:r>
      <w:r w:rsidR="00D70C3D">
        <w:rPr>
          <w:sz w:val="24"/>
          <w:szCs w:val="24"/>
        </w:rPr>
        <w:t xml:space="preserve"> </w:t>
      </w:r>
      <w:r w:rsidR="003E7A55">
        <w:rPr>
          <w:sz w:val="24"/>
          <w:szCs w:val="24"/>
        </w:rPr>
        <w:t>estimat</w:t>
      </w:r>
      <w:r w:rsidR="00BC5638">
        <w:rPr>
          <w:sz w:val="24"/>
          <w:szCs w:val="24"/>
        </w:rPr>
        <w:t>e</w:t>
      </w:r>
      <w:r w:rsidR="00D70C3D">
        <w:rPr>
          <w:sz w:val="24"/>
          <w:szCs w:val="24"/>
        </w:rPr>
        <w:t xml:space="preserve"> using </w:t>
      </w:r>
      <w:r w:rsidR="006A1886">
        <w:rPr>
          <w:sz w:val="24"/>
          <w:szCs w:val="24"/>
        </w:rPr>
        <w:t xml:space="preserve">the </w:t>
      </w:r>
      <w:r w:rsidR="00CA0835">
        <w:rPr>
          <w:sz w:val="24"/>
          <w:szCs w:val="24"/>
        </w:rPr>
        <w:t>NARFS</w:t>
      </w:r>
      <w:r w:rsidR="00D70C3D">
        <w:rPr>
          <w:sz w:val="24"/>
          <w:szCs w:val="24"/>
        </w:rPr>
        <w:t xml:space="preserve"> data. We follow the step-by-step approach outlined in </w:t>
      </w:r>
      <w:r w:rsidR="00D70C3D">
        <w:rPr>
          <w:sz w:val="24"/>
          <w:szCs w:val="24"/>
        </w:rPr>
        <w:fldChar w:fldCharType="begin" w:fldLock="1"/>
      </w:r>
      <w:r w:rsidR="00AD3676">
        <w:rPr>
          <w:sz w:val="24"/>
          <w:szCs w:val="24"/>
        </w:rPr>
        <w:instrText>ADDIN CSL_CITATION {"citationItems":[{"id":"ITEM-1","itemData":{"ISBN":"1178-1653\\r1178-1661","abstract":"Discrete-choice experiments (DCEs) have become a commonly used instrument in health economics and patient-preference analysis, addressing a wide range of policy questions. An important question when setting up a DCE is the size of the sample needed to answer the research question of interest. Although theory exists as to the calculation of sample size requirements for stated choice data, it does not address the issue of minimum sample size requirements in terms of the statistical power of hypothesis tests on the estimated coefficients. The purpose of this paper is threefold: (1) to provide insight into whether and how researchers have dealt with sample size calculations for healthcare-related DCE studies; (2) to introduce and explain the required sample size for parameter estimates in DCEs; and (3) to provide a step-by-step guide for the calculation of the minimum sample size requirements for DCEs in health care.","author":[{"dropping-particle":"","family":"Bekker-Grob","given":"Esther W.","non-dropping-particle":"de","parse-names":false,"suffix":""},{"dropping-particle":"","family":"Donkers","given":"Bas","non-dropping-particle":"","parse-names":false,"suffix":""},{"dropping-particle":"","family":"Jonker","given":"Marcel F.","non-dropping-particle":"","parse-names":false,"suffix":""},{"dropping-particle":"","family":"Stolk","given":"Elly A.","non-dropping-particle":"","parse-names":false,"suffix":""}],"container-title":"Patient","id":"ITEM-1","issue":"5","issued":{"date-parts":[["2015"]]},"page":"373-384","title":"Sample Size Requirements for Discrete-Choice Experiments in Healthcare: a Practical Guide","type":"article-journal","volume":"8"},"uris":["http://www.mendeley.com/documents/?uuid=42bed5d4-769d-4ce4-b9ef-5c2602f1942f","http://www.mendeley.com/documents/?uuid=8aa0390f-8abe-4c13-b109-60b88f4b5556"]}],"mendeley":{"formattedCitation":"(de Bekker-Grob et al. 2015)","manualFormatting":"de Bekker-Grob et al. (2015)","plainTextFormattedCitation":"(de Bekker-Grob et al. 2015)","previouslyFormattedCitation":"(de Bekker-Grob et al. 2015)"},"properties":{"noteIndex":0},"schema":"https://github.com/citation-style-language/schema/raw/master/csl-citation.json"}</w:instrText>
      </w:r>
      <w:r w:rsidR="00D70C3D">
        <w:rPr>
          <w:sz w:val="24"/>
          <w:szCs w:val="24"/>
        </w:rPr>
        <w:fldChar w:fldCharType="separate"/>
      </w:r>
      <w:r w:rsidR="00D70C3D" w:rsidRPr="00D70C3D">
        <w:rPr>
          <w:noProof/>
          <w:sz w:val="24"/>
          <w:szCs w:val="24"/>
        </w:rPr>
        <w:t xml:space="preserve">de Bekker-Grob et al. </w:t>
      </w:r>
      <w:r w:rsidR="00D70C3D">
        <w:rPr>
          <w:noProof/>
          <w:sz w:val="24"/>
          <w:szCs w:val="24"/>
        </w:rPr>
        <w:t>(</w:t>
      </w:r>
      <w:r w:rsidR="00D70C3D" w:rsidRPr="00D70C3D">
        <w:rPr>
          <w:noProof/>
          <w:sz w:val="24"/>
          <w:szCs w:val="24"/>
        </w:rPr>
        <w:t>2015)</w:t>
      </w:r>
      <w:r w:rsidR="00D70C3D">
        <w:rPr>
          <w:sz w:val="24"/>
          <w:szCs w:val="24"/>
        </w:rPr>
        <w:fldChar w:fldCharType="end"/>
      </w:r>
      <w:r w:rsidR="00BC5638">
        <w:rPr>
          <w:sz w:val="24"/>
          <w:szCs w:val="24"/>
        </w:rPr>
        <w:t>, which requires five elements:</w:t>
      </w:r>
    </w:p>
    <w:p w14:paraId="40E88BFD" w14:textId="77777777" w:rsidR="00BC5638" w:rsidRDefault="00BC5638" w:rsidP="00F9028B">
      <w:pPr>
        <w:widowControl/>
        <w:ind w:firstLine="720"/>
        <w:contextualSpacing/>
        <w:rPr>
          <w:sz w:val="24"/>
          <w:szCs w:val="24"/>
        </w:rPr>
      </w:pPr>
    </w:p>
    <w:p w14:paraId="6F4A3624" w14:textId="7D53F56D" w:rsidR="00BC5638" w:rsidRPr="00BC5638" w:rsidRDefault="00BC5638" w:rsidP="00F9028B">
      <w:pPr>
        <w:pStyle w:val="ListParagraph"/>
        <w:numPr>
          <w:ilvl w:val="0"/>
          <w:numId w:val="12"/>
        </w:numPr>
        <w:ind w:left="720"/>
        <w:rPr>
          <w:sz w:val="24"/>
          <w:szCs w:val="24"/>
        </w:rPr>
      </w:pPr>
      <w:r w:rsidRPr="00BC5638">
        <w:rPr>
          <w:sz w:val="24"/>
          <w:szCs w:val="24"/>
        </w:rPr>
        <w:t>Significance level (</w:t>
      </w:r>
      <w:r w:rsidRPr="00E4750E">
        <w:rPr>
          <w:i/>
          <w:color w:val="000000"/>
          <w:sz w:val="24"/>
          <w:szCs w:val="24"/>
        </w:rPr>
        <w:t>α</w:t>
      </w:r>
      <w:r w:rsidRPr="00BC5638">
        <w:rPr>
          <w:sz w:val="24"/>
          <w:szCs w:val="24"/>
        </w:rPr>
        <w:t>)</w:t>
      </w:r>
      <w:r>
        <w:rPr>
          <w:sz w:val="24"/>
          <w:szCs w:val="24"/>
        </w:rPr>
        <w:t>: the probability for an incorrect rejection of a true null hypothesis.</w:t>
      </w:r>
    </w:p>
    <w:p w14:paraId="0D0BFCFD" w14:textId="6B6673AF" w:rsidR="00BC5638" w:rsidRPr="00BC5638" w:rsidRDefault="00BC5638" w:rsidP="00F9028B">
      <w:pPr>
        <w:pStyle w:val="ListParagraph"/>
        <w:numPr>
          <w:ilvl w:val="0"/>
          <w:numId w:val="12"/>
        </w:numPr>
        <w:ind w:left="720"/>
        <w:rPr>
          <w:sz w:val="24"/>
          <w:szCs w:val="24"/>
        </w:rPr>
      </w:pPr>
      <w:r w:rsidRPr="00BC5638">
        <w:rPr>
          <w:sz w:val="24"/>
          <w:szCs w:val="24"/>
        </w:rPr>
        <w:t>Statistical power level (</w:t>
      </w:r>
      <w:r w:rsidRPr="00BC5638">
        <w:rPr>
          <w:i/>
          <w:sz w:val="24"/>
          <w:szCs w:val="24"/>
        </w:rPr>
        <w:t>1-</w:t>
      </w:r>
      <w:r w:rsidRPr="00E4750E">
        <w:rPr>
          <w:i/>
          <w:color w:val="000000"/>
          <w:sz w:val="24"/>
          <w:szCs w:val="24"/>
        </w:rPr>
        <w:t xml:space="preserve"> β</w:t>
      </w:r>
      <w:r w:rsidRPr="00BC5638">
        <w:rPr>
          <w:sz w:val="24"/>
          <w:szCs w:val="24"/>
        </w:rPr>
        <w:t>)</w:t>
      </w:r>
      <w:r>
        <w:rPr>
          <w:sz w:val="24"/>
          <w:szCs w:val="24"/>
        </w:rPr>
        <w:t xml:space="preserve">: </w:t>
      </w:r>
      <w:r w:rsidRPr="00E4750E">
        <w:rPr>
          <w:i/>
          <w:color w:val="000000"/>
          <w:sz w:val="24"/>
          <w:szCs w:val="24"/>
        </w:rPr>
        <w:t>β</w:t>
      </w:r>
      <w:r>
        <w:rPr>
          <w:color w:val="000000"/>
          <w:sz w:val="24"/>
          <w:szCs w:val="24"/>
        </w:rPr>
        <w:t xml:space="preserve"> indicates the probability of failing to reject a null hypothesis when the null hypothesis is actually false, with its chosen value related to the statistical power of the test </w:t>
      </w:r>
      <w:r w:rsidRPr="00BC5638">
        <w:rPr>
          <w:sz w:val="24"/>
          <w:szCs w:val="24"/>
        </w:rPr>
        <w:t>(</w:t>
      </w:r>
      <w:r w:rsidRPr="00BC5638">
        <w:rPr>
          <w:i/>
          <w:sz w:val="24"/>
          <w:szCs w:val="24"/>
        </w:rPr>
        <w:t>1-</w:t>
      </w:r>
      <w:r w:rsidRPr="00E4750E">
        <w:rPr>
          <w:i/>
          <w:color w:val="000000"/>
          <w:sz w:val="24"/>
          <w:szCs w:val="24"/>
        </w:rPr>
        <w:t xml:space="preserve"> β</w:t>
      </w:r>
      <w:r w:rsidRPr="00BC5638">
        <w:rPr>
          <w:sz w:val="24"/>
          <w:szCs w:val="24"/>
        </w:rPr>
        <w:t>)</w:t>
      </w:r>
      <w:r>
        <w:rPr>
          <w:sz w:val="24"/>
          <w:szCs w:val="24"/>
        </w:rPr>
        <w:t xml:space="preserve">. </w:t>
      </w:r>
    </w:p>
    <w:p w14:paraId="678DA4DD" w14:textId="2583A736" w:rsidR="00BC5638" w:rsidRPr="00BC5638" w:rsidRDefault="00BC5638" w:rsidP="00F9028B">
      <w:pPr>
        <w:pStyle w:val="ListParagraph"/>
        <w:numPr>
          <w:ilvl w:val="0"/>
          <w:numId w:val="12"/>
        </w:numPr>
        <w:ind w:left="720"/>
        <w:rPr>
          <w:sz w:val="24"/>
          <w:szCs w:val="24"/>
        </w:rPr>
      </w:pPr>
      <w:r w:rsidRPr="00BC5638">
        <w:rPr>
          <w:sz w:val="24"/>
          <w:szCs w:val="24"/>
        </w:rPr>
        <w:t xml:space="preserve">Statistical model used in the DCE analysis </w:t>
      </w:r>
      <w:r>
        <w:rPr>
          <w:sz w:val="24"/>
          <w:szCs w:val="24"/>
        </w:rPr>
        <w:t>[</w:t>
      </w:r>
      <w:r w:rsidRPr="00BC5638">
        <w:rPr>
          <w:sz w:val="24"/>
          <w:szCs w:val="24"/>
        </w:rPr>
        <w:t>e.g., multinomial logit (MNL) model, mixed logit (MIXL)</w:t>
      </w:r>
      <w:r>
        <w:rPr>
          <w:sz w:val="24"/>
          <w:szCs w:val="24"/>
        </w:rPr>
        <w:t xml:space="preserve"> </w:t>
      </w:r>
      <w:r w:rsidRPr="00BC5638">
        <w:rPr>
          <w:sz w:val="24"/>
          <w:szCs w:val="24"/>
        </w:rPr>
        <w:t>model, generalized multinomial logit (G-MNL) model]</w:t>
      </w:r>
    </w:p>
    <w:p w14:paraId="3FFA99B0" w14:textId="3C110A2E" w:rsidR="00BC5638" w:rsidRPr="00BC5638" w:rsidRDefault="00BC5638" w:rsidP="00F9028B">
      <w:pPr>
        <w:pStyle w:val="ListParagraph"/>
        <w:numPr>
          <w:ilvl w:val="0"/>
          <w:numId w:val="12"/>
        </w:numPr>
        <w:ind w:left="720"/>
        <w:rPr>
          <w:sz w:val="24"/>
          <w:szCs w:val="24"/>
        </w:rPr>
      </w:pPr>
      <w:r w:rsidRPr="00BC5638">
        <w:rPr>
          <w:sz w:val="24"/>
          <w:szCs w:val="24"/>
        </w:rPr>
        <w:t>Initial belief about the parameter values</w:t>
      </w:r>
    </w:p>
    <w:p w14:paraId="098AD1C0" w14:textId="55C6C5B2" w:rsidR="00BC5638" w:rsidRPr="00BC5638" w:rsidRDefault="00BC5638" w:rsidP="00F9028B">
      <w:pPr>
        <w:pStyle w:val="ListParagraph"/>
        <w:widowControl/>
        <w:numPr>
          <w:ilvl w:val="0"/>
          <w:numId w:val="12"/>
        </w:numPr>
        <w:ind w:left="720"/>
        <w:rPr>
          <w:sz w:val="24"/>
          <w:szCs w:val="24"/>
        </w:rPr>
      </w:pPr>
      <w:r w:rsidRPr="00BC5638">
        <w:rPr>
          <w:sz w:val="24"/>
          <w:szCs w:val="24"/>
        </w:rPr>
        <w:t>The DCE design</w:t>
      </w:r>
    </w:p>
    <w:p w14:paraId="462C4702" w14:textId="744DEC17" w:rsidR="00D70C3D" w:rsidRDefault="00D70C3D" w:rsidP="00F9028B">
      <w:pPr>
        <w:widowControl/>
        <w:ind w:left="720"/>
        <w:contextualSpacing/>
        <w:rPr>
          <w:sz w:val="24"/>
          <w:szCs w:val="24"/>
        </w:rPr>
      </w:pPr>
    </w:p>
    <w:p w14:paraId="12D0AA12" w14:textId="38F23D34" w:rsidR="00DC5339" w:rsidRDefault="00BC5638" w:rsidP="00E12028">
      <w:pPr>
        <w:widowControl/>
        <w:contextualSpacing/>
        <w:rPr>
          <w:sz w:val="24"/>
          <w:szCs w:val="24"/>
        </w:rPr>
      </w:pPr>
      <w:r>
        <w:rPr>
          <w:sz w:val="24"/>
          <w:szCs w:val="24"/>
        </w:rPr>
        <w:t>Our selection of the elements in 3), 4), and 5) are guided by the statistical analysis of the 2014 angler survey data</w:t>
      </w:r>
      <w:r w:rsidR="00DA1383">
        <w:rPr>
          <w:sz w:val="24"/>
          <w:szCs w:val="24"/>
        </w:rPr>
        <w:t xml:space="preserve"> that </w:t>
      </w:r>
      <w:r w:rsidR="00606D0F">
        <w:rPr>
          <w:sz w:val="24"/>
          <w:szCs w:val="24"/>
        </w:rPr>
        <w:t>employed</w:t>
      </w:r>
      <w:r w:rsidR="00DC5339">
        <w:rPr>
          <w:sz w:val="24"/>
          <w:szCs w:val="24"/>
        </w:rPr>
        <w:t xml:space="preserve"> a </w:t>
      </w:r>
      <w:r>
        <w:rPr>
          <w:sz w:val="24"/>
          <w:szCs w:val="24"/>
        </w:rPr>
        <w:t xml:space="preserve">MNL </w:t>
      </w:r>
      <w:r w:rsidR="00DC5339">
        <w:rPr>
          <w:sz w:val="24"/>
          <w:szCs w:val="24"/>
        </w:rPr>
        <w:t>model</w:t>
      </w:r>
      <w:r w:rsidR="00606D0F">
        <w:rPr>
          <w:sz w:val="24"/>
          <w:szCs w:val="24"/>
        </w:rPr>
        <w:t xml:space="preserve"> specification</w:t>
      </w:r>
      <w:r w:rsidR="00DC5339">
        <w:rPr>
          <w:sz w:val="24"/>
          <w:szCs w:val="24"/>
        </w:rPr>
        <w:t xml:space="preserve">. The estimated parameters from this </w:t>
      </w:r>
      <w:r w:rsidR="00606D0F">
        <w:rPr>
          <w:sz w:val="24"/>
          <w:szCs w:val="24"/>
        </w:rPr>
        <w:t xml:space="preserve">model </w:t>
      </w:r>
      <w:r w:rsidR="00DC5339">
        <w:rPr>
          <w:sz w:val="24"/>
          <w:szCs w:val="24"/>
        </w:rPr>
        <w:t>form our initial beliefs</w:t>
      </w:r>
      <w:r w:rsidR="00431E8B">
        <w:rPr>
          <w:sz w:val="24"/>
          <w:szCs w:val="24"/>
        </w:rPr>
        <w:t xml:space="preserve"> </w:t>
      </w:r>
      <w:r w:rsidR="00431E8B" w:rsidRPr="00BC5638">
        <w:rPr>
          <w:sz w:val="24"/>
          <w:szCs w:val="24"/>
        </w:rPr>
        <w:t>about the parameter values</w:t>
      </w:r>
      <w:r w:rsidR="00D37293">
        <w:rPr>
          <w:sz w:val="24"/>
          <w:szCs w:val="24"/>
        </w:rPr>
        <w:t>, which we subsequently</w:t>
      </w:r>
      <w:r w:rsidR="00431E8B">
        <w:rPr>
          <w:sz w:val="24"/>
          <w:szCs w:val="24"/>
        </w:rPr>
        <w:t xml:space="preserve"> </w:t>
      </w:r>
      <w:r w:rsidR="00606D0F">
        <w:rPr>
          <w:sz w:val="24"/>
          <w:szCs w:val="24"/>
        </w:rPr>
        <w:t>use</w:t>
      </w:r>
      <w:r w:rsidR="0010597A">
        <w:rPr>
          <w:sz w:val="24"/>
          <w:szCs w:val="24"/>
        </w:rPr>
        <w:t xml:space="preserve"> </w:t>
      </w:r>
      <w:r w:rsidR="00606D0F">
        <w:rPr>
          <w:sz w:val="24"/>
          <w:szCs w:val="24"/>
        </w:rPr>
        <w:t xml:space="preserve">to generate an </w:t>
      </w:r>
      <w:r w:rsidR="00431E8B">
        <w:rPr>
          <w:sz w:val="24"/>
          <w:szCs w:val="24"/>
        </w:rPr>
        <w:t xml:space="preserve">efficient </w:t>
      </w:r>
      <w:r w:rsidR="00DC5339">
        <w:rPr>
          <w:sz w:val="24"/>
          <w:szCs w:val="24"/>
        </w:rPr>
        <w:t>experimental design</w:t>
      </w:r>
      <w:r w:rsidR="00606D0F">
        <w:rPr>
          <w:sz w:val="24"/>
          <w:szCs w:val="24"/>
        </w:rPr>
        <w:t xml:space="preserve"> containing 72 choice questions</w:t>
      </w:r>
      <w:r w:rsidR="00DC5339">
        <w:rPr>
          <w:sz w:val="24"/>
          <w:szCs w:val="24"/>
        </w:rPr>
        <w:t xml:space="preserve">. </w:t>
      </w:r>
      <w:r w:rsidR="00606D0F">
        <w:rPr>
          <w:sz w:val="24"/>
          <w:szCs w:val="24"/>
        </w:rPr>
        <w:t>W</w:t>
      </w:r>
      <w:r w:rsidR="00C56A37">
        <w:rPr>
          <w:sz w:val="24"/>
          <w:szCs w:val="24"/>
        </w:rPr>
        <w:t>ith these ingredients, we calculate</w:t>
      </w:r>
      <w:r w:rsidR="00DC5339">
        <w:rPr>
          <w:sz w:val="24"/>
          <w:szCs w:val="24"/>
        </w:rPr>
        <w:t xml:space="preserve"> the variance-covariance matrix of the estimated parameters, ∑</w:t>
      </w:r>
      <w:r w:rsidR="00DC5339" w:rsidRPr="00DC5339">
        <w:rPr>
          <w:sz w:val="24"/>
          <w:szCs w:val="24"/>
          <w:vertAlign w:val="subscript"/>
        </w:rPr>
        <w:t>γ</w:t>
      </w:r>
      <w:r w:rsidR="00DC5339">
        <w:rPr>
          <w:sz w:val="24"/>
          <w:szCs w:val="24"/>
        </w:rPr>
        <w:t xml:space="preserve">, and use the diagonal elements of this matrix for hypothesis </w:t>
      </w:r>
      <w:r w:rsidR="006A1886">
        <w:rPr>
          <w:sz w:val="24"/>
          <w:szCs w:val="24"/>
        </w:rPr>
        <w:t xml:space="preserve">tests </w:t>
      </w:r>
      <w:r w:rsidR="00DC5339">
        <w:rPr>
          <w:sz w:val="24"/>
          <w:szCs w:val="24"/>
        </w:rPr>
        <w:t>on individual coefficient</w:t>
      </w:r>
      <w:r w:rsidR="006A1886">
        <w:rPr>
          <w:sz w:val="24"/>
          <w:szCs w:val="24"/>
        </w:rPr>
        <w:t>s</w:t>
      </w:r>
      <w:r w:rsidR="00DC5339">
        <w:rPr>
          <w:sz w:val="24"/>
          <w:szCs w:val="24"/>
        </w:rPr>
        <w:t xml:space="preserve">. </w:t>
      </w:r>
      <w:r w:rsidR="00606D0F">
        <w:rPr>
          <w:sz w:val="24"/>
          <w:szCs w:val="24"/>
        </w:rPr>
        <w:t>T</w:t>
      </w:r>
      <w:r w:rsidR="00DC5339">
        <w:rPr>
          <w:sz w:val="24"/>
          <w:szCs w:val="24"/>
        </w:rPr>
        <w:t xml:space="preserve">he minimum </w:t>
      </w:r>
      <w:r w:rsidR="006A1886">
        <w:rPr>
          <w:sz w:val="24"/>
          <w:szCs w:val="24"/>
        </w:rPr>
        <w:t>sample</w:t>
      </w:r>
      <w:r w:rsidR="00DC5339">
        <w:rPr>
          <w:sz w:val="24"/>
          <w:szCs w:val="24"/>
        </w:rPr>
        <w:t xml:space="preserve"> size (</w:t>
      </w:r>
      <w:r w:rsidR="00DC5339" w:rsidRPr="00606D0F">
        <w:rPr>
          <w:i/>
          <w:sz w:val="24"/>
          <w:szCs w:val="24"/>
        </w:rPr>
        <w:t>N</w:t>
      </w:r>
      <w:r w:rsidR="00DC5339">
        <w:rPr>
          <w:sz w:val="24"/>
          <w:szCs w:val="24"/>
        </w:rPr>
        <w:t xml:space="preserve">) for the estimated coefficients in a DCE </w:t>
      </w:r>
      <w:r w:rsidR="006A1886">
        <w:rPr>
          <w:sz w:val="24"/>
          <w:szCs w:val="24"/>
        </w:rPr>
        <w:t>can be determined using following equation</w:t>
      </w:r>
      <w:r w:rsidR="00460FBE">
        <w:rPr>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446"/>
        <w:gridCol w:w="586"/>
      </w:tblGrid>
      <w:tr w:rsidR="00606D0F" w:rsidRPr="00C93614" w14:paraId="44D55167" w14:textId="77777777" w:rsidTr="005F36D9">
        <w:trPr>
          <w:trHeight w:hRule="exact" w:val="144"/>
        </w:trPr>
        <w:tc>
          <w:tcPr>
            <w:tcW w:w="5000" w:type="pct"/>
            <w:gridSpan w:val="3"/>
          </w:tcPr>
          <w:p w14:paraId="14E23343" w14:textId="77777777" w:rsidR="00606D0F" w:rsidRPr="00C93614" w:rsidRDefault="00606D0F" w:rsidP="00F9028B">
            <w:pPr>
              <w:contextualSpacing/>
              <w:jc w:val="center"/>
            </w:pPr>
          </w:p>
        </w:tc>
      </w:tr>
      <w:tr w:rsidR="00606D0F" w:rsidRPr="00C93614" w14:paraId="0F800EDA" w14:textId="77777777" w:rsidTr="005F36D9">
        <w:trPr>
          <w:trHeight w:hRule="exact" w:val="576"/>
        </w:trPr>
        <w:tc>
          <w:tcPr>
            <w:tcW w:w="284" w:type="pct"/>
          </w:tcPr>
          <w:p w14:paraId="46A0C1DF" w14:textId="77777777" w:rsidR="00606D0F" w:rsidRPr="00C93614" w:rsidRDefault="00606D0F" w:rsidP="00F9028B">
            <w:pPr>
              <w:contextualSpacing/>
            </w:pPr>
          </w:p>
        </w:tc>
        <w:tc>
          <w:tcPr>
            <w:tcW w:w="4410" w:type="pct"/>
            <w:vAlign w:val="center"/>
          </w:tcPr>
          <w:p w14:paraId="7DEA5603" w14:textId="77777777" w:rsidR="00606D0F" w:rsidRPr="00DC5339" w:rsidRDefault="00606D0F" w:rsidP="00F9028B">
            <w:pPr>
              <w:widowControl/>
              <w:ind w:firstLine="720"/>
              <w:contextualSpacing/>
              <w:rPr>
                <w:sz w:val="24"/>
                <w:szCs w:val="24"/>
              </w:rPr>
            </w:pPr>
            <m:oMathPara>
              <m:oMath>
                <m:r>
                  <w:rPr>
                    <w:rFonts w:ascii="Cambria Math" w:hAnsi="Cambria Math"/>
                    <w:sz w:val="24"/>
                    <w:szCs w:val="24"/>
                  </w:rPr>
                  <m:t>N&gt;(</m:t>
                </m:r>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r>
                      <w:rPr>
                        <w:rFonts w:ascii="Cambria Math" w:hAnsi="Cambria Math"/>
                        <w:sz w:val="24"/>
                        <w:szCs w:val="24"/>
                      </w:rPr>
                      <m:t>)</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vertAlign w:val="subscript"/>
                              </w:rPr>
                              <m:t>γk</m:t>
                            </m:r>
                          </m:sub>
                        </m:sSub>
                      </m:e>
                    </m:rad>
                    <m:r>
                      <w:rPr>
                        <w:rFonts w:ascii="Cambria Math" w:hAnsi="Cambria Math"/>
                        <w:sz w:val="24"/>
                        <w:szCs w:val="24"/>
                      </w:rPr>
                      <m:t>/δ)</m:t>
                    </m:r>
                  </m:e>
                  <m:sup>
                    <m:r>
                      <w:rPr>
                        <w:rFonts w:ascii="Cambria Math" w:hAnsi="Cambria Math"/>
                        <w:sz w:val="24"/>
                        <w:szCs w:val="24"/>
                      </w:rPr>
                      <m:t>2</m:t>
                    </m:r>
                  </m:sup>
                </m:sSup>
              </m:oMath>
            </m:oMathPara>
          </w:p>
          <w:p w14:paraId="7A727DBE" w14:textId="77777777" w:rsidR="00606D0F" w:rsidRPr="00C93614" w:rsidRDefault="00606D0F" w:rsidP="00F9028B">
            <w:pPr>
              <w:contextualSpacing/>
            </w:pPr>
          </w:p>
        </w:tc>
        <w:tc>
          <w:tcPr>
            <w:tcW w:w="306" w:type="pct"/>
            <w:vAlign w:val="center"/>
          </w:tcPr>
          <w:p w14:paraId="154EEA52" w14:textId="730A6423" w:rsidR="00606D0F" w:rsidRPr="00C93614" w:rsidRDefault="00606D0F" w:rsidP="00F9028B">
            <w:pPr>
              <w:contextualSpacing/>
              <w:jc w:val="right"/>
            </w:pPr>
            <w:r w:rsidRPr="00C93614">
              <w:rPr>
                <w:sz w:val="24"/>
              </w:rPr>
              <w:t>(</w:t>
            </w:r>
            <w:r>
              <w:rPr>
                <w:sz w:val="24"/>
              </w:rPr>
              <w:t>2</w:t>
            </w:r>
            <w:r w:rsidRPr="00C93614">
              <w:rPr>
                <w:sz w:val="24"/>
              </w:rPr>
              <w:t>)</w:t>
            </w:r>
          </w:p>
        </w:tc>
      </w:tr>
      <w:tr w:rsidR="00606D0F" w:rsidRPr="00C93614" w14:paraId="14B70DF8" w14:textId="77777777" w:rsidTr="005F36D9">
        <w:trPr>
          <w:trHeight w:hRule="exact" w:val="144"/>
        </w:trPr>
        <w:tc>
          <w:tcPr>
            <w:tcW w:w="284" w:type="pct"/>
          </w:tcPr>
          <w:p w14:paraId="3EC68A7A" w14:textId="77777777" w:rsidR="00606D0F" w:rsidRPr="00C93614" w:rsidRDefault="00606D0F" w:rsidP="00F9028B">
            <w:pPr>
              <w:contextualSpacing/>
            </w:pPr>
          </w:p>
        </w:tc>
        <w:tc>
          <w:tcPr>
            <w:tcW w:w="4410" w:type="pct"/>
            <w:vAlign w:val="center"/>
          </w:tcPr>
          <w:p w14:paraId="61BB3685" w14:textId="77777777" w:rsidR="00606D0F" w:rsidRPr="00C93614" w:rsidRDefault="00606D0F" w:rsidP="00F9028B">
            <w:pPr>
              <w:contextualSpacing/>
            </w:pPr>
          </w:p>
        </w:tc>
        <w:tc>
          <w:tcPr>
            <w:tcW w:w="306" w:type="pct"/>
            <w:vAlign w:val="center"/>
          </w:tcPr>
          <w:p w14:paraId="6627821A" w14:textId="77777777" w:rsidR="00606D0F" w:rsidRPr="00C93614" w:rsidRDefault="00606D0F" w:rsidP="00F9028B">
            <w:pPr>
              <w:contextualSpacing/>
              <w:jc w:val="center"/>
            </w:pPr>
          </w:p>
        </w:tc>
      </w:tr>
    </w:tbl>
    <w:p w14:paraId="630F8864" w14:textId="14C04791" w:rsidR="00DC5339" w:rsidRDefault="00606D0F" w:rsidP="00F9028B">
      <w:pPr>
        <w:widowControl/>
        <w:contextualSpacing/>
        <w:rPr>
          <w:sz w:val="24"/>
          <w:szCs w:val="24"/>
        </w:rPr>
      </w:pPr>
      <w:r>
        <w:rPr>
          <w:sz w:val="24"/>
          <w:szCs w:val="24"/>
        </w:rPr>
        <w:t>w</w:t>
      </w:r>
      <w:r w:rsidR="00E4750E">
        <w:rPr>
          <w:sz w:val="24"/>
          <w:szCs w:val="24"/>
        </w:rPr>
        <w:t>here the values of</w:t>
      </w:r>
      <m:oMath>
        <m:r>
          <w:rPr>
            <w:rFonts w:ascii="Cambria Math" w:hAnsi="Cambria Math"/>
            <w:sz w:val="24"/>
            <w:szCs w:val="24"/>
          </w:rPr>
          <m:t xml:space="preserve"> α</m:t>
        </m:r>
      </m:oMath>
      <w:r w:rsidR="00E4750E">
        <w:rPr>
          <w:sz w:val="24"/>
          <w:szCs w:val="24"/>
        </w:rPr>
        <w:t xml:space="preserve"> and </w:t>
      </w:r>
      <w:r w:rsidR="00E4750E" w:rsidRPr="00E4750E">
        <w:rPr>
          <w:i/>
          <w:color w:val="000000"/>
          <w:sz w:val="24"/>
          <w:szCs w:val="24"/>
        </w:rPr>
        <w:t>β</w:t>
      </w:r>
      <w:r w:rsidR="00E4750E">
        <w:rPr>
          <w:i/>
          <w:color w:val="000000"/>
          <w:sz w:val="24"/>
          <w:szCs w:val="24"/>
        </w:rPr>
        <w:t xml:space="preserve"> </w:t>
      </w:r>
      <w:r w:rsidR="00E4750E">
        <w:rPr>
          <w:color w:val="000000"/>
          <w:sz w:val="24"/>
          <w:szCs w:val="24"/>
        </w:rPr>
        <w:t>are used to determine</w:t>
      </w:r>
      <w:r w:rsidR="00E4750E" w:rsidRPr="00E4750E">
        <w:rPr>
          <w:sz w:val="24"/>
          <w:szCs w:val="24"/>
        </w:rPr>
        <w:t xml:space="preserve"> </w:t>
      </w:r>
      <w:r w:rsidR="00E4750E">
        <w:rPr>
          <w:sz w:val="24"/>
          <w:szCs w:val="24"/>
        </w:rPr>
        <w:t xml:space="preserve">the corresponding quantile of the </w:t>
      </w:r>
      <w:r>
        <w:rPr>
          <w:sz w:val="24"/>
          <w:szCs w:val="24"/>
        </w:rPr>
        <w:t>N</w:t>
      </w:r>
      <w:r w:rsidR="00E4750E">
        <w:rPr>
          <w:sz w:val="24"/>
          <w:szCs w:val="24"/>
        </w:rPr>
        <w:t>ormal</w:t>
      </w:r>
      <w:r>
        <w:rPr>
          <w:sz w:val="24"/>
          <w:szCs w:val="24"/>
        </w:rPr>
        <w:t xml:space="preserve"> distribution</w:t>
      </w:r>
      <w:r w:rsidR="00E4750E">
        <w:rPr>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oMath>
      <w:r w:rsidR="00E4750E">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oMath>
      <w:r>
        <w:rPr>
          <w:sz w:val="24"/>
          <w:szCs w:val="24"/>
        </w:rPr>
        <w:t xml:space="preserve"> </w:t>
      </w:r>
      <w:r w:rsidR="00E4750E">
        <w:rPr>
          <w:sz w:val="24"/>
          <w:szCs w:val="24"/>
        </w:rPr>
        <w:t xml:space="preserve">required for sample size </w:t>
      </w:r>
      <w:r>
        <w:rPr>
          <w:sz w:val="24"/>
          <w:szCs w:val="24"/>
        </w:rPr>
        <w:t>calculations,</w:t>
      </w:r>
      <w:r w:rsidRPr="00606D0F">
        <w:rPr>
          <w:sz w:val="24"/>
          <w:szCs w:val="24"/>
        </w:rPr>
        <w:t xml:space="preserve"> </w:t>
      </w:r>
      <w:r>
        <w:rPr>
          <w:sz w:val="24"/>
          <w:szCs w:val="24"/>
        </w:rPr>
        <w:t xml:space="preserve">respectively, and </w:t>
      </w:r>
      <m:oMath>
        <m:r>
          <m:rPr>
            <m:sty m:val="p"/>
          </m:rPr>
          <w:rPr>
            <w:rFonts w:ascii="Cambria Math" w:hAnsi="Cambria Math"/>
            <w:sz w:val="24"/>
            <w:szCs w:val="24"/>
          </w:rPr>
          <m:t>δ</m:t>
        </m:r>
      </m:oMath>
      <w:r>
        <w:rPr>
          <w:sz w:val="24"/>
          <w:szCs w:val="24"/>
        </w:rPr>
        <w:t xml:space="preserve"> is the effect size of attribute </w:t>
      </w:r>
      <w:r>
        <w:rPr>
          <w:i/>
          <w:sz w:val="24"/>
          <w:szCs w:val="24"/>
        </w:rPr>
        <w:t xml:space="preserve">k </w:t>
      </w:r>
      <w:r>
        <w:rPr>
          <w:sz w:val="24"/>
          <w:szCs w:val="24"/>
        </w:rPr>
        <w:t xml:space="preserve">,which is set to the parameter estimate obtained </w:t>
      </w:r>
      <w:r w:rsidR="0010597A">
        <w:rPr>
          <w:sz w:val="24"/>
          <w:szCs w:val="24"/>
        </w:rPr>
        <w:t>from</w:t>
      </w:r>
      <w:r>
        <w:rPr>
          <w:sz w:val="24"/>
          <w:szCs w:val="24"/>
        </w:rPr>
        <w:t xml:space="preserve"> the 2014 angler survey </w:t>
      </w:r>
      <w:r w:rsidR="0010597A">
        <w:rPr>
          <w:sz w:val="24"/>
          <w:szCs w:val="24"/>
        </w:rPr>
        <w:t>analysis</w:t>
      </w:r>
      <w:r>
        <w:rPr>
          <w:sz w:val="24"/>
          <w:szCs w:val="24"/>
        </w:rPr>
        <w:t xml:space="preserve">. </w:t>
      </w:r>
    </w:p>
    <w:p w14:paraId="329A3CC5" w14:textId="77777777" w:rsidR="00E12028" w:rsidRDefault="00606D0F" w:rsidP="00F9028B">
      <w:pPr>
        <w:widowControl/>
        <w:contextualSpacing/>
        <w:rPr>
          <w:sz w:val="24"/>
          <w:szCs w:val="24"/>
        </w:rPr>
      </w:pPr>
      <w:r>
        <w:rPr>
          <w:sz w:val="24"/>
          <w:szCs w:val="24"/>
        </w:rPr>
        <w:tab/>
      </w:r>
    </w:p>
    <w:p w14:paraId="0C6F3CD5" w14:textId="31C806B7" w:rsidR="00606D0F" w:rsidRPr="00606D0F" w:rsidRDefault="00606D0F" w:rsidP="00F9028B">
      <w:pPr>
        <w:widowControl/>
        <w:contextualSpacing/>
        <w:rPr>
          <w:sz w:val="24"/>
          <w:szCs w:val="24"/>
        </w:rPr>
      </w:pPr>
      <w:r>
        <w:rPr>
          <w:sz w:val="24"/>
          <w:szCs w:val="24"/>
        </w:rPr>
        <w:t xml:space="preserve">Table </w:t>
      </w:r>
      <w:r w:rsidR="00776E48">
        <w:rPr>
          <w:sz w:val="24"/>
          <w:szCs w:val="24"/>
        </w:rPr>
        <w:t>8</w:t>
      </w:r>
      <w:r w:rsidR="00124D79">
        <w:rPr>
          <w:sz w:val="24"/>
          <w:szCs w:val="24"/>
        </w:rPr>
        <w:t xml:space="preserve"> </w:t>
      </w:r>
      <w:r>
        <w:rPr>
          <w:sz w:val="24"/>
          <w:szCs w:val="24"/>
        </w:rPr>
        <w:t xml:space="preserve">displays equation (2) calculations </w:t>
      </w:r>
      <w:r w:rsidR="0010597A">
        <w:rPr>
          <w:sz w:val="24"/>
          <w:szCs w:val="24"/>
        </w:rPr>
        <w:t xml:space="preserve">based on several values of </w:t>
      </w:r>
      <w:r w:rsidR="0010597A" w:rsidRPr="00E4750E">
        <w:rPr>
          <w:i/>
          <w:color w:val="000000"/>
          <w:sz w:val="24"/>
          <w:szCs w:val="24"/>
        </w:rPr>
        <w:t>α</w:t>
      </w:r>
      <w:r w:rsidR="0010597A">
        <w:rPr>
          <w:i/>
          <w:color w:val="000000"/>
          <w:sz w:val="24"/>
          <w:szCs w:val="24"/>
        </w:rPr>
        <w:t xml:space="preserve"> </w:t>
      </w:r>
      <w:r w:rsidR="0010597A">
        <w:rPr>
          <w:color w:val="000000"/>
          <w:sz w:val="24"/>
          <w:szCs w:val="24"/>
        </w:rPr>
        <w:t xml:space="preserve">and </w:t>
      </w:r>
      <w:r w:rsidR="0010597A" w:rsidRPr="00BC5638">
        <w:rPr>
          <w:i/>
          <w:sz w:val="24"/>
          <w:szCs w:val="24"/>
        </w:rPr>
        <w:t>1-</w:t>
      </w:r>
      <w:r w:rsidR="0010597A" w:rsidRPr="00E4750E">
        <w:rPr>
          <w:i/>
          <w:color w:val="000000"/>
          <w:sz w:val="24"/>
          <w:szCs w:val="24"/>
        </w:rPr>
        <w:t>β</w:t>
      </w:r>
      <w:r w:rsidR="0010597A">
        <w:rPr>
          <w:sz w:val="24"/>
          <w:szCs w:val="24"/>
        </w:rPr>
        <w:t xml:space="preserve"> and across</w:t>
      </w:r>
      <w:r>
        <w:rPr>
          <w:sz w:val="24"/>
          <w:szCs w:val="24"/>
        </w:rPr>
        <w:t xml:space="preserve"> all </w:t>
      </w:r>
      <w:r w:rsidR="00C56A37">
        <w:rPr>
          <w:sz w:val="24"/>
          <w:szCs w:val="24"/>
        </w:rPr>
        <w:t xml:space="preserve">choice experiment </w:t>
      </w:r>
      <w:r>
        <w:rPr>
          <w:sz w:val="24"/>
          <w:szCs w:val="24"/>
        </w:rPr>
        <w:t>attributes</w:t>
      </w:r>
      <w:r w:rsidR="0010597A">
        <w:rPr>
          <w:sz w:val="24"/>
          <w:szCs w:val="24"/>
        </w:rPr>
        <w:t xml:space="preserve">. The largest minimum sample size displayed in Table </w:t>
      </w:r>
      <w:r w:rsidR="00776E48">
        <w:rPr>
          <w:sz w:val="24"/>
          <w:szCs w:val="24"/>
        </w:rPr>
        <w:t>8</w:t>
      </w:r>
      <w:r w:rsidR="001A00A1">
        <w:rPr>
          <w:sz w:val="24"/>
          <w:szCs w:val="24"/>
        </w:rPr>
        <w:t xml:space="preserve"> </w:t>
      </w:r>
      <w:r w:rsidR="0010597A">
        <w:rPr>
          <w:sz w:val="24"/>
          <w:szCs w:val="24"/>
        </w:rPr>
        <w:t>is 23</w:t>
      </w:r>
      <w:r w:rsidR="00C56A37">
        <w:rPr>
          <w:sz w:val="24"/>
          <w:szCs w:val="24"/>
        </w:rPr>
        <w:t>8</w:t>
      </w:r>
      <w:r w:rsidR="0010597A">
        <w:rPr>
          <w:sz w:val="24"/>
          <w:szCs w:val="24"/>
        </w:rPr>
        <w:t>. This value indicates that, with a statistical power of 0.</w:t>
      </w:r>
      <w:r w:rsidR="00431E8B">
        <w:rPr>
          <w:sz w:val="24"/>
          <w:szCs w:val="24"/>
        </w:rPr>
        <w:t>9</w:t>
      </w:r>
      <w:r w:rsidR="0010597A">
        <w:rPr>
          <w:sz w:val="24"/>
          <w:szCs w:val="24"/>
        </w:rPr>
        <w:t xml:space="preserve"> and assuming </w:t>
      </w:r>
      <w:r w:rsidR="0010597A" w:rsidRPr="00E4750E">
        <w:rPr>
          <w:i/>
          <w:color w:val="000000"/>
          <w:sz w:val="24"/>
          <w:szCs w:val="24"/>
        </w:rPr>
        <w:t>α</w:t>
      </w:r>
      <w:r w:rsidR="0010597A">
        <w:rPr>
          <w:sz w:val="24"/>
          <w:szCs w:val="24"/>
        </w:rPr>
        <w:t xml:space="preserve"> = 0.01, a minimum sample size of 238 respondents is needed to discern whether the marginal utility associated with a one-hour increase in </w:t>
      </w:r>
      <w:r w:rsidR="00460FBE">
        <w:rPr>
          <w:sz w:val="24"/>
          <w:szCs w:val="24"/>
        </w:rPr>
        <w:t xml:space="preserve">the </w:t>
      </w:r>
      <w:r w:rsidR="0010597A">
        <w:rPr>
          <w:sz w:val="24"/>
          <w:szCs w:val="24"/>
        </w:rPr>
        <w:t>length</w:t>
      </w:r>
      <w:r w:rsidR="00460FBE">
        <w:rPr>
          <w:sz w:val="24"/>
          <w:szCs w:val="24"/>
        </w:rPr>
        <w:t xml:space="preserve"> of a North Atlantic cod and haddock fishing trip</w:t>
      </w:r>
      <w:r w:rsidR="0010597A">
        <w:rPr>
          <w:sz w:val="24"/>
          <w:szCs w:val="24"/>
        </w:rPr>
        <w:t xml:space="preserve"> is significantly different than zero.  </w:t>
      </w:r>
    </w:p>
    <w:p w14:paraId="228C46AD" w14:textId="77777777" w:rsidR="00E12028" w:rsidRDefault="00E12028" w:rsidP="00E12028">
      <w:pPr>
        <w:widowControl/>
        <w:contextualSpacing/>
        <w:rPr>
          <w:sz w:val="24"/>
          <w:szCs w:val="24"/>
        </w:rPr>
      </w:pPr>
    </w:p>
    <w:p w14:paraId="52C2BF77" w14:textId="5FF818D8" w:rsidR="00C93614" w:rsidRDefault="00C93614" w:rsidP="00E12028">
      <w:pPr>
        <w:widowControl/>
        <w:contextualSpacing/>
        <w:rPr>
          <w:sz w:val="24"/>
          <w:szCs w:val="24"/>
        </w:rPr>
      </w:pPr>
      <w:r w:rsidRPr="00C93614">
        <w:rPr>
          <w:sz w:val="24"/>
          <w:szCs w:val="24"/>
        </w:rPr>
        <w:t xml:space="preserve">Given </w:t>
      </w:r>
      <w:r w:rsidR="0010597A">
        <w:rPr>
          <w:sz w:val="24"/>
          <w:szCs w:val="24"/>
        </w:rPr>
        <w:t>results of both approache</w:t>
      </w:r>
      <w:r w:rsidR="00431E8B">
        <w:rPr>
          <w:sz w:val="24"/>
          <w:szCs w:val="24"/>
        </w:rPr>
        <w:t>s</w:t>
      </w:r>
      <w:r w:rsidR="0010597A">
        <w:rPr>
          <w:sz w:val="24"/>
          <w:szCs w:val="24"/>
        </w:rPr>
        <w:t xml:space="preserve"> used to determine the minimum sample size required for the </w:t>
      </w:r>
      <w:r w:rsidR="00CA0835">
        <w:rPr>
          <w:sz w:val="24"/>
          <w:szCs w:val="24"/>
        </w:rPr>
        <w:t>NARFS</w:t>
      </w:r>
      <w:r w:rsidR="0010597A">
        <w:rPr>
          <w:sz w:val="24"/>
          <w:szCs w:val="24"/>
        </w:rPr>
        <w:t xml:space="preserve">, we </w:t>
      </w:r>
      <w:r w:rsidRPr="00C93614">
        <w:rPr>
          <w:sz w:val="24"/>
          <w:szCs w:val="24"/>
        </w:rPr>
        <w:t xml:space="preserve">seek to obtain </w:t>
      </w:r>
      <w:r w:rsidR="00DD2A4F">
        <w:rPr>
          <w:sz w:val="24"/>
          <w:szCs w:val="24"/>
        </w:rPr>
        <w:t xml:space="preserve">at least </w:t>
      </w:r>
      <w:r w:rsidRPr="00C93614">
        <w:rPr>
          <w:sz w:val="24"/>
          <w:szCs w:val="24"/>
        </w:rPr>
        <w:t xml:space="preserve">500 surveys completed by eligible anglers. Meeting this objective conditional on an expected 15% eligible response rate requires distributing a minimum of 3,333 surveys across the three states. This information is incorporated with our sample stratification procedure and shown in the third row of Table </w:t>
      </w:r>
      <w:r w:rsidR="00776E48">
        <w:rPr>
          <w:sz w:val="24"/>
          <w:szCs w:val="24"/>
        </w:rPr>
        <w:t>7</w:t>
      </w:r>
      <w:r w:rsidRPr="00C93614">
        <w:rPr>
          <w:sz w:val="24"/>
          <w:szCs w:val="24"/>
        </w:rPr>
        <w:t xml:space="preserve">. </w:t>
      </w:r>
    </w:p>
    <w:p w14:paraId="465ECF90" w14:textId="145BF650" w:rsidR="0010597A" w:rsidRDefault="0010597A" w:rsidP="005D2A9C">
      <w:pPr>
        <w:widowControl/>
        <w:contextualSpacing/>
        <w:rPr>
          <w:sz w:val="24"/>
          <w:szCs w:val="24"/>
        </w:rPr>
      </w:pPr>
    </w:p>
    <w:p w14:paraId="270506AC" w14:textId="06DDC363" w:rsidR="00776E48" w:rsidRDefault="00776E48" w:rsidP="005D2A9C">
      <w:pPr>
        <w:widowControl/>
        <w:contextualSpacing/>
        <w:rPr>
          <w:sz w:val="24"/>
          <w:szCs w:val="24"/>
        </w:rPr>
      </w:pPr>
    </w:p>
    <w:p w14:paraId="049D6AB6" w14:textId="26136F02" w:rsidR="00776E48" w:rsidRDefault="00776E48" w:rsidP="005D2A9C">
      <w:pPr>
        <w:widowControl/>
        <w:contextualSpacing/>
        <w:rPr>
          <w:sz w:val="24"/>
          <w:szCs w:val="24"/>
        </w:rPr>
      </w:pPr>
    </w:p>
    <w:p w14:paraId="52965D9E" w14:textId="6D925195" w:rsidR="00776E48" w:rsidRDefault="00776E48" w:rsidP="005D2A9C">
      <w:pPr>
        <w:widowControl/>
        <w:contextualSpacing/>
        <w:rPr>
          <w:sz w:val="24"/>
          <w:szCs w:val="24"/>
        </w:rPr>
      </w:pPr>
    </w:p>
    <w:p w14:paraId="2150C382" w14:textId="326907CD" w:rsidR="00776E48" w:rsidRDefault="00776E48" w:rsidP="005D2A9C">
      <w:pPr>
        <w:widowControl/>
        <w:contextualSpacing/>
        <w:rPr>
          <w:sz w:val="24"/>
          <w:szCs w:val="24"/>
        </w:rPr>
      </w:pPr>
    </w:p>
    <w:p w14:paraId="025D1872" w14:textId="487F8024" w:rsidR="00776E48" w:rsidRDefault="00776E48" w:rsidP="005D2A9C">
      <w:pPr>
        <w:widowControl/>
        <w:contextualSpacing/>
        <w:rPr>
          <w:sz w:val="24"/>
          <w:szCs w:val="24"/>
        </w:rPr>
      </w:pPr>
    </w:p>
    <w:p w14:paraId="7F319727" w14:textId="77777777" w:rsidR="00776E48" w:rsidRDefault="00776E48" w:rsidP="005D2A9C">
      <w:pPr>
        <w:widowControl/>
        <w:contextualSpacing/>
        <w:rPr>
          <w:sz w:val="24"/>
          <w:szCs w:val="24"/>
        </w:rPr>
      </w:pPr>
    </w:p>
    <w:p w14:paraId="651DE949" w14:textId="77777777" w:rsidR="00696957" w:rsidRDefault="00696957" w:rsidP="00F9028B">
      <w:pPr>
        <w:widowControl/>
        <w:ind w:firstLine="720"/>
        <w:contextualSpacing/>
        <w:rPr>
          <w:sz w:val="24"/>
          <w:szCs w:val="24"/>
        </w:rPr>
      </w:pPr>
    </w:p>
    <w:tbl>
      <w:tblPr>
        <w:tblW w:w="9900" w:type="dxa"/>
        <w:jc w:val="center"/>
        <w:tblLayout w:type="fixed"/>
        <w:tblLook w:val="04A0" w:firstRow="1" w:lastRow="0" w:firstColumn="1" w:lastColumn="0" w:noHBand="0" w:noVBand="1"/>
      </w:tblPr>
      <w:tblGrid>
        <w:gridCol w:w="990"/>
        <w:gridCol w:w="720"/>
        <w:gridCol w:w="1143"/>
        <w:gridCol w:w="1296"/>
        <w:gridCol w:w="1584"/>
        <w:gridCol w:w="1584"/>
        <w:gridCol w:w="869"/>
        <w:gridCol w:w="699"/>
        <w:gridCol w:w="1008"/>
        <w:gridCol w:w="7"/>
      </w:tblGrid>
      <w:tr w:rsidR="006919CE" w:rsidRPr="003E76EF" w14:paraId="2F8E0E03" w14:textId="77777777" w:rsidTr="0094229B">
        <w:trPr>
          <w:trHeight w:hRule="exact" w:val="576"/>
          <w:jc w:val="center"/>
        </w:trPr>
        <w:tc>
          <w:tcPr>
            <w:tcW w:w="9900" w:type="dxa"/>
            <w:gridSpan w:val="10"/>
            <w:tcBorders>
              <w:bottom w:val="single" w:sz="4" w:space="0" w:color="auto"/>
            </w:tcBorders>
            <w:shd w:val="clear" w:color="auto" w:fill="auto"/>
            <w:noWrap/>
            <w:vAlign w:val="center"/>
          </w:tcPr>
          <w:p w14:paraId="6B86DB0A" w14:textId="2B1B7331" w:rsidR="006919CE" w:rsidRPr="003E76EF" w:rsidRDefault="00606D0F" w:rsidP="00F9028B">
            <w:pPr>
              <w:widowControl/>
              <w:autoSpaceDE/>
              <w:autoSpaceDN/>
              <w:adjustRightInd/>
              <w:contextualSpacing/>
              <w:rPr>
                <w:color w:val="000000"/>
                <w:sz w:val="22"/>
                <w:szCs w:val="22"/>
              </w:rPr>
            </w:pPr>
            <w:r w:rsidRPr="003E76EF">
              <w:rPr>
                <w:color w:val="000000"/>
                <w:sz w:val="22"/>
                <w:szCs w:val="22"/>
              </w:rPr>
              <w:t xml:space="preserve">Table </w:t>
            </w:r>
            <w:r w:rsidR="00776E48">
              <w:rPr>
                <w:color w:val="000000"/>
                <w:sz w:val="22"/>
                <w:szCs w:val="22"/>
              </w:rPr>
              <w:t>8</w:t>
            </w:r>
            <w:r w:rsidRPr="003E76EF">
              <w:rPr>
                <w:color w:val="000000"/>
                <w:sz w:val="22"/>
                <w:szCs w:val="22"/>
              </w:rPr>
              <w:t xml:space="preserve">. </w:t>
            </w:r>
            <w:r w:rsidR="006919CE" w:rsidRPr="003E76EF">
              <w:rPr>
                <w:color w:val="000000"/>
                <w:sz w:val="22"/>
                <w:szCs w:val="22"/>
              </w:rPr>
              <w:t>Minimum sample size required to obtain the desired power level 1-</w:t>
            </w:r>
            <w:r w:rsidR="006919CE" w:rsidRPr="0094229B">
              <w:rPr>
                <w:i/>
                <w:color w:val="000000"/>
                <w:sz w:val="22"/>
                <w:szCs w:val="22"/>
              </w:rPr>
              <w:t>β</w:t>
            </w:r>
            <w:r w:rsidR="006919CE" w:rsidRPr="003E76EF">
              <w:rPr>
                <w:color w:val="000000"/>
                <w:sz w:val="22"/>
                <w:szCs w:val="22"/>
              </w:rPr>
              <w:t xml:space="preserve"> for finding an effect when testing at a specific confidence level </w:t>
            </w:r>
            <w:r w:rsidR="006919CE" w:rsidRPr="0094229B">
              <w:rPr>
                <w:i/>
                <w:color w:val="000000"/>
                <w:sz w:val="22"/>
                <w:szCs w:val="22"/>
              </w:rPr>
              <w:t>α</w:t>
            </w:r>
            <w:r w:rsidR="006919CE" w:rsidRPr="003E76EF">
              <w:rPr>
                <w:color w:val="000000"/>
                <w:sz w:val="22"/>
                <w:szCs w:val="22"/>
              </w:rPr>
              <w:t>.</w:t>
            </w:r>
          </w:p>
        </w:tc>
      </w:tr>
      <w:tr w:rsidR="006919CE" w:rsidRPr="003E76EF" w14:paraId="73207A47" w14:textId="77777777" w:rsidTr="0094229B">
        <w:trPr>
          <w:trHeight w:hRule="exact" w:val="288"/>
          <w:jc w:val="center"/>
        </w:trPr>
        <w:tc>
          <w:tcPr>
            <w:tcW w:w="990" w:type="dxa"/>
            <w:tcBorders>
              <w:top w:val="single" w:sz="4" w:space="0" w:color="auto"/>
            </w:tcBorders>
            <w:shd w:val="clear" w:color="auto" w:fill="auto"/>
            <w:noWrap/>
            <w:vAlign w:val="center"/>
          </w:tcPr>
          <w:p w14:paraId="623CE3CC" w14:textId="77777777" w:rsidR="006919CE" w:rsidRPr="003E76EF" w:rsidRDefault="006919CE" w:rsidP="00F9028B">
            <w:pPr>
              <w:widowControl/>
              <w:autoSpaceDE/>
              <w:autoSpaceDN/>
              <w:adjustRightInd/>
              <w:contextualSpacing/>
              <w:jc w:val="center"/>
              <w:rPr>
                <w:color w:val="000000"/>
                <w:sz w:val="22"/>
                <w:szCs w:val="22"/>
              </w:rPr>
            </w:pPr>
          </w:p>
        </w:tc>
        <w:tc>
          <w:tcPr>
            <w:tcW w:w="720" w:type="dxa"/>
            <w:tcBorders>
              <w:top w:val="single" w:sz="4" w:space="0" w:color="auto"/>
            </w:tcBorders>
            <w:shd w:val="clear" w:color="auto" w:fill="auto"/>
            <w:noWrap/>
            <w:vAlign w:val="center"/>
          </w:tcPr>
          <w:p w14:paraId="54FBFBD3" w14:textId="77777777" w:rsidR="006919CE" w:rsidRPr="003E76EF" w:rsidRDefault="006919CE" w:rsidP="00F9028B">
            <w:pPr>
              <w:widowControl/>
              <w:autoSpaceDE/>
              <w:autoSpaceDN/>
              <w:adjustRightInd/>
              <w:contextualSpacing/>
              <w:jc w:val="center"/>
              <w:rPr>
                <w:color w:val="000000"/>
                <w:sz w:val="22"/>
                <w:szCs w:val="22"/>
              </w:rPr>
            </w:pPr>
          </w:p>
        </w:tc>
        <w:tc>
          <w:tcPr>
            <w:tcW w:w="8190" w:type="dxa"/>
            <w:gridSpan w:val="8"/>
            <w:tcBorders>
              <w:top w:val="single" w:sz="4" w:space="0" w:color="auto"/>
              <w:bottom w:val="single" w:sz="4" w:space="0" w:color="auto"/>
            </w:tcBorders>
            <w:shd w:val="clear" w:color="auto" w:fill="auto"/>
            <w:noWrap/>
            <w:vAlign w:val="center"/>
          </w:tcPr>
          <w:p w14:paraId="4C3046FF" w14:textId="407BB68E"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Choice experiment attributes</w:t>
            </w:r>
          </w:p>
        </w:tc>
      </w:tr>
      <w:tr w:rsidR="00C56A37" w:rsidRPr="003E76EF" w14:paraId="3742BA6B" w14:textId="77777777" w:rsidTr="0094229B">
        <w:trPr>
          <w:gridAfter w:val="1"/>
          <w:wAfter w:w="7" w:type="dxa"/>
          <w:trHeight w:hRule="exact" w:val="576"/>
          <w:jc w:val="center"/>
        </w:trPr>
        <w:tc>
          <w:tcPr>
            <w:tcW w:w="990" w:type="dxa"/>
            <w:tcBorders>
              <w:bottom w:val="single" w:sz="4" w:space="0" w:color="auto"/>
            </w:tcBorders>
            <w:shd w:val="clear" w:color="auto" w:fill="auto"/>
            <w:noWrap/>
            <w:vAlign w:val="center"/>
            <w:hideMark/>
          </w:tcPr>
          <w:p w14:paraId="4CE46AEB" w14:textId="77777777" w:rsidR="006919CE" w:rsidRPr="0094229B" w:rsidRDefault="006919CE" w:rsidP="00F9028B">
            <w:pPr>
              <w:widowControl/>
              <w:autoSpaceDE/>
              <w:autoSpaceDN/>
              <w:adjustRightInd/>
              <w:contextualSpacing/>
              <w:jc w:val="center"/>
              <w:rPr>
                <w:i/>
                <w:color w:val="000000"/>
                <w:sz w:val="22"/>
                <w:szCs w:val="22"/>
              </w:rPr>
            </w:pPr>
            <w:r w:rsidRPr="0094229B">
              <w:rPr>
                <w:i/>
                <w:color w:val="000000"/>
                <w:sz w:val="22"/>
                <w:szCs w:val="22"/>
              </w:rPr>
              <w:t>α</w:t>
            </w:r>
          </w:p>
        </w:tc>
        <w:tc>
          <w:tcPr>
            <w:tcW w:w="720" w:type="dxa"/>
            <w:tcBorders>
              <w:bottom w:val="single" w:sz="4" w:space="0" w:color="auto"/>
            </w:tcBorders>
            <w:shd w:val="clear" w:color="auto" w:fill="auto"/>
            <w:noWrap/>
            <w:vAlign w:val="center"/>
            <w:hideMark/>
          </w:tcPr>
          <w:p w14:paraId="71E695E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w:t>
            </w:r>
            <w:r w:rsidRPr="0094229B">
              <w:rPr>
                <w:i/>
                <w:color w:val="000000"/>
                <w:sz w:val="22"/>
                <w:szCs w:val="22"/>
              </w:rPr>
              <w:t>β</w:t>
            </w:r>
          </w:p>
        </w:tc>
        <w:tc>
          <w:tcPr>
            <w:tcW w:w="1143" w:type="dxa"/>
            <w:tcBorders>
              <w:top w:val="single" w:sz="4" w:space="0" w:color="auto"/>
              <w:bottom w:val="single" w:sz="4" w:space="0" w:color="auto"/>
            </w:tcBorders>
            <w:shd w:val="clear" w:color="auto" w:fill="auto"/>
            <w:noWrap/>
            <w:vAlign w:val="center"/>
            <w:hideMark/>
          </w:tcPr>
          <w:p w14:paraId="3611CBA2" w14:textId="1F86D98D" w:rsidR="006919CE" w:rsidRPr="003E76EF" w:rsidRDefault="0083784A" w:rsidP="00F9028B">
            <w:pPr>
              <w:widowControl/>
              <w:autoSpaceDE/>
              <w:autoSpaceDN/>
              <w:adjustRightInd/>
              <w:contextualSpacing/>
              <w:jc w:val="center"/>
              <w:rPr>
                <w:color w:val="000000"/>
                <w:sz w:val="22"/>
                <w:szCs w:val="22"/>
              </w:rPr>
            </w:pPr>
            <m:oMathPara>
              <m:oMath>
                <m:rad>
                  <m:radPr>
                    <m:degHide m:val="1"/>
                    <m:ctrlPr>
                      <w:rPr>
                        <w:rFonts w:ascii="Cambria Math" w:hAnsi="Cambria Math"/>
                        <w:i/>
                        <w:color w:val="000000"/>
                        <w:sz w:val="22"/>
                        <w:szCs w:val="22"/>
                      </w:rPr>
                    </m:ctrlPr>
                  </m:radPr>
                  <m:deg/>
                  <m:e>
                    <m:r>
                      <m:rPr>
                        <m:sty m:val="p"/>
                      </m:rPr>
                      <w:rPr>
                        <w:rFonts w:ascii="Cambria Math" w:hAnsi="Cambria Math"/>
                        <w:color w:val="000000"/>
                        <w:sz w:val="22"/>
                        <w:szCs w:val="22"/>
                      </w:rPr>
                      <m:t>Cod kept</m:t>
                    </m:r>
                  </m:e>
                </m:rad>
              </m:oMath>
            </m:oMathPara>
          </w:p>
        </w:tc>
        <w:tc>
          <w:tcPr>
            <w:tcW w:w="1296" w:type="dxa"/>
            <w:tcBorders>
              <w:top w:val="single" w:sz="4" w:space="0" w:color="auto"/>
              <w:bottom w:val="single" w:sz="4" w:space="0" w:color="auto"/>
            </w:tcBorders>
            <w:shd w:val="clear" w:color="auto" w:fill="auto"/>
            <w:noWrap/>
            <w:vAlign w:val="center"/>
            <w:hideMark/>
          </w:tcPr>
          <w:p w14:paraId="63BDE47C" w14:textId="7E22BA61" w:rsidR="006919CE" w:rsidRPr="003E76EF" w:rsidRDefault="0083784A" w:rsidP="00F9028B">
            <w:pPr>
              <w:widowControl/>
              <w:autoSpaceDE/>
              <w:autoSpaceDN/>
              <w:adjustRightInd/>
              <w:contextualSpacing/>
              <w:jc w:val="center"/>
              <w:rPr>
                <w:color w:val="000000"/>
                <w:sz w:val="22"/>
                <w:szCs w:val="22"/>
              </w:rPr>
            </w:pPr>
            <m:oMathPara>
              <m:oMath>
                <m:rad>
                  <m:radPr>
                    <m:degHide m:val="1"/>
                    <m:ctrlPr>
                      <w:rPr>
                        <w:rFonts w:ascii="Cambria Math" w:hAnsi="Cambria Math"/>
                        <w:i/>
                        <w:color w:val="000000"/>
                        <w:sz w:val="22"/>
                        <w:szCs w:val="22"/>
                      </w:rPr>
                    </m:ctrlPr>
                  </m:radPr>
                  <m:deg/>
                  <m:e>
                    <m:r>
                      <m:rPr>
                        <m:sty m:val="p"/>
                      </m:rPr>
                      <w:rPr>
                        <w:rFonts w:ascii="Cambria Math" w:hAnsi="Cambria Math"/>
                        <w:color w:val="000000"/>
                        <w:sz w:val="22"/>
                        <w:szCs w:val="22"/>
                      </w:rPr>
                      <m:t>Had. kept</m:t>
                    </m:r>
                  </m:e>
                </m:rad>
              </m:oMath>
            </m:oMathPara>
          </w:p>
        </w:tc>
        <w:tc>
          <w:tcPr>
            <w:tcW w:w="1584" w:type="dxa"/>
            <w:tcBorders>
              <w:top w:val="single" w:sz="4" w:space="0" w:color="auto"/>
              <w:bottom w:val="single" w:sz="4" w:space="0" w:color="auto"/>
            </w:tcBorders>
            <w:shd w:val="clear" w:color="auto" w:fill="auto"/>
            <w:noWrap/>
            <w:vAlign w:val="center"/>
            <w:hideMark/>
          </w:tcPr>
          <w:p w14:paraId="06F352B3" w14:textId="0B81A774" w:rsidR="006919CE" w:rsidRPr="003E76EF" w:rsidRDefault="0083784A" w:rsidP="00F9028B">
            <w:pPr>
              <w:widowControl/>
              <w:autoSpaceDE/>
              <w:autoSpaceDN/>
              <w:adjustRightInd/>
              <w:contextualSpacing/>
              <w:jc w:val="center"/>
              <w:rPr>
                <w:color w:val="000000"/>
                <w:sz w:val="22"/>
                <w:szCs w:val="22"/>
              </w:rPr>
            </w:pPr>
            <m:oMathPara>
              <m:oMath>
                <m:rad>
                  <m:radPr>
                    <m:degHide m:val="1"/>
                    <m:ctrlPr>
                      <w:rPr>
                        <w:rFonts w:ascii="Cambria Math" w:hAnsi="Cambria Math"/>
                        <w:i/>
                        <w:color w:val="000000"/>
                        <w:sz w:val="22"/>
                        <w:szCs w:val="22"/>
                      </w:rPr>
                    </m:ctrlPr>
                  </m:radPr>
                  <m:deg/>
                  <m:e>
                    <m:r>
                      <m:rPr>
                        <m:sty m:val="p"/>
                      </m:rPr>
                      <w:rPr>
                        <w:rFonts w:ascii="Cambria Math" w:hAnsi="Cambria Math"/>
                        <w:color w:val="000000"/>
                        <w:sz w:val="22"/>
                        <w:szCs w:val="22"/>
                      </w:rPr>
                      <m:t>Cod released</m:t>
                    </m:r>
                  </m:e>
                </m:rad>
              </m:oMath>
            </m:oMathPara>
          </w:p>
        </w:tc>
        <w:tc>
          <w:tcPr>
            <w:tcW w:w="1584" w:type="dxa"/>
            <w:tcBorders>
              <w:top w:val="single" w:sz="4" w:space="0" w:color="auto"/>
              <w:bottom w:val="single" w:sz="4" w:space="0" w:color="auto"/>
            </w:tcBorders>
            <w:shd w:val="clear" w:color="auto" w:fill="auto"/>
            <w:noWrap/>
            <w:vAlign w:val="center"/>
            <w:hideMark/>
          </w:tcPr>
          <w:p w14:paraId="3FB854D9" w14:textId="5856E54A" w:rsidR="006919CE" w:rsidRPr="003E76EF" w:rsidRDefault="0083784A" w:rsidP="00F9028B">
            <w:pPr>
              <w:widowControl/>
              <w:autoSpaceDE/>
              <w:autoSpaceDN/>
              <w:adjustRightInd/>
              <w:contextualSpacing/>
              <w:jc w:val="center"/>
              <w:rPr>
                <w:color w:val="000000"/>
                <w:sz w:val="22"/>
                <w:szCs w:val="22"/>
              </w:rPr>
            </w:pPr>
            <m:oMathPara>
              <m:oMath>
                <m:rad>
                  <m:radPr>
                    <m:degHide m:val="1"/>
                    <m:ctrlPr>
                      <w:rPr>
                        <w:rFonts w:ascii="Cambria Math" w:hAnsi="Cambria Math"/>
                        <w:i/>
                        <w:color w:val="000000"/>
                        <w:sz w:val="22"/>
                        <w:szCs w:val="22"/>
                      </w:rPr>
                    </m:ctrlPr>
                  </m:radPr>
                  <m:deg/>
                  <m:e>
                    <m:r>
                      <m:rPr>
                        <m:sty m:val="p"/>
                      </m:rPr>
                      <w:rPr>
                        <w:rFonts w:ascii="Cambria Math" w:hAnsi="Cambria Math"/>
                        <w:color w:val="000000"/>
                        <w:sz w:val="22"/>
                        <w:szCs w:val="22"/>
                      </w:rPr>
                      <m:t>Had. released</m:t>
                    </m:r>
                  </m:e>
                </m:rad>
              </m:oMath>
            </m:oMathPara>
          </w:p>
        </w:tc>
        <w:tc>
          <w:tcPr>
            <w:tcW w:w="869" w:type="dxa"/>
            <w:tcBorders>
              <w:top w:val="single" w:sz="4" w:space="0" w:color="auto"/>
              <w:bottom w:val="single" w:sz="4" w:space="0" w:color="auto"/>
            </w:tcBorders>
            <w:shd w:val="clear" w:color="auto" w:fill="auto"/>
            <w:noWrap/>
            <w:vAlign w:val="center"/>
            <w:hideMark/>
          </w:tcPr>
          <w:p w14:paraId="1D9BEF09"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Trip length</w:t>
            </w:r>
          </w:p>
        </w:tc>
        <w:tc>
          <w:tcPr>
            <w:tcW w:w="699" w:type="dxa"/>
            <w:tcBorders>
              <w:top w:val="single" w:sz="4" w:space="0" w:color="auto"/>
              <w:bottom w:val="single" w:sz="4" w:space="0" w:color="auto"/>
            </w:tcBorders>
            <w:shd w:val="clear" w:color="auto" w:fill="auto"/>
            <w:noWrap/>
            <w:vAlign w:val="center"/>
            <w:hideMark/>
          </w:tcPr>
          <w:p w14:paraId="022DFCD2" w14:textId="18A733DB"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Trip Cost</w:t>
            </w:r>
          </w:p>
        </w:tc>
        <w:tc>
          <w:tcPr>
            <w:tcW w:w="1008" w:type="dxa"/>
            <w:tcBorders>
              <w:top w:val="single" w:sz="4" w:space="0" w:color="auto"/>
              <w:bottom w:val="single" w:sz="4" w:space="0" w:color="auto"/>
            </w:tcBorders>
            <w:shd w:val="clear" w:color="auto" w:fill="auto"/>
            <w:noWrap/>
            <w:vAlign w:val="center"/>
            <w:hideMark/>
          </w:tcPr>
          <w:p w14:paraId="3948C1E1" w14:textId="7E8EC1AE" w:rsidR="006919CE" w:rsidRPr="003E76EF" w:rsidRDefault="003A7CEB" w:rsidP="00F9028B">
            <w:pPr>
              <w:widowControl/>
              <w:autoSpaceDE/>
              <w:autoSpaceDN/>
              <w:adjustRightInd/>
              <w:contextualSpacing/>
              <w:jc w:val="center"/>
              <w:rPr>
                <w:color w:val="000000"/>
                <w:sz w:val="22"/>
                <w:szCs w:val="22"/>
              </w:rPr>
            </w:pPr>
            <w:r>
              <w:rPr>
                <w:color w:val="000000"/>
                <w:sz w:val="22"/>
                <w:szCs w:val="22"/>
              </w:rPr>
              <w:t>No Fish</w:t>
            </w:r>
          </w:p>
        </w:tc>
      </w:tr>
      <w:tr w:rsidR="00C56A37" w:rsidRPr="003E76EF" w14:paraId="78DA8675" w14:textId="77777777" w:rsidTr="0094229B">
        <w:trPr>
          <w:gridAfter w:val="1"/>
          <w:wAfter w:w="7" w:type="dxa"/>
          <w:trHeight w:val="20"/>
          <w:jc w:val="center"/>
        </w:trPr>
        <w:tc>
          <w:tcPr>
            <w:tcW w:w="990" w:type="dxa"/>
            <w:tcBorders>
              <w:top w:val="single" w:sz="4" w:space="0" w:color="auto"/>
            </w:tcBorders>
            <w:shd w:val="clear" w:color="auto" w:fill="auto"/>
            <w:noWrap/>
            <w:vAlign w:val="center"/>
            <w:hideMark/>
          </w:tcPr>
          <w:p w14:paraId="15F67803"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0.1</w:t>
            </w:r>
          </w:p>
        </w:tc>
        <w:tc>
          <w:tcPr>
            <w:tcW w:w="720" w:type="dxa"/>
            <w:tcBorders>
              <w:top w:val="single" w:sz="4" w:space="0" w:color="auto"/>
            </w:tcBorders>
            <w:shd w:val="clear" w:color="auto" w:fill="auto"/>
            <w:noWrap/>
            <w:vAlign w:val="center"/>
            <w:hideMark/>
          </w:tcPr>
          <w:p w14:paraId="2B66B61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0.6</w:t>
            </w:r>
          </w:p>
        </w:tc>
        <w:tc>
          <w:tcPr>
            <w:tcW w:w="1143" w:type="dxa"/>
            <w:tcBorders>
              <w:top w:val="single" w:sz="4" w:space="0" w:color="auto"/>
            </w:tcBorders>
            <w:shd w:val="clear" w:color="auto" w:fill="auto"/>
            <w:noWrap/>
            <w:vAlign w:val="center"/>
            <w:hideMark/>
          </w:tcPr>
          <w:p w14:paraId="1E64C0F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3</w:t>
            </w:r>
          </w:p>
        </w:tc>
        <w:tc>
          <w:tcPr>
            <w:tcW w:w="1296" w:type="dxa"/>
            <w:tcBorders>
              <w:top w:val="single" w:sz="4" w:space="0" w:color="auto"/>
            </w:tcBorders>
            <w:shd w:val="clear" w:color="auto" w:fill="auto"/>
            <w:noWrap/>
            <w:vAlign w:val="center"/>
            <w:hideMark/>
          </w:tcPr>
          <w:p w14:paraId="1A4B7C1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3</w:t>
            </w:r>
          </w:p>
        </w:tc>
        <w:tc>
          <w:tcPr>
            <w:tcW w:w="1584" w:type="dxa"/>
            <w:tcBorders>
              <w:top w:val="single" w:sz="4" w:space="0" w:color="auto"/>
            </w:tcBorders>
            <w:shd w:val="clear" w:color="auto" w:fill="auto"/>
            <w:noWrap/>
            <w:vAlign w:val="center"/>
            <w:hideMark/>
          </w:tcPr>
          <w:p w14:paraId="5CE3D58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3</w:t>
            </w:r>
          </w:p>
        </w:tc>
        <w:tc>
          <w:tcPr>
            <w:tcW w:w="1584" w:type="dxa"/>
            <w:tcBorders>
              <w:top w:val="single" w:sz="4" w:space="0" w:color="auto"/>
            </w:tcBorders>
            <w:shd w:val="clear" w:color="auto" w:fill="auto"/>
            <w:noWrap/>
            <w:vAlign w:val="center"/>
            <w:hideMark/>
          </w:tcPr>
          <w:p w14:paraId="2B83296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28</w:t>
            </w:r>
          </w:p>
        </w:tc>
        <w:tc>
          <w:tcPr>
            <w:tcW w:w="869" w:type="dxa"/>
            <w:tcBorders>
              <w:top w:val="single" w:sz="4" w:space="0" w:color="auto"/>
            </w:tcBorders>
            <w:shd w:val="clear" w:color="auto" w:fill="auto"/>
            <w:noWrap/>
            <w:vAlign w:val="center"/>
            <w:hideMark/>
          </w:tcPr>
          <w:p w14:paraId="61D754D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43</w:t>
            </w:r>
          </w:p>
        </w:tc>
        <w:tc>
          <w:tcPr>
            <w:tcW w:w="699" w:type="dxa"/>
            <w:tcBorders>
              <w:top w:val="single" w:sz="4" w:space="0" w:color="auto"/>
            </w:tcBorders>
            <w:shd w:val="clear" w:color="auto" w:fill="auto"/>
            <w:noWrap/>
            <w:vAlign w:val="center"/>
            <w:hideMark/>
          </w:tcPr>
          <w:p w14:paraId="1CDDA2F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39</w:t>
            </w:r>
          </w:p>
        </w:tc>
        <w:tc>
          <w:tcPr>
            <w:tcW w:w="1008" w:type="dxa"/>
            <w:tcBorders>
              <w:top w:val="single" w:sz="4" w:space="0" w:color="auto"/>
            </w:tcBorders>
            <w:shd w:val="clear" w:color="auto" w:fill="auto"/>
            <w:noWrap/>
            <w:vAlign w:val="center"/>
            <w:hideMark/>
          </w:tcPr>
          <w:p w14:paraId="7DC139F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43</w:t>
            </w:r>
          </w:p>
        </w:tc>
      </w:tr>
      <w:tr w:rsidR="006919CE" w:rsidRPr="003E76EF" w14:paraId="71B5DD61" w14:textId="77777777" w:rsidTr="0094229B">
        <w:trPr>
          <w:gridAfter w:val="1"/>
          <w:wAfter w:w="7" w:type="dxa"/>
          <w:trHeight w:val="20"/>
          <w:jc w:val="center"/>
        </w:trPr>
        <w:tc>
          <w:tcPr>
            <w:tcW w:w="990" w:type="dxa"/>
            <w:shd w:val="clear" w:color="auto" w:fill="auto"/>
            <w:noWrap/>
            <w:vAlign w:val="center"/>
            <w:hideMark/>
          </w:tcPr>
          <w:p w14:paraId="726537E7"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0.05</w:t>
            </w:r>
          </w:p>
        </w:tc>
        <w:tc>
          <w:tcPr>
            <w:tcW w:w="720" w:type="dxa"/>
            <w:shd w:val="clear" w:color="auto" w:fill="auto"/>
            <w:noWrap/>
            <w:vAlign w:val="center"/>
            <w:hideMark/>
          </w:tcPr>
          <w:p w14:paraId="301E8D6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0.6</w:t>
            </w:r>
          </w:p>
        </w:tc>
        <w:tc>
          <w:tcPr>
            <w:tcW w:w="1143" w:type="dxa"/>
            <w:shd w:val="clear" w:color="auto" w:fill="auto"/>
            <w:noWrap/>
            <w:vAlign w:val="center"/>
            <w:hideMark/>
          </w:tcPr>
          <w:p w14:paraId="1F24A03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296" w:type="dxa"/>
            <w:shd w:val="clear" w:color="auto" w:fill="auto"/>
            <w:noWrap/>
            <w:vAlign w:val="center"/>
            <w:hideMark/>
          </w:tcPr>
          <w:p w14:paraId="5B22022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584" w:type="dxa"/>
            <w:shd w:val="clear" w:color="auto" w:fill="auto"/>
            <w:noWrap/>
            <w:vAlign w:val="center"/>
            <w:hideMark/>
          </w:tcPr>
          <w:p w14:paraId="42B8FB7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584" w:type="dxa"/>
            <w:shd w:val="clear" w:color="auto" w:fill="auto"/>
            <w:noWrap/>
            <w:vAlign w:val="center"/>
            <w:hideMark/>
          </w:tcPr>
          <w:p w14:paraId="4D93DCA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43</w:t>
            </w:r>
          </w:p>
        </w:tc>
        <w:tc>
          <w:tcPr>
            <w:tcW w:w="869" w:type="dxa"/>
            <w:shd w:val="clear" w:color="auto" w:fill="auto"/>
            <w:noWrap/>
            <w:vAlign w:val="center"/>
            <w:hideMark/>
          </w:tcPr>
          <w:p w14:paraId="3C848CA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66</w:t>
            </w:r>
          </w:p>
        </w:tc>
        <w:tc>
          <w:tcPr>
            <w:tcW w:w="699" w:type="dxa"/>
            <w:shd w:val="clear" w:color="auto" w:fill="auto"/>
            <w:noWrap/>
            <w:vAlign w:val="center"/>
            <w:hideMark/>
          </w:tcPr>
          <w:p w14:paraId="4415571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59</w:t>
            </w:r>
          </w:p>
        </w:tc>
        <w:tc>
          <w:tcPr>
            <w:tcW w:w="1008" w:type="dxa"/>
            <w:shd w:val="clear" w:color="auto" w:fill="auto"/>
            <w:noWrap/>
            <w:vAlign w:val="center"/>
            <w:hideMark/>
          </w:tcPr>
          <w:p w14:paraId="01BAAE1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66</w:t>
            </w:r>
          </w:p>
        </w:tc>
      </w:tr>
      <w:tr w:rsidR="006919CE" w:rsidRPr="003E76EF" w14:paraId="68DFBB9F" w14:textId="77777777" w:rsidTr="0094229B">
        <w:trPr>
          <w:gridAfter w:val="1"/>
          <w:wAfter w:w="7" w:type="dxa"/>
          <w:trHeight w:val="20"/>
          <w:jc w:val="center"/>
        </w:trPr>
        <w:tc>
          <w:tcPr>
            <w:tcW w:w="990" w:type="dxa"/>
            <w:shd w:val="clear" w:color="auto" w:fill="auto"/>
            <w:noWrap/>
            <w:vAlign w:val="center"/>
            <w:hideMark/>
          </w:tcPr>
          <w:p w14:paraId="68FACC72"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0.025</w:t>
            </w:r>
          </w:p>
        </w:tc>
        <w:tc>
          <w:tcPr>
            <w:tcW w:w="720" w:type="dxa"/>
            <w:shd w:val="clear" w:color="auto" w:fill="auto"/>
            <w:noWrap/>
            <w:vAlign w:val="center"/>
            <w:hideMark/>
          </w:tcPr>
          <w:p w14:paraId="78822C1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0.6</w:t>
            </w:r>
          </w:p>
        </w:tc>
        <w:tc>
          <w:tcPr>
            <w:tcW w:w="1143" w:type="dxa"/>
            <w:shd w:val="clear" w:color="auto" w:fill="auto"/>
            <w:noWrap/>
            <w:vAlign w:val="center"/>
            <w:hideMark/>
          </w:tcPr>
          <w:p w14:paraId="34E195A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w:t>
            </w:r>
          </w:p>
        </w:tc>
        <w:tc>
          <w:tcPr>
            <w:tcW w:w="1296" w:type="dxa"/>
            <w:shd w:val="clear" w:color="auto" w:fill="auto"/>
            <w:noWrap/>
            <w:vAlign w:val="center"/>
            <w:hideMark/>
          </w:tcPr>
          <w:p w14:paraId="4D368C0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w:t>
            </w:r>
          </w:p>
        </w:tc>
        <w:tc>
          <w:tcPr>
            <w:tcW w:w="1584" w:type="dxa"/>
            <w:shd w:val="clear" w:color="auto" w:fill="auto"/>
            <w:noWrap/>
            <w:vAlign w:val="center"/>
            <w:hideMark/>
          </w:tcPr>
          <w:p w14:paraId="40A674A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w:t>
            </w:r>
          </w:p>
        </w:tc>
        <w:tc>
          <w:tcPr>
            <w:tcW w:w="1584" w:type="dxa"/>
            <w:shd w:val="clear" w:color="auto" w:fill="auto"/>
            <w:noWrap/>
            <w:vAlign w:val="center"/>
            <w:hideMark/>
          </w:tcPr>
          <w:p w14:paraId="4CD7216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59</w:t>
            </w:r>
          </w:p>
        </w:tc>
        <w:tc>
          <w:tcPr>
            <w:tcW w:w="869" w:type="dxa"/>
            <w:shd w:val="clear" w:color="auto" w:fill="auto"/>
            <w:noWrap/>
            <w:vAlign w:val="center"/>
            <w:hideMark/>
          </w:tcPr>
          <w:p w14:paraId="7428953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90</w:t>
            </w:r>
          </w:p>
        </w:tc>
        <w:tc>
          <w:tcPr>
            <w:tcW w:w="699" w:type="dxa"/>
            <w:shd w:val="clear" w:color="auto" w:fill="auto"/>
            <w:noWrap/>
            <w:vAlign w:val="center"/>
            <w:hideMark/>
          </w:tcPr>
          <w:p w14:paraId="53F0B53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81</w:t>
            </w:r>
          </w:p>
        </w:tc>
        <w:tc>
          <w:tcPr>
            <w:tcW w:w="1008" w:type="dxa"/>
            <w:shd w:val="clear" w:color="auto" w:fill="auto"/>
            <w:noWrap/>
            <w:vAlign w:val="center"/>
            <w:hideMark/>
          </w:tcPr>
          <w:p w14:paraId="5466052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89</w:t>
            </w:r>
          </w:p>
        </w:tc>
      </w:tr>
      <w:tr w:rsidR="006919CE" w:rsidRPr="003E76EF" w14:paraId="369C7F78" w14:textId="77777777" w:rsidTr="0094229B">
        <w:trPr>
          <w:gridAfter w:val="1"/>
          <w:wAfter w:w="7" w:type="dxa"/>
          <w:trHeight w:val="20"/>
          <w:jc w:val="center"/>
        </w:trPr>
        <w:tc>
          <w:tcPr>
            <w:tcW w:w="990" w:type="dxa"/>
            <w:shd w:val="clear" w:color="auto" w:fill="auto"/>
            <w:noWrap/>
            <w:vAlign w:val="center"/>
            <w:hideMark/>
          </w:tcPr>
          <w:p w14:paraId="6A2DAD88"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0.01</w:t>
            </w:r>
          </w:p>
        </w:tc>
        <w:tc>
          <w:tcPr>
            <w:tcW w:w="720" w:type="dxa"/>
            <w:shd w:val="clear" w:color="auto" w:fill="auto"/>
            <w:noWrap/>
            <w:vAlign w:val="center"/>
            <w:hideMark/>
          </w:tcPr>
          <w:p w14:paraId="7567346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0.6</w:t>
            </w:r>
          </w:p>
        </w:tc>
        <w:tc>
          <w:tcPr>
            <w:tcW w:w="1143" w:type="dxa"/>
            <w:shd w:val="clear" w:color="auto" w:fill="auto"/>
            <w:noWrap/>
            <w:vAlign w:val="center"/>
            <w:hideMark/>
          </w:tcPr>
          <w:p w14:paraId="1351AF1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296" w:type="dxa"/>
            <w:shd w:val="clear" w:color="auto" w:fill="auto"/>
            <w:noWrap/>
            <w:vAlign w:val="center"/>
            <w:hideMark/>
          </w:tcPr>
          <w:p w14:paraId="3FB6688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53D41FB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584" w:type="dxa"/>
            <w:shd w:val="clear" w:color="auto" w:fill="auto"/>
            <w:noWrap/>
            <w:vAlign w:val="center"/>
            <w:hideMark/>
          </w:tcPr>
          <w:p w14:paraId="0BD0825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80</w:t>
            </w:r>
          </w:p>
        </w:tc>
        <w:tc>
          <w:tcPr>
            <w:tcW w:w="869" w:type="dxa"/>
            <w:shd w:val="clear" w:color="auto" w:fill="auto"/>
            <w:noWrap/>
            <w:vAlign w:val="center"/>
            <w:hideMark/>
          </w:tcPr>
          <w:p w14:paraId="5924666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122</w:t>
            </w:r>
          </w:p>
        </w:tc>
        <w:tc>
          <w:tcPr>
            <w:tcW w:w="699" w:type="dxa"/>
            <w:shd w:val="clear" w:color="auto" w:fill="auto"/>
            <w:noWrap/>
            <w:vAlign w:val="center"/>
            <w:hideMark/>
          </w:tcPr>
          <w:p w14:paraId="64790C0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110</w:t>
            </w:r>
          </w:p>
        </w:tc>
        <w:tc>
          <w:tcPr>
            <w:tcW w:w="1008" w:type="dxa"/>
            <w:shd w:val="clear" w:color="auto" w:fill="auto"/>
            <w:noWrap/>
            <w:vAlign w:val="center"/>
            <w:hideMark/>
          </w:tcPr>
          <w:p w14:paraId="12CF527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121</w:t>
            </w:r>
          </w:p>
        </w:tc>
      </w:tr>
      <w:tr w:rsidR="006919CE" w:rsidRPr="003E76EF" w14:paraId="576F9CBA" w14:textId="77777777" w:rsidTr="0094229B">
        <w:trPr>
          <w:gridAfter w:val="1"/>
          <w:wAfter w:w="7" w:type="dxa"/>
          <w:trHeight w:val="20"/>
          <w:jc w:val="center"/>
        </w:trPr>
        <w:tc>
          <w:tcPr>
            <w:tcW w:w="990" w:type="dxa"/>
            <w:shd w:val="clear" w:color="auto" w:fill="auto"/>
            <w:noWrap/>
            <w:vAlign w:val="center"/>
            <w:hideMark/>
          </w:tcPr>
          <w:p w14:paraId="2CD2F450"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0.1</w:t>
            </w:r>
          </w:p>
        </w:tc>
        <w:tc>
          <w:tcPr>
            <w:tcW w:w="720" w:type="dxa"/>
            <w:shd w:val="clear" w:color="auto" w:fill="auto"/>
            <w:noWrap/>
            <w:vAlign w:val="center"/>
            <w:hideMark/>
          </w:tcPr>
          <w:p w14:paraId="33F3731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0.7</w:t>
            </w:r>
          </w:p>
        </w:tc>
        <w:tc>
          <w:tcPr>
            <w:tcW w:w="1143" w:type="dxa"/>
            <w:shd w:val="clear" w:color="auto" w:fill="auto"/>
            <w:noWrap/>
            <w:vAlign w:val="center"/>
            <w:hideMark/>
          </w:tcPr>
          <w:p w14:paraId="1D93CF0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296" w:type="dxa"/>
            <w:shd w:val="clear" w:color="auto" w:fill="auto"/>
            <w:noWrap/>
            <w:vAlign w:val="center"/>
            <w:hideMark/>
          </w:tcPr>
          <w:p w14:paraId="4A7A929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584" w:type="dxa"/>
            <w:shd w:val="clear" w:color="auto" w:fill="auto"/>
            <w:noWrap/>
            <w:vAlign w:val="center"/>
            <w:hideMark/>
          </w:tcPr>
          <w:p w14:paraId="5B57850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4</w:t>
            </w:r>
          </w:p>
        </w:tc>
        <w:tc>
          <w:tcPr>
            <w:tcW w:w="1584" w:type="dxa"/>
            <w:shd w:val="clear" w:color="auto" w:fill="auto"/>
            <w:noWrap/>
            <w:vAlign w:val="center"/>
            <w:hideMark/>
          </w:tcPr>
          <w:p w14:paraId="479717E9"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39</w:t>
            </w:r>
          </w:p>
        </w:tc>
        <w:tc>
          <w:tcPr>
            <w:tcW w:w="869" w:type="dxa"/>
            <w:shd w:val="clear" w:color="auto" w:fill="auto"/>
            <w:noWrap/>
            <w:vAlign w:val="center"/>
            <w:hideMark/>
          </w:tcPr>
          <w:p w14:paraId="0A7D329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60</w:t>
            </w:r>
          </w:p>
        </w:tc>
        <w:tc>
          <w:tcPr>
            <w:tcW w:w="699" w:type="dxa"/>
            <w:shd w:val="clear" w:color="auto" w:fill="auto"/>
            <w:noWrap/>
            <w:vAlign w:val="center"/>
            <w:hideMark/>
          </w:tcPr>
          <w:p w14:paraId="000AA8B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54</w:t>
            </w:r>
          </w:p>
        </w:tc>
        <w:tc>
          <w:tcPr>
            <w:tcW w:w="1008" w:type="dxa"/>
            <w:shd w:val="clear" w:color="auto" w:fill="auto"/>
            <w:noWrap/>
            <w:vAlign w:val="center"/>
            <w:hideMark/>
          </w:tcPr>
          <w:p w14:paraId="33F84B5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59</w:t>
            </w:r>
          </w:p>
        </w:tc>
      </w:tr>
      <w:tr w:rsidR="006919CE" w:rsidRPr="003E76EF" w14:paraId="57A6277F" w14:textId="77777777" w:rsidTr="0094229B">
        <w:trPr>
          <w:gridAfter w:val="1"/>
          <w:wAfter w:w="7" w:type="dxa"/>
          <w:trHeight w:val="20"/>
          <w:jc w:val="center"/>
        </w:trPr>
        <w:tc>
          <w:tcPr>
            <w:tcW w:w="990" w:type="dxa"/>
            <w:shd w:val="clear" w:color="auto" w:fill="auto"/>
            <w:noWrap/>
            <w:vAlign w:val="center"/>
            <w:hideMark/>
          </w:tcPr>
          <w:p w14:paraId="6FDC7BA9"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0.05</w:t>
            </w:r>
          </w:p>
        </w:tc>
        <w:tc>
          <w:tcPr>
            <w:tcW w:w="720" w:type="dxa"/>
            <w:shd w:val="clear" w:color="auto" w:fill="auto"/>
            <w:noWrap/>
            <w:vAlign w:val="center"/>
            <w:hideMark/>
          </w:tcPr>
          <w:p w14:paraId="7880F86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0.7</w:t>
            </w:r>
          </w:p>
        </w:tc>
        <w:tc>
          <w:tcPr>
            <w:tcW w:w="1143" w:type="dxa"/>
            <w:shd w:val="clear" w:color="auto" w:fill="auto"/>
            <w:noWrap/>
            <w:vAlign w:val="center"/>
            <w:hideMark/>
          </w:tcPr>
          <w:p w14:paraId="06C68AE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w:t>
            </w:r>
          </w:p>
        </w:tc>
        <w:tc>
          <w:tcPr>
            <w:tcW w:w="1296" w:type="dxa"/>
            <w:shd w:val="clear" w:color="auto" w:fill="auto"/>
            <w:noWrap/>
            <w:vAlign w:val="center"/>
            <w:hideMark/>
          </w:tcPr>
          <w:p w14:paraId="09CC2AD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w:t>
            </w:r>
          </w:p>
        </w:tc>
        <w:tc>
          <w:tcPr>
            <w:tcW w:w="1584" w:type="dxa"/>
            <w:shd w:val="clear" w:color="auto" w:fill="auto"/>
            <w:noWrap/>
            <w:vAlign w:val="center"/>
            <w:hideMark/>
          </w:tcPr>
          <w:p w14:paraId="78937EC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w:t>
            </w:r>
          </w:p>
        </w:tc>
        <w:tc>
          <w:tcPr>
            <w:tcW w:w="1584" w:type="dxa"/>
            <w:shd w:val="clear" w:color="auto" w:fill="auto"/>
            <w:noWrap/>
            <w:vAlign w:val="center"/>
            <w:hideMark/>
          </w:tcPr>
          <w:p w14:paraId="4D734C8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56</w:t>
            </w:r>
          </w:p>
        </w:tc>
        <w:tc>
          <w:tcPr>
            <w:tcW w:w="869" w:type="dxa"/>
            <w:shd w:val="clear" w:color="auto" w:fill="auto"/>
            <w:noWrap/>
            <w:vAlign w:val="center"/>
            <w:hideMark/>
          </w:tcPr>
          <w:p w14:paraId="5B4B550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86</w:t>
            </w:r>
          </w:p>
        </w:tc>
        <w:tc>
          <w:tcPr>
            <w:tcW w:w="699" w:type="dxa"/>
            <w:shd w:val="clear" w:color="auto" w:fill="auto"/>
            <w:noWrap/>
            <w:vAlign w:val="center"/>
            <w:hideMark/>
          </w:tcPr>
          <w:p w14:paraId="74097E5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78</w:t>
            </w:r>
          </w:p>
        </w:tc>
        <w:tc>
          <w:tcPr>
            <w:tcW w:w="1008" w:type="dxa"/>
            <w:shd w:val="clear" w:color="auto" w:fill="auto"/>
            <w:noWrap/>
            <w:vAlign w:val="center"/>
            <w:hideMark/>
          </w:tcPr>
          <w:p w14:paraId="2B402A5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86</w:t>
            </w:r>
          </w:p>
        </w:tc>
      </w:tr>
      <w:tr w:rsidR="006919CE" w:rsidRPr="003E76EF" w14:paraId="2A6445E6" w14:textId="77777777" w:rsidTr="0094229B">
        <w:trPr>
          <w:gridAfter w:val="1"/>
          <w:wAfter w:w="7" w:type="dxa"/>
          <w:trHeight w:val="20"/>
          <w:jc w:val="center"/>
        </w:trPr>
        <w:tc>
          <w:tcPr>
            <w:tcW w:w="990" w:type="dxa"/>
            <w:shd w:val="clear" w:color="auto" w:fill="auto"/>
            <w:noWrap/>
            <w:vAlign w:val="center"/>
            <w:hideMark/>
          </w:tcPr>
          <w:p w14:paraId="1C461AB1"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0.025</w:t>
            </w:r>
          </w:p>
        </w:tc>
        <w:tc>
          <w:tcPr>
            <w:tcW w:w="720" w:type="dxa"/>
            <w:shd w:val="clear" w:color="auto" w:fill="auto"/>
            <w:noWrap/>
            <w:vAlign w:val="center"/>
            <w:hideMark/>
          </w:tcPr>
          <w:p w14:paraId="487AACD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0.7</w:t>
            </w:r>
          </w:p>
        </w:tc>
        <w:tc>
          <w:tcPr>
            <w:tcW w:w="1143" w:type="dxa"/>
            <w:shd w:val="clear" w:color="auto" w:fill="auto"/>
            <w:noWrap/>
            <w:vAlign w:val="center"/>
            <w:hideMark/>
          </w:tcPr>
          <w:p w14:paraId="2545012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296" w:type="dxa"/>
            <w:shd w:val="clear" w:color="auto" w:fill="auto"/>
            <w:noWrap/>
            <w:vAlign w:val="center"/>
            <w:hideMark/>
          </w:tcPr>
          <w:p w14:paraId="634A219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2DF7715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08C3645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74</w:t>
            </w:r>
          </w:p>
        </w:tc>
        <w:tc>
          <w:tcPr>
            <w:tcW w:w="869" w:type="dxa"/>
            <w:shd w:val="clear" w:color="auto" w:fill="auto"/>
            <w:noWrap/>
            <w:vAlign w:val="center"/>
            <w:hideMark/>
          </w:tcPr>
          <w:p w14:paraId="4AECC8E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113</w:t>
            </w:r>
          </w:p>
        </w:tc>
        <w:tc>
          <w:tcPr>
            <w:tcW w:w="699" w:type="dxa"/>
            <w:shd w:val="clear" w:color="auto" w:fill="auto"/>
            <w:noWrap/>
            <w:vAlign w:val="center"/>
            <w:hideMark/>
          </w:tcPr>
          <w:p w14:paraId="78E500D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102</w:t>
            </w:r>
          </w:p>
        </w:tc>
        <w:tc>
          <w:tcPr>
            <w:tcW w:w="1008" w:type="dxa"/>
            <w:shd w:val="clear" w:color="auto" w:fill="auto"/>
            <w:noWrap/>
            <w:vAlign w:val="center"/>
            <w:hideMark/>
          </w:tcPr>
          <w:p w14:paraId="045E22A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112</w:t>
            </w:r>
          </w:p>
        </w:tc>
      </w:tr>
      <w:tr w:rsidR="006919CE" w:rsidRPr="003E76EF" w14:paraId="5841D94B" w14:textId="77777777" w:rsidTr="0094229B">
        <w:trPr>
          <w:gridAfter w:val="1"/>
          <w:wAfter w:w="7" w:type="dxa"/>
          <w:trHeight w:val="20"/>
          <w:jc w:val="center"/>
        </w:trPr>
        <w:tc>
          <w:tcPr>
            <w:tcW w:w="990" w:type="dxa"/>
            <w:shd w:val="clear" w:color="auto" w:fill="auto"/>
            <w:noWrap/>
            <w:vAlign w:val="center"/>
            <w:hideMark/>
          </w:tcPr>
          <w:p w14:paraId="63DA4B3D"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0.01</w:t>
            </w:r>
          </w:p>
        </w:tc>
        <w:tc>
          <w:tcPr>
            <w:tcW w:w="720" w:type="dxa"/>
            <w:shd w:val="clear" w:color="auto" w:fill="auto"/>
            <w:noWrap/>
            <w:vAlign w:val="center"/>
            <w:hideMark/>
          </w:tcPr>
          <w:p w14:paraId="4885565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0.7</w:t>
            </w:r>
          </w:p>
        </w:tc>
        <w:tc>
          <w:tcPr>
            <w:tcW w:w="1143" w:type="dxa"/>
            <w:shd w:val="clear" w:color="auto" w:fill="auto"/>
            <w:noWrap/>
            <w:vAlign w:val="center"/>
            <w:hideMark/>
          </w:tcPr>
          <w:p w14:paraId="3E4D8EF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w:t>
            </w:r>
          </w:p>
        </w:tc>
        <w:tc>
          <w:tcPr>
            <w:tcW w:w="1296" w:type="dxa"/>
            <w:shd w:val="clear" w:color="auto" w:fill="auto"/>
            <w:noWrap/>
            <w:vAlign w:val="center"/>
            <w:hideMark/>
          </w:tcPr>
          <w:p w14:paraId="407240E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w:t>
            </w:r>
          </w:p>
        </w:tc>
        <w:tc>
          <w:tcPr>
            <w:tcW w:w="1584" w:type="dxa"/>
            <w:shd w:val="clear" w:color="auto" w:fill="auto"/>
            <w:noWrap/>
            <w:vAlign w:val="center"/>
            <w:hideMark/>
          </w:tcPr>
          <w:p w14:paraId="7A31512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w:t>
            </w:r>
          </w:p>
        </w:tc>
        <w:tc>
          <w:tcPr>
            <w:tcW w:w="1584" w:type="dxa"/>
            <w:shd w:val="clear" w:color="auto" w:fill="auto"/>
            <w:noWrap/>
            <w:vAlign w:val="center"/>
            <w:hideMark/>
          </w:tcPr>
          <w:p w14:paraId="5102766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97</w:t>
            </w:r>
          </w:p>
        </w:tc>
        <w:tc>
          <w:tcPr>
            <w:tcW w:w="869" w:type="dxa"/>
            <w:shd w:val="clear" w:color="auto" w:fill="auto"/>
            <w:noWrap/>
            <w:vAlign w:val="center"/>
            <w:hideMark/>
          </w:tcPr>
          <w:p w14:paraId="6685C47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149</w:t>
            </w:r>
          </w:p>
        </w:tc>
        <w:tc>
          <w:tcPr>
            <w:tcW w:w="699" w:type="dxa"/>
            <w:shd w:val="clear" w:color="auto" w:fill="auto"/>
            <w:noWrap/>
            <w:vAlign w:val="center"/>
            <w:hideMark/>
          </w:tcPr>
          <w:p w14:paraId="34CE915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134</w:t>
            </w:r>
          </w:p>
        </w:tc>
        <w:tc>
          <w:tcPr>
            <w:tcW w:w="1008" w:type="dxa"/>
            <w:shd w:val="clear" w:color="auto" w:fill="auto"/>
            <w:noWrap/>
            <w:vAlign w:val="center"/>
            <w:hideMark/>
          </w:tcPr>
          <w:p w14:paraId="73A9E84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148</w:t>
            </w:r>
          </w:p>
        </w:tc>
      </w:tr>
      <w:tr w:rsidR="006919CE" w:rsidRPr="003E76EF" w14:paraId="69C030AC" w14:textId="77777777" w:rsidTr="0094229B">
        <w:trPr>
          <w:gridAfter w:val="1"/>
          <w:wAfter w:w="7" w:type="dxa"/>
          <w:trHeight w:val="20"/>
          <w:jc w:val="center"/>
        </w:trPr>
        <w:tc>
          <w:tcPr>
            <w:tcW w:w="990" w:type="dxa"/>
            <w:shd w:val="clear" w:color="auto" w:fill="auto"/>
            <w:noWrap/>
            <w:vAlign w:val="center"/>
            <w:hideMark/>
          </w:tcPr>
          <w:p w14:paraId="7139EDE1"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0.1</w:t>
            </w:r>
          </w:p>
        </w:tc>
        <w:tc>
          <w:tcPr>
            <w:tcW w:w="720" w:type="dxa"/>
            <w:shd w:val="clear" w:color="auto" w:fill="auto"/>
            <w:noWrap/>
            <w:vAlign w:val="center"/>
            <w:hideMark/>
          </w:tcPr>
          <w:p w14:paraId="5667D68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0.8</w:t>
            </w:r>
          </w:p>
        </w:tc>
        <w:tc>
          <w:tcPr>
            <w:tcW w:w="1143" w:type="dxa"/>
            <w:shd w:val="clear" w:color="auto" w:fill="auto"/>
            <w:noWrap/>
            <w:vAlign w:val="center"/>
            <w:hideMark/>
          </w:tcPr>
          <w:p w14:paraId="689F15A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6</w:t>
            </w:r>
          </w:p>
        </w:tc>
        <w:tc>
          <w:tcPr>
            <w:tcW w:w="1296" w:type="dxa"/>
            <w:shd w:val="clear" w:color="auto" w:fill="auto"/>
            <w:noWrap/>
            <w:vAlign w:val="center"/>
            <w:hideMark/>
          </w:tcPr>
          <w:p w14:paraId="3A0F4CA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w:t>
            </w:r>
          </w:p>
        </w:tc>
        <w:tc>
          <w:tcPr>
            <w:tcW w:w="1584" w:type="dxa"/>
            <w:shd w:val="clear" w:color="auto" w:fill="auto"/>
            <w:noWrap/>
            <w:vAlign w:val="center"/>
            <w:hideMark/>
          </w:tcPr>
          <w:p w14:paraId="77FBEB4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w:t>
            </w:r>
          </w:p>
        </w:tc>
        <w:tc>
          <w:tcPr>
            <w:tcW w:w="1584" w:type="dxa"/>
            <w:shd w:val="clear" w:color="auto" w:fill="auto"/>
            <w:noWrap/>
            <w:vAlign w:val="center"/>
            <w:hideMark/>
          </w:tcPr>
          <w:p w14:paraId="167E9389"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54</w:t>
            </w:r>
          </w:p>
        </w:tc>
        <w:tc>
          <w:tcPr>
            <w:tcW w:w="869" w:type="dxa"/>
            <w:shd w:val="clear" w:color="auto" w:fill="auto"/>
            <w:noWrap/>
            <w:vAlign w:val="center"/>
            <w:hideMark/>
          </w:tcPr>
          <w:p w14:paraId="10EEA8D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83</w:t>
            </w:r>
          </w:p>
        </w:tc>
        <w:tc>
          <w:tcPr>
            <w:tcW w:w="699" w:type="dxa"/>
            <w:shd w:val="clear" w:color="auto" w:fill="auto"/>
            <w:noWrap/>
            <w:vAlign w:val="center"/>
            <w:hideMark/>
          </w:tcPr>
          <w:p w14:paraId="2ED0112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74</w:t>
            </w:r>
          </w:p>
        </w:tc>
        <w:tc>
          <w:tcPr>
            <w:tcW w:w="1008" w:type="dxa"/>
            <w:shd w:val="clear" w:color="auto" w:fill="auto"/>
            <w:noWrap/>
            <w:vAlign w:val="center"/>
            <w:hideMark/>
          </w:tcPr>
          <w:p w14:paraId="7F2FD9B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82</w:t>
            </w:r>
          </w:p>
        </w:tc>
      </w:tr>
      <w:tr w:rsidR="006919CE" w:rsidRPr="003E76EF" w14:paraId="0C4C2C61" w14:textId="77777777" w:rsidTr="0094229B">
        <w:trPr>
          <w:gridAfter w:val="1"/>
          <w:wAfter w:w="7" w:type="dxa"/>
          <w:trHeight w:val="20"/>
          <w:jc w:val="center"/>
        </w:trPr>
        <w:tc>
          <w:tcPr>
            <w:tcW w:w="990" w:type="dxa"/>
            <w:shd w:val="clear" w:color="auto" w:fill="auto"/>
            <w:noWrap/>
            <w:vAlign w:val="center"/>
            <w:hideMark/>
          </w:tcPr>
          <w:p w14:paraId="0D18259B"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0.05</w:t>
            </w:r>
          </w:p>
        </w:tc>
        <w:tc>
          <w:tcPr>
            <w:tcW w:w="720" w:type="dxa"/>
            <w:shd w:val="clear" w:color="auto" w:fill="auto"/>
            <w:noWrap/>
            <w:vAlign w:val="center"/>
            <w:hideMark/>
          </w:tcPr>
          <w:p w14:paraId="72676D1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0.8</w:t>
            </w:r>
          </w:p>
        </w:tc>
        <w:tc>
          <w:tcPr>
            <w:tcW w:w="1143" w:type="dxa"/>
            <w:shd w:val="clear" w:color="auto" w:fill="auto"/>
            <w:noWrap/>
            <w:vAlign w:val="center"/>
            <w:hideMark/>
          </w:tcPr>
          <w:p w14:paraId="04D11DF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296" w:type="dxa"/>
            <w:shd w:val="clear" w:color="auto" w:fill="auto"/>
            <w:noWrap/>
            <w:vAlign w:val="center"/>
            <w:hideMark/>
          </w:tcPr>
          <w:p w14:paraId="65785EE1"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55DCD42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13C2A92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74</w:t>
            </w:r>
          </w:p>
        </w:tc>
        <w:tc>
          <w:tcPr>
            <w:tcW w:w="869" w:type="dxa"/>
            <w:shd w:val="clear" w:color="auto" w:fill="auto"/>
            <w:noWrap/>
            <w:vAlign w:val="center"/>
            <w:hideMark/>
          </w:tcPr>
          <w:p w14:paraId="2DE08C6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113</w:t>
            </w:r>
          </w:p>
        </w:tc>
        <w:tc>
          <w:tcPr>
            <w:tcW w:w="699" w:type="dxa"/>
            <w:shd w:val="clear" w:color="auto" w:fill="auto"/>
            <w:noWrap/>
            <w:vAlign w:val="center"/>
            <w:hideMark/>
          </w:tcPr>
          <w:p w14:paraId="1A77CEB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102</w:t>
            </w:r>
          </w:p>
        </w:tc>
        <w:tc>
          <w:tcPr>
            <w:tcW w:w="1008" w:type="dxa"/>
            <w:shd w:val="clear" w:color="auto" w:fill="auto"/>
            <w:noWrap/>
            <w:vAlign w:val="center"/>
            <w:hideMark/>
          </w:tcPr>
          <w:p w14:paraId="0143421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112</w:t>
            </w:r>
          </w:p>
        </w:tc>
      </w:tr>
      <w:tr w:rsidR="006919CE" w:rsidRPr="003E76EF" w14:paraId="303C3ECA" w14:textId="77777777" w:rsidTr="0094229B">
        <w:trPr>
          <w:gridAfter w:val="1"/>
          <w:wAfter w:w="7" w:type="dxa"/>
          <w:trHeight w:val="20"/>
          <w:jc w:val="center"/>
        </w:trPr>
        <w:tc>
          <w:tcPr>
            <w:tcW w:w="990" w:type="dxa"/>
            <w:shd w:val="clear" w:color="auto" w:fill="auto"/>
            <w:noWrap/>
            <w:vAlign w:val="center"/>
            <w:hideMark/>
          </w:tcPr>
          <w:p w14:paraId="614F308C"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0.025</w:t>
            </w:r>
          </w:p>
        </w:tc>
        <w:tc>
          <w:tcPr>
            <w:tcW w:w="720" w:type="dxa"/>
            <w:shd w:val="clear" w:color="auto" w:fill="auto"/>
            <w:noWrap/>
            <w:vAlign w:val="center"/>
            <w:hideMark/>
          </w:tcPr>
          <w:p w14:paraId="36064FC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0.8</w:t>
            </w:r>
          </w:p>
        </w:tc>
        <w:tc>
          <w:tcPr>
            <w:tcW w:w="1143" w:type="dxa"/>
            <w:shd w:val="clear" w:color="auto" w:fill="auto"/>
            <w:noWrap/>
            <w:vAlign w:val="center"/>
            <w:hideMark/>
          </w:tcPr>
          <w:p w14:paraId="2B2E55A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w:t>
            </w:r>
          </w:p>
        </w:tc>
        <w:tc>
          <w:tcPr>
            <w:tcW w:w="1296" w:type="dxa"/>
            <w:shd w:val="clear" w:color="auto" w:fill="auto"/>
            <w:noWrap/>
            <w:vAlign w:val="center"/>
            <w:hideMark/>
          </w:tcPr>
          <w:p w14:paraId="2B99173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w:t>
            </w:r>
          </w:p>
        </w:tc>
        <w:tc>
          <w:tcPr>
            <w:tcW w:w="1584" w:type="dxa"/>
            <w:shd w:val="clear" w:color="auto" w:fill="auto"/>
            <w:noWrap/>
            <w:vAlign w:val="center"/>
            <w:hideMark/>
          </w:tcPr>
          <w:p w14:paraId="2B1CD5F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w:t>
            </w:r>
          </w:p>
        </w:tc>
        <w:tc>
          <w:tcPr>
            <w:tcW w:w="1584" w:type="dxa"/>
            <w:shd w:val="clear" w:color="auto" w:fill="auto"/>
            <w:noWrap/>
            <w:vAlign w:val="center"/>
            <w:hideMark/>
          </w:tcPr>
          <w:p w14:paraId="0C48A8D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94</w:t>
            </w:r>
          </w:p>
        </w:tc>
        <w:tc>
          <w:tcPr>
            <w:tcW w:w="869" w:type="dxa"/>
            <w:shd w:val="clear" w:color="auto" w:fill="auto"/>
            <w:noWrap/>
            <w:vAlign w:val="center"/>
            <w:hideMark/>
          </w:tcPr>
          <w:p w14:paraId="5A82FB1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144</w:t>
            </w:r>
          </w:p>
        </w:tc>
        <w:tc>
          <w:tcPr>
            <w:tcW w:w="699" w:type="dxa"/>
            <w:shd w:val="clear" w:color="auto" w:fill="auto"/>
            <w:noWrap/>
            <w:vAlign w:val="center"/>
            <w:hideMark/>
          </w:tcPr>
          <w:p w14:paraId="6DE805F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129</w:t>
            </w:r>
          </w:p>
        </w:tc>
        <w:tc>
          <w:tcPr>
            <w:tcW w:w="1008" w:type="dxa"/>
            <w:shd w:val="clear" w:color="auto" w:fill="auto"/>
            <w:noWrap/>
            <w:vAlign w:val="center"/>
            <w:hideMark/>
          </w:tcPr>
          <w:p w14:paraId="79398F5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143</w:t>
            </w:r>
          </w:p>
        </w:tc>
      </w:tr>
      <w:tr w:rsidR="006919CE" w:rsidRPr="003E76EF" w14:paraId="67CE4DCB" w14:textId="77777777" w:rsidTr="0094229B">
        <w:trPr>
          <w:gridAfter w:val="1"/>
          <w:wAfter w:w="7" w:type="dxa"/>
          <w:trHeight w:val="20"/>
          <w:jc w:val="center"/>
        </w:trPr>
        <w:tc>
          <w:tcPr>
            <w:tcW w:w="990" w:type="dxa"/>
            <w:shd w:val="clear" w:color="auto" w:fill="auto"/>
            <w:noWrap/>
            <w:vAlign w:val="center"/>
            <w:hideMark/>
          </w:tcPr>
          <w:p w14:paraId="1241AAEB"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0.01</w:t>
            </w:r>
          </w:p>
        </w:tc>
        <w:tc>
          <w:tcPr>
            <w:tcW w:w="720" w:type="dxa"/>
            <w:shd w:val="clear" w:color="auto" w:fill="auto"/>
            <w:noWrap/>
            <w:vAlign w:val="center"/>
            <w:hideMark/>
          </w:tcPr>
          <w:p w14:paraId="7C46C38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0.8</w:t>
            </w:r>
          </w:p>
        </w:tc>
        <w:tc>
          <w:tcPr>
            <w:tcW w:w="1143" w:type="dxa"/>
            <w:shd w:val="clear" w:color="auto" w:fill="auto"/>
            <w:noWrap/>
            <w:vAlign w:val="center"/>
            <w:hideMark/>
          </w:tcPr>
          <w:p w14:paraId="41C8CB51"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w:t>
            </w:r>
          </w:p>
        </w:tc>
        <w:tc>
          <w:tcPr>
            <w:tcW w:w="1296" w:type="dxa"/>
            <w:shd w:val="clear" w:color="auto" w:fill="auto"/>
            <w:noWrap/>
            <w:vAlign w:val="center"/>
            <w:hideMark/>
          </w:tcPr>
          <w:p w14:paraId="4F2CCD3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w:t>
            </w:r>
          </w:p>
        </w:tc>
        <w:tc>
          <w:tcPr>
            <w:tcW w:w="1584" w:type="dxa"/>
            <w:shd w:val="clear" w:color="auto" w:fill="auto"/>
            <w:noWrap/>
            <w:vAlign w:val="center"/>
            <w:hideMark/>
          </w:tcPr>
          <w:p w14:paraId="04C8F12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w:t>
            </w:r>
          </w:p>
        </w:tc>
        <w:tc>
          <w:tcPr>
            <w:tcW w:w="1584" w:type="dxa"/>
            <w:shd w:val="clear" w:color="auto" w:fill="auto"/>
            <w:noWrap/>
            <w:vAlign w:val="center"/>
            <w:hideMark/>
          </w:tcPr>
          <w:p w14:paraId="2BD80D8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120</w:t>
            </w:r>
          </w:p>
        </w:tc>
        <w:tc>
          <w:tcPr>
            <w:tcW w:w="869" w:type="dxa"/>
            <w:shd w:val="clear" w:color="auto" w:fill="auto"/>
            <w:noWrap/>
            <w:vAlign w:val="center"/>
            <w:hideMark/>
          </w:tcPr>
          <w:p w14:paraId="1A8CD6C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184</w:t>
            </w:r>
          </w:p>
        </w:tc>
        <w:tc>
          <w:tcPr>
            <w:tcW w:w="699" w:type="dxa"/>
            <w:shd w:val="clear" w:color="auto" w:fill="auto"/>
            <w:noWrap/>
            <w:vAlign w:val="center"/>
            <w:hideMark/>
          </w:tcPr>
          <w:p w14:paraId="28177F9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166</w:t>
            </w:r>
          </w:p>
        </w:tc>
        <w:tc>
          <w:tcPr>
            <w:tcW w:w="1008" w:type="dxa"/>
            <w:shd w:val="clear" w:color="auto" w:fill="auto"/>
            <w:noWrap/>
            <w:vAlign w:val="center"/>
            <w:hideMark/>
          </w:tcPr>
          <w:p w14:paraId="288740D1"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183</w:t>
            </w:r>
          </w:p>
        </w:tc>
      </w:tr>
      <w:tr w:rsidR="006919CE" w:rsidRPr="003E76EF" w14:paraId="03CD24B3" w14:textId="77777777" w:rsidTr="0094229B">
        <w:trPr>
          <w:gridAfter w:val="1"/>
          <w:wAfter w:w="7" w:type="dxa"/>
          <w:trHeight w:val="20"/>
          <w:jc w:val="center"/>
        </w:trPr>
        <w:tc>
          <w:tcPr>
            <w:tcW w:w="990" w:type="dxa"/>
            <w:shd w:val="clear" w:color="auto" w:fill="auto"/>
            <w:noWrap/>
            <w:vAlign w:val="center"/>
            <w:hideMark/>
          </w:tcPr>
          <w:p w14:paraId="708B439A"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0.1</w:t>
            </w:r>
          </w:p>
        </w:tc>
        <w:tc>
          <w:tcPr>
            <w:tcW w:w="720" w:type="dxa"/>
            <w:shd w:val="clear" w:color="auto" w:fill="auto"/>
            <w:noWrap/>
            <w:vAlign w:val="center"/>
            <w:hideMark/>
          </w:tcPr>
          <w:p w14:paraId="29AD698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0.9</w:t>
            </w:r>
          </w:p>
        </w:tc>
        <w:tc>
          <w:tcPr>
            <w:tcW w:w="1143" w:type="dxa"/>
            <w:shd w:val="clear" w:color="auto" w:fill="auto"/>
            <w:noWrap/>
            <w:vAlign w:val="center"/>
            <w:hideMark/>
          </w:tcPr>
          <w:p w14:paraId="7CB5256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296" w:type="dxa"/>
            <w:shd w:val="clear" w:color="auto" w:fill="auto"/>
            <w:noWrap/>
            <w:vAlign w:val="center"/>
            <w:hideMark/>
          </w:tcPr>
          <w:p w14:paraId="4C6881F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w:t>
            </w:r>
          </w:p>
        </w:tc>
        <w:tc>
          <w:tcPr>
            <w:tcW w:w="1584" w:type="dxa"/>
            <w:shd w:val="clear" w:color="auto" w:fill="auto"/>
            <w:noWrap/>
            <w:vAlign w:val="center"/>
            <w:hideMark/>
          </w:tcPr>
          <w:p w14:paraId="604F88C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8</w:t>
            </w:r>
          </w:p>
        </w:tc>
        <w:tc>
          <w:tcPr>
            <w:tcW w:w="1584" w:type="dxa"/>
            <w:shd w:val="clear" w:color="auto" w:fill="auto"/>
            <w:noWrap/>
            <w:vAlign w:val="center"/>
            <w:hideMark/>
          </w:tcPr>
          <w:p w14:paraId="663EE0C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79</w:t>
            </w:r>
          </w:p>
        </w:tc>
        <w:tc>
          <w:tcPr>
            <w:tcW w:w="869" w:type="dxa"/>
            <w:shd w:val="clear" w:color="auto" w:fill="auto"/>
            <w:noWrap/>
            <w:vAlign w:val="center"/>
            <w:hideMark/>
          </w:tcPr>
          <w:p w14:paraId="1543269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120</w:t>
            </w:r>
          </w:p>
        </w:tc>
        <w:tc>
          <w:tcPr>
            <w:tcW w:w="699" w:type="dxa"/>
            <w:shd w:val="clear" w:color="auto" w:fill="auto"/>
            <w:noWrap/>
            <w:vAlign w:val="center"/>
            <w:hideMark/>
          </w:tcPr>
          <w:p w14:paraId="4C2D1E7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108</w:t>
            </w:r>
          </w:p>
        </w:tc>
        <w:tc>
          <w:tcPr>
            <w:tcW w:w="1008" w:type="dxa"/>
            <w:shd w:val="clear" w:color="auto" w:fill="auto"/>
            <w:noWrap/>
            <w:vAlign w:val="center"/>
            <w:hideMark/>
          </w:tcPr>
          <w:p w14:paraId="79F6955E"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120</w:t>
            </w:r>
          </w:p>
        </w:tc>
      </w:tr>
      <w:tr w:rsidR="006919CE" w:rsidRPr="003E76EF" w14:paraId="27AECD05" w14:textId="77777777" w:rsidTr="0094229B">
        <w:trPr>
          <w:gridAfter w:val="1"/>
          <w:wAfter w:w="7" w:type="dxa"/>
          <w:trHeight w:val="20"/>
          <w:jc w:val="center"/>
        </w:trPr>
        <w:tc>
          <w:tcPr>
            <w:tcW w:w="990" w:type="dxa"/>
            <w:shd w:val="clear" w:color="auto" w:fill="auto"/>
            <w:noWrap/>
            <w:vAlign w:val="center"/>
            <w:hideMark/>
          </w:tcPr>
          <w:p w14:paraId="700589B7"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0.05</w:t>
            </w:r>
          </w:p>
        </w:tc>
        <w:tc>
          <w:tcPr>
            <w:tcW w:w="720" w:type="dxa"/>
            <w:shd w:val="clear" w:color="auto" w:fill="auto"/>
            <w:noWrap/>
            <w:vAlign w:val="center"/>
            <w:hideMark/>
          </w:tcPr>
          <w:p w14:paraId="1F81358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0.9</w:t>
            </w:r>
          </w:p>
        </w:tc>
        <w:tc>
          <w:tcPr>
            <w:tcW w:w="1143" w:type="dxa"/>
            <w:shd w:val="clear" w:color="auto" w:fill="auto"/>
            <w:noWrap/>
            <w:vAlign w:val="center"/>
            <w:hideMark/>
          </w:tcPr>
          <w:p w14:paraId="3AEE71C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w:t>
            </w:r>
          </w:p>
        </w:tc>
        <w:tc>
          <w:tcPr>
            <w:tcW w:w="1296" w:type="dxa"/>
            <w:shd w:val="clear" w:color="auto" w:fill="auto"/>
            <w:noWrap/>
            <w:vAlign w:val="center"/>
            <w:hideMark/>
          </w:tcPr>
          <w:p w14:paraId="68909A7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9</w:t>
            </w:r>
          </w:p>
        </w:tc>
        <w:tc>
          <w:tcPr>
            <w:tcW w:w="1584" w:type="dxa"/>
            <w:shd w:val="clear" w:color="auto" w:fill="auto"/>
            <w:noWrap/>
            <w:vAlign w:val="center"/>
            <w:hideMark/>
          </w:tcPr>
          <w:p w14:paraId="0E81BA25"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w:t>
            </w:r>
          </w:p>
        </w:tc>
        <w:tc>
          <w:tcPr>
            <w:tcW w:w="1584" w:type="dxa"/>
            <w:shd w:val="clear" w:color="auto" w:fill="auto"/>
            <w:noWrap/>
            <w:vAlign w:val="center"/>
            <w:hideMark/>
          </w:tcPr>
          <w:p w14:paraId="21CECFC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103</w:t>
            </w:r>
          </w:p>
        </w:tc>
        <w:tc>
          <w:tcPr>
            <w:tcW w:w="869" w:type="dxa"/>
            <w:shd w:val="clear" w:color="auto" w:fill="auto"/>
            <w:noWrap/>
            <w:vAlign w:val="center"/>
            <w:hideMark/>
          </w:tcPr>
          <w:p w14:paraId="16067AFC"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157</w:t>
            </w:r>
          </w:p>
        </w:tc>
        <w:tc>
          <w:tcPr>
            <w:tcW w:w="699" w:type="dxa"/>
            <w:shd w:val="clear" w:color="auto" w:fill="auto"/>
            <w:noWrap/>
            <w:vAlign w:val="center"/>
            <w:hideMark/>
          </w:tcPr>
          <w:p w14:paraId="11A8E00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141</w:t>
            </w:r>
          </w:p>
        </w:tc>
        <w:tc>
          <w:tcPr>
            <w:tcW w:w="1008" w:type="dxa"/>
            <w:shd w:val="clear" w:color="auto" w:fill="auto"/>
            <w:noWrap/>
            <w:vAlign w:val="center"/>
            <w:hideMark/>
          </w:tcPr>
          <w:p w14:paraId="16A73527"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156</w:t>
            </w:r>
          </w:p>
        </w:tc>
      </w:tr>
      <w:tr w:rsidR="006919CE" w:rsidRPr="003E76EF" w14:paraId="5EADF063" w14:textId="77777777" w:rsidTr="0094229B">
        <w:trPr>
          <w:gridAfter w:val="1"/>
          <w:wAfter w:w="7" w:type="dxa"/>
          <w:trHeight w:val="20"/>
          <w:jc w:val="center"/>
        </w:trPr>
        <w:tc>
          <w:tcPr>
            <w:tcW w:w="990" w:type="dxa"/>
            <w:shd w:val="clear" w:color="auto" w:fill="auto"/>
            <w:noWrap/>
            <w:vAlign w:val="center"/>
            <w:hideMark/>
          </w:tcPr>
          <w:p w14:paraId="77FC06F7"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0.025</w:t>
            </w:r>
          </w:p>
        </w:tc>
        <w:tc>
          <w:tcPr>
            <w:tcW w:w="720" w:type="dxa"/>
            <w:shd w:val="clear" w:color="auto" w:fill="auto"/>
            <w:noWrap/>
            <w:vAlign w:val="center"/>
            <w:hideMark/>
          </w:tcPr>
          <w:p w14:paraId="1AA41CE1"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0.9</w:t>
            </w:r>
          </w:p>
        </w:tc>
        <w:tc>
          <w:tcPr>
            <w:tcW w:w="1143" w:type="dxa"/>
            <w:shd w:val="clear" w:color="auto" w:fill="auto"/>
            <w:noWrap/>
            <w:vAlign w:val="center"/>
            <w:hideMark/>
          </w:tcPr>
          <w:p w14:paraId="24F4B3F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13</w:t>
            </w:r>
          </w:p>
        </w:tc>
        <w:tc>
          <w:tcPr>
            <w:tcW w:w="1296" w:type="dxa"/>
            <w:shd w:val="clear" w:color="auto" w:fill="auto"/>
            <w:noWrap/>
            <w:vAlign w:val="center"/>
            <w:hideMark/>
          </w:tcPr>
          <w:p w14:paraId="5AA9B8FD"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11</w:t>
            </w:r>
          </w:p>
        </w:tc>
        <w:tc>
          <w:tcPr>
            <w:tcW w:w="1584" w:type="dxa"/>
            <w:shd w:val="clear" w:color="auto" w:fill="auto"/>
            <w:noWrap/>
            <w:vAlign w:val="center"/>
            <w:hideMark/>
          </w:tcPr>
          <w:p w14:paraId="3C2AB813"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w:t>
            </w:r>
          </w:p>
        </w:tc>
        <w:tc>
          <w:tcPr>
            <w:tcW w:w="1584" w:type="dxa"/>
            <w:shd w:val="clear" w:color="auto" w:fill="auto"/>
            <w:noWrap/>
            <w:vAlign w:val="center"/>
            <w:hideMark/>
          </w:tcPr>
          <w:p w14:paraId="4DE47589"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126</w:t>
            </w:r>
          </w:p>
        </w:tc>
        <w:tc>
          <w:tcPr>
            <w:tcW w:w="869" w:type="dxa"/>
            <w:shd w:val="clear" w:color="auto" w:fill="auto"/>
            <w:noWrap/>
            <w:vAlign w:val="center"/>
            <w:hideMark/>
          </w:tcPr>
          <w:p w14:paraId="507DF14B"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192</w:t>
            </w:r>
          </w:p>
        </w:tc>
        <w:tc>
          <w:tcPr>
            <w:tcW w:w="699" w:type="dxa"/>
            <w:shd w:val="clear" w:color="auto" w:fill="auto"/>
            <w:noWrap/>
            <w:vAlign w:val="center"/>
            <w:hideMark/>
          </w:tcPr>
          <w:p w14:paraId="0A9EB300"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173</w:t>
            </w:r>
          </w:p>
        </w:tc>
        <w:tc>
          <w:tcPr>
            <w:tcW w:w="1008" w:type="dxa"/>
            <w:shd w:val="clear" w:color="auto" w:fill="auto"/>
            <w:noWrap/>
            <w:vAlign w:val="center"/>
            <w:hideMark/>
          </w:tcPr>
          <w:p w14:paraId="0545B7EF"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191</w:t>
            </w:r>
          </w:p>
        </w:tc>
      </w:tr>
      <w:tr w:rsidR="00C56A37" w:rsidRPr="003E76EF" w14:paraId="0324E846" w14:textId="77777777" w:rsidTr="0094229B">
        <w:trPr>
          <w:gridAfter w:val="1"/>
          <w:wAfter w:w="7" w:type="dxa"/>
          <w:trHeight w:val="20"/>
          <w:jc w:val="center"/>
        </w:trPr>
        <w:tc>
          <w:tcPr>
            <w:tcW w:w="990" w:type="dxa"/>
            <w:tcBorders>
              <w:bottom w:val="single" w:sz="4" w:space="0" w:color="auto"/>
            </w:tcBorders>
            <w:shd w:val="clear" w:color="auto" w:fill="auto"/>
            <w:noWrap/>
            <w:vAlign w:val="center"/>
            <w:hideMark/>
          </w:tcPr>
          <w:p w14:paraId="51EBF861" w14:textId="77777777" w:rsidR="006919CE" w:rsidRPr="003E76EF" w:rsidRDefault="006919CE" w:rsidP="00F9028B">
            <w:pPr>
              <w:widowControl/>
              <w:tabs>
                <w:tab w:val="decimal" w:pos="337"/>
              </w:tabs>
              <w:autoSpaceDE/>
              <w:autoSpaceDN/>
              <w:adjustRightInd/>
              <w:contextualSpacing/>
              <w:rPr>
                <w:color w:val="000000"/>
                <w:sz w:val="22"/>
                <w:szCs w:val="22"/>
              </w:rPr>
            </w:pPr>
            <w:r w:rsidRPr="003E76EF">
              <w:rPr>
                <w:color w:val="000000"/>
                <w:sz w:val="22"/>
                <w:szCs w:val="22"/>
              </w:rPr>
              <w:t>0.01</w:t>
            </w:r>
          </w:p>
        </w:tc>
        <w:tc>
          <w:tcPr>
            <w:tcW w:w="720" w:type="dxa"/>
            <w:tcBorders>
              <w:bottom w:val="single" w:sz="4" w:space="0" w:color="auto"/>
            </w:tcBorders>
            <w:shd w:val="clear" w:color="auto" w:fill="auto"/>
            <w:noWrap/>
            <w:vAlign w:val="center"/>
            <w:hideMark/>
          </w:tcPr>
          <w:p w14:paraId="64A4891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0.9</w:t>
            </w:r>
          </w:p>
        </w:tc>
        <w:tc>
          <w:tcPr>
            <w:tcW w:w="1143" w:type="dxa"/>
            <w:tcBorders>
              <w:bottom w:val="single" w:sz="4" w:space="0" w:color="auto"/>
            </w:tcBorders>
            <w:shd w:val="clear" w:color="auto" w:fill="auto"/>
            <w:noWrap/>
            <w:vAlign w:val="center"/>
            <w:hideMark/>
          </w:tcPr>
          <w:p w14:paraId="172C07C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16</w:t>
            </w:r>
          </w:p>
        </w:tc>
        <w:tc>
          <w:tcPr>
            <w:tcW w:w="1296" w:type="dxa"/>
            <w:tcBorders>
              <w:bottom w:val="single" w:sz="4" w:space="0" w:color="auto"/>
            </w:tcBorders>
            <w:shd w:val="clear" w:color="auto" w:fill="auto"/>
            <w:noWrap/>
            <w:vAlign w:val="center"/>
            <w:hideMark/>
          </w:tcPr>
          <w:p w14:paraId="0F324D22"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14</w:t>
            </w:r>
          </w:p>
        </w:tc>
        <w:tc>
          <w:tcPr>
            <w:tcW w:w="1584" w:type="dxa"/>
            <w:tcBorders>
              <w:bottom w:val="single" w:sz="4" w:space="0" w:color="auto"/>
            </w:tcBorders>
            <w:shd w:val="clear" w:color="auto" w:fill="auto"/>
            <w:noWrap/>
            <w:vAlign w:val="center"/>
            <w:hideMark/>
          </w:tcPr>
          <w:p w14:paraId="17C5D8E9"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15</w:t>
            </w:r>
          </w:p>
        </w:tc>
        <w:tc>
          <w:tcPr>
            <w:tcW w:w="1584" w:type="dxa"/>
            <w:tcBorders>
              <w:bottom w:val="single" w:sz="4" w:space="0" w:color="auto"/>
            </w:tcBorders>
            <w:shd w:val="clear" w:color="auto" w:fill="auto"/>
            <w:noWrap/>
            <w:vAlign w:val="center"/>
            <w:hideMark/>
          </w:tcPr>
          <w:p w14:paraId="1C1F2808"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156</w:t>
            </w:r>
          </w:p>
        </w:tc>
        <w:tc>
          <w:tcPr>
            <w:tcW w:w="869" w:type="dxa"/>
            <w:tcBorders>
              <w:bottom w:val="single" w:sz="4" w:space="0" w:color="auto"/>
            </w:tcBorders>
            <w:shd w:val="clear" w:color="auto" w:fill="auto"/>
            <w:noWrap/>
            <w:vAlign w:val="center"/>
            <w:hideMark/>
          </w:tcPr>
          <w:p w14:paraId="724F7606"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238</w:t>
            </w:r>
          </w:p>
        </w:tc>
        <w:tc>
          <w:tcPr>
            <w:tcW w:w="699" w:type="dxa"/>
            <w:tcBorders>
              <w:bottom w:val="single" w:sz="4" w:space="0" w:color="auto"/>
            </w:tcBorders>
            <w:shd w:val="clear" w:color="auto" w:fill="auto"/>
            <w:noWrap/>
            <w:vAlign w:val="center"/>
            <w:hideMark/>
          </w:tcPr>
          <w:p w14:paraId="6D6FAA14"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215</w:t>
            </w:r>
          </w:p>
        </w:tc>
        <w:tc>
          <w:tcPr>
            <w:tcW w:w="1008" w:type="dxa"/>
            <w:tcBorders>
              <w:bottom w:val="single" w:sz="4" w:space="0" w:color="auto"/>
            </w:tcBorders>
            <w:shd w:val="clear" w:color="auto" w:fill="auto"/>
            <w:noWrap/>
            <w:vAlign w:val="center"/>
            <w:hideMark/>
          </w:tcPr>
          <w:p w14:paraId="6FDCC2AA" w14:textId="77777777" w:rsidR="006919CE" w:rsidRPr="003E76EF" w:rsidRDefault="006919CE" w:rsidP="00F9028B">
            <w:pPr>
              <w:widowControl/>
              <w:autoSpaceDE/>
              <w:autoSpaceDN/>
              <w:adjustRightInd/>
              <w:contextualSpacing/>
              <w:jc w:val="center"/>
              <w:rPr>
                <w:color w:val="000000"/>
                <w:sz w:val="22"/>
                <w:szCs w:val="22"/>
              </w:rPr>
            </w:pPr>
            <w:r w:rsidRPr="003E76EF">
              <w:rPr>
                <w:color w:val="000000"/>
                <w:sz w:val="22"/>
                <w:szCs w:val="22"/>
              </w:rPr>
              <w:t>237</w:t>
            </w:r>
          </w:p>
        </w:tc>
      </w:tr>
    </w:tbl>
    <w:p w14:paraId="494D495A" w14:textId="7CEE7804"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4"/>
          <w:szCs w:val="24"/>
        </w:rPr>
      </w:pPr>
    </w:p>
    <w:p w14:paraId="3D302E75" w14:textId="0E138D72" w:rsidR="00696957" w:rsidRDefault="00696957"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sz w:val="24"/>
          <w:szCs w:val="24"/>
        </w:rPr>
      </w:pPr>
    </w:p>
    <w:p w14:paraId="3503E9D9" w14:textId="2039A169" w:rsidR="00C93614" w:rsidRPr="003A7CEB" w:rsidRDefault="00C93614" w:rsidP="0094229B">
      <w:pPr>
        <w:pStyle w:val="Style2"/>
      </w:pPr>
      <w:bookmarkStart w:id="1" w:name="_Hlk2599553"/>
      <w:r w:rsidRPr="00AD3676">
        <w:rPr>
          <w:bCs w:val="0"/>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722EEFBD" w14:textId="77777777" w:rsidR="00C93614" w:rsidRP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AD8CEBB" w14:textId="77777777" w:rsidR="00DD2A4F" w:rsidRPr="00D84DFA" w:rsidRDefault="00D84DFA" w:rsidP="00DD2A4F">
      <w:pPr>
        <w:widowControl/>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 xml:space="preserve">Implementation of the NARFS will follow procedures suggested by </w:t>
      </w:r>
      <w:r w:rsidRPr="00D84DFA">
        <w:rPr>
          <w:rFonts w:eastAsiaTheme="minorHAnsi" w:cstheme="minorBidi"/>
          <w:sz w:val="24"/>
          <w:szCs w:val="24"/>
        </w:rPr>
        <w:fldChar w:fldCharType="begin" w:fldLock="1"/>
      </w:r>
      <w:r w:rsidRPr="00D84DFA">
        <w:rPr>
          <w:rFonts w:eastAsiaTheme="minorHAnsi" w:cstheme="minorBidi"/>
          <w:sz w:val="24"/>
          <w:szCs w:val="24"/>
        </w:rPr>
        <w:instrText>ADDIN CSL_CITATION {"citationItems":[{"id":"ITEM-1","itemData":{"author":[{"dropping-particle":"","family":"Dillman","given":"Donald A.","non-dropping-particle":"","parse-names":false,"suffix":""},{"dropping-particle":"","family":"Smyth","given":"Jolene D.","non-dropping-particle":"","parse-names":false,"suffix":""},{"dropping-particle":"","family":"Christian","given":"Leah M.","non-dropping-particle":"","parse-names":false,"suffix":""}],"edition":"3rd","id":"ITEM-1","issued":{"date-parts":[["2009"]]},"publisher":"Wiley","publisher-place":"New York","title":"Internet, Mail, and Mixed-Mode Surveys: The Tailored Design Method","type":"book"},"uris":["http://www.mendeley.com/documents/?uuid=c940be88-54b4-4968-8c29-bd8375eda6f7"]}],"mendeley":{"formattedCitation":"(Dillman, Smyth, and Christian 2009)","manualFormatting":"Dillman et al. (2009)","plainTextFormattedCitation":"(Dillman, Smyth, and Christian 2009)","previouslyFormattedCitation":"(Dillman, Smyth, and Christian 2009)"},"properties":{"noteIndex":0},"schema":"https://github.com/citation-style-language/schema/raw/master/csl-citation.json"}</w:instrText>
      </w:r>
      <w:r w:rsidRPr="00D84DFA">
        <w:rPr>
          <w:rFonts w:eastAsiaTheme="minorHAnsi" w:cstheme="minorBidi"/>
          <w:sz w:val="24"/>
          <w:szCs w:val="24"/>
        </w:rPr>
        <w:fldChar w:fldCharType="separate"/>
      </w:r>
      <w:r w:rsidRPr="00D84DFA">
        <w:rPr>
          <w:rFonts w:eastAsiaTheme="minorHAnsi" w:cstheme="minorBidi"/>
          <w:noProof/>
          <w:sz w:val="24"/>
          <w:szCs w:val="24"/>
        </w:rPr>
        <w:t>Dillman et al. (2009)</w:t>
      </w:r>
      <w:r w:rsidRPr="00D84DFA">
        <w:rPr>
          <w:rFonts w:eastAsiaTheme="minorHAnsi" w:cstheme="minorBidi"/>
          <w:sz w:val="24"/>
          <w:szCs w:val="24"/>
        </w:rPr>
        <w:fldChar w:fldCharType="end"/>
      </w:r>
      <w:r w:rsidRPr="00D84DFA">
        <w:rPr>
          <w:rFonts w:eastAsiaTheme="minorHAnsi" w:cstheme="minorBidi"/>
          <w:sz w:val="24"/>
          <w:szCs w:val="24"/>
        </w:rPr>
        <w:t xml:space="preserve"> that have been used extensively in survey research to increase response rates for mail and web surveys. Repeated contacts with respondents through one or more mediums (phone, email, and mail), which allow flexibility regarding how potential respondents choose to respond, and small participation incentives both serve to maximize the overall survey response rate. While subject to minor changes, the implementation schedule for the NARFS based on recommendations from </w:t>
      </w:r>
      <w:r w:rsidRPr="00D84DFA">
        <w:rPr>
          <w:rFonts w:eastAsiaTheme="minorHAnsi" w:cstheme="minorBidi"/>
          <w:sz w:val="24"/>
          <w:szCs w:val="24"/>
        </w:rPr>
        <w:fldChar w:fldCharType="begin" w:fldLock="1"/>
      </w:r>
      <w:r w:rsidRPr="00D84DFA">
        <w:rPr>
          <w:rFonts w:eastAsiaTheme="minorHAnsi" w:cstheme="minorBidi"/>
          <w:sz w:val="24"/>
          <w:szCs w:val="24"/>
        </w:rPr>
        <w:instrText>ADDIN CSL_CITATION {"citationItems":[{"id":"ITEM-1","itemData":{"author":[{"dropping-particle":"","family":"Dillman","given":"Donald A.","non-dropping-particle":"","parse-names":false,"suffix":""},{"dropping-particle":"","family":"Smyth","given":"Jolene D.","non-dropping-particle":"","parse-names":false,"suffix":""},{"dropping-particle":"","family":"Christian","given":"Leah M.","non-dropping-particle":"","parse-names":false,"suffix":""}],"edition":"3rd","id":"ITEM-1","issued":{"date-parts":[["2009"]]},"publisher":"Wiley","publisher-place":"New York","title":"Internet, Mail, and Mixed-Mode Surveys: The Tailored Design Method","type":"book"},"uris":["http://www.mendeley.com/documents/?uuid=c940be88-54b4-4968-8c29-bd8375eda6f7"]}],"mendeley":{"formattedCitation":"(Dillman, Smyth, and Christian 2009)","manualFormatting":"Dillman et al. (2009)","plainTextFormattedCitation":"(Dillman, Smyth, and Christian 2009)","previouslyFormattedCitation":"(Dillman, Smyth, and Christian 2009)"},"properties":{"noteIndex":0},"schema":"https://github.com/citation-style-language/schema/raw/master/csl-citation.json"}</w:instrText>
      </w:r>
      <w:r w:rsidRPr="00D84DFA">
        <w:rPr>
          <w:rFonts w:eastAsiaTheme="minorHAnsi" w:cstheme="minorBidi"/>
          <w:sz w:val="24"/>
          <w:szCs w:val="24"/>
        </w:rPr>
        <w:fldChar w:fldCharType="separate"/>
      </w:r>
      <w:r w:rsidRPr="00D84DFA">
        <w:rPr>
          <w:rFonts w:eastAsiaTheme="minorHAnsi" w:cstheme="minorBidi"/>
          <w:noProof/>
          <w:sz w:val="24"/>
          <w:szCs w:val="24"/>
        </w:rPr>
        <w:t>Dillman et al. (2009)</w:t>
      </w:r>
      <w:r w:rsidRPr="00D84DFA">
        <w:rPr>
          <w:rFonts w:eastAsiaTheme="minorHAnsi" w:cstheme="minorBidi"/>
          <w:sz w:val="24"/>
          <w:szCs w:val="24"/>
        </w:rPr>
        <w:fldChar w:fldCharType="end"/>
      </w:r>
      <w:r w:rsidRPr="00D84DFA">
        <w:rPr>
          <w:rFonts w:eastAsiaTheme="minorHAnsi" w:cstheme="minorBidi"/>
          <w:sz w:val="24"/>
          <w:szCs w:val="24"/>
        </w:rPr>
        <w:t xml:space="preserve"> is shown in Figure </w:t>
      </w:r>
      <w:r w:rsidR="00776E48">
        <w:rPr>
          <w:rFonts w:eastAsiaTheme="minorHAnsi" w:cstheme="minorBidi"/>
          <w:sz w:val="24"/>
          <w:szCs w:val="24"/>
        </w:rPr>
        <w:t>2</w:t>
      </w:r>
      <w:r w:rsidRPr="00D84DFA">
        <w:rPr>
          <w:rFonts w:eastAsiaTheme="minorHAnsi" w:cstheme="minorBidi"/>
          <w:sz w:val="24"/>
          <w:szCs w:val="24"/>
        </w:rPr>
        <w:t xml:space="preserve">. Each step from Figure </w:t>
      </w:r>
      <w:r w:rsidR="00776E48">
        <w:rPr>
          <w:rFonts w:eastAsiaTheme="minorHAnsi" w:cstheme="minorBidi"/>
          <w:sz w:val="24"/>
          <w:szCs w:val="24"/>
        </w:rPr>
        <w:t>2</w:t>
      </w:r>
      <w:r w:rsidRPr="00D84DFA">
        <w:rPr>
          <w:rFonts w:eastAsiaTheme="minorHAnsi" w:cstheme="minorBidi"/>
          <w:sz w:val="24"/>
          <w:szCs w:val="24"/>
        </w:rPr>
        <w:t xml:space="preserve"> is described in more detail below. </w:t>
      </w:r>
      <w:r w:rsidR="00DD2A4F">
        <w:rPr>
          <w:rFonts w:eastAsiaTheme="minorHAnsi" w:cstheme="minorBidi"/>
          <w:sz w:val="24"/>
          <w:szCs w:val="24"/>
        </w:rPr>
        <w:t xml:space="preserve">Materials for all tracks and contacts, as well as the NARFS survey instrument, are included in the accompanying supporting documents file. </w:t>
      </w:r>
    </w:p>
    <w:p w14:paraId="6E07DFF4" w14:textId="637A33CD" w:rsidR="00D84DFA" w:rsidRDefault="00D84DFA" w:rsidP="00D84DFA">
      <w:pPr>
        <w:widowControl/>
        <w:autoSpaceDE/>
        <w:autoSpaceDN/>
        <w:adjustRightInd/>
        <w:spacing w:after="160"/>
        <w:contextualSpacing/>
        <w:rPr>
          <w:rFonts w:eastAsiaTheme="minorHAnsi" w:cstheme="minorBidi"/>
          <w:sz w:val="24"/>
          <w:szCs w:val="24"/>
        </w:rPr>
      </w:pPr>
    </w:p>
    <w:p w14:paraId="7F1E566C" w14:textId="49E65F6D" w:rsidR="001A00A1" w:rsidRDefault="001A00A1" w:rsidP="00D84DFA">
      <w:pPr>
        <w:widowControl/>
        <w:autoSpaceDE/>
        <w:autoSpaceDN/>
        <w:adjustRightInd/>
        <w:spacing w:after="160"/>
        <w:contextualSpacing/>
        <w:rPr>
          <w:rFonts w:eastAsiaTheme="minorHAnsi" w:cstheme="minorBidi"/>
          <w:sz w:val="24"/>
          <w:szCs w:val="24"/>
        </w:rPr>
      </w:pPr>
    </w:p>
    <w:p w14:paraId="25E7AB8C" w14:textId="2C80A942" w:rsidR="001A00A1" w:rsidRDefault="001A00A1" w:rsidP="00D84DFA">
      <w:pPr>
        <w:widowControl/>
        <w:autoSpaceDE/>
        <w:autoSpaceDN/>
        <w:adjustRightInd/>
        <w:spacing w:after="160"/>
        <w:contextualSpacing/>
        <w:rPr>
          <w:rFonts w:eastAsiaTheme="minorHAnsi" w:cstheme="minorBidi"/>
          <w:sz w:val="24"/>
          <w:szCs w:val="24"/>
        </w:rPr>
      </w:pPr>
    </w:p>
    <w:p w14:paraId="5EEA06A4" w14:textId="530DAE39" w:rsidR="00776E48" w:rsidRDefault="00776E48" w:rsidP="00D84DFA">
      <w:pPr>
        <w:widowControl/>
        <w:autoSpaceDE/>
        <w:autoSpaceDN/>
        <w:adjustRightInd/>
        <w:spacing w:after="160"/>
        <w:contextualSpacing/>
        <w:rPr>
          <w:rFonts w:eastAsiaTheme="minorHAnsi" w:cstheme="minorBidi"/>
          <w:sz w:val="24"/>
          <w:szCs w:val="24"/>
        </w:rPr>
      </w:pPr>
    </w:p>
    <w:p w14:paraId="4EE1A915" w14:textId="6569FFB7" w:rsidR="00776E48" w:rsidRDefault="00776E48" w:rsidP="00D84DFA">
      <w:pPr>
        <w:widowControl/>
        <w:autoSpaceDE/>
        <w:autoSpaceDN/>
        <w:adjustRightInd/>
        <w:spacing w:after="160"/>
        <w:contextualSpacing/>
        <w:rPr>
          <w:rFonts w:eastAsiaTheme="minorHAnsi" w:cstheme="minorBidi"/>
          <w:sz w:val="24"/>
          <w:szCs w:val="24"/>
        </w:rPr>
      </w:pPr>
    </w:p>
    <w:p w14:paraId="2E8406D8" w14:textId="5D89D277" w:rsidR="005B755F" w:rsidRDefault="005B755F" w:rsidP="00D84DFA">
      <w:pPr>
        <w:widowControl/>
        <w:autoSpaceDE/>
        <w:autoSpaceDN/>
        <w:adjustRightInd/>
        <w:spacing w:after="160"/>
        <w:contextualSpacing/>
        <w:rPr>
          <w:rFonts w:eastAsiaTheme="minorHAnsi" w:cstheme="minorBidi"/>
          <w:sz w:val="24"/>
          <w:szCs w:val="24"/>
        </w:rPr>
      </w:pPr>
    </w:p>
    <w:p w14:paraId="0B5C04E9" w14:textId="77777777" w:rsidR="005B755F" w:rsidRDefault="005B755F" w:rsidP="00D84DFA">
      <w:pPr>
        <w:widowControl/>
        <w:autoSpaceDE/>
        <w:autoSpaceDN/>
        <w:adjustRightInd/>
        <w:spacing w:after="160"/>
        <w:contextualSpacing/>
        <w:rPr>
          <w:rFonts w:eastAsiaTheme="minorHAnsi" w:cstheme="minorBidi"/>
          <w:sz w:val="24"/>
          <w:szCs w:val="24"/>
        </w:rPr>
      </w:pPr>
    </w:p>
    <w:p w14:paraId="6FE07F95" w14:textId="128B67AD" w:rsidR="00776E48" w:rsidRDefault="00776E48" w:rsidP="00D84DFA">
      <w:pPr>
        <w:widowControl/>
        <w:autoSpaceDE/>
        <w:autoSpaceDN/>
        <w:adjustRightInd/>
        <w:spacing w:after="160"/>
        <w:contextualSpacing/>
        <w:rPr>
          <w:rFonts w:eastAsiaTheme="minorHAnsi" w:cstheme="minorBidi"/>
          <w:sz w:val="24"/>
          <w:szCs w:val="24"/>
        </w:rPr>
      </w:pPr>
    </w:p>
    <w:p w14:paraId="091504BC" w14:textId="06634C35" w:rsidR="00776E48" w:rsidRDefault="00776E48" w:rsidP="00D84DFA">
      <w:pPr>
        <w:widowControl/>
        <w:autoSpaceDE/>
        <w:autoSpaceDN/>
        <w:adjustRightInd/>
        <w:spacing w:after="160"/>
        <w:contextualSpacing/>
        <w:rPr>
          <w:rFonts w:eastAsiaTheme="minorHAnsi" w:cstheme="minorBidi"/>
          <w:sz w:val="24"/>
          <w:szCs w:val="24"/>
        </w:rPr>
      </w:pPr>
    </w:p>
    <w:p w14:paraId="02C0ED6B" w14:textId="3E60DA5E" w:rsidR="00776E48" w:rsidRDefault="00776E48" w:rsidP="00D84DFA">
      <w:pPr>
        <w:widowControl/>
        <w:autoSpaceDE/>
        <w:autoSpaceDN/>
        <w:adjustRightInd/>
        <w:spacing w:after="160"/>
        <w:contextualSpacing/>
        <w:rPr>
          <w:rFonts w:eastAsiaTheme="minorHAnsi" w:cstheme="minorBidi"/>
          <w:sz w:val="24"/>
          <w:szCs w:val="24"/>
        </w:rPr>
      </w:pPr>
    </w:p>
    <w:p w14:paraId="4434BFAD" w14:textId="523A1692" w:rsidR="00124D79" w:rsidRDefault="00DD2A4F" w:rsidP="00DD2A4F">
      <w:pPr>
        <w:widowControl/>
        <w:autoSpaceDE/>
        <w:autoSpaceDN/>
        <w:adjustRightInd/>
        <w:spacing w:after="160"/>
        <w:contextualSpacing/>
        <w:rPr>
          <w:rFonts w:eastAsiaTheme="minorHAnsi" w:cstheme="minorBidi"/>
          <w:sz w:val="24"/>
          <w:szCs w:val="24"/>
          <w:u w:val="single"/>
        </w:rPr>
      </w:pPr>
      <w:r>
        <w:rPr>
          <w:rFonts w:eastAsiaTheme="minorHAnsi" w:cstheme="minorBidi"/>
          <w:noProof/>
          <w:sz w:val="24"/>
          <w:szCs w:val="24"/>
        </w:rPr>
        <mc:AlternateContent>
          <mc:Choice Requires="wps">
            <w:drawing>
              <wp:anchor distT="0" distB="0" distL="114300" distR="114300" simplePos="0" relativeHeight="251665408" behindDoc="0" locked="0" layoutInCell="1" allowOverlap="1" wp14:anchorId="3ACE73E5" wp14:editId="4629A0F0">
                <wp:simplePos x="0" y="0"/>
                <wp:positionH relativeFrom="column">
                  <wp:posOffset>1330325</wp:posOffset>
                </wp:positionH>
                <wp:positionV relativeFrom="paragraph">
                  <wp:posOffset>3919220</wp:posOffset>
                </wp:positionV>
                <wp:extent cx="3216910" cy="270510"/>
                <wp:effectExtent l="0" t="0" r="254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270510"/>
                        </a:xfrm>
                        <a:prstGeom prst="rect">
                          <a:avLst/>
                        </a:prstGeom>
                        <a:solidFill>
                          <a:srgbClr val="FFFFFF"/>
                        </a:solidFill>
                        <a:ln w="9525">
                          <a:noFill/>
                          <a:miter lim="800000"/>
                          <a:headEnd/>
                          <a:tailEnd/>
                        </a:ln>
                      </wps:spPr>
                      <wps:txbx>
                        <w:txbxContent>
                          <w:p w14:paraId="284B0AD5" w14:textId="77777777" w:rsidR="00E305A5" w:rsidRDefault="00E305A5" w:rsidP="000D52EA">
                            <w:pPr>
                              <w:widowControl/>
                              <w:tabs>
                                <w:tab w:val="left" w:pos="720"/>
                              </w:tabs>
                              <w:autoSpaceDE/>
                              <w:autoSpaceDN/>
                              <w:adjustRightInd/>
                              <w:spacing w:after="160"/>
                              <w:contextualSpacing/>
                              <w:rPr>
                                <w:rFonts w:eastAsiaTheme="minorHAnsi" w:cstheme="minorBidi"/>
                                <w:sz w:val="24"/>
                                <w:szCs w:val="24"/>
                                <w:u w:val="single"/>
                              </w:rPr>
                            </w:pPr>
                            <w:r w:rsidRPr="00D84DFA">
                              <w:rPr>
                                <w:rFonts w:eastAsiaTheme="minorHAnsi" w:cstheme="minorBidi"/>
                                <w:sz w:val="22"/>
                                <w:szCs w:val="22"/>
                              </w:rPr>
                              <w:t xml:space="preserve">Figure </w:t>
                            </w:r>
                            <w:r>
                              <w:rPr>
                                <w:rFonts w:eastAsiaTheme="minorHAnsi" w:cstheme="minorBidi"/>
                                <w:sz w:val="22"/>
                                <w:szCs w:val="22"/>
                              </w:rPr>
                              <w:t>2</w:t>
                            </w:r>
                            <w:r w:rsidRPr="00D84DFA">
                              <w:rPr>
                                <w:rFonts w:eastAsiaTheme="minorHAnsi" w:cstheme="minorBidi"/>
                                <w:sz w:val="22"/>
                                <w:szCs w:val="22"/>
                              </w:rPr>
                              <w:t>. Flow chart of NARFS sampling procedure.</w:t>
                            </w:r>
                          </w:p>
                          <w:p w14:paraId="61EB5DED" w14:textId="77777777" w:rsidR="00E305A5" w:rsidRDefault="00E305A5" w:rsidP="000D52EA"/>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75pt;margin-top:308.6pt;width:253.3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" stroked="f">
                <v:textbox>
                  <w:txbxContent>
                    <w:p w14:paraId="284B0AD5" w14:textId="77777777" w:rsidR="00E305A5" w:rsidRDefault="00E305A5" w:rsidP="000D52EA">
                      <w:pPr>
                        <w:widowControl/>
                        <w:tabs>
                          <w:tab w:val="left" w:pos="720"/>
                        </w:tabs>
                        <w:autoSpaceDE/>
                        <w:autoSpaceDN/>
                        <w:adjustRightInd/>
                        <w:spacing w:after="160"/>
                        <w:contextualSpacing/>
                        <w:rPr>
                          <w:rFonts w:eastAsiaTheme="minorHAnsi" w:cstheme="minorBidi"/>
                          <w:sz w:val="24"/>
                          <w:szCs w:val="24"/>
                          <w:u w:val="single"/>
                        </w:rPr>
                      </w:pPr>
                      <w:r w:rsidRPr="00D84DFA">
                        <w:rPr>
                          <w:rFonts w:eastAsiaTheme="minorHAnsi" w:cstheme="minorBidi"/>
                          <w:sz w:val="22"/>
                          <w:szCs w:val="22"/>
                        </w:rPr>
                        <w:t xml:space="preserve">Figure </w:t>
                      </w:r>
                      <w:r>
                        <w:rPr>
                          <w:rFonts w:eastAsiaTheme="minorHAnsi" w:cstheme="minorBidi"/>
                          <w:sz w:val="22"/>
                          <w:szCs w:val="22"/>
                        </w:rPr>
                        <w:t>2</w:t>
                      </w:r>
                      <w:r w:rsidRPr="00D84DFA">
                        <w:rPr>
                          <w:rFonts w:eastAsiaTheme="minorHAnsi" w:cstheme="minorBidi"/>
                          <w:sz w:val="22"/>
                          <w:szCs w:val="22"/>
                        </w:rPr>
                        <w:t>. Flow chart of NARFS sampling procedure.</w:t>
                      </w:r>
                    </w:p>
                    <w:p w14:paraId="61EB5DED" w14:textId="77777777" w:rsidR="00E305A5" w:rsidRDefault="00E305A5" w:rsidP="000D52EA"/>
                  </w:txbxContent>
                </v:textbox>
                <w10:wrap type="topAndBottom"/>
              </v:shape>
            </w:pict>
          </mc:Fallback>
        </mc:AlternateContent>
      </w:r>
      <w:r w:rsidR="00292FD8">
        <w:rPr>
          <w:noProof/>
        </w:rPr>
        <w:drawing>
          <wp:anchor distT="0" distB="0" distL="114300" distR="114300" simplePos="0" relativeHeight="251666432" behindDoc="0" locked="0" layoutInCell="1" allowOverlap="1" wp14:anchorId="127F36C6" wp14:editId="65733A78">
            <wp:simplePos x="0" y="0"/>
            <wp:positionH relativeFrom="column">
              <wp:posOffset>0</wp:posOffset>
            </wp:positionH>
            <wp:positionV relativeFrom="paragraph">
              <wp:posOffset>0</wp:posOffset>
            </wp:positionV>
            <wp:extent cx="5943600" cy="36696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669665"/>
                    </a:xfrm>
                    <a:prstGeom prst="rect">
                      <a:avLst/>
                    </a:prstGeom>
                  </pic:spPr>
                </pic:pic>
              </a:graphicData>
            </a:graphic>
            <wp14:sizeRelH relativeFrom="page">
              <wp14:pctWidth>0</wp14:pctWidth>
            </wp14:sizeRelH>
            <wp14:sizeRelV relativeFrom="page">
              <wp14:pctHeight>0</wp14:pctHeight>
            </wp14:sizeRelV>
          </wp:anchor>
        </w:drawing>
      </w:r>
      <w:r w:rsidR="000D52EA" w:rsidRPr="000D52EA">
        <w:rPr>
          <w:rFonts w:eastAsiaTheme="minorHAnsi" w:cstheme="minorBidi"/>
          <w:noProof/>
          <w:sz w:val="24"/>
          <w:szCs w:val="24"/>
          <w:u w:val="single"/>
        </w:rPr>
        <w:t xml:space="preserve"> </w:t>
      </w:r>
    </w:p>
    <w:p w14:paraId="5ED45FE0" w14:textId="77777777" w:rsidR="00776E48" w:rsidRDefault="00776E48" w:rsidP="00D84DFA">
      <w:pPr>
        <w:widowControl/>
        <w:tabs>
          <w:tab w:val="left" w:pos="720"/>
        </w:tabs>
        <w:autoSpaceDE/>
        <w:autoSpaceDN/>
        <w:adjustRightInd/>
        <w:spacing w:after="160"/>
        <w:contextualSpacing/>
        <w:rPr>
          <w:rFonts w:eastAsiaTheme="minorHAnsi" w:cstheme="minorBidi"/>
          <w:sz w:val="24"/>
          <w:szCs w:val="24"/>
          <w:u w:val="single"/>
        </w:rPr>
      </w:pPr>
    </w:p>
    <w:p w14:paraId="6537A3D3" w14:textId="36AA21BF"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u w:val="single"/>
        </w:rPr>
      </w:pPr>
      <w:r w:rsidRPr="00D84DFA">
        <w:rPr>
          <w:rFonts w:eastAsiaTheme="minorHAnsi" w:cstheme="minorBidi"/>
          <w:sz w:val="24"/>
          <w:szCs w:val="24"/>
          <w:u w:val="single"/>
        </w:rPr>
        <w:t>Contact 1: Telephone Screening Interview</w:t>
      </w:r>
    </w:p>
    <w:p w14:paraId="039B95BC" w14:textId="65858BF7" w:rsidR="00B65F03" w:rsidRPr="00D84DFA" w:rsidRDefault="00D84DFA" w:rsidP="00B65F03">
      <w:pPr>
        <w:widowControl/>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 xml:space="preserve">The first point of contact with potential respondents for whom telephone contact information is available, a telephone pre-screening interview, will ensure that the NARFS is distributed to individuals who have fished for cod and haddock within the past five years. </w:t>
      </w:r>
      <w:r w:rsidR="000D52EA" w:rsidRPr="00D84DFA">
        <w:rPr>
          <w:rFonts w:eastAsiaTheme="minorHAnsi" w:cstheme="minorBidi"/>
          <w:sz w:val="24"/>
          <w:szCs w:val="24"/>
        </w:rPr>
        <w:t>The NEFSC will attempt telephone</w:t>
      </w:r>
      <w:r w:rsidR="000D52EA">
        <w:rPr>
          <w:rFonts w:eastAsiaTheme="minorHAnsi" w:cstheme="minorBidi"/>
          <w:sz w:val="24"/>
          <w:szCs w:val="24"/>
        </w:rPr>
        <w:t xml:space="preserve"> pre-screening interviews with</w:t>
      </w:r>
      <w:r w:rsidR="000D52EA" w:rsidRPr="00D84DFA">
        <w:rPr>
          <w:rFonts w:eastAsiaTheme="minorHAnsi" w:cstheme="minorBidi"/>
          <w:sz w:val="24"/>
          <w:szCs w:val="24"/>
        </w:rPr>
        <w:t xml:space="preserve"> 2,000 license holder</w:t>
      </w:r>
      <w:r w:rsidR="000D52EA">
        <w:rPr>
          <w:rFonts w:eastAsiaTheme="minorHAnsi" w:cstheme="minorBidi"/>
          <w:sz w:val="24"/>
          <w:szCs w:val="24"/>
        </w:rPr>
        <w:t>s among of the initial sample of 4,000.</w:t>
      </w:r>
      <w:r w:rsidR="000D52EA" w:rsidRPr="000D52EA">
        <w:rPr>
          <w:rFonts w:eastAsiaTheme="minorHAnsi" w:cstheme="minorBidi"/>
          <w:sz w:val="24"/>
          <w:szCs w:val="24"/>
        </w:rPr>
        <w:t xml:space="preserve"> </w:t>
      </w:r>
      <w:r w:rsidR="000D52EA" w:rsidRPr="00D84DFA">
        <w:rPr>
          <w:rFonts w:eastAsiaTheme="minorHAnsi" w:cstheme="minorBidi"/>
          <w:sz w:val="24"/>
          <w:szCs w:val="24"/>
        </w:rPr>
        <w:t xml:space="preserve">Eligible respondents who complete the telephone pre-screening interview will be asked whether </w:t>
      </w:r>
      <w:r w:rsidR="006E34C4">
        <w:rPr>
          <w:rFonts w:eastAsiaTheme="minorHAnsi" w:cstheme="minorBidi"/>
          <w:sz w:val="24"/>
          <w:szCs w:val="24"/>
        </w:rPr>
        <w:t>they are willing</w:t>
      </w:r>
      <w:r w:rsidR="006E34C4" w:rsidRPr="00D84DFA">
        <w:rPr>
          <w:rFonts w:eastAsiaTheme="minorHAnsi" w:cstheme="minorBidi"/>
          <w:sz w:val="24"/>
          <w:szCs w:val="24"/>
        </w:rPr>
        <w:t xml:space="preserve"> to participate in </w:t>
      </w:r>
      <w:r w:rsidR="006E34C4">
        <w:rPr>
          <w:rFonts w:eastAsiaTheme="minorHAnsi" w:cstheme="minorBidi"/>
          <w:sz w:val="24"/>
          <w:szCs w:val="24"/>
        </w:rPr>
        <w:t xml:space="preserve">the </w:t>
      </w:r>
      <w:r w:rsidR="006E34C4" w:rsidRPr="00D84DFA">
        <w:rPr>
          <w:rFonts w:eastAsiaTheme="minorHAnsi" w:cstheme="minorBidi"/>
          <w:sz w:val="24"/>
          <w:szCs w:val="24"/>
        </w:rPr>
        <w:t>follow-up NARFS survey</w:t>
      </w:r>
      <w:r w:rsidR="006E34C4">
        <w:rPr>
          <w:rFonts w:eastAsiaTheme="minorHAnsi" w:cstheme="minorBidi"/>
          <w:sz w:val="24"/>
          <w:szCs w:val="24"/>
        </w:rPr>
        <w:t xml:space="preserve"> and if so, whether </w:t>
      </w:r>
      <w:r w:rsidR="000D52EA" w:rsidRPr="00D84DFA">
        <w:rPr>
          <w:rFonts w:eastAsiaTheme="minorHAnsi" w:cstheme="minorBidi"/>
          <w:sz w:val="24"/>
          <w:szCs w:val="24"/>
        </w:rPr>
        <w:t>they prefer a mail and/or web version of the NARFS</w:t>
      </w:r>
      <w:r w:rsidR="000D52EA">
        <w:rPr>
          <w:rFonts w:eastAsiaTheme="minorHAnsi" w:cstheme="minorBidi"/>
          <w:sz w:val="24"/>
          <w:szCs w:val="24"/>
        </w:rPr>
        <w:t>.</w:t>
      </w:r>
    </w:p>
    <w:p w14:paraId="3E4DF8BD"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p>
    <w:p w14:paraId="504C3537" w14:textId="7200FB99" w:rsidR="00D84DFA" w:rsidRPr="00D84DFA" w:rsidRDefault="000D52EA" w:rsidP="00D84DFA">
      <w:pPr>
        <w:widowControl/>
        <w:tabs>
          <w:tab w:val="left" w:pos="720"/>
        </w:tabs>
        <w:autoSpaceDE/>
        <w:autoSpaceDN/>
        <w:adjustRightInd/>
        <w:spacing w:after="160"/>
        <w:contextualSpacing/>
        <w:rPr>
          <w:rFonts w:eastAsiaTheme="minorHAnsi" w:cstheme="minorBidi"/>
          <w:sz w:val="24"/>
          <w:szCs w:val="24"/>
        </w:rPr>
      </w:pPr>
      <w:r>
        <w:rPr>
          <w:rFonts w:eastAsiaTheme="minorHAnsi" w:cstheme="minorBidi"/>
          <w:sz w:val="24"/>
          <w:szCs w:val="24"/>
        </w:rPr>
        <w:t>T</w:t>
      </w:r>
      <w:r w:rsidR="00D84DFA" w:rsidRPr="00D84DFA">
        <w:rPr>
          <w:rFonts w:eastAsiaTheme="minorHAnsi" w:cstheme="minorBidi"/>
          <w:sz w:val="24"/>
          <w:szCs w:val="24"/>
        </w:rPr>
        <w:t>he telephone pre-screening interview will collect socioeconomic and fishing-related information,</w:t>
      </w:r>
      <m:oMath>
        <m:r>
          <w:rPr>
            <w:rFonts w:ascii="Cambria Math" w:eastAsiaTheme="minorHAnsi" w:hAnsi="Cambria Math" w:cstheme="minorBidi"/>
            <w:sz w:val="24"/>
            <w:szCs w:val="24"/>
          </w:rPr>
          <m:t xml:space="preserve"> Z</m:t>
        </m:r>
      </m:oMath>
      <w:r w:rsidR="00D84DFA" w:rsidRPr="00D84DFA">
        <w:rPr>
          <w:rFonts w:eastAsiaTheme="minorHAnsi" w:cstheme="minorBidi"/>
          <w:sz w:val="24"/>
          <w:szCs w:val="24"/>
        </w:rPr>
        <w:t xml:space="preserve">, such that comparisons between survey respondents and non-respondents can be made. These comparisons will inform the subsequent use of weighting class adjustments to mitigate the biasing effects of response propensities that are a function of </w:t>
      </w:r>
      <w:r w:rsidR="00D84DFA" w:rsidRPr="00D84DFA">
        <w:rPr>
          <w:rFonts w:eastAsiaTheme="minorHAnsi" w:cstheme="minorBidi"/>
          <w:i/>
          <w:iCs/>
          <w:sz w:val="24"/>
          <w:szCs w:val="24"/>
        </w:rPr>
        <w:t>Z</w:t>
      </w:r>
      <w:r w:rsidR="00D84DFA" w:rsidRPr="00D84DFA">
        <w:rPr>
          <w:rFonts w:eastAsiaTheme="minorHAnsi" w:cstheme="minorBidi"/>
          <w:sz w:val="24"/>
          <w:szCs w:val="24"/>
        </w:rPr>
        <w:t xml:space="preserve"> </w:t>
      </w:r>
      <w:r w:rsidR="00D84DFA" w:rsidRPr="00D84DFA">
        <w:rPr>
          <w:rFonts w:eastAsiaTheme="minorHAnsi" w:cstheme="minorBidi"/>
          <w:sz w:val="24"/>
          <w:szCs w:val="24"/>
        </w:rPr>
        <w:fldChar w:fldCharType="begin" w:fldLock="1"/>
      </w:r>
      <w:r w:rsidR="00D84DFA" w:rsidRPr="00D84DFA">
        <w:rPr>
          <w:rFonts w:eastAsiaTheme="minorHAnsi" w:cstheme="minorBidi"/>
          <w:sz w:val="24"/>
          <w:szCs w:val="24"/>
        </w:rPr>
        <w:instrText>ADDIN CSL_CITATION {"citationItems":[{"id":"ITEM-1","itemData":{"ISSN":"0033-362X","abstract":"Many surveys of the U.S. household population are experiencing higher refusal rates. Nonresponse can, but need not, induce nonresponse bias in survey estimates. Recent empirical findings illustrate cases when the linkage between nonresponse rates and nonresponse biases is absent. Despite this, professional standards continue to urge high response rates. Statistical expressions of nonresponse bias can be translated into causal models to guide hypotheses about when nonresponse causes bias. Alternative designs to measure nonresponse bias exist, providing different but incomplete information about the nature of the bias. A synthesis of research studies estimating nonresponse bias shows the bias often present. A logical question at this moment in history is what advantage probability sample surveys have if they suffer from high nonresponse rates. Since postsurvey adjustment for nonresponse requires auxiliary variables, the answer depends on the nature of the design and the quality of the auxiliary variables.","author":[{"dropping-particle":"","family":"Groves","given":"Robert M","non-dropping-particle":"","parse-names":false,"suffix":""}],"container-title":"Public Opinion Quarterly","id":"ITEM-1","issue":"5","issued":{"date-parts":[["2006"]]},"page":"646-675","title":"Nonresponse Rates and Nonresponse Bias in Household Surveys","type":"article-journal","volume":"70"},"uris":["http://www.mendeley.com/documents/?uuid=0e34fba3-dbfc-424d-b611-566ead222a81","http://www.mendeley.com/documents/?uuid=9e94cef1-af48-4d5e-bcb7-7c2d1c4818b8"]}],"mendeley":{"formattedCitation":"(Groves 2006)","plainTextFormattedCitation":"(Groves 2006)","previouslyFormattedCitation":"(Groves 2006)"},"properties":{"noteIndex":0},"schema":"https://github.com/citation-style-language/schema/raw/master/csl-citation.json"}</w:instrText>
      </w:r>
      <w:r w:rsidR="00D84DFA" w:rsidRPr="00D84DFA">
        <w:rPr>
          <w:rFonts w:eastAsiaTheme="minorHAnsi" w:cstheme="minorBidi"/>
          <w:sz w:val="24"/>
          <w:szCs w:val="24"/>
        </w:rPr>
        <w:fldChar w:fldCharType="separate"/>
      </w:r>
      <w:r w:rsidR="00D84DFA" w:rsidRPr="00D84DFA">
        <w:rPr>
          <w:rFonts w:eastAsiaTheme="minorHAnsi" w:cstheme="minorBidi"/>
          <w:noProof/>
          <w:sz w:val="24"/>
          <w:szCs w:val="24"/>
        </w:rPr>
        <w:t>(Groves 2006)</w:t>
      </w:r>
      <w:r w:rsidR="00D84DFA" w:rsidRPr="00D84DFA">
        <w:rPr>
          <w:rFonts w:eastAsiaTheme="minorHAnsi" w:cstheme="minorBidi"/>
          <w:sz w:val="24"/>
          <w:szCs w:val="24"/>
        </w:rPr>
        <w:fldChar w:fldCharType="end"/>
      </w:r>
      <w:r w:rsidR="00D84DFA" w:rsidRPr="00D84DFA">
        <w:rPr>
          <w:rFonts w:eastAsiaTheme="minorHAnsi" w:cstheme="minorBidi"/>
          <w:sz w:val="24"/>
          <w:szCs w:val="24"/>
        </w:rPr>
        <w:t>. The telephone pre-screening interview will gather the following information:</w:t>
      </w:r>
    </w:p>
    <w:p w14:paraId="16A24E8F"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p>
    <w:p w14:paraId="6BAC73AD" w14:textId="77777777" w:rsidR="00D84DFA" w:rsidRPr="00D84DFA" w:rsidRDefault="00D84DFA" w:rsidP="00D84DFA">
      <w:pPr>
        <w:widowControl/>
        <w:numPr>
          <w:ilvl w:val="0"/>
          <w:numId w:val="9"/>
        </w:numPr>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Number of recreational fishing trips taken in the past 12 months</w:t>
      </w:r>
    </w:p>
    <w:p w14:paraId="51DEA8BC" w14:textId="77777777" w:rsidR="00D84DFA" w:rsidRPr="00D84DFA" w:rsidRDefault="00D84DFA" w:rsidP="00D84DFA">
      <w:pPr>
        <w:widowControl/>
        <w:numPr>
          <w:ilvl w:val="0"/>
          <w:numId w:val="9"/>
        </w:numPr>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Number of recreational fishing trips for cod or haddock taken in the past 12 months</w:t>
      </w:r>
    </w:p>
    <w:p w14:paraId="65FC1BEC" w14:textId="77777777" w:rsidR="00D84DFA" w:rsidRPr="00D84DFA" w:rsidRDefault="00D84DFA" w:rsidP="00D84DFA">
      <w:pPr>
        <w:widowControl/>
        <w:numPr>
          <w:ilvl w:val="0"/>
          <w:numId w:val="9"/>
        </w:numPr>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Likelihood of cod or haddock fishing in the next 12 months</w:t>
      </w:r>
    </w:p>
    <w:p w14:paraId="13C80E98" w14:textId="77777777" w:rsidR="00D84DFA" w:rsidRPr="00D84DFA" w:rsidRDefault="00D84DFA" w:rsidP="00D84DFA">
      <w:pPr>
        <w:widowControl/>
        <w:numPr>
          <w:ilvl w:val="0"/>
          <w:numId w:val="9"/>
        </w:numPr>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Age</w:t>
      </w:r>
    </w:p>
    <w:p w14:paraId="7CE4993C" w14:textId="77777777" w:rsidR="00D84DFA" w:rsidRPr="00D84DFA" w:rsidRDefault="00D84DFA" w:rsidP="00D84DFA">
      <w:pPr>
        <w:widowControl/>
        <w:numPr>
          <w:ilvl w:val="0"/>
          <w:numId w:val="9"/>
        </w:numPr>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 xml:space="preserve">Income </w:t>
      </w:r>
    </w:p>
    <w:p w14:paraId="2005F616" w14:textId="5DC77098" w:rsidR="00D84DFA" w:rsidRDefault="00D84DFA" w:rsidP="00D84DFA">
      <w:pPr>
        <w:widowControl/>
        <w:tabs>
          <w:tab w:val="left" w:pos="720"/>
        </w:tabs>
        <w:autoSpaceDE/>
        <w:autoSpaceDN/>
        <w:adjustRightInd/>
        <w:spacing w:after="160"/>
        <w:ind w:left="1440"/>
        <w:contextualSpacing/>
        <w:rPr>
          <w:rFonts w:eastAsiaTheme="minorHAnsi" w:cstheme="minorBidi"/>
          <w:sz w:val="24"/>
          <w:szCs w:val="24"/>
        </w:rPr>
      </w:pPr>
    </w:p>
    <w:p w14:paraId="6951FB3D" w14:textId="06F431D2"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 xml:space="preserve">Additionally, recent experience suggests that a telephone pre-screening interview will boost the overall survey response rate. In a 2016 striped bass angler survey directed by members of the proposed research project, telephone pre-screened license holders were more likely to complete the survey (55%) than those who were not screened (29%). The completion rate for screened anglers and other telephone pre-screening interview results for the 2016 striped bass angler survey are displayed in Table </w:t>
      </w:r>
      <w:r w:rsidR="00776E48">
        <w:rPr>
          <w:rFonts w:eastAsiaTheme="minorHAnsi" w:cstheme="minorBidi"/>
          <w:sz w:val="24"/>
          <w:szCs w:val="24"/>
        </w:rPr>
        <w:t>9</w:t>
      </w:r>
      <w:r w:rsidRPr="00D84DFA">
        <w:rPr>
          <w:rFonts w:eastAsiaTheme="minorHAnsi" w:cstheme="minorBidi"/>
          <w:sz w:val="24"/>
          <w:szCs w:val="24"/>
        </w:rPr>
        <w:t xml:space="preserve">. </w:t>
      </w:r>
    </w:p>
    <w:p w14:paraId="09204953"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ab/>
      </w:r>
    </w:p>
    <w:p w14:paraId="6C435162" w14:textId="77777777" w:rsidR="00776E48" w:rsidRPr="00D84DFA" w:rsidRDefault="00776E48" w:rsidP="00D84DFA">
      <w:pPr>
        <w:widowControl/>
        <w:tabs>
          <w:tab w:val="left" w:pos="720"/>
        </w:tabs>
        <w:autoSpaceDE/>
        <w:autoSpaceDN/>
        <w:adjustRightInd/>
        <w:spacing w:after="160"/>
        <w:contextualSpacing/>
        <w:rPr>
          <w:rFonts w:eastAsiaTheme="minorHAnsi" w:cstheme="minorBidi"/>
          <w:sz w:val="24"/>
          <w:szCs w:val="24"/>
        </w:rPr>
      </w:pPr>
    </w:p>
    <w:tbl>
      <w:tblPr>
        <w:tblW w:w="8640" w:type="dxa"/>
        <w:jc w:val="center"/>
        <w:tblLayout w:type="fixed"/>
        <w:tblCellMar>
          <w:left w:w="0" w:type="dxa"/>
          <w:right w:w="0" w:type="dxa"/>
        </w:tblCellMar>
        <w:tblLook w:val="0000" w:firstRow="0" w:lastRow="0" w:firstColumn="0" w:lastColumn="0" w:noHBand="0" w:noVBand="0"/>
      </w:tblPr>
      <w:tblGrid>
        <w:gridCol w:w="5400"/>
        <w:gridCol w:w="1170"/>
        <w:gridCol w:w="2070"/>
      </w:tblGrid>
      <w:tr w:rsidR="00D84DFA" w:rsidRPr="00D84DFA" w14:paraId="21749D85" w14:textId="77777777" w:rsidTr="00C77DB2">
        <w:trPr>
          <w:cantSplit/>
          <w:trHeight w:hRule="exact" w:val="288"/>
          <w:jc w:val="center"/>
        </w:trPr>
        <w:tc>
          <w:tcPr>
            <w:tcW w:w="8640" w:type="dxa"/>
            <w:gridSpan w:val="3"/>
            <w:tcBorders>
              <w:bottom w:val="single" w:sz="4" w:space="0" w:color="auto"/>
            </w:tcBorders>
            <w:shd w:val="clear" w:color="auto" w:fill="auto"/>
            <w:tcMar>
              <w:left w:w="40" w:type="dxa"/>
              <w:right w:w="40" w:type="dxa"/>
            </w:tcMar>
            <w:vAlign w:val="center"/>
          </w:tcPr>
          <w:p w14:paraId="42AA7C70" w14:textId="031F32D5" w:rsidR="00D84DFA" w:rsidRPr="00D84DFA" w:rsidRDefault="00D84DFA" w:rsidP="00D84DFA">
            <w:pPr>
              <w:keepNext/>
              <w:widowControl/>
              <w:autoSpaceDE/>
              <w:autoSpaceDN/>
              <w:adjustRightInd/>
              <w:spacing w:before="40" w:after="40"/>
              <w:contextualSpacing/>
              <w:rPr>
                <w:rFonts w:eastAsiaTheme="minorHAnsi" w:cstheme="minorBidi"/>
                <w:color w:val="000000"/>
                <w:sz w:val="22"/>
                <w:szCs w:val="24"/>
              </w:rPr>
            </w:pPr>
            <w:r w:rsidRPr="00D84DFA">
              <w:rPr>
                <w:rFonts w:eastAsiaTheme="minorHAnsi" w:cstheme="minorBidi"/>
                <w:color w:val="000000"/>
                <w:sz w:val="22"/>
                <w:szCs w:val="24"/>
              </w:rPr>
              <w:t xml:space="preserve">Table </w:t>
            </w:r>
            <w:r w:rsidR="00776E48">
              <w:rPr>
                <w:rFonts w:eastAsiaTheme="minorHAnsi" w:cstheme="minorBidi"/>
                <w:color w:val="000000"/>
                <w:sz w:val="22"/>
                <w:szCs w:val="24"/>
              </w:rPr>
              <w:t>9</w:t>
            </w:r>
            <w:r w:rsidRPr="00D84DFA">
              <w:rPr>
                <w:rFonts w:eastAsiaTheme="minorHAnsi" w:cstheme="minorBidi"/>
                <w:color w:val="000000"/>
                <w:sz w:val="22"/>
                <w:szCs w:val="24"/>
              </w:rPr>
              <w:t xml:space="preserve">. Telephone pre-screening survey results, 2016 striped bass survey. </w:t>
            </w:r>
          </w:p>
        </w:tc>
      </w:tr>
      <w:tr w:rsidR="00D84DFA" w:rsidRPr="00D84DFA" w14:paraId="3E902327" w14:textId="77777777" w:rsidTr="00C77DB2">
        <w:trPr>
          <w:cantSplit/>
          <w:trHeight w:hRule="exact" w:val="792"/>
          <w:jc w:val="center"/>
        </w:trPr>
        <w:tc>
          <w:tcPr>
            <w:tcW w:w="5400" w:type="dxa"/>
            <w:tcBorders>
              <w:bottom w:val="single" w:sz="4" w:space="0" w:color="auto"/>
            </w:tcBorders>
            <w:shd w:val="clear" w:color="auto" w:fill="auto"/>
            <w:tcMar>
              <w:left w:w="40" w:type="dxa"/>
              <w:right w:w="40" w:type="dxa"/>
            </w:tcMar>
            <w:vAlign w:val="center"/>
          </w:tcPr>
          <w:p w14:paraId="11CBC013"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Final screener survey disposition</w:t>
            </w:r>
          </w:p>
        </w:tc>
        <w:tc>
          <w:tcPr>
            <w:tcW w:w="1170" w:type="dxa"/>
            <w:tcBorders>
              <w:top w:val="single" w:sz="4" w:space="0" w:color="auto"/>
              <w:bottom w:val="single" w:sz="4" w:space="0" w:color="auto"/>
            </w:tcBorders>
            <w:shd w:val="clear" w:color="auto" w:fill="auto"/>
            <w:tcMar>
              <w:left w:w="40" w:type="dxa"/>
              <w:right w:w="40" w:type="dxa"/>
            </w:tcMar>
            <w:vAlign w:val="center"/>
          </w:tcPr>
          <w:p w14:paraId="50945AB0"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 of licensees</w:t>
            </w:r>
          </w:p>
        </w:tc>
        <w:tc>
          <w:tcPr>
            <w:tcW w:w="2070" w:type="dxa"/>
            <w:tcBorders>
              <w:bottom w:val="single" w:sz="4" w:space="0" w:color="auto"/>
            </w:tcBorders>
            <w:shd w:val="clear" w:color="auto" w:fill="auto"/>
            <w:tcMar>
              <w:left w:w="40" w:type="dxa"/>
              <w:right w:w="40" w:type="dxa"/>
            </w:tcMar>
            <w:vAlign w:val="center"/>
          </w:tcPr>
          <w:p w14:paraId="6667FE35"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 licensees that subsequently completed full survey</w:t>
            </w:r>
            <w:r w:rsidRPr="00D84DFA">
              <w:rPr>
                <w:rFonts w:eastAsiaTheme="minorHAnsi" w:cstheme="minorBidi"/>
                <w:color w:val="000000"/>
                <w:sz w:val="22"/>
                <w:szCs w:val="24"/>
                <w:vertAlign w:val="superscript"/>
              </w:rPr>
              <w:t>†</w:t>
            </w:r>
          </w:p>
        </w:tc>
      </w:tr>
      <w:tr w:rsidR="00D84DFA" w:rsidRPr="00D84DFA" w14:paraId="573DAB38" w14:textId="77777777" w:rsidTr="00C77DB2">
        <w:trPr>
          <w:cantSplit/>
          <w:trHeight w:val="20"/>
          <w:jc w:val="center"/>
        </w:trPr>
        <w:tc>
          <w:tcPr>
            <w:tcW w:w="5400" w:type="dxa"/>
            <w:tcBorders>
              <w:top w:val="single" w:sz="4" w:space="0" w:color="auto"/>
            </w:tcBorders>
            <w:shd w:val="clear" w:color="auto" w:fill="auto"/>
            <w:tcMar>
              <w:left w:w="40" w:type="dxa"/>
              <w:right w:w="40" w:type="dxa"/>
            </w:tcMar>
            <w:vAlign w:val="center"/>
          </w:tcPr>
          <w:p w14:paraId="3AA15839"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Answering machine</w:t>
            </w:r>
          </w:p>
        </w:tc>
        <w:tc>
          <w:tcPr>
            <w:tcW w:w="1170" w:type="dxa"/>
            <w:tcBorders>
              <w:top w:val="single" w:sz="4" w:space="0" w:color="auto"/>
            </w:tcBorders>
            <w:shd w:val="clear" w:color="auto" w:fill="auto"/>
            <w:tcMar>
              <w:left w:w="40" w:type="dxa"/>
              <w:right w:w="40" w:type="dxa"/>
            </w:tcMar>
            <w:vAlign w:val="center"/>
          </w:tcPr>
          <w:p w14:paraId="5AC2605E"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816</w:t>
            </w:r>
          </w:p>
        </w:tc>
        <w:tc>
          <w:tcPr>
            <w:tcW w:w="2070" w:type="dxa"/>
            <w:tcBorders>
              <w:top w:val="single" w:sz="4" w:space="0" w:color="auto"/>
            </w:tcBorders>
            <w:shd w:val="clear" w:color="auto" w:fill="auto"/>
            <w:tcMar>
              <w:left w:w="40" w:type="dxa"/>
              <w:right w:w="40" w:type="dxa"/>
            </w:tcMar>
            <w:vAlign w:val="center"/>
          </w:tcPr>
          <w:p w14:paraId="6DF7D1EF"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236</w:t>
            </w:r>
          </w:p>
        </w:tc>
      </w:tr>
      <w:tr w:rsidR="00D84DFA" w:rsidRPr="00D84DFA" w14:paraId="1DE3D98A" w14:textId="77777777" w:rsidTr="00C77DB2">
        <w:trPr>
          <w:cantSplit/>
          <w:trHeight w:val="20"/>
          <w:jc w:val="center"/>
        </w:trPr>
        <w:tc>
          <w:tcPr>
            <w:tcW w:w="5400" w:type="dxa"/>
            <w:shd w:val="clear" w:color="auto" w:fill="auto"/>
            <w:tcMar>
              <w:left w:w="40" w:type="dxa"/>
              <w:right w:w="40" w:type="dxa"/>
            </w:tcMar>
            <w:vAlign w:val="center"/>
          </w:tcPr>
          <w:p w14:paraId="73DE64AC"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Bad/disconnected number</w:t>
            </w:r>
          </w:p>
        </w:tc>
        <w:tc>
          <w:tcPr>
            <w:tcW w:w="1170" w:type="dxa"/>
            <w:shd w:val="clear" w:color="auto" w:fill="auto"/>
            <w:tcMar>
              <w:left w:w="40" w:type="dxa"/>
              <w:right w:w="40" w:type="dxa"/>
            </w:tcMar>
            <w:vAlign w:val="center"/>
          </w:tcPr>
          <w:p w14:paraId="35C918D0"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197</w:t>
            </w:r>
          </w:p>
        </w:tc>
        <w:tc>
          <w:tcPr>
            <w:tcW w:w="2070" w:type="dxa"/>
            <w:shd w:val="clear" w:color="auto" w:fill="auto"/>
            <w:tcMar>
              <w:left w:w="40" w:type="dxa"/>
              <w:right w:w="40" w:type="dxa"/>
            </w:tcMar>
            <w:vAlign w:val="center"/>
          </w:tcPr>
          <w:p w14:paraId="7EC9C6FD"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33</w:t>
            </w:r>
          </w:p>
        </w:tc>
      </w:tr>
      <w:tr w:rsidR="00D84DFA" w:rsidRPr="00D84DFA" w14:paraId="01F405CC" w14:textId="77777777" w:rsidTr="00C77DB2">
        <w:trPr>
          <w:cantSplit/>
          <w:trHeight w:val="20"/>
          <w:jc w:val="center"/>
        </w:trPr>
        <w:tc>
          <w:tcPr>
            <w:tcW w:w="5400" w:type="dxa"/>
            <w:shd w:val="clear" w:color="auto" w:fill="auto"/>
            <w:tcMar>
              <w:left w:w="40" w:type="dxa"/>
              <w:right w:w="40" w:type="dxa"/>
            </w:tcMar>
            <w:vAlign w:val="center"/>
          </w:tcPr>
          <w:p w14:paraId="491D3FE6"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Busy signal</w:t>
            </w:r>
          </w:p>
        </w:tc>
        <w:tc>
          <w:tcPr>
            <w:tcW w:w="1170" w:type="dxa"/>
            <w:shd w:val="clear" w:color="auto" w:fill="auto"/>
            <w:tcMar>
              <w:left w:w="40" w:type="dxa"/>
              <w:right w:w="40" w:type="dxa"/>
            </w:tcMar>
            <w:vAlign w:val="center"/>
          </w:tcPr>
          <w:p w14:paraId="02294050"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36</w:t>
            </w:r>
          </w:p>
        </w:tc>
        <w:tc>
          <w:tcPr>
            <w:tcW w:w="2070" w:type="dxa"/>
            <w:shd w:val="clear" w:color="auto" w:fill="auto"/>
            <w:tcMar>
              <w:left w:w="40" w:type="dxa"/>
              <w:right w:w="40" w:type="dxa"/>
            </w:tcMar>
            <w:vAlign w:val="center"/>
          </w:tcPr>
          <w:p w14:paraId="0394E3CE"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8</w:t>
            </w:r>
          </w:p>
        </w:tc>
      </w:tr>
      <w:tr w:rsidR="00D84DFA" w:rsidRPr="00D84DFA" w14:paraId="2A544F3A" w14:textId="77777777" w:rsidTr="00C77DB2">
        <w:trPr>
          <w:cantSplit/>
          <w:trHeight w:val="20"/>
          <w:jc w:val="center"/>
        </w:trPr>
        <w:tc>
          <w:tcPr>
            <w:tcW w:w="5400" w:type="dxa"/>
            <w:shd w:val="clear" w:color="auto" w:fill="auto"/>
            <w:tcMar>
              <w:left w:w="40" w:type="dxa"/>
              <w:right w:w="40" w:type="dxa"/>
            </w:tcMar>
            <w:vAlign w:val="center"/>
          </w:tcPr>
          <w:p w14:paraId="098F10CF"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Completed screening</w:t>
            </w:r>
          </w:p>
        </w:tc>
        <w:tc>
          <w:tcPr>
            <w:tcW w:w="1170" w:type="dxa"/>
            <w:shd w:val="clear" w:color="auto" w:fill="auto"/>
            <w:tcMar>
              <w:left w:w="40" w:type="dxa"/>
              <w:right w:w="40" w:type="dxa"/>
            </w:tcMar>
            <w:vAlign w:val="center"/>
          </w:tcPr>
          <w:p w14:paraId="50849824"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318</w:t>
            </w:r>
          </w:p>
        </w:tc>
        <w:tc>
          <w:tcPr>
            <w:tcW w:w="2070" w:type="dxa"/>
            <w:shd w:val="clear" w:color="auto" w:fill="auto"/>
            <w:tcMar>
              <w:left w:w="40" w:type="dxa"/>
              <w:right w:w="40" w:type="dxa"/>
            </w:tcMar>
            <w:vAlign w:val="center"/>
          </w:tcPr>
          <w:p w14:paraId="09CD76D4"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 xml:space="preserve">175 (55% of 318) </w:t>
            </w:r>
          </w:p>
        </w:tc>
      </w:tr>
      <w:tr w:rsidR="00D84DFA" w:rsidRPr="00D84DFA" w14:paraId="79CA02C5" w14:textId="77777777" w:rsidTr="00C77DB2">
        <w:trPr>
          <w:cantSplit/>
          <w:trHeight w:val="20"/>
          <w:jc w:val="center"/>
        </w:trPr>
        <w:tc>
          <w:tcPr>
            <w:tcW w:w="5400" w:type="dxa"/>
            <w:shd w:val="clear" w:color="auto" w:fill="auto"/>
            <w:tcMar>
              <w:left w:w="40" w:type="dxa"/>
              <w:right w:w="40" w:type="dxa"/>
            </w:tcMar>
            <w:vAlign w:val="center"/>
          </w:tcPr>
          <w:p w14:paraId="7F701DFD"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Language barrier</w:t>
            </w:r>
          </w:p>
        </w:tc>
        <w:tc>
          <w:tcPr>
            <w:tcW w:w="1170" w:type="dxa"/>
            <w:shd w:val="clear" w:color="auto" w:fill="auto"/>
            <w:tcMar>
              <w:left w:w="40" w:type="dxa"/>
              <w:right w:w="40" w:type="dxa"/>
            </w:tcMar>
            <w:vAlign w:val="center"/>
          </w:tcPr>
          <w:p w14:paraId="0B3B5C6A"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53</w:t>
            </w:r>
          </w:p>
        </w:tc>
        <w:tc>
          <w:tcPr>
            <w:tcW w:w="2070" w:type="dxa"/>
            <w:shd w:val="clear" w:color="auto" w:fill="auto"/>
            <w:tcMar>
              <w:left w:w="40" w:type="dxa"/>
              <w:right w:w="40" w:type="dxa"/>
            </w:tcMar>
            <w:vAlign w:val="center"/>
          </w:tcPr>
          <w:p w14:paraId="7F54F864"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w:t>
            </w:r>
          </w:p>
        </w:tc>
      </w:tr>
      <w:tr w:rsidR="00D84DFA" w:rsidRPr="00D84DFA" w14:paraId="43897193" w14:textId="77777777" w:rsidTr="00C77DB2">
        <w:trPr>
          <w:cantSplit/>
          <w:trHeight w:val="20"/>
          <w:jc w:val="center"/>
        </w:trPr>
        <w:tc>
          <w:tcPr>
            <w:tcW w:w="5400" w:type="dxa"/>
            <w:shd w:val="clear" w:color="auto" w:fill="auto"/>
            <w:tcMar>
              <w:left w:w="40" w:type="dxa"/>
              <w:right w:w="40" w:type="dxa"/>
            </w:tcMar>
            <w:vAlign w:val="center"/>
          </w:tcPr>
          <w:p w14:paraId="55D935E1"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No Answer</w:t>
            </w:r>
          </w:p>
        </w:tc>
        <w:tc>
          <w:tcPr>
            <w:tcW w:w="1170" w:type="dxa"/>
            <w:shd w:val="clear" w:color="auto" w:fill="auto"/>
            <w:tcMar>
              <w:left w:w="40" w:type="dxa"/>
              <w:right w:w="40" w:type="dxa"/>
            </w:tcMar>
            <w:vAlign w:val="center"/>
          </w:tcPr>
          <w:p w14:paraId="08F4CB63"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92</w:t>
            </w:r>
          </w:p>
        </w:tc>
        <w:tc>
          <w:tcPr>
            <w:tcW w:w="2070" w:type="dxa"/>
            <w:shd w:val="clear" w:color="auto" w:fill="auto"/>
            <w:tcMar>
              <w:left w:w="40" w:type="dxa"/>
              <w:right w:w="40" w:type="dxa"/>
            </w:tcMar>
            <w:vAlign w:val="center"/>
          </w:tcPr>
          <w:p w14:paraId="322B55DB"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21</w:t>
            </w:r>
          </w:p>
        </w:tc>
      </w:tr>
      <w:tr w:rsidR="00D84DFA" w:rsidRPr="00D84DFA" w14:paraId="25EFCA06" w14:textId="77777777" w:rsidTr="00C77DB2">
        <w:trPr>
          <w:cantSplit/>
          <w:trHeight w:val="20"/>
          <w:jc w:val="center"/>
        </w:trPr>
        <w:tc>
          <w:tcPr>
            <w:tcW w:w="5400" w:type="dxa"/>
            <w:shd w:val="clear" w:color="auto" w:fill="auto"/>
            <w:tcMar>
              <w:left w:w="40" w:type="dxa"/>
              <w:right w:w="40" w:type="dxa"/>
            </w:tcMar>
            <w:vAlign w:val="center"/>
          </w:tcPr>
          <w:p w14:paraId="0AD6E507"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Ineligible: Has not fished for Striped Bass in past 3 years</w:t>
            </w:r>
          </w:p>
        </w:tc>
        <w:tc>
          <w:tcPr>
            <w:tcW w:w="1170" w:type="dxa"/>
            <w:shd w:val="clear" w:color="auto" w:fill="auto"/>
            <w:tcMar>
              <w:left w:w="40" w:type="dxa"/>
              <w:right w:w="40" w:type="dxa"/>
            </w:tcMar>
            <w:vAlign w:val="center"/>
          </w:tcPr>
          <w:p w14:paraId="711D021A"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252</w:t>
            </w:r>
          </w:p>
        </w:tc>
        <w:tc>
          <w:tcPr>
            <w:tcW w:w="2070" w:type="dxa"/>
            <w:shd w:val="clear" w:color="auto" w:fill="auto"/>
            <w:tcMar>
              <w:left w:w="40" w:type="dxa"/>
              <w:right w:w="40" w:type="dxa"/>
            </w:tcMar>
            <w:vAlign w:val="center"/>
          </w:tcPr>
          <w:p w14:paraId="00E68102"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0</w:t>
            </w:r>
          </w:p>
        </w:tc>
      </w:tr>
      <w:tr w:rsidR="00D84DFA" w:rsidRPr="00D84DFA" w14:paraId="3A0D41C9" w14:textId="77777777" w:rsidTr="00C77DB2">
        <w:trPr>
          <w:cantSplit/>
          <w:trHeight w:val="20"/>
          <w:jc w:val="center"/>
        </w:trPr>
        <w:tc>
          <w:tcPr>
            <w:tcW w:w="5400" w:type="dxa"/>
            <w:shd w:val="clear" w:color="auto" w:fill="auto"/>
            <w:tcMar>
              <w:left w:w="40" w:type="dxa"/>
              <w:right w:w="40" w:type="dxa"/>
            </w:tcMar>
            <w:vAlign w:val="center"/>
          </w:tcPr>
          <w:p w14:paraId="7B2606AB"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Ineligible: Respondent deceased</w:t>
            </w:r>
          </w:p>
        </w:tc>
        <w:tc>
          <w:tcPr>
            <w:tcW w:w="1170" w:type="dxa"/>
            <w:shd w:val="clear" w:color="auto" w:fill="auto"/>
            <w:tcMar>
              <w:left w:w="40" w:type="dxa"/>
              <w:right w:w="40" w:type="dxa"/>
            </w:tcMar>
            <w:vAlign w:val="center"/>
          </w:tcPr>
          <w:p w14:paraId="7CDAC631"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5</w:t>
            </w:r>
          </w:p>
        </w:tc>
        <w:tc>
          <w:tcPr>
            <w:tcW w:w="2070" w:type="dxa"/>
            <w:shd w:val="clear" w:color="auto" w:fill="auto"/>
            <w:tcMar>
              <w:left w:w="40" w:type="dxa"/>
              <w:right w:w="40" w:type="dxa"/>
            </w:tcMar>
            <w:vAlign w:val="center"/>
          </w:tcPr>
          <w:p w14:paraId="6FF235F7"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0</w:t>
            </w:r>
          </w:p>
        </w:tc>
      </w:tr>
      <w:tr w:rsidR="00D84DFA" w:rsidRPr="00D84DFA" w14:paraId="462EB986" w14:textId="77777777" w:rsidTr="00C77DB2">
        <w:trPr>
          <w:cantSplit/>
          <w:trHeight w:val="20"/>
          <w:jc w:val="center"/>
        </w:trPr>
        <w:tc>
          <w:tcPr>
            <w:tcW w:w="5400" w:type="dxa"/>
            <w:shd w:val="clear" w:color="auto" w:fill="auto"/>
            <w:tcMar>
              <w:left w:w="40" w:type="dxa"/>
              <w:right w:w="40" w:type="dxa"/>
            </w:tcMar>
            <w:vAlign w:val="center"/>
          </w:tcPr>
          <w:p w14:paraId="29A19C01"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Refusal: eligible for mail/web survey</w:t>
            </w:r>
          </w:p>
        </w:tc>
        <w:tc>
          <w:tcPr>
            <w:tcW w:w="1170" w:type="dxa"/>
            <w:shd w:val="clear" w:color="auto" w:fill="auto"/>
            <w:tcMar>
              <w:left w:w="40" w:type="dxa"/>
              <w:right w:w="40" w:type="dxa"/>
            </w:tcMar>
            <w:vAlign w:val="center"/>
          </w:tcPr>
          <w:p w14:paraId="37EA9FFD"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w:t>
            </w:r>
          </w:p>
        </w:tc>
        <w:tc>
          <w:tcPr>
            <w:tcW w:w="2070" w:type="dxa"/>
            <w:shd w:val="clear" w:color="auto" w:fill="auto"/>
            <w:tcMar>
              <w:left w:w="40" w:type="dxa"/>
              <w:right w:w="40" w:type="dxa"/>
            </w:tcMar>
            <w:vAlign w:val="center"/>
          </w:tcPr>
          <w:p w14:paraId="3F088DA5"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0</w:t>
            </w:r>
          </w:p>
        </w:tc>
      </w:tr>
      <w:tr w:rsidR="00D84DFA" w:rsidRPr="00D84DFA" w14:paraId="5675C039" w14:textId="77777777" w:rsidTr="00C77DB2">
        <w:trPr>
          <w:cantSplit/>
          <w:trHeight w:val="20"/>
          <w:jc w:val="center"/>
        </w:trPr>
        <w:tc>
          <w:tcPr>
            <w:tcW w:w="5400" w:type="dxa"/>
            <w:shd w:val="clear" w:color="auto" w:fill="auto"/>
            <w:tcMar>
              <w:left w:w="40" w:type="dxa"/>
              <w:right w:w="40" w:type="dxa"/>
            </w:tcMar>
            <w:vAlign w:val="center"/>
          </w:tcPr>
          <w:p w14:paraId="09902792"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Respondent not available during dialing period</w:t>
            </w:r>
          </w:p>
        </w:tc>
        <w:tc>
          <w:tcPr>
            <w:tcW w:w="1170" w:type="dxa"/>
            <w:shd w:val="clear" w:color="auto" w:fill="auto"/>
            <w:tcMar>
              <w:left w:w="40" w:type="dxa"/>
              <w:right w:w="40" w:type="dxa"/>
            </w:tcMar>
            <w:vAlign w:val="center"/>
          </w:tcPr>
          <w:p w14:paraId="7A4AB000"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25</w:t>
            </w:r>
          </w:p>
        </w:tc>
        <w:tc>
          <w:tcPr>
            <w:tcW w:w="2070" w:type="dxa"/>
            <w:shd w:val="clear" w:color="auto" w:fill="auto"/>
            <w:tcMar>
              <w:left w:w="40" w:type="dxa"/>
              <w:right w:w="40" w:type="dxa"/>
            </w:tcMar>
            <w:vAlign w:val="center"/>
          </w:tcPr>
          <w:p w14:paraId="1E4EF766"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10</w:t>
            </w:r>
          </w:p>
        </w:tc>
      </w:tr>
      <w:tr w:rsidR="00D84DFA" w:rsidRPr="00D84DFA" w14:paraId="092B5368" w14:textId="77777777" w:rsidTr="00C77DB2">
        <w:trPr>
          <w:cantSplit/>
          <w:trHeight w:val="20"/>
          <w:jc w:val="center"/>
        </w:trPr>
        <w:tc>
          <w:tcPr>
            <w:tcW w:w="5400" w:type="dxa"/>
            <w:shd w:val="clear" w:color="auto" w:fill="auto"/>
            <w:tcMar>
              <w:left w:w="40" w:type="dxa"/>
              <w:right w:w="40" w:type="dxa"/>
            </w:tcMar>
            <w:vAlign w:val="center"/>
          </w:tcPr>
          <w:p w14:paraId="7E5C1F13"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Refusal: Completed screening, but refused mail/web survey</w:t>
            </w:r>
          </w:p>
        </w:tc>
        <w:tc>
          <w:tcPr>
            <w:tcW w:w="1170" w:type="dxa"/>
            <w:shd w:val="clear" w:color="auto" w:fill="auto"/>
            <w:tcMar>
              <w:left w:w="40" w:type="dxa"/>
              <w:right w:w="40" w:type="dxa"/>
            </w:tcMar>
            <w:vAlign w:val="center"/>
          </w:tcPr>
          <w:p w14:paraId="2F2109F9"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7</w:t>
            </w:r>
          </w:p>
        </w:tc>
        <w:tc>
          <w:tcPr>
            <w:tcW w:w="2070" w:type="dxa"/>
            <w:shd w:val="clear" w:color="auto" w:fill="auto"/>
            <w:tcMar>
              <w:left w:w="40" w:type="dxa"/>
              <w:right w:w="40" w:type="dxa"/>
            </w:tcMar>
            <w:vAlign w:val="center"/>
          </w:tcPr>
          <w:p w14:paraId="218868DB"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0</w:t>
            </w:r>
          </w:p>
        </w:tc>
      </w:tr>
      <w:tr w:rsidR="00D84DFA" w:rsidRPr="00D84DFA" w14:paraId="39B45469" w14:textId="77777777" w:rsidTr="00C77DB2">
        <w:trPr>
          <w:cantSplit/>
          <w:trHeight w:val="20"/>
          <w:jc w:val="center"/>
        </w:trPr>
        <w:tc>
          <w:tcPr>
            <w:tcW w:w="5400" w:type="dxa"/>
            <w:shd w:val="clear" w:color="auto" w:fill="auto"/>
            <w:tcMar>
              <w:left w:w="40" w:type="dxa"/>
              <w:right w:w="40" w:type="dxa"/>
            </w:tcMar>
            <w:vAlign w:val="center"/>
          </w:tcPr>
          <w:p w14:paraId="5E2B78F2"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Refusal: eligibility unknown</w:t>
            </w:r>
          </w:p>
        </w:tc>
        <w:tc>
          <w:tcPr>
            <w:tcW w:w="1170" w:type="dxa"/>
            <w:shd w:val="clear" w:color="auto" w:fill="auto"/>
            <w:tcMar>
              <w:left w:w="40" w:type="dxa"/>
              <w:right w:w="40" w:type="dxa"/>
            </w:tcMar>
            <w:vAlign w:val="center"/>
          </w:tcPr>
          <w:p w14:paraId="44CBD6A6"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191</w:t>
            </w:r>
          </w:p>
        </w:tc>
        <w:tc>
          <w:tcPr>
            <w:tcW w:w="2070" w:type="dxa"/>
            <w:shd w:val="clear" w:color="auto" w:fill="auto"/>
            <w:tcMar>
              <w:left w:w="40" w:type="dxa"/>
              <w:right w:w="40" w:type="dxa"/>
            </w:tcMar>
            <w:vAlign w:val="center"/>
          </w:tcPr>
          <w:p w14:paraId="5AF66602"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35</w:t>
            </w:r>
          </w:p>
        </w:tc>
      </w:tr>
      <w:tr w:rsidR="00D84DFA" w:rsidRPr="00D84DFA" w14:paraId="313F1BE7" w14:textId="77777777" w:rsidTr="00C77DB2">
        <w:trPr>
          <w:cantSplit/>
          <w:trHeight w:val="20"/>
          <w:jc w:val="center"/>
        </w:trPr>
        <w:tc>
          <w:tcPr>
            <w:tcW w:w="5400" w:type="dxa"/>
            <w:tcBorders>
              <w:bottom w:val="single" w:sz="4" w:space="0" w:color="auto"/>
            </w:tcBorders>
            <w:shd w:val="clear" w:color="auto" w:fill="auto"/>
            <w:tcMar>
              <w:left w:w="40" w:type="dxa"/>
              <w:right w:w="40" w:type="dxa"/>
            </w:tcMar>
            <w:vAlign w:val="center"/>
          </w:tcPr>
          <w:p w14:paraId="56171962" w14:textId="77777777" w:rsidR="00D84DFA" w:rsidRPr="00D84DFA" w:rsidRDefault="00D84DFA" w:rsidP="00D84DFA">
            <w:pPr>
              <w:keepNext/>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Wrong Number</w:t>
            </w:r>
          </w:p>
        </w:tc>
        <w:tc>
          <w:tcPr>
            <w:tcW w:w="1170" w:type="dxa"/>
            <w:tcBorders>
              <w:bottom w:val="single" w:sz="4" w:space="0" w:color="auto"/>
            </w:tcBorders>
            <w:shd w:val="clear" w:color="auto" w:fill="auto"/>
            <w:tcMar>
              <w:left w:w="40" w:type="dxa"/>
              <w:right w:w="40" w:type="dxa"/>
            </w:tcMar>
            <w:vAlign w:val="center"/>
          </w:tcPr>
          <w:p w14:paraId="4F35AB41"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90</w:t>
            </w:r>
          </w:p>
        </w:tc>
        <w:tc>
          <w:tcPr>
            <w:tcW w:w="2070" w:type="dxa"/>
            <w:tcBorders>
              <w:bottom w:val="single" w:sz="4" w:space="0" w:color="auto"/>
            </w:tcBorders>
            <w:shd w:val="clear" w:color="auto" w:fill="auto"/>
            <w:tcMar>
              <w:left w:w="40" w:type="dxa"/>
              <w:right w:w="40" w:type="dxa"/>
            </w:tcMar>
            <w:vAlign w:val="center"/>
          </w:tcPr>
          <w:p w14:paraId="58F7B09B" w14:textId="77777777" w:rsidR="00D84DFA" w:rsidRPr="00D84DFA" w:rsidRDefault="00D84DFA" w:rsidP="00D84DFA">
            <w:pPr>
              <w:keepNext/>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13</w:t>
            </w:r>
          </w:p>
        </w:tc>
      </w:tr>
      <w:tr w:rsidR="00D84DFA" w:rsidRPr="00D84DFA" w14:paraId="0C5CABB2" w14:textId="77777777" w:rsidTr="00C77DB2">
        <w:trPr>
          <w:cantSplit/>
          <w:trHeight w:val="20"/>
          <w:jc w:val="center"/>
        </w:trPr>
        <w:tc>
          <w:tcPr>
            <w:tcW w:w="5400" w:type="dxa"/>
            <w:tcBorders>
              <w:top w:val="single" w:sz="4" w:space="0" w:color="auto"/>
              <w:bottom w:val="single" w:sz="4" w:space="0" w:color="auto"/>
            </w:tcBorders>
            <w:shd w:val="clear" w:color="auto" w:fill="auto"/>
            <w:tcMar>
              <w:left w:w="40" w:type="dxa"/>
              <w:right w:w="40" w:type="dxa"/>
            </w:tcMar>
            <w:vAlign w:val="center"/>
          </w:tcPr>
          <w:p w14:paraId="5D1E2E7B" w14:textId="77777777" w:rsidR="00D84DFA" w:rsidRPr="00D84DFA" w:rsidRDefault="00D84DFA" w:rsidP="00D84DFA">
            <w:pPr>
              <w:widowControl/>
              <w:autoSpaceDE/>
              <w:autoSpaceDN/>
              <w:adjustRightInd/>
              <w:spacing w:before="40" w:after="40"/>
              <w:contextualSpacing/>
              <w:rPr>
                <w:rFonts w:eastAsiaTheme="minorHAnsi" w:cstheme="minorBidi"/>
                <w:bCs/>
                <w:color w:val="000000"/>
                <w:sz w:val="22"/>
                <w:szCs w:val="24"/>
              </w:rPr>
            </w:pPr>
            <w:r w:rsidRPr="00D84DFA">
              <w:rPr>
                <w:rFonts w:eastAsiaTheme="minorHAnsi" w:cstheme="minorBidi"/>
                <w:bCs/>
                <w:color w:val="000000"/>
                <w:sz w:val="22"/>
                <w:szCs w:val="24"/>
              </w:rPr>
              <w:t>Total</w:t>
            </w:r>
          </w:p>
        </w:tc>
        <w:tc>
          <w:tcPr>
            <w:tcW w:w="1170" w:type="dxa"/>
            <w:tcBorders>
              <w:top w:val="single" w:sz="4" w:space="0" w:color="auto"/>
              <w:bottom w:val="single" w:sz="4" w:space="0" w:color="auto"/>
            </w:tcBorders>
            <w:shd w:val="clear" w:color="auto" w:fill="auto"/>
            <w:tcMar>
              <w:left w:w="40" w:type="dxa"/>
              <w:right w:w="40" w:type="dxa"/>
            </w:tcMar>
            <w:vAlign w:val="center"/>
          </w:tcPr>
          <w:p w14:paraId="69E9FC0C"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2085</w:t>
            </w:r>
          </w:p>
        </w:tc>
        <w:tc>
          <w:tcPr>
            <w:tcW w:w="2070" w:type="dxa"/>
            <w:tcBorders>
              <w:top w:val="single" w:sz="4" w:space="0" w:color="auto"/>
              <w:bottom w:val="single" w:sz="4" w:space="0" w:color="auto"/>
            </w:tcBorders>
            <w:shd w:val="clear" w:color="auto" w:fill="auto"/>
            <w:tcMar>
              <w:left w:w="40" w:type="dxa"/>
              <w:right w:w="40" w:type="dxa"/>
            </w:tcMar>
            <w:vAlign w:val="center"/>
          </w:tcPr>
          <w:p w14:paraId="5077509E" w14:textId="77777777" w:rsidR="00D84DFA" w:rsidRPr="00D84DFA" w:rsidRDefault="00D84DFA" w:rsidP="00D84DFA">
            <w:pPr>
              <w:widowControl/>
              <w:autoSpaceDE/>
              <w:autoSpaceDN/>
              <w:adjustRightInd/>
              <w:spacing w:before="40" w:after="40"/>
              <w:contextualSpacing/>
              <w:jc w:val="center"/>
              <w:rPr>
                <w:rFonts w:eastAsiaTheme="minorHAnsi" w:cstheme="minorBidi"/>
                <w:color w:val="000000"/>
                <w:sz w:val="22"/>
                <w:szCs w:val="24"/>
              </w:rPr>
            </w:pPr>
            <w:r w:rsidRPr="00D84DFA">
              <w:rPr>
                <w:rFonts w:eastAsiaTheme="minorHAnsi" w:cstheme="minorBidi"/>
                <w:color w:val="000000"/>
                <w:sz w:val="22"/>
                <w:szCs w:val="24"/>
              </w:rPr>
              <w:t>534</w:t>
            </w:r>
          </w:p>
        </w:tc>
      </w:tr>
      <w:tr w:rsidR="00D84DFA" w:rsidRPr="00D84DFA" w14:paraId="06C940EC" w14:textId="77777777" w:rsidTr="00C77DB2">
        <w:trPr>
          <w:cantSplit/>
          <w:trHeight w:hRule="exact" w:val="613"/>
          <w:jc w:val="center"/>
        </w:trPr>
        <w:tc>
          <w:tcPr>
            <w:tcW w:w="8640" w:type="dxa"/>
            <w:gridSpan w:val="3"/>
            <w:tcBorders>
              <w:top w:val="single" w:sz="4" w:space="0" w:color="auto"/>
            </w:tcBorders>
            <w:shd w:val="clear" w:color="auto" w:fill="auto"/>
            <w:tcMar>
              <w:left w:w="40" w:type="dxa"/>
              <w:right w:w="40" w:type="dxa"/>
            </w:tcMar>
            <w:vAlign w:val="center"/>
          </w:tcPr>
          <w:p w14:paraId="5A338D86" w14:textId="77777777" w:rsidR="00D84DFA" w:rsidRPr="00D84DFA" w:rsidRDefault="00D84DFA" w:rsidP="00D84DFA">
            <w:pPr>
              <w:widowControl/>
              <w:autoSpaceDE/>
              <w:autoSpaceDN/>
              <w:adjustRightInd/>
              <w:spacing w:before="40" w:after="40"/>
              <w:contextualSpacing/>
              <w:rPr>
                <w:rFonts w:eastAsiaTheme="minorHAnsi" w:cstheme="minorBidi"/>
                <w:color w:val="000000"/>
                <w:sz w:val="21"/>
                <w:szCs w:val="21"/>
              </w:rPr>
            </w:pPr>
            <w:r w:rsidRPr="00D84DFA">
              <w:rPr>
                <w:rFonts w:eastAsiaTheme="minorHAnsi" w:cstheme="minorBidi"/>
                <w:color w:val="000000"/>
                <w:sz w:val="21"/>
                <w:szCs w:val="21"/>
                <w:vertAlign w:val="superscript"/>
              </w:rPr>
              <w:t>†</w:t>
            </w:r>
            <w:r w:rsidRPr="00D84DFA">
              <w:rPr>
                <w:rFonts w:eastAsiaTheme="minorHAnsi" w:cstheme="minorBidi"/>
                <w:color w:val="000000"/>
                <w:sz w:val="21"/>
                <w:szCs w:val="21"/>
              </w:rPr>
              <w:t xml:space="preserve">The overall response rate cannot be inferred from this table, as the survey was sent to a supplemental web-only sample. </w:t>
            </w:r>
          </w:p>
        </w:tc>
      </w:tr>
    </w:tbl>
    <w:p w14:paraId="71CC5F25"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u w:val="single"/>
        </w:rPr>
      </w:pPr>
    </w:p>
    <w:p w14:paraId="5F6BD06A"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p>
    <w:p w14:paraId="46276898" w14:textId="139EE898" w:rsidR="00D84DFA" w:rsidRPr="00D84DFA" w:rsidRDefault="000D52EA" w:rsidP="00D84DFA">
      <w:pPr>
        <w:widowControl/>
        <w:tabs>
          <w:tab w:val="left" w:pos="720"/>
        </w:tabs>
        <w:autoSpaceDE/>
        <w:autoSpaceDN/>
        <w:adjustRightInd/>
        <w:spacing w:after="160"/>
        <w:contextualSpacing/>
        <w:rPr>
          <w:rFonts w:eastAsiaTheme="minorHAnsi" w:cstheme="minorBidi"/>
          <w:sz w:val="24"/>
          <w:szCs w:val="24"/>
          <w:u w:val="single"/>
        </w:rPr>
      </w:pPr>
      <w:r>
        <w:rPr>
          <w:rFonts w:eastAsiaTheme="minorHAnsi" w:cstheme="minorBidi"/>
          <w:sz w:val="24"/>
          <w:szCs w:val="24"/>
          <w:u w:val="single"/>
        </w:rPr>
        <w:t>Track A</w:t>
      </w:r>
      <w:r w:rsidR="00D84DFA" w:rsidRPr="00D84DFA">
        <w:rPr>
          <w:rFonts w:eastAsiaTheme="minorHAnsi" w:cstheme="minorBidi"/>
          <w:sz w:val="24"/>
          <w:szCs w:val="24"/>
          <w:u w:val="single"/>
        </w:rPr>
        <w:t>: Web survey to screened anglers who request web version of the NARFS</w:t>
      </w:r>
    </w:p>
    <w:p w14:paraId="70E4733F" w14:textId="6057D58D" w:rsidR="00D84DFA" w:rsidRDefault="00D84DFA" w:rsidP="00D84DFA">
      <w:pPr>
        <w:widowControl/>
        <w:tabs>
          <w:tab w:val="left" w:pos="720"/>
        </w:tabs>
        <w:autoSpaceDE/>
        <w:autoSpaceDN/>
        <w:adjustRightInd/>
        <w:spacing w:after="160"/>
        <w:contextualSpacing/>
        <w:rPr>
          <w:rFonts w:eastAsiaTheme="minorHAnsi" w:cstheme="minorBidi"/>
          <w:sz w:val="24"/>
          <w:szCs w:val="24"/>
        </w:rPr>
      </w:pPr>
      <w:r w:rsidRPr="00D84DFA">
        <w:rPr>
          <w:rFonts w:eastAsiaTheme="minorHAnsi" w:cstheme="minorBidi"/>
          <w:sz w:val="24"/>
          <w:szCs w:val="24"/>
        </w:rPr>
        <w:t>Those who indicate a preference for a web version will receive an email invitation to participate in the NARFS immediately after confirming their email contact information. The email will introduce the survey, demonstrate its relevance, encourage participation, and assure confidentiality invitation. It will include the follow information:</w:t>
      </w:r>
    </w:p>
    <w:p w14:paraId="24A8644E"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rPr>
      </w:pPr>
    </w:p>
    <w:p w14:paraId="07262489" w14:textId="77777777" w:rsidR="00D84DFA" w:rsidRPr="00D84DFA" w:rsidRDefault="00D84DFA" w:rsidP="00D84DFA">
      <w:pPr>
        <w:widowControl/>
        <w:numPr>
          <w:ilvl w:val="0"/>
          <w:numId w:val="22"/>
        </w:numPr>
        <w:autoSpaceDE/>
        <w:autoSpaceDN/>
        <w:adjustRightInd/>
        <w:spacing w:after="160"/>
        <w:contextualSpacing/>
        <w:rPr>
          <w:rFonts w:eastAsiaTheme="minorHAnsi" w:cstheme="minorBidi"/>
          <w:sz w:val="24"/>
          <w:szCs w:val="24"/>
        </w:rPr>
      </w:pPr>
      <w:r w:rsidRPr="00D84DFA">
        <w:rPr>
          <w:rFonts w:eastAsiaTheme="minorHAnsi" w:cstheme="minorBidi"/>
          <w:sz w:val="24"/>
          <w:szCs w:val="24"/>
        </w:rPr>
        <w:t>The survey’s purpose and how the results will be used;</w:t>
      </w:r>
    </w:p>
    <w:p w14:paraId="5D545DEE" w14:textId="77777777" w:rsidR="00D84DFA" w:rsidRPr="00D84DFA" w:rsidRDefault="00D84DFA" w:rsidP="00D84DFA">
      <w:pPr>
        <w:widowControl/>
        <w:numPr>
          <w:ilvl w:val="0"/>
          <w:numId w:val="22"/>
        </w:numPr>
        <w:autoSpaceDE/>
        <w:autoSpaceDN/>
        <w:adjustRightInd/>
        <w:spacing w:after="160"/>
        <w:contextualSpacing/>
        <w:rPr>
          <w:rFonts w:eastAsiaTheme="minorHAnsi" w:cstheme="minorBidi"/>
          <w:sz w:val="24"/>
          <w:szCs w:val="24"/>
        </w:rPr>
      </w:pPr>
      <w:r w:rsidRPr="00D84DFA">
        <w:rPr>
          <w:rFonts w:eastAsiaTheme="minorHAnsi" w:cstheme="minorBidi"/>
          <w:sz w:val="24"/>
          <w:szCs w:val="24"/>
        </w:rPr>
        <w:t>A request for the respondent’s participation and a statement of promised confidentiality or anonymity;</w:t>
      </w:r>
    </w:p>
    <w:p w14:paraId="08A45C37" w14:textId="77777777" w:rsidR="00D84DFA" w:rsidRPr="00D84DFA" w:rsidRDefault="00D84DFA" w:rsidP="00D84DFA">
      <w:pPr>
        <w:widowControl/>
        <w:numPr>
          <w:ilvl w:val="0"/>
          <w:numId w:val="22"/>
        </w:numPr>
        <w:autoSpaceDE/>
        <w:autoSpaceDN/>
        <w:adjustRightInd/>
        <w:spacing w:after="160"/>
        <w:contextualSpacing/>
        <w:rPr>
          <w:rFonts w:eastAsiaTheme="minorHAnsi" w:cstheme="minorBidi"/>
          <w:sz w:val="24"/>
          <w:szCs w:val="24"/>
        </w:rPr>
      </w:pPr>
      <w:r w:rsidRPr="00D84DFA">
        <w:rPr>
          <w:rFonts w:eastAsiaTheme="minorHAnsi" w:cstheme="minorBidi"/>
          <w:sz w:val="24"/>
          <w:szCs w:val="24"/>
        </w:rPr>
        <w:t>Detailed instructions for accessing the survey using a URL and unique passcode;</w:t>
      </w:r>
    </w:p>
    <w:p w14:paraId="40903E74" w14:textId="77777777" w:rsidR="00D84DFA" w:rsidRPr="00D84DFA" w:rsidRDefault="00D84DFA" w:rsidP="00D84DFA">
      <w:pPr>
        <w:widowControl/>
        <w:numPr>
          <w:ilvl w:val="0"/>
          <w:numId w:val="22"/>
        </w:numPr>
        <w:autoSpaceDE/>
        <w:autoSpaceDN/>
        <w:adjustRightInd/>
        <w:spacing w:after="160"/>
        <w:contextualSpacing/>
        <w:rPr>
          <w:rFonts w:eastAsiaTheme="minorHAnsi" w:cstheme="minorBidi"/>
          <w:sz w:val="24"/>
          <w:szCs w:val="24"/>
        </w:rPr>
      </w:pPr>
      <w:r w:rsidRPr="00D84DFA">
        <w:rPr>
          <w:rFonts w:eastAsiaTheme="minorHAnsi" w:cstheme="minorBidi"/>
          <w:sz w:val="24"/>
          <w:szCs w:val="24"/>
        </w:rPr>
        <w:t>A phone number and e-mail address to use for technical support or if a respondent has questions about the study’s validity.</w:t>
      </w:r>
    </w:p>
    <w:p w14:paraId="78B8CFFD" w14:textId="77777777" w:rsidR="00D84DFA" w:rsidRPr="00D84DFA" w:rsidRDefault="00D84DFA" w:rsidP="00D84DFA">
      <w:pPr>
        <w:widowControl/>
        <w:tabs>
          <w:tab w:val="left" w:pos="720"/>
        </w:tabs>
        <w:autoSpaceDE/>
        <w:autoSpaceDN/>
        <w:adjustRightInd/>
        <w:spacing w:after="160"/>
        <w:contextualSpacing/>
        <w:rPr>
          <w:rFonts w:eastAsiaTheme="minorHAnsi" w:cstheme="minorBidi"/>
          <w:sz w:val="24"/>
          <w:szCs w:val="24"/>
          <w:u w:val="single"/>
        </w:rPr>
      </w:pPr>
    </w:p>
    <w:p w14:paraId="773B2706" w14:textId="457F3946" w:rsidR="000D52EA" w:rsidRDefault="000D52EA" w:rsidP="00EB413D">
      <w:pPr>
        <w:widowControl/>
        <w:tabs>
          <w:tab w:val="left" w:pos="720"/>
        </w:tabs>
        <w:autoSpaceDE/>
        <w:autoSpaceDN/>
        <w:adjustRightInd/>
        <w:spacing w:after="160"/>
        <w:rPr>
          <w:rFonts w:eastAsiaTheme="minorHAnsi" w:cstheme="minorBidi"/>
          <w:sz w:val="24"/>
          <w:szCs w:val="24"/>
        </w:rPr>
      </w:pPr>
      <w:r w:rsidRPr="00EB413D">
        <w:rPr>
          <w:rFonts w:eastAsiaTheme="minorHAnsi" w:cstheme="minorBidi"/>
          <w:sz w:val="24"/>
          <w:szCs w:val="24"/>
        </w:rPr>
        <w:t xml:space="preserve">Subsequent contacts with Track A participants who do not respond to the initial email invitation are as follows: </w:t>
      </w:r>
    </w:p>
    <w:p w14:paraId="49B9C8CF" w14:textId="59733531" w:rsidR="000D52EA" w:rsidRPr="00EB413D" w:rsidRDefault="000D52EA" w:rsidP="00EB413D">
      <w:pPr>
        <w:pStyle w:val="ListParagraph"/>
        <w:widowControl/>
        <w:numPr>
          <w:ilvl w:val="0"/>
          <w:numId w:val="24"/>
        </w:numPr>
        <w:autoSpaceDE/>
        <w:autoSpaceDN/>
        <w:adjustRightInd/>
        <w:spacing w:after="160"/>
        <w:rPr>
          <w:rFonts w:eastAsiaTheme="minorHAnsi" w:cstheme="minorBidi"/>
          <w:sz w:val="24"/>
          <w:szCs w:val="24"/>
        </w:rPr>
      </w:pPr>
      <w:r w:rsidRPr="00EB413D">
        <w:rPr>
          <w:rFonts w:eastAsiaTheme="minorHAnsi" w:cstheme="minorBidi"/>
          <w:sz w:val="24"/>
          <w:szCs w:val="24"/>
        </w:rPr>
        <w:t xml:space="preserve">A reminder </w:t>
      </w:r>
      <w:r>
        <w:rPr>
          <w:rFonts w:eastAsiaTheme="minorHAnsi" w:cstheme="minorBidi"/>
          <w:sz w:val="24"/>
          <w:szCs w:val="24"/>
        </w:rPr>
        <w:t xml:space="preserve">email, which </w:t>
      </w:r>
      <w:r w:rsidRPr="00EB413D">
        <w:rPr>
          <w:rFonts w:eastAsiaTheme="minorHAnsi" w:cstheme="minorBidi"/>
          <w:sz w:val="24"/>
          <w:szCs w:val="24"/>
        </w:rPr>
        <w:t>reinforce</w:t>
      </w:r>
      <w:r>
        <w:rPr>
          <w:rFonts w:eastAsiaTheme="minorHAnsi" w:cstheme="minorBidi"/>
          <w:sz w:val="24"/>
          <w:szCs w:val="24"/>
        </w:rPr>
        <w:t>s</w:t>
      </w:r>
      <w:r w:rsidRPr="00EB413D">
        <w:rPr>
          <w:rFonts w:eastAsiaTheme="minorHAnsi" w:cstheme="minorBidi"/>
          <w:sz w:val="24"/>
          <w:szCs w:val="24"/>
        </w:rPr>
        <w:t xml:space="preserve"> the importance of the survey and remind</w:t>
      </w:r>
      <w:r>
        <w:rPr>
          <w:rFonts w:eastAsiaTheme="minorHAnsi" w:cstheme="minorBidi"/>
          <w:sz w:val="24"/>
          <w:szCs w:val="24"/>
        </w:rPr>
        <w:t>s</w:t>
      </w:r>
      <w:r w:rsidRPr="00EB413D">
        <w:rPr>
          <w:rFonts w:eastAsiaTheme="minorHAnsi" w:cstheme="minorBidi"/>
          <w:sz w:val="24"/>
          <w:szCs w:val="24"/>
        </w:rPr>
        <w:t xml:space="preserve"> those who did not respond about the survey. The reminder email will contain a web link to the survey.</w:t>
      </w:r>
    </w:p>
    <w:p w14:paraId="10B5791A" w14:textId="4ACE638C" w:rsidR="000D52EA" w:rsidRPr="000D52EA" w:rsidRDefault="000D52EA" w:rsidP="000D52EA">
      <w:pPr>
        <w:pStyle w:val="ListParagraph"/>
        <w:widowControl/>
        <w:numPr>
          <w:ilvl w:val="0"/>
          <w:numId w:val="24"/>
        </w:numPr>
        <w:autoSpaceDE/>
        <w:autoSpaceDN/>
        <w:adjustRightInd/>
        <w:spacing w:after="160"/>
        <w:rPr>
          <w:rFonts w:eastAsiaTheme="minorHAnsi" w:cstheme="minorBidi"/>
          <w:sz w:val="24"/>
          <w:szCs w:val="24"/>
        </w:rPr>
      </w:pPr>
      <w:r>
        <w:rPr>
          <w:rFonts w:eastAsiaTheme="minorHAnsi" w:cstheme="minorBidi"/>
          <w:sz w:val="24"/>
          <w:szCs w:val="24"/>
        </w:rPr>
        <w:t xml:space="preserve">A reminder letter, which </w:t>
      </w:r>
      <w:r w:rsidR="00D37C89" w:rsidRPr="000D52EA">
        <w:rPr>
          <w:rFonts w:eastAsiaTheme="minorHAnsi" w:cstheme="minorBidi"/>
          <w:sz w:val="24"/>
          <w:szCs w:val="24"/>
        </w:rPr>
        <w:t>reinforce</w:t>
      </w:r>
      <w:r w:rsidR="00D37C89">
        <w:rPr>
          <w:rFonts w:eastAsiaTheme="minorHAnsi" w:cstheme="minorBidi"/>
          <w:sz w:val="24"/>
          <w:szCs w:val="24"/>
        </w:rPr>
        <w:t>s</w:t>
      </w:r>
      <w:r w:rsidR="00D37C89" w:rsidRPr="000D52EA">
        <w:rPr>
          <w:rFonts w:eastAsiaTheme="minorHAnsi" w:cstheme="minorBidi"/>
          <w:sz w:val="24"/>
          <w:szCs w:val="24"/>
        </w:rPr>
        <w:t xml:space="preserve"> </w:t>
      </w:r>
      <w:r w:rsidRPr="000D52EA">
        <w:rPr>
          <w:rFonts w:eastAsiaTheme="minorHAnsi" w:cstheme="minorBidi"/>
          <w:sz w:val="24"/>
          <w:szCs w:val="24"/>
        </w:rPr>
        <w:t>the importance of the survey and remind</w:t>
      </w:r>
      <w:r>
        <w:rPr>
          <w:rFonts w:eastAsiaTheme="minorHAnsi" w:cstheme="minorBidi"/>
          <w:sz w:val="24"/>
          <w:szCs w:val="24"/>
        </w:rPr>
        <w:t>s</w:t>
      </w:r>
      <w:r w:rsidRPr="000D52EA">
        <w:rPr>
          <w:rFonts w:eastAsiaTheme="minorHAnsi" w:cstheme="minorBidi"/>
          <w:sz w:val="24"/>
          <w:szCs w:val="24"/>
        </w:rPr>
        <w:t xml:space="preserve"> those who did not respond about the survey. The reminder letter</w:t>
      </w:r>
      <w:r w:rsidR="00292FD8">
        <w:rPr>
          <w:rFonts w:eastAsiaTheme="minorHAnsi" w:cstheme="minorBidi"/>
          <w:sz w:val="24"/>
          <w:szCs w:val="24"/>
        </w:rPr>
        <w:t>s</w:t>
      </w:r>
      <w:r w:rsidRPr="000D52EA">
        <w:rPr>
          <w:rFonts w:eastAsiaTheme="minorHAnsi" w:cstheme="minorBidi"/>
          <w:sz w:val="24"/>
          <w:szCs w:val="24"/>
        </w:rPr>
        <w:t xml:space="preserve"> will contain a web address</w:t>
      </w:r>
      <w:r w:rsidR="00292FD8">
        <w:rPr>
          <w:rFonts w:eastAsiaTheme="minorHAnsi" w:cstheme="minorBidi"/>
          <w:sz w:val="24"/>
          <w:szCs w:val="24"/>
        </w:rPr>
        <w:t xml:space="preserve"> to access the survey; some will also include a </w:t>
      </w:r>
      <w:r>
        <w:rPr>
          <w:rFonts w:eastAsiaTheme="minorHAnsi" w:cstheme="minorBidi"/>
          <w:sz w:val="24"/>
          <w:szCs w:val="24"/>
        </w:rPr>
        <w:t>$2 incentive.</w:t>
      </w:r>
    </w:p>
    <w:p w14:paraId="74E45578" w14:textId="200D09A2" w:rsidR="000D52EA" w:rsidRPr="000D52EA" w:rsidRDefault="000D52EA" w:rsidP="000D52EA">
      <w:pPr>
        <w:pStyle w:val="ListParagraph"/>
        <w:widowControl/>
        <w:numPr>
          <w:ilvl w:val="0"/>
          <w:numId w:val="24"/>
        </w:numPr>
        <w:autoSpaceDE/>
        <w:autoSpaceDN/>
        <w:adjustRightInd/>
        <w:spacing w:after="160"/>
        <w:rPr>
          <w:rFonts w:eastAsiaTheme="minorHAnsi" w:cstheme="minorBidi"/>
          <w:sz w:val="24"/>
          <w:szCs w:val="24"/>
        </w:rPr>
      </w:pPr>
      <w:r>
        <w:rPr>
          <w:rFonts w:eastAsiaTheme="minorHAnsi" w:cstheme="minorBidi"/>
          <w:sz w:val="24"/>
          <w:szCs w:val="24"/>
        </w:rPr>
        <w:t>A</w:t>
      </w:r>
      <w:r w:rsidRPr="000D52EA">
        <w:rPr>
          <w:rFonts w:eastAsiaTheme="minorHAnsi" w:cstheme="minorBidi"/>
          <w:sz w:val="24"/>
          <w:szCs w:val="24"/>
        </w:rPr>
        <w:t xml:space="preserve"> </w:t>
      </w:r>
      <w:r>
        <w:rPr>
          <w:rFonts w:eastAsiaTheme="minorHAnsi" w:cstheme="minorBidi"/>
          <w:sz w:val="24"/>
          <w:szCs w:val="24"/>
        </w:rPr>
        <w:t xml:space="preserve">mail package that includes s </w:t>
      </w:r>
      <w:r w:rsidRPr="000D52EA">
        <w:rPr>
          <w:rFonts w:eastAsiaTheme="minorHAnsi" w:cstheme="minorBidi"/>
          <w:sz w:val="24"/>
          <w:szCs w:val="24"/>
        </w:rPr>
        <w:t>paper version of the</w:t>
      </w:r>
      <w:r>
        <w:rPr>
          <w:rFonts w:eastAsiaTheme="minorHAnsi" w:cstheme="minorBidi"/>
          <w:sz w:val="24"/>
          <w:szCs w:val="24"/>
        </w:rPr>
        <w:t xml:space="preserve"> NARFS and a cover letter explaining </w:t>
      </w:r>
      <w:r w:rsidR="00301313">
        <w:rPr>
          <w:rFonts w:eastAsiaTheme="minorHAnsi" w:cstheme="minorBidi"/>
          <w:sz w:val="24"/>
          <w:szCs w:val="24"/>
        </w:rPr>
        <w:t>t</w:t>
      </w:r>
      <w:r>
        <w:rPr>
          <w:rFonts w:eastAsiaTheme="minorHAnsi" w:cstheme="minorBidi"/>
          <w:sz w:val="24"/>
          <w:szCs w:val="24"/>
        </w:rPr>
        <w:t xml:space="preserve">he importance of the survey. </w:t>
      </w:r>
    </w:p>
    <w:p w14:paraId="4E49EEFF" w14:textId="168C885F" w:rsidR="00ED5E08" w:rsidRDefault="00ED5E08" w:rsidP="00D84DFA">
      <w:pPr>
        <w:widowControl/>
        <w:tabs>
          <w:tab w:val="left" w:pos="720"/>
        </w:tabs>
        <w:autoSpaceDE/>
        <w:autoSpaceDN/>
        <w:adjustRightInd/>
        <w:spacing w:after="160"/>
        <w:contextualSpacing/>
        <w:rPr>
          <w:rFonts w:eastAsiaTheme="minorHAnsi" w:cstheme="minorBidi"/>
          <w:sz w:val="24"/>
          <w:szCs w:val="24"/>
          <w:u w:val="single"/>
        </w:rPr>
      </w:pPr>
    </w:p>
    <w:p w14:paraId="285870B7" w14:textId="77777777" w:rsidR="006E34C4" w:rsidRDefault="006E34C4" w:rsidP="00D84DFA">
      <w:pPr>
        <w:widowControl/>
        <w:tabs>
          <w:tab w:val="left" w:pos="720"/>
        </w:tabs>
        <w:autoSpaceDE/>
        <w:autoSpaceDN/>
        <w:adjustRightInd/>
        <w:spacing w:after="160"/>
        <w:contextualSpacing/>
        <w:rPr>
          <w:rFonts w:eastAsiaTheme="minorHAnsi" w:cstheme="minorBidi"/>
          <w:sz w:val="24"/>
          <w:szCs w:val="24"/>
          <w:u w:val="single"/>
        </w:rPr>
      </w:pPr>
    </w:p>
    <w:p w14:paraId="651013AB" w14:textId="5D482ABA" w:rsidR="00D84DFA" w:rsidRPr="00D84DFA" w:rsidRDefault="00301313" w:rsidP="00D84DFA">
      <w:pPr>
        <w:widowControl/>
        <w:tabs>
          <w:tab w:val="left" w:pos="720"/>
        </w:tabs>
        <w:autoSpaceDE/>
        <w:autoSpaceDN/>
        <w:adjustRightInd/>
        <w:spacing w:after="160"/>
        <w:contextualSpacing/>
        <w:rPr>
          <w:rFonts w:eastAsiaTheme="minorHAnsi" w:cstheme="minorBidi"/>
          <w:sz w:val="24"/>
          <w:szCs w:val="24"/>
          <w:u w:val="single"/>
        </w:rPr>
      </w:pPr>
      <w:r>
        <w:rPr>
          <w:rFonts w:eastAsiaTheme="minorHAnsi" w:cstheme="minorBidi"/>
          <w:sz w:val="24"/>
          <w:szCs w:val="24"/>
          <w:u w:val="single"/>
        </w:rPr>
        <w:t>Track B</w:t>
      </w:r>
      <w:r w:rsidR="00D84DFA" w:rsidRPr="00D84DFA">
        <w:rPr>
          <w:rFonts w:eastAsiaTheme="minorHAnsi" w:cstheme="minorBidi"/>
          <w:sz w:val="24"/>
          <w:szCs w:val="24"/>
          <w:u w:val="single"/>
        </w:rPr>
        <w:t>: Mail survey to screened anglers who request mail version of the NARFS</w:t>
      </w:r>
    </w:p>
    <w:p w14:paraId="50BB6CE0" w14:textId="301C97D0" w:rsidR="00301313" w:rsidRDefault="00D84DFA" w:rsidP="00301313">
      <w:pPr>
        <w:widowControl/>
        <w:tabs>
          <w:tab w:val="left" w:pos="720"/>
        </w:tabs>
        <w:autoSpaceDE/>
        <w:autoSpaceDN/>
        <w:adjustRightInd/>
        <w:spacing w:after="160"/>
        <w:rPr>
          <w:rFonts w:eastAsiaTheme="minorHAnsi" w:cstheme="minorBidi"/>
          <w:sz w:val="24"/>
          <w:szCs w:val="24"/>
        </w:rPr>
      </w:pPr>
      <w:r w:rsidRPr="00D84DFA">
        <w:rPr>
          <w:rFonts w:eastAsiaTheme="minorHAnsi" w:cstheme="minorBidi"/>
          <w:sz w:val="24"/>
          <w:szCs w:val="24"/>
        </w:rPr>
        <w:t>Eligible respondents who complete the telephone pre-screening interview and request mail version of the survey will receive a NARFS survey</w:t>
      </w:r>
      <w:r w:rsidR="00DD2A4F">
        <w:rPr>
          <w:rFonts w:eastAsiaTheme="minorHAnsi" w:cstheme="minorBidi"/>
          <w:sz w:val="24"/>
          <w:szCs w:val="24"/>
        </w:rPr>
        <w:t xml:space="preserve"> in the mail; some of these respondent will also receive a </w:t>
      </w:r>
      <w:r w:rsidRPr="00D84DFA">
        <w:rPr>
          <w:rFonts w:eastAsiaTheme="minorHAnsi" w:cstheme="minorBidi"/>
          <w:sz w:val="24"/>
          <w:szCs w:val="24"/>
        </w:rPr>
        <w:t xml:space="preserve">$2 incentive </w:t>
      </w:r>
      <w:r w:rsidR="00DD2A4F">
        <w:rPr>
          <w:rFonts w:eastAsiaTheme="minorHAnsi" w:cstheme="minorBidi"/>
          <w:sz w:val="24"/>
          <w:szCs w:val="24"/>
        </w:rPr>
        <w:t>with this survey package</w:t>
      </w:r>
      <w:r w:rsidR="00301313">
        <w:rPr>
          <w:rFonts w:eastAsiaTheme="minorHAnsi" w:cstheme="minorBidi"/>
          <w:sz w:val="24"/>
          <w:szCs w:val="24"/>
        </w:rPr>
        <w:t xml:space="preserve">. </w:t>
      </w:r>
      <w:r w:rsidR="00301313" w:rsidRPr="00CE51D4">
        <w:rPr>
          <w:rFonts w:eastAsiaTheme="minorHAnsi" w:cstheme="minorBidi"/>
          <w:sz w:val="24"/>
          <w:szCs w:val="24"/>
        </w:rPr>
        <w:t xml:space="preserve">Subsequent contacts with Track A participants who do not </w:t>
      </w:r>
      <w:r w:rsidR="00301313">
        <w:rPr>
          <w:rFonts w:eastAsiaTheme="minorHAnsi" w:cstheme="minorBidi"/>
          <w:sz w:val="24"/>
          <w:szCs w:val="24"/>
        </w:rPr>
        <w:t xml:space="preserve">complete initial survey </w:t>
      </w:r>
      <w:r w:rsidR="00301313" w:rsidRPr="00CE51D4">
        <w:rPr>
          <w:rFonts w:eastAsiaTheme="minorHAnsi" w:cstheme="minorBidi"/>
          <w:sz w:val="24"/>
          <w:szCs w:val="24"/>
        </w:rPr>
        <w:t>mail</w:t>
      </w:r>
      <w:r w:rsidR="00301313">
        <w:rPr>
          <w:rFonts w:eastAsiaTheme="minorHAnsi" w:cstheme="minorBidi"/>
          <w:sz w:val="24"/>
          <w:szCs w:val="24"/>
        </w:rPr>
        <w:t>ing</w:t>
      </w:r>
      <w:r w:rsidR="00301313" w:rsidRPr="00CE51D4">
        <w:rPr>
          <w:rFonts w:eastAsiaTheme="minorHAnsi" w:cstheme="minorBidi"/>
          <w:sz w:val="24"/>
          <w:szCs w:val="24"/>
        </w:rPr>
        <w:t xml:space="preserve"> are as follows: </w:t>
      </w:r>
    </w:p>
    <w:p w14:paraId="0C3F2139" w14:textId="5BEE061C" w:rsidR="00301313" w:rsidRPr="000D52EA" w:rsidRDefault="00301313" w:rsidP="00301313">
      <w:pPr>
        <w:pStyle w:val="ListParagraph"/>
        <w:widowControl/>
        <w:numPr>
          <w:ilvl w:val="0"/>
          <w:numId w:val="25"/>
        </w:numPr>
        <w:autoSpaceDE/>
        <w:autoSpaceDN/>
        <w:adjustRightInd/>
        <w:spacing w:after="160"/>
        <w:rPr>
          <w:rFonts w:eastAsiaTheme="minorHAnsi" w:cstheme="minorBidi"/>
          <w:sz w:val="24"/>
          <w:szCs w:val="24"/>
        </w:rPr>
      </w:pPr>
      <w:r>
        <w:rPr>
          <w:rFonts w:eastAsiaTheme="minorHAnsi" w:cstheme="minorBidi"/>
          <w:sz w:val="24"/>
          <w:szCs w:val="24"/>
        </w:rPr>
        <w:t xml:space="preserve">A reminder letter, which </w:t>
      </w:r>
      <w:r w:rsidR="00D37C89" w:rsidRPr="000D52EA">
        <w:rPr>
          <w:rFonts w:eastAsiaTheme="minorHAnsi" w:cstheme="minorBidi"/>
          <w:sz w:val="24"/>
          <w:szCs w:val="24"/>
        </w:rPr>
        <w:t>reinforce</w:t>
      </w:r>
      <w:r w:rsidR="00D37C89">
        <w:rPr>
          <w:rFonts w:eastAsiaTheme="minorHAnsi" w:cstheme="minorBidi"/>
          <w:sz w:val="24"/>
          <w:szCs w:val="24"/>
        </w:rPr>
        <w:t>s</w:t>
      </w:r>
      <w:r w:rsidR="00D37C89" w:rsidRPr="000D52EA">
        <w:rPr>
          <w:rFonts w:eastAsiaTheme="minorHAnsi" w:cstheme="minorBidi"/>
          <w:sz w:val="24"/>
          <w:szCs w:val="24"/>
        </w:rPr>
        <w:t xml:space="preserve"> </w:t>
      </w:r>
      <w:r w:rsidRPr="000D52EA">
        <w:rPr>
          <w:rFonts w:eastAsiaTheme="minorHAnsi" w:cstheme="minorBidi"/>
          <w:sz w:val="24"/>
          <w:szCs w:val="24"/>
        </w:rPr>
        <w:t>the importance of the survey and remind</w:t>
      </w:r>
      <w:r>
        <w:rPr>
          <w:rFonts w:eastAsiaTheme="minorHAnsi" w:cstheme="minorBidi"/>
          <w:sz w:val="24"/>
          <w:szCs w:val="24"/>
        </w:rPr>
        <w:t>s</w:t>
      </w:r>
      <w:r w:rsidRPr="000D52EA">
        <w:rPr>
          <w:rFonts w:eastAsiaTheme="minorHAnsi" w:cstheme="minorBidi"/>
          <w:sz w:val="24"/>
          <w:szCs w:val="24"/>
        </w:rPr>
        <w:t xml:space="preserve"> those who did not respond about the survey. The reminder letter will contain a web address</w:t>
      </w:r>
      <w:r>
        <w:rPr>
          <w:rFonts w:eastAsiaTheme="minorHAnsi" w:cstheme="minorBidi"/>
          <w:sz w:val="24"/>
          <w:szCs w:val="24"/>
        </w:rPr>
        <w:t xml:space="preserve"> to access the survey online.</w:t>
      </w:r>
    </w:p>
    <w:p w14:paraId="5F402992" w14:textId="24E69340" w:rsidR="00301313" w:rsidRDefault="00301313" w:rsidP="00EB413D">
      <w:pPr>
        <w:pStyle w:val="ListParagraph"/>
        <w:widowControl/>
        <w:numPr>
          <w:ilvl w:val="0"/>
          <w:numId w:val="25"/>
        </w:numPr>
        <w:tabs>
          <w:tab w:val="left" w:pos="720"/>
        </w:tabs>
        <w:autoSpaceDE/>
        <w:autoSpaceDN/>
        <w:adjustRightInd/>
        <w:spacing w:after="160"/>
        <w:rPr>
          <w:rFonts w:eastAsiaTheme="minorHAnsi" w:cstheme="minorBidi"/>
          <w:sz w:val="24"/>
          <w:szCs w:val="24"/>
        </w:rPr>
      </w:pPr>
      <w:r w:rsidRPr="00CE51D4">
        <w:rPr>
          <w:rFonts w:eastAsiaTheme="minorHAnsi" w:cstheme="minorBidi"/>
          <w:sz w:val="24"/>
          <w:szCs w:val="24"/>
        </w:rPr>
        <w:t xml:space="preserve">A reminder </w:t>
      </w:r>
      <w:r>
        <w:rPr>
          <w:rFonts w:eastAsiaTheme="minorHAnsi" w:cstheme="minorBidi"/>
          <w:sz w:val="24"/>
          <w:szCs w:val="24"/>
        </w:rPr>
        <w:t xml:space="preserve">email, which </w:t>
      </w:r>
      <w:r w:rsidRPr="00CE51D4">
        <w:rPr>
          <w:rFonts w:eastAsiaTheme="minorHAnsi" w:cstheme="minorBidi"/>
          <w:sz w:val="24"/>
          <w:szCs w:val="24"/>
        </w:rPr>
        <w:t>reinforce</w:t>
      </w:r>
      <w:r>
        <w:rPr>
          <w:rFonts w:eastAsiaTheme="minorHAnsi" w:cstheme="minorBidi"/>
          <w:sz w:val="24"/>
          <w:szCs w:val="24"/>
        </w:rPr>
        <w:t>s</w:t>
      </w:r>
      <w:r w:rsidRPr="00CE51D4">
        <w:rPr>
          <w:rFonts w:eastAsiaTheme="minorHAnsi" w:cstheme="minorBidi"/>
          <w:sz w:val="24"/>
          <w:szCs w:val="24"/>
        </w:rPr>
        <w:t xml:space="preserve"> the importance of the survey and remind</w:t>
      </w:r>
      <w:r>
        <w:rPr>
          <w:rFonts w:eastAsiaTheme="minorHAnsi" w:cstheme="minorBidi"/>
          <w:sz w:val="24"/>
          <w:szCs w:val="24"/>
        </w:rPr>
        <w:t>s</w:t>
      </w:r>
      <w:r w:rsidRPr="00CE51D4">
        <w:rPr>
          <w:rFonts w:eastAsiaTheme="minorHAnsi" w:cstheme="minorBidi"/>
          <w:sz w:val="24"/>
          <w:szCs w:val="24"/>
        </w:rPr>
        <w:t xml:space="preserve"> those who did not respond about the survey. The reminder email will contain a web link to the survey</w:t>
      </w:r>
      <w:r>
        <w:rPr>
          <w:rFonts w:eastAsiaTheme="minorHAnsi" w:cstheme="minorBidi"/>
          <w:sz w:val="24"/>
          <w:szCs w:val="24"/>
        </w:rPr>
        <w:t xml:space="preserve">. </w:t>
      </w:r>
    </w:p>
    <w:p w14:paraId="3CABD252" w14:textId="6CA6076F" w:rsidR="00301313" w:rsidRPr="00EB413D" w:rsidRDefault="00301313" w:rsidP="00EB413D">
      <w:pPr>
        <w:pStyle w:val="ListParagraph"/>
        <w:widowControl/>
        <w:numPr>
          <w:ilvl w:val="0"/>
          <w:numId w:val="25"/>
        </w:numPr>
        <w:tabs>
          <w:tab w:val="left" w:pos="720"/>
        </w:tabs>
        <w:autoSpaceDE/>
        <w:autoSpaceDN/>
        <w:adjustRightInd/>
        <w:spacing w:after="160"/>
        <w:rPr>
          <w:rFonts w:eastAsiaTheme="minorHAnsi" w:cstheme="minorBidi"/>
          <w:sz w:val="24"/>
          <w:szCs w:val="24"/>
        </w:rPr>
      </w:pPr>
      <w:r>
        <w:rPr>
          <w:rFonts w:eastAsiaTheme="minorHAnsi" w:cstheme="minorBidi"/>
          <w:sz w:val="24"/>
          <w:szCs w:val="24"/>
        </w:rPr>
        <w:t>A final reminder letter.</w:t>
      </w:r>
    </w:p>
    <w:p w14:paraId="5E0328D2" w14:textId="7D7964BA" w:rsidR="00ED5E08" w:rsidRDefault="00ED5E08" w:rsidP="00EB413D">
      <w:pPr>
        <w:widowControl/>
        <w:tabs>
          <w:tab w:val="left" w:pos="720"/>
        </w:tabs>
        <w:autoSpaceDE/>
        <w:autoSpaceDN/>
        <w:adjustRightInd/>
        <w:spacing w:after="160"/>
        <w:contextualSpacing/>
        <w:rPr>
          <w:rFonts w:eastAsiaTheme="minorHAnsi" w:cstheme="minorBidi"/>
          <w:sz w:val="24"/>
          <w:szCs w:val="24"/>
          <w:u w:val="single"/>
        </w:rPr>
      </w:pPr>
    </w:p>
    <w:p w14:paraId="351A3220" w14:textId="77777777" w:rsidR="006E34C4" w:rsidRDefault="006E34C4" w:rsidP="00EB413D">
      <w:pPr>
        <w:widowControl/>
        <w:tabs>
          <w:tab w:val="left" w:pos="720"/>
        </w:tabs>
        <w:autoSpaceDE/>
        <w:autoSpaceDN/>
        <w:adjustRightInd/>
        <w:spacing w:after="160"/>
        <w:contextualSpacing/>
        <w:rPr>
          <w:rFonts w:eastAsiaTheme="minorHAnsi" w:cstheme="minorBidi"/>
          <w:sz w:val="24"/>
          <w:szCs w:val="24"/>
          <w:u w:val="single"/>
        </w:rPr>
      </w:pPr>
    </w:p>
    <w:p w14:paraId="7D7943C1" w14:textId="34A2205A" w:rsidR="00301313" w:rsidRDefault="00301313" w:rsidP="00EB413D">
      <w:pPr>
        <w:widowControl/>
        <w:tabs>
          <w:tab w:val="left" w:pos="720"/>
        </w:tabs>
        <w:autoSpaceDE/>
        <w:autoSpaceDN/>
        <w:adjustRightInd/>
        <w:spacing w:after="160"/>
        <w:contextualSpacing/>
        <w:rPr>
          <w:rFonts w:eastAsiaTheme="minorHAnsi" w:cstheme="minorBidi"/>
          <w:sz w:val="24"/>
          <w:szCs w:val="24"/>
          <w:u w:val="single"/>
        </w:rPr>
      </w:pPr>
      <w:r w:rsidRPr="00EB413D">
        <w:rPr>
          <w:rFonts w:eastAsiaTheme="minorHAnsi" w:cstheme="minorBidi"/>
          <w:sz w:val="24"/>
          <w:szCs w:val="24"/>
          <w:u w:val="single"/>
        </w:rPr>
        <w:t>T</w:t>
      </w:r>
      <w:r>
        <w:rPr>
          <w:rFonts w:eastAsiaTheme="minorHAnsi" w:cstheme="minorBidi"/>
          <w:sz w:val="24"/>
          <w:szCs w:val="24"/>
          <w:u w:val="single"/>
        </w:rPr>
        <w:t>rack E</w:t>
      </w:r>
      <w:r w:rsidRPr="00EB413D">
        <w:rPr>
          <w:rFonts w:eastAsiaTheme="minorHAnsi" w:cstheme="minorBidi"/>
          <w:sz w:val="24"/>
          <w:szCs w:val="24"/>
          <w:u w:val="single"/>
        </w:rPr>
        <w:t>: Mail survey to screened anglers who request mail version of the NARFS</w:t>
      </w:r>
      <w:r>
        <w:rPr>
          <w:rFonts w:eastAsiaTheme="minorHAnsi" w:cstheme="minorBidi"/>
          <w:sz w:val="24"/>
          <w:szCs w:val="24"/>
          <w:u w:val="single"/>
        </w:rPr>
        <w:t xml:space="preserve"> and do not confirm email address</w:t>
      </w:r>
    </w:p>
    <w:p w14:paraId="4966D530" w14:textId="7FFEDDB1" w:rsidR="00301313" w:rsidRDefault="00301313" w:rsidP="00EB413D">
      <w:pPr>
        <w:widowControl/>
        <w:autoSpaceDE/>
        <w:autoSpaceDN/>
        <w:adjustRightInd/>
        <w:spacing w:after="160"/>
        <w:contextualSpacing/>
        <w:rPr>
          <w:rFonts w:eastAsiaTheme="minorHAnsi" w:cstheme="minorBidi"/>
          <w:sz w:val="24"/>
          <w:szCs w:val="24"/>
        </w:rPr>
      </w:pPr>
      <w:r>
        <w:rPr>
          <w:rFonts w:eastAsiaTheme="minorHAnsi" w:cstheme="minorBidi"/>
          <w:sz w:val="24"/>
          <w:szCs w:val="24"/>
        </w:rPr>
        <w:t xml:space="preserve">Eligible respondents </w:t>
      </w:r>
      <w:r w:rsidRPr="00D84DFA">
        <w:rPr>
          <w:rFonts w:eastAsiaTheme="minorHAnsi" w:cstheme="minorBidi"/>
          <w:sz w:val="24"/>
          <w:szCs w:val="24"/>
        </w:rPr>
        <w:t>who complete the te</w:t>
      </w:r>
      <w:r>
        <w:rPr>
          <w:rFonts w:eastAsiaTheme="minorHAnsi" w:cstheme="minorBidi"/>
          <w:sz w:val="24"/>
          <w:szCs w:val="24"/>
        </w:rPr>
        <w:t xml:space="preserve">lephone pre-screening interview, do not confirm their email address, and </w:t>
      </w:r>
      <w:r w:rsidRPr="00D84DFA">
        <w:rPr>
          <w:rFonts w:eastAsiaTheme="minorHAnsi" w:cstheme="minorBidi"/>
          <w:sz w:val="24"/>
          <w:szCs w:val="24"/>
        </w:rPr>
        <w:t xml:space="preserve">request mail version of the survey will receive a NARFS survey </w:t>
      </w:r>
      <w:r>
        <w:rPr>
          <w:rFonts w:eastAsiaTheme="minorHAnsi" w:cstheme="minorBidi"/>
          <w:sz w:val="24"/>
          <w:szCs w:val="24"/>
        </w:rPr>
        <w:t>mail</w:t>
      </w:r>
      <w:r w:rsidR="00292FD8">
        <w:rPr>
          <w:rFonts w:eastAsiaTheme="minorHAnsi" w:cstheme="minorBidi"/>
          <w:sz w:val="24"/>
          <w:szCs w:val="24"/>
        </w:rPr>
        <w:t>; some of the mailings will include a $2 incentive</w:t>
      </w:r>
      <w:r>
        <w:rPr>
          <w:rFonts w:eastAsiaTheme="minorHAnsi" w:cstheme="minorBidi"/>
          <w:sz w:val="24"/>
          <w:szCs w:val="24"/>
        </w:rPr>
        <w:t xml:space="preserve">. </w:t>
      </w:r>
      <w:r w:rsidR="00ED5E08">
        <w:rPr>
          <w:rFonts w:eastAsiaTheme="minorHAnsi" w:cstheme="minorBidi"/>
          <w:sz w:val="24"/>
          <w:szCs w:val="24"/>
        </w:rPr>
        <w:t xml:space="preserve">Subsequent contacts </w:t>
      </w:r>
      <w:r>
        <w:rPr>
          <w:rFonts w:eastAsiaTheme="minorHAnsi" w:cstheme="minorBidi"/>
          <w:sz w:val="24"/>
          <w:szCs w:val="24"/>
        </w:rPr>
        <w:t xml:space="preserve">with Track E </w:t>
      </w:r>
      <w:r w:rsidRPr="00CE51D4">
        <w:rPr>
          <w:rFonts w:eastAsiaTheme="minorHAnsi" w:cstheme="minorBidi"/>
          <w:sz w:val="24"/>
          <w:szCs w:val="24"/>
        </w:rPr>
        <w:t xml:space="preserve">participants who do not </w:t>
      </w:r>
      <w:r>
        <w:rPr>
          <w:rFonts w:eastAsiaTheme="minorHAnsi" w:cstheme="minorBidi"/>
          <w:sz w:val="24"/>
          <w:szCs w:val="24"/>
        </w:rPr>
        <w:t xml:space="preserve">complete initial survey </w:t>
      </w:r>
      <w:r w:rsidRPr="00CE51D4">
        <w:rPr>
          <w:rFonts w:eastAsiaTheme="minorHAnsi" w:cstheme="minorBidi"/>
          <w:sz w:val="24"/>
          <w:szCs w:val="24"/>
        </w:rPr>
        <w:t>mail</w:t>
      </w:r>
      <w:r>
        <w:rPr>
          <w:rFonts w:eastAsiaTheme="minorHAnsi" w:cstheme="minorBidi"/>
          <w:sz w:val="24"/>
          <w:szCs w:val="24"/>
        </w:rPr>
        <w:t>ing</w:t>
      </w:r>
      <w:r w:rsidRPr="00CE51D4">
        <w:rPr>
          <w:rFonts w:eastAsiaTheme="minorHAnsi" w:cstheme="minorBidi"/>
          <w:sz w:val="24"/>
          <w:szCs w:val="24"/>
        </w:rPr>
        <w:t xml:space="preserve"> are</w:t>
      </w:r>
      <w:r>
        <w:rPr>
          <w:rFonts w:eastAsiaTheme="minorHAnsi" w:cstheme="minorBidi"/>
          <w:sz w:val="24"/>
          <w:szCs w:val="24"/>
        </w:rPr>
        <w:t xml:space="preserve"> similar to those in Track B, with the exception that these participants will not receive a reminder email. </w:t>
      </w:r>
    </w:p>
    <w:p w14:paraId="52EB3612" w14:textId="0BE99B17" w:rsidR="00ED5E08" w:rsidRDefault="00ED5E08" w:rsidP="00301313">
      <w:pPr>
        <w:widowControl/>
        <w:autoSpaceDE/>
        <w:autoSpaceDN/>
        <w:adjustRightInd/>
        <w:spacing w:after="160"/>
        <w:contextualSpacing/>
        <w:rPr>
          <w:rFonts w:eastAsiaTheme="minorHAnsi" w:cstheme="minorBidi"/>
          <w:sz w:val="24"/>
          <w:szCs w:val="24"/>
        </w:rPr>
      </w:pPr>
    </w:p>
    <w:p w14:paraId="1BEF81DF" w14:textId="77777777" w:rsidR="006E34C4" w:rsidRPr="00D84DFA" w:rsidRDefault="006E34C4" w:rsidP="00301313">
      <w:pPr>
        <w:widowControl/>
        <w:autoSpaceDE/>
        <w:autoSpaceDN/>
        <w:adjustRightInd/>
        <w:spacing w:after="160"/>
        <w:contextualSpacing/>
        <w:rPr>
          <w:rFonts w:eastAsiaTheme="minorHAnsi" w:cstheme="minorBidi"/>
          <w:sz w:val="24"/>
          <w:szCs w:val="24"/>
        </w:rPr>
      </w:pPr>
    </w:p>
    <w:p w14:paraId="51094EED" w14:textId="6B7160D7" w:rsidR="00301313" w:rsidRPr="00D84DFA" w:rsidRDefault="00301313" w:rsidP="00301313">
      <w:pPr>
        <w:widowControl/>
        <w:tabs>
          <w:tab w:val="left" w:pos="720"/>
        </w:tabs>
        <w:autoSpaceDE/>
        <w:autoSpaceDN/>
        <w:adjustRightInd/>
        <w:spacing w:after="160"/>
        <w:contextualSpacing/>
        <w:rPr>
          <w:rFonts w:eastAsiaTheme="minorHAnsi" w:cstheme="minorBidi"/>
          <w:sz w:val="24"/>
          <w:szCs w:val="24"/>
          <w:u w:val="single"/>
        </w:rPr>
      </w:pPr>
      <w:r>
        <w:rPr>
          <w:rFonts w:eastAsiaTheme="minorHAnsi" w:cstheme="minorBidi"/>
          <w:sz w:val="24"/>
          <w:szCs w:val="24"/>
          <w:u w:val="single"/>
        </w:rPr>
        <w:t>Track C</w:t>
      </w:r>
      <w:r w:rsidRPr="00D84DFA">
        <w:rPr>
          <w:rFonts w:eastAsiaTheme="minorHAnsi" w:cstheme="minorBidi"/>
          <w:sz w:val="24"/>
          <w:szCs w:val="24"/>
          <w:u w:val="single"/>
        </w:rPr>
        <w:t>: Mail push-to-web letter will to unscreened anglers and anglers not reached for te</w:t>
      </w:r>
      <w:r>
        <w:rPr>
          <w:rFonts w:eastAsiaTheme="minorHAnsi" w:cstheme="minorBidi"/>
          <w:sz w:val="24"/>
          <w:szCs w:val="24"/>
          <w:u w:val="single"/>
        </w:rPr>
        <w:t xml:space="preserve">lephone pre-screening interview who have both mail and email addresses on file. </w:t>
      </w:r>
    </w:p>
    <w:p w14:paraId="192CCCD0" w14:textId="521CB9EE" w:rsidR="00301313" w:rsidRPr="00EB413D" w:rsidRDefault="00301313" w:rsidP="00EB413D">
      <w:pPr>
        <w:widowControl/>
        <w:autoSpaceDE/>
        <w:autoSpaceDN/>
        <w:adjustRightInd/>
        <w:spacing w:after="160"/>
        <w:contextualSpacing/>
        <w:rPr>
          <w:rFonts w:eastAsiaTheme="minorHAnsi" w:cstheme="minorBidi"/>
          <w:sz w:val="24"/>
          <w:szCs w:val="24"/>
        </w:rPr>
      </w:pPr>
      <w:r w:rsidRPr="00D84DFA">
        <w:rPr>
          <w:rFonts w:eastAsiaTheme="minorHAnsi" w:cstheme="minorBidi"/>
          <w:sz w:val="24"/>
          <w:szCs w:val="24"/>
        </w:rPr>
        <w:t>Respondents not included in the telephone pre-screening sample</w:t>
      </w:r>
      <w:r>
        <w:rPr>
          <w:rFonts w:eastAsiaTheme="minorHAnsi" w:cstheme="minorBidi"/>
          <w:sz w:val="24"/>
          <w:szCs w:val="24"/>
        </w:rPr>
        <w:t xml:space="preserve"> (2,000)</w:t>
      </w:r>
      <w:r w:rsidRPr="00D84DFA">
        <w:rPr>
          <w:rFonts w:eastAsiaTheme="minorHAnsi" w:cstheme="minorBidi"/>
          <w:sz w:val="24"/>
          <w:szCs w:val="24"/>
        </w:rPr>
        <w:t xml:space="preserve"> plus those who could not be reached for the tel</w:t>
      </w:r>
      <w:r>
        <w:rPr>
          <w:rFonts w:eastAsiaTheme="minorHAnsi" w:cstheme="minorBidi"/>
          <w:sz w:val="24"/>
          <w:szCs w:val="24"/>
        </w:rPr>
        <w:t xml:space="preserve">ephone pre-screening interview </w:t>
      </w:r>
      <w:r w:rsidRPr="00D84DFA">
        <w:rPr>
          <w:rFonts w:eastAsiaTheme="minorHAnsi" w:cstheme="minorBidi"/>
          <w:sz w:val="24"/>
          <w:szCs w:val="24"/>
        </w:rPr>
        <w:t xml:space="preserve">will be sent an initial mail push-to-web letter. The mail push-to-web letter provides an opportunity to explain the survey’s purpose and elicit cooperation. The letters will introduce the survey, demonstrate its relevance, encourage </w:t>
      </w:r>
      <w:r>
        <w:rPr>
          <w:rFonts w:eastAsiaTheme="minorHAnsi" w:cstheme="minorBidi"/>
          <w:sz w:val="24"/>
          <w:szCs w:val="24"/>
        </w:rPr>
        <w:t xml:space="preserve">web </w:t>
      </w:r>
      <w:r w:rsidRPr="00D84DFA">
        <w:rPr>
          <w:rFonts w:eastAsiaTheme="minorHAnsi" w:cstheme="minorBidi"/>
          <w:sz w:val="24"/>
          <w:szCs w:val="24"/>
        </w:rPr>
        <w:t>participation, and assure confidentiality. The mail push-to-web letter will include the same information as the</w:t>
      </w:r>
      <w:r>
        <w:rPr>
          <w:rFonts w:eastAsiaTheme="minorHAnsi" w:cstheme="minorBidi"/>
          <w:sz w:val="24"/>
          <w:szCs w:val="24"/>
        </w:rPr>
        <w:t xml:space="preserve"> initial email invitati</w:t>
      </w:r>
      <w:r w:rsidR="00292FD8">
        <w:rPr>
          <w:rFonts w:eastAsiaTheme="minorHAnsi" w:cstheme="minorBidi"/>
          <w:sz w:val="24"/>
          <w:szCs w:val="24"/>
        </w:rPr>
        <w:t xml:space="preserve">on used in other tracks </w:t>
      </w:r>
      <w:r>
        <w:rPr>
          <w:rFonts w:eastAsiaTheme="minorHAnsi" w:cstheme="minorBidi"/>
          <w:sz w:val="24"/>
          <w:szCs w:val="24"/>
        </w:rPr>
        <w:t>to encourage participation</w:t>
      </w:r>
      <w:r w:rsidR="00292FD8">
        <w:rPr>
          <w:rFonts w:eastAsiaTheme="minorHAnsi" w:cstheme="minorBidi"/>
          <w:sz w:val="24"/>
          <w:szCs w:val="24"/>
        </w:rPr>
        <w:t>; some of these letters will also include a $2 incentive</w:t>
      </w:r>
      <w:r w:rsidRPr="00D84DFA">
        <w:rPr>
          <w:rFonts w:eastAsiaTheme="minorHAnsi" w:cstheme="minorBidi"/>
          <w:sz w:val="24"/>
          <w:szCs w:val="24"/>
        </w:rPr>
        <w:t xml:space="preserve">. </w:t>
      </w:r>
      <w:r w:rsidRPr="00CE51D4">
        <w:rPr>
          <w:rFonts w:eastAsiaTheme="minorHAnsi" w:cstheme="minorBidi"/>
          <w:sz w:val="24"/>
          <w:szCs w:val="24"/>
        </w:rPr>
        <w:t xml:space="preserve">Subsequent contacts with Track </w:t>
      </w:r>
      <w:r>
        <w:rPr>
          <w:rFonts w:eastAsiaTheme="minorHAnsi" w:cstheme="minorBidi"/>
          <w:sz w:val="24"/>
          <w:szCs w:val="24"/>
        </w:rPr>
        <w:t>C</w:t>
      </w:r>
      <w:r w:rsidRPr="00CE51D4">
        <w:rPr>
          <w:rFonts w:eastAsiaTheme="minorHAnsi" w:cstheme="minorBidi"/>
          <w:sz w:val="24"/>
          <w:szCs w:val="24"/>
        </w:rPr>
        <w:t xml:space="preserve"> participants who do not </w:t>
      </w:r>
      <w:r>
        <w:rPr>
          <w:rFonts w:eastAsiaTheme="minorHAnsi" w:cstheme="minorBidi"/>
          <w:sz w:val="24"/>
          <w:szCs w:val="24"/>
        </w:rPr>
        <w:t xml:space="preserve">respond after receiving the </w:t>
      </w:r>
      <w:r w:rsidRPr="00D84DFA">
        <w:rPr>
          <w:rFonts w:eastAsiaTheme="minorHAnsi" w:cstheme="minorBidi"/>
          <w:sz w:val="24"/>
          <w:szCs w:val="24"/>
        </w:rPr>
        <w:t>mail push-to-web letter</w:t>
      </w:r>
      <w:r>
        <w:rPr>
          <w:rFonts w:eastAsiaTheme="minorHAnsi" w:cstheme="minorBidi"/>
          <w:sz w:val="24"/>
          <w:szCs w:val="24"/>
        </w:rPr>
        <w:t xml:space="preserve"> are as follows: </w:t>
      </w:r>
    </w:p>
    <w:p w14:paraId="27C8D7C2" w14:textId="15C832DD" w:rsidR="00D37C89" w:rsidRPr="00CE51D4" w:rsidRDefault="00D37C89" w:rsidP="00D37C89">
      <w:pPr>
        <w:pStyle w:val="ListParagraph"/>
        <w:widowControl/>
        <w:numPr>
          <w:ilvl w:val="0"/>
          <w:numId w:val="24"/>
        </w:numPr>
        <w:autoSpaceDE/>
        <w:autoSpaceDN/>
        <w:adjustRightInd/>
        <w:spacing w:after="160"/>
        <w:rPr>
          <w:rFonts w:eastAsiaTheme="minorHAnsi" w:cstheme="minorBidi"/>
          <w:sz w:val="24"/>
          <w:szCs w:val="24"/>
        </w:rPr>
      </w:pPr>
      <w:r w:rsidRPr="00CE51D4">
        <w:rPr>
          <w:rFonts w:eastAsiaTheme="minorHAnsi" w:cstheme="minorBidi"/>
          <w:sz w:val="24"/>
          <w:szCs w:val="24"/>
        </w:rPr>
        <w:t>A</w:t>
      </w:r>
      <w:r>
        <w:rPr>
          <w:rFonts w:eastAsiaTheme="minorHAnsi" w:cstheme="minorBidi"/>
          <w:sz w:val="24"/>
          <w:szCs w:val="24"/>
        </w:rPr>
        <w:t xml:space="preserve">n email invitation, which </w:t>
      </w:r>
      <w:r w:rsidRPr="000D52EA">
        <w:rPr>
          <w:rFonts w:eastAsiaTheme="minorHAnsi" w:cstheme="minorBidi"/>
          <w:sz w:val="24"/>
          <w:szCs w:val="24"/>
        </w:rPr>
        <w:t>reinforce</w:t>
      </w:r>
      <w:r>
        <w:rPr>
          <w:rFonts w:eastAsiaTheme="minorHAnsi" w:cstheme="minorBidi"/>
          <w:sz w:val="24"/>
          <w:szCs w:val="24"/>
        </w:rPr>
        <w:t>s</w:t>
      </w:r>
      <w:r w:rsidRPr="000D52EA">
        <w:rPr>
          <w:rFonts w:eastAsiaTheme="minorHAnsi" w:cstheme="minorBidi"/>
          <w:sz w:val="24"/>
          <w:szCs w:val="24"/>
        </w:rPr>
        <w:t xml:space="preserve"> </w:t>
      </w:r>
      <w:r w:rsidRPr="00CE51D4">
        <w:rPr>
          <w:rFonts w:eastAsiaTheme="minorHAnsi" w:cstheme="minorBidi"/>
          <w:sz w:val="24"/>
          <w:szCs w:val="24"/>
        </w:rPr>
        <w:t>the importance of the survey and remind</w:t>
      </w:r>
      <w:r>
        <w:rPr>
          <w:rFonts w:eastAsiaTheme="minorHAnsi" w:cstheme="minorBidi"/>
          <w:sz w:val="24"/>
          <w:szCs w:val="24"/>
        </w:rPr>
        <w:t>s</w:t>
      </w:r>
      <w:r w:rsidRPr="00CE51D4">
        <w:rPr>
          <w:rFonts w:eastAsiaTheme="minorHAnsi" w:cstheme="minorBidi"/>
          <w:sz w:val="24"/>
          <w:szCs w:val="24"/>
        </w:rPr>
        <w:t xml:space="preserve"> those who did not respond about the survey. The reminder email will c</w:t>
      </w:r>
      <w:r>
        <w:rPr>
          <w:rFonts w:eastAsiaTheme="minorHAnsi" w:cstheme="minorBidi"/>
          <w:sz w:val="24"/>
          <w:szCs w:val="24"/>
        </w:rPr>
        <w:t xml:space="preserve">ontain a web link to the survey, in the hopes that that will make it easier for participants to respond online. </w:t>
      </w:r>
    </w:p>
    <w:p w14:paraId="5F09F256" w14:textId="3AEC1E38" w:rsidR="00D37C89" w:rsidRDefault="00D37C89" w:rsidP="00D37C89">
      <w:pPr>
        <w:pStyle w:val="ListParagraph"/>
        <w:widowControl/>
        <w:numPr>
          <w:ilvl w:val="0"/>
          <w:numId w:val="24"/>
        </w:numPr>
        <w:autoSpaceDE/>
        <w:autoSpaceDN/>
        <w:adjustRightInd/>
        <w:spacing w:after="160"/>
        <w:rPr>
          <w:rFonts w:eastAsiaTheme="minorHAnsi" w:cstheme="minorBidi"/>
          <w:sz w:val="24"/>
          <w:szCs w:val="24"/>
        </w:rPr>
      </w:pPr>
      <w:r>
        <w:rPr>
          <w:rFonts w:eastAsiaTheme="minorHAnsi" w:cstheme="minorBidi"/>
          <w:sz w:val="24"/>
          <w:szCs w:val="24"/>
        </w:rPr>
        <w:t xml:space="preserve">A reminder email, which </w:t>
      </w:r>
      <w:r w:rsidRPr="000D52EA">
        <w:rPr>
          <w:rFonts w:eastAsiaTheme="minorHAnsi" w:cstheme="minorBidi"/>
          <w:sz w:val="24"/>
          <w:szCs w:val="24"/>
        </w:rPr>
        <w:t>reinforce</w:t>
      </w:r>
      <w:r>
        <w:rPr>
          <w:rFonts w:eastAsiaTheme="minorHAnsi" w:cstheme="minorBidi"/>
          <w:sz w:val="24"/>
          <w:szCs w:val="24"/>
        </w:rPr>
        <w:t>s</w:t>
      </w:r>
      <w:r w:rsidRPr="000D52EA">
        <w:rPr>
          <w:rFonts w:eastAsiaTheme="minorHAnsi" w:cstheme="minorBidi"/>
          <w:sz w:val="24"/>
          <w:szCs w:val="24"/>
        </w:rPr>
        <w:t xml:space="preserve"> the importance of the survey and remind</w:t>
      </w:r>
      <w:r>
        <w:rPr>
          <w:rFonts w:eastAsiaTheme="minorHAnsi" w:cstheme="minorBidi"/>
          <w:sz w:val="24"/>
          <w:szCs w:val="24"/>
        </w:rPr>
        <w:t>s</w:t>
      </w:r>
      <w:r w:rsidRPr="000D52EA">
        <w:rPr>
          <w:rFonts w:eastAsiaTheme="minorHAnsi" w:cstheme="minorBidi"/>
          <w:sz w:val="24"/>
          <w:szCs w:val="24"/>
        </w:rPr>
        <w:t xml:space="preserve"> those who did not respond about the survey.</w:t>
      </w:r>
      <w:r w:rsidRPr="00D37C89">
        <w:rPr>
          <w:rFonts w:eastAsiaTheme="minorHAnsi" w:cstheme="minorBidi"/>
          <w:sz w:val="24"/>
          <w:szCs w:val="24"/>
        </w:rPr>
        <w:t xml:space="preserve"> </w:t>
      </w:r>
      <w:r w:rsidRPr="00CE51D4">
        <w:rPr>
          <w:rFonts w:eastAsiaTheme="minorHAnsi" w:cstheme="minorBidi"/>
          <w:sz w:val="24"/>
          <w:szCs w:val="24"/>
        </w:rPr>
        <w:t>The reminder email will contain a web link to the survey</w:t>
      </w:r>
      <w:r>
        <w:rPr>
          <w:rFonts w:eastAsiaTheme="minorHAnsi" w:cstheme="minorBidi"/>
          <w:sz w:val="24"/>
          <w:szCs w:val="24"/>
        </w:rPr>
        <w:t>.</w:t>
      </w:r>
    </w:p>
    <w:p w14:paraId="72E1F023" w14:textId="77777777" w:rsidR="00D37C89" w:rsidRPr="000D52EA" w:rsidRDefault="00D37C89" w:rsidP="00D37C89">
      <w:pPr>
        <w:pStyle w:val="ListParagraph"/>
        <w:widowControl/>
        <w:numPr>
          <w:ilvl w:val="0"/>
          <w:numId w:val="24"/>
        </w:numPr>
        <w:autoSpaceDE/>
        <w:autoSpaceDN/>
        <w:adjustRightInd/>
        <w:spacing w:after="160"/>
        <w:rPr>
          <w:rFonts w:eastAsiaTheme="minorHAnsi" w:cstheme="minorBidi"/>
          <w:sz w:val="24"/>
          <w:szCs w:val="24"/>
        </w:rPr>
      </w:pPr>
      <w:r>
        <w:rPr>
          <w:rFonts w:eastAsiaTheme="minorHAnsi" w:cstheme="minorBidi"/>
          <w:sz w:val="24"/>
          <w:szCs w:val="24"/>
        </w:rPr>
        <w:t xml:space="preserve">A reminder letter, which </w:t>
      </w:r>
      <w:r w:rsidRPr="000D52EA">
        <w:rPr>
          <w:rFonts w:eastAsiaTheme="minorHAnsi" w:cstheme="minorBidi"/>
          <w:sz w:val="24"/>
          <w:szCs w:val="24"/>
        </w:rPr>
        <w:t>reinforce</w:t>
      </w:r>
      <w:r>
        <w:rPr>
          <w:rFonts w:eastAsiaTheme="minorHAnsi" w:cstheme="minorBidi"/>
          <w:sz w:val="24"/>
          <w:szCs w:val="24"/>
        </w:rPr>
        <w:t>s</w:t>
      </w:r>
      <w:r w:rsidRPr="000D52EA">
        <w:rPr>
          <w:rFonts w:eastAsiaTheme="minorHAnsi" w:cstheme="minorBidi"/>
          <w:sz w:val="24"/>
          <w:szCs w:val="24"/>
        </w:rPr>
        <w:t xml:space="preserve"> the importance of the survey and remind</w:t>
      </w:r>
      <w:r>
        <w:rPr>
          <w:rFonts w:eastAsiaTheme="minorHAnsi" w:cstheme="minorBidi"/>
          <w:sz w:val="24"/>
          <w:szCs w:val="24"/>
        </w:rPr>
        <w:t>s</w:t>
      </w:r>
      <w:r w:rsidRPr="000D52EA">
        <w:rPr>
          <w:rFonts w:eastAsiaTheme="minorHAnsi" w:cstheme="minorBidi"/>
          <w:sz w:val="24"/>
          <w:szCs w:val="24"/>
        </w:rPr>
        <w:t xml:space="preserve"> those who did not respond about the survey. The reminder letter will contain a web address</w:t>
      </w:r>
      <w:r>
        <w:rPr>
          <w:rFonts w:eastAsiaTheme="minorHAnsi" w:cstheme="minorBidi"/>
          <w:sz w:val="24"/>
          <w:szCs w:val="24"/>
        </w:rPr>
        <w:t xml:space="preserve"> to access the survey online.</w:t>
      </w:r>
    </w:p>
    <w:p w14:paraId="3479A803" w14:textId="552EF8D0" w:rsidR="00D37C89" w:rsidRDefault="00D37C89" w:rsidP="00D37C89">
      <w:pPr>
        <w:pStyle w:val="ListParagraph"/>
        <w:widowControl/>
        <w:numPr>
          <w:ilvl w:val="0"/>
          <w:numId w:val="24"/>
        </w:numPr>
        <w:autoSpaceDE/>
        <w:autoSpaceDN/>
        <w:adjustRightInd/>
        <w:spacing w:after="160"/>
        <w:rPr>
          <w:rFonts w:eastAsiaTheme="minorHAnsi" w:cstheme="minorBidi"/>
          <w:sz w:val="24"/>
          <w:szCs w:val="24"/>
        </w:rPr>
      </w:pPr>
      <w:r>
        <w:rPr>
          <w:rFonts w:eastAsiaTheme="minorHAnsi" w:cstheme="minorBidi"/>
          <w:sz w:val="24"/>
          <w:szCs w:val="24"/>
        </w:rPr>
        <w:t>A</w:t>
      </w:r>
      <w:r w:rsidRPr="000D52EA">
        <w:rPr>
          <w:rFonts w:eastAsiaTheme="minorHAnsi" w:cstheme="minorBidi"/>
          <w:sz w:val="24"/>
          <w:szCs w:val="24"/>
        </w:rPr>
        <w:t xml:space="preserve"> </w:t>
      </w:r>
      <w:r>
        <w:rPr>
          <w:rFonts w:eastAsiaTheme="minorHAnsi" w:cstheme="minorBidi"/>
          <w:sz w:val="24"/>
          <w:szCs w:val="24"/>
        </w:rPr>
        <w:t xml:space="preserve">mail package that includes s </w:t>
      </w:r>
      <w:r w:rsidRPr="000D52EA">
        <w:rPr>
          <w:rFonts w:eastAsiaTheme="minorHAnsi" w:cstheme="minorBidi"/>
          <w:sz w:val="24"/>
          <w:szCs w:val="24"/>
        </w:rPr>
        <w:t>paper version of the</w:t>
      </w:r>
      <w:r>
        <w:rPr>
          <w:rFonts w:eastAsiaTheme="minorHAnsi" w:cstheme="minorBidi"/>
          <w:sz w:val="24"/>
          <w:szCs w:val="24"/>
        </w:rPr>
        <w:t xml:space="preserve"> NARFS and a cover letter explaining the importance of the survey. </w:t>
      </w:r>
    </w:p>
    <w:p w14:paraId="060C20B4" w14:textId="77777777" w:rsidR="00D37C89" w:rsidRPr="000D52EA" w:rsidRDefault="00D37C89" w:rsidP="00EB413D">
      <w:pPr>
        <w:pStyle w:val="ListParagraph"/>
        <w:widowControl/>
        <w:autoSpaceDE/>
        <w:autoSpaceDN/>
        <w:adjustRightInd/>
        <w:spacing w:after="160"/>
        <w:rPr>
          <w:rFonts w:eastAsiaTheme="minorHAnsi" w:cstheme="minorBidi"/>
          <w:sz w:val="24"/>
          <w:szCs w:val="24"/>
        </w:rPr>
      </w:pPr>
    </w:p>
    <w:p w14:paraId="044078D2" w14:textId="77777777" w:rsidR="00ED5E08" w:rsidRDefault="00D37C89" w:rsidP="00D84DFA">
      <w:pPr>
        <w:widowControl/>
        <w:tabs>
          <w:tab w:val="left" w:pos="720"/>
        </w:tabs>
        <w:autoSpaceDE/>
        <w:autoSpaceDN/>
        <w:adjustRightInd/>
        <w:spacing w:after="160"/>
        <w:contextualSpacing/>
        <w:rPr>
          <w:rFonts w:eastAsiaTheme="minorHAnsi" w:cstheme="minorBidi"/>
          <w:sz w:val="24"/>
          <w:szCs w:val="24"/>
          <w:u w:val="single"/>
        </w:rPr>
      </w:pPr>
      <w:r>
        <w:rPr>
          <w:rFonts w:eastAsiaTheme="minorHAnsi" w:cstheme="minorBidi"/>
          <w:sz w:val="24"/>
          <w:szCs w:val="24"/>
          <w:u w:val="single"/>
        </w:rPr>
        <w:t>Track D</w:t>
      </w:r>
      <w:r w:rsidRPr="00D84DFA">
        <w:rPr>
          <w:rFonts w:eastAsiaTheme="minorHAnsi" w:cstheme="minorBidi"/>
          <w:sz w:val="24"/>
          <w:szCs w:val="24"/>
          <w:u w:val="single"/>
        </w:rPr>
        <w:t>: Mail push-to-web le</w:t>
      </w:r>
      <w:r w:rsidR="00ED5E08">
        <w:rPr>
          <w:rFonts w:eastAsiaTheme="minorHAnsi" w:cstheme="minorBidi"/>
          <w:sz w:val="24"/>
          <w:szCs w:val="24"/>
          <w:u w:val="single"/>
        </w:rPr>
        <w:t xml:space="preserve">tter will to unscreened anglers and </w:t>
      </w:r>
      <w:r w:rsidRPr="00D84DFA">
        <w:rPr>
          <w:rFonts w:eastAsiaTheme="minorHAnsi" w:cstheme="minorBidi"/>
          <w:sz w:val="24"/>
          <w:szCs w:val="24"/>
          <w:u w:val="single"/>
        </w:rPr>
        <w:t>anglers not reached for te</w:t>
      </w:r>
      <w:r>
        <w:rPr>
          <w:rFonts w:eastAsiaTheme="minorHAnsi" w:cstheme="minorBidi"/>
          <w:sz w:val="24"/>
          <w:szCs w:val="24"/>
          <w:u w:val="single"/>
        </w:rPr>
        <w:t xml:space="preserve">lephone pre-screening interview </w:t>
      </w:r>
      <w:r w:rsidR="00ED5E08">
        <w:rPr>
          <w:rFonts w:eastAsiaTheme="minorHAnsi" w:cstheme="minorBidi"/>
          <w:sz w:val="24"/>
          <w:szCs w:val="24"/>
          <w:u w:val="single"/>
        </w:rPr>
        <w:t>who have only mail address on file.</w:t>
      </w:r>
    </w:p>
    <w:p w14:paraId="27487E96" w14:textId="7CF9CEAD" w:rsidR="00D37C89" w:rsidRPr="00EB413D" w:rsidRDefault="00D37C89" w:rsidP="00D84DFA">
      <w:pPr>
        <w:widowControl/>
        <w:tabs>
          <w:tab w:val="left" w:pos="720"/>
        </w:tabs>
        <w:autoSpaceDE/>
        <w:autoSpaceDN/>
        <w:adjustRightInd/>
        <w:spacing w:after="160"/>
        <w:contextualSpacing/>
        <w:rPr>
          <w:rFonts w:eastAsiaTheme="minorHAnsi" w:cstheme="minorBidi"/>
          <w:sz w:val="24"/>
          <w:szCs w:val="24"/>
        </w:rPr>
      </w:pPr>
      <w:r>
        <w:rPr>
          <w:rFonts w:eastAsiaTheme="minorHAnsi" w:cstheme="minorBidi"/>
          <w:sz w:val="24"/>
          <w:szCs w:val="24"/>
        </w:rPr>
        <w:t xml:space="preserve">Track D is very similar to Track E, with the exception that these participants will not </w:t>
      </w:r>
      <w:r w:rsidR="00ED5E08">
        <w:rPr>
          <w:rFonts w:eastAsiaTheme="minorHAnsi" w:cstheme="minorBidi"/>
          <w:sz w:val="24"/>
          <w:szCs w:val="24"/>
        </w:rPr>
        <w:t>receive email</w:t>
      </w:r>
      <w:r>
        <w:rPr>
          <w:rFonts w:eastAsiaTheme="minorHAnsi" w:cstheme="minorBidi"/>
          <w:sz w:val="24"/>
          <w:szCs w:val="24"/>
        </w:rPr>
        <w:t xml:space="preserve"> contacts. </w:t>
      </w:r>
    </w:p>
    <w:p w14:paraId="1A199156" w14:textId="66C07D36" w:rsidR="00D37C89" w:rsidRDefault="00D37C89" w:rsidP="00D84DFA">
      <w:pPr>
        <w:widowControl/>
        <w:tabs>
          <w:tab w:val="left" w:pos="720"/>
        </w:tabs>
        <w:autoSpaceDE/>
        <w:autoSpaceDN/>
        <w:adjustRightInd/>
        <w:spacing w:after="160"/>
        <w:contextualSpacing/>
        <w:rPr>
          <w:rFonts w:eastAsiaTheme="minorHAnsi" w:cstheme="minorBidi"/>
          <w:sz w:val="24"/>
          <w:szCs w:val="24"/>
          <w:u w:val="single"/>
        </w:rPr>
      </w:pPr>
    </w:p>
    <w:p w14:paraId="6749D525" w14:textId="77777777" w:rsidR="00D84DFA" w:rsidRPr="00D84DFA" w:rsidRDefault="00D84DFA" w:rsidP="00D84DFA">
      <w:pPr>
        <w:widowControl/>
        <w:autoSpaceDE/>
        <w:autoSpaceDN/>
        <w:adjustRightInd/>
        <w:spacing w:after="160"/>
        <w:rPr>
          <w:rFonts w:eastAsiaTheme="minorHAnsi" w:cstheme="minorBidi"/>
          <w:sz w:val="24"/>
          <w:szCs w:val="24"/>
        </w:rPr>
      </w:pPr>
    </w:p>
    <w:bookmarkEnd w:id="1"/>
    <w:p w14:paraId="26283334" w14:textId="5645134B" w:rsidR="00C93614" w:rsidRPr="003A7CEB" w:rsidRDefault="00C93614" w:rsidP="0094229B">
      <w:pPr>
        <w:pStyle w:val="Style2"/>
      </w:pPr>
      <w:r w:rsidRPr="00AD3676">
        <w:rPr>
          <w:bCs w:val="0"/>
        </w:rPr>
        <w:t>Describe any tests of procedures or methods to be undertaken. Tests are encouraged as effective means to refine collections</w:t>
      </w:r>
      <w:r w:rsidRPr="003A7CEB">
        <w:rPr>
          <w:bCs w:val="0"/>
        </w:rPr>
        <w:t>, but if ten or more test respondents are involved OMB must give prior approval.</w:t>
      </w:r>
    </w:p>
    <w:p w14:paraId="6F411FF7" w14:textId="77777777" w:rsidR="00C93614" w:rsidRP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0742AE9" w14:textId="7AE674FF"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 xml:space="preserve">To test the efficacy of the </w:t>
      </w:r>
      <w:r w:rsidR="002D5EBB">
        <w:rPr>
          <w:sz w:val="24"/>
          <w:szCs w:val="24"/>
        </w:rPr>
        <w:t>proposed</w:t>
      </w:r>
      <w:r w:rsidRPr="00C93614">
        <w:rPr>
          <w:sz w:val="24"/>
          <w:szCs w:val="24"/>
        </w:rPr>
        <w:t xml:space="preserve"> survey instrument, we conducted focus group sessions with recreational cod and haddock anglers in the study region during November </w:t>
      </w:r>
      <w:r w:rsidR="00660268">
        <w:rPr>
          <w:sz w:val="24"/>
          <w:szCs w:val="24"/>
        </w:rPr>
        <w:t xml:space="preserve">of </w:t>
      </w:r>
      <w:r w:rsidRPr="00C93614">
        <w:rPr>
          <w:sz w:val="24"/>
          <w:szCs w:val="24"/>
        </w:rPr>
        <w:t>2018. Using the license databases described in B1, we recruited focus groups participants who differed in terms of gender, age, and Atlantic cod/haddock fishing experience to obtain feedback</w:t>
      </w:r>
      <w:r w:rsidR="00827AA1">
        <w:rPr>
          <w:sz w:val="24"/>
          <w:szCs w:val="24"/>
        </w:rPr>
        <w:t xml:space="preserve"> from a diverse mix of anglers. </w:t>
      </w:r>
      <w:r w:rsidRPr="00C93614">
        <w:rPr>
          <w:sz w:val="24"/>
          <w:szCs w:val="24"/>
        </w:rPr>
        <w:t xml:space="preserve">The first two of these focus groups were held in Braintree, MA, and the second two groups were held in Portland, ME. </w:t>
      </w:r>
    </w:p>
    <w:p w14:paraId="3A1175F1" w14:textId="77777777" w:rsidR="00827AA1" w:rsidRPr="00C93614" w:rsidRDefault="00827AA1"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5F3DE4A" w14:textId="2FB7E766" w:rsidR="00C93614" w:rsidRDefault="00C93614"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C93614">
        <w:rPr>
          <w:sz w:val="24"/>
          <w:szCs w:val="24"/>
        </w:rPr>
        <w:t>We used feedback receiv</w:t>
      </w:r>
      <w:r w:rsidR="00827AA1">
        <w:rPr>
          <w:sz w:val="24"/>
          <w:szCs w:val="24"/>
        </w:rPr>
        <w:t>ed from these focus groups to (a</w:t>
      </w:r>
      <w:r w:rsidRPr="00C93614">
        <w:rPr>
          <w:sz w:val="24"/>
          <w:szCs w:val="24"/>
        </w:rPr>
        <w:t>) conform survey language to regional differences in dialect and ensure consistent interpretation of survey questions</w:t>
      </w:r>
      <w:r w:rsidR="00827AA1">
        <w:rPr>
          <w:sz w:val="24"/>
          <w:szCs w:val="24"/>
        </w:rPr>
        <w:t xml:space="preserve"> across the study region, and (b</w:t>
      </w:r>
      <w:r w:rsidRPr="00C93614">
        <w:rPr>
          <w:sz w:val="24"/>
          <w:szCs w:val="24"/>
        </w:rPr>
        <w:t xml:space="preserve">) design contextually realistic and straightforward choice experiment questions. </w:t>
      </w:r>
      <w:r w:rsidR="002D5EBB">
        <w:rPr>
          <w:sz w:val="24"/>
          <w:szCs w:val="24"/>
        </w:rPr>
        <w:t>A</w:t>
      </w:r>
      <w:r w:rsidR="002D5EBB" w:rsidRPr="00C93614">
        <w:rPr>
          <w:sz w:val="24"/>
          <w:szCs w:val="24"/>
        </w:rPr>
        <w:t>s we continue to develop the survey instrumen</w:t>
      </w:r>
      <w:r w:rsidR="002D5EBB">
        <w:rPr>
          <w:sz w:val="24"/>
          <w:szCs w:val="24"/>
        </w:rPr>
        <w:t>t, a</w:t>
      </w:r>
      <w:r w:rsidRPr="00C93614">
        <w:rPr>
          <w:sz w:val="24"/>
          <w:szCs w:val="24"/>
        </w:rPr>
        <w:t xml:space="preserve">ny additional concerns encountered will be addressed through additional focus group interviews. </w:t>
      </w:r>
    </w:p>
    <w:p w14:paraId="3D34F3D2" w14:textId="229197D9"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467B2CEF" w14:textId="1ABE50C6"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122D77F3" w14:textId="28302552"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5A148724" w14:textId="425C7EB3"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71757D34" w14:textId="5B2CFECC"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6837C0B5" w14:textId="1F95BDB3"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4E9B4EAC" w14:textId="58D2FF1E"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1920016" w14:textId="1DB4D01D"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3CA0B051" w14:textId="35CD1153"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171E7B0A" w14:textId="161C2684"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50FE612E" w14:textId="6BB3C16D"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6A106F47" w14:textId="77777777" w:rsidR="00DD2A4F" w:rsidRDefault="00DD2A4F"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5295A1E" w14:textId="1CE320F6" w:rsidR="00BC1596" w:rsidRDefault="00BC1596" w:rsidP="00F90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p>
    <w:p w14:paraId="097E0D05" w14:textId="4841DDB1" w:rsidR="00C93614" w:rsidRPr="003A7CEB" w:rsidRDefault="00C93614" w:rsidP="0094229B">
      <w:pPr>
        <w:pStyle w:val="Style2"/>
      </w:pPr>
      <w:r w:rsidRPr="00AD3676">
        <w:rPr>
          <w:bCs w:val="0"/>
        </w:rPr>
        <w:t>Provide the name and telephone number of individuals consulted on the statistical aspects of the design, and the name of the agency un</w:t>
      </w:r>
      <w:r w:rsidRPr="003A7CEB">
        <w:rPr>
          <w:bCs w:val="0"/>
        </w:rPr>
        <w:t>it, contractor(s), grantee(s), or other person(s) who will actually collect and/or analyze the information for the agency.</w:t>
      </w:r>
    </w:p>
    <w:p w14:paraId="43C63CA0" w14:textId="7DD36506" w:rsidR="00C93614" w:rsidRDefault="00C93614" w:rsidP="00F9028B">
      <w:pPr>
        <w:contextualSpacing/>
        <w:rPr>
          <w:sz w:val="24"/>
          <w:szCs w:val="24"/>
        </w:rPr>
      </w:pPr>
    </w:p>
    <w:p w14:paraId="1D068191" w14:textId="3F790A19" w:rsidR="00F61FBE" w:rsidRPr="00C93614" w:rsidRDefault="00F61FBE" w:rsidP="00F9028B">
      <w:pPr>
        <w:contextualSpacing/>
        <w:rPr>
          <w:sz w:val="24"/>
          <w:szCs w:val="24"/>
        </w:rPr>
      </w:pPr>
      <w:r w:rsidRPr="0094229B">
        <w:rPr>
          <w:sz w:val="24"/>
          <w:szCs w:val="24"/>
          <w:u w:val="single"/>
        </w:rPr>
        <w:t>Design, analysis, report</w:t>
      </w:r>
    </w:p>
    <w:p w14:paraId="239FD565" w14:textId="77777777" w:rsidR="00F56A61" w:rsidRPr="00C93614" w:rsidRDefault="00F56A61" w:rsidP="00F9028B">
      <w:pPr>
        <w:contextualSpacing/>
        <w:rPr>
          <w:sz w:val="24"/>
          <w:szCs w:val="24"/>
        </w:rPr>
      </w:pPr>
      <w:r w:rsidRPr="00C93614">
        <w:rPr>
          <w:sz w:val="24"/>
          <w:szCs w:val="24"/>
        </w:rPr>
        <w:t>Andrew Carr-Harris (co-P.I.)</w:t>
      </w:r>
    </w:p>
    <w:p w14:paraId="45CA5810" w14:textId="77777777" w:rsidR="00F56A61" w:rsidRPr="00C93614" w:rsidRDefault="00F56A61" w:rsidP="00F9028B">
      <w:pPr>
        <w:contextualSpacing/>
        <w:rPr>
          <w:sz w:val="24"/>
          <w:szCs w:val="24"/>
        </w:rPr>
      </w:pPr>
      <w:r w:rsidRPr="00C93614">
        <w:rPr>
          <w:sz w:val="24"/>
          <w:szCs w:val="24"/>
        </w:rPr>
        <w:t>Northeast Fisheries Science Center</w:t>
      </w:r>
    </w:p>
    <w:p w14:paraId="072932A4" w14:textId="77777777" w:rsidR="00F56A61" w:rsidRPr="00C93614" w:rsidRDefault="00F56A61" w:rsidP="00F9028B">
      <w:pPr>
        <w:contextualSpacing/>
        <w:rPr>
          <w:sz w:val="24"/>
          <w:szCs w:val="24"/>
        </w:rPr>
      </w:pPr>
      <w:r w:rsidRPr="00C93614">
        <w:rPr>
          <w:sz w:val="24"/>
          <w:szCs w:val="24"/>
        </w:rPr>
        <w:t>Phone: 914-330-7881</w:t>
      </w:r>
    </w:p>
    <w:p w14:paraId="2B883682" w14:textId="77777777" w:rsidR="00F56A61" w:rsidRDefault="00F56A61" w:rsidP="00F9028B">
      <w:pPr>
        <w:contextualSpacing/>
        <w:rPr>
          <w:sz w:val="24"/>
          <w:szCs w:val="24"/>
        </w:rPr>
      </w:pPr>
    </w:p>
    <w:p w14:paraId="2710AEBA" w14:textId="3C5532BC" w:rsidR="00C93614" w:rsidRPr="00C93614" w:rsidRDefault="00C93614" w:rsidP="00F9028B">
      <w:pPr>
        <w:contextualSpacing/>
        <w:rPr>
          <w:sz w:val="24"/>
          <w:szCs w:val="24"/>
        </w:rPr>
      </w:pPr>
      <w:r w:rsidRPr="00C93614">
        <w:rPr>
          <w:sz w:val="24"/>
          <w:szCs w:val="24"/>
        </w:rPr>
        <w:t>Scott Steinback (co-P.I.)</w:t>
      </w:r>
    </w:p>
    <w:p w14:paraId="460BDEED" w14:textId="77777777" w:rsidR="00C93614" w:rsidRPr="00C93614" w:rsidRDefault="00C93614" w:rsidP="00F9028B">
      <w:pPr>
        <w:contextualSpacing/>
        <w:rPr>
          <w:sz w:val="24"/>
          <w:szCs w:val="24"/>
        </w:rPr>
      </w:pPr>
      <w:r w:rsidRPr="00C93614">
        <w:rPr>
          <w:sz w:val="24"/>
          <w:szCs w:val="24"/>
        </w:rPr>
        <w:t>Northeast Fisheries Science Center</w:t>
      </w:r>
    </w:p>
    <w:p w14:paraId="0CC80B5F" w14:textId="00F51446" w:rsidR="00C93614" w:rsidRPr="00C93614" w:rsidRDefault="00C93614" w:rsidP="00F9028B">
      <w:pPr>
        <w:contextualSpacing/>
        <w:rPr>
          <w:sz w:val="24"/>
          <w:szCs w:val="24"/>
        </w:rPr>
      </w:pPr>
      <w:r w:rsidRPr="003E76EF">
        <w:rPr>
          <w:sz w:val="24"/>
          <w:szCs w:val="24"/>
        </w:rPr>
        <w:t xml:space="preserve">Phone: </w:t>
      </w:r>
      <w:r w:rsidR="003E76EF" w:rsidRPr="003E76EF">
        <w:rPr>
          <w:sz w:val="24"/>
          <w:szCs w:val="24"/>
        </w:rPr>
        <w:t>508-495-4701</w:t>
      </w:r>
    </w:p>
    <w:p w14:paraId="7169040A" w14:textId="77777777" w:rsidR="00C93614" w:rsidRPr="00C93614" w:rsidRDefault="00C93614" w:rsidP="00F9028B">
      <w:pPr>
        <w:contextualSpacing/>
        <w:rPr>
          <w:sz w:val="24"/>
          <w:szCs w:val="24"/>
        </w:rPr>
      </w:pPr>
    </w:p>
    <w:p w14:paraId="64CCED3D" w14:textId="77777777" w:rsidR="00C93614" w:rsidRPr="00C93614" w:rsidRDefault="00C93614" w:rsidP="00F9028B">
      <w:pPr>
        <w:contextualSpacing/>
        <w:rPr>
          <w:sz w:val="24"/>
          <w:szCs w:val="24"/>
        </w:rPr>
      </w:pPr>
      <w:r w:rsidRPr="00C93614">
        <w:rPr>
          <w:sz w:val="24"/>
          <w:szCs w:val="24"/>
        </w:rPr>
        <w:t>Sabrina Lovell (co-P.I.)</w:t>
      </w:r>
    </w:p>
    <w:p w14:paraId="24B635DF" w14:textId="77777777" w:rsidR="00C93614" w:rsidRPr="00C93614" w:rsidRDefault="00C93614" w:rsidP="00F9028B">
      <w:pPr>
        <w:contextualSpacing/>
        <w:rPr>
          <w:sz w:val="24"/>
          <w:szCs w:val="24"/>
        </w:rPr>
      </w:pPr>
      <w:r w:rsidRPr="00C93614">
        <w:rPr>
          <w:sz w:val="24"/>
          <w:szCs w:val="24"/>
        </w:rPr>
        <w:t>Office of Science and Technology</w:t>
      </w:r>
    </w:p>
    <w:p w14:paraId="3A1A06D4" w14:textId="77777777" w:rsidR="00C93614" w:rsidRPr="00C93614" w:rsidRDefault="00C93614" w:rsidP="00F9028B">
      <w:pPr>
        <w:contextualSpacing/>
        <w:rPr>
          <w:sz w:val="24"/>
          <w:szCs w:val="24"/>
        </w:rPr>
      </w:pPr>
      <w:r w:rsidRPr="00C93614">
        <w:rPr>
          <w:sz w:val="24"/>
          <w:szCs w:val="24"/>
        </w:rPr>
        <w:t>Phone: 301-427-8153</w:t>
      </w:r>
    </w:p>
    <w:p w14:paraId="117CA4BD" w14:textId="21852FD5" w:rsidR="009C179D" w:rsidRDefault="00F61FBE" w:rsidP="0094229B">
      <w:pPr>
        <w:pStyle w:val="FirstParagraph"/>
        <w:contextualSpacing/>
      </w:pPr>
      <w:r w:rsidRPr="0094229B">
        <w:rPr>
          <w:u w:val="single"/>
        </w:rPr>
        <w:t xml:space="preserve">Data collection </w:t>
      </w:r>
    </w:p>
    <w:p w14:paraId="51FC1C71" w14:textId="3D697364" w:rsidR="00F61FBE" w:rsidRDefault="00F61FBE" w:rsidP="0094229B">
      <w:pPr>
        <w:pStyle w:val="FirstParagraph"/>
        <w:contextualSpacing/>
      </w:pPr>
      <w:r>
        <w:t>Gustavo Rubio</w:t>
      </w:r>
    </w:p>
    <w:p w14:paraId="1A6E4E77" w14:textId="69D80F68" w:rsidR="00F61FBE" w:rsidRDefault="00F61FBE" w:rsidP="0094229B">
      <w:pPr>
        <w:pStyle w:val="FirstParagraph"/>
        <w:contextualSpacing/>
      </w:pPr>
      <w:r>
        <w:t>ECS Federal, contracting company</w:t>
      </w:r>
    </w:p>
    <w:p w14:paraId="6276E221" w14:textId="6268ADA2" w:rsidR="00F61FBE" w:rsidRDefault="00F61FBE" w:rsidP="0094229B">
      <w:pPr>
        <w:pStyle w:val="FirstParagraph"/>
        <w:contextualSpacing/>
      </w:pPr>
      <w:r>
        <w:t>Phone: 301-427-8180</w:t>
      </w:r>
    </w:p>
    <w:p w14:paraId="7D373D1A" w14:textId="076CFA47" w:rsidR="007E0682" w:rsidRDefault="007E0682" w:rsidP="00F9028B">
      <w:pPr>
        <w:contextualSpacing/>
        <w:rPr>
          <w:sz w:val="24"/>
          <w:szCs w:val="24"/>
        </w:rPr>
      </w:pPr>
    </w:p>
    <w:p w14:paraId="7ACA18DB" w14:textId="7CCA2E45" w:rsidR="00124D79" w:rsidRDefault="00124D79" w:rsidP="00F9028B">
      <w:pPr>
        <w:contextualSpacing/>
        <w:rPr>
          <w:sz w:val="24"/>
          <w:szCs w:val="24"/>
        </w:rPr>
      </w:pPr>
    </w:p>
    <w:p w14:paraId="735E033A" w14:textId="0E93F375" w:rsidR="00324ADE" w:rsidRDefault="00324ADE" w:rsidP="00F9028B">
      <w:pPr>
        <w:contextualSpacing/>
        <w:rPr>
          <w:sz w:val="24"/>
          <w:szCs w:val="24"/>
        </w:rPr>
      </w:pPr>
    </w:p>
    <w:p w14:paraId="5CEF8B72" w14:textId="16C0E389" w:rsidR="00324ADE" w:rsidRDefault="00324ADE" w:rsidP="00F9028B">
      <w:pPr>
        <w:contextualSpacing/>
        <w:rPr>
          <w:sz w:val="24"/>
          <w:szCs w:val="24"/>
        </w:rPr>
      </w:pPr>
    </w:p>
    <w:p w14:paraId="00E5C069" w14:textId="4716DD72" w:rsidR="00324ADE" w:rsidRDefault="00324ADE" w:rsidP="00F9028B">
      <w:pPr>
        <w:contextualSpacing/>
        <w:rPr>
          <w:sz w:val="24"/>
          <w:szCs w:val="24"/>
        </w:rPr>
      </w:pPr>
    </w:p>
    <w:p w14:paraId="533A37A7" w14:textId="7A42ABBB" w:rsidR="00324ADE" w:rsidRDefault="00324ADE" w:rsidP="00F9028B">
      <w:pPr>
        <w:contextualSpacing/>
        <w:rPr>
          <w:sz w:val="24"/>
          <w:szCs w:val="24"/>
        </w:rPr>
      </w:pPr>
    </w:p>
    <w:p w14:paraId="6AC3110E" w14:textId="01FB3F33" w:rsidR="00324ADE" w:rsidRDefault="00324ADE" w:rsidP="00F9028B">
      <w:pPr>
        <w:contextualSpacing/>
        <w:rPr>
          <w:sz w:val="24"/>
          <w:szCs w:val="24"/>
        </w:rPr>
      </w:pPr>
    </w:p>
    <w:p w14:paraId="1EB44ABE" w14:textId="03CAB5F1" w:rsidR="00324ADE" w:rsidRDefault="00324ADE" w:rsidP="00F9028B">
      <w:pPr>
        <w:contextualSpacing/>
        <w:rPr>
          <w:sz w:val="24"/>
          <w:szCs w:val="24"/>
        </w:rPr>
      </w:pPr>
    </w:p>
    <w:p w14:paraId="12B27F4C" w14:textId="4D016264" w:rsidR="00324ADE" w:rsidRDefault="00324ADE" w:rsidP="00F9028B">
      <w:pPr>
        <w:contextualSpacing/>
        <w:rPr>
          <w:sz w:val="24"/>
          <w:szCs w:val="24"/>
        </w:rPr>
      </w:pPr>
    </w:p>
    <w:p w14:paraId="49287FFA" w14:textId="5A9E8D2D" w:rsidR="00324ADE" w:rsidRDefault="00324ADE" w:rsidP="00F9028B">
      <w:pPr>
        <w:contextualSpacing/>
        <w:rPr>
          <w:sz w:val="24"/>
          <w:szCs w:val="24"/>
        </w:rPr>
      </w:pPr>
    </w:p>
    <w:p w14:paraId="0F9AD0E4" w14:textId="7E658744" w:rsidR="00324ADE" w:rsidRDefault="00324ADE" w:rsidP="00F9028B">
      <w:pPr>
        <w:contextualSpacing/>
        <w:rPr>
          <w:sz w:val="24"/>
          <w:szCs w:val="24"/>
        </w:rPr>
      </w:pPr>
    </w:p>
    <w:p w14:paraId="1803408E" w14:textId="3F74F8B2" w:rsidR="00324ADE" w:rsidRDefault="00324ADE" w:rsidP="00F9028B">
      <w:pPr>
        <w:contextualSpacing/>
        <w:rPr>
          <w:sz w:val="24"/>
          <w:szCs w:val="24"/>
        </w:rPr>
      </w:pPr>
    </w:p>
    <w:p w14:paraId="057591FE" w14:textId="1DFEB960" w:rsidR="00324ADE" w:rsidRDefault="00324ADE" w:rsidP="00F9028B">
      <w:pPr>
        <w:contextualSpacing/>
        <w:rPr>
          <w:sz w:val="24"/>
          <w:szCs w:val="24"/>
        </w:rPr>
      </w:pPr>
    </w:p>
    <w:p w14:paraId="501A595D" w14:textId="47D1EEB6" w:rsidR="00324ADE" w:rsidRDefault="00324ADE" w:rsidP="00F9028B">
      <w:pPr>
        <w:contextualSpacing/>
        <w:rPr>
          <w:sz w:val="24"/>
          <w:szCs w:val="24"/>
        </w:rPr>
      </w:pPr>
    </w:p>
    <w:p w14:paraId="5BBFA444" w14:textId="490320CD" w:rsidR="00324ADE" w:rsidRDefault="00324ADE" w:rsidP="00F9028B">
      <w:pPr>
        <w:contextualSpacing/>
        <w:rPr>
          <w:sz w:val="24"/>
          <w:szCs w:val="24"/>
        </w:rPr>
      </w:pPr>
    </w:p>
    <w:p w14:paraId="180E2F18" w14:textId="0D2B13D4" w:rsidR="00324ADE" w:rsidRDefault="00324ADE" w:rsidP="00F9028B">
      <w:pPr>
        <w:contextualSpacing/>
        <w:rPr>
          <w:sz w:val="24"/>
          <w:szCs w:val="24"/>
        </w:rPr>
      </w:pPr>
    </w:p>
    <w:p w14:paraId="48A46E54" w14:textId="4B92F77E" w:rsidR="00324ADE" w:rsidRDefault="00324ADE" w:rsidP="00F9028B">
      <w:pPr>
        <w:contextualSpacing/>
        <w:rPr>
          <w:sz w:val="24"/>
          <w:szCs w:val="24"/>
        </w:rPr>
      </w:pPr>
    </w:p>
    <w:p w14:paraId="602D6886" w14:textId="4DBE8F78" w:rsidR="00324ADE" w:rsidRDefault="00324ADE" w:rsidP="00F9028B">
      <w:pPr>
        <w:contextualSpacing/>
        <w:rPr>
          <w:sz w:val="24"/>
          <w:szCs w:val="24"/>
        </w:rPr>
      </w:pPr>
    </w:p>
    <w:p w14:paraId="2292C0A4" w14:textId="11D7BA04" w:rsidR="00324ADE" w:rsidRDefault="00324ADE" w:rsidP="00F9028B">
      <w:pPr>
        <w:contextualSpacing/>
        <w:rPr>
          <w:sz w:val="24"/>
          <w:szCs w:val="24"/>
        </w:rPr>
      </w:pPr>
    </w:p>
    <w:p w14:paraId="1C07E3F4" w14:textId="44771D0C" w:rsidR="00324ADE" w:rsidRDefault="00324ADE" w:rsidP="00F9028B">
      <w:pPr>
        <w:contextualSpacing/>
        <w:rPr>
          <w:sz w:val="24"/>
          <w:szCs w:val="24"/>
        </w:rPr>
      </w:pPr>
    </w:p>
    <w:p w14:paraId="28A224C9" w14:textId="2410EB02" w:rsidR="00324ADE" w:rsidRDefault="00324ADE" w:rsidP="00F9028B">
      <w:pPr>
        <w:contextualSpacing/>
        <w:rPr>
          <w:sz w:val="24"/>
          <w:szCs w:val="24"/>
        </w:rPr>
      </w:pPr>
    </w:p>
    <w:p w14:paraId="3814766E" w14:textId="15863926" w:rsidR="00324ADE" w:rsidRDefault="00324ADE" w:rsidP="00F9028B">
      <w:pPr>
        <w:contextualSpacing/>
        <w:rPr>
          <w:sz w:val="24"/>
          <w:szCs w:val="24"/>
        </w:rPr>
      </w:pPr>
    </w:p>
    <w:p w14:paraId="594B1C01" w14:textId="2D4F3564" w:rsidR="00324ADE" w:rsidRDefault="00324ADE" w:rsidP="00F9028B">
      <w:pPr>
        <w:contextualSpacing/>
        <w:rPr>
          <w:sz w:val="24"/>
          <w:szCs w:val="24"/>
        </w:rPr>
      </w:pPr>
    </w:p>
    <w:p w14:paraId="52BFF72C" w14:textId="0197676D" w:rsidR="00324ADE" w:rsidRDefault="00324ADE" w:rsidP="00F9028B">
      <w:pPr>
        <w:contextualSpacing/>
        <w:rPr>
          <w:sz w:val="24"/>
          <w:szCs w:val="24"/>
        </w:rPr>
      </w:pPr>
    </w:p>
    <w:p w14:paraId="28677BF1" w14:textId="77777777" w:rsidR="00324ADE" w:rsidRDefault="00324ADE" w:rsidP="00F9028B">
      <w:pPr>
        <w:contextualSpacing/>
        <w:rPr>
          <w:sz w:val="24"/>
          <w:szCs w:val="24"/>
        </w:rPr>
      </w:pPr>
    </w:p>
    <w:p w14:paraId="56BE9993" w14:textId="77777777" w:rsidR="00124D79" w:rsidRDefault="00124D79" w:rsidP="00F9028B">
      <w:pPr>
        <w:contextualSpacing/>
        <w:rPr>
          <w:sz w:val="24"/>
          <w:szCs w:val="24"/>
        </w:rPr>
      </w:pPr>
    </w:p>
    <w:p w14:paraId="551CA0D0" w14:textId="49D77335" w:rsidR="006F0D0E" w:rsidRPr="00F61FBE" w:rsidRDefault="004E2921" w:rsidP="00F9028B">
      <w:pPr>
        <w:contextualSpacing/>
        <w:rPr>
          <w:sz w:val="24"/>
          <w:szCs w:val="24"/>
        </w:rPr>
      </w:pPr>
      <w:r w:rsidRPr="00F61FBE">
        <w:rPr>
          <w:sz w:val="24"/>
          <w:szCs w:val="24"/>
        </w:rPr>
        <w:t>REFERENCES</w:t>
      </w:r>
    </w:p>
    <w:p w14:paraId="696B8E6B" w14:textId="77777777" w:rsidR="004E2921" w:rsidRDefault="004E2921" w:rsidP="00F9028B">
      <w:pPr>
        <w:contextualSpacing/>
        <w:rPr>
          <w:sz w:val="24"/>
          <w:szCs w:val="24"/>
        </w:rPr>
      </w:pPr>
    </w:p>
    <w:p w14:paraId="759F0C21" w14:textId="7A8F7BDD" w:rsidR="00DD2A4F" w:rsidRPr="00DD2A4F" w:rsidRDefault="004E2921" w:rsidP="00DD2A4F">
      <w:pPr>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DD2A4F" w:rsidRPr="00DD2A4F">
        <w:rPr>
          <w:noProof/>
          <w:sz w:val="24"/>
          <w:szCs w:val="24"/>
        </w:rPr>
        <w:t xml:space="preserve">Bekker-Grob, Esther W. de, Bas Donkers, Marcel F. Jonker, and Elly A. Stolk. 2015. “Sample Size Requirements for Discrete-Choice Experiments in Healthcare: A Practical Guide.” </w:t>
      </w:r>
      <w:r w:rsidR="00DD2A4F" w:rsidRPr="00DD2A4F">
        <w:rPr>
          <w:i/>
          <w:iCs/>
          <w:noProof/>
          <w:sz w:val="24"/>
          <w:szCs w:val="24"/>
        </w:rPr>
        <w:t>Patient</w:t>
      </w:r>
      <w:r w:rsidR="00DD2A4F" w:rsidRPr="00DD2A4F">
        <w:rPr>
          <w:noProof/>
          <w:sz w:val="24"/>
          <w:szCs w:val="24"/>
        </w:rPr>
        <w:t xml:space="preserve"> 8 (5): 373–84.</w:t>
      </w:r>
    </w:p>
    <w:p w14:paraId="71A13ED4" w14:textId="77777777" w:rsidR="00DD2A4F" w:rsidRPr="00DD2A4F" w:rsidRDefault="00DD2A4F" w:rsidP="00DD2A4F">
      <w:pPr>
        <w:ind w:left="480" w:hanging="480"/>
        <w:rPr>
          <w:noProof/>
          <w:sz w:val="24"/>
          <w:szCs w:val="24"/>
        </w:rPr>
      </w:pPr>
      <w:r w:rsidRPr="00DD2A4F">
        <w:rPr>
          <w:noProof/>
          <w:sz w:val="24"/>
          <w:szCs w:val="24"/>
        </w:rPr>
        <w:t xml:space="preserve">Dillman, Donald A., Jolene D. Smyth, and Leah M. Christian. 2009. </w:t>
      </w:r>
      <w:r w:rsidRPr="00DD2A4F">
        <w:rPr>
          <w:i/>
          <w:iCs/>
          <w:noProof/>
          <w:sz w:val="24"/>
          <w:szCs w:val="24"/>
        </w:rPr>
        <w:t>Internet, Mail, and Mixed-Mode Surveys: The Tailored Design Method</w:t>
      </w:r>
      <w:r w:rsidRPr="00DD2A4F">
        <w:rPr>
          <w:noProof/>
          <w:sz w:val="24"/>
          <w:szCs w:val="24"/>
        </w:rPr>
        <w:t>. 3rd ed. New York: Wiley.</w:t>
      </w:r>
    </w:p>
    <w:p w14:paraId="51F43A22" w14:textId="77777777" w:rsidR="00DD2A4F" w:rsidRPr="00DD2A4F" w:rsidRDefault="00DD2A4F" w:rsidP="00DD2A4F">
      <w:pPr>
        <w:ind w:left="480" w:hanging="480"/>
        <w:rPr>
          <w:noProof/>
          <w:sz w:val="24"/>
          <w:szCs w:val="24"/>
        </w:rPr>
      </w:pPr>
      <w:r w:rsidRPr="00DD2A4F">
        <w:rPr>
          <w:noProof/>
          <w:sz w:val="24"/>
          <w:szCs w:val="24"/>
        </w:rPr>
        <w:t xml:space="preserve">Groves, Robert M. 2006. “Nonresponse Rates and Nonresponse Bias in Household Surveys.” </w:t>
      </w:r>
      <w:r w:rsidRPr="00DD2A4F">
        <w:rPr>
          <w:i/>
          <w:iCs/>
          <w:noProof/>
          <w:sz w:val="24"/>
          <w:szCs w:val="24"/>
        </w:rPr>
        <w:t>Public Opinion Quarterly</w:t>
      </w:r>
      <w:r w:rsidRPr="00DD2A4F">
        <w:rPr>
          <w:noProof/>
          <w:sz w:val="24"/>
          <w:szCs w:val="24"/>
        </w:rPr>
        <w:t xml:space="preserve"> 70 (5): 646–75.</w:t>
      </w:r>
    </w:p>
    <w:p w14:paraId="21671294" w14:textId="77777777" w:rsidR="00DD2A4F" w:rsidRPr="00DD2A4F" w:rsidRDefault="00DD2A4F" w:rsidP="00DD2A4F">
      <w:pPr>
        <w:ind w:left="480" w:hanging="480"/>
        <w:rPr>
          <w:noProof/>
          <w:sz w:val="24"/>
          <w:szCs w:val="24"/>
        </w:rPr>
      </w:pPr>
      <w:r w:rsidRPr="00DD2A4F">
        <w:rPr>
          <w:noProof/>
          <w:sz w:val="24"/>
          <w:szCs w:val="24"/>
        </w:rPr>
        <w:t>Lee, Min-Yang, Scott Steinback, and Kristy Wallmo. 2017. “Applying a Bioeconomic Model to Recreational Fisheries Management: Groundfish in the Northeast United States” 32 (2).</w:t>
      </w:r>
    </w:p>
    <w:p w14:paraId="0A4084A5" w14:textId="77777777" w:rsidR="00DD2A4F" w:rsidRPr="00DD2A4F" w:rsidRDefault="00DD2A4F" w:rsidP="00DD2A4F">
      <w:pPr>
        <w:ind w:left="480" w:hanging="480"/>
        <w:rPr>
          <w:noProof/>
          <w:sz w:val="24"/>
          <w:szCs w:val="24"/>
        </w:rPr>
      </w:pPr>
      <w:r w:rsidRPr="00DD2A4F">
        <w:rPr>
          <w:noProof/>
          <w:sz w:val="24"/>
          <w:szCs w:val="24"/>
        </w:rPr>
        <w:t xml:space="preserve">Louiviere, Jordan J., David A. Hensher, and Joffre D. Swait. 2000. </w:t>
      </w:r>
      <w:r w:rsidRPr="00DD2A4F">
        <w:rPr>
          <w:i/>
          <w:iCs/>
          <w:noProof/>
          <w:sz w:val="24"/>
          <w:szCs w:val="24"/>
        </w:rPr>
        <w:t>Stated Choice Methods: Analysis and Applications</w:t>
      </w:r>
      <w:r w:rsidRPr="00DD2A4F">
        <w:rPr>
          <w:noProof/>
          <w:sz w:val="24"/>
          <w:szCs w:val="24"/>
        </w:rPr>
        <w:t>. Cambridge University Press.</w:t>
      </w:r>
    </w:p>
    <w:p w14:paraId="682D6F5A" w14:textId="77777777" w:rsidR="00DD2A4F" w:rsidRPr="00DD2A4F" w:rsidRDefault="00DD2A4F" w:rsidP="00DD2A4F">
      <w:pPr>
        <w:ind w:left="480" w:hanging="480"/>
        <w:rPr>
          <w:noProof/>
          <w:sz w:val="24"/>
          <w:szCs w:val="24"/>
        </w:rPr>
      </w:pPr>
      <w:r w:rsidRPr="00DD2A4F">
        <w:rPr>
          <w:noProof/>
          <w:sz w:val="24"/>
          <w:szCs w:val="24"/>
        </w:rPr>
        <w:t xml:space="preserve">McFadden, Daniel. 1973. “Conditional Logit Analysis of Qualitative Choice Behavior.” In </w:t>
      </w:r>
      <w:r w:rsidRPr="00DD2A4F">
        <w:rPr>
          <w:i/>
          <w:iCs/>
          <w:noProof/>
          <w:sz w:val="24"/>
          <w:szCs w:val="24"/>
        </w:rPr>
        <w:t>Frontiers in Econometrics</w:t>
      </w:r>
      <w:r w:rsidRPr="00DD2A4F">
        <w:rPr>
          <w:noProof/>
          <w:sz w:val="24"/>
          <w:szCs w:val="24"/>
        </w:rPr>
        <w:t>, 105–142. New York.</w:t>
      </w:r>
    </w:p>
    <w:p w14:paraId="3215BF7D" w14:textId="77777777" w:rsidR="00DD2A4F" w:rsidRPr="00DD2A4F" w:rsidRDefault="00DD2A4F" w:rsidP="00DD2A4F">
      <w:pPr>
        <w:ind w:left="480" w:hanging="480"/>
        <w:rPr>
          <w:noProof/>
          <w:sz w:val="24"/>
        </w:rPr>
      </w:pPr>
      <w:r w:rsidRPr="00DD2A4F">
        <w:rPr>
          <w:noProof/>
          <w:sz w:val="24"/>
          <w:szCs w:val="24"/>
        </w:rPr>
        <w:t xml:space="preserve">Train, Kenneth. 2003. </w:t>
      </w:r>
      <w:r w:rsidRPr="00DD2A4F">
        <w:rPr>
          <w:i/>
          <w:iCs/>
          <w:noProof/>
          <w:sz w:val="24"/>
          <w:szCs w:val="24"/>
        </w:rPr>
        <w:t>Discrete Choice Methods with Simulation</w:t>
      </w:r>
      <w:r w:rsidRPr="00DD2A4F">
        <w:rPr>
          <w:noProof/>
          <w:sz w:val="24"/>
          <w:szCs w:val="24"/>
        </w:rPr>
        <w:t>. New York: Cambridge University Press.</w:t>
      </w:r>
    </w:p>
    <w:p w14:paraId="26A5C30C" w14:textId="47EEF82D" w:rsidR="004E2921" w:rsidRPr="00C93614" w:rsidRDefault="004E2921" w:rsidP="00F9028B">
      <w:pPr>
        <w:contextualSpacing/>
        <w:rPr>
          <w:sz w:val="24"/>
          <w:szCs w:val="24"/>
        </w:rPr>
      </w:pPr>
      <w:r>
        <w:rPr>
          <w:sz w:val="24"/>
          <w:szCs w:val="24"/>
        </w:rPr>
        <w:fldChar w:fldCharType="end"/>
      </w:r>
    </w:p>
    <w:p w14:paraId="268163B4" w14:textId="77777777" w:rsidR="00C93614" w:rsidRPr="00C93614" w:rsidRDefault="00C93614" w:rsidP="00F9028B">
      <w:pPr>
        <w:contextualSpacing/>
      </w:pPr>
    </w:p>
    <w:p w14:paraId="4CDAA54A" w14:textId="77777777" w:rsidR="00C93614" w:rsidRPr="00C93614" w:rsidRDefault="00C93614" w:rsidP="00F9028B">
      <w:pPr>
        <w:contextualSpacing/>
      </w:pPr>
    </w:p>
    <w:p w14:paraId="7B03EADC" w14:textId="77777777" w:rsidR="00C93614" w:rsidRDefault="00C93614" w:rsidP="00F9028B">
      <w:pPr>
        <w:contextualSpacing/>
        <w:rPr>
          <w:sz w:val="24"/>
          <w:szCs w:val="24"/>
        </w:rPr>
      </w:pPr>
    </w:p>
    <w:p w14:paraId="6055F819" w14:textId="77777777" w:rsidR="00692B06" w:rsidRDefault="00692B06" w:rsidP="00F9028B">
      <w:pPr>
        <w:contextualSpacing/>
      </w:pPr>
    </w:p>
    <w:sectPr w:rsidR="00692B06" w:rsidSect="00583309">
      <w:footerReference w:type="default" r:id="rId11"/>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8C756" w14:textId="77777777" w:rsidR="00352235" w:rsidRDefault="00352235">
      <w:r>
        <w:separator/>
      </w:r>
    </w:p>
  </w:endnote>
  <w:endnote w:type="continuationSeparator" w:id="0">
    <w:p w14:paraId="1F038D75" w14:textId="77777777" w:rsidR="00352235" w:rsidRDefault="0035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E724" w14:textId="191D9FA2" w:rsidR="00E305A5" w:rsidRDefault="00E305A5">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83784A">
      <w:rPr>
        <w:rStyle w:val="PageNumber"/>
        <w:noProof/>
        <w:sz w:val="24"/>
        <w:szCs w:val="24"/>
      </w:rPr>
      <w:t>1</w:t>
    </w:r>
    <w:r>
      <w:rPr>
        <w:rStyle w:val="PageNumber"/>
        <w:sz w:val="24"/>
        <w:szCs w:val="24"/>
      </w:rPr>
      <w:fldChar w:fldCharType="end"/>
    </w:r>
  </w:p>
  <w:p w14:paraId="1DCE372F" w14:textId="77777777" w:rsidR="00E305A5" w:rsidRDefault="00E3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341EC" w14:textId="77777777" w:rsidR="00352235" w:rsidRDefault="00352235">
      <w:r>
        <w:separator/>
      </w:r>
    </w:p>
  </w:footnote>
  <w:footnote w:type="continuationSeparator" w:id="0">
    <w:p w14:paraId="32B15219" w14:textId="77777777" w:rsidR="00352235" w:rsidRDefault="00352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C1E"/>
    <w:multiLevelType w:val="hybridMultilevel"/>
    <w:tmpl w:val="A1B04AF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61131"/>
    <w:multiLevelType w:val="hybridMultilevel"/>
    <w:tmpl w:val="8C8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A66B9"/>
    <w:multiLevelType w:val="hybridMultilevel"/>
    <w:tmpl w:val="14A0A4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811D5"/>
    <w:multiLevelType w:val="hybridMultilevel"/>
    <w:tmpl w:val="9DFA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50DB9"/>
    <w:multiLevelType w:val="hybridMultilevel"/>
    <w:tmpl w:val="04A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95F21"/>
    <w:multiLevelType w:val="hybridMultilevel"/>
    <w:tmpl w:val="5E5676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C087E"/>
    <w:multiLevelType w:val="hybridMultilevel"/>
    <w:tmpl w:val="630072D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E676729"/>
    <w:multiLevelType w:val="hybridMultilevel"/>
    <w:tmpl w:val="B5F03228"/>
    <w:lvl w:ilvl="0" w:tplc="E378098C">
      <w:start w:val="1"/>
      <w:numFmt w:val="decimal"/>
      <w:pStyle w:val="Style2"/>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A22BB7"/>
    <w:multiLevelType w:val="hybridMultilevel"/>
    <w:tmpl w:val="905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A6EA7"/>
    <w:multiLevelType w:val="hybridMultilevel"/>
    <w:tmpl w:val="97D0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4150A"/>
    <w:multiLevelType w:val="hybridMultilevel"/>
    <w:tmpl w:val="488447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1A5B18"/>
    <w:multiLevelType w:val="hybridMultilevel"/>
    <w:tmpl w:val="066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C2930"/>
    <w:multiLevelType w:val="hybridMultilevel"/>
    <w:tmpl w:val="76864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E312A1"/>
    <w:multiLevelType w:val="hybridMultilevel"/>
    <w:tmpl w:val="BA083812"/>
    <w:lvl w:ilvl="0" w:tplc="54E68AEA">
      <w:start w:val="2"/>
      <w:numFmt w:val="upperLetter"/>
      <w:pStyle w:val="Style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C10F6D"/>
    <w:multiLevelType w:val="hybridMultilevel"/>
    <w:tmpl w:val="0EC8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5B2D8F"/>
    <w:multiLevelType w:val="hybridMultilevel"/>
    <w:tmpl w:val="1D9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853B8"/>
    <w:multiLevelType w:val="hybridMultilevel"/>
    <w:tmpl w:val="0A1EA5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777564D"/>
    <w:multiLevelType w:val="hybridMultilevel"/>
    <w:tmpl w:val="08F2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F35E7"/>
    <w:multiLevelType w:val="hybridMultilevel"/>
    <w:tmpl w:val="3CE696E0"/>
    <w:lvl w:ilvl="0" w:tplc="D6806ECE">
      <w:start w:val="1"/>
      <w:numFmt w:val="decimal"/>
      <w:lvlText w:val="%1."/>
      <w:lvlJc w:val="left"/>
      <w:pPr>
        <w:ind w:left="36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E2534"/>
    <w:multiLevelType w:val="hybridMultilevel"/>
    <w:tmpl w:val="01E4F3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70E6B"/>
    <w:multiLevelType w:val="hybridMultilevel"/>
    <w:tmpl w:val="761C7306"/>
    <w:lvl w:ilvl="0" w:tplc="39A61A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12"/>
  </w:num>
  <w:num w:numId="4">
    <w:abstractNumId w:val="5"/>
  </w:num>
  <w:num w:numId="5">
    <w:abstractNumId w:val="10"/>
  </w:num>
  <w:num w:numId="6">
    <w:abstractNumId w:val="13"/>
  </w:num>
  <w:num w:numId="7">
    <w:abstractNumId w:val="7"/>
  </w:num>
  <w:num w:numId="8">
    <w:abstractNumId w:val="20"/>
  </w:num>
  <w:num w:numId="9">
    <w:abstractNumId w:val="14"/>
  </w:num>
  <w:num w:numId="10">
    <w:abstractNumId w:val="19"/>
  </w:num>
  <w:num w:numId="11">
    <w:abstractNumId w:val="16"/>
  </w:num>
  <w:num w:numId="12">
    <w:abstractNumId w:val="6"/>
  </w:num>
  <w:num w:numId="13">
    <w:abstractNumId w:val="2"/>
  </w:num>
  <w:num w:numId="14">
    <w:abstractNumId w:val="0"/>
  </w:num>
  <w:num w:numId="15">
    <w:abstractNumId w:val="7"/>
    <w:lvlOverride w:ilvl="0">
      <w:startOverride w:val="1"/>
    </w:lvlOverride>
  </w:num>
  <w:num w:numId="16">
    <w:abstractNumId w:val="7"/>
  </w:num>
  <w:num w:numId="17">
    <w:abstractNumId w:val="7"/>
    <w:lvlOverride w:ilvl="0">
      <w:startOverride w:val="2"/>
    </w:lvlOverride>
  </w:num>
  <w:num w:numId="18">
    <w:abstractNumId w:val="18"/>
  </w:num>
  <w:num w:numId="19">
    <w:abstractNumId w:val="7"/>
    <w:lvlOverride w:ilvl="0">
      <w:startOverride w:val="1"/>
    </w:lvlOverride>
  </w:num>
  <w:num w:numId="20">
    <w:abstractNumId w:val="15"/>
  </w:num>
  <w:num w:numId="21">
    <w:abstractNumId w:val="9"/>
  </w:num>
  <w:num w:numId="22">
    <w:abstractNumId w:val="4"/>
  </w:num>
  <w:num w:numId="23">
    <w:abstractNumId w:val="1"/>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09"/>
    <w:rsid w:val="0002376D"/>
    <w:rsid w:val="00023B34"/>
    <w:rsid w:val="000329C0"/>
    <w:rsid w:val="00033998"/>
    <w:rsid w:val="00035261"/>
    <w:rsid w:val="000369A2"/>
    <w:rsid w:val="00046343"/>
    <w:rsid w:val="0005041D"/>
    <w:rsid w:val="00053A28"/>
    <w:rsid w:val="00065C61"/>
    <w:rsid w:val="00082D4B"/>
    <w:rsid w:val="0008555A"/>
    <w:rsid w:val="00090AC2"/>
    <w:rsid w:val="00094BB7"/>
    <w:rsid w:val="000B43D0"/>
    <w:rsid w:val="000D04E7"/>
    <w:rsid w:val="000D1B0B"/>
    <w:rsid w:val="000D3262"/>
    <w:rsid w:val="000D52EA"/>
    <w:rsid w:val="000F1309"/>
    <w:rsid w:val="000F2465"/>
    <w:rsid w:val="00104893"/>
    <w:rsid w:val="0010597A"/>
    <w:rsid w:val="00110426"/>
    <w:rsid w:val="00111770"/>
    <w:rsid w:val="00124D79"/>
    <w:rsid w:val="001277DA"/>
    <w:rsid w:val="00143AAD"/>
    <w:rsid w:val="00160420"/>
    <w:rsid w:val="001620B9"/>
    <w:rsid w:val="00174C78"/>
    <w:rsid w:val="00180883"/>
    <w:rsid w:val="00185731"/>
    <w:rsid w:val="001931AE"/>
    <w:rsid w:val="0019720C"/>
    <w:rsid w:val="001A00A1"/>
    <w:rsid w:val="001A1E0B"/>
    <w:rsid w:val="001B5802"/>
    <w:rsid w:val="001C337D"/>
    <w:rsid w:val="001C47F7"/>
    <w:rsid w:val="001D235D"/>
    <w:rsid w:val="001F69F9"/>
    <w:rsid w:val="001F7DD1"/>
    <w:rsid w:val="001F7F39"/>
    <w:rsid w:val="00203CE7"/>
    <w:rsid w:val="00216E62"/>
    <w:rsid w:val="00227793"/>
    <w:rsid w:val="00233D09"/>
    <w:rsid w:val="00275199"/>
    <w:rsid w:val="00283B65"/>
    <w:rsid w:val="00292FD8"/>
    <w:rsid w:val="00297BE2"/>
    <w:rsid w:val="002A675D"/>
    <w:rsid w:val="002B069B"/>
    <w:rsid w:val="002B6154"/>
    <w:rsid w:val="002C0672"/>
    <w:rsid w:val="002C1C15"/>
    <w:rsid w:val="002C1FEB"/>
    <w:rsid w:val="002D37DB"/>
    <w:rsid w:val="002D468B"/>
    <w:rsid w:val="002D5EBB"/>
    <w:rsid w:val="002D6ADE"/>
    <w:rsid w:val="002E5790"/>
    <w:rsid w:val="002F33EF"/>
    <w:rsid w:val="00301313"/>
    <w:rsid w:val="003238A8"/>
    <w:rsid w:val="00324ADE"/>
    <w:rsid w:val="0035118E"/>
    <w:rsid w:val="00351922"/>
    <w:rsid w:val="00352235"/>
    <w:rsid w:val="00363D78"/>
    <w:rsid w:val="00365609"/>
    <w:rsid w:val="003A7CEB"/>
    <w:rsid w:val="003B2D96"/>
    <w:rsid w:val="003B6D9A"/>
    <w:rsid w:val="003C03B6"/>
    <w:rsid w:val="003C0D37"/>
    <w:rsid w:val="003C130F"/>
    <w:rsid w:val="003C5E71"/>
    <w:rsid w:val="003E1E49"/>
    <w:rsid w:val="003E76EF"/>
    <w:rsid w:val="003E7A55"/>
    <w:rsid w:val="003F0326"/>
    <w:rsid w:val="003F4D9A"/>
    <w:rsid w:val="004033A3"/>
    <w:rsid w:val="004060B3"/>
    <w:rsid w:val="004118A4"/>
    <w:rsid w:val="00413D3E"/>
    <w:rsid w:val="004168EE"/>
    <w:rsid w:val="004177B5"/>
    <w:rsid w:val="0041792D"/>
    <w:rsid w:val="00431E8B"/>
    <w:rsid w:val="0043499D"/>
    <w:rsid w:val="00442962"/>
    <w:rsid w:val="0044306C"/>
    <w:rsid w:val="00450CF2"/>
    <w:rsid w:val="00460FBE"/>
    <w:rsid w:val="0046291A"/>
    <w:rsid w:val="0046517C"/>
    <w:rsid w:val="00467386"/>
    <w:rsid w:val="004804B1"/>
    <w:rsid w:val="00481079"/>
    <w:rsid w:val="004813B5"/>
    <w:rsid w:val="00485C76"/>
    <w:rsid w:val="004861DB"/>
    <w:rsid w:val="004B3D0F"/>
    <w:rsid w:val="004D4E40"/>
    <w:rsid w:val="004E2921"/>
    <w:rsid w:val="004F5C57"/>
    <w:rsid w:val="00504D77"/>
    <w:rsid w:val="005213FC"/>
    <w:rsid w:val="00530400"/>
    <w:rsid w:val="0053134A"/>
    <w:rsid w:val="00544113"/>
    <w:rsid w:val="00547067"/>
    <w:rsid w:val="00554E89"/>
    <w:rsid w:val="00555A30"/>
    <w:rsid w:val="00574290"/>
    <w:rsid w:val="00583309"/>
    <w:rsid w:val="005A27DB"/>
    <w:rsid w:val="005A4198"/>
    <w:rsid w:val="005A4848"/>
    <w:rsid w:val="005B755F"/>
    <w:rsid w:val="005D2A9C"/>
    <w:rsid w:val="005E301C"/>
    <w:rsid w:val="005E4B1B"/>
    <w:rsid w:val="005F36D9"/>
    <w:rsid w:val="00602066"/>
    <w:rsid w:val="006068E9"/>
    <w:rsid w:val="00606D0F"/>
    <w:rsid w:val="0061708B"/>
    <w:rsid w:val="00620C54"/>
    <w:rsid w:val="00625904"/>
    <w:rsid w:val="00632292"/>
    <w:rsid w:val="00632E1E"/>
    <w:rsid w:val="0064293D"/>
    <w:rsid w:val="00646FAA"/>
    <w:rsid w:val="00651F08"/>
    <w:rsid w:val="006527E2"/>
    <w:rsid w:val="00660268"/>
    <w:rsid w:val="006756D7"/>
    <w:rsid w:val="00690F9E"/>
    <w:rsid w:val="006919CE"/>
    <w:rsid w:val="00692B06"/>
    <w:rsid w:val="0069549E"/>
    <w:rsid w:val="00696957"/>
    <w:rsid w:val="006A08DC"/>
    <w:rsid w:val="006A1886"/>
    <w:rsid w:val="006A1EF0"/>
    <w:rsid w:val="006A3C3D"/>
    <w:rsid w:val="006A683D"/>
    <w:rsid w:val="006D6396"/>
    <w:rsid w:val="006E34C4"/>
    <w:rsid w:val="006E51EC"/>
    <w:rsid w:val="006F0D0E"/>
    <w:rsid w:val="006F4029"/>
    <w:rsid w:val="006F51A7"/>
    <w:rsid w:val="00701635"/>
    <w:rsid w:val="00710A0C"/>
    <w:rsid w:val="00724BE8"/>
    <w:rsid w:val="00735B9B"/>
    <w:rsid w:val="00743E7D"/>
    <w:rsid w:val="00744392"/>
    <w:rsid w:val="0074602D"/>
    <w:rsid w:val="00746313"/>
    <w:rsid w:val="007500A3"/>
    <w:rsid w:val="00776E48"/>
    <w:rsid w:val="0078482F"/>
    <w:rsid w:val="007B6367"/>
    <w:rsid w:val="007C117A"/>
    <w:rsid w:val="007D0B0F"/>
    <w:rsid w:val="007D6551"/>
    <w:rsid w:val="007E0682"/>
    <w:rsid w:val="007E32DB"/>
    <w:rsid w:val="007E50CB"/>
    <w:rsid w:val="007F6F2E"/>
    <w:rsid w:val="00805EA4"/>
    <w:rsid w:val="008172D2"/>
    <w:rsid w:val="00817D4C"/>
    <w:rsid w:val="008227F3"/>
    <w:rsid w:val="00827AA1"/>
    <w:rsid w:val="00831A07"/>
    <w:rsid w:val="00834012"/>
    <w:rsid w:val="0083784A"/>
    <w:rsid w:val="00850A53"/>
    <w:rsid w:val="00853ACE"/>
    <w:rsid w:val="00885B03"/>
    <w:rsid w:val="0089545D"/>
    <w:rsid w:val="008A67E1"/>
    <w:rsid w:val="008A7735"/>
    <w:rsid w:val="008B10C0"/>
    <w:rsid w:val="008B6841"/>
    <w:rsid w:val="008C2A9B"/>
    <w:rsid w:val="008D1D99"/>
    <w:rsid w:val="008D450A"/>
    <w:rsid w:val="008D75F2"/>
    <w:rsid w:val="008E1B0D"/>
    <w:rsid w:val="008E26BF"/>
    <w:rsid w:val="008F095C"/>
    <w:rsid w:val="008F6EC7"/>
    <w:rsid w:val="009026ED"/>
    <w:rsid w:val="00912A8C"/>
    <w:rsid w:val="00925C89"/>
    <w:rsid w:val="00932DC7"/>
    <w:rsid w:val="0093611A"/>
    <w:rsid w:val="00936A85"/>
    <w:rsid w:val="0094229B"/>
    <w:rsid w:val="009517C4"/>
    <w:rsid w:val="009625D6"/>
    <w:rsid w:val="00963389"/>
    <w:rsid w:val="00963E13"/>
    <w:rsid w:val="009679FB"/>
    <w:rsid w:val="009753AC"/>
    <w:rsid w:val="009A057B"/>
    <w:rsid w:val="009A0AD3"/>
    <w:rsid w:val="009A3EE6"/>
    <w:rsid w:val="009A4FC0"/>
    <w:rsid w:val="009A65CD"/>
    <w:rsid w:val="009A65D3"/>
    <w:rsid w:val="009C179D"/>
    <w:rsid w:val="009F08F9"/>
    <w:rsid w:val="009F5692"/>
    <w:rsid w:val="00A03E02"/>
    <w:rsid w:val="00A12FDB"/>
    <w:rsid w:val="00A13200"/>
    <w:rsid w:val="00A16EC2"/>
    <w:rsid w:val="00A26BA0"/>
    <w:rsid w:val="00A272BC"/>
    <w:rsid w:val="00A34C54"/>
    <w:rsid w:val="00A60C0C"/>
    <w:rsid w:val="00A62E79"/>
    <w:rsid w:val="00A657F5"/>
    <w:rsid w:val="00A70AE8"/>
    <w:rsid w:val="00A86116"/>
    <w:rsid w:val="00A92D03"/>
    <w:rsid w:val="00A94AD9"/>
    <w:rsid w:val="00AA3099"/>
    <w:rsid w:val="00AA47A8"/>
    <w:rsid w:val="00AA4FCC"/>
    <w:rsid w:val="00AB6079"/>
    <w:rsid w:val="00AD31E9"/>
    <w:rsid w:val="00AD3676"/>
    <w:rsid w:val="00AD43B0"/>
    <w:rsid w:val="00AF263A"/>
    <w:rsid w:val="00B12896"/>
    <w:rsid w:val="00B16E4C"/>
    <w:rsid w:val="00B24CF8"/>
    <w:rsid w:val="00B270C7"/>
    <w:rsid w:val="00B30503"/>
    <w:rsid w:val="00B30D54"/>
    <w:rsid w:val="00B40765"/>
    <w:rsid w:val="00B44163"/>
    <w:rsid w:val="00B45B23"/>
    <w:rsid w:val="00B46D37"/>
    <w:rsid w:val="00B600EB"/>
    <w:rsid w:val="00B65F03"/>
    <w:rsid w:val="00B72E74"/>
    <w:rsid w:val="00B80DC0"/>
    <w:rsid w:val="00B86BC4"/>
    <w:rsid w:val="00BB2BC6"/>
    <w:rsid w:val="00BB49F2"/>
    <w:rsid w:val="00BC1596"/>
    <w:rsid w:val="00BC5638"/>
    <w:rsid w:val="00BC655A"/>
    <w:rsid w:val="00BD52C8"/>
    <w:rsid w:val="00BE5DA2"/>
    <w:rsid w:val="00BE71E6"/>
    <w:rsid w:val="00BE7948"/>
    <w:rsid w:val="00BF335E"/>
    <w:rsid w:val="00BF6FF2"/>
    <w:rsid w:val="00C066F9"/>
    <w:rsid w:val="00C23906"/>
    <w:rsid w:val="00C42F49"/>
    <w:rsid w:val="00C45C3F"/>
    <w:rsid w:val="00C54F7F"/>
    <w:rsid w:val="00C56A37"/>
    <w:rsid w:val="00C7479A"/>
    <w:rsid w:val="00C77DB2"/>
    <w:rsid w:val="00C91521"/>
    <w:rsid w:val="00C93614"/>
    <w:rsid w:val="00C94E9D"/>
    <w:rsid w:val="00C971B7"/>
    <w:rsid w:val="00C9749F"/>
    <w:rsid w:val="00CA0835"/>
    <w:rsid w:val="00CA0910"/>
    <w:rsid w:val="00CB10BC"/>
    <w:rsid w:val="00CB2298"/>
    <w:rsid w:val="00CB47EB"/>
    <w:rsid w:val="00D10F09"/>
    <w:rsid w:val="00D112F0"/>
    <w:rsid w:val="00D11456"/>
    <w:rsid w:val="00D37293"/>
    <w:rsid w:val="00D37C89"/>
    <w:rsid w:val="00D4420B"/>
    <w:rsid w:val="00D5168F"/>
    <w:rsid w:val="00D525DA"/>
    <w:rsid w:val="00D57067"/>
    <w:rsid w:val="00D6101B"/>
    <w:rsid w:val="00D655D1"/>
    <w:rsid w:val="00D661C1"/>
    <w:rsid w:val="00D70C3D"/>
    <w:rsid w:val="00D84DFA"/>
    <w:rsid w:val="00DA1383"/>
    <w:rsid w:val="00DA4DFB"/>
    <w:rsid w:val="00DA7C30"/>
    <w:rsid w:val="00DB2277"/>
    <w:rsid w:val="00DB64CF"/>
    <w:rsid w:val="00DB6675"/>
    <w:rsid w:val="00DC04A4"/>
    <w:rsid w:val="00DC5339"/>
    <w:rsid w:val="00DC61F6"/>
    <w:rsid w:val="00DD2A4F"/>
    <w:rsid w:val="00DD4E8D"/>
    <w:rsid w:val="00DE7BE4"/>
    <w:rsid w:val="00DF5DAD"/>
    <w:rsid w:val="00E0044F"/>
    <w:rsid w:val="00E02D8A"/>
    <w:rsid w:val="00E12028"/>
    <w:rsid w:val="00E153AF"/>
    <w:rsid w:val="00E25DA6"/>
    <w:rsid w:val="00E305A5"/>
    <w:rsid w:val="00E447F5"/>
    <w:rsid w:val="00E4750E"/>
    <w:rsid w:val="00E64CCD"/>
    <w:rsid w:val="00E735FE"/>
    <w:rsid w:val="00E82AD6"/>
    <w:rsid w:val="00E82D1F"/>
    <w:rsid w:val="00E82FCD"/>
    <w:rsid w:val="00E86166"/>
    <w:rsid w:val="00EB413D"/>
    <w:rsid w:val="00EC1AA5"/>
    <w:rsid w:val="00EC50C9"/>
    <w:rsid w:val="00ED47DF"/>
    <w:rsid w:val="00ED4A71"/>
    <w:rsid w:val="00ED5E08"/>
    <w:rsid w:val="00ED74A0"/>
    <w:rsid w:val="00EE3D5A"/>
    <w:rsid w:val="00EF6E38"/>
    <w:rsid w:val="00F1364D"/>
    <w:rsid w:val="00F221CF"/>
    <w:rsid w:val="00F56A61"/>
    <w:rsid w:val="00F61FBE"/>
    <w:rsid w:val="00F8286B"/>
    <w:rsid w:val="00F83CB3"/>
    <w:rsid w:val="00F87F3F"/>
    <w:rsid w:val="00F9028B"/>
    <w:rsid w:val="00F904F1"/>
    <w:rsid w:val="00F94B07"/>
    <w:rsid w:val="00F95187"/>
    <w:rsid w:val="00FA1801"/>
    <w:rsid w:val="00FC658A"/>
    <w:rsid w:val="00FF3BE8"/>
    <w:rsid w:val="00FF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3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09"/>
    <w:pPr>
      <w:widowControl w:val="0"/>
      <w:autoSpaceDE w:val="0"/>
      <w:autoSpaceDN w:val="0"/>
      <w:adjustRightInd w:val="0"/>
      <w:spacing w:after="0"/>
    </w:pPr>
    <w:rPr>
      <w:rFonts w:eastAsia="Times New Roman" w:cs="Times New Roman"/>
      <w:sz w:val="20"/>
      <w:szCs w:val="20"/>
    </w:rPr>
  </w:style>
  <w:style w:type="paragraph" w:styleId="Heading1">
    <w:name w:val="heading 1"/>
    <w:basedOn w:val="Normal"/>
    <w:next w:val="Normal"/>
    <w:link w:val="Heading1Char"/>
    <w:uiPriority w:val="9"/>
    <w:qFormat/>
    <w:rsid w:val="00460F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0F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3309"/>
    <w:pPr>
      <w:tabs>
        <w:tab w:val="center" w:pos="4320"/>
        <w:tab w:val="right" w:pos="8640"/>
      </w:tabs>
    </w:pPr>
  </w:style>
  <w:style w:type="character" w:customStyle="1" w:styleId="FooterChar">
    <w:name w:val="Footer Char"/>
    <w:basedOn w:val="DefaultParagraphFont"/>
    <w:link w:val="Footer"/>
    <w:rsid w:val="00583309"/>
    <w:rPr>
      <w:rFonts w:eastAsia="Times New Roman" w:cs="Times New Roman"/>
      <w:sz w:val="20"/>
      <w:szCs w:val="20"/>
    </w:rPr>
  </w:style>
  <w:style w:type="character" w:styleId="PageNumber">
    <w:name w:val="page number"/>
    <w:basedOn w:val="DefaultParagraphFont"/>
    <w:rsid w:val="00583309"/>
  </w:style>
  <w:style w:type="character" w:styleId="Hyperlink">
    <w:name w:val="Hyperlink"/>
    <w:uiPriority w:val="99"/>
    <w:rsid w:val="00583309"/>
    <w:rPr>
      <w:color w:val="0000FF"/>
      <w:u w:val="single"/>
    </w:rPr>
  </w:style>
  <w:style w:type="paragraph" w:styleId="ListParagraph">
    <w:name w:val="List Paragraph"/>
    <w:basedOn w:val="Normal"/>
    <w:uiPriority w:val="34"/>
    <w:qFormat/>
    <w:rsid w:val="00963E13"/>
    <w:pPr>
      <w:ind w:left="720"/>
      <w:contextualSpacing/>
    </w:pPr>
  </w:style>
  <w:style w:type="paragraph" w:styleId="Header">
    <w:name w:val="header"/>
    <w:basedOn w:val="Normal"/>
    <w:link w:val="HeaderChar"/>
    <w:uiPriority w:val="99"/>
    <w:unhideWhenUsed/>
    <w:rsid w:val="00A92D03"/>
    <w:pPr>
      <w:tabs>
        <w:tab w:val="center" w:pos="4680"/>
        <w:tab w:val="right" w:pos="9360"/>
      </w:tabs>
    </w:pPr>
  </w:style>
  <w:style w:type="character" w:customStyle="1" w:styleId="HeaderChar">
    <w:name w:val="Header Char"/>
    <w:basedOn w:val="DefaultParagraphFont"/>
    <w:link w:val="Header"/>
    <w:uiPriority w:val="99"/>
    <w:rsid w:val="00A92D03"/>
    <w:rPr>
      <w:rFonts w:eastAsia="Times New Roman" w:cs="Times New Roman"/>
      <w:sz w:val="20"/>
      <w:szCs w:val="20"/>
    </w:rPr>
  </w:style>
  <w:style w:type="table" w:styleId="TableGrid">
    <w:name w:val="Table Grid"/>
    <w:basedOn w:val="TableNormal"/>
    <w:uiPriority w:val="39"/>
    <w:rsid w:val="00C93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614"/>
    <w:rPr>
      <w:sz w:val="16"/>
      <w:szCs w:val="16"/>
    </w:rPr>
  </w:style>
  <w:style w:type="paragraph" w:styleId="CommentText">
    <w:name w:val="annotation text"/>
    <w:basedOn w:val="Normal"/>
    <w:link w:val="CommentTextChar"/>
    <w:uiPriority w:val="99"/>
    <w:unhideWhenUsed/>
    <w:rsid w:val="00C93614"/>
  </w:style>
  <w:style w:type="character" w:customStyle="1" w:styleId="CommentTextChar">
    <w:name w:val="Comment Text Char"/>
    <w:basedOn w:val="DefaultParagraphFont"/>
    <w:link w:val="CommentText"/>
    <w:uiPriority w:val="99"/>
    <w:rsid w:val="00C93614"/>
    <w:rPr>
      <w:rFonts w:eastAsia="Times New Roman" w:cs="Times New Roman"/>
      <w:sz w:val="20"/>
      <w:szCs w:val="20"/>
    </w:rPr>
  </w:style>
  <w:style w:type="paragraph" w:styleId="BalloonText">
    <w:name w:val="Balloon Text"/>
    <w:basedOn w:val="Normal"/>
    <w:link w:val="BalloonTextChar"/>
    <w:uiPriority w:val="99"/>
    <w:semiHidden/>
    <w:unhideWhenUsed/>
    <w:rsid w:val="00C93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1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118A4"/>
    <w:rPr>
      <w:b/>
      <w:bCs/>
    </w:rPr>
  </w:style>
  <w:style w:type="character" w:customStyle="1" w:styleId="CommentSubjectChar">
    <w:name w:val="Comment Subject Char"/>
    <w:basedOn w:val="CommentTextChar"/>
    <w:link w:val="CommentSubject"/>
    <w:uiPriority w:val="99"/>
    <w:semiHidden/>
    <w:rsid w:val="004118A4"/>
    <w:rPr>
      <w:rFonts w:eastAsia="Times New Roman" w:cs="Times New Roman"/>
      <w:b/>
      <w:bCs/>
      <w:sz w:val="20"/>
      <w:szCs w:val="20"/>
    </w:rPr>
  </w:style>
  <w:style w:type="character" w:styleId="PlaceholderText">
    <w:name w:val="Placeholder Text"/>
    <w:basedOn w:val="DefaultParagraphFont"/>
    <w:uiPriority w:val="99"/>
    <w:semiHidden/>
    <w:rsid w:val="005A27DB"/>
    <w:rPr>
      <w:color w:val="808080"/>
    </w:rPr>
  </w:style>
  <w:style w:type="paragraph" w:styleId="Revision">
    <w:name w:val="Revision"/>
    <w:hidden/>
    <w:uiPriority w:val="99"/>
    <w:semiHidden/>
    <w:rsid w:val="00D5168F"/>
    <w:pPr>
      <w:spacing w:after="0"/>
    </w:pPr>
    <w:rPr>
      <w:rFonts w:eastAsia="Times New Roman" w:cs="Times New Roman"/>
      <w:sz w:val="20"/>
      <w:szCs w:val="20"/>
    </w:rPr>
  </w:style>
  <w:style w:type="character" w:styleId="FollowedHyperlink">
    <w:name w:val="FollowedHyperlink"/>
    <w:basedOn w:val="DefaultParagraphFont"/>
    <w:uiPriority w:val="99"/>
    <w:semiHidden/>
    <w:unhideWhenUsed/>
    <w:rsid w:val="00D11456"/>
    <w:rPr>
      <w:color w:val="954F72" w:themeColor="followedHyperlink"/>
      <w:u w:val="single"/>
    </w:rPr>
  </w:style>
  <w:style w:type="paragraph" w:customStyle="1" w:styleId="Style1">
    <w:name w:val="Style1"/>
    <w:basedOn w:val="Heading1"/>
    <w:next w:val="Normal"/>
    <w:qFormat/>
    <w:rsid w:val="00460FBE"/>
    <w:pPr>
      <w:numPr>
        <w:numId w:val="6"/>
      </w:numPr>
      <w:tabs>
        <w:tab w:val="left" w:pos="720"/>
      </w:tabs>
    </w:pPr>
    <w:rPr>
      <w:rFonts w:ascii="Times New Roman" w:hAnsi="Times New Roman"/>
      <w:b/>
      <w:bCs/>
      <w:color w:val="auto"/>
      <w:sz w:val="24"/>
      <w:szCs w:val="24"/>
    </w:rPr>
  </w:style>
  <w:style w:type="paragraph" w:customStyle="1" w:styleId="Style2">
    <w:name w:val="Style2"/>
    <w:basedOn w:val="Heading2"/>
    <w:next w:val="Normal"/>
    <w:qFormat/>
    <w:rsid w:val="00460FBE"/>
    <w:pPr>
      <w:numPr>
        <w:numId w:val="16"/>
      </w:numPr>
    </w:pPr>
    <w:rPr>
      <w:rFonts w:ascii="Times New Roman" w:hAnsi="Times New Roman"/>
      <w:b/>
      <w:bCs/>
      <w:color w:val="auto"/>
      <w:sz w:val="24"/>
      <w:szCs w:val="24"/>
      <w:u w:val="single"/>
    </w:rPr>
  </w:style>
  <w:style w:type="character" w:customStyle="1" w:styleId="Heading1Char">
    <w:name w:val="Heading 1 Char"/>
    <w:basedOn w:val="DefaultParagraphFont"/>
    <w:link w:val="Heading1"/>
    <w:uiPriority w:val="9"/>
    <w:rsid w:val="00460FBE"/>
    <w:rPr>
      <w:rFonts w:asciiTheme="majorHAnsi" w:eastAsiaTheme="majorEastAsia" w:hAnsiTheme="majorHAnsi" w:cstheme="majorBidi"/>
      <w:color w:val="2F5496" w:themeColor="accent1" w:themeShade="BF"/>
      <w:sz w:val="32"/>
      <w:szCs w:val="32"/>
    </w:rPr>
  </w:style>
  <w:style w:type="paragraph" w:customStyle="1" w:styleId="FirstParagraph">
    <w:name w:val="First Paragraph"/>
    <w:basedOn w:val="BodyText"/>
    <w:next w:val="BodyText"/>
    <w:qFormat/>
    <w:rsid w:val="00F61FBE"/>
    <w:pPr>
      <w:widowControl/>
      <w:autoSpaceDE/>
      <w:autoSpaceDN/>
      <w:adjustRightInd/>
      <w:spacing w:before="180" w:after="180"/>
    </w:pPr>
    <w:rPr>
      <w:rFonts w:eastAsiaTheme="minorHAnsi" w:cstheme="minorBidi"/>
      <w:sz w:val="24"/>
      <w:szCs w:val="24"/>
    </w:rPr>
  </w:style>
  <w:style w:type="character" w:customStyle="1" w:styleId="Heading2Char">
    <w:name w:val="Heading 2 Char"/>
    <w:basedOn w:val="DefaultParagraphFont"/>
    <w:link w:val="Heading2"/>
    <w:uiPriority w:val="9"/>
    <w:semiHidden/>
    <w:rsid w:val="00460FB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61FBE"/>
    <w:pPr>
      <w:spacing w:after="120"/>
    </w:pPr>
  </w:style>
  <w:style w:type="character" w:customStyle="1" w:styleId="BodyTextChar">
    <w:name w:val="Body Text Char"/>
    <w:basedOn w:val="DefaultParagraphFont"/>
    <w:link w:val="BodyText"/>
    <w:uiPriority w:val="99"/>
    <w:semiHidden/>
    <w:rsid w:val="00F61FBE"/>
    <w:rPr>
      <w:rFonts w:eastAsia="Times New Roman" w:cs="Times New Roman"/>
      <w:sz w:val="20"/>
      <w:szCs w:val="20"/>
    </w:rPr>
  </w:style>
  <w:style w:type="table" w:customStyle="1" w:styleId="TableGrid1">
    <w:name w:val="Table Grid1"/>
    <w:basedOn w:val="TableNormal"/>
    <w:next w:val="TableGrid"/>
    <w:uiPriority w:val="39"/>
    <w:rsid w:val="00D84DFA"/>
    <w:pPr>
      <w:spacing w:after="0"/>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09"/>
    <w:pPr>
      <w:widowControl w:val="0"/>
      <w:autoSpaceDE w:val="0"/>
      <w:autoSpaceDN w:val="0"/>
      <w:adjustRightInd w:val="0"/>
      <w:spacing w:after="0"/>
    </w:pPr>
    <w:rPr>
      <w:rFonts w:eastAsia="Times New Roman" w:cs="Times New Roman"/>
      <w:sz w:val="20"/>
      <w:szCs w:val="20"/>
    </w:rPr>
  </w:style>
  <w:style w:type="paragraph" w:styleId="Heading1">
    <w:name w:val="heading 1"/>
    <w:basedOn w:val="Normal"/>
    <w:next w:val="Normal"/>
    <w:link w:val="Heading1Char"/>
    <w:uiPriority w:val="9"/>
    <w:qFormat/>
    <w:rsid w:val="00460F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0F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3309"/>
    <w:pPr>
      <w:tabs>
        <w:tab w:val="center" w:pos="4320"/>
        <w:tab w:val="right" w:pos="8640"/>
      </w:tabs>
    </w:pPr>
  </w:style>
  <w:style w:type="character" w:customStyle="1" w:styleId="FooterChar">
    <w:name w:val="Footer Char"/>
    <w:basedOn w:val="DefaultParagraphFont"/>
    <w:link w:val="Footer"/>
    <w:rsid w:val="00583309"/>
    <w:rPr>
      <w:rFonts w:eastAsia="Times New Roman" w:cs="Times New Roman"/>
      <w:sz w:val="20"/>
      <w:szCs w:val="20"/>
    </w:rPr>
  </w:style>
  <w:style w:type="character" w:styleId="PageNumber">
    <w:name w:val="page number"/>
    <w:basedOn w:val="DefaultParagraphFont"/>
    <w:rsid w:val="00583309"/>
  </w:style>
  <w:style w:type="character" w:styleId="Hyperlink">
    <w:name w:val="Hyperlink"/>
    <w:uiPriority w:val="99"/>
    <w:rsid w:val="00583309"/>
    <w:rPr>
      <w:color w:val="0000FF"/>
      <w:u w:val="single"/>
    </w:rPr>
  </w:style>
  <w:style w:type="paragraph" w:styleId="ListParagraph">
    <w:name w:val="List Paragraph"/>
    <w:basedOn w:val="Normal"/>
    <w:uiPriority w:val="34"/>
    <w:qFormat/>
    <w:rsid w:val="00963E13"/>
    <w:pPr>
      <w:ind w:left="720"/>
      <w:contextualSpacing/>
    </w:pPr>
  </w:style>
  <w:style w:type="paragraph" w:styleId="Header">
    <w:name w:val="header"/>
    <w:basedOn w:val="Normal"/>
    <w:link w:val="HeaderChar"/>
    <w:uiPriority w:val="99"/>
    <w:unhideWhenUsed/>
    <w:rsid w:val="00A92D03"/>
    <w:pPr>
      <w:tabs>
        <w:tab w:val="center" w:pos="4680"/>
        <w:tab w:val="right" w:pos="9360"/>
      </w:tabs>
    </w:pPr>
  </w:style>
  <w:style w:type="character" w:customStyle="1" w:styleId="HeaderChar">
    <w:name w:val="Header Char"/>
    <w:basedOn w:val="DefaultParagraphFont"/>
    <w:link w:val="Header"/>
    <w:uiPriority w:val="99"/>
    <w:rsid w:val="00A92D03"/>
    <w:rPr>
      <w:rFonts w:eastAsia="Times New Roman" w:cs="Times New Roman"/>
      <w:sz w:val="20"/>
      <w:szCs w:val="20"/>
    </w:rPr>
  </w:style>
  <w:style w:type="table" w:styleId="TableGrid">
    <w:name w:val="Table Grid"/>
    <w:basedOn w:val="TableNormal"/>
    <w:uiPriority w:val="39"/>
    <w:rsid w:val="00C93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614"/>
    <w:rPr>
      <w:sz w:val="16"/>
      <w:szCs w:val="16"/>
    </w:rPr>
  </w:style>
  <w:style w:type="paragraph" w:styleId="CommentText">
    <w:name w:val="annotation text"/>
    <w:basedOn w:val="Normal"/>
    <w:link w:val="CommentTextChar"/>
    <w:uiPriority w:val="99"/>
    <w:unhideWhenUsed/>
    <w:rsid w:val="00C93614"/>
  </w:style>
  <w:style w:type="character" w:customStyle="1" w:styleId="CommentTextChar">
    <w:name w:val="Comment Text Char"/>
    <w:basedOn w:val="DefaultParagraphFont"/>
    <w:link w:val="CommentText"/>
    <w:uiPriority w:val="99"/>
    <w:rsid w:val="00C93614"/>
    <w:rPr>
      <w:rFonts w:eastAsia="Times New Roman" w:cs="Times New Roman"/>
      <w:sz w:val="20"/>
      <w:szCs w:val="20"/>
    </w:rPr>
  </w:style>
  <w:style w:type="paragraph" w:styleId="BalloonText">
    <w:name w:val="Balloon Text"/>
    <w:basedOn w:val="Normal"/>
    <w:link w:val="BalloonTextChar"/>
    <w:uiPriority w:val="99"/>
    <w:semiHidden/>
    <w:unhideWhenUsed/>
    <w:rsid w:val="00C93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1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118A4"/>
    <w:rPr>
      <w:b/>
      <w:bCs/>
    </w:rPr>
  </w:style>
  <w:style w:type="character" w:customStyle="1" w:styleId="CommentSubjectChar">
    <w:name w:val="Comment Subject Char"/>
    <w:basedOn w:val="CommentTextChar"/>
    <w:link w:val="CommentSubject"/>
    <w:uiPriority w:val="99"/>
    <w:semiHidden/>
    <w:rsid w:val="004118A4"/>
    <w:rPr>
      <w:rFonts w:eastAsia="Times New Roman" w:cs="Times New Roman"/>
      <w:b/>
      <w:bCs/>
      <w:sz w:val="20"/>
      <w:szCs w:val="20"/>
    </w:rPr>
  </w:style>
  <w:style w:type="character" w:styleId="PlaceholderText">
    <w:name w:val="Placeholder Text"/>
    <w:basedOn w:val="DefaultParagraphFont"/>
    <w:uiPriority w:val="99"/>
    <w:semiHidden/>
    <w:rsid w:val="005A27DB"/>
    <w:rPr>
      <w:color w:val="808080"/>
    </w:rPr>
  </w:style>
  <w:style w:type="paragraph" w:styleId="Revision">
    <w:name w:val="Revision"/>
    <w:hidden/>
    <w:uiPriority w:val="99"/>
    <w:semiHidden/>
    <w:rsid w:val="00D5168F"/>
    <w:pPr>
      <w:spacing w:after="0"/>
    </w:pPr>
    <w:rPr>
      <w:rFonts w:eastAsia="Times New Roman" w:cs="Times New Roman"/>
      <w:sz w:val="20"/>
      <w:szCs w:val="20"/>
    </w:rPr>
  </w:style>
  <w:style w:type="character" w:styleId="FollowedHyperlink">
    <w:name w:val="FollowedHyperlink"/>
    <w:basedOn w:val="DefaultParagraphFont"/>
    <w:uiPriority w:val="99"/>
    <w:semiHidden/>
    <w:unhideWhenUsed/>
    <w:rsid w:val="00D11456"/>
    <w:rPr>
      <w:color w:val="954F72" w:themeColor="followedHyperlink"/>
      <w:u w:val="single"/>
    </w:rPr>
  </w:style>
  <w:style w:type="paragraph" w:customStyle="1" w:styleId="Style1">
    <w:name w:val="Style1"/>
    <w:basedOn w:val="Heading1"/>
    <w:next w:val="Normal"/>
    <w:qFormat/>
    <w:rsid w:val="00460FBE"/>
    <w:pPr>
      <w:numPr>
        <w:numId w:val="6"/>
      </w:numPr>
      <w:tabs>
        <w:tab w:val="left" w:pos="720"/>
      </w:tabs>
    </w:pPr>
    <w:rPr>
      <w:rFonts w:ascii="Times New Roman" w:hAnsi="Times New Roman"/>
      <w:b/>
      <w:bCs/>
      <w:color w:val="auto"/>
      <w:sz w:val="24"/>
      <w:szCs w:val="24"/>
    </w:rPr>
  </w:style>
  <w:style w:type="paragraph" w:customStyle="1" w:styleId="Style2">
    <w:name w:val="Style2"/>
    <w:basedOn w:val="Heading2"/>
    <w:next w:val="Normal"/>
    <w:qFormat/>
    <w:rsid w:val="00460FBE"/>
    <w:pPr>
      <w:numPr>
        <w:numId w:val="16"/>
      </w:numPr>
    </w:pPr>
    <w:rPr>
      <w:rFonts w:ascii="Times New Roman" w:hAnsi="Times New Roman"/>
      <w:b/>
      <w:bCs/>
      <w:color w:val="auto"/>
      <w:sz w:val="24"/>
      <w:szCs w:val="24"/>
      <w:u w:val="single"/>
    </w:rPr>
  </w:style>
  <w:style w:type="character" w:customStyle="1" w:styleId="Heading1Char">
    <w:name w:val="Heading 1 Char"/>
    <w:basedOn w:val="DefaultParagraphFont"/>
    <w:link w:val="Heading1"/>
    <w:uiPriority w:val="9"/>
    <w:rsid w:val="00460FBE"/>
    <w:rPr>
      <w:rFonts w:asciiTheme="majorHAnsi" w:eastAsiaTheme="majorEastAsia" w:hAnsiTheme="majorHAnsi" w:cstheme="majorBidi"/>
      <w:color w:val="2F5496" w:themeColor="accent1" w:themeShade="BF"/>
      <w:sz w:val="32"/>
      <w:szCs w:val="32"/>
    </w:rPr>
  </w:style>
  <w:style w:type="paragraph" w:customStyle="1" w:styleId="FirstParagraph">
    <w:name w:val="First Paragraph"/>
    <w:basedOn w:val="BodyText"/>
    <w:next w:val="BodyText"/>
    <w:qFormat/>
    <w:rsid w:val="00F61FBE"/>
    <w:pPr>
      <w:widowControl/>
      <w:autoSpaceDE/>
      <w:autoSpaceDN/>
      <w:adjustRightInd/>
      <w:spacing w:before="180" w:after="180"/>
    </w:pPr>
    <w:rPr>
      <w:rFonts w:eastAsiaTheme="minorHAnsi" w:cstheme="minorBidi"/>
      <w:sz w:val="24"/>
      <w:szCs w:val="24"/>
    </w:rPr>
  </w:style>
  <w:style w:type="character" w:customStyle="1" w:styleId="Heading2Char">
    <w:name w:val="Heading 2 Char"/>
    <w:basedOn w:val="DefaultParagraphFont"/>
    <w:link w:val="Heading2"/>
    <w:uiPriority w:val="9"/>
    <w:semiHidden/>
    <w:rsid w:val="00460FB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61FBE"/>
    <w:pPr>
      <w:spacing w:after="120"/>
    </w:pPr>
  </w:style>
  <w:style w:type="character" w:customStyle="1" w:styleId="BodyTextChar">
    <w:name w:val="Body Text Char"/>
    <w:basedOn w:val="DefaultParagraphFont"/>
    <w:link w:val="BodyText"/>
    <w:uiPriority w:val="99"/>
    <w:semiHidden/>
    <w:rsid w:val="00F61FBE"/>
    <w:rPr>
      <w:rFonts w:eastAsia="Times New Roman" w:cs="Times New Roman"/>
      <w:sz w:val="20"/>
      <w:szCs w:val="20"/>
    </w:rPr>
  </w:style>
  <w:style w:type="table" w:customStyle="1" w:styleId="TableGrid1">
    <w:name w:val="Table Grid1"/>
    <w:basedOn w:val="TableNormal"/>
    <w:next w:val="TableGrid"/>
    <w:uiPriority w:val="39"/>
    <w:rsid w:val="00D84DFA"/>
    <w:pPr>
      <w:spacing w:after="0"/>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0678">
      <w:bodyDiv w:val="1"/>
      <w:marLeft w:val="0"/>
      <w:marRight w:val="0"/>
      <w:marTop w:val="0"/>
      <w:marBottom w:val="0"/>
      <w:divBdr>
        <w:top w:val="none" w:sz="0" w:space="0" w:color="auto"/>
        <w:left w:val="none" w:sz="0" w:space="0" w:color="auto"/>
        <w:bottom w:val="none" w:sz="0" w:space="0" w:color="auto"/>
        <w:right w:val="none" w:sz="0" w:space="0" w:color="auto"/>
      </w:divBdr>
    </w:div>
    <w:div w:id="456067093">
      <w:bodyDiv w:val="1"/>
      <w:marLeft w:val="0"/>
      <w:marRight w:val="0"/>
      <w:marTop w:val="0"/>
      <w:marBottom w:val="0"/>
      <w:divBdr>
        <w:top w:val="none" w:sz="0" w:space="0" w:color="auto"/>
        <w:left w:val="none" w:sz="0" w:space="0" w:color="auto"/>
        <w:bottom w:val="none" w:sz="0" w:space="0" w:color="auto"/>
        <w:right w:val="none" w:sz="0" w:space="0" w:color="auto"/>
      </w:divBdr>
    </w:div>
    <w:div w:id="464812174">
      <w:bodyDiv w:val="1"/>
      <w:marLeft w:val="0"/>
      <w:marRight w:val="0"/>
      <w:marTop w:val="0"/>
      <w:marBottom w:val="0"/>
      <w:divBdr>
        <w:top w:val="none" w:sz="0" w:space="0" w:color="auto"/>
        <w:left w:val="none" w:sz="0" w:space="0" w:color="auto"/>
        <w:bottom w:val="none" w:sz="0" w:space="0" w:color="auto"/>
        <w:right w:val="none" w:sz="0" w:space="0" w:color="auto"/>
      </w:divBdr>
      <w:divsChild>
        <w:div w:id="534805066">
          <w:marLeft w:val="0"/>
          <w:marRight w:val="0"/>
          <w:marTop w:val="0"/>
          <w:marBottom w:val="0"/>
          <w:divBdr>
            <w:top w:val="none" w:sz="0" w:space="0" w:color="auto"/>
            <w:left w:val="none" w:sz="0" w:space="0" w:color="auto"/>
            <w:bottom w:val="none" w:sz="0" w:space="0" w:color="auto"/>
            <w:right w:val="none" w:sz="0" w:space="0" w:color="auto"/>
          </w:divBdr>
        </w:div>
        <w:div w:id="1064721519">
          <w:marLeft w:val="0"/>
          <w:marRight w:val="0"/>
          <w:marTop w:val="0"/>
          <w:marBottom w:val="0"/>
          <w:divBdr>
            <w:top w:val="none" w:sz="0" w:space="0" w:color="auto"/>
            <w:left w:val="none" w:sz="0" w:space="0" w:color="auto"/>
            <w:bottom w:val="none" w:sz="0" w:space="0" w:color="auto"/>
            <w:right w:val="none" w:sz="0" w:space="0" w:color="auto"/>
          </w:divBdr>
        </w:div>
      </w:divsChild>
    </w:div>
    <w:div w:id="559173764">
      <w:bodyDiv w:val="1"/>
      <w:marLeft w:val="0"/>
      <w:marRight w:val="0"/>
      <w:marTop w:val="0"/>
      <w:marBottom w:val="0"/>
      <w:divBdr>
        <w:top w:val="none" w:sz="0" w:space="0" w:color="auto"/>
        <w:left w:val="none" w:sz="0" w:space="0" w:color="auto"/>
        <w:bottom w:val="none" w:sz="0" w:space="0" w:color="auto"/>
        <w:right w:val="none" w:sz="0" w:space="0" w:color="auto"/>
      </w:divBdr>
      <w:divsChild>
        <w:div w:id="689792562">
          <w:marLeft w:val="0"/>
          <w:marRight w:val="0"/>
          <w:marTop w:val="0"/>
          <w:marBottom w:val="0"/>
          <w:divBdr>
            <w:top w:val="none" w:sz="0" w:space="0" w:color="auto"/>
            <w:left w:val="none" w:sz="0" w:space="0" w:color="auto"/>
            <w:bottom w:val="none" w:sz="0" w:space="0" w:color="auto"/>
            <w:right w:val="none" w:sz="0" w:space="0" w:color="auto"/>
          </w:divBdr>
        </w:div>
        <w:div w:id="2076926911">
          <w:marLeft w:val="0"/>
          <w:marRight w:val="0"/>
          <w:marTop w:val="0"/>
          <w:marBottom w:val="0"/>
          <w:divBdr>
            <w:top w:val="none" w:sz="0" w:space="0" w:color="auto"/>
            <w:left w:val="none" w:sz="0" w:space="0" w:color="auto"/>
            <w:bottom w:val="none" w:sz="0" w:space="0" w:color="auto"/>
            <w:right w:val="none" w:sz="0" w:space="0" w:color="auto"/>
          </w:divBdr>
        </w:div>
      </w:divsChild>
    </w:div>
    <w:div w:id="1036538217">
      <w:bodyDiv w:val="1"/>
      <w:marLeft w:val="0"/>
      <w:marRight w:val="0"/>
      <w:marTop w:val="0"/>
      <w:marBottom w:val="0"/>
      <w:divBdr>
        <w:top w:val="none" w:sz="0" w:space="0" w:color="auto"/>
        <w:left w:val="none" w:sz="0" w:space="0" w:color="auto"/>
        <w:bottom w:val="none" w:sz="0" w:space="0" w:color="auto"/>
        <w:right w:val="none" w:sz="0" w:space="0" w:color="auto"/>
      </w:divBdr>
    </w:div>
    <w:div w:id="1265530154">
      <w:bodyDiv w:val="1"/>
      <w:marLeft w:val="0"/>
      <w:marRight w:val="0"/>
      <w:marTop w:val="0"/>
      <w:marBottom w:val="0"/>
      <w:divBdr>
        <w:top w:val="none" w:sz="0" w:space="0" w:color="auto"/>
        <w:left w:val="none" w:sz="0" w:space="0" w:color="auto"/>
        <w:bottom w:val="none" w:sz="0" w:space="0" w:color="auto"/>
        <w:right w:val="none" w:sz="0" w:space="0" w:color="auto"/>
      </w:divBdr>
      <w:divsChild>
        <w:div w:id="885487886">
          <w:marLeft w:val="0"/>
          <w:marRight w:val="0"/>
          <w:marTop w:val="0"/>
          <w:marBottom w:val="0"/>
          <w:divBdr>
            <w:top w:val="none" w:sz="0" w:space="0" w:color="auto"/>
            <w:left w:val="none" w:sz="0" w:space="0" w:color="auto"/>
            <w:bottom w:val="none" w:sz="0" w:space="0" w:color="auto"/>
            <w:right w:val="none" w:sz="0" w:space="0" w:color="auto"/>
          </w:divBdr>
        </w:div>
        <w:div w:id="1156071233">
          <w:marLeft w:val="0"/>
          <w:marRight w:val="0"/>
          <w:marTop w:val="0"/>
          <w:marBottom w:val="0"/>
          <w:divBdr>
            <w:top w:val="none" w:sz="0" w:space="0" w:color="auto"/>
            <w:left w:val="none" w:sz="0" w:space="0" w:color="auto"/>
            <w:bottom w:val="none" w:sz="0" w:space="0" w:color="auto"/>
            <w:right w:val="none" w:sz="0" w:space="0" w:color="auto"/>
          </w:divBdr>
        </w:div>
      </w:divsChild>
    </w:div>
    <w:div w:id="1320622775">
      <w:bodyDiv w:val="1"/>
      <w:marLeft w:val="0"/>
      <w:marRight w:val="0"/>
      <w:marTop w:val="0"/>
      <w:marBottom w:val="0"/>
      <w:divBdr>
        <w:top w:val="none" w:sz="0" w:space="0" w:color="auto"/>
        <w:left w:val="none" w:sz="0" w:space="0" w:color="auto"/>
        <w:bottom w:val="none" w:sz="0" w:space="0" w:color="auto"/>
        <w:right w:val="none" w:sz="0" w:space="0" w:color="auto"/>
      </w:divBdr>
    </w:div>
    <w:div w:id="1341659751">
      <w:bodyDiv w:val="1"/>
      <w:marLeft w:val="0"/>
      <w:marRight w:val="0"/>
      <w:marTop w:val="0"/>
      <w:marBottom w:val="0"/>
      <w:divBdr>
        <w:top w:val="none" w:sz="0" w:space="0" w:color="auto"/>
        <w:left w:val="none" w:sz="0" w:space="0" w:color="auto"/>
        <w:bottom w:val="none" w:sz="0" w:space="0" w:color="auto"/>
        <w:right w:val="none" w:sz="0" w:space="0" w:color="auto"/>
      </w:divBdr>
    </w:div>
    <w:div w:id="1504011111">
      <w:bodyDiv w:val="1"/>
      <w:marLeft w:val="0"/>
      <w:marRight w:val="0"/>
      <w:marTop w:val="0"/>
      <w:marBottom w:val="0"/>
      <w:divBdr>
        <w:top w:val="none" w:sz="0" w:space="0" w:color="auto"/>
        <w:left w:val="none" w:sz="0" w:space="0" w:color="auto"/>
        <w:bottom w:val="none" w:sz="0" w:space="0" w:color="auto"/>
        <w:right w:val="none" w:sz="0" w:space="0" w:color="auto"/>
      </w:divBdr>
    </w:div>
    <w:div w:id="1793330133">
      <w:bodyDiv w:val="1"/>
      <w:marLeft w:val="0"/>
      <w:marRight w:val="0"/>
      <w:marTop w:val="0"/>
      <w:marBottom w:val="0"/>
      <w:divBdr>
        <w:top w:val="none" w:sz="0" w:space="0" w:color="auto"/>
        <w:left w:val="none" w:sz="0" w:space="0" w:color="auto"/>
        <w:bottom w:val="none" w:sz="0" w:space="0" w:color="auto"/>
        <w:right w:val="none" w:sz="0" w:space="0" w:color="auto"/>
      </w:divBdr>
    </w:div>
    <w:div w:id="18354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aapor.org/Education-Resources/For-Researchers/Poll-Survey-FAQ/Response-Rates-An-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D041AF-68DF-427B-AA8B-439E5972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SYSTEM</cp:lastModifiedBy>
  <cp:revision>2</cp:revision>
  <dcterms:created xsi:type="dcterms:W3CDTF">2019-07-26T21:18:00Z</dcterms:created>
  <dcterms:modified xsi:type="dcterms:W3CDTF">2019-07-26T21:18:00Z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a3f9cf46-043e-342a-a1ca-cb91e77622e1</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