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30881949"/>
        <w:docPartObj>
          <w:docPartGallery w:val="Cover Pages"/>
          <w:docPartUnique/>
        </w:docPartObj>
      </w:sdtPr>
      <w:sdtEndPr>
        <w:rPr>
          <w:rFonts w:ascii="Arial Black" w:hAnsi="Arial Black" w:cs="Arial"/>
          <w:color w:val="0072C6"/>
          <w:sz w:val="52"/>
          <w:szCs w:val="80"/>
        </w:rPr>
      </w:sdtEndPr>
      <w:sdtContent>
        <w:p w:rsidR="00762639" w:rsidRDefault="00762639">
          <w:r>
            <w:rPr>
              <w:noProof/>
            </w:rPr>
            <mc:AlternateContent>
              <mc:Choice Requires="wpg">
                <w:drawing>
                  <wp:anchor distT="0" distB="0" distL="114300" distR="114300" simplePos="0" relativeHeight="251662336" behindDoc="0" locked="0" layoutInCell="1" allowOverlap="1" wp14:anchorId="4212E8A6" wp14:editId="6A73FFB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6003AF70"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1"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F271B40" wp14:editId="1A4D506D">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imes New Roman" w:hAnsiTheme="minorHAnsi"/>
                                    <w:bCs/>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62639" w:rsidRPr="00762639" w:rsidRDefault="00584891" w:rsidP="00762639">
                                    <w:pPr>
                                      <w:pStyle w:val="NoSpacing"/>
                                      <w:jc w:val="right"/>
                                      <w:rPr>
                                        <w:color w:val="595959" w:themeColor="text1" w:themeTint="A6"/>
                                        <w:sz w:val="20"/>
                                        <w:szCs w:val="20"/>
                                      </w:rPr>
                                    </w:pPr>
                                    <w:r w:rsidRPr="00762639">
                                      <w:rPr>
                                        <w:rFonts w:asciiTheme="minorHAnsi" w:eastAsia="Times New Roman" w:hAnsiTheme="minorHAnsi"/>
                                        <w:bCs/>
                                        <w:sz w:val="24"/>
                                        <w:szCs w:val="24"/>
                                      </w:rPr>
                                      <w:t>Submitted to:</w:t>
                                    </w:r>
                                    <w:r w:rsidRPr="00762639">
                                      <w:rPr>
                                        <w:rFonts w:asciiTheme="minorHAnsi" w:eastAsia="Times New Roman" w:hAnsiTheme="minorHAnsi"/>
                                        <w:bCs/>
                                      </w:rPr>
                                      <w:br/>
                                    </w:r>
                                    <w:r w:rsidRPr="00762639">
                                      <w:rPr>
                                        <w:rFonts w:asciiTheme="minorHAnsi" w:eastAsia="Times New Roman" w:hAnsiTheme="minorHAnsi"/>
                                        <w:bCs/>
                                        <w:sz w:val="24"/>
                                        <w:szCs w:val="24"/>
                                      </w:rPr>
                                      <w:t>Division of Adolescent and School Health</w:t>
                                    </w:r>
                                    <w:r w:rsidRPr="00762639">
                                      <w:rPr>
                                        <w:rFonts w:asciiTheme="minorHAnsi" w:eastAsia="Times New Roman" w:hAnsiTheme="minorHAnsi"/>
                                        <w:bCs/>
                                        <w:sz w:val="24"/>
                                        <w:szCs w:val="24"/>
                                      </w:rPr>
                                      <w:br/>
                                      <w:t>Centers for Disease Control and Prevention</w:t>
                                    </w:r>
                                    <w:r>
                                      <w:rPr>
                                        <w:rFonts w:asciiTheme="minorHAnsi" w:eastAsia="Times New Roman" w:hAnsiTheme="minorHAnsi"/>
                                        <w:bCs/>
                                        <w:sz w:val="24"/>
                                        <w:szCs w:val="24"/>
                                      </w:rPr>
                                      <w:br/>
                                      <w:t>November 2017</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sdt>
                          <w:sdtPr>
                            <w:rPr>
                              <w:rFonts w:asciiTheme="minorHAnsi" w:eastAsia="Times New Roman" w:hAnsiTheme="minorHAnsi"/>
                              <w:bCs/>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62639" w:rsidRPr="00762639" w:rsidRDefault="00584891" w:rsidP="00762639">
                              <w:pPr>
                                <w:pStyle w:val="NoSpacing"/>
                                <w:jc w:val="right"/>
                                <w:rPr>
                                  <w:color w:val="595959" w:themeColor="text1" w:themeTint="A6"/>
                                  <w:sz w:val="20"/>
                                  <w:szCs w:val="20"/>
                                </w:rPr>
                              </w:pPr>
                              <w:r w:rsidRPr="00762639">
                                <w:rPr>
                                  <w:rFonts w:asciiTheme="minorHAnsi" w:eastAsia="Times New Roman" w:hAnsiTheme="minorHAnsi"/>
                                  <w:bCs/>
                                  <w:sz w:val="24"/>
                                  <w:szCs w:val="24"/>
                                </w:rPr>
                                <w:t>Submitted to:</w:t>
                              </w:r>
                              <w:r w:rsidRPr="00762639">
                                <w:rPr>
                                  <w:rFonts w:asciiTheme="minorHAnsi" w:eastAsia="Times New Roman" w:hAnsiTheme="minorHAnsi"/>
                                  <w:bCs/>
                                </w:rPr>
                                <w:br/>
                              </w:r>
                              <w:r w:rsidRPr="00762639">
                                <w:rPr>
                                  <w:rFonts w:asciiTheme="minorHAnsi" w:eastAsia="Times New Roman" w:hAnsiTheme="minorHAnsi"/>
                                  <w:bCs/>
                                  <w:sz w:val="24"/>
                                  <w:szCs w:val="24"/>
                                </w:rPr>
                                <w:t>Division of Adolescent and School Health</w:t>
                              </w:r>
                              <w:r w:rsidRPr="00762639">
                                <w:rPr>
                                  <w:rFonts w:asciiTheme="minorHAnsi" w:eastAsia="Times New Roman" w:hAnsiTheme="minorHAnsi"/>
                                  <w:bCs/>
                                  <w:sz w:val="24"/>
                                  <w:szCs w:val="24"/>
                                </w:rPr>
                                <w:br/>
                                <w:t>Centers for Disease Control and Prevention</w:t>
                              </w:r>
                              <w:r>
                                <w:rPr>
                                  <w:rFonts w:asciiTheme="minorHAnsi" w:eastAsia="Times New Roman" w:hAnsiTheme="minorHAnsi"/>
                                  <w:bCs/>
                                  <w:sz w:val="24"/>
                                  <w:szCs w:val="24"/>
                                </w:rPr>
                                <w:br/>
                                <w:t>November 2017</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31327E9" wp14:editId="30EEE5F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639" w:rsidRDefault="006E1434">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62639">
                                      <w:rPr>
                                        <w:caps/>
                                        <w:color w:val="4F81BD" w:themeColor="accent1"/>
                                        <w:sz w:val="64"/>
                                        <w:szCs w:val="64"/>
                                      </w:rPr>
                                      <w:t>Nonresponse Bias Analysis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62639" w:rsidRDefault="00762639">
                                    <w:pPr>
                                      <w:jc w:val="right"/>
                                      <w:rPr>
                                        <w:smallCaps/>
                                        <w:color w:val="404040" w:themeColor="text1" w:themeTint="BF"/>
                                        <w:sz w:val="36"/>
                                        <w:szCs w:val="36"/>
                                      </w:rPr>
                                    </w:pPr>
                                    <w:r>
                                      <w:rPr>
                                        <w:color w:val="404040" w:themeColor="text1" w:themeTint="BF"/>
                                        <w:sz w:val="36"/>
                                        <w:szCs w:val="36"/>
                                      </w:rPr>
                                      <w:t>2017 National Youth Tobacco Survey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762639" w:rsidRDefault="006E1434">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62639">
                                <w:rPr>
                                  <w:caps/>
                                  <w:color w:val="4F81BD" w:themeColor="accent1"/>
                                  <w:sz w:val="64"/>
                                  <w:szCs w:val="64"/>
                                </w:rPr>
                                <w:t>Nonresponse Bias Analysis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62639" w:rsidRDefault="00762639">
                              <w:pPr>
                                <w:jc w:val="right"/>
                                <w:rPr>
                                  <w:smallCaps/>
                                  <w:color w:val="404040" w:themeColor="text1" w:themeTint="BF"/>
                                  <w:sz w:val="36"/>
                                  <w:szCs w:val="36"/>
                                </w:rPr>
                              </w:pPr>
                              <w:r>
                                <w:rPr>
                                  <w:color w:val="404040" w:themeColor="text1" w:themeTint="BF"/>
                                  <w:sz w:val="36"/>
                                  <w:szCs w:val="36"/>
                                </w:rPr>
                                <w:t>2017 National Youth Tobacco Survey</w:t>
                              </w:r>
                            </w:p>
                          </w:sdtContent>
                        </w:sdt>
                      </w:txbxContent>
                    </v:textbox>
                    <w10:wrap type="square" anchorx="page" anchory="page"/>
                  </v:shape>
                </w:pict>
              </mc:Fallback>
            </mc:AlternateContent>
          </w:r>
        </w:p>
        <w:p w:rsidR="00762639" w:rsidRDefault="00762639">
          <w:pPr>
            <w:spacing w:after="0" w:line="240" w:lineRule="auto"/>
            <w:rPr>
              <w:rFonts w:ascii="Arial Black" w:hAnsi="Arial Black" w:cs="Arial"/>
              <w:color w:val="0072C6"/>
              <w:sz w:val="52"/>
              <w:szCs w:val="80"/>
            </w:rPr>
          </w:pPr>
          <w:r>
            <w:rPr>
              <w:noProof/>
            </w:rPr>
            <mc:AlternateContent>
              <mc:Choice Requires="wps">
                <w:drawing>
                  <wp:anchor distT="0" distB="0" distL="114300" distR="114300" simplePos="0" relativeHeight="251660288" behindDoc="0" locked="0" layoutInCell="1" allowOverlap="1" wp14:anchorId="57F92A24" wp14:editId="0CD2991F">
                    <wp:simplePos x="0" y="0"/>
                    <wp:positionH relativeFrom="page">
                      <wp:posOffset>227965</wp:posOffset>
                    </wp:positionH>
                    <wp:positionV relativeFrom="page">
                      <wp:posOffset>8037286</wp:posOffset>
                    </wp:positionV>
                    <wp:extent cx="7450667"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450667"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762639" w:rsidRDefault="00762639">
                                    <w:pPr>
                                      <w:pStyle w:val="NoSpacing"/>
                                      <w:jc w:val="right"/>
                                      <w:rPr>
                                        <w:color w:val="595959" w:themeColor="text1" w:themeTint="A6"/>
                                        <w:sz w:val="28"/>
                                        <w:szCs w:val="28"/>
                                      </w:rPr>
                                    </w:pPr>
                                    <w:r>
                                      <w:rPr>
                                        <w:color w:val="595959" w:themeColor="text1" w:themeTint="A6"/>
                                        <w:sz w:val="28"/>
                                        <w:szCs w:val="28"/>
                                      </w:rPr>
                                      <w:t>Kate Flint, Ronaldo Iachan, Alice Roberts, Lee Harding, Yangyang Deng</w:t>
                                    </w:r>
                                  </w:p>
                                </w:sdtContent>
                              </w:sdt>
                              <w:p w:rsidR="00762639" w:rsidRDefault="006E1434">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762639">
                                      <w:rPr>
                                        <w:color w:val="595959" w:themeColor="text1" w:themeTint="A6"/>
                                        <w:sz w:val="18"/>
                                        <w:szCs w:val="18"/>
                                      </w:rPr>
                                      <w:t>ICF</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id="Text Box 152" o:spid="_x0000_s1028" type="#_x0000_t202" style="position:absolute;margin-left:17.95pt;margin-top:632.85pt;width:586.6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762639" w:rsidRDefault="00762639">
                              <w:pPr>
                                <w:pStyle w:val="NoSpacing"/>
                                <w:jc w:val="right"/>
                                <w:rPr>
                                  <w:color w:val="595959" w:themeColor="text1" w:themeTint="A6"/>
                                  <w:sz w:val="28"/>
                                  <w:szCs w:val="28"/>
                                </w:rPr>
                              </w:pPr>
                              <w:r>
                                <w:rPr>
                                  <w:color w:val="595959" w:themeColor="text1" w:themeTint="A6"/>
                                  <w:sz w:val="28"/>
                                  <w:szCs w:val="28"/>
                                </w:rPr>
                                <w:t>Kate Flint, Ronaldo Iachan, Alice Roberts, Lee Harding, Yangyang Deng</w:t>
                              </w:r>
                            </w:p>
                          </w:sdtContent>
                        </w:sdt>
                        <w:p w:rsidR="00762639" w:rsidRDefault="006E1434">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762639">
                                <w:rPr>
                                  <w:color w:val="595959" w:themeColor="text1" w:themeTint="A6"/>
                                  <w:sz w:val="18"/>
                                  <w:szCs w:val="18"/>
                                </w:rPr>
                                <w:t>ICF</w:t>
                              </w:r>
                            </w:sdtContent>
                          </w:sdt>
                        </w:p>
                      </w:txbxContent>
                    </v:textbox>
                    <w10:wrap type="square" anchorx="page" anchory="page"/>
                  </v:shape>
                </w:pict>
              </mc:Fallback>
            </mc:AlternateContent>
          </w:r>
          <w:r>
            <w:rPr>
              <w:rFonts w:ascii="Arial Black" w:hAnsi="Arial Black" w:cs="Arial"/>
              <w:color w:val="0072C6"/>
              <w:sz w:val="52"/>
              <w:szCs w:val="80"/>
            </w:rPr>
            <w:br w:type="page"/>
          </w:r>
        </w:p>
      </w:sdtContent>
    </w:sdt>
    <w:sdt>
      <w:sdtPr>
        <w:rPr>
          <w:rFonts w:ascii="Times New Roman" w:hAnsi="Times New Roman" w:cs="Times New Roman"/>
          <w:color w:val="auto"/>
          <w:sz w:val="24"/>
          <w:szCs w:val="24"/>
        </w:rPr>
        <w:id w:val="-1222047021"/>
        <w:docPartObj>
          <w:docPartGallery w:val="Table of Contents"/>
          <w:docPartUnique/>
        </w:docPartObj>
      </w:sdtPr>
      <w:sdtEndPr>
        <w:rPr>
          <w:noProof/>
        </w:rPr>
      </w:sdtEndPr>
      <w:sdtContent>
        <w:p w:rsidR="00851825" w:rsidRPr="00054314" w:rsidRDefault="00EA2E71" w:rsidP="00EA2E71">
          <w:pPr>
            <w:pStyle w:val="App1"/>
            <w:rPr>
              <w:sz w:val="52"/>
            </w:rPr>
          </w:pPr>
          <w:r w:rsidRPr="00054314">
            <w:rPr>
              <w:sz w:val="52"/>
            </w:rPr>
            <w:t xml:space="preserve">Table of </w:t>
          </w:r>
          <w:r w:rsidR="00851825" w:rsidRPr="00054314">
            <w:rPr>
              <w:sz w:val="52"/>
            </w:rPr>
            <w:t>Contents</w:t>
          </w:r>
        </w:p>
        <w:p w:rsidR="009E1721" w:rsidRPr="00E14A36" w:rsidRDefault="00851825">
          <w:pPr>
            <w:pStyle w:val="TOC1"/>
            <w:rPr>
              <w:rFonts w:eastAsiaTheme="minorEastAsia" w:cs="Arial"/>
              <w:b w:val="0"/>
              <w:color w:val="auto"/>
              <w:sz w:val="22"/>
              <w:szCs w:val="22"/>
            </w:rPr>
          </w:pPr>
          <w:r w:rsidRPr="00F9290A">
            <w:rPr>
              <w:rFonts w:cs="Arial"/>
            </w:rPr>
            <w:fldChar w:fldCharType="begin"/>
          </w:r>
          <w:r w:rsidRPr="00F9290A">
            <w:rPr>
              <w:rFonts w:cs="Arial"/>
            </w:rPr>
            <w:instrText xml:space="preserve"> TOC \o "1-3" \h \z \u </w:instrText>
          </w:r>
          <w:r w:rsidRPr="00F9290A">
            <w:rPr>
              <w:rFonts w:cs="Arial"/>
            </w:rPr>
            <w:fldChar w:fldCharType="separate"/>
          </w:r>
          <w:hyperlink w:anchor="_Toc501458061" w:history="1">
            <w:r w:rsidR="009E1721" w:rsidRPr="00E14A36">
              <w:rPr>
                <w:rStyle w:val="Hyperlink"/>
                <w:rFonts w:cs="Arial"/>
              </w:rPr>
              <w:t>Section 1. Introduction</w:t>
            </w:r>
            <w:r w:rsidR="009E1721" w:rsidRPr="00E14A36">
              <w:rPr>
                <w:rFonts w:cs="Arial"/>
                <w:webHidden/>
              </w:rPr>
              <w:tab/>
            </w:r>
            <w:r w:rsidR="009E1721" w:rsidRPr="00E14A36">
              <w:rPr>
                <w:rFonts w:cs="Arial"/>
                <w:webHidden/>
              </w:rPr>
              <w:fldChar w:fldCharType="begin"/>
            </w:r>
            <w:r w:rsidR="009E1721" w:rsidRPr="00E14A36">
              <w:rPr>
                <w:rFonts w:cs="Arial"/>
                <w:webHidden/>
              </w:rPr>
              <w:instrText xml:space="preserve"> PAGEREF _Toc501458061 \h </w:instrText>
            </w:r>
            <w:r w:rsidR="009E1721" w:rsidRPr="00E14A36">
              <w:rPr>
                <w:rFonts w:cs="Arial"/>
                <w:webHidden/>
              </w:rPr>
            </w:r>
            <w:r w:rsidR="009E1721" w:rsidRPr="00E14A36">
              <w:rPr>
                <w:rFonts w:cs="Arial"/>
                <w:webHidden/>
              </w:rPr>
              <w:fldChar w:fldCharType="separate"/>
            </w:r>
            <w:r w:rsidR="00051CD2">
              <w:rPr>
                <w:rFonts w:cs="Arial"/>
                <w:webHidden/>
              </w:rPr>
              <w:t>2</w:t>
            </w:r>
            <w:r w:rsidR="009E1721" w:rsidRPr="00E14A36">
              <w:rPr>
                <w:rFonts w:cs="Arial"/>
                <w:webHidden/>
              </w:rPr>
              <w:fldChar w:fldCharType="end"/>
            </w:r>
          </w:hyperlink>
        </w:p>
        <w:p w:rsidR="009E1721" w:rsidRPr="00E14A36" w:rsidRDefault="006E1434">
          <w:pPr>
            <w:pStyle w:val="TOC1"/>
            <w:rPr>
              <w:rFonts w:eastAsiaTheme="minorEastAsia" w:cs="Arial"/>
              <w:b w:val="0"/>
              <w:color w:val="auto"/>
              <w:sz w:val="22"/>
              <w:szCs w:val="22"/>
            </w:rPr>
          </w:pPr>
          <w:hyperlink w:anchor="_Toc501458062" w:history="1">
            <w:r w:rsidR="009E1721" w:rsidRPr="00E14A36">
              <w:rPr>
                <w:rStyle w:val="Hyperlink"/>
                <w:rFonts w:cs="Arial"/>
              </w:rPr>
              <w:t>Section 2. School-Level Nonresponse</w:t>
            </w:r>
            <w:r w:rsidR="009E1721" w:rsidRPr="00E14A36">
              <w:rPr>
                <w:rFonts w:cs="Arial"/>
                <w:webHidden/>
              </w:rPr>
              <w:tab/>
            </w:r>
            <w:r w:rsidR="009E1721" w:rsidRPr="00E14A36">
              <w:rPr>
                <w:rFonts w:cs="Arial"/>
                <w:webHidden/>
              </w:rPr>
              <w:fldChar w:fldCharType="begin"/>
            </w:r>
            <w:r w:rsidR="009E1721" w:rsidRPr="00E14A36">
              <w:rPr>
                <w:rFonts w:cs="Arial"/>
                <w:webHidden/>
              </w:rPr>
              <w:instrText xml:space="preserve"> PAGEREF _Toc501458062 \h </w:instrText>
            </w:r>
            <w:r w:rsidR="009E1721" w:rsidRPr="00E14A36">
              <w:rPr>
                <w:rFonts w:cs="Arial"/>
                <w:webHidden/>
              </w:rPr>
            </w:r>
            <w:r w:rsidR="009E1721" w:rsidRPr="00E14A36">
              <w:rPr>
                <w:rFonts w:cs="Arial"/>
                <w:webHidden/>
              </w:rPr>
              <w:fldChar w:fldCharType="separate"/>
            </w:r>
            <w:r w:rsidR="00051CD2">
              <w:rPr>
                <w:rFonts w:cs="Arial"/>
                <w:webHidden/>
              </w:rPr>
              <w:t>3</w:t>
            </w:r>
            <w:r w:rsidR="009E1721" w:rsidRPr="00E14A36">
              <w:rPr>
                <w:rFonts w:cs="Arial"/>
                <w:webHidden/>
              </w:rPr>
              <w:fldChar w:fldCharType="end"/>
            </w:r>
          </w:hyperlink>
        </w:p>
        <w:p w:rsidR="009E1721" w:rsidRPr="00E14A36" w:rsidRDefault="006E1434">
          <w:pPr>
            <w:pStyle w:val="TOC2"/>
            <w:rPr>
              <w:rFonts w:eastAsiaTheme="minorEastAsia" w:cs="Arial"/>
              <w:noProof/>
              <w:sz w:val="22"/>
              <w:szCs w:val="22"/>
            </w:rPr>
          </w:pPr>
          <w:hyperlink w:anchor="_Toc501458063" w:history="1">
            <w:r w:rsidR="009E1721" w:rsidRPr="00E14A36">
              <w:rPr>
                <w:rStyle w:val="Hyperlink"/>
                <w:rFonts w:cs="Arial"/>
                <w:noProof/>
              </w:rPr>
              <w:t>2.1</w:t>
            </w:r>
            <w:r w:rsidR="009E1721" w:rsidRPr="00E14A36">
              <w:rPr>
                <w:rFonts w:eastAsiaTheme="minorEastAsia" w:cs="Arial"/>
                <w:noProof/>
                <w:sz w:val="22"/>
                <w:szCs w:val="22"/>
              </w:rPr>
              <w:tab/>
            </w:r>
            <w:r w:rsidR="009E1721" w:rsidRPr="00E14A36">
              <w:rPr>
                <w:rStyle w:val="Hyperlink"/>
                <w:rFonts w:cs="Arial"/>
                <w:noProof/>
              </w:rPr>
              <w:t>Historical Comparisons</w:t>
            </w:r>
            <w:r w:rsidR="009E1721" w:rsidRPr="00E14A36">
              <w:rPr>
                <w:rFonts w:cs="Arial"/>
                <w:noProof/>
                <w:webHidden/>
              </w:rPr>
              <w:tab/>
            </w:r>
            <w:r w:rsidR="009E1721" w:rsidRPr="00E14A36">
              <w:rPr>
                <w:rFonts w:cs="Arial"/>
                <w:noProof/>
                <w:webHidden/>
              </w:rPr>
              <w:fldChar w:fldCharType="begin"/>
            </w:r>
            <w:r w:rsidR="009E1721" w:rsidRPr="00E14A36">
              <w:rPr>
                <w:rFonts w:cs="Arial"/>
                <w:noProof/>
                <w:webHidden/>
              </w:rPr>
              <w:instrText xml:space="preserve"> PAGEREF _Toc501458063 \h </w:instrText>
            </w:r>
            <w:r w:rsidR="009E1721" w:rsidRPr="00E14A36">
              <w:rPr>
                <w:rFonts w:cs="Arial"/>
                <w:noProof/>
                <w:webHidden/>
              </w:rPr>
            </w:r>
            <w:r w:rsidR="009E1721" w:rsidRPr="00E14A36">
              <w:rPr>
                <w:rFonts w:cs="Arial"/>
                <w:noProof/>
                <w:webHidden/>
              </w:rPr>
              <w:fldChar w:fldCharType="separate"/>
            </w:r>
            <w:r w:rsidR="00051CD2">
              <w:rPr>
                <w:rFonts w:cs="Arial"/>
                <w:noProof/>
                <w:webHidden/>
              </w:rPr>
              <w:t>3</w:t>
            </w:r>
            <w:r w:rsidR="009E1721" w:rsidRPr="00E14A36">
              <w:rPr>
                <w:rFonts w:cs="Arial"/>
                <w:noProof/>
                <w:webHidden/>
              </w:rPr>
              <w:fldChar w:fldCharType="end"/>
            </w:r>
          </w:hyperlink>
        </w:p>
        <w:p w:rsidR="009E1721" w:rsidRPr="00E14A36" w:rsidRDefault="006E1434">
          <w:pPr>
            <w:pStyle w:val="TOC3"/>
            <w:rPr>
              <w:rFonts w:ascii="Arial" w:eastAsiaTheme="minorEastAsia" w:hAnsi="Arial" w:cs="Arial"/>
              <w:sz w:val="22"/>
              <w:szCs w:val="22"/>
            </w:rPr>
          </w:pPr>
          <w:hyperlink w:anchor="_Toc501458064" w:history="1">
            <w:r w:rsidR="009E1721" w:rsidRPr="00E14A36">
              <w:rPr>
                <w:rStyle w:val="Hyperlink"/>
                <w:rFonts w:ascii="Arial" w:hAnsi="Arial" w:cs="Arial"/>
              </w:rPr>
              <w:t>Figure 1. Historical NYTS Participation Rates</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_Toc501458064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3</w:t>
            </w:r>
            <w:r w:rsidR="009E1721" w:rsidRPr="00E14A36">
              <w:rPr>
                <w:rFonts w:ascii="Arial" w:hAnsi="Arial" w:cs="Arial"/>
                <w:webHidden/>
              </w:rPr>
              <w:fldChar w:fldCharType="end"/>
            </w:r>
          </w:hyperlink>
        </w:p>
        <w:p w:rsidR="009E1721" w:rsidRPr="00E14A36" w:rsidRDefault="006E1434">
          <w:pPr>
            <w:pStyle w:val="TOC2"/>
            <w:rPr>
              <w:rFonts w:eastAsiaTheme="minorEastAsia" w:cs="Arial"/>
              <w:noProof/>
              <w:sz w:val="22"/>
              <w:szCs w:val="22"/>
            </w:rPr>
          </w:pPr>
          <w:hyperlink w:anchor="_Toc501458065" w:history="1">
            <w:r w:rsidR="009E1721" w:rsidRPr="00E14A36">
              <w:rPr>
                <w:rStyle w:val="Hyperlink"/>
                <w:rFonts w:cs="Arial"/>
                <w:noProof/>
              </w:rPr>
              <w:t>2.2</w:t>
            </w:r>
            <w:r w:rsidR="009E1721" w:rsidRPr="00E14A36">
              <w:rPr>
                <w:rFonts w:eastAsiaTheme="minorEastAsia" w:cs="Arial"/>
                <w:noProof/>
                <w:sz w:val="22"/>
                <w:szCs w:val="22"/>
              </w:rPr>
              <w:tab/>
            </w:r>
            <w:r w:rsidR="009E1721" w:rsidRPr="00E14A36">
              <w:rPr>
                <w:rStyle w:val="Hyperlink"/>
                <w:rFonts w:cs="Arial"/>
                <w:noProof/>
              </w:rPr>
              <w:t>Association with School Characteristics</w:t>
            </w:r>
            <w:r w:rsidR="009E1721" w:rsidRPr="00E14A36">
              <w:rPr>
                <w:rFonts w:cs="Arial"/>
                <w:noProof/>
                <w:webHidden/>
              </w:rPr>
              <w:tab/>
            </w:r>
            <w:r w:rsidR="009E1721" w:rsidRPr="00E14A36">
              <w:rPr>
                <w:rFonts w:cs="Arial"/>
                <w:noProof/>
                <w:webHidden/>
              </w:rPr>
              <w:fldChar w:fldCharType="begin"/>
            </w:r>
            <w:r w:rsidR="009E1721" w:rsidRPr="00E14A36">
              <w:rPr>
                <w:rFonts w:cs="Arial"/>
                <w:noProof/>
                <w:webHidden/>
              </w:rPr>
              <w:instrText xml:space="preserve"> PAGEREF _Toc501458065 \h </w:instrText>
            </w:r>
            <w:r w:rsidR="009E1721" w:rsidRPr="00E14A36">
              <w:rPr>
                <w:rFonts w:cs="Arial"/>
                <w:noProof/>
                <w:webHidden/>
              </w:rPr>
            </w:r>
            <w:r w:rsidR="009E1721" w:rsidRPr="00E14A36">
              <w:rPr>
                <w:rFonts w:cs="Arial"/>
                <w:noProof/>
                <w:webHidden/>
              </w:rPr>
              <w:fldChar w:fldCharType="separate"/>
            </w:r>
            <w:r w:rsidR="00051CD2">
              <w:rPr>
                <w:rFonts w:cs="Arial"/>
                <w:noProof/>
                <w:webHidden/>
              </w:rPr>
              <w:t>4</w:t>
            </w:r>
            <w:r w:rsidR="009E1721" w:rsidRPr="00E14A36">
              <w:rPr>
                <w:rFonts w:cs="Arial"/>
                <w:noProof/>
                <w:webHidden/>
              </w:rPr>
              <w:fldChar w:fldCharType="end"/>
            </w:r>
          </w:hyperlink>
        </w:p>
        <w:p w:rsidR="009E1721" w:rsidRPr="00E14A36" w:rsidRDefault="006E1434">
          <w:pPr>
            <w:pStyle w:val="TOC3"/>
            <w:rPr>
              <w:rFonts w:ascii="Arial" w:eastAsiaTheme="minorEastAsia" w:hAnsi="Arial" w:cs="Arial"/>
              <w:sz w:val="22"/>
              <w:szCs w:val="22"/>
            </w:rPr>
          </w:pPr>
          <w:hyperlink w:anchor="_Toc501458066" w:history="1">
            <w:r w:rsidR="009E1721" w:rsidRPr="00E14A36">
              <w:rPr>
                <w:rStyle w:val="Hyperlink"/>
                <w:rFonts w:ascii="Arial" w:hAnsi="Arial" w:cs="Arial"/>
              </w:rPr>
              <w:t>Table 1a. Definitions of Primary Characteristics Used for Nonresponse Analysis</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_Toc501458066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4</w:t>
            </w:r>
            <w:r w:rsidR="009E1721" w:rsidRPr="00E14A36">
              <w:rPr>
                <w:rFonts w:ascii="Arial" w:hAnsi="Arial"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67" w:history="1">
            <w:r w:rsidR="009E1721" w:rsidRPr="00E14A36">
              <w:rPr>
                <w:rStyle w:val="Hyperlink"/>
                <w:rFonts w:ascii="Arial" w:hAnsi="Arial" w:cs="Arial"/>
              </w:rPr>
              <w:t>Table 1b. Definitions of Secondary Characteristics Used for Nonresponse Analysis</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_Toc501458067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5</w:t>
            </w:r>
            <w:r w:rsidR="009E1721" w:rsidRPr="00E14A36">
              <w:rPr>
                <w:rFonts w:ascii="Arial" w:hAnsi="Arial"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68" w:history="1">
            <w:r w:rsidR="009E1721" w:rsidRPr="00E14A36">
              <w:rPr>
                <w:rStyle w:val="Hyperlink"/>
                <w:rFonts w:ascii="Arial" w:hAnsi="Arial" w:cs="Arial"/>
              </w:rPr>
              <w:t>Table 2. School Participation Rates by Census Region</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_Toc501458068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5</w:t>
            </w:r>
            <w:r w:rsidR="009E1721" w:rsidRPr="00E14A36">
              <w:rPr>
                <w:rFonts w:ascii="Arial" w:hAnsi="Arial"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69" w:history="1">
            <w:r w:rsidR="009E1721" w:rsidRPr="00E14A36">
              <w:rPr>
                <w:rStyle w:val="Hyperlink"/>
                <w:rFonts w:ascii="Arial" w:hAnsi="Arial" w:cs="Arial"/>
              </w:rPr>
              <w:t>Table 3. School Participation Rates by School Type</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_Toc501458069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6</w:t>
            </w:r>
            <w:r w:rsidR="009E1721" w:rsidRPr="00E14A36">
              <w:rPr>
                <w:rFonts w:ascii="Arial" w:hAnsi="Arial"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70" w:history="1">
            <w:r w:rsidR="009E1721" w:rsidRPr="00E14A36">
              <w:rPr>
                <w:rStyle w:val="Hyperlink"/>
                <w:rFonts w:ascii="Arial" w:hAnsi="Arial" w:cs="Arial"/>
              </w:rPr>
              <w:t>Table 4. School Participation Rates by School Size</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_Toc501458070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6</w:t>
            </w:r>
            <w:r w:rsidR="009E1721" w:rsidRPr="00E14A36">
              <w:rPr>
                <w:rFonts w:ascii="Arial" w:hAnsi="Arial"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71" w:history="1">
            <w:r w:rsidR="009E1721" w:rsidRPr="00E14A36">
              <w:rPr>
                <w:rStyle w:val="Hyperlink"/>
                <w:rFonts w:ascii="Arial" w:hAnsi="Arial" w:cs="Arial"/>
              </w:rPr>
              <w:t>Table 5. School Participation Rates by Urban Status</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_Toc501458071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7</w:t>
            </w:r>
            <w:r w:rsidR="009E1721" w:rsidRPr="00E14A36">
              <w:rPr>
                <w:rFonts w:ascii="Arial" w:hAnsi="Arial"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72" w:history="1">
            <w:r w:rsidR="009E1721" w:rsidRPr="00E14A36">
              <w:rPr>
                <w:rStyle w:val="Hyperlink"/>
                <w:rFonts w:ascii="Arial" w:hAnsi="Arial" w:cs="Arial"/>
              </w:rPr>
              <w:t>Table 6. Secondary Characteristics Assessed for Nonresponse Analysis</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_Toc501458072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7</w:t>
            </w:r>
            <w:r w:rsidR="009E1721" w:rsidRPr="00E14A36">
              <w:rPr>
                <w:rFonts w:ascii="Arial" w:hAnsi="Arial" w:cs="Arial"/>
                <w:webHidden/>
              </w:rPr>
              <w:fldChar w:fldCharType="end"/>
            </w:r>
          </w:hyperlink>
        </w:p>
        <w:p w:rsidR="009E1721" w:rsidRPr="00E14A36" w:rsidRDefault="006E1434">
          <w:pPr>
            <w:pStyle w:val="TOC1"/>
            <w:rPr>
              <w:rFonts w:eastAsiaTheme="minorEastAsia" w:cs="Arial"/>
              <w:b w:val="0"/>
              <w:color w:val="auto"/>
              <w:sz w:val="22"/>
              <w:szCs w:val="22"/>
            </w:rPr>
          </w:pPr>
          <w:hyperlink w:anchor="_Toc501458073" w:history="1">
            <w:r w:rsidR="009E1721" w:rsidRPr="00E14A36">
              <w:rPr>
                <w:rStyle w:val="Hyperlink"/>
                <w:rFonts w:cs="Arial"/>
              </w:rPr>
              <w:t>Section 3. School Participation by Student Population Characteristics</w:t>
            </w:r>
            <w:r w:rsidR="009E1721" w:rsidRPr="00E14A36">
              <w:rPr>
                <w:rFonts w:cs="Arial"/>
                <w:webHidden/>
              </w:rPr>
              <w:tab/>
            </w:r>
            <w:r w:rsidR="009E1721" w:rsidRPr="00E14A36">
              <w:rPr>
                <w:rFonts w:cs="Arial"/>
                <w:webHidden/>
              </w:rPr>
              <w:fldChar w:fldCharType="begin"/>
            </w:r>
            <w:r w:rsidR="009E1721" w:rsidRPr="00E14A36">
              <w:rPr>
                <w:rFonts w:cs="Arial"/>
                <w:webHidden/>
              </w:rPr>
              <w:instrText xml:space="preserve"> PAGEREF _Toc501458073 \h </w:instrText>
            </w:r>
            <w:r w:rsidR="009E1721" w:rsidRPr="00E14A36">
              <w:rPr>
                <w:rFonts w:cs="Arial"/>
                <w:webHidden/>
              </w:rPr>
            </w:r>
            <w:r w:rsidR="009E1721" w:rsidRPr="00E14A36">
              <w:rPr>
                <w:rFonts w:cs="Arial"/>
                <w:webHidden/>
              </w:rPr>
              <w:fldChar w:fldCharType="separate"/>
            </w:r>
            <w:r w:rsidR="00051CD2">
              <w:rPr>
                <w:rFonts w:cs="Arial"/>
                <w:webHidden/>
              </w:rPr>
              <w:t>8</w:t>
            </w:r>
            <w:r w:rsidR="009E1721" w:rsidRPr="00E14A36">
              <w:rPr>
                <w:rFonts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74" w:history="1">
            <w:r w:rsidR="009E1721" w:rsidRPr="00E14A36">
              <w:rPr>
                <w:rStyle w:val="Hyperlink"/>
                <w:rFonts w:ascii="Arial" w:hAnsi="Arial" w:cs="Arial"/>
              </w:rPr>
              <w:t>Table 7. Definitions of Student Population Characteristics Used for Nonresponse Analysis</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_Toc501458074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8</w:t>
            </w:r>
            <w:r w:rsidR="009E1721" w:rsidRPr="00E14A36">
              <w:rPr>
                <w:rFonts w:ascii="Arial" w:hAnsi="Arial"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75" w:history="1">
            <w:r w:rsidR="009E1721" w:rsidRPr="00E14A36">
              <w:rPr>
                <w:rStyle w:val="Hyperlink"/>
                <w:rFonts w:ascii="Arial" w:hAnsi="Arial" w:cs="Arial"/>
              </w:rPr>
              <w:t>Table 8. Student Population Characteristics Used for Nonresponse Analysis</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_Toc501458075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9</w:t>
            </w:r>
            <w:r w:rsidR="009E1721" w:rsidRPr="00E14A36">
              <w:rPr>
                <w:rFonts w:ascii="Arial" w:hAnsi="Arial" w:cs="Arial"/>
                <w:webHidden/>
              </w:rPr>
              <w:fldChar w:fldCharType="end"/>
            </w:r>
          </w:hyperlink>
        </w:p>
        <w:p w:rsidR="009E1721" w:rsidRPr="00E14A36" w:rsidRDefault="006E1434">
          <w:pPr>
            <w:pStyle w:val="TOC1"/>
            <w:rPr>
              <w:rFonts w:eastAsiaTheme="minorEastAsia" w:cs="Arial"/>
              <w:b w:val="0"/>
              <w:color w:val="auto"/>
              <w:sz w:val="22"/>
              <w:szCs w:val="22"/>
            </w:rPr>
          </w:pPr>
          <w:hyperlink w:anchor="_Toc501458076" w:history="1">
            <w:r w:rsidR="009E1721" w:rsidRPr="00E14A36">
              <w:rPr>
                <w:rStyle w:val="Hyperlink"/>
                <w:rFonts w:cs="Arial"/>
              </w:rPr>
              <w:t>Section 4. Modeling Participation Rates</w:t>
            </w:r>
            <w:r w:rsidR="009E1721" w:rsidRPr="00E14A36">
              <w:rPr>
                <w:rFonts w:cs="Arial"/>
                <w:webHidden/>
              </w:rPr>
              <w:tab/>
            </w:r>
            <w:r w:rsidR="009E1721" w:rsidRPr="00E14A36">
              <w:rPr>
                <w:rFonts w:cs="Arial"/>
                <w:webHidden/>
              </w:rPr>
              <w:fldChar w:fldCharType="begin"/>
            </w:r>
            <w:r w:rsidR="009E1721" w:rsidRPr="00E14A36">
              <w:rPr>
                <w:rFonts w:cs="Arial"/>
                <w:webHidden/>
              </w:rPr>
              <w:instrText xml:space="preserve"> PAGEREF _Toc501458076 \h </w:instrText>
            </w:r>
            <w:r w:rsidR="009E1721" w:rsidRPr="00E14A36">
              <w:rPr>
                <w:rFonts w:cs="Arial"/>
                <w:webHidden/>
              </w:rPr>
            </w:r>
            <w:r w:rsidR="009E1721" w:rsidRPr="00E14A36">
              <w:rPr>
                <w:rFonts w:cs="Arial"/>
                <w:webHidden/>
              </w:rPr>
              <w:fldChar w:fldCharType="separate"/>
            </w:r>
            <w:r w:rsidR="00051CD2">
              <w:rPr>
                <w:rFonts w:cs="Arial"/>
                <w:webHidden/>
              </w:rPr>
              <w:t>10</w:t>
            </w:r>
            <w:r w:rsidR="009E1721" w:rsidRPr="00E14A36">
              <w:rPr>
                <w:rFonts w:cs="Arial"/>
                <w:webHidden/>
              </w:rPr>
              <w:fldChar w:fldCharType="end"/>
            </w:r>
          </w:hyperlink>
        </w:p>
        <w:p w:rsidR="009E1721" w:rsidRPr="00E14A36" w:rsidRDefault="006E1434">
          <w:pPr>
            <w:pStyle w:val="TOC1"/>
            <w:rPr>
              <w:rFonts w:eastAsiaTheme="minorEastAsia" w:cs="Arial"/>
              <w:b w:val="0"/>
              <w:color w:val="auto"/>
              <w:sz w:val="22"/>
              <w:szCs w:val="22"/>
            </w:rPr>
          </w:pPr>
          <w:hyperlink w:anchor="_Toc501458077" w:history="1">
            <w:r w:rsidR="009E1721" w:rsidRPr="00E14A36">
              <w:rPr>
                <w:rStyle w:val="Hyperlink"/>
                <w:rFonts w:cs="Arial"/>
              </w:rPr>
              <w:t>Section 5. Item Nonresponse</w:t>
            </w:r>
            <w:r w:rsidR="009E1721" w:rsidRPr="00E14A36">
              <w:rPr>
                <w:rFonts w:cs="Arial"/>
                <w:webHidden/>
              </w:rPr>
              <w:tab/>
            </w:r>
            <w:r w:rsidR="009E1721" w:rsidRPr="00E14A36">
              <w:rPr>
                <w:rFonts w:cs="Arial"/>
                <w:webHidden/>
              </w:rPr>
              <w:fldChar w:fldCharType="begin"/>
            </w:r>
            <w:r w:rsidR="009E1721" w:rsidRPr="00E14A36">
              <w:rPr>
                <w:rFonts w:cs="Arial"/>
                <w:webHidden/>
              </w:rPr>
              <w:instrText xml:space="preserve"> PAGEREF _Toc501458077 \h </w:instrText>
            </w:r>
            <w:r w:rsidR="009E1721" w:rsidRPr="00E14A36">
              <w:rPr>
                <w:rFonts w:cs="Arial"/>
                <w:webHidden/>
              </w:rPr>
            </w:r>
            <w:r w:rsidR="009E1721" w:rsidRPr="00E14A36">
              <w:rPr>
                <w:rFonts w:cs="Arial"/>
                <w:webHidden/>
              </w:rPr>
              <w:fldChar w:fldCharType="separate"/>
            </w:r>
            <w:r w:rsidR="00051CD2">
              <w:rPr>
                <w:rFonts w:cs="Arial"/>
                <w:webHidden/>
              </w:rPr>
              <w:t>11</w:t>
            </w:r>
            <w:r w:rsidR="009E1721" w:rsidRPr="00E14A36">
              <w:rPr>
                <w:rFonts w:cs="Arial"/>
                <w:webHidden/>
              </w:rPr>
              <w:fldChar w:fldCharType="end"/>
            </w:r>
          </w:hyperlink>
        </w:p>
        <w:p w:rsidR="009E1721" w:rsidRPr="00E14A36" w:rsidRDefault="006E1434">
          <w:pPr>
            <w:pStyle w:val="TOC3"/>
            <w:rPr>
              <w:rFonts w:ascii="Arial" w:eastAsiaTheme="minorEastAsia" w:hAnsi="Arial" w:cs="Arial"/>
              <w:sz w:val="22"/>
              <w:szCs w:val="22"/>
            </w:rPr>
          </w:pPr>
          <w:hyperlink w:anchor="_Toc501458078" w:history="1">
            <w:r w:rsidR="009E1721" w:rsidRPr="00E14A36">
              <w:rPr>
                <w:rStyle w:val="Hyperlink"/>
                <w:rFonts w:ascii="Arial" w:hAnsi="Arial" w:cs="Arial"/>
              </w:rPr>
              <w:t>Table 9. Distribution of the Percentage of Item Nonresponse by Questionnaire Section</w:t>
            </w:r>
            <w:r w:rsidR="009E1721" w:rsidRPr="00E14A36">
              <w:rPr>
                <w:rFonts w:ascii="Arial" w:hAnsi="Arial" w:cs="Arial"/>
                <w:webHidden/>
              </w:rPr>
              <w:tab/>
            </w:r>
            <w:r w:rsidR="009E1721" w:rsidRPr="00E14A36">
              <w:rPr>
                <w:rFonts w:ascii="Arial" w:hAnsi="Arial" w:cs="Arial"/>
                <w:webHidden/>
              </w:rPr>
              <w:fldChar w:fldCharType="begin"/>
            </w:r>
            <w:r w:rsidR="009E1721" w:rsidRPr="00E14A36">
              <w:rPr>
                <w:rFonts w:ascii="Arial" w:hAnsi="Arial" w:cs="Arial"/>
                <w:webHidden/>
              </w:rPr>
              <w:instrText xml:space="preserve"> PAGEREF _Toc501458078 \h </w:instrText>
            </w:r>
            <w:r w:rsidR="009E1721" w:rsidRPr="00E14A36">
              <w:rPr>
                <w:rFonts w:ascii="Arial" w:hAnsi="Arial" w:cs="Arial"/>
                <w:webHidden/>
              </w:rPr>
            </w:r>
            <w:r w:rsidR="009E1721" w:rsidRPr="00E14A36">
              <w:rPr>
                <w:rFonts w:ascii="Arial" w:hAnsi="Arial" w:cs="Arial"/>
                <w:webHidden/>
              </w:rPr>
              <w:fldChar w:fldCharType="separate"/>
            </w:r>
            <w:r w:rsidR="00051CD2">
              <w:rPr>
                <w:rFonts w:ascii="Arial" w:hAnsi="Arial" w:cs="Arial"/>
                <w:webHidden/>
              </w:rPr>
              <w:t>12</w:t>
            </w:r>
            <w:r w:rsidR="009E1721" w:rsidRPr="00E14A36">
              <w:rPr>
                <w:rFonts w:ascii="Arial" w:hAnsi="Arial" w:cs="Arial"/>
                <w:webHidden/>
              </w:rPr>
              <w:fldChar w:fldCharType="end"/>
            </w:r>
          </w:hyperlink>
        </w:p>
        <w:p w:rsidR="009E1721" w:rsidRDefault="006E1434">
          <w:pPr>
            <w:pStyle w:val="TOC1"/>
            <w:rPr>
              <w:rFonts w:asciiTheme="minorHAnsi" w:eastAsiaTheme="minorEastAsia" w:hAnsiTheme="minorHAnsi" w:cstheme="minorBidi"/>
              <w:b w:val="0"/>
              <w:color w:val="auto"/>
              <w:sz w:val="22"/>
              <w:szCs w:val="22"/>
            </w:rPr>
          </w:pPr>
          <w:hyperlink w:anchor="_Toc501458079" w:history="1">
            <w:r w:rsidR="009E1721" w:rsidRPr="009A3759">
              <w:rPr>
                <w:rStyle w:val="Hyperlink"/>
              </w:rPr>
              <w:t>Section 6. Conclusion</w:t>
            </w:r>
            <w:r w:rsidR="009E1721">
              <w:rPr>
                <w:webHidden/>
              </w:rPr>
              <w:tab/>
            </w:r>
            <w:r w:rsidR="009E1721">
              <w:rPr>
                <w:webHidden/>
              </w:rPr>
              <w:fldChar w:fldCharType="begin"/>
            </w:r>
            <w:r w:rsidR="009E1721">
              <w:rPr>
                <w:webHidden/>
              </w:rPr>
              <w:instrText xml:space="preserve"> PAGEREF _Toc501458079 \h </w:instrText>
            </w:r>
            <w:r w:rsidR="009E1721">
              <w:rPr>
                <w:webHidden/>
              </w:rPr>
            </w:r>
            <w:r w:rsidR="009E1721">
              <w:rPr>
                <w:webHidden/>
              </w:rPr>
              <w:fldChar w:fldCharType="separate"/>
            </w:r>
            <w:r w:rsidR="00051CD2">
              <w:rPr>
                <w:webHidden/>
              </w:rPr>
              <w:t>13</w:t>
            </w:r>
            <w:r w:rsidR="009E1721">
              <w:rPr>
                <w:webHidden/>
              </w:rPr>
              <w:fldChar w:fldCharType="end"/>
            </w:r>
          </w:hyperlink>
        </w:p>
        <w:p w:rsidR="00851825" w:rsidRDefault="00851825">
          <w:r w:rsidRPr="00F9290A">
            <w:rPr>
              <w:rFonts w:ascii="Arial" w:hAnsi="Arial" w:cs="Arial"/>
              <w:b/>
              <w:bCs/>
              <w:noProof/>
            </w:rPr>
            <w:fldChar w:fldCharType="end"/>
          </w:r>
        </w:p>
      </w:sdtContent>
    </w:sdt>
    <w:p w:rsidR="00D250B1" w:rsidRPr="003A78FB" w:rsidRDefault="00D250B1" w:rsidP="00D250B1">
      <w:pPr>
        <w:rPr>
          <w:rFonts w:asciiTheme="minorHAnsi" w:hAnsiTheme="minorHAnsi"/>
        </w:rPr>
      </w:pPr>
      <w:r w:rsidRPr="003A78FB">
        <w:rPr>
          <w:rFonts w:asciiTheme="minorHAnsi" w:hAnsiTheme="minorHAnsi"/>
        </w:rPr>
        <w:br w:type="page"/>
      </w:r>
    </w:p>
    <w:p w:rsidR="00D250B1" w:rsidRPr="003A78FB" w:rsidRDefault="00BA4149" w:rsidP="00BA4149">
      <w:pPr>
        <w:pStyle w:val="Proposal1"/>
      </w:pPr>
      <w:bookmarkStart w:id="1" w:name="_Toc438219393"/>
      <w:bookmarkStart w:id="2" w:name="_Toc501458061"/>
      <w:r>
        <w:lastRenderedPageBreak/>
        <w:t xml:space="preserve">Section 1. </w:t>
      </w:r>
      <w:r w:rsidR="00D250B1" w:rsidRPr="003A78FB">
        <w:t>Introduction</w:t>
      </w:r>
      <w:bookmarkEnd w:id="1"/>
      <w:bookmarkEnd w:id="2"/>
    </w:p>
    <w:p w:rsidR="00D250B1" w:rsidRPr="00DE4280" w:rsidRDefault="00D250B1" w:rsidP="00554013">
      <w:pPr>
        <w:jc w:val="both"/>
        <w:rPr>
          <w:rFonts w:ascii="Arial" w:hAnsi="Arial" w:cs="Arial"/>
          <w:sz w:val="22"/>
          <w:szCs w:val="22"/>
        </w:rPr>
      </w:pPr>
      <w:r w:rsidRPr="00DE4280">
        <w:rPr>
          <w:rFonts w:ascii="Arial" w:hAnsi="Arial" w:cs="Arial"/>
          <w:sz w:val="22"/>
          <w:szCs w:val="22"/>
        </w:rPr>
        <w:t xml:space="preserve">This report assesses the response rates and potential nonresponse bias associated with the </w:t>
      </w:r>
      <w:r w:rsidR="008038EF">
        <w:rPr>
          <w:rFonts w:ascii="Arial" w:hAnsi="Arial" w:cs="Arial"/>
          <w:sz w:val="22"/>
          <w:szCs w:val="22"/>
        </w:rPr>
        <w:t>2017</w:t>
      </w:r>
      <w:r w:rsidRPr="00DE4280">
        <w:rPr>
          <w:rFonts w:ascii="Arial" w:hAnsi="Arial" w:cs="Arial"/>
          <w:sz w:val="22"/>
          <w:szCs w:val="22"/>
        </w:rPr>
        <w:t xml:space="preserve"> National Youth Tobacco Study (NYTS). Nonresponse bias refers to the potential for systematic under-representation and consequent bias in survey estimates due to nonresponse. </w:t>
      </w:r>
      <w:r w:rsidR="003F2ACE">
        <w:rPr>
          <w:rFonts w:ascii="Arial" w:hAnsi="Arial" w:cs="Arial"/>
          <w:sz w:val="22"/>
          <w:szCs w:val="22"/>
        </w:rPr>
        <w:t>Nonresponse</w:t>
      </w:r>
      <w:r w:rsidR="003F2ACE" w:rsidRPr="00DE4280">
        <w:rPr>
          <w:rFonts w:ascii="Arial" w:hAnsi="Arial" w:cs="Arial"/>
          <w:sz w:val="22"/>
          <w:szCs w:val="22"/>
        </w:rPr>
        <w:t xml:space="preserve"> bias is a function of the amount of </w:t>
      </w:r>
      <w:r w:rsidR="003F2ACE">
        <w:rPr>
          <w:rFonts w:ascii="Arial" w:hAnsi="Arial" w:cs="Arial"/>
          <w:sz w:val="22"/>
          <w:szCs w:val="22"/>
        </w:rPr>
        <w:t>nonresponse</w:t>
      </w:r>
      <w:r w:rsidR="003F2ACE" w:rsidRPr="00DE4280">
        <w:rPr>
          <w:rFonts w:ascii="Arial" w:hAnsi="Arial" w:cs="Arial"/>
          <w:sz w:val="22"/>
          <w:szCs w:val="22"/>
        </w:rPr>
        <w:t xml:space="preserve"> and differences between the non-respondent and respondent subgroups with respect to characteristics estimated by the survey. </w:t>
      </w:r>
      <w:r w:rsidRPr="00DE4280">
        <w:rPr>
          <w:rFonts w:ascii="Arial" w:hAnsi="Arial" w:cs="Arial"/>
          <w:sz w:val="22"/>
          <w:szCs w:val="22"/>
        </w:rPr>
        <w:t xml:space="preserve">The analysis of nonresponse bias can inform statistical adjustments to the response data, </w:t>
      </w:r>
      <w:r w:rsidR="000D62A0">
        <w:rPr>
          <w:rFonts w:ascii="Arial" w:hAnsi="Arial" w:cs="Arial"/>
          <w:sz w:val="22"/>
          <w:szCs w:val="22"/>
        </w:rPr>
        <w:t xml:space="preserve">inform users about the </w:t>
      </w:r>
      <w:r w:rsidR="00324749">
        <w:rPr>
          <w:rFonts w:ascii="Arial" w:hAnsi="Arial" w:cs="Arial"/>
          <w:sz w:val="22"/>
          <w:szCs w:val="22"/>
        </w:rPr>
        <w:t>representativeness</w:t>
      </w:r>
      <w:r w:rsidR="000D62A0">
        <w:rPr>
          <w:rFonts w:ascii="Arial" w:hAnsi="Arial" w:cs="Arial"/>
          <w:sz w:val="22"/>
          <w:szCs w:val="22"/>
        </w:rPr>
        <w:t xml:space="preserve"> of the data, </w:t>
      </w:r>
      <w:r w:rsidRPr="00DE4280">
        <w:rPr>
          <w:rFonts w:ascii="Arial" w:hAnsi="Arial" w:cs="Arial"/>
          <w:sz w:val="22"/>
          <w:szCs w:val="22"/>
        </w:rPr>
        <w:t xml:space="preserve">change how institutions or individuals are recruited, and modify fielding procedures. </w:t>
      </w:r>
    </w:p>
    <w:p w:rsidR="00054314" w:rsidRPr="000D62A0" w:rsidRDefault="000D62A0" w:rsidP="00554013">
      <w:pPr>
        <w:jc w:val="both"/>
        <w:rPr>
          <w:rFonts w:ascii="Arial" w:hAnsi="Arial" w:cs="Arial"/>
          <w:sz w:val="22"/>
          <w:szCs w:val="22"/>
        </w:rPr>
      </w:pPr>
      <w:r w:rsidRPr="00BF7F60">
        <w:rPr>
          <w:rFonts w:ascii="Arial" w:hAnsi="Arial" w:cs="Arial"/>
          <w:sz w:val="22"/>
          <w:szCs w:val="22"/>
        </w:rPr>
        <w:t xml:space="preserve">Consistent with previous years, the </w:t>
      </w:r>
      <w:r w:rsidR="008038EF">
        <w:rPr>
          <w:rFonts w:ascii="Arial" w:hAnsi="Arial" w:cs="Arial"/>
          <w:sz w:val="22"/>
          <w:szCs w:val="22"/>
        </w:rPr>
        <w:t>2017</w:t>
      </w:r>
      <w:r w:rsidRPr="00BF7F60">
        <w:rPr>
          <w:rFonts w:ascii="Arial" w:hAnsi="Arial" w:cs="Arial"/>
          <w:sz w:val="22"/>
          <w:szCs w:val="22"/>
        </w:rPr>
        <w:t xml:space="preserve"> NYTS used a</w:t>
      </w:r>
      <w:r w:rsidR="00054314" w:rsidRPr="00BF7F60">
        <w:rPr>
          <w:rFonts w:ascii="Arial" w:hAnsi="Arial" w:cs="Arial"/>
          <w:sz w:val="22"/>
          <w:szCs w:val="22"/>
        </w:rPr>
        <w:t xml:space="preserve"> three-stage cluster sampling design </w:t>
      </w:r>
      <w:r w:rsidRPr="00BF7F60">
        <w:rPr>
          <w:rFonts w:ascii="Arial" w:hAnsi="Arial" w:cs="Arial"/>
          <w:sz w:val="22"/>
          <w:szCs w:val="22"/>
        </w:rPr>
        <w:t xml:space="preserve">to </w:t>
      </w:r>
      <w:r w:rsidR="00054314" w:rsidRPr="00BF7F60">
        <w:rPr>
          <w:rFonts w:ascii="Arial" w:hAnsi="Arial" w:cs="Arial"/>
          <w:sz w:val="22"/>
          <w:szCs w:val="22"/>
        </w:rPr>
        <w:t>produce a nationally representative sample of students in middle (grades 6-8) and high (grades 9-12) schools who attend public and private schools.</w:t>
      </w:r>
      <w:r w:rsidR="00054314" w:rsidRPr="000D62A0">
        <w:rPr>
          <w:rFonts w:ascii="Arial" w:hAnsi="Arial" w:cs="Arial"/>
          <w:sz w:val="22"/>
          <w:szCs w:val="22"/>
        </w:rPr>
        <w:t xml:space="preserve"> Briefly, primary sampling units (PSUs) were selected at the first stage, schools were selected at the second stage, and students were selected from intact classrooms at the third stage. </w:t>
      </w:r>
      <w:r w:rsidR="00054314" w:rsidRPr="00BF7F60">
        <w:rPr>
          <w:rFonts w:ascii="Arial" w:hAnsi="Arial" w:cs="Arial"/>
          <w:sz w:val="22"/>
          <w:szCs w:val="22"/>
        </w:rPr>
        <w:t xml:space="preserve">For more information on the sampling design see </w:t>
      </w:r>
      <w:r w:rsidR="003025FB">
        <w:rPr>
          <w:rFonts w:ascii="Arial" w:hAnsi="Arial" w:cs="Arial"/>
          <w:sz w:val="22"/>
          <w:szCs w:val="22"/>
        </w:rPr>
        <w:t xml:space="preserve">the Methodology Report for the </w:t>
      </w:r>
      <w:r w:rsidR="008038EF">
        <w:rPr>
          <w:rFonts w:ascii="Arial" w:hAnsi="Arial" w:cs="Arial"/>
          <w:sz w:val="22"/>
          <w:szCs w:val="22"/>
        </w:rPr>
        <w:t>2017</w:t>
      </w:r>
      <w:r w:rsidR="00054314" w:rsidRPr="00BF7F60">
        <w:rPr>
          <w:rFonts w:ascii="Arial" w:hAnsi="Arial" w:cs="Arial"/>
          <w:sz w:val="22"/>
          <w:szCs w:val="22"/>
        </w:rPr>
        <w:t xml:space="preserve"> National Youth Tobacco Survey.</w:t>
      </w:r>
      <w:r>
        <w:rPr>
          <w:rFonts w:ascii="Arial" w:hAnsi="Arial" w:cs="Arial"/>
          <w:sz w:val="22"/>
          <w:szCs w:val="22"/>
        </w:rPr>
        <w:t xml:space="preserve"> Although nonresponse can occur at both the school and student level, </w:t>
      </w:r>
      <w:r w:rsidR="008936F0">
        <w:rPr>
          <w:rFonts w:ascii="Arial" w:hAnsi="Arial" w:cs="Arial"/>
          <w:sz w:val="22"/>
          <w:szCs w:val="22"/>
        </w:rPr>
        <w:t>the nonresponse analysis is based on school characteristics</w:t>
      </w:r>
      <w:r w:rsidR="003025FB">
        <w:rPr>
          <w:rFonts w:ascii="Arial" w:hAnsi="Arial" w:cs="Arial"/>
          <w:sz w:val="22"/>
          <w:szCs w:val="22"/>
        </w:rPr>
        <w:t xml:space="preserve"> b</w:t>
      </w:r>
      <w:r w:rsidR="003025FB" w:rsidRPr="00DE4280">
        <w:rPr>
          <w:rFonts w:ascii="Arial" w:hAnsi="Arial" w:cs="Arial"/>
          <w:sz w:val="22"/>
          <w:szCs w:val="22"/>
        </w:rPr>
        <w:t xml:space="preserve">ecause the differences between participating </w:t>
      </w:r>
      <w:r w:rsidR="003025FB">
        <w:rPr>
          <w:rFonts w:ascii="Arial" w:hAnsi="Arial" w:cs="Arial"/>
          <w:sz w:val="22"/>
          <w:szCs w:val="22"/>
        </w:rPr>
        <w:t>and non</w:t>
      </w:r>
      <w:r w:rsidR="003025FB" w:rsidRPr="00DE4280">
        <w:rPr>
          <w:rFonts w:ascii="Arial" w:hAnsi="Arial" w:cs="Arial"/>
          <w:sz w:val="22"/>
          <w:szCs w:val="22"/>
        </w:rPr>
        <w:t>participating students cannot be measured</w:t>
      </w:r>
      <w:r w:rsidR="005565AB">
        <w:rPr>
          <w:rFonts w:ascii="Arial" w:hAnsi="Arial" w:cs="Arial"/>
          <w:sz w:val="22"/>
          <w:szCs w:val="22"/>
        </w:rPr>
        <w:t xml:space="preserve"> through this survey</w:t>
      </w:r>
      <w:r w:rsidR="003025FB">
        <w:rPr>
          <w:rFonts w:ascii="Arial" w:hAnsi="Arial" w:cs="Arial"/>
          <w:sz w:val="22"/>
          <w:szCs w:val="22"/>
        </w:rPr>
        <w:t>.</w:t>
      </w:r>
      <w:r w:rsidR="008936F0">
        <w:rPr>
          <w:rFonts w:ascii="Arial" w:hAnsi="Arial" w:cs="Arial"/>
          <w:sz w:val="22"/>
          <w:szCs w:val="22"/>
        </w:rPr>
        <w:t xml:space="preserve"> </w:t>
      </w:r>
      <w:r w:rsidR="003025FB">
        <w:rPr>
          <w:rFonts w:ascii="Arial" w:hAnsi="Arial" w:cs="Arial"/>
          <w:sz w:val="22"/>
          <w:szCs w:val="22"/>
        </w:rPr>
        <w:t xml:space="preserve"> We also analyze </w:t>
      </w:r>
      <w:r w:rsidR="00DA1CEC">
        <w:rPr>
          <w:rFonts w:ascii="Arial" w:hAnsi="Arial" w:cs="Arial"/>
          <w:sz w:val="22"/>
          <w:szCs w:val="22"/>
        </w:rPr>
        <w:t xml:space="preserve">aggregate </w:t>
      </w:r>
      <w:r w:rsidR="008936F0">
        <w:rPr>
          <w:rFonts w:ascii="Arial" w:hAnsi="Arial" w:cs="Arial"/>
          <w:sz w:val="22"/>
          <w:szCs w:val="22"/>
        </w:rPr>
        <w:t xml:space="preserve">demographic and socioeconomic characteristics of the student population available at the school level. </w:t>
      </w:r>
      <w:r w:rsidR="008038EF">
        <w:rPr>
          <w:rFonts w:ascii="Arial" w:hAnsi="Arial" w:cs="Arial"/>
          <w:sz w:val="22"/>
          <w:szCs w:val="22"/>
        </w:rPr>
        <w:t xml:space="preserve">Along with school and student nonresponse bias analysis, the 2017 nonresponse analysis also assesses the potential for item nonresponse bias. </w:t>
      </w:r>
    </w:p>
    <w:p w:rsidR="00D250B1" w:rsidRPr="00DE4280" w:rsidRDefault="00D250B1" w:rsidP="00554013">
      <w:pPr>
        <w:jc w:val="both"/>
        <w:rPr>
          <w:rFonts w:ascii="Arial" w:hAnsi="Arial" w:cs="Arial"/>
          <w:sz w:val="22"/>
          <w:szCs w:val="22"/>
        </w:rPr>
      </w:pPr>
      <w:r w:rsidRPr="00DE4280">
        <w:rPr>
          <w:rFonts w:ascii="Arial" w:hAnsi="Arial" w:cs="Arial"/>
          <w:sz w:val="22"/>
          <w:szCs w:val="22"/>
        </w:rPr>
        <w:t xml:space="preserve">The first step in the assessment of nonresponse bias is </w:t>
      </w:r>
      <w:r w:rsidR="00D05BDB" w:rsidRPr="00DE4280">
        <w:rPr>
          <w:rFonts w:ascii="Arial" w:hAnsi="Arial" w:cs="Arial"/>
          <w:sz w:val="22"/>
          <w:szCs w:val="22"/>
        </w:rPr>
        <w:t>to determine</w:t>
      </w:r>
      <w:r w:rsidRPr="00DE4280">
        <w:rPr>
          <w:rFonts w:ascii="Arial" w:hAnsi="Arial" w:cs="Arial"/>
          <w:sz w:val="22"/>
          <w:szCs w:val="22"/>
        </w:rPr>
        <w:t xml:space="preserve"> whether nonresponse rates pose a potential problem overall or for certain population subgroups. High levels of nonresponse would indicate that more intensive efforts are needed to attain participation overall or for certain subgroups. Even in surveys where nonresponse does not reach these levels, efforts may be suggested to reduce or to adjust for the residual bias that may be induced by nonresponse. </w:t>
      </w:r>
      <w:r w:rsidR="0085760A">
        <w:rPr>
          <w:rFonts w:ascii="Arial" w:hAnsi="Arial" w:cs="Arial"/>
          <w:sz w:val="22"/>
          <w:szCs w:val="22"/>
        </w:rPr>
        <w:t xml:space="preserve">For the </w:t>
      </w:r>
      <w:r w:rsidR="008038EF">
        <w:rPr>
          <w:rFonts w:ascii="Arial" w:hAnsi="Arial" w:cs="Arial"/>
          <w:sz w:val="22"/>
          <w:szCs w:val="22"/>
        </w:rPr>
        <w:t>2017</w:t>
      </w:r>
      <w:r w:rsidR="0085760A">
        <w:rPr>
          <w:rFonts w:ascii="Arial" w:hAnsi="Arial" w:cs="Arial"/>
          <w:sz w:val="22"/>
          <w:szCs w:val="22"/>
        </w:rPr>
        <w:t xml:space="preserve"> NYTS, t</w:t>
      </w:r>
      <w:r w:rsidRPr="00DE4280">
        <w:rPr>
          <w:rFonts w:ascii="Arial" w:hAnsi="Arial" w:cs="Arial"/>
          <w:sz w:val="22"/>
          <w:szCs w:val="22"/>
        </w:rPr>
        <w:t>he</w:t>
      </w:r>
      <w:r w:rsidR="00DA1CEC">
        <w:rPr>
          <w:rFonts w:ascii="Arial" w:hAnsi="Arial" w:cs="Arial"/>
          <w:sz w:val="22"/>
          <w:szCs w:val="22"/>
        </w:rPr>
        <w:t>se</w:t>
      </w:r>
      <w:r w:rsidRPr="00DE4280">
        <w:rPr>
          <w:rFonts w:ascii="Arial" w:hAnsi="Arial" w:cs="Arial"/>
          <w:sz w:val="22"/>
          <w:szCs w:val="22"/>
        </w:rPr>
        <w:t xml:space="preserve"> analyses </w:t>
      </w:r>
      <w:r w:rsidR="0085760A">
        <w:rPr>
          <w:rFonts w:ascii="Arial" w:hAnsi="Arial" w:cs="Arial"/>
          <w:sz w:val="22"/>
          <w:szCs w:val="22"/>
        </w:rPr>
        <w:t xml:space="preserve">were used to </w:t>
      </w:r>
      <w:r w:rsidR="00DA1CEC">
        <w:rPr>
          <w:rFonts w:ascii="Arial" w:hAnsi="Arial" w:cs="Arial"/>
          <w:sz w:val="22"/>
          <w:szCs w:val="22"/>
        </w:rPr>
        <w:t xml:space="preserve">identify lower responding subgroups and </w:t>
      </w:r>
      <w:r w:rsidR="0085760A">
        <w:rPr>
          <w:rFonts w:ascii="Arial" w:hAnsi="Arial" w:cs="Arial"/>
          <w:sz w:val="22"/>
          <w:szCs w:val="22"/>
        </w:rPr>
        <w:t>compensate</w:t>
      </w:r>
      <w:r w:rsidRPr="00DE4280">
        <w:rPr>
          <w:rFonts w:ascii="Arial" w:hAnsi="Arial" w:cs="Arial"/>
          <w:sz w:val="22"/>
          <w:szCs w:val="22"/>
        </w:rPr>
        <w:t xml:space="preserve"> for potential nonresponse bias</w:t>
      </w:r>
      <w:r w:rsidR="0085760A">
        <w:rPr>
          <w:rFonts w:ascii="Arial" w:hAnsi="Arial" w:cs="Arial"/>
          <w:sz w:val="22"/>
          <w:szCs w:val="22"/>
        </w:rPr>
        <w:t xml:space="preserve"> in the weighting process with</w:t>
      </w:r>
      <w:r w:rsidRPr="00DE4280">
        <w:rPr>
          <w:rFonts w:ascii="Arial" w:hAnsi="Arial" w:cs="Arial"/>
          <w:sz w:val="22"/>
          <w:szCs w:val="22"/>
        </w:rPr>
        <w:t xml:space="preserve"> the use of weighting class adjustments.</w:t>
      </w:r>
    </w:p>
    <w:p w:rsidR="00D250B1" w:rsidRPr="00DE4280" w:rsidRDefault="002C362B" w:rsidP="00554013">
      <w:pPr>
        <w:jc w:val="both"/>
        <w:rPr>
          <w:rFonts w:ascii="Arial" w:hAnsi="Arial" w:cs="Arial"/>
          <w:sz w:val="22"/>
          <w:szCs w:val="22"/>
        </w:rPr>
      </w:pPr>
      <w:r w:rsidRPr="000972CF">
        <w:rPr>
          <w:rFonts w:ascii="Arial" w:hAnsi="Arial" w:cs="Arial"/>
          <w:sz w:val="22"/>
          <w:szCs w:val="22"/>
        </w:rPr>
        <w:t xml:space="preserve">Section 2 of this report looks at  </w:t>
      </w:r>
      <w:r w:rsidR="002B35E0">
        <w:rPr>
          <w:rFonts w:ascii="Arial" w:hAnsi="Arial" w:cs="Arial"/>
          <w:sz w:val="22"/>
          <w:szCs w:val="22"/>
        </w:rPr>
        <w:t>the</w:t>
      </w:r>
      <w:r w:rsidR="002B35E0" w:rsidRPr="002B35E0">
        <w:rPr>
          <w:rFonts w:ascii="Arial" w:hAnsi="Arial" w:cs="Arial"/>
          <w:sz w:val="22"/>
          <w:szCs w:val="22"/>
        </w:rPr>
        <w:t xml:space="preserve"> </w:t>
      </w:r>
      <w:r w:rsidR="002B35E0" w:rsidRPr="000972CF">
        <w:rPr>
          <w:rFonts w:ascii="Arial" w:hAnsi="Arial" w:cs="Arial"/>
          <w:sz w:val="22"/>
          <w:szCs w:val="22"/>
        </w:rPr>
        <w:t>participation rates achieved</w:t>
      </w:r>
      <w:r w:rsidR="002B35E0">
        <w:rPr>
          <w:rFonts w:ascii="Arial" w:hAnsi="Arial" w:cs="Arial"/>
          <w:sz w:val="22"/>
          <w:szCs w:val="22"/>
        </w:rPr>
        <w:t xml:space="preserve"> in the 2017 </w:t>
      </w:r>
      <w:r w:rsidRPr="000972CF">
        <w:rPr>
          <w:rFonts w:ascii="Arial" w:hAnsi="Arial" w:cs="Arial"/>
          <w:sz w:val="22"/>
          <w:szCs w:val="22"/>
        </w:rPr>
        <w:t xml:space="preserve">NYTS </w:t>
      </w:r>
      <w:r w:rsidR="002B35E0">
        <w:rPr>
          <w:rFonts w:ascii="Arial" w:hAnsi="Arial" w:cs="Arial"/>
          <w:sz w:val="22"/>
          <w:szCs w:val="22"/>
        </w:rPr>
        <w:t xml:space="preserve">survey in the context of historical participation rates at the student and school levels. </w:t>
      </w:r>
      <w:r w:rsidRPr="000972CF">
        <w:rPr>
          <w:rFonts w:ascii="Arial" w:hAnsi="Arial" w:cs="Arial"/>
          <w:sz w:val="22"/>
          <w:szCs w:val="22"/>
        </w:rPr>
        <w:t xml:space="preserve"> Section </w:t>
      </w:r>
      <w:r w:rsidR="00DA1CEC" w:rsidRPr="000972CF">
        <w:rPr>
          <w:rFonts w:ascii="Arial" w:hAnsi="Arial" w:cs="Arial"/>
          <w:sz w:val="22"/>
          <w:szCs w:val="22"/>
        </w:rPr>
        <w:t>3</w:t>
      </w:r>
      <w:r w:rsidRPr="000972CF">
        <w:rPr>
          <w:rFonts w:ascii="Arial" w:hAnsi="Arial" w:cs="Arial"/>
          <w:sz w:val="22"/>
          <w:szCs w:val="22"/>
        </w:rPr>
        <w:t xml:space="preserve"> contrasts participating and non-participating schools along</w:t>
      </w:r>
      <w:r w:rsidR="0085760A" w:rsidRPr="000972CF">
        <w:rPr>
          <w:rFonts w:ascii="Arial" w:hAnsi="Arial" w:cs="Arial"/>
          <w:sz w:val="22"/>
          <w:szCs w:val="22"/>
        </w:rPr>
        <w:t xml:space="preserve"> student population characteristics, such as</w:t>
      </w:r>
      <w:r w:rsidRPr="000972CF">
        <w:rPr>
          <w:rFonts w:ascii="Arial" w:hAnsi="Arial" w:cs="Arial"/>
          <w:sz w:val="22"/>
          <w:szCs w:val="22"/>
        </w:rPr>
        <w:t xml:space="preserve"> racial/ethnic and socio-economic characteristics. Section </w:t>
      </w:r>
      <w:r w:rsidR="00DA1CEC" w:rsidRPr="000972CF">
        <w:rPr>
          <w:rFonts w:ascii="Arial" w:hAnsi="Arial" w:cs="Arial"/>
          <w:sz w:val="22"/>
          <w:szCs w:val="22"/>
        </w:rPr>
        <w:t>4</w:t>
      </w:r>
      <w:r w:rsidRPr="000972CF">
        <w:rPr>
          <w:rFonts w:ascii="Arial" w:hAnsi="Arial" w:cs="Arial"/>
          <w:sz w:val="22"/>
          <w:szCs w:val="22"/>
        </w:rPr>
        <w:t xml:space="preserve"> considers multiple regression models that assess the </w:t>
      </w:r>
      <w:r w:rsidRPr="00BC4426">
        <w:rPr>
          <w:rFonts w:ascii="Arial" w:hAnsi="Arial" w:cs="Arial"/>
          <w:sz w:val="22"/>
          <w:szCs w:val="22"/>
        </w:rPr>
        <w:t>independent effects of these</w:t>
      </w:r>
      <w:r w:rsidR="000972CF" w:rsidRPr="00BC4426">
        <w:rPr>
          <w:rFonts w:ascii="Arial" w:hAnsi="Arial" w:cs="Arial"/>
          <w:sz w:val="22"/>
          <w:szCs w:val="22"/>
        </w:rPr>
        <w:t xml:space="preserve"> school and student population </w:t>
      </w:r>
      <w:r w:rsidRPr="00BC4426">
        <w:rPr>
          <w:rFonts w:ascii="Arial" w:hAnsi="Arial" w:cs="Arial"/>
          <w:sz w:val="22"/>
          <w:szCs w:val="22"/>
        </w:rPr>
        <w:t>characteristics</w:t>
      </w:r>
      <w:r w:rsidR="000972CF" w:rsidRPr="00BC4426">
        <w:rPr>
          <w:rFonts w:ascii="Arial" w:hAnsi="Arial" w:cs="Arial"/>
          <w:sz w:val="22"/>
          <w:szCs w:val="22"/>
        </w:rPr>
        <w:t xml:space="preserve"> </w:t>
      </w:r>
      <w:r w:rsidRPr="00BC4426">
        <w:rPr>
          <w:rFonts w:ascii="Arial" w:hAnsi="Arial" w:cs="Arial"/>
          <w:sz w:val="22"/>
          <w:szCs w:val="22"/>
        </w:rPr>
        <w:t xml:space="preserve">on school participation. </w:t>
      </w:r>
      <w:r w:rsidR="008038EF" w:rsidRPr="00BC4426">
        <w:rPr>
          <w:rFonts w:ascii="Arial" w:hAnsi="Arial" w:cs="Arial"/>
          <w:sz w:val="22"/>
          <w:szCs w:val="22"/>
        </w:rPr>
        <w:t>Section 5 assesses the level of item nonresponse across</w:t>
      </w:r>
      <w:r w:rsidR="002B35E0">
        <w:rPr>
          <w:rFonts w:ascii="Arial" w:hAnsi="Arial" w:cs="Arial"/>
          <w:sz w:val="22"/>
          <w:szCs w:val="22"/>
        </w:rPr>
        <w:t xml:space="preserve"> NYTS survey</w:t>
      </w:r>
      <w:r w:rsidR="008038EF" w:rsidRPr="00BC4426">
        <w:rPr>
          <w:rFonts w:ascii="Arial" w:hAnsi="Arial" w:cs="Arial"/>
          <w:sz w:val="22"/>
          <w:szCs w:val="22"/>
        </w:rPr>
        <w:t xml:space="preserve"> questions. </w:t>
      </w:r>
      <w:r w:rsidRPr="00BC4426">
        <w:rPr>
          <w:rFonts w:ascii="Arial" w:hAnsi="Arial" w:cs="Arial"/>
          <w:sz w:val="22"/>
          <w:szCs w:val="22"/>
        </w:rPr>
        <w:t>This section is followed</w:t>
      </w:r>
      <w:r w:rsidRPr="0085760A">
        <w:rPr>
          <w:rFonts w:ascii="Arial" w:hAnsi="Arial" w:cs="Arial"/>
          <w:sz w:val="22"/>
          <w:szCs w:val="22"/>
        </w:rPr>
        <w:t xml:space="preserve"> by a brief conclusion.</w:t>
      </w:r>
      <w:r w:rsidR="00D250B1" w:rsidRPr="00DE4280">
        <w:rPr>
          <w:rFonts w:ascii="Arial" w:hAnsi="Arial" w:cs="Arial"/>
          <w:sz w:val="22"/>
          <w:szCs w:val="22"/>
        </w:rPr>
        <w:t xml:space="preserve"> </w:t>
      </w:r>
    </w:p>
    <w:p w:rsidR="00D250B1" w:rsidRPr="00DE4280" w:rsidRDefault="00D250B1" w:rsidP="00D250B1">
      <w:pPr>
        <w:rPr>
          <w:rFonts w:ascii="Arial" w:eastAsia="Times New Roman" w:hAnsi="Arial" w:cs="Arial"/>
          <w:b/>
          <w:color w:val="1F497D" w:themeColor="text2"/>
          <w:sz w:val="22"/>
          <w:szCs w:val="22"/>
        </w:rPr>
      </w:pPr>
    </w:p>
    <w:p w:rsidR="00682D85" w:rsidRPr="00DE4280" w:rsidRDefault="00682D85">
      <w:pPr>
        <w:spacing w:after="0" w:line="240" w:lineRule="auto"/>
        <w:rPr>
          <w:rFonts w:ascii="Arial" w:hAnsi="Arial" w:cs="Arial"/>
          <w:smallCaps/>
          <w:sz w:val="22"/>
          <w:szCs w:val="22"/>
        </w:rPr>
      </w:pPr>
      <w:bookmarkStart w:id="3" w:name="_Toc438219394"/>
      <w:r w:rsidRPr="00DE4280">
        <w:rPr>
          <w:rFonts w:ascii="Arial" w:hAnsi="Arial" w:cs="Arial"/>
          <w:sz w:val="22"/>
          <w:szCs w:val="22"/>
        </w:rPr>
        <w:br w:type="page"/>
      </w:r>
    </w:p>
    <w:p w:rsidR="00D250B1" w:rsidRPr="00176059" w:rsidRDefault="00BA4149" w:rsidP="00176059">
      <w:pPr>
        <w:pStyle w:val="Proposal1"/>
      </w:pPr>
      <w:bookmarkStart w:id="4" w:name="_Toc501458062"/>
      <w:r w:rsidRPr="00176059">
        <w:t xml:space="preserve">Section 2. </w:t>
      </w:r>
      <w:r w:rsidR="00D250B1" w:rsidRPr="00176059">
        <w:t>School-Level Nonresponse</w:t>
      </w:r>
      <w:bookmarkEnd w:id="3"/>
      <w:bookmarkEnd w:id="4"/>
    </w:p>
    <w:p w:rsidR="00D250B1" w:rsidRPr="00DE4280" w:rsidRDefault="00D250B1" w:rsidP="00851B33">
      <w:pPr>
        <w:pStyle w:val="Heading2"/>
        <w:numPr>
          <w:ilvl w:val="1"/>
          <w:numId w:val="16"/>
        </w:numPr>
        <w:rPr>
          <w:rFonts w:cs="Arial"/>
          <w:sz w:val="22"/>
          <w:szCs w:val="22"/>
        </w:rPr>
      </w:pPr>
      <w:bookmarkStart w:id="5" w:name="_Toc438473933"/>
      <w:bookmarkStart w:id="6" w:name="_Toc438473962"/>
      <w:bookmarkStart w:id="7" w:name="_Toc438474205"/>
      <w:bookmarkStart w:id="8" w:name="_Toc438546461"/>
      <w:bookmarkStart w:id="9" w:name="_Toc438546537"/>
      <w:bookmarkStart w:id="10" w:name="_Toc438553524"/>
      <w:bookmarkStart w:id="11" w:name="_Toc438219395"/>
      <w:bookmarkStart w:id="12" w:name="_Toc501458063"/>
      <w:bookmarkEnd w:id="5"/>
      <w:bookmarkEnd w:id="6"/>
      <w:bookmarkEnd w:id="7"/>
      <w:bookmarkEnd w:id="8"/>
      <w:bookmarkEnd w:id="9"/>
      <w:bookmarkEnd w:id="10"/>
      <w:r w:rsidRPr="00DE4280">
        <w:rPr>
          <w:rFonts w:cs="Arial"/>
          <w:sz w:val="22"/>
          <w:szCs w:val="22"/>
        </w:rPr>
        <w:t>Historical Comparisons</w:t>
      </w:r>
      <w:bookmarkEnd w:id="11"/>
      <w:bookmarkEnd w:id="12"/>
    </w:p>
    <w:p w:rsidR="00F537D5" w:rsidRDefault="00F537D5" w:rsidP="00F537D5">
      <w:r w:rsidRPr="00F537D5">
        <w:rPr>
          <w:rFonts w:ascii="Arial" w:hAnsi="Arial" w:cs="Arial"/>
          <w:sz w:val="22"/>
          <w:szCs w:val="22"/>
        </w:rPr>
        <w:t>The final 2017 NYTS sample consisted of 241 schools, of which 18</w:t>
      </w:r>
      <w:r w:rsidR="002E1F02">
        <w:rPr>
          <w:rFonts w:ascii="Arial" w:hAnsi="Arial" w:cs="Arial"/>
          <w:sz w:val="22"/>
          <w:szCs w:val="22"/>
        </w:rPr>
        <w:t>5</w:t>
      </w:r>
      <w:r w:rsidRPr="00F537D5">
        <w:rPr>
          <w:rFonts w:ascii="Arial" w:hAnsi="Arial" w:cs="Arial"/>
          <w:sz w:val="22"/>
          <w:szCs w:val="22"/>
        </w:rPr>
        <w:t xml:space="preserve"> participated, for a school participation rate of 76.</w:t>
      </w:r>
      <w:r w:rsidR="002E1F02">
        <w:rPr>
          <w:rFonts w:ascii="Arial" w:hAnsi="Arial" w:cs="Arial"/>
          <w:sz w:val="22"/>
          <w:szCs w:val="22"/>
        </w:rPr>
        <w:t>8</w:t>
      </w:r>
      <w:r w:rsidRPr="00F537D5">
        <w:rPr>
          <w:rFonts w:ascii="Arial" w:hAnsi="Arial" w:cs="Arial"/>
          <w:sz w:val="22"/>
          <w:szCs w:val="22"/>
        </w:rPr>
        <w:t>%.</w:t>
      </w:r>
      <w:r w:rsidRPr="00F537D5">
        <w:rPr>
          <w:rStyle w:val="FootnoteReference"/>
          <w:rFonts w:ascii="Arial" w:hAnsi="Arial" w:cs="Arial"/>
        </w:rPr>
        <w:footnoteReference w:customMarkFollows="1" w:id="1"/>
        <w:t>[1]</w:t>
      </w:r>
      <w:r w:rsidRPr="00F537D5">
        <w:rPr>
          <w:rFonts w:ascii="Arial" w:hAnsi="Arial" w:cs="Arial"/>
          <w:sz w:val="22"/>
          <w:szCs w:val="22"/>
        </w:rPr>
        <w:t xml:space="preserve"> The survey yielded 17,872 completed student questionnaires out of a sample of 20,144 students for a student participation rate of 88.7%. Among the nonresponding students, 113 students refused to participate, 789 students’ parents refused to allow their student to participate and 85 students failed to return permission forms (from schools using an active parental permission form). The remaining 1,983 nonresponding students were classified as other non-takers. The overall participation rate, the product of the school-level and student-level participation rates, was 6</w:t>
      </w:r>
      <w:r w:rsidR="002E1F02">
        <w:rPr>
          <w:rFonts w:ascii="Arial" w:hAnsi="Arial" w:cs="Arial"/>
          <w:sz w:val="22"/>
          <w:szCs w:val="22"/>
        </w:rPr>
        <w:t>8.1</w:t>
      </w:r>
      <w:r w:rsidRPr="00F537D5">
        <w:rPr>
          <w:rFonts w:ascii="Arial" w:hAnsi="Arial" w:cs="Arial"/>
          <w:sz w:val="22"/>
          <w:szCs w:val="22"/>
        </w:rPr>
        <w:t xml:space="preserve">%. </w:t>
      </w:r>
    </w:p>
    <w:p w:rsidR="00D250B1" w:rsidRPr="00DE4280" w:rsidRDefault="00D250B1" w:rsidP="00554013">
      <w:pPr>
        <w:jc w:val="both"/>
        <w:rPr>
          <w:rFonts w:ascii="Arial" w:hAnsi="Arial" w:cs="Arial"/>
          <w:sz w:val="22"/>
          <w:szCs w:val="22"/>
        </w:rPr>
      </w:pPr>
      <w:r w:rsidRPr="00DE4280">
        <w:rPr>
          <w:rFonts w:ascii="Arial" w:hAnsi="Arial" w:cs="Arial"/>
          <w:sz w:val="22"/>
          <w:szCs w:val="22"/>
        </w:rPr>
        <w:t>As shown in</w:t>
      </w:r>
      <w:r w:rsidR="002B79BC">
        <w:rPr>
          <w:rFonts w:ascii="Arial" w:hAnsi="Arial" w:cs="Arial"/>
          <w:sz w:val="22"/>
          <w:szCs w:val="22"/>
        </w:rPr>
        <w:t xml:space="preserve"> </w:t>
      </w:r>
      <w:r w:rsidR="00F42527">
        <w:rPr>
          <w:rFonts w:ascii="Arial" w:hAnsi="Arial" w:cs="Arial"/>
          <w:sz w:val="22"/>
          <w:szCs w:val="22"/>
        </w:rPr>
        <w:t>Figure</w:t>
      </w:r>
      <w:r w:rsidR="002B79BC">
        <w:rPr>
          <w:rFonts w:ascii="Arial" w:hAnsi="Arial" w:cs="Arial"/>
          <w:sz w:val="22"/>
          <w:szCs w:val="22"/>
        </w:rPr>
        <w:t xml:space="preserve"> 1</w:t>
      </w:r>
      <w:r w:rsidRPr="00DE4280">
        <w:rPr>
          <w:rFonts w:ascii="Arial" w:hAnsi="Arial" w:cs="Arial"/>
          <w:sz w:val="22"/>
          <w:szCs w:val="22"/>
        </w:rPr>
        <w:t>, the overall participation rate for the 201</w:t>
      </w:r>
      <w:r w:rsidR="008038EF">
        <w:rPr>
          <w:rFonts w:ascii="Arial" w:hAnsi="Arial" w:cs="Arial"/>
          <w:sz w:val="22"/>
          <w:szCs w:val="22"/>
        </w:rPr>
        <w:t>7</w:t>
      </w:r>
      <w:r w:rsidRPr="00DE4280">
        <w:rPr>
          <w:rFonts w:ascii="Arial" w:hAnsi="Arial" w:cs="Arial"/>
          <w:sz w:val="22"/>
          <w:szCs w:val="22"/>
        </w:rPr>
        <w:t xml:space="preserve"> survey was </w:t>
      </w:r>
      <w:r w:rsidR="008038EF">
        <w:rPr>
          <w:rFonts w:ascii="Arial" w:hAnsi="Arial" w:cs="Arial"/>
          <w:sz w:val="22"/>
          <w:szCs w:val="22"/>
        </w:rPr>
        <w:t xml:space="preserve">lower </w:t>
      </w:r>
      <w:r w:rsidRPr="00DE4280">
        <w:rPr>
          <w:rFonts w:ascii="Arial" w:hAnsi="Arial" w:cs="Arial"/>
          <w:sz w:val="22"/>
          <w:szCs w:val="22"/>
        </w:rPr>
        <w:t>than the rate achieved in the 201</w:t>
      </w:r>
      <w:r w:rsidR="008038EF">
        <w:rPr>
          <w:rFonts w:ascii="Arial" w:hAnsi="Arial" w:cs="Arial"/>
          <w:sz w:val="22"/>
          <w:szCs w:val="22"/>
        </w:rPr>
        <w:t>6</w:t>
      </w:r>
      <w:r w:rsidRPr="00DE4280">
        <w:rPr>
          <w:rFonts w:ascii="Arial" w:hAnsi="Arial" w:cs="Arial"/>
          <w:sz w:val="22"/>
          <w:szCs w:val="22"/>
        </w:rPr>
        <w:t xml:space="preserve"> NYTS</w:t>
      </w:r>
      <w:r w:rsidR="00A5104F">
        <w:rPr>
          <w:rFonts w:ascii="Arial" w:hAnsi="Arial" w:cs="Arial"/>
          <w:sz w:val="22"/>
          <w:szCs w:val="22"/>
        </w:rPr>
        <w:t xml:space="preserve"> and b</w:t>
      </w:r>
      <w:r w:rsidRPr="00DE4280">
        <w:rPr>
          <w:rFonts w:ascii="Arial" w:hAnsi="Arial" w:cs="Arial"/>
          <w:sz w:val="22"/>
          <w:szCs w:val="22"/>
        </w:rPr>
        <w:t>oth the school</w:t>
      </w:r>
      <w:r w:rsidR="002B79BC">
        <w:rPr>
          <w:rFonts w:ascii="Arial" w:hAnsi="Arial" w:cs="Arial"/>
          <w:sz w:val="22"/>
          <w:szCs w:val="22"/>
        </w:rPr>
        <w:t xml:space="preserve"> (</w:t>
      </w:r>
      <w:r w:rsidR="00A5104F">
        <w:rPr>
          <w:rFonts w:ascii="Arial" w:hAnsi="Arial" w:cs="Arial"/>
          <w:sz w:val="22"/>
          <w:szCs w:val="22"/>
        </w:rPr>
        <w:t>76</w:t>
      </w:r>
      <w:r w:rsidR="00C107F1">
        <w:rPr>
          <w:rFonts w:ascii="Arial" w:hAnsi="Arial" w:cs="Arial"/>
          <w:sz w:val="22"/>
          <w:szCs w:val="22"/>
        </w:rPr>
        <w:t>.</w:t>
      </w:r>
      <w:r w:rsidR="002E1F02">
        <w:rPr>
          <w:rFonts w:ascii="Arial" w:hAnsi="Arial" w:cs="Arial"/>
          <w:sz w:val="22"/>
          <w:szCs w:val="22"/>
        </w:rPr>
        <w:t>8</w:t>
      </w:r>
      <w:r w:rsidR="002B79BC">
        <w:rPr>
          <w:rFonts w:ascii="Arial" w:hAnsi="Arial" w:cs="Arial"/>
          <w:sz w:val="22"/>
          <w:szCs w:val="22"/>
        </w:rPr>
        <w:t>%)</w:t>
      </w:r>
      <w:r w:rsidRPr="00DE4280">
        <w:rPr>
          <w:rFonts w:ascii="Arial" w:hAnsi="Arial" w:cs="Arial"/>
          <w:sz w:val="22"/>
          <w:szCs w:val="22"/>
        </w:rPr>
        <w:t xml:space="preserve"> and student </w:t>
      </w:r>
      <w:r w:rsidR="002B79BC">
        <w:rPr>
          <w:rFonts w:ascii="Arial" w:hAnsi="Arial" w:cs="Arial"/>
          <w:sz w:val="22"/>
          <w:szCs w:val="22"/>
        </w:rPr>
        <w:t>(8</w:t>
      </w:r>
      <w:r w:rsidR="00A5104F">
        <w:rPr>
          <w:rFonts w:ascii="Arial" w:hAnsi="Arial" w:cs="Arial"/>
          <w:sz w:val="22"/>
          <w:szCs w:val="22"/>
        </w:rPr>
        <w:t>8</w:t>
      </w:r>
      <w:r w:rsidR="00901775">
        <w:rPr>
          <w:rFonts w:ascii="Arial" w:hAnsi="Arial" w:cs="Arial"/>
          <w:sz w:val="22"/>
          <w:szCs w:val="22"/>
        </w:rPr>
        <w:t>.</w:t>
      </w:r>
      <w:r w:rsidR="00A5104F">
        <w:rPr>
          <w:rFonts w:ascii="Arial" w:hAnsi="Arial" w:cs="Arial"/>
          <w:sz w:val="22"/>
          <w:szCs w:val="22"/>
        </w:rPr>
        <w:t>7</w:t>
      </w:r>
      <w:r w:rsidR="002B79BC">
        <w:rPr>
          <w:rFonts w:ascii="Arial" w:hAnsi="Arial" w:cs="Arial"/>
          <w:sz w:val="22"/>
          <w:szCs w:val="22"/>
        </w:rPr>
        <w:t xml:space="preserve">%) </w:t>
      </w:r>
      <w:r w:rsidRPr="00DE4280">
        <w:rPr>
          <w:rFonts w:ascii="Arial" w:hAnsi="Arial" w:cs="Arial"/>
          <w:sz w:val="22"/>
          <w:szCs w:val="22"/>
        </w:rPr>
        <w:t xml:space="preserve">participation rates </w:t>
      </w:r>
      <w:r w:rsidR="00A5104F">
        <w:rPr>
          <w:rFonts w:ascii="Arial" w:hAnsi="Arial" w:cs="Arial"/>
          <w:sz w:val="22"/>
          <w:szCs w:val="22"/>
        </w:rPr>
        <w:t xml:space="preserve">are </w:t>
      </w:r>
      <w:r w:rsidR="002B79BC">
        <w:rPr>
          <w:rFonts w:ascii="Arial" w:hAnsi="Arial" w:cs="Arial"/>
          <w:sz w:val="22"/>
          <w:szCs w:val="22"/>
        </w:rPr>
        <w:t xml:space="preserve">still </w:t>
      </w:r>
      <w:r w:rsidRPr="002B79BC">
        <w:rPr>
          <w:rFonts w:ascii="Arial" w:hAnsi="Arial" w:cs="Arial"/>
          <w:sz w:val="22"/>
          <w:szCs w:val="22"/>
        </w:rPr>
        <w:t>lower t</w:t>
      </w:r>
      <w:r w:rsidRPr="00DE4280">
        <w:rPr>
          <w:rFonts w:ascii="Arial" w:hAnsi="Arial" w:cs="Arial"/>
          <w:sz w:val="22"/>
          <w:szCs w:val="22"/>
        </w:rPr>
        <w:t>han historical averages</w:t>
      </w:r>
      <w:r w:rsidR="002B79BC">
        <w:rPr>
          <w:rFonts w:ascii="Arial" w:hAnsi="Arial" w:cs="Arial"/>
          <w:sz w:val="22"/>
          <w:szCs w:val="22"/>
        </w:rPr>
        <w:t xml:space="preserve"> from 1999-201</w:t>
      </w:r>
      <w:r w:rsidR="00A5104F">
        <w:rPr>
          <w:rFonts w:ascii="Arial" w:hAnsi="Arial" w:cs="Arial"/>
          <w:sz w:val="22"/>
          <w:szCs w:val="22"/>
        </w:rPr>
        <w:t>6</w:t>
      </w:r>
      <w:r w:rsidR="002B79BC">
        <w:rPr>
          <w:rFonts w:ascii="Arial" w:hAnsi="Arial" w:cs="Arial"/>
          <w:sz w:val="22"/>
          <w:szCs w:val="22"/>
        </w:rPr>
        <w:t xml:space="preserve"> (8</w:t>
      </w:r>
      <w:r w:rsidR="00A5104F">
        <w:rPr>
          <w:rFonts w:ascii="Arial" w:hAnsi="Arial" w:cs="Arial"/>
          <w:sz w:val="22"/>
          <w:szCs w:val="22"/>
        </w:rPr>
        <w:t>4</w:t>
      </w:r>
      <w:r w:rsidR="002B79BC">
        <w:rPr>
          <w:rFonts w:ascii="Arial" w:hAnsi="Arial" w:cs="Arial"/>
          <w:sz w:val="22"/>
          <w:szCs w:val="22"/>
        </w:rPr>
        <w:t>% and 90%, respectively)</w:t>
      </w:r>
      <w:r w:rsidRPr="00DE4280">
        <w:rPr>
          <w:rFonts w:ascii="Arial" w:hAnsi="Arial" w:cs="Arial"/>
          <w:sz w:val="22"/>
          <w:szCs w:val="22"/>
        </w:rPr>
        <w:t xml:space="preserve">. </w:t>
      </w:r>
    </w:p>
    <w:p w:rsidR="00D250B1" w:rsidRPr="00DE4280" w:rsidRDefault="00554013" w:rsidP="00554013">
      <w:pPr>
        <w:jc w:val="both"/>
        <w:rPr>
          <w:rFonts w:ascii="Arial" w:hAnsi="Arial" w:cs="Arial"/>
          <w:sz w:val="22"/>
          <w:szCs w:val="22"/>
        </w:rPr>
      </w:pPr>
      <w:r>
        <w:rPr>
          <w:rFonts w:ascii="Arial" w:hAnsi="Arial" w:cs="Arial"/>
          <w:sz w:val="22"/>
          <w:szCs w:val="22"/>
        </w:rPr>
        <w:t>These</w:t>
      </w:r>
      <w:r w:rsidR="00D250B1" w:rsidRPr="002B79BC">
        <w:rPr>
          <w:rFonts w:ascii="Arial" w:hAnsi="Arial" w:cs="Arial"/>
          <w:sz w:val="22"/>
          <w:szCs w:val="22"/>
        </w:rPr>
        <w:t xml:space="preserve"> figures suggest a downward trend in school participation rates, from the low 90% range in 2006 to the 70% range observed during the 201</w:t>
      </w:r>
      <w:r w:rsidR="006C0F44">
        <w:rPr>
          <w:rFonts w:ascii="Arial" w:hAnsi="Arial" w:cs="Arial"/>
          <w:sz w:val="22"/>
          <w:szCs w:val="22"/>
        </w:rPr>
        <w:t>7</w:t>
      </w:r>
      <w:r w:rsidR="00D250B1" w:rsidRPr="002B79BC">
        <w:rPr>
          <w:rFonts w:ascii="Arial" w:hAnsi="Arial" w:cs="Arial"/>
          <w:sz w:val="22"/>
          <w:szCs w:val="22"/>
        </w:rPr>
        <w:t xml:space="preserve"> cycle</w:t>
      </w:r>
      <w:r>
        <w:rPr>
          <w:rFonts w:ascii="Arial" w:hAnsi="Arial" w:cs="Arial"/>
          <w:sz w:val="22"/>
          <w:szCs w:val="22"/>
        </w:rPr>
        <w:t xml:space="preserve">. </w:t>
      </w:r>
      <w:r w:rsidR="00D250B1" w:rsidRPr="002B79BC">
        <w:rPr>
          <w:rFonts w:ascii="Arial" w:hAnsi="Arial" w:cs="Arial"/>
          <w:sz w:val="22"/>
          <w:szCs w:val="22"/>
        </w:rPr>
        <w:t xml:space="preserve">Previous </w:t>
      </w:r>
      <w:r w:rsidR="00A221A5" w:rsidRPr="002B79BC">
        <w:rPr>
          <w:rFonts w:ascii="Arial" w:hAnsi="Arial" w:cs="Arial"/>
          <w:sz w:val="22"/>
          <w:szCs w:val="22"/>
        </w:rPr>
        <w:t>n</w:t>
      </w:r>
      <w:r w:rsidR="00D250B1" w:rsidRPr="002B79BC">
        <w:rPr>
          <w:rFonts w:ascii="Arial" w:hAnsi="Arial" w:cs="Arial"/>
          <w:sz w:val="22"/>
          <w:szCs w:val="22"/>
        </w:rPr>
        <w:t>on</w:t>
      </w:r>
      <w:r w:rsidR="00A221A5" w:rsidRPr="002B79BC">
        <w:rPr>
          <w:rFonts w:ascii="Arial" w:hAnsi="Arial" w:cs="Arial"/>
          <w:sz w:val="22"/>
          <w:szCs w:val="22"/>
        </w:rPr>
        <w:t>response bias analysis r</w:t>
      </w:r>
      <w:r w:rsidR="00D250B1" w:rsidRPr="002B79BC">
        <w:rPr>
          <w:rFonts w:ascii="Arial" w:hAnsi="Arial" w:cs="Arial"/>
          <w:sz w:val="22"/>
          <w:szCs w:val="22"/>
        </w:rPr>
        <w:t>eports suggest</w:t>
      </w:r>
      <w:r w:rsidR="002B35E0">
        <w:rPr>
          <w:rFonts w:ascii="Arial" w:hAnsi="Arial" w:cs="Arial"/>
          <w:sz w:val="22"/>
          <w:szCs w:val="22"/>
        </w:rPr>
        <w:t>s</w:t>
      </w:r>
      <w:r w:rsidR="00D250B1" w:rsidRPr="002B79BC">
        <w:rPr>
          <w:rFonts w:ascii="Arial" w:hAnsi="Arial" w:cs="Arial"/>
          <w:sz w:val="22"/>
          <w:szCs w:val="22"/>
        </w:rPr>
        <w:t xml:space="preserve"> that this drop is due to declining response rates among non-public schools, but that data quality was not compromised.</w:t>
      </w:r>
      <w:r>
        <w:rPr>
          <w:rFonts w:ascii="Arial" w:hAnsi="Arial" w:cs="Arial"/>
          <w:sz w:val="22"/>
          <w:szCs w:val="22"/>
        </w:rPr>
        <w:t xml:space="preserve"> Similar to the pervious cycles, non-public schools responded</w:t>
      </w:r>
      <w:r w:rsidR="00D250B1" w:rsidRPr="00DE4280">
        <w:rPr>
          <w:rFonts w:ascii="Arial" w:hAnsi="Arial" w:cs="Arial"/>
          <w:sz w:val="22"/>
          <w:szCs w:val="22"/>
        </w:rPr>
        <w:t xml:space="preserve"> </w:t>
      </w:r>
      <w:r>
        <w:rPr>
          <w:rFonts w:ascii="Arial" w:hAnsi="Arial" w:cs="Arial"/>
          <w:sz w:val="22"/>
          <w:szCs w:val="22"/>
        </w:rPr>
        <w:t>at a significantly lower rate than public schools</w:t>
      </w:r>
      <w:r w:rsidR="002B35E0" w:rsidRPr="002B35E0">
        <w:rPr>
          <w:rFonts w:ascii="Arial" w:hAnsi="Arial" w:cs="Arial"/>
          <w:sz w:val="22"/>
          <w:szCs w:val="22"/>
        </w:rPr>
        <w:t xml:space="preserve"> </w:t>
      </w:r>
      <w:r w:rsidR="002B35E0">
        <w:rPr>
          <w:rFonts w:ascii="Arial" w:hAnsi="Arial" w:cs="Arial"/>
          <w:sz w:val="22"/>
          <w:szCs w:val="22"/>
        </w:rPr>
        <w:t>during the 2017 cycle</w:t>
      </w:r>
      <w:r w:rsidR="006F767D">
        <w:rPr>
          <w:rFonts w:ascii="Arial" w:hAnsi="Arial" w:cs="Arial"/>
          <w:sz w:val="22"/>
          <w:szCs w:val="22"/>
        </w:rPr>
        <w:t xml:space="preserve"> (56.0% and 78.8%, respectively)</w:t>
      </w:r>
      <w:r>
        <w:rPr>
          <w:rFonts w:ascii="Arial" w:hAnsi="Arial" w:cs="Arial"/>
          <w:sz w:val="22"/>
          <w:szCs w:val="22"/>
        </w:rPr>
        <w:t>.</w:t>
      </w:r>
      <w:r w:rsidR="00F537D5">
        <w:rPr>
          <w:rFonts w:ascii="Arial" w:hAnsi="Arial" w:cs="Arial"/>
          <w:sz w:val="22"/>
          <w:szCs w:val="22"/>
        </w:rPr>
        <w:t xml:space="preserve">  There was no statistical difference in school response by school level, High Schools (78.2%) participated at about the same rate as Middle Schools (75.0%) in 2017.</w:t>
      </w:r>
    </w:p>
    <w:p w:rsidR="00D250B1" w:rsidRPr="00523281" w:rsidRDefault="00F42527" w:rsidP="00327360">
      <w:pPr>
        <w:pStyle w:val="Proposal3"/>
        <w:jc w:val="center"/>
        <w:rPr>
          <w:noProof/>
          <w:sz w:val="22"/>
        </w:rPr>
      </w:pPr>
      <w:bookmarkStart w:id="13" w:name="_Toc459646550"/>
      <w:bookmarkStart w:id="14" w:name="_Toc501458064"/>
      <w:r w:rsidRPr="00523281">
        <w:rPr>
          <w:sz w:val="22"/>
        </w:rPr>
        <w:t>Figure</w:t>
      </w:r>
      <w:r w:rsidR="00523281">
        <w:rPr>
          <w:sz w:val="22"/>
        </w:rPr>
        <w:t xml:space="preserve"> 1</w:t>
      </w:r>
      <w:r w:rsidR="002E6002" w:rsidRPr="00523281">
        <w:rPr>
          <w:noProof/>
          <w:sz w:val="22"/>
        </w:rPr>
        <w:t>.</w:t>
      </w:r>
      <w:r w:rsidR="0035607A" w:rsidRPr="00523281">
        <w:rPr>
          <w:noProof/>
          <w:sz w:val="22"/>
        </w:rPr>
        <w:t xml:space="preserve"> Historical NYTS Participation Rates</w:t>
      </w:r>
      <w:bookmarkEnd w:id="13"/>
      <w:bookmarkEnd w:id="14"/>
    </w:p>
    <w:p w:rsidR="00D250B1" w:rsidRPr="00DE4280" w:rsidRDefault="00554013" w:rsidP="00D37D2D">
      <w:pPr>
        <w:spacing w:after="240"/>
        <w:jc w:val="center"/>
        <w:rPr>
          <w:rFonts w:ascii="Arial" w:hAnsi="Arial" w:cs="Arial"/>
          <w:sz w:val="22"/>
          <w:szCs w:val="22"/>
        </w:rPr>
      </w:pPr>
      <w:r>
        <w:rPr>
          <w:noProof/>
        </w:rPr>
        <w:drawing>
          <wp:inline distT="0" distB="0" distL="0" distR="0" wp14:anchorId="5DE24257" wp14:editId="4C17DAE6">
            <wp:extent cx="5388429" cy="2503714"/>
            <wp:effectExtent l="0" t="0" r="317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50B1" w:rsidRPr="00DE4280" w:rsidRDefault="00D250B1" w:rsidP="00851B33">
      <w:pPr>
        <w:pStyle w:val="Heading2"/>
        <w:numPr>
          <w:ilvl w:val="1"/>
          <w:numId w:val="16"/>
        </w:numPr>
        <w:rPr>
          <w:rFonts w:cs="Arial"/>
          <w:sz w:val="22"/>
          <w:szCs w:val="22"/>
        </w:rPr>
      </w:pPr>
      <w:bookmarkStart w:id="15" w:name="_Ref341268951"/>
      <w:bookmarkStart w:id="16" w:name="_Toc438219396"/>
      <w:bookmarkStart w:id="17" w:name="_Toc501458065"/>
      <w:r w:rsidRPr="00DE4280">
        <w:rPr>
          <w:rFonts w:cs="Arial"/>
          <w:sz w:val="22"/>
          <w:szCs w:val="22"/>
        </w:rPr>
        <w:t>Association with School Characteristics</w:t>
      </w:r>
      <w:bookmarkEnd w:id="15"/>
      <w:bookmarkEnd w:id="16"/>
      <w:bookmarkEnd w:id="17"/>
    </w:p>
    <w:p w:rsidR="00D250B1" w:rsidRPr="00DE4280" w:rsidRDefault="00D250B1" w:rsidP="0046703F">
      <w:pPr>
        <w:jc w:val="both"/>
        <w:rPr>
          <w:rFonts w:ascii="Arial" w:hAnsi="Arial" w:cs="Arial"/>
          <w:sz w:val="22"/>
          <w:szCs w:val="22"/>
        </w:rPr>
      </w:pPr>
      <w:r w:rsidRPr="00DE4280">
        <w:rPr>
          <w:rFonts w:ascii="Arial" w:hAnsi="Arial" w:cs="Arial"/>
          <w:sz w:val="22"/>
          <w:szCs w:val="22"/>
        </w:rPr>
        <w:t xml:space="preserve">In this section, responding and nonresponding schools are compared on a variety of dimensions that may be relevant for determining the potential for nonresponse bias. </w:t>
      </w:r>
      <w:r w:rsidR="00792CB6">
        <w:rPr>
          <w:rFonts w:ascii="Arial" w:hAnsi="Arial" w:cs="Arial"/>
          <w:sz w:val="22"/>
          <w:szCs w:val="22"/>
        </w:rPr>
        <w:t xml:space="preserve">Results are shown over the past </w:t>
      </w:r>
      <w:r w:rsidR="002B79BC">
        <w:rPr>
          <w:rFonts w:ascii="Arial" w:hAnsi="Arial" w:cs="Arial"/>
          <w:sz w:val="22"/>
          <w:szCs w:val="22"/>
        </w:rPr>
        <w:t>3</w:t>
      </w:r>
      <w:r w:rsidR="00792CB6">
        <w:rPr>
          <w:rFonts w:ascii="Arial" w:hAnsi="Arial" w:cs="Arial"/>
          <w:sz w:val="22"/>
          <w:szCs w:val="22"/>
        </w:rPr>
        <w:t xml:space="preserve"> survey </w:t>
      </w:r>
      <w:r w:rsidR="00BC6F50">
        <w:rPr>
          <w:rFonts w:ascii="Arial" w:hAnsi="Arial" w:cs="Arial"/>
          <w:sz w:val="22"/>
          <w:szCs w:val="22"/>
        </w:rPr>
        <w:t xml:space="preserve">years </w:t>
      </w:r>
      <w:r w:rsidR="00792CB6">
        <w:rPr>
          <w:rFonts w:ascii="Arial" w:hAnsi="Arial" w:cs="Arial"/>
          <w:sz w:val="22"/>
          <w:szCs w:val="22"/>
        </w:rPr>
        <w:t>to assess trends</w:t>
      </w:r>
      <w:r w:rsidR="000526A6">
        <w:rPr>
          <w:rFonts w:ascii="Arial" w:hAnsi="Arial" w:cs="Arial"/>
          <w:sz w:val="22"/>
          <w:szCs w:val="22"/>
        </w:rPr>
        <w:t xml:space="preserve"> and for historical comparisons</w:t>
      </w:r>
      <w:r w:rsidR="00792CB6">
        <w:rPr>
          <w:rFonts w:ascii="Arial" w:hAnsi="Arial" w:cs="Arial"/>
          <w:sz w:val="22"/>
          <w:szCs w:val="22"/>
        </w:rPr>
        <w:t>.</w:t>
      </w:r>
    </w:p>
    <w:p w:rsidR="00D250B1" w:rsidRPr="00DE4280" w:rsidRDefault="00D250B1" w:rsidP="0046703F">
      <w:pPr>
        <w:jc w:val="both"/>
        <w:rPr>
          <w:rFonts w:ascii="Arial" w:eastAsia="Times New Roman" w:hAnsi="Arial" w:cs="Arial"/>
          <w:sz w:val="22"/>
          <w:szCs w:val="22"/>
        </w:rPr>
      </w:pPr>
      <w:r w:rsidRPr="00DE4280">
        <w:rPr>
          <w:rFonts w:ascii="Arial" w:eastAsia="Times New Roman" w:hAnsi="Arial" w:cs="Arial"/>
          <w:sz w:val="22"/>
          <w:szCs w:val="22"/>
        </w:rPr>
        <w:t xml:space="preserve">An important question for data interpretation is whether schools that participated in the NYTS are systematically different from non-participating schools </w:t>
      </w:r>
      <w:r w:rsidR="00D20A84" w:rsidRPr="00DE4280">
        <w:rPr>
          <w:rFonts w:ascii="Arial" w:eastAsia="Times New Roman" w:hAnsi="Arial" w:cs="Arial"/>
          <w:sz w:val="22"/>
          <w:szCs w:val="22"/>
        </w:rPr>
        <w:t xml:space="preserve">based </w:t>
      </w:r>
      <w:r w:rsidRPr="00DE4280">
        <w:rPr>
          <w:rFonts w:ascii="Arial" w:eastAsia="Times New Roman" w:hAnsi="Arial" w:cs="Arial"/>
          <w:sz w:val="22"/>
          <w:szCs w:val="22"/>
        </w:rPr>
        <w:t xml:space="preserve">on characteristics that may be relevant to survey outcomes. To answer this question, several characteristics available for both participating and non-participating schools </w:t>
      </w:r>
      <w:r w:rsidR="0053268D" w:rsidRPr="00DE4280">
        <w:rPr>
          <w:rFonts w:ascii="Arial" w:eastAsia="Times New Roman" w:hAnsi="Arial" w:cs="Arial"/>
          <w:sz w:val="22"/>
          <w:szCs w:val="22"/>
        </w:rPr>
        <w:t>were</w:t>
      </w:r>
      <w:r w:rsidRPr="00DE4280">
        <w:rPr>
          <w:rFonts w:ascii="Arial" w:eastAsia="Times New Roman" w:hAnsi="Arial" w:cs="Arial"/>
          <w:sz w:val="22"/>
          <w:szCs w:val="22"/>
        </w:rPr>
        <w:t xml:space="preserve"> compared</w:t>
      </w:r>
      <w:r w:rsidR="00BC6F50">
        <w:rPr>
          <w:rFonts w:ascii="Arial" w:eastAsia="Times New Roman" w:hAnsi="Arial" w:cs="Arial"/>
          <w:sz w:val="22"/>
          <w:szCs w:val="22"/>
        </w:rPr>
        <w:t xml:space="preserve">. In addition to the </w:t>
      </w:r>
      <w:r w:rsidR="00AB0C62">
        <w:rPr>
          <w:rFonts w:ascii="Arial" w:eastAsia="Times New Roman" w:hAnsi="Arial" w:cs="Arial"/>
          <w:sz w:val="22"/>
          <w:szCs w:val="22"/>
        </w:rPr>
        <w:t>primary</w:t>
      </w:r>
      <w:r w:rsidR="00BC6F50">
        <w:rPr>
          <w:rFonts w:ascii="Arial" w:eastAsia="Times New Roman" w:hAnsi="Arial" w:cs="Arial"/>
          <w:sz w:val="22"/>
          <w:szCs w:val="22"/>
        </w:rPr>
        <w:t xml:space="preserve"> characteristics</w:t>
      </w:r>
      <w:r w:rsidR="00D67F6D">
        <w:rPr>
          <w:rFonts w:ascii="Arial" w:eastAsia="Times New Roman" w:hAnsi="Arial" w:cs="Arial"/>
          <w:sz w:val="22"/>
          <w:szCs w:val="22"/>
        </w:rPr>
        <w:t xml:space="preserve"> presented</w:t>
      </w:r>
      <w:r w:rsidR="00BC6F50">
        <w:rPr>
          <w:rFonts w:ascii="Arial" w:eastAsia="Times New Roman" w:hAnsi="Arial" w:cs="Arial"/>
          <w:sz w:val="22"/>
          <w:szCs w:val="22"/>
        </w:rPr>
        <w:t xml:space="preserve"> in </w:t>
      </w:r>
      <w:r w:rsidR="00F42527">
        <w:rPr>
          <w:rFonts w:ascii="Arial" w:eastAsia="Times New Roman" w:hAnsi="Arial" w:cs="Arial"/>
          <w:sz w:val="22"/>
          <w:szCs w:val="22"/>
        </w:rPr>
        <w:t>Table</w:t>
      </w:r>
      <w:r w:rsidR="00BC6F50">
        <w:rPr>
          <w:rFonts w:ascii="Arial" w:eastAsia="Times New Roman" w:hAnsi="Arial" w:cs="Arial"/>
          <w:sz w:val="22"/>
          <w:szCs w:val="22"/>
        </w:rPr>
        <w:t xml:space="preserve"> </w:t>
      </w:r>
      <w:r w:rsidR="00F42527">
        <w:rPr>
          <w:rFonts w:ascii="Arial" w:eastAsia="Times New Roman" w:hAnsi="Arial" w:cs="Arial"/>
          <w:sz w:val="22"/>
          <w:szCs w:val="22"/>
        </w:rPr>
        <w:t>1</w:t>
      </w:r>
      <w:r w:rsidR="00BC6F50">
        <w:rPr>
          <w:rFonts w:ascii="Arial" w:eastAsia="Times New Roman" w:hAnsi="Arial" w:cs="Arial"/>
          <w:sz w:val="22"/>
          <w:szCs w:val="22"/>
        </w:rPr>
        <w:t xml:space="preserve">a, </w:t>
      </w:r>
      <w:r w:rsidR="00AB0C62">
        <w:rPr>
          <w:rFonts w:ascii="Arial" w:eastAsia="Times New Roman" w:hAnsi="Arial" w:cs="Arial"/>
          <w:sz w:val="22"/>
          <w:szCs w:val="22"/>
        </w:rPr>
        <w:t xml:space="preserve">as an exploratory analysis </w:t>
      </w:r>
      <w:r w:rsidR="00BC6F50">
        <w:rPr>
          <w:rFonts w:ascii="Arial" w:eastAsia="Times New Roman" w:hAnsi="Arial" w:cs="Arial"/>
          <w:sz w:val="22"/>
          <w:szCs w:val="22"/>
        </w:rPr>
        <w:t>we also assessed potential differences by enrollment change, the presence of a library or media center, and the student to computer ratio</w:t>
      </w:r>
      <w:r w:rsidRPr="00DE4280">
        <w:rPr>
          <w:rFonts w:ascii="Arial" w:eastAsia="Times New Roman" w:hAnsi="Arial" w:cs="Arial"/>
          <w:sz w:val="22"/>
          <w:szCs w:val="22"/>
        </w:rPr>
        <w:t xml:space="preserve"> (</w:t>
      </w:r>
      <w:r w:rsidR="00F42527">
        <w:rPr>
          <w:rFonts w:ascii="Arial" w:eastAsia="Times New Roman" w:hAnsi="Arial" w:cs="Arial"/>
          <w:sz w:val="22"/>
          <w:szCs w:val="22"/>
        </w:rPr>
        <w:t>Table</w:t>
      </w:r>
      <w:r w:rsidR="00BC6F50">
        <w:rPr>
          <w:rFonts w:ascii="Arial" w:eastAsia="Times New Roman" w:hAnsi="Arial" w:cs="Arial"/>
          <w:sz w:val="22"/>
          <w:szCs w:val="22"/>
        </w:rPr>
        <w:t xml:space="preserve"> </w:t>
      </w:r>
      <w:r w:rsidR="00F42527">
        <w:rPr>
          <w:rFonts w:ascii="Arial" w:eastAsia="Times New Roman" w:hAnsi="Arial" w:cs="Arial"/>
          <w:sz w:val="22"/>
          <w:szCs w:val="22"/>
        </w:rPr>
        <w:t>1</w:t>
      </w:r>
      <w:r w:rsidR="00BC6F50">
        <w:rPr>
          <w:rFonts w:ascii="Arial" w:eastAsia="Times New Roman" w:hAnsi="Arial" w:cs="Arial"/>
          <w:sz w:val="22"/>
          <w:szCs w:val="22"/>
        </w:rPr>
        <w:t>b</w:t>
      </w:r>
      <w:r w:rsidRPr="00DE4280">
        <w:rPr>
          <w:rFonts w:ascii="Arial" w:eastAsia="Times New Roman" w:hAnsi="Arial" w:cs="Arial"/>
          <w:sz w:val="22"/>
          <w:szCs w:val="22"/>
        </w:rPr>
        <w:t>).</w:t>
      </w:r>
      <w:r w:rsidR="00AB0C62">
        <w:rPr>
          <w:rFonts w:ascii="Arial" w:eastAsia="Times New Roman" w:hAnsi="Arial" w:cs="Arial"/>
          <w:sz w:val="22"/>
          <w:szCs w:val="22"/>
        </w:rPr>
        <w:t xml:space="preserve"> </w:t>
      </w:r>
    </w:p>
    <w:p w:rsidR="00D250B1" w:rsidRPr="00523281" w:rsidRDefault="00F42527" w:rsidP="00327360">
      <w:pPr>
        <w:pStyle w:val="Proposal3"/>
        <w:jc w:val="center"/>
        <w:rPr>
          <w:sz w:val="22"/>
        </w:rPr>
      </w:pPr>
      <w:bookmarkStart w:id="18" w:name="_Toc459646551"/>
      <w:bookmarkStart w:id="19" w:name="_Toc501458066"/>
      <w:r w:rsidRPr="00523281">
        <w:rPr>
          <w:sz w:val="22"/>
        </w:rPr>
        <w:t>Table</w:t>
      </w:r>
      <w:r w:rsidR="0035607A" w:rsidRPr="00523281">
        <w:rPr>
          <w:sz w:val="22"/>
        </w:rPr>
        <w:t xml:space="preserve"> </w:t>
      </w:r>
      <w:r w:rsidRPr="00523281">
        <w:rPr>
          <w:sz w:val="22"/>
        </w:rPr>
        <w:t>1</w:t>
      </w:r>
      <w:r w:rsidR="006344AC" w:rsidRPr="00523281">
        <w:rPr>
          <w:sz w:val="22"/>
        </w:rPr>
        <w:t>a</w:t>
      </w:r>
      <w:r w:rsidR="002E6002" w:rsidRPr="00523281">
        <w:rPr>
          <w:sz w:val="22"/>
        </w:rPr>
        <w:t>.</w:t>
      </w:r>
      <w:r w:rsidR="0035607A" w:rsidRPr="00523281">
        <w:rPr>
          <w:noProof/>
          <w:sz w:val="22"/>
        </w:rPr>
        <w:t xml:space="preserve"> Definitions of </w:t>
      </w:r>
      <w:r w:rsidR="00BC6F50" w:rsidRPr="00523281">
        <w:rPr>
          <w:noProof/>
          <w:sz w:val="22"/>
        </w:rPr>
        <w:t xml:space="preserve">Primary </w:t>
      </w:r>
      <w:r w:rsidR="0035607A" w:rsidRPr="00523281">
        <w:rPr>
          <w:noProof/>
          <w:sz w:val="22"/>
        </w:rPr>
        <w:t>Characteristics Used for Nonresponse Analysis</w:t>
      </w:r>
      <w:bookmarkEnd w:id="18"/>
      <w:bookmarkEnd w:id="19"/>
    </w:p>
    <w:tbl>
      <w:tblPr>
        <w:tblW w:w="4906"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0" w:type="dxa"/>
          <w:right w:w="90" w:type="dxa"/>
        </w:tblCellMar>
        <w:tblLook w:val="04A0" w:firstRow="1" w:lastRow="0" w:firstColumn="1" w:lastColumn="0" w:noHBand="0" w:noVBand="1"/>
      </w:tblPr>
      <w:tblGrid>
        <w:gridCol w:w="2653"/>
        <w:gridCol w:w="6708"/>
      </w:tblGrid>
      <w:tr w:rsidR="007259A8" w:rsidRPr="008C2957" w:rsidTr="00BC4426">
        <w:trPr>
          <w:jc w:val="center"/>
        </w:trPr>
        <w:tc>
          <w:tcPr>
            <w:tcW w:w="9155" w:type="dxa"/>
            <w:gridSpan w:val="2"/>
            <w:tcBorders>
              <w:top w:val="single" w:sz="12" w:space="0" w:color="000000"/>
              <w:left w:val="single" w:sz="12" w:space="0" w:color="000000"/>
              <w:bottom w:val="single" w:sz="12" w:space="0" w:color="000000"/>
              <w:right w:val="single" w:sz="12" w:space="0" w:color="000000"/>
            </w:tcBorders>
            <w:shd w:val="clear" w:color="auto" w:fill="00B0F0"/>
          </w:tcPr>
          <w:p w:rsidR="007259A8" w:rsidRPr="008C2957" w:rsidRDefault="007259A8" w:rsidP="007259A8">
            <w:pPr>
              <w:spacing w:after="0"/>
              <w:jc w:val="center"/>
              <w:rPr>
                <w:rFonts w:ascii="Arial" w:hAnsi="Arial" w:cs="Arial"/>
                <w:sz w:val="20"/>
                <w:szCs w:val="22"/>
              </w:rPr>
            </w:pPr>
            <w:r>
              <w:rPr>
                <w:rFonts w:ascii="Arial" w:hAnsi="Arial" w:cs="Arial"/>
                <w:b/>
                <w:bCs/>
                <w:color w:val="FFFFFF" w:themeColor="background1"/>
                <w:sz w:val="20"/>
                <w:szCs w:val="22"/>
              </w:rPr>
              <w:t>School Characteristics</w:t>
            </w:r>
          </w:p>
        </w:tc>
      </w:tr>
      <w:tr w:rsidR="006344AC"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6344AC" w:rsidRPr="008C2957" w:rsidRDefault="006344AC" w:rsidP="006344A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8C2957">
              <w:rPr>
                <w:rFonts w:ascii="Arial" w:hAnsi="Arial" w:cs="Arial"/>
                <w:b/>
                <w:bCs/>
                <w:color w:val="FFFFFF" w:themeColor="background1"/>
                <w:sz w:val="20"/>
                <w:szCs w:val="22"/>
              </w:rPr>
              <w:t>Census Region</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6344AC" w:rsidRDefault="006344AC" w:rsidP="006344AC">
            <w:pPr>
              <w:spacing w:after="0"/>
              <w:rPr>
                <w:rFonts w:ascii="Arial" w:hAnsi="Arial" w:cs="Arial"/>
                <w:sz w:val="20"/>
                <w:szCs w:val="22"/>
              </w:rPr>
            </w:pPr>
            <w:r w:rsidRPr="008C2957">
              <w:rPr>
                <w:rFonts w:ascii="Arial" w:hAnsi="Arial" w:cs="Arial"/>
                <w:sz w:val="20"/>
                <w:szCs w:val="22"/>
              </w:rPr>
              <w:t>The Census region in which each school is located: Northeast (CT, MA, ME, NH, NJ, NY, PA, RI, and VT), Midwest (IA, IL, IN, MI, MN, MO, ND, NE, OH, SD, and WI), South (AL, AR, DC, DE, FL, GA, KY, LA, MD, MS, NC, OK, SC, TN, TX, VA, and WV), or West (AK, AZ, CA, CO, HI, ID, KS, MT, NM, NV, OR, UT, WA, and WY).</w:t>
            </w:r>
          </w:p>
          <w:p w:rsidR="006344AC" w:rsidRPr="008C2957" w:rsidRDefault="006344AC" w:rsidP="006344AC">
            <w:pPr>
              <w:spacing w:after="0"/>
              <w:rPr>
                <w:rFonts w:ascii="Arial" w:hAnsi="Arial" w:cs="Arial"/>
                <w:sz w:val="20"/>
                <w:szCs w:val="22"/>
              </w:rPr>
            </w:pPr>
          </w:p>
        </w:tc>
      </w:tr>
      <w:tr w:rsidR="006344AC"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6344AC" w:rsidRPr="008C2957" w:rsidRDefault="006344AC" w:rsidP="006344A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8C2957">
              <w:rPr>
                <w:rFonts w:ascii="Arial" w:hAnsi="Arial" w:cs="Arial"/>
                <w:b/>
                <w:bCs/>
                <w:color w:val="FFFFFF" w:themeColor="background1"/>
                <w:sz w:val="20"/>
                <w:szCs w:val="22"/>
              </w:rPr>
              <w:t>School Type</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6344AC" w:rsidRDefault="006344AC" w:rsidP="006344AC">
            <w:pPr>
              <w:spacing w:after="0"/>
              <w:rPr>
                <w:rFonts w:ascii="Arial" w:hAnsi="Arial" w:cs="Arial"/>
                <w:sz w:val="20"/>
                <w:szCs w:val="22"/>
              </w:rPr>
            </w:pPr>
            <w:r w:rsidRPr="008C2957">
              <w:rPr>
                <w:rFonts w:ascii="Arial" w:hAnsi="Arial" w:cs="Arial"/>
                <w:sz w:val="20"/>
                <w:szCs w:val="22"/>
              </w:rPr>
              <w:t xml:space="preserve">This classification collapses a three-category “control” variable (Public, Private, and Catholic) into a two category variable (Public and Non-Public) by combining private and Catholic schools. </w:t>
            </w:r>
          </w:p>
          <w:p w:rsidR="006344AC" w:rsidRPr="008C2957" w:rsidRDefault="006344AC" w:rsidP="006344AC">
            <w:pPr>
              <w:spacing w:after="0"/>
              <w:rPr>
                <w:rFonts w:ascii="Arial" w:hAnsi="Arial" w:cs="Arial"/>
                <w:sz w:val="20"/>
                <w:szCs w:val="22"/>
              </w:rPr>
            </w:pPr>
          </w:p>
        </w:tc>
      </w:tr>
      <w:tr w:rsidR="006344AC"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6344AC" w:rsidRPr="008C2957" w:rsidRDefault="006344AC" w:rsidP="006344A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8C2957">
              <w:rPr>
                <w:rFonts w:ascii="Arial" w:hAnsi="Arial" w:cs="Arial"/>
                <w:b/>
                <w:bCs/>
                <w:color w:val="FFFFFF" w:themeColor="background1"/>
                <w:sz w:val="20"/>
                <w:szCs w:val="22"/>
              </w:rPr>
              <w:t>School Size</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6344AC" w:rsidRDefault="006344AC" w:rsidP="006344AC">
            <w:pPr>
              <w:spacing w:after="0"/>
              <w:rPr>
                <w:rFonts w:ascii="Arial" w:hAnsi="Arial" w:cs="Arial"/>
                <w:sz w:val="20"/>
                <w:szCs w:val="22"/>
              </w:rPr>
            </w:pPr>
            <w:r w:rsidRPr="008C2957">
              <w:rPr>
                <w:rFonts w:ascii="Arial" w:hAnsi="Arial" w:cs="Arial"/>
                <w:sz w:val="20"/>
                <w:szCs w:val="22"/>
              </w:rPr>
              <w:t xml:space="preserve">Large schools have an estimated enrollment of </w:t>
            </w:r>
            <w:r w:rsidR="007956B8">
              <w:rPr>
                <w:rFonts w:ascii="Arial" w:hAnsi="Arial" w:cs="Arial"/>
                <w:sz w:val="20"/>
                <w:szCs w:val="22"/>
              </w:rPr>
              <w:t>28</w:t>
            </w:r>
            <w:r w:rsidRPr="008C2957">
              <w:rPr>
                <w:rFonts w:ascii="Arial" w:hAnsi="Arial" w:cs="Arial"/>
                <w:sz w:val="20"/>
                <w:szCs w:val="22"/>
              </w:rPr>
              <w:t xml:space="preserve"> students or more at each grade. Small schools have an estimated enrollment fewer than 28 students at any grade. This is the same classification used for stratification of the NYTS sample schools. These data come from the NCES and MDR databases used for sample design and weighting.</w:t>
            </w:r>
          </w:p>
          <w:p w:rsidR="006344AC" w:rsidRPr="008C2957" w:rsidRDefault="006344AC" w:rsidP="006344AC">
            <w:pPr>
              <w:spacing w:after="0"/>
              <w:rPr>
                <w:rFonts w:ascii="Arial" w:hAnsi="Arial" w:cs="Arial"/>
                <w:sz w:val="20"/>
                <w:szCs w:val="22"/>
              </w:rPr>
            </w:pPr>
          </w:p>
        </w:tc>
      </w:tr>
      <w:tr w:rsidR="006344AC"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6344AC" w:rsidRPr="008C2957" w:rsidRDefault="006344AC" w:rsidP="006344A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8C2957">
              <w:rPr>
                <w:rFonts w:ascii="Arial" w:hAnsi="Arial" w:cs="Arial"/>
                <w:b/>
                <w:bCs/>
                <w:color w:val="FFFFFF" w:themeColor="background1"/>
                <w:sz w:val="20"/>
                <w:szCs w:val="22"/>
              </w:rPr>
              <w:t>Urban Status</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6344AC" w:rsidRDefault="006344AC" w:rsidP="006344AC">
            <w:pPr>
              <w:spacing w:after="0"/>
              <w:rPr>
                <w:rFonts w:ascii="Arial" w:hAnsi="Arial" w:cs="Arial"/>
                <w:sz w:val="20"/>
                <w:szCs w:val="22"/>
              </w:rPr>
            </w:pPr>
            <w:r w:rsidRPr="008C2957">
              <w:rPr>
                <w:rFonts w:ascii="Arial" w:hAnsi="Arial" w:cs="Arial"/>
                <w:sz w:val="20"/>
                <w:szCs w:val="22"/>
              </w:rPr>
              <w:t>Urban schools are those within one of the 54 largest MSAs in the U.S., and rural schools are those outside these areas. This is the same classification used for stratification of the NYTS sample schools.</w:t>
            </w:r>
          </w:p>
          <w:p w:rsidR="006344AC" w:rsidRPr="008C2957" w:rsidRDefault="006344AC" w:rsidP="006344AC">
            <w:pPr>
              <w:spacing w:after="0"/>
              <w:rPr>
                <w:rFonts w:ascii="Arial" w:hAnsi="Arial" w:cs="Arial"/>
                <w:sz w:val="20"/>
                <w:szCs w:val="22"/>
              </w:rPr>
            </w:pPr>
          </w:p>
        </w:tc>
      </w:tr>
    </w:tbl>
    <w:p w:rsidR="006344AC" w:rsidRDefault="006344AC"/>
    <w:p w:rsidR="00C55ECD" w:rsidRDefault="00C55ECD">
      <w:pPr>
        <w:spacing w:after="0" w:line="240" w:lineRule="auto"/>
        <w:rPr>
          <w:rFonts w:ascii="Arial" w:hAnsi="Arial" w:cs="Arial"/>
          <w:b/>
          <w:sz w:val="22"/>
        </w:rPr>
      </w:pPr>
      <w:r>
        <w:rPr>
          <w:rFonts w:ascii="Arial" w:hAnsi="Arial" w:cs="Arial"/>
          <w:b/>
          <w:sz w:val="22"/>
        </w:rPr>
        <w:br w:type="page"/>
      </w:r>
    </w:p>
    <w:p w:rsidR="006344AC" w:rsidRPr="009325EC" w:rsidRDefault="00F42527" w:rsidP="009325EC">
      <w:pPr>
        <w:pStyle w:val="Proposal3"/>
        <w:jc w:val="center"/>
        <w:rPr>
          <w:sz w:val="22"/>
        </w:rPr>
      </w:pPr>
      <w:bookmarkStart w:id="20" w:name="_Toc501458067"/>
      <w:r w:rsidRPr="009325EC">
        <w:rPr>
          <w:sz w:val="22"/>
        </w:rPr>
        <w:t>Table</w:t>
      </w:r>
      <w:r w:rsidR="006344AC" w:rsidRPr="009325EC">
        <w:rPr>
          <w:sz w:val="22"/>
        </w:rPr>
        <w:t xml:space="preserve"> </w:t>
      </w:r>
      <w:r w:rsidRPr="009325EC">
        <w:rPr>
          <w:sz w:val="22"/>
        </w:rPr>
        <w:t>1</w:t>
      </w:r>
      <w:r w:rsidR="006344AC" w:rsidRPr="009325EC">
        <w:rPr>
          <w:sz w:val="22"/>
        </w:rPr>
        <w:t>b</w:t>
      </w:r>
      <w:r w:rsidR="002E6002" w:rsidRPr="009325EC">
        <w:rPr>
          <w:sz w:val="22"/>
        </w:rPr>
        <w:t>.</w:t>
      </w:r>
      <w:r w:rsidR="006344AC" w:rsidRPr="009325EC">
        <w:rPr>
          <w:sz w:val="22"/>
        </w:rPr>
        <w:t xml:space="preserve"> Definitions of </w:t>
      </w:r>
      <w:r w:rsidR="00DF292C" w:rsidRPr="009325EC">
        <w:rPr>
          <w:sz w:val="22"/>
        </w:rPr>
        <w:t xml:space="preserve">Secondary </w:t>
      </w:r>
      <w:r w:rsidR="006344AC" w:rsidRPr="009325EC">
        <w:rPr>
          <w:sz w:val="22"/>
        </w:rPr>
        <w:t xml:space="preserve">Characteristics </w:t>
      </w:r>
      <w:r w:rsidR="007B19A0">
        <w:rPr>
          <w:sz w:val="22"/>
        </w:rPr>
        <w:t>Used</w:t>
      </w:r>
      <w:r w:rsidR="006344AC" w:rsidRPr="009325EC">
        <w:rPr>
          <w:sz w:val="22"/>
        </w:rPr>
        <w:t xml:space="preserve"> for Nonresponse Analysis</w:t>
      </w:r>
      <w:bookmarkEnd w:id="20"/>
    </w:p>
    <w:tbl>
      <w:tblPr>
        <w:tblW w:w="5153"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0" w:type="dxa"/>
          <w:right w:w="90" w:type="dxa"/>
        </w:tblCellMar>
        <w:tblLook w:val="04A0" w:firstRow="1" w:lastRow="0" w:firstColumn="1" w:lastColumn="0" w:noHBand="0" w:noVBand="1"/>
      </w:tblPr>
      <w:tblGrid>
        <w:gridCol w:w="2578"/>
        <w:gridCol w:w="7254"/>
      </w:tblGrid>
      <w:tr w:rsidR="00F42527" w:rsidRPr="008C658C" w:rsidTr="00F537D5">
        <w:trPr>
          <w:jc w:val="center"/>
        </w:trPr>
        <w:tc>
          <w:tcPr>
            <w:tcW w:w="9615" w:type="dxa"/>
            <w:gridSpan w:val="2"/>
            <w:tcBorders>
              <w:top w:val="single" w:sz="12" w:space="0" w:color="000000"/>
              <w:left w:val="single" w:sz="12" w:space="0" w:color="000000"/>
              <w:bottom w:val="single" w:sz="12" w:space="0" w:color="000000"/>
              <w:right w:val="single" w:sz="12" w:space="0" w:color="000000"/>
            </w:tcBorders>
            <w:shd w:val="clear" w:color="auto" w:fill="00B0F0"/>
          </w:tcPr>
          <w:p w:rsidR="00F42527" w:rsidRPr="00AB0C62" w:rsidRDefault="00F42527" w:rsidP="00F42527">
            <w:pPr>
              <w:spacing w:after="0"/>
              <w:jc w:val="center"/>
              <w:rPr>
                <w:rFonts w:ascii="Arial" w:hAnsi="Arial" w:cs="Arial"/>
                <w:sz w:val="20"/>
                <w:szCs w:val="22"/>
              </w:rPr>
            </w:pPr>
            <w:r>
              <w:rPr>
                <w:rFonts w:ascii="Arial" w:hAnsi="Arial" w:cs="Arial"/>
                <w:b/>
                <w:bCs/>
                <w:color w:val="FFFFFF" w:themeColor="background1"/>
                <w:sz w:val="20"/>
                <w:szCs w:val="22"/>
              </w:rPr>
              <w:t>School Characteristics</w:t>
            </w:r>
          </w:p>
        </w:tc>
      </w:tr>
      <w:tr w:rsidR="006344AC" w:rsidRPr="008C658C" w:rsidTr="00F537D5">
        <w:trPr>
          <w:jc w:val="center"/>
        </w:trPr>
        <w:tc>
          <w:tcPr>
            <w:tcW w:w="2521" w:type="dxa"/>
            <w:tcBorders>
              <w:top w:val="single" w:sz="12" w:space="0" w:color="000000"/>
              <w:left w:val="single" w:sz="12" w:space="0" w:color="000000"/>
              <w:bottom w:val="single" w:sz="12" w:space="0" w:color="000000"/>
              <w:right w:val="single" w:sz="12" w:space="0" w:color="000000"/>
            </w:tcBorders>
            <w:shd w:val="clear" w:color="auto" w:fill="00B0F0"/>
          </w:tcPr>
          <w:p w:rsidR="006344AC" w:rsidRPr="008C658C" w:rsidRDefault="006344AC" w:rsidP="006344A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highlight w:val="yellow"/>
              </w:rPr>
            </w:pPr>
            <w:r w:rsidRPr="00C412C4">
              <w:rPr>
                <w:rFonts w:ascii="Arial" w:hAnsi="Arial" w:cs="Arial"/>
                <w:b/>
                <w:bCs/>
                <w:color w:val="FFFFFF" w:themeColor="background1"/>
                <w:sz w:val="20"/>
                <w:szCs w:val="22"/>
              </w:rPr>
              <w:t>Enrollment Change</w:t>
            </w:r>
          </w:p>
        </w:tc>
        <w:tc>
          <w:tcPr>
            <w:tcW w:w="7094" w:type="dxa"/>
            <w:tcBorders>
              <w:top w:val="single" w:sz="12" w:space="0" w:color="000000"/>
              <w:left w:val="single" w:sz="12" w:space="0" w:color="000000"/>
              <w:bottom w:val="single" w:sz="12" w:space="0" w:color="000000"/>
              <w:right w:val="single" w:sz="12" w:space="0" w:color="000000"/>
            </w:tcBorders>
            <w:shd w:val="clear" w:color="auto" w:fill="auto"/>
          </w:tcPr>
          <w:p w:rsidR="006344AC" w:rsidRPr="00F537D5" w:rsidRDefault="006344AC" w:rsidP="006344AC">
            <w:pPr>
              <w:spacing w:after="0"/>
              <w:rPr>
                <w:rFonts w:ascii="Arial" w:hAnsi="Arial" w:cs="Arial"/>
                <w:sz w:val="20"/>
                <w:szCs w:val="22"/>
              </w:rPr>
            </w:pPr>
            <w:r w:rsidRPr="00AB0C62">
              <w:rPr>
                <w:rFonts w:ascii="Arial" w:hAnsi="Arial" w:cs="Arial"/>
                <w:sz w:val="20"/>
                <w:szCs w:val="22"/>
              </w:rPr>
              <w:t>School enrollment decreased, increased or remained the same from the previous school year.</w:t>
            </w:r>
          </w:p>
        </w:tc>
      </w:tr>
      <w:tr w:rsidR="006344AC" w:rsidRPr="008C2957" w:rsidTr="00F537D5">
        <w:trPr>
          <w:jc w:val="center"/>
        </w:trPr>
        <w:tc>
          <w:tcPr>
            <w:tcW w:w="2521" w:type="dxa"/>
            <w:tcBorders>
              <w:top w:val="single" w:sz="12" w:space="0" w:color="000000"/>
              <w:left w:val="single" w:sz="12" w:space="0" w:color="000000"/>
              <w:bottom w:val="single" w:sz="12" w:space="0" w:color="000000"/>
              <w:right w:val="single" w:sz="12" w:space="0" w:color="000000"/>
            </w:tcBorders>
            <w:shd w:val="clear" w:color="auto" w:fill="00B0F0"/>
          </w:tcPr>
          <w:p w:rsidR="006344AC" w:rsidRPr="00C412C4" w:rsidRDefault="006344AC" w:rsidP="006344A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C412C4">
              <w:rPr>
                <w:rFonts w:ascii="Arial" w:hAnsi="Arial" w:cs="Arial"/>
                <w:b/>
                <w:bCs/>
                <w:color w:val="FFFFFF" w:themeColor="background1"/>
                <w:sz w:val="20"/>
                <w:szCs w:val="22"/>
              </w:rPr>
              <w:t>Library/Media Center</w:t>
            </w:r>
          </w:p>
        </w:tc>
        <w:tc>
          <w:tcPr>
            <w:tcW w:w="7094" w:type="dxa"/>
            <w:tcBorders>
              <w:top w:val="single" w:sz="12" w:space="0" w:color="000000"/>
              <w:left w:val="single" w:sz="12" w:space="0" w:color="000000"/>
              <w:bottom w:val="single" w:sz="12" w:space="0" w:color="000000"/>
              <w:right w:val="single" w:sz="12" w:space="0" w:color="000000"/>
            </w:tcBorders>
            <w:shd w:val="clear" w:color="auto" w:fill="auto"/>
          </w:tcPr>
          <w:p w:rsidR="006344AC" w:rsidRPr="00C412C4" w:rsidRDefault="006344AC" w:rsidP="006344AC">
            <w:pPr>
              <w:spacing w:after="0"/>
              <w:rPr>
                <w:rFonts w:ascii="Arial" w:hAnsi="Arial" w:cs="Arial"/>
                <w:sz w:val="20"/>
                <w:szCs w:val="22"/>
              </w:rPr>
            </w:pPr>
            <w:r w:rsidRPr="00C412C4">
              <w:rPr>
                <w:rFonts w:ascii="Arial" w:hAnsi="Arial" w:cs="Arial"/>
                <w:sz w:val="20"/>
                <w:szCs w:val="22"/>
              </w:rPr>
              <w:t>School has a library or media center (Yes/No)</w:t>
            </w:r>
          </w:p>
        </w:tc>
      </w:tr>
      <w:tr w:rsidR="006344AC" w:rsidRPr="008C2957" w:rsidTr="00F537D5">
        <w:trPr>
          <w:jc w:val="center"/>
        </w:trPr>
        <w:tc>
          <w:tcPr>
            <w:tcW w:w="2521" w:type="dxa"/>
            <w:tcBorders>
              <w:top w:val="single" w:sz="12" w:space="0" w:color="000000"/>
              <w:left w:val="single" w:sz="12" w:space="0" w:color="000000"/>
              <w:bottom w:val="single" w:sz="12" w:space="0" w:color="000000"/>
              <w:right w:val="single" w:sz="12" w:space="0" w:color="000000"/>
            </w:tcBorders>
            <w:shd w:val="clear" w:color="auto" w:fill="00B0F0"/>
          </w:tcPr>
          <w:p w:rsidR="006344AC" w:rsidRPr="00C412C4" w:rsidRDefault="006344AC" w:rsidP="006344A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C412C4">
              <w:rPr>
                <w:rFonts w:ascii="Arial" w:hAnsi="Arial" w:cs="Arial"/>
                <w:b/>
                <w:bCs/>
                <w:color w:val="FFFFFF" w:themeColor="background1"/>
                <w:sz w:val="20"/>
                <w:szCs w:val="22"/>
              </w:rPr>
              <w:t>Student:</w:t>
            </w:r>
            <w:r w:rsidR="00461679">
              <w:rPr>
                <w:rFonts w:ascii="Arial" w:hAnsi="Arial" w:cs="Arial"/>
                <w:b/>
                <w:bCs/>
                <w:color w:val="FFFFFF" w:themeColor="background1"/>
                <w:sz w:val="20"/>
                <w:szCs w:val="22"/>
              </w:rPr>
              <w:t xml:space="preserve"> </w:t>
            </w:r>
            <w:r w:rsidRPr="00C412C4">
              <w:rPr>
                <w:rFonts w:ascii="Arial" w:hAnsi="Arial" w:cs="Arial"/>
                <w:b/>
                <w:bCs/>
                <w:color w:val="FFFFFF" w:themeColor="background1"/>
                <w:sz w:val="20"/>
                <w:szCs w:val="22"/>
              </w:rPr>
              <w:t>Computer Ratio</w:t>
            </w:r>
          </w:p>
        </w:tc>
        <w:tc>
          <w:tcPr>
            <w:tcW w:w="7094" w:type="dxa"/>
            <w:tcBorders>
              <w:top w:val="single" w:sz="12" w:space="0" w:color="000000"/>
              <w:left w:val="single" w:sz="12" w:space="0" w:color="000000"/>
              <w:bottom w:val="single" w:sz="12" w:space="0" w:color="000000"/>
              <w:right w:val="single" w:sz="12" w:space="0" w:color="000000"/>
            </w:tcBorders>
            <w:shd w:val="clear" w:color="auto" w:fill="auto"/>
          </w:tcPr>
          <w:p w:rsidR="006344AC" w:rsidRPr="00C412C4" w:rsidRDefault="006344AC" w:rsidP="006344AC">
            <w:pPr>
              <w:spacing w:after="0"/>
              <w:rPr>
                <w:rFonts w:ascii="Arial" w:hAnsi="Arial" w:cs="Arial"/>
                <w:sz w:val="20"/>
                <w:szCs w:val="22"/>
              </w:rPr>
            </w:pPr>
            <w:r w:rsidRPr="00C412C4">
              <w:rPr>
                <w:rFonts w:ascii="Arial" w:hAnsi="Arial" w:cs="Arial"/>
                <w:sz w:val="20"/>
                <w:szCs w:val="22"/>
              </w:rPr>
              <w:t>Ratio of number of students to number of computers (Above/Below Median)</w:t>
            </w:r>
          </w:p>
        </w:tc>
      </w:tr>
    </w:tbl>
    <w:p w:rsidR="00A4431B" w:rsidRDefault="00A4431B" w:rsidP="00DE4280">
      <w:pPr>
        <w:rPr>
          <w:rFonts w:ascii="Arial" w:hAnsi="Arial" w:cs="Arial"/>
          <w:sz w:val="22"/>
          <w:szCs w:val="22"/>
        </w:rPr>
      </w:pPr>
    </w:p>
    <w:p w:rsidR="00DE4280" w:rsidRPr="00DE4280" w:rsidRDefault="00DF292C" w:rsidP="0046703F">
      <w:pPr>
        <w:spacing w:after="0" w:line="240" w:lineRule="auto"/>
        <w:jc w:val="both"/>
        <w:rPr>
          <w:rFonts w:ascii="Arial" w:hAnsi="Arial" w:cs="Arial"/>
          <w:sz w:val="22"/>
          <w:szCs w:val="22"/>
        </w:rPr>
      </w:pPr>
      <w:r>
        <w:rPr>
          <w:rFonts w:ascii="Arial" w:hAnsi="Arial" w:cs="Arial"/>
          <w:sz w:val="22"/>
          <w:szCs w:val="22"/>
        </w:rPr>
        <w:t xml:space="preserve">Table </w:t>
      </w:r>
      <w:r w:rsidR="00F42527">
        <w:rPr>
          <w:rFonts w:ascii="Arial" w:hAnsi="Arial" w:cs="Arial"/>
          <w:sz w:val="22"/>
          <w:szCs w:val="22"/>
        </w:rPr>
        <w:t>2</w:t>
      </w:r>
      <w:r>
        <w:rPr>
          <w:rFonts w:ascii="Arial" w:hAnsi="Arial" w:cs="Arial"/>
          <w:sz w:val="22"/>
          <w:szCs w:val="22"/>
        </w:rPr>
        <w:t xml:space="preserve"> </w:t>
      </w:r>
      <w:r w:rsidR="00DE4280" w:rsidRPr="00DE4280">
        <w:rPr>
          <w:rFonts w:ascii="Arial" w:hAnsi="Arial" w:cs="Arial"/>
          <w:sz w:val="22"/>
          <w:szCs w:val="22"/>
        </w:rPr>
        <w:t xml:space="preserve">compares school participation rates by Census region. </w:t>
      </w:r>
      <w:r w:rsidR="0046703F" w:rsidRPr="00DE4280">
        <w:rPr>
          <w:rFonts w:ascii="Arial" w:hAnsi="Arial" w:cs="Arial"/>
          <w:sz w:val="22"/>
          <w:szCs w:val="22"/>
        </w:rPr>
        <w:t xml:space="preserve">This table shows that </w:t>
      </w:r>
      <w:r w:rsidR="0046703F">
        <w:rPr>
          <w:rFonts w:ascii="Arial" w:hAnsi="Arial" w:cs="Arial"/>
          <w:sz w:val="22"/>
          <w:szCs w:val="22"/>
        </w:rPr>
        <w:t>participation was not significantly different</w:t>
      </w:r>
      <w:r w:rsidR="00D67F6D">
        <w:rPr>
          <w:rFonts w:ascii="Arial" w:hAnsi="Arial" w:cs="Arial"/>
          <w:sz w:val="22"/>
          <w:szCs w:val="22"/>
        </w:rPr>
        <w:t xml:space="preserve"> across Census regions</w:t>
      </w:r>
      <w:r w:rsidR="00621A8B">
        <w:rPr>
          <w:rFonts w:ascii="Arial" w:hAnsi="Arial" w:cs="Arial"/>
          <w:sz w:val="22"/>
          <w:szCs w:val="22"/>
        </w:rPr>
        <w:t xml:space="preserve"> during the 2017 cycle.  </w:t>
      </w:r>
      <w:r w:rsidR="0046703F">
        <w:rPr>
          <w:rFonts w:ascii="Arial" w:hAnsi="Arial" w:cs="Arial"/>
          <w:sz w:val="22"/>
          <w:szCs w:val="22"/>
        </w:rPr>
        <w:t xml:space="preserve">The previous two cycles had some </w:t>
      </w:r>
      <w:r w:rsidR="00DE4280" w:rsidRPr="00DE4280">
        <w:rPr>
          <w:rFonts w:ascii="Arial" w:hAnsi="Arial" w:cs="Arial"/>
          <w:sz w:val="22"/>
          <w:szCs w:val="22"/>
        </w:rPr>
        <w:t>variation in school participation rates across Census regions</w:t>
      </w:r>
      <w:r w:rsidR="00D67F6D">
        <w:rPr>
          <w:rFonts w:ascii="Arial" w:hAnsi="Arial" w:cs="Arial"/>
          <w:sz w:val="22"/>
          <w:szCs w:val="22"/>
        </w:rPr>
        <w:t>.</w:t>
      </w:r>
      <w:r w:rsidR="00DE4280" w:rsidRPr="00DE4280">
        <w:rPr>
          <w:rFonts w:ascii="Arial" w:hAnsi="Arial" w:cs="Arial"/>
          <w:sz w:val="22"/>
          <w:szCs w:val="22"/>
        </w:rPr>
        <w:t xml:space="preserve"> </w:t>
      </w:r>
      <w:r w:rsidR="00621A8B">
        <w:rPr>
          <w:rFonts w:ascii="Arial" w:hAnsi="Arial" w:cs="Arial"/>
          <w:sz w:val="22"/>
          <w:szCs w:val="22"/>
        </w:rPr>
        <w:t xml:space="preserve"> </w:t>
      </w:r>
      <w:r w:rsidR="00C107F1">
        <w:rPr>
          <w:rFonts w:ascii="Arial" w:hAnsi="Arial" w:cs="Arial"/>
          <w:sz w:val="22"/>
          <w:szCs w:val="22"/>
        </w:rPr>
        <w:t>It is worth noting that the total numbers of sample and participating schools may vary slightly across tables due to missing data for the classification variables.</w:t>
      </w:r>
    </w:p>
    <w:p w:rsidR="008C2957" w:rsidRDefault="008C2957">
      <w:pPr>
        <w:spacing w:after="0" w:line="240" w:lineRule="auto"/>
        <w:rPr>
          <w:rFonts w:ascii="Arial" w:eastAsia="Times New Roman" w:hAnsi="Arial" w:cs="Arial"/>
          <w:b/>
          <w:snapToGrid w:val="0"/>
          <w:sz w:val="22"/>
          <w:szCs w:val="22"/>
        </w:rPr>
      </w:pPr>
      <w:bookmarkStart w:id="21" w:name="_Ref408580605"/>
      <w:bookmarkStart w:id="22" w:name="_Toc410132785"/>
    </w:p>
    <w:p w:rsidR="00F33158" w:rsidRPr="00DE4280" w:rsidRDefault="00DE4280" w:rsidP="00C55ECD">
      <w:pPr>
        <w:pStyle w:val="Proposal3"/>
        <w:jc w:val="center"/>
      </w:pPr>
      <w:bookmarkStart w:id="23" w:name="_Toc501458068"/>
      <w:r w:rsidRPr="00523281">
        <w:rPr>
          <w:sz w:val="22"/>
        </w:rPr>
        <w:t>Table</w:t>
      </w:r>
      <w:bookmarkEnd w:id="21"/>
      <w:r w:rsidR="00F42527" w:rsidRPr="00523281">
        <w:rPr>
          <w:sz w:val="22"/>
        </w:rPr>
        <w:t xml:space="preserve"> 2</w:t>
      </w:r>
      <w:r w:rsidRPr="00523281">
        <w:rPr>
          <w:sz w:val="22"/>
        </w:rPr>
        <w:t>. School Participation Rates by Census Region</w:t>
      </w:r>
      <w:bookmarkEnd w:id="22"/>
      <w:bookmarkEnd w:id="23"/>
    </w:p>
    <w:p w:rsidR="00DE4280" w:rsidRPr="00DE4280" w:rsidRDefault="00461679" w:rsidP="005D7B30">
      <w:pPr>
        <w:spacing w:after="240"/>
        <w:jc w:val="center"/>
        <w:rPr>
          <w:rFonts w:ascii="Arial" w:hAnsi="Arial" w:cs="Arial"/>
          <w:sz w:val="22"/>
          <w:szCs w:val="22"/>
        </w:rPr>
      </w:pPr>
      <w:r w:rsidRPr="00461679">
        <w:rPr>
          <w:noProof/>
        </w:rPr>
        <w:drawing>
          <wp:inline distT="0" distB="0" distL="0" distR="0" wp14:anchorId="4A35747C" wp14:editId="7FC28518">
            <wp:extent cx="5378450" cy="3346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8450" cy="3346450"/>
                    </a:xfrm>
                    <a:prstGeom prst="rect">
                      <a:avLst/>
                    </a:prstGeom>
                    <a:noFill/>
                    <a:ln>
                      <a:noFill/>
                    </a:ln>
                  </pic:spPr>
                </pic:pic>
              </a:graphicData>
            </a:graphic>
          </wp:inline>
        </w:drawing>
      </w:r>
    </w:p>
    <w:p w:rsidR="00DE4280" w:rsidRPr="00DE4280" w:rsidRDefault="005D7B30" w:rsidP="0046703F">
      <w:pPr>
        <w:spacing w:after="240"/>
        <w:jc w:val="both"/>
        <w:rPr>
          <w:rFonts w:ascii="Arial" w:hAnsi="Arial" w:cs="Arial"/>
          <w:sz w:val="22"/>
          <w:szCs w:val="22"/>
        </w:rPr>
      </w:pPr>
      <w:r>
        <w:rPr>
          <w:rFonts w:ascii="Arial" w:hAnsi="Arial" w:cs="Arial"/>
          <w:sz w:val="22"/>
          <w:szCs w:val="22"/>
        </w:rPr>
        <w:t xml:space="preserve">Table </w:t>
      </w:r>
      <w:r w:rsidR="00F42527">
        <w:rPr>
          <w:rFonts w:ascii="Arial" w:hAnsi="Arial" w:cs="Arial"/>
          <w:sz w:val="22"/>
          <w:szCs w:val="22"/>
        </w:rPr>
        <w:t>3</w:t>
      </w:r>
      <w:r>
        <w:rPr>
          <w:rFonts w:ascii="Arial" w:hAnsi="Arial" w:cs="Arial"/>
          <w:sz w:val="22"/>
          <w:szCs w:val="22"/>
        </w:rPr>
        <w:t xml:space="preserve"> </w:t>
      </w:r>
      <w:r w:rsidR="00DE4280" w:rsidRPr="00DE4280">
        <w:rPr>
          <w:rFonts w:ascii="Arial" w:hAnsi="Arial" w:cs="Arial"/>
          <w:sz w:val="22"/>
          <w:szCs w:val="22"/>
        </w:rPr>
        <w:t>compares school participation rates by school type (public vs. non-public). Th</w:t>
      </w:r>
      <w:r w:rsidR="00DE60BC">
        <w:rPr>
          <w:rFonts w:ascii="Arial" w:hAnsi="Arial" w:cs="Arial"/>
          <w:sz w:val="22"/>
          <w:szCs w:val="22"/>
        </w:rPr>
        <w:t>e</w:t>
      </w:r>
      <w:r w:rsidR="00DE4280" w:rsidRPr="00DE4280">
        <w:rPr>
          <w:rFonts w:ascii="Arial" w:hAnsi="Arial" w:cs="Arial"/>
          <w:sz w:val="22"/>
          <w:szCs w:val="22"/>
        </w:rPr>
        <w:t xml:space="preserve"> table show that school participation rates are consistently and significantly higher for public</w:t>
      </w:r>
      <w:r w:rsidR="00F42527">
        <w:rPr>
          <w:rFonts w:ascii="Arial" w:hAnsi="Arial" w:cs="Arial"/>
          <w:sz w:val="22"/>
          <w:szCs w:val="22"/>
        </w:rPr>
        <w:t xml:space="preserve"> schools compared to</w:t>
      </w:r>
      <w:r w:rsidR="00DE4280" w:rsidRPr="00DE4280">
        <w:rPr>
          <w:rFonts w:ascii="Arial" w:hAnsi="Arial" w:cs="Arial"/>
          <w:sz w:val="22"/>
          <w:szCs w:val="22"/>
        </w:rPr>
        <w:t xml:space="preserve"> non-public schools. While </w:t>
      </w:r>
      <w:r w:rsidR="00DE60BC">
        <w:rPr>
          <w:rFonts w:ascii="Arial" w:hAnsi="Arial" w:cs="Arial"/>
          <w:sz w:val="22"/>
          <w:szCs w:val="22"/>
        </w:rPr>
        <w:t>78.8</w:t>
      </w:r>
      <w:r w:rsidR="00F42527">
        <w:rPr>
          <w:rFonts w:ascii="Arial" w:hAnsi="Arial" w:cs="Arial"/>
          <w:sz w:val="22"/>
          <w:szCs w:val="22"/>
        </w:rPr>
        <w:t xml:space="preserve">% of public schools participated in the </w:t>
      </w:r>
      <w:r w:rsidR="0060565D">
        <w:rPr>
          <w:rFonts w:ascii="Arial" w:hAnsi="Arial" w:cs="Arial"/>
          <w:sz w:val="22"/>
          <w:szCs w:val="22"/>
        </w:rPr>
        <w:t xml:space="preserve">2017 </w:t>
      </w:r>
      <w:r w:rsidR="00F42527">
        <w:rPr>
          <w:rFonts w:ascii="Arial" w:hAnsi="Arial" w:cs="Arial"/>
          <w:sz w:val="22"/>
          <w:szCs w:val="22"/>
        </w:rPr>
        <w:t>NYTS</w:t>
      </w:r>
      <w:r w:rsidR="006F767D">
        <w:rPr>
          <w:rFonts w:ascii="Arial" w:hAnsi="Arial" w:cs="Arial"/>
          <w:sz w:val="22"/>
          <w:szCs w:val="22"/>
        </w:rPr>
        <w:t>, only</w:t>
      </w:r>
      <w:r>
        <w:rPr>
          <w:rFonts w:ascii="Arial" w:hAnsi="Arial" w:cs="Arial"/>
          <w:sz w:val="22"/>
          <w:szCs w:val="22"/>
        </w:rPr>
        <w:t xml:space="preserve"> </w:t>
      </w:r>
      <w:r w:rsidR="00DE60BC">
        <w:rPr>
          <w:rFonts w:ascii="Arial" w:hAnsi="Arial" w:cs="Arial"/>
          <w:sz w:val="22"/>
          <w:szCs w:val="22"/>
        </w:rPr>
        <w:t>56</w:t>
      </w:r>
      <w:r w:rsidR="00DE4280" w:rsidRPr="00DE4280">
        <w:rPr>
          <w:rFonts w:ascii="Arial" w:hAnsi="Arial" w:cs="Arial"/>
          <w:sz w:val="22"/>
          <w:szCs w:val="22"/>
        </w:rPr>
        <w:t xml:space="preserve">% </w:t>
      </w:r>
      <w:r w:rsidR="00F42527">
        <w:rPr>
          <w:rFonts w:ascii="Arial" w:hAnsi="Arial" w:cs="Arial"/>
          <w:sz w:val="22"/>
          <w:szCs w:val="22"/>
        </w:rPr>
        <w:t xml:space="preserve">of </w:t>
      </w:r>
      <w:r w:rsidR="00DE4280" w:rsidRPr="00DE4280">
        <w:rPr>
          <w:rFonts w:ascii="Arial" w:hAnsi="Arial" w:cs="Arial"/>
          <w:sz w:val="22"/>
          <w:szCs w:val="22"/>
        </w:rPr>
        <w:t>non-public schools</w:t>
      </w:r>
      <w:r w:rsidR="00F42527">
        <w:rPr>
          <w:rFonts w:ascii="Arial" w:hAnsi="Arial" w:cs="Arial"/>
          <w:sz w:val="22"/>
          <w:szCs w:val="22"/>
        </w:rPr>
        <w:t xml:space="preserve"> participated</w:t>
      </w:r>
      <w:r w:rsidR="00DE4280" w:rsidRPr="00DE4280">
        <w:rPr>
          <w:rFonts w:ascii="Arial" w:hAnsi="Arial" w:cs="Arial"/>
          <w:sz w:val="22"/>
          <w:szCs w:val="22"/>
        </w:rPr>
        <w:t>.</w:t>
      </w:r>
      <w:r w:rsidR="00DA1CEC">
        <w:rPr>
          <w:rFonts w:ascii="Arial" w:hAnsi="Arial" w:cs="Arial"/>
          <w:sz w:val="22"/>
          <w:szCs w:val="22"/>
        </w:rPr>
        <w:t xml:space="preserve"> However, non-public schools comprise </w:t>
      </w:r>
      <w:r w:rsidR="00DE60BC">
        <w:rPr>
          <w:rFonts w:ascii="Arial" w:hAnsi="Arial" w:cs="Arial"/>
          <w:sz w:val="22"/>
          <w:szCs w:val="22"/>
        </w:rPr>
        <w:t>about</w:t>
      </w:r>
      <w:r w:rsidR="00C107F1">
        <w:rPr>
          <w:rFonts w:ascii="Arial" w:hAnsi="Arial" w:cs="Arial"/>
          <w:sz w:val="22"/>
          <w:szCs w:val="22"/>
        </w:rPr>
        <w:t xml:space="preserve"> 10% of the total school sample and have a small impact on participation rates overall.</w:t>
      </w:r>
    </w:p>
    <w:p w:rsidR="001A2DFE" w:rsidRDefault="001A2DFE">
      <w:pPr>
        <w:spacing w:after="0" w:line="240" w:lineRule="auto"/>
        <w:rPr>
          <w:rFonts w:ascii="Arial" w:hAnsi="Arial"/>
          <w:b/>
          <w:sz w:val="22"/>
          <w:szCs w:val="22"/>
        </w:rPr>
      </w:pPr>
      <w:r>
        <w:rPr>
          <w:sz w:val="22"/>
        </w:rPr>
        <w:br w:type="page"/>
      </w:r>
    </w:p>
    <w:p w:rsidR="007259A8" w:rsidRPr="00523281" w:rsidRDefault="007259A8" w:rsidP="007259A8">
      <w:pPr>
        <w:pStyle w:val="Proposal3"/>
        <w:jc w:val="center"/>
        <w:rPr>
          <w:sz w:val="22"/>
        </w:rPr>
      </w:pPr>
      <w:bookmarkStart w:id="24" w:name="_Toc501458069"/>
      <w:r w:rsidRPr="00523281">
        <w:rPr>
          <w:sz w:val="22"/>
        </w:rPr>
        <w:t>Table</w:t>
      </w:r>
      <w:r w:rsidR="00F42527" w:rsidRPr="00523281">
        <w:rPr>
          <w:sz w:val="22"/>
        </w:rPr>
        <w:t xml:space="preserve"> 3</w:t>
      </w:r>
      <w:r w:rsidRPr="00523281">
        <w:rPr>
          <w:sz w:val="22"/>
        </w:rPr>
        <w:t>. School Participation Rates by School Type</w:t>
      </w:r>
      <w:bookmarkEnd w:id="24"/>
    </w:p>
    <w:p w:rsidR="00DE4280" w:rsidRPr="00DE4280" w:rsidRDefault="00DE60BC" w:rsidP="00A4431B">
      <w:pPr>
        <w:spacing w:after="0" w:line="240" w:lineRule="auto"/>
        <w:jc w:val="center"/>
        <w:rPr>
          <w:rFonts w:ascii="Arial" w:hAnsi="Arial" w:cs="Arial"/>
          <w:sz w:val="22"/>
          <w:szCs w:val="22"/>
        </w:rPr>
      </w:pPr>
      <w:r w:rsidRPr="00DE60BC">
        <w:rPr>
          <w:noProof/>
        </w:rPr>
        <w:drawing>
          <wp:inline distT="0" distB="0" distL="0" distR="0" wp14:anchorId="6478F7EE" wp14:editId="0FCC5C3A">
            <wp:extent cx="5416550" cy="215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6550" cy="2159000"/>
                    </a:xfrm>
                    <a:prstGeom prst="rect">
                      <a:avLst/>
                    </a:prstGeom>
                    <a:noFill/>
                    <a:ln>
                      <a:noFill/>
                    </a:ln>
                  </pic:spPr>
                </pic:pic>
              </a:graphicData>
            </a:graphic>
          </wp:inline>
        </w:drawing>
      </w:r>
    </w:p>
    <w:p w:rsidR="00A4431B" w:rsidRDefault="00A4431B" w:rsidP="00A4431B">
      <w:pPr>
        <w:spacing w:after="0" w:line="240" w:lineRule="auto"/>
        <w:rPr>
          <w:rFonts w:ascii="Arial" w:hAnsi="Arial" w:cs="Arial"/>
          <w:sz w:val="22"/>
          <w:szCs w:val="22"/>
        </w:rPr>
      </w:pPr>
    </w:p>
    <w:p w:rsidR="009E1721" w:rsidRDefault="009E1721" w:rsidP="00DE4280">
      <w:pPr>
        <w:rPr>
          <w:rFonts w:ascii="Arial" w:hAnsi="Arial" w:cs="Arial"/>
          <w:sz w:val="22"/>
          <w:szCs w:val="22"/>
        </w:rPr>
      </w:pPr>
    </w:p>
    <w:p w:rsidR="00DE4280" w:rsidRPr="00DE4280" w:rsidRDefault="00DF292C" w:rsidP="00DE4280">
      <w:pPr>
        <w:rPr>
          <w:rFonts w:ascii="Arial" w:hAnsi="Arial" w:cs="Arial"/>
          <w:sz w:val="22"/>
          <w:szCs w:val="22"/>
        </w:rPr>
      </w:pPr>
      <w:r>
        <w:rPr>
          <w:rFonts w:ascii="Arial" w:hAnsi="Arial" w:cs="Arial"/>
          <w:sz w:val="22"/>
          <w:szCs w:val="22"/>
        </w:rPr>
        <w:t xml:space="preserve">Table </w:t>
      </w:r>
      <w:r w:rsidR="00F42527">
        <w:rPr>
          <w:rFonts w:ascii="Arial" w:hAnsi="Arial" w:cs="Arial"/>
          <w:sz w:val="22"/>
          <w:szCs w:val="22"/>
        </w:rPr>
        <w:t>4</w:t>
      </w:r>
      <w:r>
        <w:rPr>
          <w:rFonts w:ascii="Arial" w:hAnsi="Arial" w:cs="Arial"/>
          <w:sz w:val="22"/>
          <w:szCs w:val="22"/>
        </w:rPr>
        <w:t xml:space="preserve"> </w:t>
      </w:r>
      <w:r w:rsidR="00DE4280" w:rsidRPr="00DE4280">
        <w:rPr>
          <w:rFonts w:ascii="Arial" w:hAnsi="Arial" w:cs="Arial"/>
          <w:sz w:val="22"/>
          <w:szCs w:val="22"/>
        </w:rPr>
        <w:t xml:space="preserve">compares school participation rates by school size (large vs. small). </w:t>
      </w:r>
      <w:r w:rsidR="00DE60BC">
        <w:rPr>
          <w:rFonts w:ascii="Arial" w:hAnsi="Arial" w:cs="Arial"/>
          <w:sz w:val="22"/>
          <w:szCs w:val="22"/>
        </w:rPr>
        <w:t xml:space="preserve">During the previous two </w:t>
      </w:r>
      <w:r w:rsidR="00DE4280" w:rsidRPr="00DE4280">
        <w:rPr>
          <w:rFonts w:ascii="Arial" w:hAnsi="Arial" w:cs="Arial"/>
          <w:sz w:val="22"/>
          <w:szCs w:val="22"/>
        </w:rPr>
        <w:t>survey years, participation rates tend</w:t>
      </w:r>
      <w:r w:rsidR="00DE60BC">
        <w:rPr>
          <w:rFonts w:ascii="Arial" w:hAnsi="Arial" w:cs="Arial"/>
          <w:sz w:val="22"/>
          <w:szCs w:val="22"/>
        </w:rPr>
        <w:t>ed</w:t>
      </w:r>
      <w:r w:rsidR="00DE4280" w:rsidRPr="00DE4280">
        <w:rPr>
          <w:rFonts w:ascii="Arial" w:hAnsi="Arial" w:cs="Arial"/>
          <w:sz w:val="22"/>
          <w:szCs w:val="22"/>
        </w:rPr>
        <w:t xml:space="preserve"> to be higher in large schools compared to small schools</w:t>
      </w:r>
      <w:r w:rsidR="006F767D">
        <w:rPr>
          <w:rFonts w:ascii="Arial" w:hAnsi="Arial" w:cs="Arial"/>
          <w:sz w:val="22"/>
          <w:szCs w:val="22"/>
        </w:rPr>
        <w:t>.  H</w:t>
      </w:r>
      <w:r w:rsidR="00DE60BC">
        <w:rPr>
          <w:rFonts w:ascii="Arial" w:hAnsi="Arial" w:cs="Arial"/>
          <w:sz w:val="22"/>
          <w:szCs w:val="22"/>
        </w:rPr>
        <w:t>owever during the 2017 survey cycle</w:t>
      </w:r>
      <w:r w:rsidR="006F767D">
        <w:rPr>
          <w:rFonts w:ascii="Arial" w:hAnsi="Arial" w:cs="Arial"/>
          <w:sz w:val="22"/>
          <w:szCs w:val="22"/>
        </w:rPr>
        <w:t>,</w:t>
      </w:r>
      <w:r w:rsidR="00DE60BC">
        <w:rPr>
          <w:rFonts w:ascii="Arial" w:hAnsi="Arial" w:cs="Arial"/>
          <w:sz w:val="22"/>
          <w:szCs w:val="22"/>
        </w:rPr>
        <w:t xml:space="preserve"> school size was not a significant predictor of school response</w:t>
      </w:r>
    </w:p>
    <w:p w:rsidR="00DE4280" w:rsidRPr="00523281" w:rsidRDefault="00DE4280" w:rsidP="00327360">
      <w:pPr>
        <w:pStyle w:val="Proposal3"/>
        <w:jc w:val="center"/>
        <w:rPr>
          <w:sz w:val="22"/>
        </w:rPr>
      </w:pPr>
      <w:bookmarkStart w:id="25" w:name="_Ref408581105"/>
      <w:bookmarkStart w:id="26" w:name="_Toc410132787"/>
      <w:bookmarkStart w:id="27" w:name="_Toc501458070"/>
      <w:r w:rsidRPr="00523281">
        <w:rPr>
          <w:sz w:val="22"/>
        </w:rPr>
        <w:t>Table</w:t>
      </w:r>
      <w:bookmarkEnd w:id="25"/>
      <w:r w:rsidR="00F42527" w:rsidRPr="00523281">
        <w:rPr>
          <w:sz w:val="22"/>
        </w:rPr>
        <w:t xml:space="preserve"> 4</w:t>
      </w:r>
      <w:r w:rsidRPr="00523281">
        <w:rPr>
          <w:sz w:val="22"/>
        </w:rPr>
        <w:t>. School Participation Rates by School Size</w:t>
      </w:r>
      <w:bookmarkEnd w:id="26"/>
      <w:bookmarkEnd w:id="27"/>
    </w:p>
    <w:p w:rsidR="00DE4280" w:rsidRPr="00DE4280" w:rsidRDefault="00DE60BC" w:rsidP="001F4650">
      <w:pPr>
        <w:spacing w:after="240"/>
        <w:jc w:val="center"/>
        <w:rPr>
          <w:rFonts w:ascii="Arial" w:hAnsi="Arial" w:cs="Arial"/>
          <w:sz w:val="22"/>
          <w:szCs w:val="22"/>
        </w:rPr>
      </w:pPr>
      <w:r w:rsidRPr="00DE60BC">
        <w:rPr>
          <w:noProof/>
        </w:rPr>
        <w:drawing>
          <wp:inline distT="0" distB="0" distL="0" distR="0" wp14:anchorId="2DFACCBA" wp14:editId="098CC321">
            <wp:extent cx="5416550" cy="215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6550" cy="2159000"/>
                    </a:xfrm>
                    <a:prstGeom prst="rect">
                      <a:avLst/>
                    </a:prstGeom>
                    <a:noFill/>
                    <a:ln>
                      <a:noFill/>
                    </a:ln>
                  </pic:spPr>
                </pic:pic>
              </a:graphicData>
            </a:graphic>
          </wp:inline>
        </w:drawing>
      </w:r>
    </w:p>
    <w:p w:rsidR="009E1721" w:rsidRDefault="009E1721" w:rsidP="00DA3C2F">
      <w:pPr>
        <w:jc w:val="both"/>
        <w:rPr>
          <w:rFonts w:ascii="Arial" w:hAnsi="Arial" w:cs="Arial"/>
          <w:sz w:val="22"/>
          <w:szCs w:val="22"/>
        </w:rPr>
      </w:pPr>
    </w:p>
    <w:p w:rsidR="00DE4280" w:rsidRPr="00DE4280" w:rsidRDefault="001F4650" w:rsidP="00DA3C2F">
      <w:pPr>
        <w:jc w:val="both"/>
        <w:rPr>
          <w:rFonts w:ascii="Arial" w:hAnsi="Arial" w:cs="Arial"/>
          <w:sz w:val="22"/>
          <w:szCs w:val="22"/>
        </w:rPr>
      </w:pPr>
      <w:r>
        <w:rPr>
          <w:rFonts w:ascii="Arial" w:hAnsi="Arial" w:cs="Arial"/>
          <w:sz w:val="22"/>
          <w:szCs w:val="22"/>
        </w:rPr>
        <w:t xml:space="preserve">Table </w:t>
      </w:r>
      <w:r w:rsidR="00F42527">
        <w:rPr>
          <w:rFonts w:ascii="Arial" w:hAnsi="Arial" w:cs="Arial"/>
          <w:sz w:val="22"/>
          <w:szCs w:val="22"/>
        </w:rPr>
        <w:t>5</w:t>
      </w:r>
      <w:r>
        <w:rPr>
          <w:rFonts w:ascii="Arial" w:hAnsi="Arial" w:cs="Arial"/>
          <w:sz w:val="22"/>
          <w:szCs w:val="22"/>
        </w:rPr>
        <w:t xml:space="preserve"> </w:t>
      </w:r>
      <w:r w:rsidR="00DE4280" w:rsidRPr="00DE4280">
        <w:rPr>
          <w:rFonts w:ascii="Arial" w:hAnsi="Arial" w:cs="Arial"/>
          <w:sz w:val="22"/>
          <w:szCs w:val="22"/>
        </w:rPr>
        <w:t>compares school participation rates by urban statu</w:t>
      </w:r>
      <w:r>
        <w:rPr>
          <w:rFonts w:ascii="Arial" w:hAnsi="Arial" w:cs="Arial"/>
          <w:sz w:val="22"/>
          <w:szCs w:val="22"/>
        </w:rPr>
        <w:t>s (urban vs. non-urban).</w:t>
      </w:r>
      <w:r w:rsidR="00DA3C2F">
        <w:rPr>
          <w:rFonts w:ascii="Arial" w:hAnsi="Arial" w:cs="Arial"/>
          <w:sz w:val="22"/>
          <w:szCs w:val="22"/>
        </w:rPr>
        <w:t xml:space="preserve"> Similar to the 2016 cycle, urban status was not statistically significant in predicting school nonresponse</w:t>
      </w:r>
      <w:r w:rsidR="006F767D">
        <w:rPr>
          <w:rFonts w:ascii="Arial" w:hAnsi="Arial" w:cs="Arial"/>
          <w:sz w:val="22"/>
          <w:szCs w:val="22"/>
        </w:rPr>
        <w:t xml:space="preserve"> in 2017</w:t>
      </w:r>
      <w:r>
        <w:rPr>
          <w:rFonts w:ascii="Arial" w:hAnsi="Arial" w:cs="Arial"/>
          <w:sz w:val="22"/>
          <w:szCs w:val="22"/>
        </w:rPr>
        <w:t xml:space="preserve">. </w:t>
      </w:r>
    </w:p>
    <w:p w:rsidR="001A2DFE" w:rsidRDefault="001A2DFE">
      <w:pPr>
        <w:spacing w:after="0" w:line="240" w:lineRule="auto"/>
        <w:rPr>
          <w:rFonts w:ascii="Arial" w:eastAsia="Times New Roman" w:hAnsi="Arial" w:cs="Arial"/>
          <w:b/>
          <w:snapToGrid w:val="0"/>
          <w:sz w:val="22"/>
          <w:szCs w:val="22"/>
        </w:rPr>
      </w:pPr>
      <w:bookmarkStart w:id="28" w:name="_Ref408581473"/>
      <w:bookmarkStart w:id="29" w:name="_Toc410132788"/>
      <w:r>
        <w:rPr>
          <w:rFonts w:ascii="Arial" w:hAnsi="Arial" w:cs="Arial"/>
          <w:sz w:val="22"/>
          <w:szCs w:val="22"/>
        </w:rPr>
        <w:br w:type="page"/>
      </w:r>
    </w:p>
    <w:p w:rsidR="00DE4280" w:rsidRPr="009009A3" w:rsidRDefault="00DE4280" w:rsidP="009009A3">
      <w:pPr>
        <w:pStyle w:val="Proposal3"/>
        <w:jc w:val="center"/>
        <w:rPr>
          <w:sz w:val="22"/>
        </w:rPr>
      </w:pPr>
      <w:bookmarkStart w:id="30" w:name="_Toc501458071"/>
      <w:r w:rsidRPr="009009A3">
        <w:rPr>
          <w:sz w:val="22"/>
        </w:rPr>
        <w:t>Table</w:t>
      </w:r>
      <w:bookmarkEnd w:id="28"/>
      <w:r w:rsidR="00F42527" w:rsidRPr="009009A3">
        <w:rPr>
          <w:sz w:val="22"/>
        </w:rPr>
        <w:t xml:space="preserve"> 5</w:t>
      </w:r>
      <w:r w:rsidRPr="009009A3">
        <w:rPr>
          <w:sz w:val="22"/>
        </w:rPr>
        <w:t>. School Participation Rates by Urban Status</w:t>
      </w:r>
      <w:bookmarkEnd w:id="29"/>
      <w:bookmarkEnd w:id="30"/>
    </w:p>
    <w:p w:rsidR="00DE4280" w:rsidRPr="00DE4280" w:rsidRDefault="00DA3C2F" w:rsidP="00D37D2D">
      <w:pPr>
        <w:spacing w:after="240"/>
        <w:jc w:val="center"/>
        <w:rPr>
          <w:rFonts w:ascii="Arial" w:hAnsi="Arial" w:cs="Arial"/>
          <w:sz w:val="22"/>
          <w:szCs w:val="22"/>
        </w:rPr>
      </w:pPr>
      <w:r w:rsidRPr="00DA3C2F">
        <w:rPr>
          <w:noProof/>
        </w:rPr>
        <w:drawing>
          <wp:inline distT="0" distB="0" distL="0" distR="0" wp14:anchorId="78268E5E" wp14:editId="7A30B3FD">
            <wp:extent cx="5416550" cy="215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6550" cy="2159000"/>
                    </a:xfrm>
                    <a:prstGeom prst="rect">
                      <a:avLst/>
                    </a:prstGeom>
                    <a:noFill/>
                    <a:ln>
                      <a:noFill/>
                    </a:ln>
                  </pic:spPr>
                </pic:pic>
              </a:graphicData>
            </a:graphic>
          </wp:inline>
        </w:drawing>
      </w:r>
    </w:p>
    <w:p w:rsidR="009E1721" w:rsidRDefault="009E1721">
      <w:pPr>
        <w:spacing w:after="0" w:line="240" w:lineRule="auto"/>
        <w:rPr>
          <w:rFonts w:ascii="Arial" w:hAnsi="Arial" w:cs="Arial"/>
          <w:sz w:val="22"/>
          <w:szCs w:val="22"/>
        </w:rPr>
      </w:pPr>
    </w:p>
    <w:p w:rsidR="00665AB2" w:rsidRDefault="001F4650">
      <w:pPr>
        <w:spacing w:after="0" w:line="240" w:lineRule="auto"/>
        <w:rPr>
          <w:rFonts w:ascii="Arial" w:hAnsi="Arial" w:cs="Arial"/>
          <w:sz w:val="22"/>
          <w:szCs w:val="22"/>
        </w:rPr>
      </w:pPr>
      <w:r w:rsidRPr="001F4650">
        <w:rPr>
          <w:rFonts w:ascii="Arial" w:hAnsi="Arial" w:cs="Arial"/>
          <w:sz w:val="22"/>
          <w:szCs w:val="22"/>
        </w:rPr>
        <w:t>When</w:t>
      </w:r>
      <w:r>
        <w:rPr>
          <w:rFonts w:ascii="Arial" w:hAnsi="Arial" w:cs="Arial"/>
          <w:sz w:val="22"/>
          <w:szCs w:val="22"/>
        </w:rPr>
        <w:t xml:space="preserve"> we </w:t>
      </w:r>
      <w:r w:rsidR="00523281">
        <w:rPr>
          <w:rFonts w:ascii="Arial" w:hAnsi="Arial" w:cs="Arial"/>
          <w:sz w:val="22"/>
          <w:szCs w:val="22"/>
        </w:rPr>
        <w:t>explored possible differences in</w:t>
      </w:r>
      <w:r w:rsidR="0060565D">
        <w:rPr>
          <w:rFonts w:ascii="Arial" w:hAnsi="Arial" w:cs="Arial"/>
          <w:sz w:val="22"/>
          <w:szCs w:val="22"/>
        </w:rPr>
        <w:t xml:space="preserve"> other</w:t>
      </w:r>
      <w:r>
        <w:rPr>
          <w:rFonts w:ascii="Arial" w:hAnsi="Arial" w:cs="Arial"/>
          <w:sz w:val="22"/>
          <w:szCs w:val="22"/>
        </w:rPr>
        <w:t xml:space="preserve"> </w:t>
      </w:r>
      <w:r w:rsidR="006C4612">
        <w:rPr>
          <w:rFonts w:ascii="Arial" w:hAnsi="Arial" w:cs="Arial"/>
          <w:sz w:val="22"/>
          <w:szCs w:val="22"/>
        </w:rPr>
        <w:t>characteristics of the schools</w:t>
      </w:r>
      <w:r w:rsidR="00523281">
        <w:rPr>
          <w:rFonts w:ascii="Arial" w:hAnsi="Arial" w:cs="Arial"/>
          <w:sz w:val="22"/>
          <w:szCs w:val="22"/>
        </w:rPr>
        <w:t xml:space="preserve"> (enrollment change, library/media center, student</w:t>
      </w:r>
      <w:r w:rsidR="0060565D">
        <w:rPr>
          <w:rFonts w:ascii="Arial" w:hAnsi="Arial" w:cs="Arial"/>
          <w:sz w:val="22"/>
          <w:szCs w:val="22"/>
        </w:rPr>
        <w:t>-</w:t>
      </w:r>
      <w:r w:rsidR="00523281">
        <w:rPr>
          <w:rFonts w:ascii="Arial" w:hAnsi="Arial" w:cs="Arial"/>
          <w:sz w:val="22"/>
          <w:szCs w:val="22"/>
        </w:rPr>
        <w:t>computer ratio)</w:t>
      </w:r>
      <w:r w:rsidR="006C4612">
        <w:rPr>
          <w:rFonts w:ascii="Arial" w:hAnsi="Arial" w:cs="Arial"/>
          <w:sz w:val="22"/>
          <w:szCs w:val="22"/>
        </w:rPr>
        <w:t xml:space="preserve">, we did not find any significant differences in participation (Table </w:t>
      </w:r>
      <w:r w:rsidR="00523281">
        <w:rPr>
          <w:rFonts w:ascii="Arial" w:hAnsi="Arial" w:cs="Arial"/>
          <w:sz w:val="22"/>
          <w:szCs w:val="22"/>
        </w:rPr>
        <w:t>6</w:t>
      </w:r>
      <w:r w:rsidR="006C4612">
        <w:rPr>
          <w:rFonts w:ascii="Arial" w:hAnsi="Arial" w:cs="Arial"/>
          <w:sz w:val="22"/>
          <w:szCs w:val="22"/>
        </w:rPr>
        <w:t>).</w:t>
      </w:r>
      <w:r w:rsidR="0052398F">
        <w:rPr>
          <w:rFonts w:ascii="Arial" w:hAnsi="Arial" w:cs="Arial"/>
          <w:sz w:val="22"/>
          <w:szCs w:val="22"/>
        </w:rPr>
        <w:t xml:space="preserve">  </w:t>
      </w:r>
    </w:p>
    <w:p w:rsidR="006C4612" w:rsidRPr="001F4650" w:rsidRDefault="006C4612">
      <w:pPr>
        <w:spacing w:after="0" w:line="240" w:lineRule="auto"/>
        <w:rPr>
          <w:rFonts w:ascii="Arial" w:hAnsi="Arial" w:cs="Arial"/>
          <w:sz w:val="22"/>
          <w:szCs w:val="22"/>
        </w:rPr>
      </w:pPr>
    </w:p>
    <w:p w:rsidR="00DE7515" w:rsidRPr="009009A3" w:rsidRDefault="00DE7515" w:rsidP="009009A3">
      <w:pPr>
        <w:pStyle w:val="Proposal3"/>
        <w:jc w:val="center"/>
        <w:rPr>
          <w:sz w:val="22"/>
        </w:rPr>
      </w:pPr>
      <w:bookmarkStart w:id="31" w:name="_Toc501458072"/>
      <w:r w:rsidRPr="009009A3">
        <w:rPr>
          <w:sz w:val="22"/>
        </w:rPr>
        <w:t xml:space="preserve">Table </w:t>
      </w:r>
      <w:r w:rsidR="00523281" w:rsidRPr="009009A3">
        <w:rPr>
          <w:sz w:val="22"/>
        </w:rPr>
        <w:t>6.</w:t>
      </w:r>
      <w:r w:rsidRPr="009009A3">
        <w:rPr>
          <w:sz w:val="22"/>
        </w:rPr>
        <w:t xml:space="preserve"> </w:t>
      </w:r>
      <w:r w:rsidR="003A1FF2" w:rsidRPr="009009A3">
        <w:rPr>
          <w:sz w:val="22"/>
        </w:rPr>
        <w:t xml:space="preserve">Secondary </w:t>
      </w:r>
      <w:r w:rsidR="00523281" w:rsidRPr="009009A3">
        <w:rPr>
          <w:sz w:val="22"/>
        </w:rPr>
        <w:t>C</w:t>
      </w:r>
      <w:r w:rsidR="003A1FF2" w:rsidRPr="009009A3">
        <w:rPr>
          <w:sz w:val="22"/>
        </w:rPr>
        <w:t xml:space="preserve">haracteristics </w:t>
      </w:r>
      <w:r w:rsidR="00523281" w:rsidRPr="009009A3">
        <w:rPr>
          <w:sz w:val="22"/>
        </w:rPr>
        <w:t>Assessed for Nonresponse Analysis</w:t>
      </w:r>
      <w:bookmarkEnd w:id="31"/>
    </w:p>
    <w:p w:rsidR="008C2957" w:rsidRDefault="00BF3D97" w:rsidP="00FE6E8C">
      <w:pPr>
        <w:spacing w:after="0" w:line="240" w:lineRule="auto"/>
        <w:jc w:val="center"/>
        <w:rPr>
          <w:rFonts w:ascii="Arial" w:eastAsia="Times New Roman" w:hAnsi="Arial" w:cs="Arial"/>
          <w:b/>
          <w:bCs/>
          <w:kern w:val="32"/>
          <w:sz w:val="22"/>
          <w:szCs w:val="22"/>
        </w:rPr>
      </w:pPr>
      <w:bookmarkStart w:id="32" w:name="_Ref372877168"/>
      <w:bookmarkStart w:id="33" w:name="_Toc413840959"/>
      <w:r w:rsidRPr="00BF3D97">
        <w:rPr>
          <w:noProof/>
        </w:rPr>
        <w:drawing>
          <wp:inline distT="0" distB="0" distL="0" distR="0" wp14:anchorId="3975FD40" wp14:editId="7E816254">
            <wp:extent cx="5537200" cy="2355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7200" cy="2355850"/>
                    </a:xfrm>
                    <a:prstGeom prst="rect">
                      <a:avLst/>
                    </a:prstGeom>
                    <a:noFill/>
                    <a:ln>
                      <a:noFill/>
                    </a:ln>
                  </pic:spPr>
                </pic:pic>
              </a:graphicData>
            </a:graphic>
          </wp:inline>
        </w:drawing>
      </w:r>
    </w:p>
    <w:p w:rsidR="00BF3D97" w:rsidRDefault="00C55ECD" w:rsidP="00BF3D97">
      <w:pPr>
        <w:spacing w:after="0" w:line="240" w:lineRule="auto"/>
        <w:rPr>
          <w:rFonts w:ascii="Arial Black" w:hAnsi="Arial Black"/>
          <w:smallCaps/>
          <w:szCs w:val="22"/>
        </w:rPr>
      </w:pPr>
      <w:r>
        <w:br w:type="page"/>
      </w:r>
    </w:p>
    <w:p w:rsidR="00DE4280" w:rsidRPr="003C30E2" w:rsidRDefault="003C30E2" w:rsidP="003E2122">
      <w:pPr>
        <w:pStyle w:val="Proposal1"/>
      </w:pPr>
      <w:bookmarkStart w:id="34" w:name="_Toc501458073"/>
      <w:r w:rsidRPr="003C30E2">
        <w:t xml:space="preserve">Section </w:t>
      </w:r>
      <w:r w:rsidR="00176059">
        <w:t>3</w:t>
      </w:r>
      <w:r w:rsidRPr="003C30E2">
        <w:t xml:space="preserve">. </w:t>
      </w:r>
      <w:r w:rsidR="00DE4280" w:rsidRPr="003C30E2">
        <w:t xml:space="preserve">School Participation by </w:t>
      </w:r>
      <w:bookmarkEnd w:id="32"/>
      <w:bookmarkEnd w:id="33"/>
      <w:r w:rsidR="00176059">
        <w:t>Student Population Characteristics</w:t>
      </w:r>
      <w:bookmarkEnd w:id="34"/>
    </w:p>
    <w:p w:rsidR="000C7A77" w:rsidRDefault="000C7A77" w:rsidP="007D2966">
      <w:pPr>
        <w:jc w:val="both"/>
        <w:rPr>
          <w:rFonts w:ascii="Arial" w:hAnsi="Arial" w:cs="Arial"/>
          <w:sz w:val="22"/>
          <w:szCs w:val="22"/>
        </w:rPr>
      </w:pPr>
      <w:r w:rsidRPr="00DE4280">
        <w:rPr>
          <w:rFonts w:ascii="Arial" w:hAnsi="Arial" w:cs="Arial"/>
          <w:sz w:val="22"/>
          <w:szCs w:val="22"/>
        </w:rPr>
        <w:t>As the incidence of many of the health and health risk behaviors measured by the NYTS correlates with race/ethnicity</w:t>
      </w:r>
      <w:r>
        <w:rPr>
          <w:rFonts w:ascii="Arial" w:hAnsi="Arial" w:cs="Arial"/>
          <w:sz w:val="22"/>
          <w:szCs w:val="22"/>
        </w:rPr>
        <w:t xml:space="preserve"> and socioeconomic status (SES)</w:t>
      </w:r>
      <w:r w:rsidRPr="00DE4280">
        <w:rPr>
          <w:rFonts w:ascii="Arial" w:hAnsi="Arial" w:cs="Arial"/>
          <w:sz w:val="22"/>
          <w:szCs w:val="22"/>
        </w:rPr>
        <w:t xml:space="preserve">, one protection against </w:t>
      </w:r>
      <w:r w:rsidR="00FB24B5">
        <w:rPr>
          <w:rFonts w:ascii="Arial" w:hAnsi="Arial" w:cs="Arial"/>
          <w:sz w:val="22"/>
          <w:szCs w:val="22"/>
        </w:rPr>
        <w:t>non-</w:t>
      </w:r>
      <w:r w:rsidRPr="00DE4280">
        <w:rPr>
          <w:rFonts w:ascii="Arial" w:hAnsi="Arial" w:cs="Arial"/>
          <w:sz w:val="22"/>
          <w:szCs w:val="22"/>
        </w:rPr>
        <w:t>response bias is the assurance that  participating schools do not differ from non-participating schools in terms of th</w:t>
      </w:r>
      <w:r>
        <w:rPr>
          <w:rFonts w:ascii="Arial" w:hAnsi="Arial" w:cs="Arial"/>
          <w:sz w:val="22"/>
          <w:szCs w:val="22"/>
        </w:rPr>
        <w:t>ese</w:t>
      </w:r>
      <w:r w:rsidRPr="00DE4280">
        <w:rPr>
          <w:rFonts w:ascii="Arial" w:hAnsi="Arial" w:cs="Arial"/>
          <w:sz w:val="22"/>
          <w:szCs w:val="22"/>
        </w:rPr>
        <w:t xml:space="preserve"> basic demographic characteristic</w:t>
      </w:r>
      <w:r>
        <w:rPr>
          <w:rFonts w:ascii="Arial" w:hAnsi="Arial" w:cs="Arial"/>
          <w:sz w:val="22"/>
          <w:szCs w:val="22"/>
        </w:rPr>
        <w:t>s</w:t>
      </w:r>
      <w:r w:rsidRPr="00DE4280">
        <w:rPr>
          <w:rFonts w:ascii="Arial" w:hAnsi="Arial" w:cs="Arial"/>
          <w:sz w:val="22"/>
          <w:szCs w:val="22"/>
        </w:rPr>
        <w:t>.</w:t>
      </w:r>
      <w:r>
        <w:rPr>
          <w:rFonts w:ascii="Arial" w:hAnsi="Arial" w:cs="Arial"/>
          <w:sz w:val="22"/>
          <w:szCs w:val="22"/>
        </w:rPr>
        <w:t xml:space="preserve"> </w:t>
      </w:r>
      <w:r w:rsidR="00351269">
        <w:rPr>
          <w:rFonts w:ascii="Arial" w:hAnsi="Arial" w:cs="Arial"/>
          <w:sz w:val="22"/>
          <w:szCs w:val="22"/>
        </w:rPr>
        <w:t>Therefore, i</w:t>
      </w:r>
      <w:r w:rsidR="002D56A3">
        <w:rPr>
          <w:rFonts w:ascii="Arial" w:hAnsi="Arial" w:cs="Arial"/>
          <w:sz w:val="22"/>
          <w:szCs w:val="22"/>
        </w:rPr>
        <w:t xml:space="preserve">n addition to school characteristics, we assessed potential difference by </w:t>
      </w:r>
      <w:r w:rsidR="00FB24B5">
        <w:rPr>
          <w:rFonts w:ascii="Arial" w:hAnsi="Arial" w:cs="Arial"/>
          <w:sz w:val="22"/>
          <w:szCs w:val="22"/>
        </w:rPr>
        <w:t xml:space="preserve">the </w:t>
      </w:r>
      <w:r>
        <w:rPr>
          <w:rFonts w:ascii="Arial" w:hAnsi="Arial" w:cs="Arial"/>
          <w:sz w:val="22"/>
          <w:szCs w:val="22"/>
        </w:rPr>
        <w:t xml:space="preserve">demographic </w:t>
      </w:r>
      <w:r w:rsidR="002D56A3">
        <w:rPr>
          <w:rFonts w:ascii="Arial" w:hAnsi="Arial" w:cs="Arial"/>
          <w:sz w:val="22"/>
          <w:szCs w:val="22"/>
        </w:rPr>
        <w:t>characteristics</w:t>
      </w:r>
      <w:r w:rsidR="00FB24B5">
        <w:rPr>
          <w:rFonts w:ascii="Arial" w:hAnsi="Arial" w:cs="Arial"/>
          <w:sz w:val="22"/>
          <w:szCs w:val="22"/>
        </w:rPr>
        <w:t xml:space="preserve"> of the student population</w:t>
      </w:r>
      <w:r w:rsidR="002D56A3">
        <w:rPr>
          <w:rFonts w:ascii="Arial" w:hAnsi="Arial" w:cs="Arial"/>
          <w:sz w:val="22"/>
          <w:szCs w:val="22"/>
        </w:rPr>
        <w:t>. As mentioned above, because we do not have individual stu</w:t>
      </w:r>
      <w:r w:rsidR="00330582">
        <w:rPr>
          <w:rFonts w:ascii="Arial" w:hAnsi="Arial" w:cs="Arial"/>
          <w:sz w:val="22"/>
          <w:szCs w:val="22"/>
        </w:rPr>
        <w:t>dent characteristics for students</w:t>
      </w:r>
      <w:r w:rsidR="002D56A3">
        <w:rPr>
          <w:rFonts w:ascii="Arial" w:hAnsi="Arial" w:cs="Arial"/>
          <w:sz w:val="22"/>
          <w:szCs w:val="22"/>
        </w:rPr>
        <w:t xml:space="preserve"> that did not participate, we rely on the aggregate student population statistics</w:t>
      </w:r>
      <w:r w:rsidR="00FB24B5">
        <w:rPr>
          <w:rFonts w:ascii="Arial" w:hAnsi="Arial" w:cs="Arial"/>
          <w:sz w:val="22"/>
          <w:szCs w:val="22"/>
        </w:rPr>
        <w:t xml:space="preserve"> at the school level</w:t>
      </w:r>
      <w:r w:rsidR="002D56A3">
        <w:rPr>
          <w:rFonts w:ascii="Arial" w:hAnsi="Arial" w:cs="Arial"/>
          <w:sz w:val="22"/>
          <w:szCs w:val="22"/>
        </w:rPr>
        <w:t xml:space="preserve">. </w:t>
      </w:r>
      <w:r w:rsidR="00DE4280" w:rsidRPr="00DE4280">
        <w:rPr>
          <w:rFonts w:ascii="Arial" w:hAnsi="Arial" w:cs="Arial"/>
          <w:sz w:val="22"/>
          <w:szCs w:val="22"/>
        </w:rPr>
        <w:t xml:space="preserve">This section </w:t>
      </w:r>
      <w:r w:rsidR="00CC4B23">
        <w:rPr>
          <w:rFonts w:ascii="Arial" w:hAnsi="Arial" w:cs="Arial"/>
          <w:sz w:val="22"/>
          <w:szCs w:val="22"/>
        </w:rPr>
        <w:t>compares the racial/ethnic and socioeconomic composition of student populations b</w:t>
      </w:r>
      <w:r w:rsidR="00FB24B5">
        <w:rPr>
          <w:rFonts w:ascii="Arial" w:hAnsi="Arial" w:cs="Arial"/>
          <w:sz w:val="22"/>
          <w:szCs w:val="22"/>
        </w:rPr>
        <w:t>etween</w:t>
      </w:r>
      <w:r w:rsidR="00CC4B23">
        <w:rPr>
          <w:rFonts w:ascii="Arial" w:hAnsi="Arial" w:cs="Arial"/>
          <w:sz w:val="22"/>
          <w:szCs w:val="22"/>
        </w:rPr>
        <w:t xml:space="preserve"> participating and nonparticipating schools</w:t>
      </w:r>
      <w:r w:rsidR="00DE4280" w:rsidRPr="00DE4280">
        <w:rPr>
          <w:rFonts w:ascii="Arial" w:hAnsi="Arial" w:cs="Arial"/>
          <w:sz w:val="22"/>
          <w:szCs w:val="22"/>
        </w:rPr>
        <w:t xml:space="preserve">. </w:t>
      </w:r>
      <w:r w:rsidR="00CC4B23" w:rsidRPr="00CC4B23">
        <w:rPr>
          <w:rFonts w:ascii="Arial" w:hAnsi="Arial" w:cs="Arial"/>
          <w:sz w:val="22"/>
          <w:szCs w:val="22"/>
        </w:rPr>
        <w:t>While the measurement of SES is a complicated endeavor,</w:t>
      </w:r>
      <w:r>
        <w:rPr>
          <w:rFonts w:ascii="Arial" w:hAnsi="Arial" w:cs="Arial"/>
          <w:sz w:val="22"/>
          <w:szCs w:val="22"/>
        </w:rPr>
        <w:t xml:space="preserve"> we compared</w:t>
      </w:r>
      <w:r w:rsidR="00CC4B23" w:rsidRPr="00CC4B23">
        <w:rPr>
          <w:rFonts w:ascii="Arial" w:hAnsi="Arial" w:cs="Arial"/>
          <w:sz w:val="22"/>
          <w:szCs w:val="22"/>
        </w:rPr>
        <w:t xml:space="preserve"> proxy measures of SES by participation status</w:t>
      </w:r>
      <w:r w:rsidR="002D56A3">
        <w:rPr>
          <w:rFonts w:ascii="Arial" w:hAnsi="Arial" w:cs="Arial"/>
          <w:sz w:val="22"/>
          <w:szCs w:val="22"/>
        </w:rPr>
        <w:t>: per-student Title I spending</w:t>
      </w:r>
      <w:r>
        <w:rPr>
          <w:rFonts w:ascii="Arial" w:hAnsi="Arial" w:cs="Arial"/>
          <w:sz w:val="22"/>
          <w:szCs w:val="22"/>
        </w:rPr>
        <w:t>,</w:t>
      </w:r>
      <w:r w:rsidR="002D56A3">
        <w:rPr>
          <w:rFonts w:ascii="Arial" w:hAnsi="Arial" w:cs="Arial"/>
          <w:sz w:val="22"/>
          <w:szCs w:val="22"/>
        </w:rPr>
        <w:t xml:space="preserve"> a school affluence indicator</w:t>
      </w:r>
      <w:r>
        <w:rPr>
          <w:rFonts w:ascii="Arial" w:hAnsi="Arial" w:cs="Arial"/>
          <w:sz w:val="22"/>
          <w:szCs w:val="22"/>
        </w:rPr>
        <w:t>, percent receiving free lunch, and percent college-bound</w:t>
      </w:r>
      <w:r w:rsidR="00CC4B23" w:rsidRPr="00CC4B23">
        <w:rPr>
          <w:rFonts w:ascii="Arial" w:hAnsi="Arial" w:cs="Arial"/>
          <w:sz w:val="22"/>
          <w:szCs w:val="22"/>
        </w:rPr>
        <w:t>.</w:t>
      </w:r>
      <w:r w:rsidR="00CC4B23">
        <w:rPr>
          <w:rFonts w:ascii="Arial" w:hAnsi="Arial" w:cs="Arial"/>
          <w:sz w:val="22"/>
          <w:szCs w:val="22"/>
        </w:rPr>
        <w:t xml:space="preserve"> </w:t>
      </w:r>
      <w:r w:rsidR="00351269">
        <w:rPr>
          <w:rFonts w:ascii="Arial" w:hAnsi="Arial" w:cs="Arial"/>
          <w:sz w:val="22"/>
          <w:szCs w:val="22"/>
        </w:rPr>
        <w:t>The variables are described in Table 7.</w:t>
      </w:r>
    </w:p>
    <w:p w:rsidR="00176059" w:rsidRPr="00C70EC4" w:rsidRDefault="00C70EC4" w:rsidP="0007100C">
      <w:pPr>
        <w:pStyle w:val="Proposal3"/>
        <w:ind w:left="1260" w:hanging="1260"/>
        <w:jc w:val="center"/>
        <w:rPr>
          <w:sz w:val="22"/>
        </w:rPr>
      </w:pPr>
      <w:bookmarkStart w:id="35" w:name="_Toc501458074"/>
      <w:r>
        <w:rPr>
          <w:sz w:val="22"/>
        </w:rPr>
        <w:t>Table 7.</w:t>
      </w:r>
      <w:r w:rsidR="00176059" w:rsidRPr="00C70EC4">
        <w:rPr>
          <w:sz w:val="22"/>
        </w:rPr>
        <w:t xml:space="preserve"> Definitions of Student Population Characteristics Used for Nonresponse Analysis</w:t>
      </w:r>
      <w:bookmarkEnd w:id="35"/>
    </w:p>
    <w:tbl>
      <w:tblPr>
        <w:tblW w:w="4906"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0" w:type="dxa"/>
          <w:right w:w="90" w:type="dxa"/>
        </w:tblCellMar>
        <w:tblLook w:val="04A0" w:firstRow="1" w:lastRow="0" w:firstColumn="1" w:lastColumn="0" w:noHBand="0" w:noVBand="1"/>
      </w:tblPr>
      <w:tblGrid>
        <w:gridCol w:w="2653"/>
        <w:gridCol w:w="6708"/>
      </w:tblGrid>
      <w:tr w:rsidR="00176059" w:rsidRPr="008C2957" w:rsidTr="00BC4426">
        <w:trPr>
          <w:jc w:val="center"/>
        </w:trPr>
        <w:tc>
          <w:tcPr>
            <w:tcW w:w="9155" w:type="dxa"/>
            <w:gridSpan w:val="2"/>
            <w:tcBorders>
              <w:top w:val="single" w:sz="12" w:space="0" w:color="000000"/>
              <w:left w:val="single" w:sz="12" w:space="0" w:color="000000"/>
              <w:bottom w:val="single" w:sz="12" w:space="0" w:color="000000"/>
              <w:right w:val="single" w:sz="12" w:space="0" w:color="000000"/>
            </w:tcBorders>
            <w:shd w:val="clear" w:color="auto" w:fill="00B0F0"/>
          </w:tcPr>
          <w:p w:rsidR="00176059" w:rsidRPr="007259A8" w:rsidRDefault="00176059" w:rsidP="00665AB2">
            <w:pPr>
              <w:spacing w:after="0"/>
              <w:jc w:val="center"/>
              <w:rPr>
                <w:rFonts w:ascii="Arial" w:hAnsi="Arial" w:cs="Arial"/>
                <w:b/>
                <w:sz w:val="20"/>
                <w:szCs w:val="22"/>
              </w:rPr>
            </w:pPr>
            <w:r w:rsidRPr="007259A8">
              <w:rPr>
                <w:rFonts w:ascii="Arial" w:hAnsi="Arial" w:cs="Arial"/>
                <w:b/>
                <w:color w:val="FFFFFF" w:themeColor="background1"/>
                <w:sz w:val="20"/>
                <w:szCs w:val="22"/>
              </w:rPr>
              <w:t>St</w:t>
            </w:r>
            <w:r>
              <w:rPr>
                <w:rFonts w:ascii="Arial" w:hAnsi="Arial" w:cs="Arial"/>
                <w:b/>
                <w:color w:val="FFFFFF" w:themeColor="background1"/>
                <w:sz w:val="20"/>
                <w:szCs w:val="22"/>
              </w:rPr>
              <w:t>udent Population Characteristics</w:t>
            </w:r>
          </w:p>
        </w:tc>
      </w:tr>
      <w:tr w:rsidR="00176059"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176059" w:rsidRPr="008C2957" w:rsidRDefault="00176059" w:rsidP="00665AB2">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8C2957">
              <w:rPr>
                <w:rFonts w:ascii="Arial" w:hAnsi="Arial" w:cs="Arial"/>
                <w:b/>
                <w:bCs/>
                <w:color w:val="FFFFFF" w:themeColor="background1"/>
                <w:sz w:val="20"/>
                <w:szCs w:val="22"/>
              </w:rPr>
              <w:t>School Percent Black</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176059" w:rsidRDefault="00176059" w:rsidP="00665AB2">
            <w:pPr>
              <w:spacing w:after="0"/>
              <w:rPr>
                <w:rFonts w:ascii="Arial" w:hAnsi="Arial" w:cs="Arial"/>
                <w:sz w:val="20"/>
                <w:szCs w:val="22"/>
              </w:rPr>
            </w:pPr>
            <w:r w:rsidRPr="00BF7F60">
              <w:rPr>
                <w:rFonts w:ascii="Arial" w:hAnsi="Arial" w:cs="Arial"/>
                <w:sz w:val="20"/>
                <w:szCs w:val="22"/>
              </w:rPr>
              <w:t xml:space="preserve">The percentage of students in the school who are reported as black. </w:t>
            </w:r>
          </w:p>
          <w:p w:rsidR="00176059" w:rsidRPr="00BF7F60" w:rsidRDefault="00176059" w:rsidP="00665AB2">
            <w:pPr>
              <w:spacing w:after="0"/>
              <w:rPr>
                <w:rFonts w:ascii="Arial" w:hAnsi="Arial" w:cs="Arial"/>
                <w:sz w:val="20"/>
                <w:szCs w:val="22"/>
              </w:rPr>
            </w:pPr>
          </w:p>
        </w:tc>
      </w:tr>
      <w:tr w:rsidR="00176059"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176059" w:rsidRPr="008C2957" w:rsidRDefault="00176059" w:rsidP="00665AB2">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8C2957">
              <w:rPr>
                <w:rFonts w:ascii="Arial" w:hAnsi="Arial" w:cs="Arial"/>
                <w:b/>
                <w:bCs/>
                <w:color w:val="FFFFFF" w:themeColor="background1"/>
                <w:sz w:val="20"/>
                <w:szCs w:val="22"/>
              </w:rPr>
              <w:t>School Percent Hispanic</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176059" w:rsidRDefault="00176059" w:rsidP="00665AB2">
            <w:pPr>
              <w:spacing w:after="0"/>
              <w:rPr>
                <w:rFonts w:ascii="Arial" w:hAnsi="Arial" w:cs="Arial"/>
                <w:sz w:val="20"/>
                <w:szCs w:val="22"/>
              </w:rPr>
            </w:pPr>
            <w:r w:rsidRPr="00BF7F60">
              <w:rPr>
                <w:rFonts w:ascii="Arial" w:hAnsi="Arial" w:cs="Arial"/>
                <w:sz w:val="20"/>
                <w:szCs w:val="22"/>
              </w:rPr>
              <w:t>The percentage of students in the school who are reported as Hispanic.</w:t>
            </w:r>
          </w:p>
          <w:p w:rsidR="00176059" w:rsidRPr="00BF7F60" w:rsidRDefault="00176059" w:rsidP="00665AB2">
            <w:pPr>
              <w:spacing w:after="0"/>
              <w:rPr>
                <w:rFonts w:ascii="Arial" w:hAnsi="Arial" w:cs="Arial"/>
                <w:sz w:val="20"/>
                <w:szCs w:val="22"/>
              </w:rPr>
            </w:pPr>
            <w:r w:rsidRPr="00BF7F60">
              <w:rPr>
                <w:rFonts w:ascii="Arial" w:hAnsi="Arial" w:cs="Arial"/>
                <w:sz w:val="20"/>
                <w:szCs w:val="22"/>
              </w:rPr>
              <w:t xml:space="preserve"> </w:t>
            </w:r>
          </w:p>
        </w:tc>
      </w:tr>
      <w:tr w:rsidR="00176059"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176059" w:rsidRPr="008C2957" w:rsidRDefault="00176059" w:rsidP="00BF7F60">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8C2957">
              <w:rPr>
                <w:rFonts w:ascii="Arial" w:hAnsi="Arial" w:cs="Arial"/>
                <w:b/>
                <w:bCs/>
                <w:color w:val="FFFFFF" w:themeColor="background1"/>
                <w:sz w:val="20"/>
                <w:szCs w:val="22"/>
              </w:rPr>
              <w:t>School Percent Asian</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176059" w:rsidRDefault="00176059" w:rsidP="00BF7F60">
            <w:pPr>
              <w:spacing w:after="0"/>
              <w:rPr>
                <w:rFonts w:ascii="Arial" w:hAnsi="Arial" w:cs="Arial"/>
                <w:sz w:val="20"/>
                <w:szCs w:val="22"/>
              </w:rPr>
            </w:pPr>
            <w:r w:rsidRPr="00BF7F60">
              <w:rPr>
                <w:rFonts w:ascii="Arial" w:hAnsi="Arial" w:cs="Arial"/>
                <w:sz w:val="20"/>
                <w:szCs w:val="22"/>
              </w:rPr>
              <w:t>The percentage of students in the school who are reported as Asian.</w:t>
            </w:r>
          </w:p>
          <w:p w:rsidR="00176059" w:rsidRPr="00BF7F60" w:rsidRDefault="00176059" w:rsidP="00BF7F60">
            <w:pPr>
              <w:spacing w:after="0"/>
              <w:rPr>
                <w:rFonts w:ascii="Arial" w:hAnsi="Arial" w:cs="Arial"/>
                <w:sz w:val="20"/>
                <w:szCs w:val="22"/>
              </w:rPr>
            </w:pPr>
          </w:p>
        </w:tc>
      </w:tr>
      <w:tr w:rsidR="00C60A94"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C60A94" w:rsidRPr="008C2957" w:rsidRDefault="00C60A94">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C60A94">
              <w:rPr>
                <w:rFonts w:ascii="Arial" w:hAnsi="Arial" w:cs="Arial"/>
                <w:b/>
                <w:bCs/>
                <w:color w:val="FFFFFF" w:themeColor="background1"/>
                <w:sz w:val="20"/>
                <w:szCs w:val="22"/>
              </w:rPr>
              <w:t>Per-Student Title I Spending</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C60A94" w:rsidRPr="00867C0E" w:rsidRDefault="00614606">
            <w:pPr>
              <w:spacing w:after="0"/>
              <w:rPr>
                <w:rFonts w:ascii="Arial" w:hAnsi="Arial" w:cs="Arial"/>
                <w:sz w:val="20"/>
                <w:szCs w:val="22"/>
              </w:rPr>
            </w:pPr>
            <w:r w:rsidRPr="00614606">
              <w:rPr>
                <w:rFonts w:ascii="Arial" w:hAnsi="Arial" w:cs="Arial"/>
                <w:sz w:val="20"/>
                <w:szCs w:val="22"/>
              </w:rPr>
              <w:t>Title I, Part A (Title I) of the Elementary and Secondary Education Act, as amended (ESEA) provides financial assistance to local educational agencies (LEAs) and schools with high numbers or high percentages of children from low-income families to help ensure that all children meet challenging state academic standards. Federal funds are currently allocated through four statutory formulas that are based primarily on Census poverty estimates and the cost of education in each state (U.S. Department of Education).</w:t>
            </w:r>
          </w:p>
        </w:tc>
      </w:tr>
      <w:tr w:rsidR="0021617B"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21617B" w:rsidRDefault="0021617B" w:rsidP="0021617B">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sidRPr="002347D0">
              <w:rPr>
                <w:rFonts w:ascii="Arial" w:hAnsi="Arial" w:cs="Arial"/>
                <w:b/>
                <w:bCs/>
                <w:color w:val="FFFFFF" w:themeColor="background1"/>
                <w:sz w:val="20"/>
                <w:szCs w:val="22"/>
              </w:rPr>
              <w:t>School Affluence</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21617B" w:rsidRPr="008C2957" w:rsidRDefault="0021617B" w:rsidP="00CC4B23">
            <w:pPr>
              <w:spacing w:after="0"/>
              <w:rPr>
                <w:rFonts w:ascii="Arial" w:hAnsi="Arial" w:cs="Arial"/>
                <w:sz w:val="20"/>
                <w:szCs w:val="22"/>
              </w:rPr>
            </w:pPr>
            <w:r w:rsidRPr="00614606">
              <w:rPr>
                <w:rFonts w:ascii="Arial" w:hAnsi="Arial" w:cs="Arial"/>
                <w:sz w:val="20"/>
                <w:szCs w:val="22"/>
              </w:rPr>
              <w:t xml:space="preserve">Supplied by MDR as a variable on the </w:t>
            </w:r>
            <w:r w:rsidR="00CC4B23">
              <w:rPr>
                <w:rFonts w:ascii="Arial" w:hAnsi="Arial" w:cs="Arial"/>
                <w:sz w:val="20"/>
                <w:szCs w:val="22"/>
              </w:rPr>
              <w:t>NYTS</w:t>
            </w:r>
            <w:r w:rsidRPr="00614606">
              <w:rPr>
                <w:rFonts w:ascii="Arial" w:hAnsi="Arial" w:cs="Arial"/>
                <w:sz w:val="20"/>
                <w:szCs w:val="22"/>
              </w:rPr>
              <w:t xml:space="preserve"> sampling frame, the Affluence Indicator is computed using a proprietary algorithm developed to rank a school’s socioeconomic status. The index augments the U. S. Census Bureau’s Socioeconomic Status* (SES)  with a variety of data points including but not limited to: Instructional Expenditures per Pupil, Instructional Materials Expenditures, Student-to-Computer Ratio, Title I Percent of Students, Title I Funds, and Total Expenditures per Pupil. The result is a five category index, which was collapsed for the current analyses into three categories coded as: 1(Low/Below Average), 2 (Average), and 3 (Above Average/High).</w:t>
            </w:r>
          </w:p>
        </w:tc>
      </w:tr>
      <w:tr w:rsidR="00AB19DB" w:rsidRPr="008C2957" w:rsidTr="00B01D07">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AB19DB" w:rsidRDefault="00AB19DB" w:rsidP="00B01D07">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Pr>
                <w:rFonts w:ascii="Arial" w:hAnsi="Arial" w:cs="Arial"/>
                <w:b/>
                <w:bCs/>
                <w:color w:val="FFFFFF" w:themeColor="background1"/>
                <w:sz w:val="20"/>
                <w:szCs w:val="22"/>
              </w:rPr>
              <w:t>Free Lunch</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AB19DB" w:rsidRPr="00082F12" w:rsidRDefault="00AB19DB" w:rsidP="00B01D07">
            <w:pPr>
              <w:spacing w:after="0"/>
              <w:rPr>
                <w:rFonts w:ascii="Arial" w:hAnsi="Arial" w:cs="Arial"/>
                <w:sz w:val="20"/>
                <w:szCs w:val="22"/>
              </w:rPr>
            </w:pPr>
            <w:r w:rsidRPr="00082F12">
              <w:rPr>
                <w:rFonts w:ascii="Arial" w:hAnsi="Arial" w:cs="Arial"/>
                <w:sz w:val="20"/>
                <w:szCs w:val="22"/>
              </w:rPr>
              <w:t>Percent of students in school receiving free or assisted meals</w:t>
            </w:r>
          </w:p>
        </w:tc>
      </w:tr>
      <w:tr w:rsidR="0021617B" w:rsidRPr="008C2957" w:rsidTr="00BC4426">
        <w:trPr>
          <w:jc w:val="center"/>
        </w:trPr>
        <w:tc>
          <w:tcPr>
            <w:tcW w:w="2595" w:type="dxa"/>
            <w:tcBorders>
              <w:top w:val="single" w:sz="12" w:space="0" w:color="000000"/>
              <w:left w:val="single" w:sz="12" w:space="0" w:color="000000"/>
              <w:bottom w:val="single" w:sz="12" w:space="0" w:color="000000"/>
              <w:right w:val="single" w:sz="12" w:space="0" w:color="000000"/>
            </w:tcBorders>
            <w:shd w:val="clear" w:color="auto" w:fill="00B0F0"/>
          </w:tcPr>
          <w:p w:rsidR="0021617B" w:rsidRPr="008C2957" w:rsidRDefault="0021617B" w:rsidP="0021617B">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b/>
                <w:bCs/>
                <w:color w:val="FFFFFF" w:themeColor="background1"/>
                <w:sz w:val="20"/>
                <w:szCs w:val="22"/>
              </w:rPr>
            </w:pPr>
            <w:r>
              <w:rPr>
                <w:rFonts w:ascii="Arial" w:hAnsi="Arial" w:cs="Arial"/>
                <w:b/>
                <w:bCs/>
                <w:color w:val="FFFFFF" w:themeColor="background1"/>
                <w:sz w:val="20"/>
                <w:szCs w:val="22"/>
              </w:rPr>
              <w:t>School Percent College Bound</w:t>
            </w:r>
          </w:p>
        </w:tc>
        <w:tc>
          <w:tcPr>
            <w:tcW w:w="6560" w:type="dxa"/>
            <w:tcBorders>
              <w:top w:val="single" w:sz="12" w:space="0" w:color="000000"/>
              <w:left w:val="single" w:sz="12" w:space="0" w:color="000000"/>
              <w:bottom w:val="single" w:sz="12" w:space="0" w:color="000000"/>
              <w:right w:val="single" w:sz="12" w:space="0" w:color="000000"/>
            </w:tcBorders>
            <w:shd w:val="clear" w:color="auto" w:fill="auto"/>
          </w:tcPr>
          <w:p w:rsidR="0021617B" w:rsidRPr="00082F12" w:rsidRDefault="00082F12" w:rsidP="0021617B">
            <w:pPr>
              <w:spacing w:after="0"/>
              <w:rPr>
                <w:rFonts w:ascii="Arial" w:hAnsi="Arial" w:cs="Arial"/>
                <w:sz w:val="20"/>
                <w:szCs w:val="22"/>
              </w:rPr>
            </w:pPr>
            <w:r w:rsidRPr="00082F12">
              <w:rPr>
                <w:rFonts w:ascii="Arial" w:hAnsi="Arial" w:cs="Arial"/>
                <w:sz w:val="20"/>
                <w:szCs w:val="22"/>
              </w:rPr>
              <w:t>Percent of students in the school reportedly going to college</w:t>
            </w:r>
          </w:p>
        </w:tc>
      </w:tr>
    </w:tbl>
    <w:p w:rsidR="001A2DFE" w:rsidRPr="00DE4280" w:rsidRDefault="001A2DFE" w:rsidP="00DE4280">
      <w:pPr>
        <w:rPr>
          <w:rFonts w:ascii="Arial" w:hAnsi="Arial" w:cs="Arial"/>
          <w:sz w:val="22"/>
          <w:szCs w:val="22"/>
        </w:rPr>
      </w:pPr>
    </w:p>
    <w:p w:rsidR="00351269" w:rsidRDefault="006602E5" w:rsidP="007D2966">
      <w:pPr>
        <w:spacing w:after="0" w:line="240" w:lineRule="auto"/>
        <w:jc w:val="both"/>
        <w:rPr>
          <w:rFonts w:ascii="Arial" w:hAnsi="Arial" w:cs="Arial"/>
          <w:b/>
          <w:sz w:val="22"/>
          <w:szCs w:val="22"/>
        </w:rPr>
      </w:pPr>
      <w:r>
        <w:rPr>
          <w:rFonts w:ascii="Arial" w:hAnsi="Arial" w:cs="Arial"/>
          <w:sz w:val="22"/>
          <w:szCs w:val="22"/>
        </w:rPr>
        <w:t xml:space="preserve">Table </w:t>
      </w:r>
      <w:r w:rsidR="000C7A77">
        <w:rPr>
          <w:rFonts w:ascii="Arial" w:hAnsi="Arial" w:cs="Arial"/>
          <w:sz w:val="22"/>
          <w:szCs w:val="22"/>
        </w:rPr>
        <w:t>8</w:t>
      </w:r>
      <w:r>
        <w:rPr>
          <w:rFonts w:ascii="Arial" w:hAnsi="Arial" w:cs="Arial"/>
          <w:sz w:val="22"/>
          <w:szCs w:val="22"/>
        </w:rPr>
        <w:t xml:space="preserve"> </w:t>
      </w:r>
      <w:r w:rsidR="000C7A77">
        <w:rPr>
          <w:rFonts w:ascii="Arial" w:hAnsi="Arial" w:cs="Arial"/>
          <w:sz w:val="22"/>
          <w:szCs w:val="22"/>
        </w:rPr>
        <w:t>c</w:t>
      </w:r>
      <w:r>
        <w:rPr>
          <w:rFonts w:ascii="Arial" w:hAnsi="Arial" w:cs="Arial"/>
          <w:sz w:val="22"/>
          <w:szCs w:val="22"/>
        </w:rPr>
        <w:t xml:space="preserve">ompares participation by the selected racial/ethnic and SES </w:t>
      </w:r>
      <w:r w:rsidR="00AB19DB">
        <w:rPr>
          <w:rFonts w:ascii="Arial" w:hAnsi="Arial" w:cs="Arial"/>
          <w:sz w:val="22"/>
          <w:szCs w:val="22"/>
        </w:rPr>
        <w:t xml:space="preserve">variables.  </w:t>
      </w:r>
      <w:r w:rsidR="000C7A77">
        <w:rPr>
          <w:rFonts w:ascii="Arial" w:hAnsi="Arial" w:cs="Arial"/>
          <w:sz w:val="22"/>
          <w:szCs w:val="22"/>
        </w:rPr>
        <w:t xml:space="preserve">There were no significant differences </w:t>
      </w:r>
      <w:r w:rsidR="00A56C16">
        <w:rPr>
          <w:rFonts w:ascii="Arial" w:hAnsi="Arial" w:cs="Arial"/>
          <w:sz w:val="22"/>
          <w:szCs w:val="22"/>
        </w:rPr>
        <w:t xml:space="preserve">by the racial/ethnic composition of the student population. </w:t>
      </w:r>
      <w:r w:rsidR="0012396B">
        <w:rPr>
          <w:rFonts w:ascii="Arial" w:hAnsi="Arial" w:cs="Arial"/>
          <w:sz w:val="22"/>
          <w:szCs w:val="22"/>
        </w:rPr>
        <w:t xml:space="preserve">By SES characteristics, there were </w:t>
      </w:r>
      <w:r w:rsidR="007D2966">
        <w:rPr>
          <w:rFonts w:ascii="Arial" w:hAnsi="Arial" w:cs="Arial"/>
          <w:sz w:val="22"/>
          <w:szCs w:val="22"/>
        </w:rPr>
        <w:t>no</w:t>
      </w:r>
      <w:r w:rsidR="0012396B">
        <w:rPr>
          <w:rFonts w:ascii="Arial" w:hAnsi="Arial" w:cs="Arial"/>
          <w:sz w:val="22"/>
          <w:szCs w:val="22"/>
        </w:rPr>
        <w:t xml:space="preserve"> statistically significant results for per-student Title I spending, percent college bound,</w:t>
      </w:r>
      <w:r w:rsidR="00B31E48">
        <w:rPr>
          <w:rFonts w:ascii="Arial" w:hAnsi="Arial" w:cs="Arial"/>
          <w:sz w:val="22"/>
          <w:szCs w:val="22"/>
        </w:rPr>
        <w:t xml:space="preserve"> percent students receiving free lunch</w:t>
      </w:r>
      <w:r w:rsidR="0012396B">
        <w:rPr>
          <w:rFonts w:ascii="Arial" w:hAnsi="Arial" w:cs="Arial"/>
          <w:sz w:val="22"/>
          <w:szCs w:val="22"/>
        </w:rPr>
        <w:t xml:space="preserve"> and school affluence.</w:t>
      </w:r>
      <w:r w:rsidR="00351269">
        <w:rPr>
          <w:rFonts w:ascii="Arial" w:hAnsi="Arial" w:cs="Arial"/>
          <w:sz w:val="22"/>
          <w:szCs w:val="22"/>
        </w:rPr>
        <w:t xml:space="preserve"> </w:t>
      </w:r>
    </w:p>
    <w:p w:rsidR="00C55ECD" w:rsidRDefault="00C55ECD" w:rsidP="007D2966">
      <w:pPr>
        <w:spacing w:after="0" w:line="240" w:lineRule="auto"/>
        <w:jc w:val="both"/>
        <w:rPr>
          <w:rFonts w:ascii="Arial" w:hAnsi="Arial" w:cs="Arial"/>
          <w:b/>
          <w:sz w:val="22"/>
          <w:szCs w:val="22"/>
        </w:rPr>
      </w:pPr>
    </w:p>
    <w:p w:rsidR="00592E01" w:rsidRPr="00A07811" w:rsidRDefault="00592E01" w:rsidP="00A07811">
      <w:pPr>
        <w:pStyle w:val="Proposal3"/>
        <w:ind w:left="1260" w:hanging="1260"/>
        <w:jc w:val="center"/>
        <w:rPr>
          <w:sz w:val="22"/>
        </w:rPr>
      </w:pPr>
      <w:bookmarkStart w:id="36" w:name="_Toc501458075"/>
      <w:r w:rsidRPr="00A07811">
        <w:rPr>
          <w:sz w:val="22"/>
        </w:rPr>
        <w:t xml:space="preserve">Table </w:t>
      </w:r>
      <w:r w:rsidR="000C7A77" w:rsidRPr="00A07811">
        <w:rPr>
          <w:sz w:val="22"/>
        </w:rPr>
        <w:t>8. Student Population Characteristics Used for Nonresponse Analysis</w:t>
      </w:r>
      <w:bookmarkEnd w:id="36"/>
    </w:p>
    <w:p w:rsidR="007D2966" w:rsidRDefault="007D2966" w:rsidP="00C55ECD">
      <w:pPr>
        <w:spacing w:after="0" w:line="240" w:lineRule="auto"/>
        <w:jc w:val="center"/>
        <w:rPr>
          <w:rFonts w:ascii="Arial" w:hAnsi="Arial" w:cs="Arial"/>
          <w:b/>
          <w:sz w:val="22"/>
          <w:szCs w:val="22"/>
        </w:rPr>
      </w:pPr>
    </w:p>
    <w:p w:rsidR="00CF553A" w:rsidRDefault="007D2966" w:rsidP="00CF553A">
      <w:pPr>
        <w:jc w:val="center"/>
        <w:rPr>
          <w:rFonts w:ascii="Arial" w:hAnsi="Arial" w:cs="Arial"/>
          <w:sz w:val="20"/>
          <w:szCs w:val="22"/>
        </w:rPr>
      </w:pPr>
      <w:r w:rsidRPr="007D2966">
        <w:rPr>
          <w:noProof/>
        </w:rPr>
        <w:drawing>
          <wp:inline distT="0" distB="0" distL="0" distR="0" wp14:anchorId="44A627CD" wp14:editId="3551C3E8">
            <wp:extent cx="4762500" cy="45656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4565650"/>
                    </a:xfrm>
                    <a:prstGeom prst="rect">
                      <a:avLst/>
                    </a:prstGeom>
                    <a:noFill/>
                    <a:ln>
                      <a:noFill/>
                    </a:ln>
                  </pic:spPr>
                </pic:pic>
              </a:graphicData>
            </a:graphic>
          </wp:inline>
        </w:drawing>
      </w:r>
    </w:p>
    <w:p w:rsidR="00C55ECD" w:rsidRDefault="00C55ECD">
      <w:pPr>
        <w:spacing w:after="0" w:line="240" w:lineRule="auto"/>
        <w:rPr>
          <w:rFonts w:ascii="Arial Black" w:hAnsi="Arial Black"/>
          <w:smallCaps/>
          <w:szCs w:val="22"/>
        </w:rPr>
      </w:pPr>
      <w:bookmarkStart w:id="37" w:name="_Ref372877175"/>
      <w:bookmarkStart w:id="38" w:name="_Toc413840962"/>
      <w:r>
        <w:br w:type="page"/>
      </w:r>
    </w:p>
    <w:p w:rsidR="00DE4280" w:rsidRPr="00DE4280" w:rsidRDefault="003C30E2" w:rsidP="003E2122">
      <w:pPr>
        <w:pStyle w:val="Proposal1"/>
      </w:pPr>
      <w:bookmarkStart w:id="39" w:name="_Toc501458076"/>
      <w:r>
        <w:t xml:space="preserve">Section </w:t>
      </w:r>
      <w:r w:rsidR="000B0625">
        <w:t>4</w:t>
      </w:r>
      <w:r>
        <w:t xml:space="preserve">. </w:t>
      </w:r>
      <w:r w:rsidR="00DE4280" w:rsidRPr="00DE4280">
        <w:t>Modeling Participation Rates</w:t>
      </w:r>
      <w:bookmarkEnd w:id="37"/>
      <w:bookmarkEnd w:id="38"/>
      <w:bookmarkEnd w:id="39"/>
    </w:p>
    <w:p w:rsidR="00592FFE" w:rsidRPr="00592FFE" w:rsidRDefault="00592FFE" w:rsidP="00592FFE">
      <w:pPr>
        <w:jc w:val="both"/>
        <w:rPr>
          <w:rFonts w:ascii="Arial" w:hAnsi="Arial" w:cs="Arial"/>
          <w:sz w:val="22"/>
          <w:szCs w:val="22"/>
        </w:rPr>
      </w:pPr>
      <w:r>
        <w:rPr>
          <w:rFonts w:ascii="Arial" w:hAnsi="Arial" w:cs="Arial"/>
          <w:sz w:val="22"/>
          <w:szCs w:val="22"/>
        </w:rPr>
        <w:t>During the recent NYTS cycles</w:t>
      </w:r>
      <w:r w:rsidR="00730276">
        <w:rPr>
          <w:rFonts w:ascii="Arial" w:hAnsi="Arial" w:cs="Arial"/>
          <w:sz w:val="22"/>
          <w:szCs w:val="22"/>
        </w:rPr>
        <w:t>,</w:t>
      </w:r>
      <w:r>
        <w:rPr>
          <w:rFonts w:ascii="Arial" w:hAnsi="Arial" w:cs="Arial"/>
          <w:sz w:val="22"/>
          <w:szCs w:val="22"/>
        </w:rPr>
        <w:t xml:space="preserve"> the school nonresponse analysis and nonresponse adjustment methods were refined to minimize nonresponse bias potential. Previously the nonresponse analysis was conducted but the nonresponse adjustments used weighting class adjustment cells based on sampling strata. During the 2017 NYTS cycle, the nonresponse analysis was used to inform the creation of the nonresponse adjustment cells. This process is described in more detail in the 2017 NYTS Methods Report. </w:t>
      </w:r>
      <w:r w:rsidRPr="00592FFE">
        <w:rPr>
          <w:rFonts w:ascii="Arial" w:hAnsi="Arial" w:cs="Arial"/>
          <w:sz w:val="22"/>
          <w:szCs w:val="22"/>
        </w:rPr>
        <w:t>The new method defines nonresponse adjustment cells in a more tailored and systematic approach stemming from the nonresponse analysis. Specifically, the definition of the most appropriate nonresponse adjustment weighting cells followed these steps:</w:t>
      </w:r>
    </w:p>
    <w:p w:rsidR="00592FFE" w:rsidRPr="00592FFE" w:rsidRDefault="00592FFE" w:rsidP="00592FFE">
      <w:pPr>
        <w:pStyle w:val="ListParagraph"/>
        <w:numPr>
          <w:ilvl w:val="0"/>
          <w:numId w:val="27"/>
        </w:numPr>
        <w:jc w:val="both"/>
        <w:rPr>
          <w:rFonts w:ascii="Arial" w:eastAsia="Calibri" w:hAnsi="Arial" w:cs="Arial"/>
          <w:sz w:val="22"/>
          <w:szCs w:val="22"/>
        </w:rPr>
      </w:pPr>
      <w:r w:rsidRPr="00592FFE">
        <w:rPr>
          <w:rFonts w:ascii="Arial" w:eastAsia="Calibri" w:hAnsi="Arial" w:cs="Arial"/>
          <w:sz w:val="22"/>
          <w:szCs w:val="22"/>
        </w:rPr>
        <w:t xml:space="preserve">Conduct bivariate analysis to identify key predictors of school nonresponse and student nonresponse; </w:t>
      </w:r>
    </w:p>
    <w:p w:rsidR="00592FFE" w:rsidRPr="00592FFE" w:rsidRDefault="00592FFE" w:rsidP="00592FFE">
      <w:pPr>
        <w:pStyle w:val="ListParagraph"/>
        <w:numPr>
          <w:ilvl w:val="0"/>
          <w:numId w:val="27"/>
        </w:numPr>
        <w:jc w:val="both"/>
        <w:rPr>
          <w:rFonts w:ascii="Arial" w:eastAsia="Calibri" w:hAnsi="Arial" w:cs="Arial"/>
          <w:sz w:val="22"/>
          <w:szCs w:val="22"/>
        </w:rPr>
      </w:pPr>
      <w:r w:rsidRPr="00592FFE">
        <w:rPr>
          <w:rFonts w:ascii="Arial" w:eastAsia="Calibri" w:hAnsi="Arial" w:cs="Arial"/>
          <w:sz w:val="22"/>
          <w:szCs w:val="22"/>
        </w:rPr>
        <w:t xml:space="preserve">Conduct multivariate logistic regression analysis, or response propensity models, including the subset of key predictors identified in #1 to identify significant predictors of nonresponse at both levels; </w:t>
      </w:r>
    </w:p>
    <w:p w:rsidR="00592FFE" w:rsidRDefault="00592FFE" w:rsidP="00592FFE">
      <w:pPr>
        <w:pStyle w:val="ListParagraph"/>
        <w:numPr>
          <w:ilvl w:val="0"/>
          <w:numId w:val="27"/>
        </w:numPr>
        <w:jc w:val="both"/>
        <w:rPr>
          <w:rFonts w:ascii="Arial" w:eastAsia="Calibri" w:hAnsi="Arial" w:cs="Arial"/>
          <w:sz w:val="22"/>
          <w:szCs w:val="22"/>
        </w:rPr>
      </w:pPr>
      <w:r w:rsidRPr="00592FFE">
        <w:rPr>
          <w:rFonts w:ascii="Arial" w:eastAsia="Calibri" w:hAnsi="Arial" w:cs="Arial"/>
          <w:sz w:val="22"/>
          <w:szCs w:val="22"/>
        </w:rPr>
        <w:t xml:space="preserve">Develop nonresponse adjustment weighting cells based on the significant predictors while incorporating information about cell sizes and correlations between predictors. </w:t>
      </w:r>
    </w:p>
    <w:p w:rsidR="00592FFE" w:rsidRPr="00592FFE" w:rsidRDefault="00592FFE" w:rsidP="006D5CB1">
      <w:pPr>
        <w:spacing w:before="240"/>
        <w:jc w:val="both"/>
        <w:rPr>
          <w:rFonts w:ascii="Arial" w:hAnsi="Arial" w:cs="Arial"/>
          <w:sz w:val="22"/>
          <w:szCs w:val="22"/>
        </w:rPr>
      </w:pPr>
      <w:r w:rsidRPr="00592FFE">
        <w:rPr>
          <w:rFonts w:ascii="Arial" w:hAnsi="Arial" w:cs="Arial"/>
          <w:sz w:val="22"/>
          <w:szCs w:val="22"/>
        </w:rPr>
        <w:t xml:space="preserve">During the 2017 cycle only school type (public versus non-public) was found to be predictive on nonresponse in the bivariate analysis (step 1). With only one predictive variable, multivariate analysis was not needed. </w:t>
      </w:r>
    </w:p>
    <w:p w:rsidR="006D5CB1" w:rsidRDefault="00592FFE" w:rsidP="00592FFE">
      <w:pPr>
        <w:jc w:val="both"/>
        <w:rPr>
          <w:rFonts w:ascii="Arial" w:hAnsi="Arial" w:cs="Arial"/>
          <w:sz w:val="22"/>
          <w:szCs w:val="22"/>
        </w:rPr>
      </w:pPr>
      <w:r w:rsidRPr="00592FFE">
        <w:rPr>
          <w:rFonts w:ascii="Arial" w:hAnsi="Arial" w:cs="Arial"/>
          <w:sz w:val="22"/>
          <w:szCs w:val="22"/>
        </w:rPr>
        <w:t xml:space="preserve">Nonresponse adjustment cells were created using school type and region.  Because of the small number of sample non-public schools, they were included as their own category in the nonresponse adjustment cells. </w:t>
      </w:r>
    </w:p>
    <w:p w:rsidR="00592FFE" w:rsidRPr="00592FFE" w:rsidRDefault="00592FFE" w:rsidP="00592FFE">
      <w:pPr>
        <w:jc w:val="both"/>
        <w:rPr>
          <w:rFonts w:ascii="Arial" w:hAnsi="Arial" w:cs="Arial"/>
          <w:sz w:val="22"/>
          <w:szCs w:val="22"/>
        </w:rPr>
      </w:pPr>
      <w:r>
        <w:rPr>
          <w:rFonts w:ascii="Arial" w:hAnsi="Arial" w:cs="Arial"/>
          <w:sz w:val="22"/>
          <w:szCs w:val="22"/>
        </w:rPr>
        <w:t>Multivariate logistic</w:t>
      </w:r>
      <w:r w:rsidRPr="00DE4280">
        <w:rPr>
          <w:rFonts w:ascii="Arial" w:hAnsi="Arial" w:cs="Arial"/>
          <w:sz w:val="22"/>
          <w:szCs w:val="22"/>
        </w:rPr>
        <w:t xml:space="preserve"> regression</w:t>
      </w:r>
      <w:r>
        <w:rPr>
          <w:rFonts w:ascii="Arial" w:hAnsi="Arial" w:cs="Arial"/>
          <w:sz w:val="22"/>
          <w:szCs w:val="22"/>
        </w:rPr>
        <w:t xml:space="preserve"> models are typically developed to </w:t>
      </w:r>
      <w:r w:rsidRPr="00DE4280">
        <w:rPr>
          <w:rFonts w:ascii="Arial" w:hAnsi="Arial" w:cs="Arial"/>
          <w:sz w:val="22"/>
          <w:szCs w:val="22"/>
        </w:rPr>
        <w:t>examine the independent effects of a range of school characteristics on school participation</w:t>
      </w:r>
      <w:r>
        <w:rPr>
          <w:rFonts w:ascii="Arial" w:hAnsi="Arial" w:cs="Arial"/>
          <w:sz w:val="22"/>
          <w:szCs w:val="22"/>
        </w:rPr>
        <w:t>.  Variables found to be significant predictors of nonresponse in the bivariate analysis are used in the multivariate logistic regression models.</w:t>
      </w:r>
    </w:p>
    <w:p w:rsidR="00724304" w:rsidRPr="00592FFE" w:rsidRDefault="00724304" w:rsidP="00724304">
      <w:pPr>
        <w:jc w:val="both"/>
        <w:rPr>
          <w:rFonts w:ascii="Arial" w:hAnsi="Arial" w:cs="Arial"/>
          <w:sz w:val="22"/>
          <w:szCs w:val="22"/>
        </w:rPr>
      </w:pPr>
      <w:bookmarkStart w:id="40" w:name="_Toc438473940"/>
      <w:bookmarkStart w:id="41" w:name="_Toc438473968"/>
      <w:bookmarkStart w:id="42" w:name="_Toc438474211"/>
      <w:bookmarkStart w:id="43" w:name="_Toc438546467"/>
      <w:bookmarkStart w:id="44" w:name="_Toc438546544"/>
      <w:bookmarkStart w:id="45" w:name="_Toc438553531"/>
      <w:bookmarkStart w:id="46" w:name="_Toc406405231"/>
      <w:bookmarkStart w:id="47" w:name="_Toc406405232"/>
      <w:bookmarkStart w:id="48" w:name="_Toc438219406"/>
      <w:bookmarkEnd w:id="40"/>
      <w:bookmarkEnd w:id="41"/>
      <w:bookmarkEnd w:id="42"/>
      <w:bookmarkEnd w:id="43"/>
      <w:bookmarkEnd w:id="44"/>
      <w:bookmarkEnd w:id="45"/>
      <w:bookmarkEnd w:id="46"/>
      <w:bookmarkEnd w:id="47"/>
      <w:r w:rsidRPr="00592FFE">
        <w:rPr>
          <w:rFonts w:ascii="Arial" w:hAnsi="Arial" w:cs="Arial"/>
          <w:sz w:val="22"/>
          <w:szCs w:val="22"/>
        </w:rPr>
        <w:t xml:space="preserve">Typically with multiple variables associated with school nonresponse, the subset of variables selected for defining weight adjustment cells is effectively reduced in two ways: a) by eliminating variables with high pairwise correlations, and  b) limiting to variables and cells with adequate representation of  participating schools. These steps </w:t>
      </w:r>
      <w:r w:rsidR="00592FFE" w:rsidRPr="00592FFE">
        <w:rPr>
          <w:rFonts w:ascii="Arial" w:hAnsi="Arial" w:cs="Arial"/>
          <w:sz w:val="22"/>
          <w:szCs w:val="22"/>
        </w:rPr>
        <w:t>were not</w:t>
      </w:r>
      <w:r w:rsidRPr="00592FFE">
        <w:rPr>
          <w:rFonts w:ascii="Arial" w:hAnsi="Arial" w:cs="Arial"/>
          <w:sz w:val="22"/>
          <w:szCs w:val="22"/>
        </w:rPr>
        <w:t xml:space="preserve"> needed in 2017 given that only school type was significant. </w:t>
      </w:r>
    </w:p>
    <w:p w:rsidR="009E1721" w:rsidRDefault="009E1721">
      <w:pPr>
        <w:spacing w:after="0" w:line="240" w:lineRule="auto"/>
        <w:rPr>
          <w:rFonts w:ascii="Arial Black" w:hAnsi="Arial Black"/>
          <w:smallCaps/>
          <w:szCs w:val="22"/>
        </w:rPr>
      </w:pPr>
      <w:r>
        <w:br w:type="page"/>
      </w:r>
    </w:p>
    <w:p w:rsidR="000972CF" w:rsidRPr="003E2122" w:rsidRDefault="000972CF" w:rsidP="000972CF">
      <w:pPr>
        <w:pStyle w:val="Proposal1"/>
      </w:pPr>
      <w:bookmarkStart w:id="49" w:name="_Toc501458077"/>
      <w:r>
        <w:t>Section 5</w:t>
      </w:r>
      <w:r w:rsidRPr="003E2122">
        <w:t xml:space="preserve">. </w:t>
      </w:r>
      <w:r>
        <w:t>Item Nonresponse</w:t>
      </w:r>
      <w:bookmarkEnd w:id="49"/>
    </w:p>
    <w:p w:rsidR="00507719" w:rsidRDefault="00507719" w:rsidP="00507719">
      <w:pPr>
        <w:jc w:val="both"/>
        <w:rPr>
          <w:rFonts w:ascii="Arial" w:hAnsi="Arial" w:cs="Arial"/>
          <w:sz w:val="22"/>
          <w:szCs w:val="22"/>
        </w:rPr>
      </w:pPr>
      <w:r>
        <w:rPr>
          <w:rFonts w:ascii="Arial" w:hAnsi="Arial" w:cs="Arial"/>
          <w:sz w:val="22"/>
          <w:szCs w:val="22"/>
        </w:rPr>
        <w:t>Item nonresponse occurs when individual survey respondents fail to provide data on particular questions.  When item nonresponse is minimal, researchers typically ignore the item no</w:t>
      </w:r>
      <w:r w:rsidR="00AB19DB">
        <w:rPr>
          <w:rFonts w:ascii="Arial" w:hAnsi="Arial" w:cs="Arial"/>
          <w:sz w:val="22"/>
          <w:szCs w:val="22"/>
        </w:rPr>
        <w:t xml:space="preserve">nresponse during the analysis.  </w:t>
      </w:r>
      <w:r w:rsidR="00FB24B5">
        <w:rPr>
          <w:rFonts w:ascii="Arial" w:hAnsi="Arial" w:cs="Arial"/>
          <w:sz w:val="22"/>
          <w:szCs w:val="22"/>
        </w:rPr>
        <w:t xml:space="preserve">As an initial assessment of </w:t>
      </w:r>
      <w:r>
        <w:rPr>
          <w:rFonts w:ascii="Arial" w:hAnsi="Arial" w:cs="Arial"/>
          <w:sz w:val="22"/>
          <w:szCs w:val="22"/>
        </w:rPr>
        <w:t>the</w:t>
      </w:r>
      <w:r w:rsidR="00FB24B5">
        <w:rPr>
          <w:rFonts w:ascii="Arial" w:hAnsi="Arial" w:cs="Arial"/>
          <w:sz w:val="22"/>
          <w:szCs w:val="22"/>
        </w:rPr>
        <w:t xml:space="preserve"> potential</w:t>
      </w:r>
      <w:r>
        <w:rPr>
          <w:rFonts w:ascii="Arial" w:hAnsi="Arial" w:cs="Arial"/>
          <w:sz w:val="22"/>
          <w:szCs w:val="22"/>
        </w:rPr>
        <w:t xml:space="preserve"> impact of item nonresponse</w:t>
      </w:r>
      <w:r w:rsidR="00FB24B5">
        <w:rPr>
          <w:rFonts w:ascii="Arial" w:hAnsi="Arial" w:cs="Arial"/>
          <w:sz w:val="22"/>
          <w:szCs w:val="22"/>
        </w:rPr>
        <w:t>, this section quantifies non-response</w:t>
      </w:r>
      <w:r>
        <w:rPr>
          <w:rFonts w:ascii="Arial" w:hAnsi="Arial" w:cs="Arial"/>
          <w:sz w:val="22"/>
          <w:szCs w:val="22"/>
        </w:rPr>
        <w:t xml:space="preserve"> in terms of the percentage of missing data on a particular question.  </w:t>
      </w:r>
    </w:p>
    <w:p w:rsidR="000972CF" w:rsidRDefault="00507719" w:rsidP="00A96907">
      <w:pPr>
        <w:jc w:val="both"/>
        <w:rPr>
          <w:rFonts w:ascii="Arial" w:hAnsi="Arial" w:cs="Arial"/>
          <w:sz w:val="22"/>
          <w:szCs w:val="22"/>
        </w:rPr>
      </w:pPr>
      <w:r>
        <w:rPr>
          <w:rFonts w:ascii="Arial" w:hAnsi="Arial" w:cs="Arial"/>
          <w:sz w:val="22"/>
          <w:szCs w:val="22"/>
        </w:rPr>
        <w:t xml:space="preserve">The percentage of missing was calculated differently for different types of questions. </w:t>
      </w:r>
      <w:r w:rsidR="00A96907">
        <w:rPr>
          <w:rFonts w:ascii="Arial" w:hAnsi="Arial" w:cs="Arial"/>
          <w:sz w:val="22"/>
          <w:szCs w:val="22"/>
        </w:rPr>
        <w:t>Missing was assessed as the cross tabulation for q</w:t>
      </w:r>
      <w:r>
        <w:rPr>
          <w:rFonts w:ascii="Arial" w:hAnsi="Arial" w:cs="Arial"/>
          <w:sz w:val="22"/>
          <w:szCs w:val="22"/>
        </w:rPr>
        <w:t>uestions that were “mark all that apply” or “select one or more” like questions Q5a – Q5</w:t>
      </w:r>
      <w:r w:rsidR="00A96907">
        <w:rPr>
          <w:rFonts w:ascii="Arial" w:hAnsi="Arial" w:cs="Arial"/>
          <w:sz w:val="22"/>
          <w:szCs w:val="22"/>
        </w:rPr>
        <w:t>e</w:t>
      </w:r>
      <w:r>
        <w:rPr>
          <w:rFonts w:ascii="Arial" w:hAnsi="Arial" w:cs="Arial"/>
          <w:sz w:val="22"/>
          <w:szCs w:val="22"/>
        </w:rPr>
        <w:t xml:space="preserve"> “What race or races do you consider yourself</w:t>
      </w:r>
      <w:r w:rsidR="00AB19DB">
        <w:rPr>
          <w:rFonts w:ascii="Arial" w:hAnsi="Arial" w:cs="Arial"/>
          <w:sz w:val="22"/>
          <w:szCs w:val="22"/>
        </w:rPr>
        <w:t>?</w:t>
      </w:r>
      <w:r>
        <w:rPr>
          <w:rFonts w:ascii="Arial" w:hAnsi="Arial" w:cs="Arial"/>
          <w:sz w:val="22"/>
          <w:szCs w:val="22"/>
        </w:rPr>
        <w:t>”</w:t>
      </w:r>
      <w:r w:rsidR="00A96907">
        <w:rPr>
          <w:rFonts w:ascii="Arial" w:hAnsi="Arial" w:cs="Arial"/>
          <w:sz w:val="22"/>
          <w:szCs w:val="22"/>
        </w:rPr>
        <w:t xml:space="preserve"> If only Q5e was treated as an independent question the percentage of missing would be 41% but when considering all Q5 questions the percentage of missing drops to 8.9%. Questions with only one answer options were treated as unique questions. </w:t>
      </w:r>
      <w:r>
        <w:rPr>
          <w:rFonts w:ascii="Arial" w:hAnsi="Arial" w:cs="Arial"/>
          <w:sz w:val="22"/>
          <w:szCs w:val="22"/>
        </w:rPr>
        <w:t xml:space="preserve">Overall the average percentage of missing data on all 2017 NYTS questions </w:t>
      </w:r>
      <w:r w:rsidR="00A96907">
        <w:rPr>
          <w:rFonts w:ascii="Arial" w:hAnsi="Arial" w:cs="Arial"/>
          <w:sz w:val="22"/>
          <w:szCs w:val="22"/>
        </w:rPr>
        <w:t xml:space="preserve">was </w:t>
      </w:r>
      <w:r w:rsidR="00B72824">
        <w:rPr>
          <w:rFonts w:ascii="Arial" w:hAnsi="Arial" w:cs="Arial"/>
          <w:sz w:val="22"/>
          <w:szCs w:val="22"/>
        </w:rPr>
        <w:t>2.73</w:t>
      </w:r>
      <w:r w:rsidR="00A96907" w:rsidRPr="002D366A">
        <w:rPr>
          <w:rFonts w:ascii="Arial" w:hAnsi="Arial" w:cs="Arial"/>
          <w:sz w:val="22"/>
          <w:szCs w:val="22"/>
        </w:rPr>
        <w:t xml:space="preserve">%.  There were </w:t>
      </w:r>
      <w:r w:rsidR="002D366A" w:rsidRPr="002D366A">
        <w:rPr>
          <w:rFonts w:ascii="Arial" w:hAnsi="Arial" w:cs="Arial"/>
          <w:sz w:val="22"/>
          <w:szCs w:val="22"/>
        </w:rPr>
        <w:t>two</w:t>
      </w:r>
      <w:r w:rsidR="00A96907" w:rsidRPr="002D366A">
        <w:rPr>
          <w:rFonts w:ascii="Arial" w:hAnsi="Arial" w:cs="Arial"/>
          <w:sz w:val="22"/>
          <w:szCs w:val="22"/>
        </w:rPr>
        <w:t xml:space="preserve"> questions with higher percentages of missing</w:t>
      </w:r>
      <w:r w:rsidR="001F0025" w:rsidRPr="002D366A">
        <w:rPr>
          <w:rFonts w:ascii="Arial" w:hAnsi="Arial" w:cs="Arial"/>
          <w:sz w:val="22"/>
          <w:szCs w:val="22"/>
        </w:rPr>
        <w:t>.</w:t>
      </w:r>
      <w:r w:rsidR="00A96907" w:rsidRPr="002D366A">
        <w:rPr>
          <w:rFonts w:ascii="Arial" w:hAnsi="Arial" w:cs="Arial"/>
          <w:sz w:val="22"/>
          <w:szCs w:val="22"/>
        </w:rPr>
        <w:t xml:space="preserve"> </w:t>
      </w:r>
      <w:r w:rsidR="002D366A" w:rsidRPr="002D366A">
        <w:rPr>
          <w:rFonts w:ascii="Arial" w:hAnsi="Arial" w:cs="Arial"/>
          <w:sz w:val="22"/>
          <w:szCs w:val="22"/>
        </w:rPr>
        <w:t xml:space="preserve">However, </w:t>
      </w:r>
      <w:r w:rsidR="00FB24B5" w:rsidRPr="002D366A">
        <w:rPr>
          <w:rFonts w:ascii="Arial" w:hAnsi="Arial" w:cs="Arial"/>
          <w:sz w:val="22"/>
          <w:szCs w:val="22"/>
        </w:rPr>
        <w:t>these items</w:t>
      </w:r>
      <w:r w:rsidR="002D366A" w:rsidRPr="002D366A">
        <w:rPr>
          <w:rFonts w:ascii="Arial" w:hAnsi="Arial" w:cs="Arial"/>
          <w:sz w:val="22"/>
          <w:szCs w:val="22"/>
        </w:rPr>
        <w:t xml:space="preserve"> are not really survey questions, as they capture date of administration rather than behavioral data</w:t>
      </w:r>
      <w:r w:rsidR="002D366A">
        <w:rPr>
          <w:rFonts w:ascii="Arial" w:hAnsi="Arial" w:cs="Arial"/>
          <w:sz w:val="22"/>
          <w:szCs w:val="22"/>
        </w:rPr>
        <w:t xml:space="preserve"> [i.e., m</w:t>
      </w:r>
      <w:r w:rsidR="00A96907" w:rsidRPr="002D366A">
        <w:rPr>
          <w:rFonts w:ascii="Arial" w:hAnsi="Arial" w:cs="Arial"/>
          <w:sz w:val="22"/>
          <w:szCs w:val="22"/>
        </w:rPr>
        <w:t xml:space="preserve">onth and </w:t>
      </w:r>
      <w:r w:rsidR="002D366A">
        <w:rPr>
          <w:rFonts w:ascii="Arial" w:hAnsi="Arial" w:cs="Arial"/>
          <w:sz w:val="22"/>
          <w:szCs w:val="22"/>
        </w:rPr>
        <w:t>d</w:t>
      </w:r>
      <w:r w:rsidR="00A96907" w:rsidRPr="002D366A">
        <w:rPr>
          <w:rFonts w:ascii="Arial" w:hAnsi="Arial" w:cs="Arial"/>
          <w:sz w:val="22"/>
          <w:szCs w:val="22"/>
        </w:rPr>
        <w:t>ay of the survey administration (27.31% and 30.01%</w:t>
      </w:r>
      <w:r w:rsidR="00FB24B5" w:rsidRPr="002D366A">
        <w:rPr>
          <w:rFonts w:ascii="Arial" w:hAnsi="Arial" w:cs="Arial"/>
          <w:sz w:val="22"/>
          <w:szCs w:val="22"/>
        </w:rPr>
        <w:t xml:space="preserve"> missing,</w:t>
      </w:r>
      <w:r w:rsidR="00A96907" w:rsidRPr="002D366A">
        <w:rPr>
          <w:rFonts w:ascii="Arial" w:hAnsi="Arial" w:cs="Arial"/>
          <w:sz w:val="22"/>
          <w:szCs w:val="22"/>
        </w:rPr>
        <w:t xml:space="preserve"> respectively)</w:t>
      </w:r>
      <w:r w:rsidR="002D366A">
        <w:rPr>
          <w:rFonts w:ascii="Arial" w:hAnsi="Arial" w:cs="Arial"/>
          <w:sz w:val="22"/>
          <w:szCs w:val="22"/>
        </w:rPr>
        <w:t>]</w:t>
      </w:r>
      <w:r w:rsidR="0091218D" w:rsidRPr="002D366A">
        <w:rPr>
          <w:rFonts w:ascii="Arial" w:hAnsi="Arial" w:cs="Arial"/>
          <w:sz w:val="22"/>
          <w:szCs w:val="22"/>
        </w:rPr>
        <w:t xml:space="preserve">. </w:t>
      </w:r>
      <w:r w:rsidR="00B72824">
        <w:rPr>
          <w:rFonts w:ascii="Arial" w:hAnsi="Arial" w:cs="Arial"/>
          <w:sz w:val="22"/>
          <w:szCs w:val="22"/>
        </w:rPr>
        <w:t xml:space="preserve">These two questions are not included in the analysis of item nonresponse.  </w:t>
      </w:r>
      <w:r w:rsidR="0091218D" w:rsidRPr="002D366A">
        <w:rPr>
          <w:rFonts w:ascii="Arial" w:hAnsi="Arial" w:cs="Arial"/>
          <w:sz w:val="22"/>
          <w:szCs w:val="22"/>
        </w:rPr>
        <w:t xml:space="preserve"> </w:t>
      </w:r>
    </w:p>
    <w:p w:rsidR="00411396" w:rsidRDefault="00AB1322" w:rsidP="00411396">
      <w:pPr>
        <w:jc w:val="both"/>
        <w:rPr>
          <w:rFonts w:ascii="Arial" w:hAnsi="Arial" w:cs="Arial"/>
          <w:sz w:val="22"/>
          <w:szCs w:val="22"/>
        </w:rPr>
      </w:pPr>
      <w:r>
        <w:rPr>
          <w:rFonts w:ascii="Arial" w:hAnsi="Arial" w:cs="Arial"/>
          <w:sz w:val="22"/>
          <w:szCs w:val="22"/>
        </w:rPr>
        <w:t xml:space="preserve">Table 9 </w:t>
      </w:r>
      <w:r w:rsidR="00397F90">
        <w:rPr>
          <w:rFonts w:ascii="Arial" w:hAnsi="Arial" w:cs="Arial"/>
          <w:sz w:val="22"/>
          <w:szCs w:val="22"/>
        </w:rPr>
        <w:t xml:space="preserve">presents the </w:t>
      </w:r>
      <w:r>
        <w:rPr>
          <w:rFonts w:ascii="Arial" w:hAnsi="Arial" w:cs="Arial"/>
          <w:sz w:val="22"/>
          <w:szCs w:val="22"/>
        </w:rPr>
        <w:t>distribution of item nonresponse across the sections of the NYTS questionnaire</w:t>
      </w:r>
      <w:r w:rsidR="00D72E68">
        <w:rPr>
          <w:rFonts w:ascii="Arial" w:hAnsi="Arial" w:cs="Arial"/>
          <w:sz w:val="22"/>
          <w:szCs w:val="22"/>
        </w:rPr>
        <w:t xml:space="preserve"> in the order they appear in the questionnaire. </w:t>
      </w:r>
      <w:r>
        <w:rPr>
          <w:rFonts w:ascii="Arial" w:hAnsi="Arial" w:cs="Arial"/>
          <w:sz w:val="22"/>
          <w:szCs w:val="22"/>
        </w:rPr>
        <w:t>The table</w:t>
      </w:r>
      <w:r w:rsidR="006D5CB1">
        <w:rPr>
          <w:rFonts w:ascii="Arial" w:hAnsi="Arial" w:cs="Arial"/>
          <w:sz w:val="22"/>
          <w:szCs w:val="22"/>
        </w:rPr>
        <w:t xml:space="preserve">, </w:t>
      </w:r>
      <w:r w:rsidR="00D72E68">
        <w:rPr>
          <w:rFonts w:ascii="Arial" w:hAnsi="Arial" w:cs="Arial"/>
          <w:sz w:val="22"/>
          <w:szCs w:val="22"/>
        </w:rPr>
        <w:t xml:space="preserve">which </w:t>
      </w:r>
      <w:r>
        <w:rPr>
          <w:rFonts w:ascii="Arial" w:hAnsi="Arial" w:cs="Arial"/>
          <w:sz w:val="22"/>
          <w:szCs w:val="22"/>
        </w:rPr>
        <w:t xml:space="preserve">also </w:t>
      </w:r>
      <w:r w:rsidR="00D72E68">
        <w:rPr>
          <w:rFonts w:ascii="Arial" w:hAnsi="Arial" w:cs="Arial"/>
          <w:sz w:val="22"/>
          <w:szCs w:val="22"/>
        </w:rPr>
        <w:t xml:space="preserve">includes </w:t>
      </w:r>
      <w:r>
        <w:rPr>
          <w:rFonts w:ascii="Arial" w:hAnsi="Arial" w:cs="Arial"/>
          <w:sz w:val="22"/>
          <w:szCs w:val="22"/>
        </w:rPr>
        <w:t>calculated variables</w:t>
      </w:r>
      <w:r w:rsidR="00D72E68">
        <w:rPr>
          <w:rFonts w:ascii="Arial" w:hAnsi="Arial" w:cs="Arial"/>
          <w:sz w:val="22"/>
          <w:szCs w:val="22"/>
        </w:rPr>
        <w:t>, shows the average, minimum and maximum of percent missing data in each section</w:t>
      </w:r>
      <w:r w:rsidR="009E1721">
        <w:rPr>
          <w:rFonts w:ascii="Arial" w:hAnsi="Arial" w:cs="Arial"/>
          <w:sz w:val="22"/>
          <w:szCs w:val="22"/>
        </w:rPr>
        <w:t>.</w:t>
      </w:r>
      <w:r w:rsidR="00D72E68">
        <w:rPr>
          <w:rStyle w:val="FootnoteReference"/>
          <w:rFonts w:ascii="Arial" w:hAnsi="Arial" w:cs="Arial"/>
        </w:rPr>
        <w:footnoteReference w:id="2"/>
      </w:r>
      <w:r w:rsidR="00D72E68">
        <w:rPr>
          <w:rFonts w:ascii="Arial" w:hAnsi="Arial" w:cs="Arial"/>
          <w:sz w:val="22"/>
          <w:szCs w:val="22"/>
        </w:rPr>
        <w:t xml:space="preserve">  </w:t>
      </w:r>
      <w:r w:rsidR="00397F90">
        <w:rPr>
          <w:rFonts w:ascii="Arial" w:hAnsi="Arial" w:cs="Arial"/>
          <w:sz w:val="22"/>
          <w:szCs w:val="22"/>
        </w:rPr>
        <w:t xml:space="preserve">The </w:t>
      </w:r>
      <w:r w:rsidR="00D72E68">
        <w:rPr>
          <w:rFonts w:ascii="Arial" w:hAnsi="Arial" w:cs="Arial"/>
          <w:sz w:val="22"/>
          <w:szCs w:val="22"/>
        </w:rPr>
        <w:t xml:space="preserve"> average</w:t>
      </w:r>
      <w:r w:rsidR="00397F90">
        <w:rPr>
          <w:rFonts w:ascii="Arial" w:hAnsi="Arial" w:cs="Arial"/>
          <w:sz w:val="22"/>
          <w:szCs w:val="22"/>
        </w:rPr>
        <w:t xml:space="preserve"> item nonresponse among the questionnaire sections range </w:t>
      </w:r>
      <w:r w:rsidR="00D72E68">
        <w:rPr>
          <w:rFonts w:ascii="Arial" w:hAnsi="Arial" w:cs="Arial"/>
          <w:sz w:val="22"/>
          <w:szCs w:val="22"/>
        </w:rPr>
        <w:t xml:space="preserve">from </w:t>
      </w:r>
      <w:r w:rsidR="00397F90">
        <w:rPr>
          <w:rFonts w:ascii="Arial" w:hAnsi="Arial" w:cs="Arial"/>
          <w:sz w:val="22"/>
          <w:szCs w:val="22"/>
        </w:rPr>
        <w:t>less than 1% missing</w:t>
      </w:r>
      <w:r w:rsidR="00D72E68">
        <w:rPr>
          <w:rFonts w:ascii="Arial" w:hAnsi="Arial" w:cs="Arial"/>
          <w:sz w:val="22"/>
          <w:szCs w:val="22"/>
        </w:rPr>
        <w:t xml:space="preserve"> (0.99 for cigarette smoking)</w:t>
      </w:r>
      <w:r w:rsidR="00397F90">
        <w:rPr>
          <w:rFonts w:ascii="Arial" w:hAnsi="Arial" w:cs="Arial"/>
          <w:sz w:val="22"/>
          <w:szCs w:val="22"/>
        </w:rPr>
        <w:t xml:space="preserve"> to </w:t>
      </w:r>
      <w:r w:rsidR="00D72E68">
        <w:rPr>
          <w:rFonts w:ascii="Arial" w:hAnsi="Arial" w:cs="Arial"/>
          <w:sz w:val="22"/>
          <w:szCs w:val="22"/>
        </w:rPr>
        <w:t xml:space="preserve">4.9% </w:t>
      </w:r>
      <w:r w:rsidR="00397F90">
        <w:rPr>
          <w:rFonts w:ascii="Arial" w:hAnsi="Arial" w:cs="Arial"/>
          <w:sz w:val="22"/>
          <w:szCs w:val="22"/>
        </w:rPr>
        <w:t xml:space="preserve"> missing</w:t>
      </w:r>
      <w:r w:rsidR="00D72E68">
        <w:rPr>
          <w:rFonts w:ascii="Arial" w:hAnsi="Arial" w:cs="Arial"/>
          <w:sz w:val="22"/>
          <w:szCs w:val="22"/>
        </w:rPr>
        <w:t xml:space="preserve"> (home experiences)</w:t>
      </w:r>
      <w:r w:rsidR="00397F90">
        <w:rPr>
          <w:rFonts w:ascii="Arial" w:hAnsi="Arial" w:cs="Arial"/>
          <w:sz w:val="22"/>
          <w:szCs w:val="22"/>
        </w:rPr>
        <w:t xml:space="preserve">.  The percentage of item nonresponse tends to increase in the later questionnaire sections.  </w:t>
      </w:r>
    </w:p>
    <w:p w:rsidR="00310263" w:rsidRDefault="00411396" w:rsidP="008C4E10">
      <w:pPr>
        <w:jc w:val="both"/>
        <w:rPr>
          <w:rFonts w:ascii="Arial" w:hAnsi="Arial" w:cs="Arial"/>
          <w:sz w:val="22"/>
          <w:szCs w:val="22"/>
        </w:rPr>
      </w:pPr>
      <w:r>
        <w:rPr>
          <w:rFonts w:ascii="Arial" w:hAnsi="Arial" w:cs="Arial"/>
          <w:sz w:val="22"/>
          <w:szCs w:val="22"/>
        </w:rPr>
        <w:t>Our analyses of potential bias due to item nonresponse also looked at the item nonresponse rates for key analytic subgroups.  Appendix A presents item nonresponse rates for each item in the subgroups defined by school level (middle school and high school) and by race/ethnicity.  Race/ethnicity subgroups were defined using the multiple race category and assigned respondents to four subgroups: Hispanics, Blacks, Whites and Other Race.  The tables also include the standard error associated with the estimated nonresponse rate (or percentage missing data)</w:t>
      </w:r>
      <w:r w:rsidR="001C462B">
        <w:rPr>
          <w:rFonts w:ascii="Arial" w:hAnsi="Arial" w:cs="Arial"/>
          <w:sz w:val="22"/>
          <w:szCs w:val="22"/>
        </w:rPr>
        <w:t xml:space="preserve"> and a chi-square test of association between item nonresponse and the subgroups</w:t>
      </w:r>
      <w:r w:rsidR="00310263">
        <w:rPr>
          <w:rFonts w:ascii="Arial" w:hAnsi="Arial" w:cs="Arial"/>
          <w:sz w:val="22"/>
          <w:szCs w:val="22"/>
        </w:rPr>
        <w:t xml:space="preserve">.  </w:t>
      </w:r>
    </w:p>
    <w:p w:rsidR="008C4E10" w:rsidRDefault="00411396" w:rsidP="008C4E10">
      <w:pPr>
        <w:jc w:val="both"/>
        <w:rPr>
          <w:rFonts w:ascii="Arial" w:hAnsi="Arial" w:cs="Arial"/>
          <w:sz w:val="22"/>
          <w:szCs w:val="22"/>
        </w:rPr>
      </w:pPr>
      <w:r>
        <w:rPr>
          <w:rFonts w:ascii="Arial" w:hAnsi="Arial" w:cs="Arial"/>
          <w:sz w:val="22"/>
          <w:szCs w:val="22"/>
        </w:rPr>
        <w:t xml:space="preserve">We note that differential rates of item nonresponse would only lead to potential bias if the outcome measures also vary substantially </w:t>
      </w:r>
      <w:r w:rsidR="00566093">
        <w:rPr>
          <w:rFonts w:ascii="Arial" w:hAnsi="Arial" w:cs="Arial"/>
          <w:sz w:val="22"/>
          <w:szCs w:val="22"/>
        </w:rPr>
        <w:t>by subgroup for those completing and those n</w:t>
      </w:r>
      <w:r w:rsidR="00E14A36">
        <w:rPr>
          <w:rFonts w:ascii="Arial" w:hAnsi="Arial" w:cs="Arial"/>
          <w:sz w:val="22"/>
          <w:szCs w:val="22"/>
        </w:rPr>
        <w:t>ot completing the specific item</w:t>
      </w:r>
      <w:r w:rsidR="00566093">
        <w:rPr>
          <w:rFonts w:ascii="Arial" w:hAnsi="Arial" w:cs="Arial"/>
          <w:sz w:val="22"/>
          <w:szCs w:val="22"/>
        </w:rPr>
        <w:t xml:space="preserve"> or variable.  For example, differential bias could occur for the estimated prevalence of ever smoking cigarettes only if all those conditions are observed:  black students completing and not completing the item(s) have different prevalence, black students have different prevalence than other racial subgroups; and item nonresponse rates are significantly different for blacks and students of other races.</w:t>
      </w:r>
      <w:r w:rsidR="008C4E10">
        <w:rPr>
          <w:rFonts w:ascii="Arial" w:hAnsi="Arial" w:cs="Arial"/>
          <w:sz w:val="22"/>
          <w:szCs w:val="22"/>
        </w:rPr>
        <w:t xml:space="preserve"> </w:t>
      </w:r>
      <w:r w:rsidR="008C4E10" w:rsidRPr="00B1455D">
        <w:rPr>
          <w:rFonts w:ascii="Arial" w:hAnsi="Arial" w:cs="Arial"/>
          <w:sz w:val="22"/>
          <w:szCs w:val="22"/>
        </w:rPr>
        <w:t>We caution that given the large numbers of subgroup differences being tested, across all questionnaire items, significant differences may be found by chance.  We advise using ver</w:t>
      </w:r>
      <w:r w:rsidR="00310263">
        <w:rPr>
          <w:rFonts w:ascii="Arial" w:hAnsi="Arial" w:cs="Arial"/>
          <w:sz w:val="22"/>
          <w:szCs w:val="22"/>
        </w:rPr>
        <w:t>y</w:t>
      </w:r>
      <w:r w:rsidR="008C4E10" w:rsidRPr="00B1455D">
        <w:rPr>
          <w:rFonts w:ascii="Arial" w:hAnsi="Arial" w:cs="Arial"/>
          <w:sz w:val="22"/>
          <w:szCs w:val="22"/>
        </w:rPr>
        <w:t xml:space="preserve"> low significance thresholds such as p&lt; 0.01 or even &lt; 0.001.</w:t>
      </w:r>
    </w:p>
    <w:p w:rsidR="00411396" w:rsidRPr="00411396" w:rsidRDefault="00411396" w:rsidP="00411396">
      <w:pPr>
        <w:jc w:val="both"/>
        <w:rPr>
          <w:rFonts w:ascii="Arial" w:hAnsi="Arial" w:cs="Arial"/>
          <w:sz w:val="22"/>
          <w:szCs w:val="22"/>
        </w:rPr>
      </w:pPr>
    </w:p>
    <w:p w:rsidR="00397F90" w:rsidRPr="00A07811" w:rsidRDefault="00397F90" w:rsidP="00397F90">
      <w:pPr>
        <w:pStyle w:val="Proposal3"/>
        <w:ind w:left="1260" w:hanging="1260"/>
        <w:jc w:val="center"/>
        <w:rPr>
          <w:sz w:val="22"/>
        </w:rPr>
      </w:pPr>
      <w:bookmarkStart w:id="50" w:name="_Toc501458078"/>
      <w:r w:rsidRPr="00A07811">
        <w:rPr>
          <w:sz w:val="22"/>
        </w:rPr>
        <w:t xml:space="preserve">Table </w:t>
      </w:r>
      <w:r>
        <w:rPr>
          <w:sz w:val="22"/>
        </w:rPr>
        <w:t>9</w:t>
      </w:r>
      <w:r w:rsidRPr="00A07811">
        <w:rPr>
          <w:sz w:val="22"/>
        </w:rPr>
        <w:t xml:space="preserve">. </w:t>
      </w:r>
      <w:r>
        <w:rPr>
          <w:sz w:val="22"/>
        </w:rPr>
        <w:t>Distribution of the Percentage of Item Nonresponse by Questionnaire Section</w:t>
      </w:r>
      <w:bookmarkEnd w:id="50"/>
    </w:p>
    <w:tbl>
      <w:tblPr>
        <w:tblW w:w="9644" w:type="dxa"/>
        <w:tblLook w:val="04A0" w:firstRow="1" w:lastRow="0" w:firstColumn="1" w:lastColumn="0" w:noHBand="0" w:noVBand="1"/>
      </w:tblPr>
      <w:tblGrid>
        <w:gridCol w:w="4204"/>
        <w:gridCol w:w="1821"/>
        <w:gridCol w:w="1677"/>
        <w:gridCol w:w="1942"/>
      </w:tblGrid>
      <w:tr w:rsidR="00397F90" w:rsidRPr="00397F90" w:rsidTr="00397F90">
        <w:trPr>
          <w:trHeight w:val="288"/>
        </w:trPr>
        <w:tc>
          <w:tcPr>
            <w:tcW w:w="4204" w:type="dxa"/>
            <w:vMerge w:val="restart"/>
            <w:tcBorders>
              <w:top w:val="single" w:sz="4" w:space="0" w:color="auto"/>
              <w:left w:val="nil"/>
              <w:bottom w:val="single" w:sz="4" w:space="0" w:color="000000"/>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Questionnaire Section Headings</w:t>
            </w:r>
          </w:p>
        </w:tc>
        <w:tc>
          <w:tcPr>
            <w:tcW w:w="5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 xml:space="preserve">Percentage of Item Nonresponse </w:t>
            </w:r>
          </w:p>
        </w:tc>
      </w:tr>
      <w:tr w:rsidR="00397F90" w:rsidRPr="00397F90" w:rsidTr="00397F90">
        <w:trPr>
          <w:trHeight w:val="288"/>
        </w:trPr>
        <w:tc>
          <w:tcPr>
            <w:tcW w:w="4204" w:type="dxa"/>
            <w:vMerge/>
            <w:tcBorders>
              <w:top w:val="single" w:sz="4" w:space="0" w:color="auto"/>
              <w:left w:val="nil"/>
              <w:bottom w:val="single" w:sz="4" w:space="0" w:color="000000"/>
              <w:right w:val="single" w:sz="4" w:space="0" w:color="auto"/>
            </w:tcBorders>
            <w:vAlign w:val="center"/>
            <w:hideMark/>
          </w:tcPr>
          <w:p w:rsidR="00397F90" w:rsidRPr="00397F90" w:rsidRDefault="00397F90" w:rsidP="00397F90">
            <w:pPr>
              <w:spacing w:after="0" w:line="240" w:lineRule="auto"/>
              <w:rPr>
                <w:rFonts w:ascii="Arial" w:eastAsia="Times New Roman" w:hAnsi="Arial" w:cs="Arial"/>
                <w:color w:val="000000"/>
                <w:sz w:val="22"/>
                <w:szCs w:val="22"/>
              </w:rPr>
            </w:pPr>
          </w:p>
        </w:tc>
        <w:tc>
          <w:tcPr>
            <w:tcW w:w="1821" w:type="dxa"/>
            <w:tcBorders>
              <w:top w:val="nil"/>
              <w:left w:val="nil"/>
              <w:bottom w:val="single" w:sz="4" w:space="0" w:color="auto"/>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 xml:space="preserve">Minimum </w:t>
            </w:r>
          </w:p>
        </w:tc>
        <w:tc>
          <w:tcPr>
            <w:tcW w:w="1677" w:type="dxa"/>
            <w:tcBorders>
              <w:top w:val="nil"/>
              <w:left w:val="nil"/>
              <w:bottom w:val="single" w:sz="4" w:space="0" w:color="auto"/>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Average</w:t>
            </w:r>
          </w:p>
        </w:tc>
        <w:tc>
          <w:tcPr>
            <w:tcW w:w="1942" w:type="dxa"/>
            <w:tcBorders>
              <w:top w:val="nil"/>
              <w:left w:val="nil"/>
              <w:bottom w:val="single" w:sz="4" w:space="0" w:color="auto"/>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Maximum</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Demographics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0.53</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2.93</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8.87</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Smoking cigarettes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0.54</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0.99</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1.61</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Use of cigars, cigarillos or little cigars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0.88</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1.18</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1.72</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Use of chewing tobacco, snuff, or dip</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1.32</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1.82</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2.76</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E-cigarettes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1.08</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1.76</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5.60</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Hookah use</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1.43</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1.95</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2.42</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Other Tobacco</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2.29</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2.44</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2.58</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Past 30 day use of any tobacco product</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2.24</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2.24</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2.24</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Flavored tobacco products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2.44</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2.59</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2.74</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Urges to use tobacco products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2.06</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2.06</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2.06</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Quitting</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2.30</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2.76</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3.17</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Getting tobacco products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3.87</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4.11</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4.48</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Issues related to tobacco</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B72824">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3.</w:t>
            </w:r>
            <w:r w:rsidR="00B72824">
              <w:rPr>
                <w:rFonts w:ascii="Arial" w:eastAsia="Times New Roman" w:hAnsi="Arial" w:cs="Arial"/>
                <w:color w:val="000000"/>
                <w:sz w:val="22"/>
                <w:szCs w:val="22"/>
              </w:rPr>
              <w:t>10</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B72824">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3.</w:t>
            </w:r>
            <w:r w:rsidR="00B72824">
              <w:rPr>
                <w:rFonts w:ascii="Arial" w:eastAsia="Times New Roman" w:hAnsi="Arial" w:cs="Arial"/>
                <w:color w:val="000000"/>
                <w:sz w:val="22"/>
                <w:szCs w:val="22"/>
              </w:rPr>
              <w:t>34</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3.49</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Thoughts on tobacco products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3.26</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4.13</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7.33</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Tobacco Ads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3.72</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4.14</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4.86</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E-cigarette Ads</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4.39</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4.85</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5.06</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Second hand smoke</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4.33</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4.42</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4.58</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Second hand e-cigarette vapor</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4.54</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4.54</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4.54</w:t>
            </w:r>
          </w:p>
        </w:tc>
      </w:tr>
      <w:tr w:rsidR="00397F90" w:rsidRPr="00397F90" w:rsidTr="00397F90">
        <w:trPr>
          <w:trHeight w:val="288"/>
        </w:trPr>
        <w:tc>
          <w:tcPr>
            <w:tcW w:w="4204"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Experiences at home</w:t>
            </w:r>
          </w:p>
        </w:tc>
        <w:tc>
          <w:tcPr>
            <w:tcW w:w="1821"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4.60</w:t>
            </w:r>
          </w:p>
        </w:tc>
        <w:tc>
          <w:tcPr>
            <w:tcW w:w="1677" w:type="dxa"/>
            <w:tcBorders>
              <w:top w:val="nil"/>
              <w:left w:val="nil"/>
              <w:bottom w:val="nil"/>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4.89</w:t>
            </w:r>
          </w:p>
        </w:tc>
        <w:tc>
          <w:tcPr>
            <w:tcW w:w="1942" w:type="dxa"/>
            <w:tcBorders>
              <w:top w:val="nil"/>
              <w:left w:val="nil"/>
              <w:bottom w:val="nil"/>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5.09</w:t>
            </w:r>
          </w:p>
        </w:tc>
      </w:tr>
      <w:tr w:rsidR="00397F90" w:rsidRPr="00397F90" w:rsidTr="00397F90">
        <w:trPr>
          <w:trHeight w:val="288"/>
        </w:trPr>
        <w:tc>
          <w:tcPr>
            <w:tcW w:w="4204" w:type="dxa"/>
            <w:tcBorders>
              <w:top w:val="nil"/>
              <w:left w:val="nil"/>
              <w:bottom w:val="single" w:sz="4" w:space="0" w:color="auto"/>
              <w:right w:val="single" w:sz="4" w:space="0" w:color="auto"/>
            </w:tcBorders>
            <w:shd w:val="clear" w:color="auto" w:fill="auto"/>
            <w:noWrap/>
            <w:vAlign w:val="bottom"/>
            <w:hideMark/>
          </w:tcPr>
          <w:p w:rsidR="00397F90" w:rsidRPr="00397F90" w:rsidRDefault="00397F90" w:rsidP="00397F90">
            <w:pPr>
              <w:spacing w:after="0" w:line="240" w:lineRule="auto"/>
              <w:rPr>
                <w:rFonts w:ascii="Arial" w:eastAsia="Times New Roman" w:hAnsi="Arial" w:cs="Arial"/>
                <w:color w:val="000000"/>
                <w:sz w:val="22"/>
                <w:szCs w:val="22"/>
              </w:rPr>
            </w:pPr>
            <w:r w:rsidRPr="00397F90">
              <w:rPr>
                <w:rFonts w:ascii="Arial" w:eastAsia="Times New Roman" w:hAnsi="Arial" w:cs="Arial"/>
                <w:color w:val="000000"/>
                <w:sz w:val="22"/>
                <w:szCs w:val="22"/>
              </w:rPr>
              <w:t>Calculated Variables</w:t>
            </w:r>
          </w:p>
        </w:tc>
        <w:tc>
          <w:tcPr>
            <w:tcW w:w="1821" w:type="dxa"/>
            <w:tcBorders>
              <w:top w:val="nil"/>
              <w:left w:val="nil"/>
              <w:bottom w:val="single" w:sz="4" w:space="0" w:color="auto"/>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0.53</w:t>
            </w:r>
          </w:p>
        </w:tc>
        <w:tc>
          <w:tcPr>
            <w:tcW w:w="1677" w:type="dxa"/>
            <w:tcBorders>
              <w:top w:val="nil"/>
              <w:left w:val="nil"/>
              <w:bottom w:val="single" w:sz="4" w:space="0" w:color="auto"/>
              <w:right w:val="single" w:sz="4" w:space="0" w:color="auto"/>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2.84</w:t>
            </w:r>
          </w:p>
        </w:tc>
        <w:tc>
          <w:tcPr>
            <w:tcW w:w="1942" w:type="dxa"/>
            <w:tcBorders>
              <w:top w:val="nil"/>
              <w:left w:val="nil"/>
              <w:bottom w:val="single" w:sz="4" w:space="0" w:color="auto"/>
              <w:right w:val="nil"/>
            </w:tcBorders>
            <w:shd w:val="clear" w:color="auto" w:fill="auto"/>
            <w:noWrap/>
            <w:vAlign w:val="bottom"/>
            <w:hideMark/>
          </w:tcPr>
          <w:p w:rsidR="00397F90" w:rsidRPr="00397F90" w:rsidRDefault="00397F90" w:rsidP="00397F90">
            <w:pPr>
              <w:spacing w:after="0" w:line="240" w:lineRule="auto"/>
              <w:jc w:val="center"/>
              <w:rPr>
                <w:rFonts w:ascii="Arial" w:eastAsia="Times New Roman" w:hAnsi="Arial" w:cs="Arial"/>
                <w:color w:val="000000"/>
                <w:sz w:val="22"/>
                <w:szCs w:val="22"/>
              </w:rPr>
            </w:pPr>
            <w:r w:rsidRPr="00397F90">
              <w:rPr>
                <w:rFonts w:ascii="Arial" w:eastAsia="Times New Roman" w:hAnsi="Arial" w:cs="Arial"/>
                <w:color w:val="000000"/>
                <w:sz w:val="22"/>
                <w:szCs w:val="22"/>
              </w:rPr>
              <w:t>8.87</w:t>
            </w:r>
          </w:p>
        </w:tc>
      </w:tr>
    </w:tbl>
    <w:p w:rsidR="00411396" w:rsidRDefault="00411396" w:rsidP="00A96907">
      <w:pPr>
        <w:jc w:val="both"/>
        <w:rPr>
          <w:rFonts w:ascii="Arial Black" w:hAnsi="Arial Black"/>
          <w:smallCaps/>
          <w:szCs w:val="22"/>
        </w:rPr>
      </w:pPr>
    </w:p>
    <w:p w:rsidR="00E14A36" w:rsidRDefault="00E14A36">
      <w:pPr>
        <w:spacing w:after="0" w:line="240" w:lineRule="auto"/>
        <w:rPr>
          <w:rFonts w:ascii="Arial Black" w:hAnsi="Arial Black"/>
          <w:smallCaps/>
          <w:szCs w:val="22"/>
        </w:rPr>
      </w:pPr>
      <w:bookmarkStart w:id="51" w:name="_Toc501458079"/>
      <w:r>
        <w:br w:type="page"/>
      </w:r>
    </w:p>
    <w:p w:rsidR="00D250B1" w:rsidRPr="003E2122" w:rsidRDefault="000972CF" w:rsidP="003C30E2">
      <w:pPr>
        <w:pStyle w:val="Proposal1"/>
      </w:pPr>
      <w:r>
        <w:t>Section 6</w:t>
      </w:r>
      <w:r w:rsidR="00BA4149" w:rsidRPr="003E2122">
        <w:t xml:space="preserve">. </w:t>
      </w:r>
      <w:r w:rsidR="00D250B1" w:rsidRPr="003E2122">
        <w:t>Conclusion</w:t>
      </w:r>
      <w:bookmarkEnd w:id="48"/>
      <w:bookmarkEnd w:id="51"/>
    </w:p>
    <w:p w:rsidR="00FA6E4D" w:rsidRDefault="00D250B1" w:rsidP="00BA4149">
      <w:pPr>
        <w:rPr>
          <w:rFonts w:ascii="Arial" w:hAnsi="Arial" w:cs="Arial"/>
          <w:sz w:val="22"/>
        </w:rPr>
      </w:pPr>
      <w:r w:rsidRPr="008C2957">
        <w:rPr>
          <w:rFonts w:ascii="Arial" w:hAnsi="Arial" w:cs="Arial"/>
          <w:sz w:val="22"/>
        </w:rPr>
        <w:t xml:space="preserve">Nonresponse bias is a function of two factors: a) the amount of nonresponse and b) differences between </w:t>
      </w:r>
      <w:r w:rsidR="00C03A8D">
        <w:rPr>
          <w:rFonts w:ascii="Arial" w:hAnsi="Arial" w:cs="Arial"/>
          <w:sz w:val="22"/>
        </w:rPr>
        <w:t>participants</w:t>
      </w:r>
      <w:r w:rsidRPr="008C2957">
        <w:rPr>
          <w:rFonts w:ascii="Arial" w:hAnsi="Arial" w:cs="Arial"/>
          <w:sz w:val="22"/>
        </w:rPr>
        <w:t xml:space="preserve"> and non</w:t>
      </w:r>
      <w:r w:rsidR="00C03A8D">
        <w:rPr>
          <w:rFonts w:ascii="Arial" w:hAnsi="Arial" w:cs="Arial"/>
          <w:sz w:val="22"/>
        </w:rPr>
        <w:t>-participants</w:t>
      </w:r>
      <w:r w:rsidRPr="008C2957">
        <w:rPr>
          <w:rFonts w:ascii="Arial" w:hAnsi="Arial" w:cs="Arial"/>
          <w:sz w:val="22"/>
        </w:rPr>
        <w:t xml:space="preserve"> in terms of characteristics measured by the survey. The present report examined nonresponse in the 201</w:t>
      </w:r>
      <w:r w:rsidR="000972CF">
        <w:rPr>
          <w:rFonts w:ascii="Arial" w:hAnsi="Arial" w:cs="Arial"/>
          <w:sz w:val="22"/>
        </w:rPr>
        <w:t>7</w:t>
      </w:r>
      <w:r w:rsidRPr="008C2957">
        <w:rPr>
          <w:rFonts w:ascii="Arial" w:hAnsi="Arial" w:cs="Arial"/>
          <w:sz w:val="22"/>
        </w:rPr>
        <w:t xml:space="preserve"> NYTS </w:t>
      </w:r>
      <w:r w:rsidR="00FA6E4D">
        <w:rPr>
          <w:rFonts w:ascii="Arial" w:hAnsi="Arial" w:cs="Arial"/>
          <w:sz w:val="22"/>
        </w:rPr>
        <w:t>by school characteristics</w:t>
      </w:r>
      <w:r w:rsidRPr="008C2957">
        <w:rPr>
          <w:rFonts w:ascii="Arial" w:hAnsi="Arial" w:cs="Arial"/>
          <w:sz w:val="22"/>
        </w:rPr>
        <w:t xml:space="preserve"> and </w:t>
      </w:r>
      <w:r w:rsidR="00C03A8D">
        <w:rPr>
          <w:rFonts w:ascii="Arial" w:hAnsi="Arial" w:cs="Arial"/>
          <w:sz w:val="22"/>
        </w:rPr>
        <w:t>student population demographic characteristics</w:t>
      </w:r>
      <w:r w:rsidRPr="008C2957">
        <w:rPr>
          <w:rFonts w:ascii="Arial" w:hAnsi="Arial" w:cs="Arial"/>
          <w:sz w:val="22"/>
        </w:rPr>
        <w:t xml:space="preserve">. </w:t>
      </w:r>
      <w:r w:rsidR="00FA6E4D">
        <w:rPr>
          <w:rFonts w:ascii="Arial" w:hAnsi="Arial" w:cs="Arial"/>
          <w:sz w:val="22"/>
        </w:rPr>
        <w:t>The nonresponse analysis identified differences in participation by school type</w:t>
      </w:r>
      <w:r w:rsidR="00A96907">
        <w:rPr>
          <w:rFonts w:ascii="Arial" w:hAnsi="Arial" w:cs="Arial"/>
          <w:sz w:val="22"/>
        </w:rPr>
        <w:t>.</w:t>
      </w:r>
      <w:r w:rsidR="00FA6E4D">
        <w:rPr>
          <w:rFonts w:ascii="Arial" w:hAnsi="Arial" w:cs="Arial"/>
          <w:sz w:val="22"/>
        </w:rPr>
        <w:t xml:space="preserve"> Importantly, the information learned from this analysis is applied to the weighting process with a nonresponse adjustment to reduce the impact on the final weighted data.</w:t>
      </w:r>
      <w:r w:rsidR="00A96907">
        <w:rPr>
          <w:rFonts w:ascii="Arial" w:hAnsi="Arial" w:cs="Arial"/>
          <w:sz w:val="22"/>
        </w:rPr>
        <w:t xml:space="preserve">  The 2017 nonresponse adjustment used the variables school type (public versus non-public) and region.  </w:t>
      </w:r>
    </w:p>
    <w:p w:rsidR="002D366A" w:rsidRPr="006A2B95" w:rsidRDefault="002D366A" w:rsidP="002D366A">
      <w:pPr>
        <w:rPr>
          <w:rFonts w:ascii="Arial" w:hAnsi="Arial" w:cs="Arial"/>
          <w:sz w:val="22"/>
          <w:szCs w:val="22"/>
        </w:rPr>
      </w:pPr>
      <w:r w:rsidRPr="006A2B95">
        <w:rPr>
          <w:rFonts w:ascii="Arial" w:hAnsi="Arial" w:cs="Arial"/>
          <w:sz w:val="22"/>
          <w:szCs w:val="22"/>
        </w:rPr>
        <w:t>The 2017 NYTS non-response weight adjustments used the regional variable (4 U.S. Census Regions) as a lesson learned from the 2016 NYTS data.  For the 2016 data, some variables (e.g., use of e-cigarettes) showed some potential bias due to the combination of two factors:</w:t>
      </w:r>
    </w:p>
    <w:p w:rsidR="002D366A" w:rsidRPr="006A2B95" w:rsidRDefault="002D366A" w:rsidP="002D366A">
      <w:pPr>
        <w:pStyle w:val="ListParagraph"/>
        <w:numPr>
          <w:ilvl w:val="0"/>
          <w:numId w:val="26"/>
        </w:numPr>
        <w:rPr>
          <w:rFonts w:ascii="Arial" w:hAnsi="Arial" w:cs="Arial"/>
          <w:sz w:val="22"/>
          <w:szCs w:val="22"/>
        </w:rPr>
      </w:pPr>
      <w:r w:rsidRPr="006A2B95">
        <w:rPr>
          <w:rFonts w:ascii="Arial" w:hAnsi="Arial" w:cs="Arial"/>
          <w:sz w:val="22"/>
          <w:szCs w:val="22"/>
        </w:rPr>
        <w:t>Differential school response rates across regions</w:t>
      </w:r>
    </w:p>
    <w:p w:rsidR="002D366A" w:rsidRPr="006A2B95" w:rsidRDefault="002D366A" w:rsidP="002D366A">
      <w:pPr>
        <w:pStyle w:val="ListParagraph"/>
        <w:numPr>
          <w:ilvl w:val="0"/>
          <w:numId w:val="26"/>
        </w:numPr>
        <w:rPr>
          <w:rFonts w:ascii="Arial" w:hAnsi="Arial" w:cs="Arial"/>
          <w:sz w:val="22"/>
          <w:szCs w:val="22"/>
        </w:rPr>
      </w:pPr>
      <w:r w:rsidRPr="006A2B95">
        <w:rPr>
          <w:rFonts w:ascii="Arial" w:hAnsi="Arial" w:cs="Arial"/>
          <w:sz w:val="22"/>
          <w:szCs w:val="22"/>
        </w:rPr>
        <w:t>Differential outcomes (e-cig prevalence) across regions</w:t>
      </w:r>
    </w:p>
    <w:p w:rsidR="00E14A36" w:rsidRDefault="00E14A36" w:rsidP="00E14A36">
      <w:pPr>
        <w:spacing w:after="0"/>
        <w:rPr>
          <w:rFonts w:ascii="Arial" w:hAnsi="Arial" w:cs="Arial"/>
          <w:sz w:val="22"/>
          <w:szCs w:val="22"/>
        </w:rPr>
      </w:pPr>
    </w:p>
    <w:p w:rsidR="00D250B1" w:rsidRDefault="002D366A" w:rsidP="00E14A36">
      <w:pPr>
        <w:spacing w:after="0"/>
        <w:rPr>
          <w:rFonts w:ascii="Arial" w:hAnsi="Arial" w:cs="Arial"/>
          <w:sz w:val="22"/>
        </w:rPr>
      </w:pPr>
      <w:r w:rsidRPr="006A2B95">
        <w:rPr>
          <w:rFonts w:ascii="Arial" w:hAnsi="Arial" w:cs="Arial"/>
          <w:sz w:val="22"/>
          <w:szCs w:val="22"/>
        </w:rPr>
        <w:t>Note that our non-response analyses generally look at the first type of differences but not at the second.</w:t>
      </w:r>
      <w:r w:rsidR="00E14A36">
        <w:rPr>
          <w:rFonts w:ascii="Arial" w:hAnsi="Arial" w:cs="Arial"/>
          <w:sz w:val="22"/>
          <w:szCs w:val="22"/>
        </w:rPr>
        <w:t xml:space="preserve">  </w:t>
      </w:r>
      <w:r w:rsidR="00B0095D">
        <w:rPr>
          <w:rFonts w:ascii="Arial" w:hAnsi="Arial" w:cs="Arial"/>
          <w:sz w:val="22"/>
        </w:rPr>
        <w:t>Obviously, obtaining high levels of participation among schools and students is the most important factor in minimizing potential bias from differential participation. Despite decreasing school participation since the early 2000’s, r</w:t>
      </w:r>
      <w:r w:rsidR="00D250B1" w:rsidRPr="008C2957">
        <w:rPr>
          <w:rFonts w:ascii="Arial" w:hAnsi="Arial" w:cs="Arial"/>
          <w:sz w:val="22"/>
        </w:rPr>
        <w:t xml:space="preserve">esponse rates at the </w:t>
      </w:r>
      <w:r w:rsidR="00C03A8D">
        <w:rPr>
          <w:rFonts w:ascii="Arial" w:hAnsi="Arial" w:cs="Arial"/>
          <w:sz w:val="22"/>
        </w:rPr>
        <w:t xml:space="preserve">school and </w:t>
      </w:r>
      <w:r w:rsidR="00D250B1" w:rsidRPr="008C2957">
        <w:rPr>
          <w:rFonts w:ascii="Arial" w:hAnsi="Arial" w:cs="Arial"/>
          <w:sz w:val="22"/>
        </w:rPr>
        <w:t xml:space="preserve">student level </w:t>
      </w:r>
      <w:r w:rsidR="002158F7">
        <w:rPr>
          <w:rFonts w:ascii="Arial" w:hAnsi="Arial" w:cs="Arial"/>
          <w:sz w:val="22"/>
        </w:rPr>
        <w:t>in 201</w:t>
      </w:r>
      <w:r w:rsidR="00A96907">
        <w:rPr>
          <w:rFonts w:ascii="Arial" w:hAnsi="Arial" w:cs="Arial"/>
          <w:sz w:val="22"/>
        </w:rPr>
        <w:t>7</w:t>
      </w:r>
      <w:r w:rsidR="002158F7">
        <w:rPr>
          <w:rFonts w:ascii="Arial" w:hAnsi="Arial" w:cs="Arial"/>
          <w:sz w:val="22"/>
        </w:rPr>
        <w:t xml:space="preserve"> </w:t>
      </w:r>
      <w:r w:rsidR="00AB19DB">
        <w:rPr>
          <w:rFonts w:ascii="Arial" w:hAnsi="Arial" w:cs="Arial"/>
          <w:sz w:val="22"/>
        </w:rPr>
        <w:t xml:space="preserve">both </w:t>
      </w:r>
      <w:r w:rsidR="00A96907">
        <w:rPr>
          <w:rFonts w:ascii="Arial" w:hAnsi="Arial" w:cs="Arial"/>
          <w:sz w:val="22"/>
        </w:rPr>
        <w:t>remained above 70%</w:t>
      </w:r>
      <w:r w:rsidR="00AB19DB">
        <w:rPr>
          <w:rFonts w:ascii="Arial" w:hAnsi="Arial" w:cs="Arial"/>
          <w:sz w:val="22"/>
        </w:rPr>
        <w:t>.</w:t>
      </w:r>
      <w:r w:rsidR="00A96907">
        <w:rPr>
          <w:rFonts w:ascii="Arial" w:hAnsi="Arial" w:cs="Arial"/>
          <w:sz w:val="22"/>
        </w:rPr>
        <w:t xml:space="preserve">  </w:t>
      </w:r>
    </w:p>
    <w:p w:rsidR="00E14A36" w:rsidRPr="008C2957" w:rsidRDefault="00E14A36" w:rsidP="00E14A36">
      <w:pPr>
        <w:spacing w:after="0"/>
        <w:rPr>
          <w:rFonts w:ascii="Arial" w:hAnsi="Arial" w:cs="Arial"/>
          <w:sz w:val="22"/>
        </w:rPr>
      </w:pPr>
    </w:p>
    <w:p w:rsidR="00FB529E" w:rsidRDefault="00D250B1" w:rsidP="00BA4149">
      <w:pPr>
        <w:rPr>
          <w:rFonts w:ascii="Arial" w:hAnsi="Arial" w:cs="Arial"/>
          <w:sz w:val="22"/>
        </w:rPr>
      </w:pPr>
      <w:r w:rsidRPr="008C2957">
        <w:rPr>
          <w:rFonts w:ascii="Arial" w:hAnsi="Arial" w:cs="Arial"/>
          <w:sz w:val="22"/>
        </w:rPr>
        <w:t xml:space="preserve">With regard to school-level nonresponse, </w:t>
      </w:r>
      <w:r w:rsidR="00B65ABE">
        <w:rPr>
          <w:rFonts w:ascii="Arial" w:hAnsi="Arial" w:cs="Arial"/>
          <w:sz w:val="22"/>
        </w:rPr>
        <w:t>c</w:t>
      </w:r>
      <w:r w:rsidRPr="008C2957">
        <w:rPr>
          <w:rFonts w:ascii="Arial" w:hAnsi="Arial" w:cs="Arial"/>
          <w:sz w:val="22"/>
        </w:rPr>
        <w:t>onsistent with previous cycles, school type (public vs. non-public) was associated with school participation</w:t>
      </w:r>
      <w:r w:rsidR="003B3022">
        <w:rPr>
          <w:rFonts w:ascii="Arial" w:hAnsi="Arial" w:cs="Arial"/>
          <w:sz w:val="22"/>
        </w:rPr>
        <w:t xml:space="preserve"> in the bivariate analysis</w:t>
      </w:r>
      <w:r w:rsidR="001F0025">
        <w:rPr>
          <w:rFonts w:ascii="Arial" w:hAnsi="Arial" w:cs="Arial"/>
          <w:sz w:val="22"/>
        </w:rPr>
        <w:t>;</w:t>
      </w:r>
      <w:r w:rsidRPr="008C2957">
        <w:rPr>
          <w:rFonts w:ascii="Arial" w:hAnsi="Arial" w:cs="Arial"/>
          <w:sz w:val="22"/>
        </w:rPr>
        <w:t xml:space="preserve"> public schools appear to be more likely to participate. </w:t>
      </w:r>
      <w:r w:rsidR="00AD79C7">
        <w:rPr>
          <w:rFonts w:ascii="Arial" w:hAnsi="Arial" w:cs="Arial"/>
          <w:sz w:val="22"/>
        </w:rPr>
        <w:t xml:space="preserve">Because private schools make up a small percentage of schools in the sample, this difference is unlikely to </w:t>
      </w:r>
      <w:r w:rsidR="001F0025">
        <w:rPr>
          <w:rFonts w:ascii="Arial" w:hAnsi="Arial" w:cs="Arial"/>
          <w:sz w:val="22"/>
        </w:rPr>
        <w:t xml:space="preserve">lead to potential </w:t>
      </w:r>
      <w:r w:rsidR="00AD79C7">
        <w:rPr>
          <w:rFonts w:ascii="Arial" w:hAnsi="Arial" w:cs="Arial"/>
          <w:sz w:val="22"/>
        </w:rPr>
        <w:t>bias</w:t>
      </w:r>
      <w:r w:rsidR="001F0025">
        <w:rPr>
          <w:rFonts w:ascii="Arial" w:hAnsi="Arial" w:cs="Arial"/>
          <w:sz w:val="22"/>
        </w:rPr>
        <w:t>es.  To mitigate against such potential biases, school non-response adjustments take into account school type and school size.</w:t>
      </w:r>
      <w:r w:rsidR="00AD79C7">
        <w:rPr>
          <w:rFonts w:ascii="Arial" w:hAnsi="Arial" w:cs="Arial"/>
          <w:sz w:val="22"/>
        </w:rPr>
        <w:t xml:space="preserve"> </w:t>
      </w:r>
      <w:r w:rsidR="00AB19DB">
        <w:rPr>
          <w:rFonts w:ascii="Arial" w:hAnsi="Arial" w:cs="Arial"/>
          <w:sz w:val="22"/>
        </w:rPr>
        <w:t xml:space="preserve"> </w:t>
      </w:r>
      <w:r w:rsidR="003B3022">
        <w:rPr>
          <w:rFonts w:ascii="Arial" w:hAnsi="Arial" w:cs="Arial"/>
          <w:sz w:val="22"/>
        </w:rPr>
        <w:t>By student population characteristics, there were no differences by the racia</w:t>
      </w:r>
      <w:r w:rsidR="001271E9">
        <w:rPr>
          <w:rFonts w:ascii="Arial" w:hAnsi="Arial" w:cs="Arial"/>
          <w:sz w:val="22"/>
        </w:rPr>
        <w:t xml:space="preserve">l/ethnic makeup of the students. In fact there were no statistically different findings for any of the student population characteristic in 2017.  </w:t>
      </w:r>
    </w:p>
    <w:p w:rsidR="00435ECB" w:rsidRDefault="001271E9" w:rsidP="00BA4149">
      <w:pPr>
        <w:rPr>
          <w:rFonts w:ascii="Arial" w:hAnsi="Arial" w:cs="Arial"/>
          <w:sz w:val="22"/>
        </w:rPr>
      </w:pPr>
      <w:r>
        <w:rPr>
          <w:rFonts w:ascii="Arial" w:hAnsi="Arial" w:cs="Arial"/>
          <w:sz w:val="22"/>
        </w:rPr>
        <w:t>Given that only one variable was found to be a statistically significant predictor of nonresponse in the</w:t>
      </w:r>
      <w:r w:rsidR="001F0025">
        <w:rPr>
          <w:rFonts w:ascii="Arial" w:hAnsi="Arial" w:cs="Arial"/>
          <w:sz w:val="22"/>
        </w:rPr>
        <w:t xml:space="preserve"> bivariate </w:t>
      </w:r>
      <w:r>
        <w:rPr>
          <w:rFonts w:ascii="Arial" w:hAnsi="Arial" w:cs="Arial"/>
          <w:sz w:val="22"/>
        </w:rPr>
        <w:t>analysis</w:t>
      </w:r>
      <w:r w:rsidR="001F0025">
        <w:rPr>
          <w:rFonts w:ascii="Arial" w:hAnsi="Arial" w:cs="Arial"/>
          <w:sz w:val="22"/>
        </w:rPr>
        <w:t xml:space="preserve"> of the 2017 survey data</w:t>
      </w:r>
      <w:r>
        <w:rPr>
          <w:rFonts w:ascii="Arial" w:hAnsi="Arial" w:cs="Arial"/>
          <w:sz w:val="22"/>
        </w:rPr>
        <w:t xml:space="preserve">, </w:t>
      </w:r>
      <w:r w:rsidR="00D250B1" w:rsidRPr="008C2957">
        <w:rPr>
          <w:rFonts w:ascii="Arial" w:hAnsi="Arial" w:cs="Arial"/>
          <w:sz w:val="22"/>
        </w:rPr>
        <w:t>multivariate models</w:t>
      </w:r>
      <w:r>
        <w:rPr>
          <w:rFonts w:ascii="Arial" w:hAnsi="Arial" w:cs="Arial"/>
          <w:sz w:val="22"/>
        </w:rPr>
        <w:t xml:space="preserve"> were not necessary in the 2017 nonresponse analysis.  </w:t>
      </w:r>
      <w:r w:rsidR="00435ECB">
        <w:rPr>
          <w:rFonts w:ascii="Arial" w:hAnsi="Arial" w:cs="Arial"/>
          <w:sz w:val="22"/>
        </w:rPr>
        <w:t>The analyses also considered item nonresponse rates by section and by subgroup.  Item nonresponse rates are very small and are not expected to lead to potential biases.</w:t>
      </w:r>
    </w:p>
    <w:p w:rsidR="00DE59F9" w:rsidRDefault="00AD79C7" w:rsidP="00E14A36">
      <w:pPr>
        <w:rPr>
          <w:rFonts w:ascii="Arial" w:hAnsi="Arial" w:cs="Arial"/>
          <w:sz w:val="22"/>
        </w:rPr>
      </w:pPr>
      <w:r>
        <w:rPr>
          <w:rFonts w:ascii="Arial" w:hAnsi="Arial" w:cs="Arial"/>
          <w:sz w:val="22"/>
        </w:rPr>
        <w:t>The current analysis found some evidence of differential nonresponse</w:t>
      </w:r>
      <w:r w:rsidR="001F0025">
        <w:rPr>
          <w:rFonts w:ascii="Arial" w:hAnsi="Arial" w:cs="Arial"/>
          <w:sz w:val="22"/>
        </w:rPr>
        <w:t xml:space="preserve">.  National weighted estimates are not impacted in a meaningful way from nonresponse in the 2017 NYTS,  </w:t>
      </w:r>
      <w:r>
        <w:rPr>
          <w:rFonts w:ascii="Arial" w:hAnsi="Arial" w:cs="Arial"/>
          <w:sz w:val="22"/>
        </w:rPr>
        <w:t xml:space="preserve"> however, because of the limited contribution of private schools to the sample, the adjustment for nonresponse in the weighting process, and a school response rate over </w:t>
      </w:r>
      <w:r w:rsidR="001271E9">
        <w:rPr>
          <w:rFonts w:ascii="Arial" w:hAnsi="Arial" w:cs="Arial"/>
          <w:sz w:val="22"/>
        </w:rPr>
        <w:t>76</w:t>
      </w:r>
      <w:r>
        <w:rPr>
          <w:rFonts w:ascii="Arial" w:hAnsi="Arial" w:cs="Arial"/>
          <w:sz w:val="22"/>
        </w:rPr>
        <w:t>%</w:t>
      </w:r>
      <w:r w:rsidR="001F0025">
        <w:rPr>
          <w:rFonts w:ascii="Arial" w:hAnsi="Arial" w:cs="Arial"/>
          <w:sz w:val="22"/>
        </w:rPr>
        <w:t>.</w:t>
      </w:r>
      <w:r>
        <w:rPr>
          <w:rFonts w:ascii="Arial" w:hAnsi="Arial" w:cs="Arial"/>
          <w:sz w:val="22"/>
        </w:rPr>
        <w:t xml:space="preserve">  </w:t>
      </w:r>
      <w:r w:rsidR="001F0025">
        <w:rPr>
          <w:rFonts w:ascii="Arial" w:hAnsi="Arial" w:cs="Arial"/>
          <w:sz w:val="22"/>
        </w:rPr>
        <w:t>T</w:t>
      </w:r>
      <w:r>
        <w:rPr>
          <w:rFonts w:ascii="Arial" w:hAnsi="Arial" w:cs="Arial"/>
          <w:sz w:val="22"/>
        </w:rPr>
        <w:t xml:space="preserve">he new methods used for school nonresponse weight adjustment linked to this nonresponse analysis help reduce the potential for bias due to these differences. </w:t>
      </w:r>
    </w:p>
    <w:sectPr w:rsidR="00DE59F9" w:rsidSect="00E14A36">
      <w:footerReference w:type="default" r:id="rId19"/>
      <w:type w:val="continuous"/>
      <w:pgSz w:w="12240" w:h="15840" w:code="1"/>
      <w:pgMar w:top="1260" w:right="1440" w:bottom="1440" w:left="1440" w:header="72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E2" w:rsidRDefault="002818E2" w:rsidP="00B21303">
      <w:r>
        <w:separator/>
      </w:r>
    </w:p>
  </w:endnote>
  <w:endnote w:type="continuationSeparator" w:id="0">
    <w:p w:rsidR="002818E2" w:rsidRDefault="002818E2" w:rsidP="00B2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25" w:rsidRPr="0086060C" w:rsidRDefault="001F0025" w:rsidP="00851825">
    <w:pPr>
      <w:pStyle w:val="Footer"/>
    </w:pPr>
    <w:r>
      <w:t>Nonresponse Analysis Report: 201</w:t>
    </w:r>
    <w:r w:rsidR="00F537D5">
      <w:t>7</w:t>
    </w:r>
    <w:r w:rsidRPr="0086060C">
      <w:t xml:space="preserve"> </w:t>
    </w:r>
    <w:r>
      <w:t xml:space="preserve">National </w:t>
    </w:r>
    <w:r w:rsidRPr="0086060C">
      <w:t>Youth Tobacco Survey</w:t>
    </w:r>
  </w:p>
  <w:p w:rsidR="001F0025" w:rsidRPr="0086060C" w:rsidRDefault="001F0025" w:rsidP="00851825">
    <w:pPr>
      <w:pStyle w:val="Footer2"/>
      <w:tabs>
        <w:tab w:val="right" w:pos="9360"/>
      </w:tabs>
    </w:pPr>
    <w:r>
      <w:rPr>
        <w:szCs w:val="16"/>
      </w:rPr>
      <w:tab/>
    </w:r>
    <w:r w:rsidRPr="0086060C">
      <w:rPr>
        <w:szCs w:val="16"/>
      </w:rPr>
      <w:t xml:space="preserve">Page </w:t>
    </w:r>
    <w:r>
      <w:fldChar w:fldCharType="begin"/>
    </w:r>
    <w:r>
      <w:instrText xml:space="preserve"> PAGE   \* MERGEFORMAT </w:instrText>
    </w:r>
    <w:r>
      <w:fldChar w:fldCharType="separate"/>
    </w:r>
    <w:r w:rsidR="006E1434">
      <w:rPr>
        <w:noProof/>
      </w:rPr>
      <w:t>1</w:t>
    </w:r>
    <w:r>
      <w:rPr>
        <w:noProof/>
      </w:rPr>
      <w:fldChar w:fldCharType="end"/>
    </w:r>
  </w:p>
  <w:p w:rsidR="00BE4FBD" w:rsidRDefault="00BE4FBD"/>
  <w:p w:rsidR="00BE4FBD" w:rsidRDefault="00BE4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E2" w:rsidRDefault="002818E2" w:rsidP="00B21303">
      <w:r>
        <w:separator/>
      </w:r>
    </w:p>
  </w:footnote>
  <w:footnote w:type="continuationSeparator" w:id="0">
    <w:p w:rsidR="002818E2" w:rsidRDefault="002818E2" w:rsidP="00B21303">
      <w:r>
        <w:continuationSeparator/>
      </w:r>
    </w:p>
  </w:footnote>
  <w:footnote w:id="1">
    <w:p w:rsidR="00F537D5" w:rsidRDefault="00F537D5" w:rsidP="00F537D5">
      <w:pPr>
        <w:pStyle w:val="FootnoteText"/>
      </w:pPr>
      <w:r>
        <w:rPr>
          <w:rStyle w:val="FootnoteReference"/>
        </w:rPr>
        <w:t>[1]</w:t>
      </w:r>
      <w:r>
        <w:t xml:space="preserve"> </w:t>
      </w:r>
      <w:r>
        <w:rPr>
          <w:rFonts w:ascii="Arial" w:hAnsi="Arial" w:cs="Arial"/>
          <w:sz w:val="20"/>
        </w:rPr>
        <w:t>The number of participating schools differs by one school from the number in the Sampling and Weighting Report due to one high school being considered as two sampling units in that report as it had separate 9</w:t>
      </w:r>
      <w:r>
        <w:rPr>
          <w:rFonts w:ascii="Arial" w:hAnsi="Arial" w:cs="Arial"/>
          <w:sz w:val="20"/>
          <w:vertAlign w:val="superscript"/>
        </w:rPr>
        <w:t>th</w:t>
      </w:r>
      <w:r>
        <w:rPr>
          <w:rFonts w:ascii="Arial" w:hAnsi="Arial" w:cs="Arial"/>
          <w:sz w:val="20"/>
        </w:rPr>
        <w:t xml:space="preserve"> grade center.</w:t>
      </w:r>
    </w:p>
  </w:footnote>
  <w:footnote w:id="2">
    <w:p w:rsidR="00D72E68" w:rsidRPr="009E1721" w:rsidRDefault="00D72E68">
      <w:pPr>
        <w:pStyle w:val="FootnoteText"/>
        <w:rPr>
          <w:rFonts w:ascii="Arial" w:hAnsi="Arial" w:cs="Arial"/>
          <w:sz w:val="20"/>
        </w:rPr>
      </w:pPr>
      <w:r w:rsidRPr="009E1721">
        <w:rPr>
          <w:rStyle w:val="FootnoteReference"/>
          <w:rFonts w:ascii="Arial" w:hAnsi="Arial" w:cs="Arial"/>
          <w:sz w:val="20"/>
          <w:szCs w:val="20"/>
        </w:rPr>
        <w:footnoteRef/>
      </w:r>
      <w:r w:rsidRPr="009E1721">
        <w:rPr>
          <w:rFonts w:ascii="Arial" w:hAnsi="Arial" w:cs="Arial"/>
          <w:sz w:val="20"/>
        </w:rPr>
        <w:t xml:space="preserve"> </w:t>
      </w:r>
      <w:r w:rsidRPr="00310263">
        <w:rPr>
          <w:rFonts w:ascii="Arial" w:hAnsi="Arial" w:cs="Arial"/>
          <w:sz w:val="18"/>
        </w:rPr>
        <w:t>Note that the section average is the mean of the percent missing across the items in the section.  This may be distinguished from an average item nonresponse that could be computed by pooling the items within a section and looking at the aggregate missing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pStyle w:val="StyleHeading3Condensedby01ptCharChar"/>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pStyle w:val="StyleHeading3Condensedby01ptCharChar"/>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nsid w:val="021215B7"/>
    <w:multiLevelType w:val="hybridMultilevel"/>
    <w:tmpl w:val="4CF61228"/>
    <w:lvl w:ilvl="0" w:tplc="9E629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41D26"/>
    <w:multiLevelType w:val="multilevel"/>
    <w:tmpl w:val="04090025"/>
    <w:numStyleLink w:val="Style2"/>
  </w:abstractNum>
  <w:abstractNum w:abstractNumId="3">
    <w:nsid w:val="09FB1A43"/>
    <w:multiLevelType w:val="multilevel"/>
    <w:tmpl w:val="04090025"/>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A3D651A"/>
    <w:multiLevelType w:val="multilevel"/>
    <w:tmpl w:val="04090025"/>
    <w:numStyleLink w:val="Style2"/>
  </w:abstractNum>
  <w:abstractNum w:abstractNumId="5">
    <w:nsid w:val="0E230355"/>
    <w:multiLevelType w:val="hybridMultilevel"/>
    <w:tmpl w:val="211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C06C0"/>
    <w:multiLevelType w:val="hybridMultilevel"/>
    <w:tmpl w:val="EF3462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5A44E5"/>
    <w:multiLevelType w:val="hybridMultilevel"/>
    <w:tmpl w:val="A6A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A6B4B"/>
    <w:multiLevelType w:val="hybridMultilevel"/>
    <w:tmpl w:val="142C303E"/>
    <w:lvl w:ilvl="0" w:tplc="14660D46">
      <w:start w:val="1"/>
      <w:numFmt w:val="bullet"/>
      <w:pStyle w:val="ProposalTable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C0538"/>
    <w:multiLevelType w:val="multilevel"/>
    <w:tmpl w:val="DB2A8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D2E729F"/>
    <w:multiLevelType w:val="multilevel"/>
    <w:tmpl w:val="FC3EA3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622041C"/>
    <w:multiLevelType w:val="hybridMultilevel"/>
    <w:tmpl w:val="C6065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4CA452C"/>
    <w:multiLevelType w:val="hybridMultilevel"/>
    <w:tmpl w:val="C502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B22265A"/>
    <w:multiLevelType w:val="hybridMultilevel"/>
    <w:tmpl w:val="D632BD10"/>
    <w:lvl w:ilvl="0" w:tplc="BC8842DE">
      <w:start w:val="1"/>
      <w:numFmt w:val="bullet"/>
      <w:pStyle w:val="ProposalBullet2"/>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F4C5B"/>
    <w:multiLevelType w:val="hybridMultilevel"/>
    <w:tmpl w:val="F59E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01A3E88"/>
    <w:multiLevelType w:val="hybridMultilevel"/>
    <w:tmpl w:val="C254A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8B1A48"/>
    <w:multiLevelType w:val="singleLevel"/>
    <w:tmpl w:val="16809B46"/>
    <w:lvl w:ilvl="0">
      <w:start w:val="1"/>
      <w:numFmt w:val="decimal"/>
      <w:pStyle w:val="Question"/>
      <w:lvlText w:val="%1."/>
      <w:lvlJc w:val="left"/>
      <w:pPr>
        <w:tabs>
          <w:tab w:val="num" w:pos="720"/>
        </w:tabs>
        <w:ind w:left="720" w:hanging="360"/>
      </w:pPr>
      <w:rPr>
        <w:rFonts w:hint="default"/>
      </w:rPr>
    </w:lvl>
  </w:abstractNum>
  <w:abstractNum w:abstractNumId="17">
    <w:nsid w:val="63B90363"/>
    <w:multiLevelType w:val="hybridMultilevel"/>
    <w:tmpl w:val="48D8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482CF4"/>
    <w:multiLevelType w:val="hybridMultilevel"/>
    <w:tmpl w:val="62F271F8"/>
    <w:lvl w:ilvl="0" w:tplc="D842F2B6">
      <w:start w:val="1"/>
      <w:numFmt w:val="bullet"/>
      <w:pStyle w:val="BulletSingleNYTSFlint"/>
      <w:lvlText w:val="●"/>
      <w:lvlJc w:val="left"/>
      <w:pPr>
        <w:tabs>
          <w:tab w:val="num" w:pos="1080"/>
        </w:tabs>
        <w:ind w:left="1080" w:firstLine="0"/>
      </w:pPr>
      <w:rPr>
        <w:rFonts w:ascii="Times New Roman" w:hAnsi="Times New Roman" w:cs="Times New Roman" w:hint="default"/>
        <w:b w:val="0"/>
        <w:bCs w:val="0"/>
        <w:i w:val="0"/>
        <w:iCs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E87A46"/>
    <w:multiLevelType w:val="hybridMultilevel"/>
    <w:tmpl w:val="FE22E720"/>
    <w:lvl w:ilvl="0" w:tplc="84449AA0">
      <w:start w:val="1"/>
      <w:numFmt w:val="lowerLetter"/>
      <w:pStyle w:val="Q-2"/>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64EAF"/>
    <w:multiLevelType w:val="hybridMultilevel"/>
    <w:tmpl w:val="9C969726"/>
    <w:lvl w:ilvl="0" w:tplc="75C812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C44138"/>
    <w:multiLevelType w:val="hybridMultilevel"/>
    <w:tmpl w:val="8B5A9946"/>
    <w:lvl w:ilvl="0" w:tplc="B3265136">
      <w:start w:val="1"/>
      <w:numFmt w:val="decimal"/>
      <w:pStyle w:val="Q-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881FF7"/>
    <w:multiLevelType w:val="hybridMultilevel"/>
    <w:tmpl w:val="F6C2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7479BF"/>
    <w:multiLevelType w:val="hybridMultilevel"/>
    <w:tmpl w:val="CF928FD2"/>
    <w:lvl w:ilvl="0" w:tplc="0B7AA976">
      <w:start w:val="1"/>
      <w:numFmt w:val="bullet"/>
      <w:pStyle w:val="ProposalBullet1"/>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25750"/>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ind w:left="1530" w:hanging="720"/>
      </w:pPr>
      <w:rPr>
        <w:rFonts w:hint="default"/>
      </w:rPr>
    </w:lvl>
    <w:lvl w:ilvl="3">
      <w:start w:val="1"/>
      <w:numFmt w:val="decimal"/>
      <w:pStyle w:val="Heading4"/>
      <w:lvlText w:val="%1.%2.%3.%4"/>
      <w:lvlJc w:val="left"/>
      <w:pPr>
        <w:ind w:left="1674" w:hanging="864"/>
      </w:pPr>
      <w:rPr>
        <w:rFonts w:hint="default"/>
      </w:rPr>
    </w:lvl>
    <w:lvl w:ilvl="4">
      <w:start w:val="1"/>
      <w:numFmt w:val="decimal"/>
      <w:pStyle w:val="Heading5"/>
      <w:lvlText w:val="%1.%2.%3.%4.%5"/>
      <w:lvlJc w:val="left"/>
      <w:pPr>
        <w:ind w:left="1818" w:hanging="1008"/>
      </w:pPr>
      <w:rPr>
        <w:rFonts w:hint="default"/>
      </w:rPr>
    </w:lvl>
    <w:lvl w:ilvl="5">
      <w:start w:val="1"/>
      <w:numFmt w:val="decimal"/>
      <w:pStyle w:val="Heading6"/>
      <w:lvlText w:val="%1.%2.%3.%4.%5.%6"/>
      <w:lvlJc w:val="left"/>
      <w:pPr>
        <w:ind w:left="1962" w:hanging="1152"/>
      </w:pPr>
      <w:rPr>
        <w:rFonts w:hint="default"/>
      </w:rPr>
    </w:lvl>
    <w:lvl w:ilvl="6">
      <w:start w:val="1"/>
      <w:numFmt w:val="decimal"/>
      <w:pStyle w:val="Heading7"/>
      <w:lvlText w:val="%1.%2.%3.%4.%5.%6.%7"/>
      <w:lvlJc w:val="left"/>
      <w:pPr>
        <w:ind w:left="2106" w:hanging="1296"/>
      </w:pPr>
      <w:rPr>
        <w:rFonts w:hint="default"/>
      </w:rPr>
    </w:lvl>
    <w:lvl w:ilvl="7">
      <w:start w:val="1"/>
      <w:numFmt w:val="decimal"/>
      <w:pStyle w:val="Heading8"/>
      <w:lvlText w:val="%1.%2.%3.%4.%5.%6.%7.%8"/>
      <w:lvlJc w:val="left"/>
      <w:pPr>
        <w:ind w:left="2250" w:hanging="1440"/>
      </w:pPr>
      <w:rPr>
        <w:rFonts w:hint="default"/>
      </w:rPr>
    </w:lvl>
    <w:lvl w:ilvl="8">
      <w:start w:val="1"/>
      <w:numFmt w:val="decimal"/>
      <w:pStyle w:val="Heading9"/>
      <w:lvlText w:val="%1.%2.%3.%4.%5.%6.%7.%8.%9"/>
      <w:lvlJc w:val="left"/>
      <w:pPr>
        <w:ind w:left="2394" w:hanging="1584"/>
      </w:pPr>
      <w:rPr>
        <w:rFonts w:hint="default"/>
      </w:rPr>
    </w:lvl>
  </w:abstractNum>
  <w:abstractNum w:abstractNumId="25">
    <w:nsid w:val="7F1A6108"/>
    <w:multiLevelType w:val="hybridMultilevel"/>
    <w:tmpl w:val="28D00868"/>
    <w:lvl w:ilvl="0" w:tplc="04090015">
      <w:start w:val="1"/>
      <w:numFmt w:val="bullet"/>
      <w:pStyle w:val="tabletext1"/>
      <w:lvlText w:val=""/>
      <w:lvlJc w:val="left"/>
      <w:pPr>
        <w:tabs>
          <w:tab w:val="num" w:pos="720"/>
        </w:tabs>
        <w:ind w:left="720" w:hanging="360"/>
      </w:pPr>
      <w:rPr>
        <w:rFonts w:ascii="Symbol" w:hAnsi="Symbol" w:hint="default"/>
      </w:rPr>
    </w:lvl>
    <w:lvl w:ilvl="1" w:tplc="3B4EAED6">
      <w:start w:val="1"/>
      <w:numFmt w:val="bullet"/>
      <w:lvlText w:val=""/>
      <w:lvlJc w:val="left"/>
      <w:pPr>
        <w:tabs>
          <w:tab w:val="num" w:pos="1440"/>
        </w:tabs>
        <w:ind w:left="1440" w:hanging="360"/>
      </w:pPr>
      <w:rPr>
        <w:rFonts w:ascii="Symbol" w:hAnsi="Symbol" w:hint="default"/>
      </w:rPr>
    </w:lvl>
    <w:lvl w:ilvl="2" w:tplc="0409001B">
      <w:numFmt w:val="bullet"/>
      <w:lvlText w:val="-"/>
      <w:lvlJc w:val="left"/>
      <w:pPr>
        <w:tabs>
          <w:tab w:val="num" w:pos="2160"/>
        </w:tabs>
        <w:ind w:left="2160" w:hanging="360"/>
      </w:pPr>
      <w:rPr>
        <w:rFonts w:ascii="Times New Roman" w:eastAsia="Times New Roman" w:hAnsi="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13"/>
  </w:num>
  <w:num w:numId="4">
    <w:abstractNumId w:val="0"/>
  </w:num>
  <w:num w:numId="5">
    <w:abstractNumId w:val="25"/>
  </w:num>
  <w:num w:numId="6">
    <w:abstractNumId w:val="16"/>
  </w:num>
  <w:num w:numId="7">
    <w:abstractNumId w:val="21"/>
  </w:num>
  <w:num w:numId="8">
    <w:abstractNumId w:val="19"/>
  </w:num>
  <w:num w:numId="9">
    <w:abstractNumId w:val="18"/>
  </w:num>
  <w:num w:numId="10">
    <w:abstractNumId w:val="24"/>
  </w:num>
  <w:num w:numId="11">
    <w:abstractNumId w:val="22"/>
  </w:num>
  <w:num w:numId="12">
    <w:abstractNumId w:val="1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4"/>
  </w:num>
  <w:num w:numId="17">
    <w:abstractNumId w:val="9"/>
  </w:num>
  <w:num w:numId="18">
    <w:abstractNumId w:val="10"/>
  </w:num>
  <w:num w:numId="19">
    <w:abstractNumId w:val="14"/>
  </w:num>
  <w:num w:numId="20">
    <w:abstractNumId w:val="11"/>
  </w:num>
  <w:num w:numId="21">
    <w:abstractNumId w:val="5"/>
  </w:num>
  <w:num w:numId="22">
    <w:abstractNumId w:val="20"/>
  </w:num>
  <w:num w:numId="23">
    <w:abstractNumId w:val="1"/>
  </w:num>
  <w:num w:numId="24">
    <w:abstractNumId w:val="7"/>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style="mso-position-horizontal:right;mso-position-horizontal-relative:margin;v-text-anchor:middle" fillcolor="#9cf" strokecolor="#0072c6">
      <v:fill color="#9cf" color2="none [3212]" angle="-135" focus="100%" type="gradient"/>
      <v:stroke color="#0072c6"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7B"/>
    <w:rsid w:val="00001365"/>
    <w:rsid w:val="000018D6"/>
    <w:rsid w:val="0000385F"/>
    <w:rsid w:val="00003DD3"/>
    <w:rsid w:val="00004996"/>
    <w:rsid w:val="00006621"/>
    <w:rsid w:val="00011CCF"/>
    <w:rsid w:val="000146C3"/>
    <w:rsid w:val="0001586E"/>
    <w:rsid w:val="0001687E"/>
    <w:rsid w:val="00016E04"/>
    <w:rsid w:val="00017906"/>
    <w:rsid w:val="000247C4"/>
    <w:rsid w:val="000261E4"/>
    <w:rsid w:val="00026E0E"/>
    <w:rsid w:val="00027440"/>
    <w:rsid w:val="00031F0B"/>
    <w:rsid w:val="0003245A"/>
    <w:rsid w:val="000407BD"/>
    <w:rsid w:val="000505D1"/>
    <w:rsid w:val="00051BCB"/>
    <w:rsid w:val="00051CD2"/>
    <w:rsid w:val="000526A6"/>
    <w:rsid w:val="00054314"/>
    <w:rsid w:val="000543BB"/>
    <w:rsid w:val="00057FA1"/>
    <w:rsid w:val="00061BA0"/>
    <w:rsid w:val="00065543"/>
    <w:rsid w:val="0007100C"/>
    <w:rsid w:val="00082F12"/>
    <w:rsid w:val="00084FF8"/>
    <w:rsid w:val="0008582B"/>
    <w:rsid w:val="000919B2"/>
    <w:rsid w:val="0009224A"/>
    <w:rsid w:val="00092B7A"/>
    <w:rsid w:val="0009368E"/>
    <w:rsid w:val="00094231"/>
    <w:rsid w:val="00094FFE"/>
    <w:rsid w:val="00095B5D"/>
    <w:rsid w:val="000972CF"/>
    <w:rsid w:val="000A3A95"/>
    <w:rsid w:val="000A3BC4"/>
    <w:rsid w:val="000A6AD4"/>
    <w:rsid w:val="000A6C4A"/>
    <w:rsid w:val="000A7DE0"/>
    <w:rsid w:val="000B0625"/>
    <w:rsid w:val="000B25B2"/>
    <w:rsid w:val="000B31D9"/>
    <w:rsid w:val="000B5B33"/>
    <w:rsid w:val="000C18E6"/>
    <w:rsid w:val="000C587D"/>
    <w:rsid w:val="000C7A77"/>
    <w:rsid w:val="000D009B"/>
    <w:rsid w:val="000D2DDD"/>
    <w:rsid w:val="000D62A0"/>
    <w:rsid w:val="000D7035"/>
    <w:rsid w:val="000E0F70"/>
    <w:rsid w:val="000E15AA"/>
    <w:rsid w:val="000E2943"/>
    <w:rsid w:val="000E33EA"/>
    <w:rsid w:val="000E59E8"/>
    <w:rsid w:val="000E655A"/>
    <w:rsid w:val="000E7047"/>
    <w:rsid w:val="000F3BBC"/>
    <w:rsid w:val="000F43B6"/>
    <w:rsid w:val="000F5CD5"/>
    <w:rsid w:val="000F682C"/>
    <w:rsid w:val="00101951"/>
    <w:rsid w:val="00112AC1"/>
    <w:rsid w:val="0011682F"/>
    <w:rsid w:val="0012396B"/>
    <w:rsid w:val="00124B71"/>
    <w:rsid w:val="001271E9"/>
    <w:rsid w:val="0013257E"/>
    <w:rsid w:val="001367E7"/>
    <w:rsid w:val="001376DA"/>
    <w:rsid w:val="0014426B"/>
    <w:rsid w:val="0015051B"/>
    <w:rsid w:val="00152CF7"/>
    <w:rsid w:val="00154DD4"/>
    <w:rsid w:val="00165F8E"/>
    <w:rsid w:val="00166CE1"/>
    <w:rsid w:val="001751BE"/>
    <w:rsid w:val="00176059"/>
    <w:rsid w:val="001846A3"/>
    <w:rsid w:val="001853B2"/>
    <w:rsid w:val="00185F43"/>
    <w:rsid w:val="00191AF3"/>
    <w:rsid w:val="001A0CEA"/>
    <w:rsid w:val="001A2DFE"/>
    <w:rsid w:val="001A6509"/>
    <w:rsid w:val="001A67EA"/>
    <w:rsid w:val="001B151C"/>
    <w:rsid w:val="001B2996"/>
    <w:rsid w:val="001B2B08"/>
    <w:rsid w:val="001B3D2E"/>
    <w:rsid w:val="001C0696"/>
    <w:rsid w:val="001C1E92"/>
    <w:rsid w:val="001C29B3"/>
    <w:rsid w:val="001C3BE2"/>
    <w:rsid w:val="001C462B"/>
    <w:rsid w:val="001C7324"/>
    <w:rsid w:val="001C7F6A"/>
    <w:rsid w:val="001D11FD"/>
    <w:rsid w:val="001D44EA"/>
    <w:rsid w:val="001D7261"/>
    <w:rsid w:val="001E0856"/>
    <w:rsid w:val="001E755A"/>
    <w:rsid w:val="001F0025"/>
    <w:rsid w:val="001F2D92"/>
    <w:rsid w:val="001F4650"/>
    <w:rsid w:val="001F6310"/>
    <w:rsid w:val="0020454F"/>
    <w:rsid w:val="00207A59"/>
    <w:rsid w:val="002117C8"/>
    <w:rsid w:val="0021501A"/>
    <w:rsid w:val="002158F7"/>
    <w:rsid w:val="0021617B"/>
    <w:rsid w:val="002262B3"/>
    <w:rsid w:val="00227E1A"/>
    <w:rsid w:val="00232A5A"/>
    <w:rsid w:val="00232CED"/>
    <w:rsid w:val="002347D0"/>
    <w:rsid w:val="0024036E"/>
    <w:rsid w:val="00241D6A"/>
    <w:rsid w:val="0024634C"/>
    <w:rsid w:val="00250D21"/>
    <w:rsid w:val="00264D17"/>
    <w:rsid w:val="00265A06"/>
    <w:rsid w:val="00267E9B"/>
    <w:rsid w:val="00267F38"/>
    <w:rsid w:val="00270FFD"/>
    <w:rsid w:val="00271C5E"/>
    <w:rsid w:val="0027266C"/>
    <w:rsid w:val="00273E13"/>
    <w:rsid w:val="002753E9"/>
    <w:rsid w:val="0028039D"/>
    <w:rsid w:val="00280773"/>
    <w:rsid w:val="002815A7"/>
    <w:rsid w:val="002818E2"/>
    <w:rsid w:val="00285FC8"/>
    <w:rsid w:val="00285FCA"/>
    <w:rsid w:val="00292E93"/>
    <w:rsid w:val="002944A4"/>
    <w:rsid w:val="0029541F"/>
    <w:rsid w:val="002A14DC"/>
    <w:rsid w:val="002A1C66"/>
    <w:rsid w:val="002A50A2"/>
    <w:rsid w:val="002A66A0"/>
    <w:rsid w:val="002A777B"/>
    <w:rsid w:val="002B35E0"/>
    <w:rsid w:val="002B67C4"/>
    <w:rsid w:val="002B79BC"/>
    <w:rsid w:val="002C0B3C"/>
    <w:rsid w:val="002C0D19"/>
    <w:rsid w:val="002C362B"/>
    <w:rsid w:val="002C45B8"/>
    <w:rsid w:val="002C5CC6"/>
    <w:rsid w:val="002C5D40"/>
    <w:rsid w:val="002D108F"/>
    <w:rsid w:val="002D366A"/>
    <w:rsid w:val="002D4F07"/>
    <w:rsid w:val="002D56A3"/>
    <w:rsid w:val="002D7C97"/>
    <w:rsid w:val="002E1112"/>
    <w:rsid w:val="002E184F"/>
    <w:rsid w:val="002E1A17"/>
    <w:rsid w:val="002E1DB8"/>
    <w:rsid w:val="002E1F02"/>
    <w:rsid w:val="002E322E"/>
    <w:rsid w:val="002E436A"/>
    <w:rsid w:val="002E46A7"/>
    <w:rsid w:val="002E6002"/>
    <w:rsid w:val="002E639E"/>
    <w:rsid w:val="002F092B"/>
    <w:rsid w:val="003025FB"/>
    <w:rsid w:val="00305CFB"/>
    <w:rsid w:val="00306CC7"/>
    <w:rsid w:val="00310263"/>
    <w:rsid w:val="00313203"/>
    <w:rsid w:val="00316AD1"/>
    <w:rsid w:val="00320BCF"/>
    <w:rsid w:val="003223C0"/>
    <w:rsid w:val="00322CBA"/>
    <w:rsid w:val="00323B98"/>
    <w:rsid w:val="00324749"/>
    <w:rsid w:val="00327360"/>
    <w:rsid w:val="0032791F"/>
    <w:rsid w:val="00330582"/>
    <w:rsid w:val="0033088B"/>
    <w:rsid w:val="003442DC"/>
    <w:rsid w:val="0034473A"/>
    <w:rsid w:val="00344D5B"/>
    <w:rsid w:val="00351269"/>
    <w:rsid w:val="00351F67"/>
    <w:rsid w:val="00353B22"/>
    <w:rsid w:val="0035423B"/>
    <w:rsid w:val="0035591E"/>
    <w:rsid w:val="0035607A"/>
    <w:rsid w:val="0035744B"/>
    <w:rsid w:val="00364BDA"/>
    <w:rsid w:val="0036696A"/>
    <w:rsid w:val="00370C11"/>
    <w:rsid w:val="00376C5A"/>
    <w:rsid w:val="00384775"/>
    <w:rsid w:val="003871A7"/>
    <w:rsid w:val="00397F90"/>
    <w:rsid w:val="003A17C9"/>
    <w:rsid w:val="003A1FF2"/>
    <w:rsid w:val="003A368B"/>
    <w:rsid w:val="003A6985"/>
    <w:rsid w:val="003B3022"/>
    <w:rsid w:val="003B73F0"/>
    <w:rsid w:val="003B79AC"/>
    <w:rsid w:val="003C17B9"/>
    <w:rsid w:val="003C30E2"/>
    <w:rsid w:val="003C340E"/>
    <w:rsid w:val="003C404F"/>
    <w:rsid w:val="003D1C1C"/>
    <w:rsid w:val="003D2279"/>
    <w:rsid w:val="003D57B1"/>
    <w:rsid w:val="003E2122"/>
    <w:rsid w:val="003E3303"/>
    <w:rsid w:val="003E68E7"/>
    <w:rsid w:val="003F11B0"/>
    <w:rsid w:val="003F2ACE"/>
    <w:rsid w:val="003F3B8D"/>
    <w:rsid w:val="003F44ED"/>
    <w:rsid w:val="004021EF"/>
    <w:rsid w:val="00403AD9"/>
    <w:rsid w:val="004041A8"/>
    <w:rsid w:val="00411396"/>
    <w:rsid w:val="00416B26"/>
    <w:rsid w:val="00417E27"/>
    <w:rsid w:val="004246BE"/>
    <w:rsid w:val="00424796"/>
    <w:rsid w:val="00433A78"/>
    <w:rsid w:val="00435ECB"/>
    <w:rsid w:val="00436CCB"/>
    <w:rsid w:val="00444D68"/>
    <w:rsid w:val="004460B3"/>
    <w:rsid w:val="00450686"/>
    <w:rsid w:val="004529F2"/>
    <w:rsid w:val="00455A35"/>
    <w:rsid w:val="0046020D"/>
    <w:rsid w:val="00460A11"/>
    <w:rsid w:val="00460D1E"/>
    <w:rsid w:val="00461679"/>
    <w:rsid w:val="00464A32"/>
    <w:rsid w:val="00465EE0"/>
    <w:rsid w:val="0046703F"/>
    <w:rsid w:val="00476EB4"/>
    <w:rsid w:val="00481241"/>
    <w:rsid w:val="00481CF1"/>
    <w:rsid w:val="0048476B"/>
    <w:rsid w:val="004862EA"/>
    <w:rsid w:val="00487087"/>
    <w:rsid w:val="00494554"/>
    <w:rsid w:val="00495104"/>
    <w:rsid w:val="00496AF1"/>
    <w:rsid w:val="004A0709"/>
    <w:rsid w:val="004A7038"/>
    <w:rsid w:val="004B1944"/>
    <w:rsid w:val="004B1F6D"/>
    <w:rsid w:val="004C2F31"/>
    <w:rsid w:val="004C78C2"/>
    <w:rsid w:val="004D0DC4"/>
    <w:rsid w:val="004E0146"/>
    <w:rsid w:val="004E1054"/>
    <w:rsid w:val="004E17E0"/>
    <w:rsid w:val="004E2D2A"/>
    <w:rsid w:val="004E7FCC"/>
    <w:rsid w:val="004F1E43"/>
    <w:rsid w:val="004F4C3E"/>
    <w:rsid w:val="004F6263"/>
    <w:rsid w:val="004F72FD"/>
    <w:rsid w:val="005028AA"/>
    <w:rsid w:val="005039D0"/>
    <w:rsid w:val="005057A5"/>
    <w:rsid w:val="00506337"/>
    <w:rsid w:val="00506923"/>
    <w:rsid w:val="00507524"/>
    <w:rsid w:val="00507719"/>
    <w:rsid w:val="00513AEC"/>
    <w:rsid w:val="005145AD"/>
    <w:rsid w:val="00514ABD"/>
    <w:rsid w:val="005230FD"/>
    <w:rsid w:val="00523281"/>
    <w:rsid w:val="0052398F"/>
    <w:rsid w:val="0052516C"/>
    <w:rsid w:val="005251CF"/>
    <w:rsid w:val="00526B20"/>
    <w:rsid w:val="00530E23"/>
    <w:rsid w:val="0053268D"/>
    <w:rsid w:val="0053483B"/>
    <w:rsid w:val="00534901"/>
    <w:rsid w:val="0053556F"/>
    <w:rsid w:val="0053572F"/>
    <w:rsid w:val="00537712"/>
    <w:rsid w:val="0054273C"/>
    <w:rsid w:val="00545A6D"/>
    <w:rsid w:val="005462B8"/>
    <w:rsid w:val="00547487"/>
    <w:rsid w:val="00554013"/>
    <w:rsid w:val="005565AB"/>
    <w:rsid w:val="005566EB"/>
    <w:rsid w:val="00556B2D"/>
    <w:rsid w:val="005570AE"/>
    <w:rsid w:val="0056104A"/>
    <w:rsid w:val="0056165C"/>
    <w:rsid w:val="00561FF6"/>
    <w:rsid w:val="00562DDA"/>
    <w:rsid w:val="00563ED6"/>
    <w:rsid w:val="00565CE9"/>
    <w:rsid w:val="00566093"/>
    <w:rsid w:val="0056641F"/>
    <w:rsid w:val="00576049"/>
    <w:rsid w:val="005803CF"/>
    <w:rsid w:val="00584891"/>
    <w:rsid w:val="0058778B"/>
    <w:rsid w:val="00592E01"/>
    <w:rsid w:val="00592FFE"/>
    <w:rsid w:val="0059332E"/>
    <w:rsid w:val="005A3035"/>
    <w:rsid w:val="005A5809"/>
    <w:rsid w:val="005A6077"/>
    <w:rsid w:val="005A73C1"/>
    <w:rsid w:val="005B0466"/>
    <w:rsid w:val="005B2BDF"/>
    <w:rsid w:val="005B7A7A"/>
    <w:rsid w:val="005C11DC"/>
    <w:rsid w:val="005C44DC"/>
    <w:rsid w:val="005C566F"/>
    <w:rsid w:val="005C5BCC"/>
    <w:rsid w:val="005D3839"/>
    <w:rsid w:val="005D5784"/>
    <w:rsid w:val="005D7B30"/>
    <w:rsid w:val="005E0A56"/>
    <w:rsid w:val="005E1310"/>
    <w:rsid w:val="005E49FC"/>
    <w:rsid w:val="005E7A36"/>
    <w:rsid w:val="005F08CF"/>
    <w:rsid w:val="005F34F2"/>
    <w:rsid w:val="00604E08"/>
    <w:rsid w:val="0060565D"/>
    <w:rsid w:val="0060677C"/>
    <w:rsid w:val="00611206"/>
    <w:rsid w:val="00611F3A"/>
    <w:rsid w:val="00614606"/>
    <w:rsid w:val="00614847"/>
    <w:rsid w:val="00617674"/>
    <w:rsid w:val="0061784A"/>
    <w:rsid w:val="00620F66"/>
    <w:rsid w:val="00621A8B"/>
    <w:rsid w:val="006265AE"/>
    <w:rsid w:val="00632236"/>
    <w:rsid w:val="00633A91"/>
    <w:rsid w:val="006344AC"/>
    <w:rsid w:val="0063677B"/>
    <w:rsid w:val="0063775A"/>
    <w:rsid w:val="00645D99"/>
    <w:rsid w:val="006540E5"/>
    <w:rsid w:val="006549CC"/>
    <w:rsid w:val="006602E5"/>
    <w:rsid w:val="00662F0F"/>
    <w:rsid w:val="006649D6"/>
    <w:rsid w:val="00665913"/>
    <w:rsid w:val="00665AB2"/>
    <w:rsid w:val="006671E0"/>
    <w:rsid w:val="00667559"/>
    <w:rsid w:val="0067106A"/>
    <w:rsid w:val="006716F4"/>
    <w:rsid w:val="00682757"/>
    <w:rsid w:val="00682D85"/>
    <w:rsid w:val="006913C1"/>
    <w:rsid w:val="00692E5C"/>
    <w:rsid w:val="006957FA"/>
    <w:rsid w:val="00697BF0"/>
    <w:rsid w:val="006A4D78"/>
    <w:rsid w:val="006B1979"/>
    <w:rsid w:val="006B31A1"/>
    <w:rsid w:val="006B5423"/>
    <w:rsid w:val="006C0178"/>
    <w:rsid w:val="006C051A"/>
    <w:rsid w:val="006C0F44"/>
    <w:rsid w:val="006C4612"/>
    <w:rsid w:val="006C5A65"/>
    <w:rsid w:val="006D1333"/>
    <w:rsid w:val="006D4E89"/>
    <w:rsid w:val="006D5CB1"/>
    <w:rsid w:val="006E1434"/>
    <w:rsid w:val="006E1C19"/>
    <w:rsid w:val="006E2106"/>
    <w:rsid w:val="006E67EE"/>
    <w:rsid w:val="006F5689"/>
    <w:rsid w:val="006F767D"/>
    <w:rsid w:val="00700E3F"/>
    <w:rsid w:val="00704668"/>
    <w:rsid w:val="00706F71"/>
    <w:rsid w:val="00707C7B"/>
    <w:rsid w:val="00711A66"/>
    <w:rsid w:val="00711F8B"/>
    <w:rsid w:val="0071571C"/>
    <w:rsid w:val="00724304"/>
    <w:rsid w:val="007259A8"/>
    <w:rsid w:val="00727064"/>
    <w:rsid w:val="00730276"/>
    <w:rsid w:val="00730556"/>
    <w:rsid w:val="00731AAB"/>
    <w:rsid w:val="00732D61"/>
    <w:rsid w:val="00737028"/>
    <w:rsid w:val="00737F63"/>
    <w:rsid w:val="007441EE"/>
    <w:rsid w:val="00745DAC"/>
    <w:rsid w:val="00746F9D"/>
    <w:rsid w:val="00762639"/>
    <w:rsid w:val="00763606"/>
    <w:rsid w:val="00763D45"/>
    <w:rsid w:val="007660E2"/>
    <w:rsid w:val="00771B9F"/>
    <w:rsid w:val="0077223B"/>
    <w:rsid w:val="00773248"/>
    <w:rsid w:val="007769B3"/>
    <w:rsid w:val="0077799D"/>
    <w:rsid w:val="00783048"/>
    <w:rsid w:val="00785ADE"/>
    <w:rsid w:val="00787ECA"/>
    <w:rsid w:val="00792CB6"/>
    <w:rsid w:val="00795319"/>
    <w:rsid w:val="007956B8"/>
    <w:rsid w:val="007A05A9"/>
    <w:rsid w:val="007A07CB"/>
    <w:rsid w:val="007A07CE"/>
    <w:rsid w:val="007A0BB1"/>
    <w:rsid w:val="007A16F9"/>
    <w:rsid w:val="007A5023"/>
    <w:rsid w:val="007A5D37"/>
    <w:rsid w:val="007B19A0"/>
    <w:rsid w:val="007B5792"/>
    <w:rsid w:val="007B63F8"/>
    <w:rsid w:val="007D0B45"/>
    <w:rsid w:val="007D1548"/>
    <w:rsid w:val="007D2966"/>
    <w:rsid w:val="007D63DA"/>
    <w:rsid w:val="007D6579"/>
    <w:rsid w:val="007D6849"/>
    <w:rsid w:val="007F34AD"/>
    <w:rsid w:val="007F6957"/>
    <w:rsid w:val="008038EF"/>
    <w:rsid w:val="008061F0"/>
    <w:rsid w:val="00806B3B"/>
    <w:rsid w:val="00810D0A"/>
    <w:rsid w:val="00811686"/>
    <w:rsid w:val="00815FB8"/>
    <w:rsid w:val="008176F7"/>
    <w:rsid w:val="00824D4A"/>
    <w:rsid w:val="008345E7"/>
    <w:rsid w:val="00837EEF"/>
    <w:rsid w:val="0084161F"/>
    <w:rsid w:val="00842895"/>
    <w:rsid w:val="00843C1A"/>
    <w:rsid w:val="00843DD1"/>
    <w:rsid w:val="00851825"/>
    <w:rsid w:val="00851B33"/>
    <w:rsid w:val="00856C46"/>
    <w:rsid w:val="0085760A"/>
    <w:rsid w:val="0086060C"/>
    <w:rsid w:val="00861688"/>
    <w:rsid w:val="00864CD0"/>
    <w:rsid w:val="00865CB5"/>
    <w:rsid w:val="00866669"/>
    <w:rsid w:val="00867C0E"/>
    <w:rsid w:val="00867D43"/>
    <w:rsid w:val="00871418"/>
    <w:rsid w:val="008734B4"/>
    <w:rsid w:val="00875A06"/>
    <w:rsid w:val="00876E28"/>
    <w:rsid w:val="00881AA3"/>
    <w:rsid w:val="00881DEB"/>
    <w:rsid w:val="008839E2"/>
    <w:rsid w:val="00884CAA"/>
    <w:rsid w:val="00892351"/>
    <w:rsid w:val="008936F0"/>
    <w:rsid w:val="00897E17"/>
    <w:rsid w:val="008A0702"/>
    <w:rsid w:val="008A44F9"/>
    <w:rsid w:val="008A63A7"/>
    <w:rsid w:val="008A7329"/>
    <w:rsid w:val="008B2E2A"/>
    <w:rsid w:val="008B346D"/>
    <w:rsid w:val="008B3DEB"/>
    <w:rsid w:val="008B4AD4"/>
    <w:rsid w:val="008C0ED2"/>
    <w:rsid w:val="008C2957"/>
    <w:rsid w:val="008C4E10"/>
    <w:rsid w:val="008C658C"/>
    <w:rsid w:val="008C732F"/>
    <w:rsid w:val="008C7B17"/>
    <w:rsid w:val="008D08CE"/>
    <w:rsid w:val="008D0F3E"/>
    <w:rsid w:val="008D1D05"/>
    <w:rsid w:val="008D6314"/>
    <w:rsid w:val="008D65F4"/>
    <w:rsid w:val="008E1D82"/>
    <w:rsid w:val="008E39B0"/>
    <w:rsid w:val="008E5AF7"/>
    <w:rsid w:val="008E643D"/>
    <w:rsid w:val="008F5562"/>
    <w:rsid w:val="008F683B"/>
    <w:rsid w:val="009009A3"/>
    <w:rsid w:val="009011F7"/>
    <w:rsid w:val="00901775"/>
    <w:rsid w:val="009038A3"/>
    <w:rsid w:val="00904B07"/>
    <w:rsid w:val="00904C3F"/>
    <w:rsid w:val="00905286"/>
    <w:rsid w:val="009110D3"/>
    <w:rsid w:val="0091218D"/>
    <w:rsid w:val="009138C8"/>
    <w:rsid w:val="0091638B"/>
    <w:rsid w:val="00916A40"/>
    <w:rsid w:val="00916BD8"/>
    <w:rsid w:val="00921D1C"/>
    <w:rsid w:val="00930426"/>
    <w:rsid w:val="009325EC"/>
    <w:rsid w:val="009346DF"/>
    <w:rsid w:val="00937731"/>
    <w:rsid w:val="00940222"/>
    <w:rsid w:val="00945893"/>
    <w:rsid w:val="00945E08"/>
    <w:rsid w:val="009517FF"/>
    <w:rsid w:val="00953C30"/>
    <w:rsid w:val="00954CDF"/>
    <w:rsid w:val="00963157"/>
    <w:rsid w:val="009738FE"/>
    <w:rsid w:val="00973DB8"/>
    <w:rsid w:val="0097560B"/>
    <w:rsid w:val="00975DCE"/>
    <w:rsid w:val="00975F2C"/>
    <w:rsid w:val="00981A65"/>
    <w:rsid w:val="00981F22"/>
    <w:rsid w:val="009848F7"/>
    <w:rsid w:val="009850C0"/>
    <w:rsid w:val="009922F3"/>
    <w:rsid w:val="009923D8"/>
    <w:rsid w:val="00992F48"/>
    <w:rsid w:val="009A2B96"/>
    <w:rsid w:val="009A4B16"/>
    <w:rsid w:val="009A4C33"/>
    <w:rsid w:val="009A6C51"/>
    <w:rsid w:val="009B1E47"/>
    <w:rsid w:val="009B2C36"/>
    <w:rsid w:val="009B2FC0"/>
    <w:rsid w:val="009B4DE2"/>
    <w:rsid w:val="009B5665"/>
    <w:rsid w:val="009B6069"/>
    <w:rsid w:val="009C1315"/>
    <w:rsid w:val="009C230F"/>
    <w:rsid w:val="009C62AF"/>
    <w:rsid w:val="009C7321"/>
    <w:rsid w:val="009D0997"/>
    <w:rsid w:val="009D2C1F"/>
    <w:rsid w:val="009D54EE"/>
    <w:rsid w:val="009D5BC7"/>
    <w:rsid w:val="009E1721"/>
    <w:rsid w:val="009E1CEC"/>
    <w:rsid w:val="009F08CB"/>
    <w:rsid w:val="009F37A0"/>
    <w:rsid w:val="009F6F1B"/>
    <w:rsid w:val="00A015EE"/>
    <w:rsid w:val="00A0367C"/>
    <w:rsid w:val="00A05160"/>
    <w:rsid w:val="00A07811"/>
    <w:rsid w:val="00A203C6"/>
    <w:rsid w:val="00A221A5"/>
    <w:rsid w:val="00A22BA9"/>
    <w:rsid w:val="00A30EB4"/>
    <w:rsid w:val="00A3501B"/>
    <w:rsid w:val="00A36018"/>
    <w:rsid w:val="00A37926"/>
    <w:rsid w:val="00A37AC9"/>
    <w:rsid w:val="00A42F25"/>
    <w:rsid w:val="00A4431B"/>
    <w:rsid w:val="00A46419"/>
    <w:rsid w:val="00A5104F"/>
    <w:rsid w:val="00A562C3"/>
    <w:rsid w:val="00A56C16"/>
    <w:rsid w:val="00A6280C"/>
    <w:rsid w:val="00A62BBD"/>
    <w:rsid w:val="00A63284"/>
    <w:rsid w:val="00A66FB7"/>
    <w:rsid w:val="00A72ED0"/>
    <w:rsid w:val="00A822D6"/>
    <w:rsid w:val="00A8296E"/>
    <w:rsid w:val="00A836F2"/>
    <w:rsid w:val="00A85D97"/>
    <w:rsid w:val="00A94D35"/>
    <w:rsid w:val="00A95176"/>
    <w:rsid w:val="00A9592F"/>
    <w:rsid w:val="00A96036"/>
    <w:rsid w:val="00A96447"/>
    <w:rsid w:val="00A96907"/>
    <w:rsid w:val="00AA0FDC"/>
    <w:rsid w:val="00AA192A"/>
    <w:rsid w:val="00AA58FB"/>
    <w:rsid w:val="00AA5DFC"/>
    <w:rsid w:val="00AB0C62"/>
    <w:rsid w:val="00AB1322"/>
    <w:rsid w:val="00AB19DB"/>
    <w:rsid w:val="00AB21AD"/>
    <w:rsid w:val="00AC091E"/>
    <w:rsid w:val="00AC2244"/>
    <w:rsid w:val="00AC2AAE"/>
    <w:rsid w:val="00AD3E9F"/>
    <w:rsid w:val="00AD4799"/>
    <w:rsid w:val="00AD797A"/>
    <w:rsid w:val="00AD79C7"/>
    <w:rsid w:val="00AE7D03"/>
    <w:rsid w:val="00B0095D"/>
    <w:rsid w:val="00B05E26"/>
    <w:rsid w:val="00B0674D"/>
    <w:rsid w:val="00B105C4"/>
    <w:rsid w:val="00B1149B"/>
    <w:rsid w:val="00B11D38"/>
    <w:rsid w:val="00B1231C"/>
    <w:rsid w:val="00B150A5"/>
    <w:rsid w:val="00B17373"/>
    <w:rsid w:val="00B21303"/>
    <w:rsid w:val="00B27CA7"/>
    <w:rsid w:val="00B31E48"/>
    <w:rsid w:val="00B40090"/>
    <w:rsid w:val="00B417C0"/>
    <w:rsid w:val="00B41E5D"/>
    <w:rsid w:val="00B43024"/>
    <w:rsid w:val="00B45883"/>
    <w:rsid w:val="00B47309"/>
    <w:rsid w:val="00B503BA"/>
    <w:rsid w:val="00B528CD"/>
    <w:rsid w:val="00B52E99"/>
    <w:rsid w:val="00B53BF4"/>
    <w:rsid w:val="00B56CC9"/>
    <w:rsid w:val="00B6272C"/>
    <w:rsid w:val="00B65ABE"/>
    <w:rsid w:val="00B667F9"/>
    <w:rsid w:val="00B71E93"/>
    <w:rsid w:val="00B72824"/>
    <w:rsid w:val="00B76726"/>
    <w:rsid w:val="00B8169E"/>
    <w:rsid w:val="00B910E6"/>
    <w:rsid w:val="00B97ECE"/>
    <w:rsid w:val="00BA2F50"/>
    <w:rsid w:val="00BA4149"/>
    <w:rsid w:val="00BB06BA"/>
    <w:rsid w:val="00BB08C5"/>
    <w:rsid w:val="00BC218F"/>
    <w:rsid w:val="00BC2BBE"/>
    <w:rsid w:val="00BC41E4"/>
    <w:rsid w:val="00BC4426"/>
    <w:rsid w:val="00BC6F50"/>
    <w:rsid w:val="00BD1750"/>
    <w:rsid w:val="00BD2BB1"/>
    <w:rsid w:val="00BE464A"/>
    <w:rsid w:val="00BE4FBD"/>
    <w:rsid w:val="00BE5651"/>
    <w:rsid w:val="00BE626B"/>
    <w:rsid w:val="00BE6D26"/>
    <w:rsid w:val="00BE7F74"/>
    <w:rsid w:val="00BF1B0C"/>
    <w:rsid w:val="00BF2A72"/>
    <w:rsid w:val="00BF3C60"/>
    <w:rsid w:val="00BF3D97"/>
    <w:rsid w:val="00BF3FC0"/>
    <w:rsid w:val="00BF4DF5"/>
    <w:rsid w:val="00BF7F60"/>
    <w:rsid w:val="00C00F2A"/>
    <w:rsid w:val="00C03A8D"/>
    <w:rsid w:val="00C107F1"/>
    <w:rsid w:val="00C10C93"/>
    <w:rsid w:val="00C11DF9"/>
    <w:rsid w:val="00C216DE"/>
    <w:rsid w:val="00C21C36"/>
    <w:rsid w:val="00C25376"/>
    <w:rsid w:val="00C33F5F"/>
    <w:rsid w:val="00C35864"/>
    <w:rsid w:val="00C412C4"/>
    <w:rsid w:val="00C50B03"/>
    <w:rsid w:val="00C53C1C"/>
    <w:rsid w:val="00C55ECD"/>
    <w:rsid w:val="00C60A94"/>
    <w:rsid w:val="00C63531"/>
    <w:rsid w:val="00C67C7C"/>
    <w:rsid w:val="00C70C28"/>
    <w:rsid w:val="00C70EC4"/>
    <w:rsid w:val="00C70ED5"/>
    <w:rsid w:val="00C70F60"/>
    <w:rsid w:val="00C76C1B"/>
    <w:rsid w:val="00C915B5"/>
    <w:rsid w:val="00C93020"/>
    <w:rsid w:val="00C95072"/>
    <w:rsid w:val="00C95872"/>
    <w:rsid w:val="00C966DA"/>
    <w:rsid w:val="00C96DE3"/>
    <w:rsid w:val="00C96FB2"/>
    <w:rsid w:val="00CA193E"/>
    <w:rsid w:val="00CA4B96"/>
    <w:rsid w:val="00CA5632"/>
    <w:rsid w:val="00CB0F72"/>
    <w:rsid w:val="00CB3413"/>
    <w:rsid w:val="00CB42D5"/>
    <w:rsid w:val="00CB6473"/>
    <w:rsid w:val="00CC1813"/>
    <w:rsid w:val="00CC4B23"/>
    <w:rsid w:val="00CC5C36"/>
    <w:rsid w:val="00CD3828"/>
    <w:rsid w:val="00CE3CD9"/>
    <w:rsid w:val="00CF026B"/>
    <w:rsid w:val="00CF084F"/>
    <w:rsid w:val="00CF0DF4"/>
    <w:rsid w:val="00CF396A"/>
    <w:rsid w:val="00CF553A"/>
    <w:rsid w:val="00D056C0"/>
    <w:rsid w:val="00D05BDB"/>
    <w:rsid w:val="00D06E29"/>
    <w:rsid w:val="00D10801"/>
    <w:rsid w:val="00D15B0D"/>
    <w:rsid w:val="00D20A84"/>
    <w:rsid w:val="00D21249"/>
    <w:rsid w:val="00D21B7A"/>
    <w:rsid w:val="00D23A03"/>
    <w:rsid w:val="00D250B1"/>
    <w:rsid w:val="00D2748F"/>
    <w:rsid w:val="00D37D2D"/>
    <w:rsid w:val="00D44DC3"/>
    <w:rsid w:val="00D46A80"/>
    <w:rsid w:val="00D50AC4"/>
    <w:rsid w:val="00D566D8"/>
    <w:rsid w:val="00D63CDA"/>
    <w:rsid w:val="00D63CEA"/>
    <w:rsid w:val="00D64E0A"/>
    <w:rsid w:val="00D67F6D"/>
    <w:rsid w:val="00D72131"/>
    <w:rsid w:val="00D72E68"/>
    <w:rsid w:val="00D73BD5"/>
    <w:rsid w:val="00D77350"/>
    <w:rsid w:val="00D808EC"/>
    <w:rsid w:val="00D82B37"/>
    <w:rsid w:val="00D83124"/>
    <w:rsid w:val="00D83161"/>
    <w:rsid w:val="00D87E60"/>
    <w:rsid w:val="00D924E8"/>
    <w:rsid w:val="00DA1CEC"/>
    <w:rsid w:val="00DA3C2F"/>
    <w:rsid w:val="00DA7135"/>
    <w:rsid w:val="00DB4BA1"/>
    <w:rsid w:val="00DB5AF7"/>
    <w:rsid w:val="00DB722C"/>
    <w:rsid w:val="00DC3934"/>
    <w:rsid w:val="00DC4F00"/>
    <w:rsid w:val="00DD1FE9"/>
    <w:rsid w:val="00DD2350"/>
    <w:rsid w:val="00DD3647"/>
    <w:rsid w:val="00DD4E0F"/>
    <w:rsid w:val="00DE1DD3"/>
    <w:rsid w:val="00DE41D4"/>
    <w:rsid w:val="00DE4280"/>
    <w:rsid w:val="00DE59F9"/>
    <w:rsid w:val="00DE5E61"/>
    <w:rsid w:val="00DE60BC"/>
    <w:rsid w:val="00DE6AE9"/>
    <w:rsid w:val="00DE7515"/>
    <w:rsid w:val="00DF292C"/>
    <w:rsid w:val="00E00752"/>
    <w:rsid w:val="00E00A30"/>
    <w:rsid w:val="00E075F4"/>
    <w:rsid w:val="00E14A36"/>
    <w:rsid w:val="00E15D45"/>
    <w:rsid w:val="00E2443F"/>
    <w:rsid w:val="00E32CC6"/>
    <w:rsid w:val="00E35908"/>
    <w:rsid w:val="00E36E25"/>
    <w:rsid w:val="00E372FE"/>
    <w:rsid w:val="00E4443D"/>
    <w:rsid w:val="00E44DE8"/>
    <w:rsid w:val="00E463BB"/>
    <w:rsid w:val="00E50561"/>
    <w:rsid w:val="00E5572C"/>
    <w:rsid w:val="00E577D8"/>
    <w:rsid w:val="00E62628"/>
    <w:rsid w:val="00E63BA4"/>
    <w:rsid w:val="00E717D7"/>
    <w:rsid w:val="00E721A3"/>
    <w:rsid w:val="00E72479"/>
    <w:rsid w:val="00E744BB"/>
    <w:rsid w:val="00E804B9"/>
    <w:rsid w:val="00E826C6"/>
    <w:rsid w:val="00E84356"/>
    <w:rsid w:val="00E84E71"/>
    <w:rsid w:val="00E85944"/>
    <w:rsid w:val="00E90AC1"/>
    <w:rsid w:val="00E91B74"/>
    <w:rsid w:val="00E936C9"/>
    <w:rsid w:val="00E938BB"/>
    <w:rsid w:val="00EA2E71"/>
    <w:rsid w:val="00EA48C9"/>
    <w:rsid w:val="00EB0AE2"/>
    <w:rsid w:val="00EB1026"/>
    <w:rsid w:val="00EB61CF"/>
    <w:rsid w:val="00EC12F2"/>
    <w:rsid w:val="00ED7A0A"/>
    <w:rsid w:val="00EE34E4"/>
    <w:rsid w:val="00EE484A"/>
    <w:rsid w:val="00EE6574"/>
    <w:rsid w:val="00EF0A44"/>
    <w:rsid w:val="00EF1B16"/>
    <w:rsid w:val="00EF3769"/>
    <w:rsid w:val="00EF6498"/>
    <w:rsid w:val="00EF6B0F"/>
    <w:rsid w:val="00EF7E6B"/>
    <w:rsid w:val="00F01CF1"/>
    <w:rsid w:val="00F06587"/>
    <w:rsid w:val="00F170A4"/>
    <w:rsid w:val="00F2503B"/>
    <w:rsid w:val="00F254C4"/>
    <w:rsid w:val="00F25A39"/>
    <w:rsid w:val="00F33158"/>
    <w:rsid w:val="00F33562"/>
    <w:rsid w:val="00F36675"/>
    <w:rsid w:val="00F405B4"/>
    <w:rsid w:val="00F4246A"/>
    <w:rsid w:val="00F42527"/>
    <w:rsid w:val="00F448F2"/>
    <w:rsid w:val="00F45AD1"/>
    <w:rsid w:val="00F537D5"/>
    <w:rsid w:val="00F53B22"/>
    <w:rsid w:val="00F61AFF"/>
    <w:rsid w:val="00F649FC"/>
    <w:rsid w:val="00F7017B"/>
    <w:rsid w:val="00F72D22"/>
    <w:rsid w:val="00F778C3"/>
    <w:rsid w:val="00F81D71"/>
    <w:rsid w:val="00F87297"/>
    <w:rsid w:val="00F90A41"/>
    <w:rsid w:val="00F9290A"/>
    <w:rsid w:val="00F971CA"/>
    <w:rsid w:val="00FA1811"/>
    <w:rsid w:val="00FA4463"/>
    <w:rsid w:val="00FA5C13"/>
    <w:rsid w:val="00FA6E4D"/>
    <w:rsid w:val="00FB24B5"/>
    <w:rsid w:val="00FB529E"/>
    <w:rsid w:val="00FB79D5"/>
    <w:rsid w:val="00FC244B"/>
    <w:rsid w:val="00FC293D"/>
    <w:rsid w:val="00FC57AF"/>
    <w:rsid w:val="00FC6677"/>
    <w:rsid w:val="00FD3B90"/>
    <w:rsid w:val="00FD5103"/>
    <w:rsid w:val="00FD6279"/>
    <w:rsid w:val="00FE1FEE"/>
    <w:rsid w:val="00FE2A2B"/>
    <w:rsid w:val="00FE6E8C"/>
    <w:rsid w:val="00FF17ED"/>
    <w:rsid w:val="00FF253B"/>
    <w:rsid w:val="00FF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ight;mso-position-horizontal-relative:margin;v-text-anchor:middle" fillcolor="#9cf" strokecolor="#0072c6">
      <v:fill color="#9cf" color2="none [3212]" angle="-135" focus="100%" type="gradient"/>
      <v:stroke color="#0072c6"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Note Heading"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03"/>
    <w:pPr>
      <w:spacing w:after="200" w:line="276" w:lineRule="auto"/>
    </w:pPr>
    <w:rPr>
      <w:rFonts w:ascii="Times New Roman" w:hAnsi="Times New Roman"/>
      <w:sz w:val="24"/>
      <w:szCs w:val="24"/>
    </w:rPr>
  </w:style>
  <w:style w:type="paragraph" w:styleId="Heading1">
    <w:name w:val="heading 1"/>
    <w:aliases w:val="Heading 1 NYTS Flint"/>
    <w:basedOn w:val="Normal"/>
    <w:next w:val="Normal"/>
    <w:link w:val="Heading1Char"/>
    <w:uiPriority w:val="9"/>
    <w:qFormat/>
    <w:rsid w:val="00563ED6"/>
    <w:pPr>
      <w:keepNext/>
      <w:numPr>
        <w:numId w:val="10"/>
      </w:numPr>
      <w:spacing w:before="240" w:after="60"/>
      <w:ind w:left="1242"/>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5A3035"/>
    <w:pPr>
      <w:keepNext/>
      <w:numPr>
        <w:ilvl w:val="1"/>
        <w:numId w:val="10"/>
      </w:numPr>
      <w:spacing w:before="240" w:after="60"/>
      <w:outlineLvl w:val="1"/>
    </w:pPr>
    <w:rPr>
      <w:rFonts w:ascii="Arial" w:eastAsia="Times New Roman" w:hAnsi="Arial"/>
      <w:b/>
      <w:bCs/>
      <w:iCs/>
      <w:color w:val="0070C0"/>
      <w:szCs w:val="28"/>
    </w:rPr>
  </w:style>
  <w:style w:type="paragraph" w:styleId="Heading3">
    <w:name w:val="heading 3"/>
    <w:basedOn w:val="Normal"/>
    <w:next w:val="Normal"/>
    <w:link w:val="Heading3Char"/>
    <w:uiPriority w:val="9"/>
    <w:unhideWhenUsed/>
    <w:qFormat/>
    <w:rsid w:val="00563ED6"/>
    <w:pPr>
      <w:keepNext/>
      <w:numPr>
        <w:ilvl w:val="2"/>
        <w:numId w:val="10"/>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8B346D"/>
    <w:pPr>
      <w:keepNext/>
      <w:numPr>
        <w:ilvl w:val="3"/>
        <w:numId w:val="10"/>
      </w:numPr>
      <w:spacing w:before="240" w:after="60" w:line="240" w:lineRule="auto"/>
      <w:outlineLvl w:val="3"/>
    </w:pPr>
    <w:rPr>
      <w:rFonts w:eastAsia="Times New Roman"/>
      <w:b/>
      <w:bCs/>
      <w:i/>
      <w:color w:val="548DD4"/>
      <w:szCs w:val="28"/>
    </w:rPr>
  </w:style>
  <w:style w:type="paragraph" w:styleId="Heading5">
    <w:name w:val="heading 5"/>
    <w:basedOn w:val="Normal"/>
    <w:next w:val="Normal"/>
    <w:link w:val="Heading5Char"/>
    <w:unhideWhenUsed/>
    <w:qFormat/>
    <w:rsid w:val="008B346D"/>
    <w:pPr>
      <w:keepNext/>
      <w:keepLines/>
      <w:numPr>
        <w:ilvl w:val="4"/>
        <w:numId w:val="10"/>
      </w:numPr>
      <w:spacing w:before="200" w:after="0" w:line="240" w:lineRule="auto"/>
      <w:outlineLvl w:val="4"/>
    </w:pPr>
    <w:rPr>
      <w:rFonts w:ascii="Cambria" w:eastAsia="Times New Roman" w:hAnsi="Cambria"/>
      <w:color w:val="243F60"/>
      <w:szCs w:val="20"/>
    </w:rPr>
  </w:style>
  <w:style w:type="paragraph" w:styleId="Heading6">
    <w:name w:val="heading 6"/>
    <w:basedOn w:val="Normal"/>
    <w:next w:val="Normal"/>
    <w:link w:val="Heading6Char"/>
    <w:qFormat/>
    <w:rsid w:val="008B346D"/>
    <w:pPr>
      <w:keepNext/>
      <w:numPr>
        <w:ilvl w:val="5"/>
        <w:numId w:val="10"/>
      </w:numPr>
      <w:tabs>
        <w:tab w:val="left" w:pos="0"/>
        <w:tab w:val="left" w:pos="2160"/>
      </w:tabs>
      <w:suppressAutoHyphens/>
      <w:spacing w:after="240" w:line="240" w:lineRule="auto"/>
      <w:jc w:val="center"/>
      <w:outlineLvl w:val="5"/>
    </w:pPr>
    <w:rPr>
      <w:rFonts w:eastAsia="Times New Roman"/>
      <w:b/>
    </w:rPr>
  </w:style>
  <w:style w:type="paragraph" w:styleId="Heading7">
    <w:name w:val="heading 7"/>
    <w:basedOn w:val="Normal"/>
    <w:next w:val="Normal"/>
    <w:link w:val="Heading7Char"/>
    <w:uiPriority w:val="99"/>
    <w:qFormat/>
    <w:rsid w:val="008B346D"/>
    <w:pPr>
      <w:numPr>
        <w:ilvl w:val="6"/>
        <w:numId w:val="10"/>
      </w:numPr>
      <w:spacing w:before="240" w:after="60" w:line="240" w:lineRule="auto"/>
      <w:outlineLvl w:val="6"/>
    </w:pPr>
    <w:rPr>
      <w:rFonts w:eastAsia="Times New Roman"/>
    </w:rPr>
  </w:style>
  <w:style w:type="paragraph" w:styleId="Heading8">
    <w:name w:val="heading 8"/>
    <w:basedOn w:val="Normal"/>
    <w:next w:val="Normal"/>
    <w:link w:val="Heading8Char"/>
    <w:uiPriority w:val="99"/>
    <w:qFormat/>
    <w:rsid w:val="008B346D"/>
    <w:pPr>
      <w:keepNext/>
      <w:numPr>
        <w:ilvl w:val="7"/>
        <w:numId w:val="10"/>
      </w:numPr>
      <w:tabs>
        <w:tab w:val="left" w:pos="0"/>
        <w:tab w:val="left" w:pos="1710"/>
        <w:tab w:val="left" w:pos="2160"/>
      </w:tabs>
      <w:suppressAutoHyphens/>
      <w:spacing w:after="240" w:line="240" w:lineRule="auto"/>
      <w:jc w:val="both"/>
      <w:outlineLvl w:val="7"/>
    </w:pPr>
    <w:rPr>
      <w:rFonts w:eastAsia="Times New Roman"/>
      <w:spacing w:val="-3"/>
      <w:szCs w:val="20"/>
    </w:rPr>
  </w:style>
  <w:style w:type="paragraph" w:styleId="Heading9">
    <w:name w:val="heading 9"/>
    <w:basedOn w:val="Normal"/>
    <w:next w:val="Normal"/>
    <w:link w:val="Heading9Char"/>
    <w:uiPriority w:val="9"/>
    <w:semiHidden/>
    <w:unhideWhenUsed/>
    <w:qFormat/>
    <w:rsid w:val="0020454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556B2D"/>
    <w:pPr>
      <w:tabs>
        <w:tab w:val="center" w:pos="4680"/>
        <w:tab w:val="right" w:pos="9360"/>
      </w:tabs>
      <w:jc w:val="right"/>
    </w:pPr>
    <w:rPr>
      <w:rFonts w:ascii="Arial Narrow" w:hAnsi="Arial Narrow"/>
      <w:i/>
      <w:color w:val="0072C6"/>
      <w:sz w:val="16"/>
      <w:szCs w:val="22"/>
    </w:rPr>
  </w:style>
  <w:style w:type="character" w:customStyle="1" w:styleId="HeaderChar">
    <w:name w:val="Header Char"/>
    <w:link w:val="Header"/>
    <w:uiPriority w:val="99"/>
    <w:rsid w:val="00556B2D"/>
    <w:rPr>
      <w:rFonts w:ascii="Arial Narrow" w:hAnsi="Arial Narrow"/>
      <w:i/>
      <w:color w:val="0072C6"/>
      <w:sz w:val="16"/>
    </w:rPr>
  </w:style>
  <w:style w:type="paragraph" w:styleId="BalloonText">
    <w:name w:val="Balloon Text"/>
    <w:basedOn w:val="Normal"/>
    <w:link w:val="BalloonTextChar"/>
    <w:uiPriority w:val="99"/>
    <w:unhideWhenUsed/>
    <w:rsid w:val="00556B2D"/>
    <w:pPr>
      <w:spacing w:after="0" w:line="240" w:lineRule="auto"/>
    </w:pPr>
    <w:rPr>
      <w:rFonts w:ascii="Tahoma" w:hAnsi="Tahoma" w:cs="Tahoma"/>
      <w:sz w:val="16"/>
      <w:szCs w:val="16"/>
    </w:rPr>
  </w:style>
  <w:style w:type="character" w:customStyle="1" w:styleId="BalloonTextChar">
    <w:name w:val="Balloon Text Char"/>
    <w:link w:val="BalloonText"/>
    <w:uiPriority w:val="99"/>
    <w:rsid w:val="00556B2D"/>
    <w:rPr>
      <w:rFonts w:ascii="Tahoma" w:hAnsi="Tahoma" w:cs="Tahoma"/>
      <w:sz w:val="16"/>
      <w:szCs w:val="16"/>
    </w:rPr>
  </w:style>
  <w:style w:type="paragraph" w:customStyle="1" w:styleId="Proposal1">
    <w:name w:val="Proposal 1"/>
    <w:next w:val="NormalWeb"/>
    <w:qFormat/>
    <w:rsid w:val="00BA4149"/>
    <w:pPr>
      <w:pBdr>
        <w:bottom w:val="single" w:sz="8" w:space="1" w:color="auto"/>
      </w:pBdr>
      <w:spacing w:after="240"/>
      <w:outlineLvl w:val="0"/>
    </w:pPr>
    <w:rPr>
      <w:rFonts w:ascii="Arial Black" w:hAnsi="Arial Black"/>
      <w:smallCaps/>
      <w:sz w:val="24"/>
      <w:szCs w:val="22"/>
    </w:rPr>
  </w:style>
  <w:style w:type="paragraph" w:styleId="Footer">
    <w:name w:val="footer"/>
    <w:basedOn w:val="Normal"/>
    <w:link w:val="FooterChar"/>
    <w:uiPriority w:val="99"/>
    <w:unhideWhenUsed/>
    <w:rsid w:val="0086060C"/>
    <w:pPr>
      <w:pBdr>
        <w:bottom w:val="single" w:sz="18" w:space="3" w:color="0072C6"/>
      </w:pBdr>
      <w:tabs>
        <w:tab w:val="center" w:pos="4680"/>
        <w:tab w:val="right" w:pos="9360"/>
      </w:tabs>
      <w:spacing w:after="0" w:line="240" w:lineRule="auto"/>
      <w:jc w:val="center"/>
    </w:pPr>
    <w:rPr>
      <w:rFonts w:ascii="Arial" w:hAnsi="Arial"/>
      <w:color w:val="0072C6"/>
      <w:sz w:val="18"/>
    </w:rPr>
  </w:style>
  <w:style w:type="character" w:customStyle="1" w:styleId="FooterChar">
    <w:name w:val="Footer Char"/>
    <w:link w:val="Footer"/>
    <w:uiPriority w:val="99"/>
    <w:rsid w:val="0086060C"/>
    <w:rPr>
      <w:rFonts w:ascii="Arial" w:hAnsi="Arial"/>
      <w:color w:val="0072C6"/>
      <w:sz w:val="18"/>
      <w:szCs w:val="22"/>
    </w:rPr>
  </w:style>
  <w:style w:type="paragraph" w:customStyle="1" w:styleId="Footer2">
    <w:name w:val="Footer 2"/>
    <w:qFormat/>
    <w:rsid w:val="0086060C"/>
    <w:pPr>
      <w:spacing w:before="60"/>
      <w:jc w:val="center"/>
    </w:pPr>
    <w:rPr>
      <w:rFonts w:ascii="Arial" w:hAnsi="Arial"/>
      <w:color w:val="0072C6"/>
      <w:sz w:val="18"/>
      <w:szCs w:val="22"/>
    </w:rPr>
  </w:style>
  <w:style w:type="paragraph" w:customStyle="1" w:styleId="ProposalBodyText">
    <w:name w:val="Proposal Body Text"/>
    <w:link w:val="ProposalBodyTextChar"/>
    <w:qFormat/>
    <w:rsid w:val="0086060C"/>
    <w:pPr>
      <w:spacing w:after="240"/>
      <w:jc w:val="both"/>
    </w:pPr>
    <w:rPr>
      <w:rFonts w:ascii="Times New Roman" w:hAnsi="Times New Roman"/>
      <w:sz w:val="24"/>
      <w:szCs w:val="22"/>
    </w:rPr>
  </w:style>
  <w:style w:type="paragraph" w:customStyle="1" w:styleId="Proposal2">
    <w:name w:val="Proposal 2"/>
    <w:qFormat/>
    <w:rsid w:val="00E4443D"/>
    <w:pPr>
      <w:spacing w:after="200"/>
      <w:ind w:left="720" w:hanging="720"/>
      <w:outlineLvl w:val="1"/>
    </w:pPr>
    <w:rPr>
      <w:rFonts w:ascii="Arial" w:hAnsi="Arial" w:cs="Arial"/>
      <w:b/>
      <w:color w:val="0070C0"/>
      <w:sz w:val="24"/>
      <w:szCs w:val="22"/>
    </w:rPr>
  </w:style>
  <w:style w:type="paragraph" w:customStyle="1" w:styleId="Proposal3">
    <w:name w:val="Proposal 3"/>
    <w:qFormat/>
    <w:rsid w:val="00E4443D"/>
    <w:pPr>
      <w:spacing w:after="200"/>
      <w:ind w:left="720" w:hanging="720"/>
      <w:outlineLvl w:val="2"/>
    </w:pPr>
    <w:rPr>
      <w:rFonts w:ascii="Arial" w:hAnsi="Arial"/>
      <w:b/>
      <w:sz w:val="24"/>
      <w:szCs w:val="22"/>
    </w:rPr>
  </w:style>
  <w:style w:type="paragraph" w:customStyle="1" w:styleId="Proposal4">
    <w:name w:val="Proposal 4"/>
    <w:qFormat/>
    <w:rsid w:val="003C17B9"/>
    <w:pPr>
      <w:tabs>
        <w:tab w:val="left" w:pos="900"/>
      </w:tabs>
      <w:spacing w:after="200"/>
    </w:pPr>
    <w:rPr>
      <w:rFonts w:ascii="Arial Narrow" w:hAnsi="Arial Narrow"/>
      <w:b/>
      <w:color w:val="0070C0"/>
      <w:sz w:val="24"/>
      <w:szCs w:val="22"/>
    </w:rPr>
  </w:style>
  <w:style w:type="paragraph" w:customStyle="1" w:styleId="ProposalBullet1">
    <w:name w:val="Proposal Bullet 1"/>
    <w:qFormat/>
    <w:rsid w:val="0086060C"/>
    <w:pPr>
      <w:numPr>
        <w:numId w:val="1"/>
      </w:numPr>
      <w:spacing w:after="120"/>
    </w:pPr>
    <w:rPr>
      <w:rFonts w:ascii="Times New Roman" w:hAnsi="Times New Roman"/>
      <w:sz w:val="24"/>
      <w:szCs w:val="22"/>
    </w:rPr>
  </w:style>
  <w:style w:type="paragraph" w:customStyle="1" w:styleId="ProposalTableHeader">
    <w:name w:val="Proposal Table Header"/>
    <w:qFormat/>
    <w:rsid w:val="0084161F"/>
    <w:pPr>
      <w:spacing w:after="120"/>
      <w:jc w:val="center"/>
    </w:pPr>
    <w:rPr>
      <w:rFonts w:ascii="Arial Narrow" w:hAnsi="Arial Narrow"/>
      <w:b/>
      <w:smallCaps/>
      <w:color w:val="0070C0"/>
      <w:sz w:val="24"/>
      <w:szCs w:val="22"/>
    </w:rPr>
  </w:style>
  <w:style w:type="table" w:styleId="TableGrid">
    <w:name w:val="Table Grid"/>
    <w:basedOn w:val="TableNormal"/>
    <w:uiPriority w:val="59"/>
    <w:rsid w:val="00CF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ableHeaderRow">
    <w:name w:val="Proposal Table Header Row"/>
    <w:qFormat/>
    <w:rsid w:val="008176F7"/>
    <w:pPr>
      <w:spacing w:before="40" w:after="40"/>
    </w:pPr>
    <w:rPr>
      <w:rFonts w:ascii="Arial Narrow" w:hAnsi="Arial Narrow"/>
      <w:b/>
      <w:color w:val="FFFFFF"/>
      <w:sz w:val="22"/>
      <w:szCs w:val="22"/>
    </w:rPr>
  </w:style>
  <w:style w:type="paragraph" w:customStyle="1" w:styleId="ProposalTableHeader2">
    <w:name w:val="Proposal Table Header 2"/>
    <w:qFormat/>
    <w:rsid w:val="009346DF"/>
    <w:pPr>
      <w:spacing w:before="40" w:after="40"/>
    </w:pPr>
    <w:rPr>
      <w:rFonts w:ascii="Arial Narrow" w:hAnsi="Arial Narrow"/>
      <w:b/>
      <w:sz w:val="22"/>
      <w:szCs w:val="22"/>
    </w:rPr>
  </w:style>
  <w:style w:type="paragraph" w:customStyle="1" w:styleId="ProposalTableText">
    <w:name w:val="Proposal Table Text"/>
    <w:qFormat/>
    <w:rsid w:val="009346DF"/>
    <w:pPr>
      <w:spacing w:before="40" w:after="40"/>
    </w:pPr>
    <w:rPr>
      <w:rFonts w:ascii="Arial Narrow" w:hAnsi="Arial Narrow"/>
      <w:sz w:val="22"/>
      <w:szCs w:val="22"/>
    </w:rPr>
  </w:style>
  <w:style w:type="paragraph" w:customStyle="1" w:styleId="ProposalTableBullet">
    <w:name w:val="Proposal Table Bullet"/>
    <w:qFormat/>
    <w:rsid w:val="009346DF"/>
    <w:pPr>
      <w:numPr>
        <w:numId w:val="2"/>
      </w:numPr>
      <w:spacing w:before="40" w:after="40"/>
      <w:ind w:left="216" w:hanging="216"/>
    </w:pPr>
    <w:rPr>
      <w:rFonts w:ascii="Arial Narrow" w:hAnsi="Arial Narrow"/>
      <w:sz w:val="22"/>
      <w:szCs w:val="22"/>
    </w:rPr>
  </w:style>
  <w:style w:type="paragraph" w:customStyle="1" w:styleId="ProposalTextBoxHeading">
    <w:name w:val="Proposal Text Box Heading"/>
    <w:qFormat/>
    <w:rsid w:val="00A9592F"/>
    <w:pPr>
      <w:jc w:val="center"/>
    </w:pPr>
    <w:rPr>
      <w:rFonts w:ascii="Arial Narrow" w:hAnsi="Arial Narrow"/>
      <w:b/>
      <w:szCs w:val="22"/>
    </w:rPr>
  </w:style>
  <w:style w:type="paragraph" w:customStyle="1" w:styleId="ProposalTextBoxText">
    <w:name w:val="Proposal Text Box Text"/>
    <w:qFormat/>
    <w:rsid w:val="00A9592F"/>
    <w:rPr>
      <w:rFonts w:ascii="Arial Narrow" w:hAnsi="Arial Narrow"/>
      <w:szCs w:val="22"/>
    </w:rPr>
  </w:style>
  <w:style w:type="paragraph" w:customStyle="1" w:styleId="ProposalBullet2">
    <w:name w:val="Proposal Bullet 2"/>
    <w:basedOn w:val="ProposalBullet1"/>
    <w:qFormat/>
    <w:rsid w:val="00563ED6"/>
    <w:pPr>
      <w:numPr>
        <w:numId w:val="3"/>
      </w:numPr>
      <w:ind w:left="1080"/>
    </w:pPr>
  </w:style>
  <w:style w:type="character" w:customStyle="1" w:styleId="Heading1Char">
    <w:name w:val="Heading 1 Char"/>
    <w:aliases w:val="Heading 1 NYTS Flint Char"/>
    <w:link w:val="Heading1"/>
    <w:uiPriority w:val="9"/>
    <w:rsid w:val="00563ED6"/>
    <w:rPr>
      <w:rFonts w:ascii="Cambria" w:eastAsia="Times New Roman" w:hAnsi="Cambria"/>
      <w:b/>
      <w:bCs/>
      <w:kern w:val="32"/>
      <w:sz w:val="32"/>
      <w:szCs w:val="32"/>
    </w:rPr>
  </w:style>
  <w:style w:type="character" w:customStyle="1" w:styleId="Heading2Char">
    <w:name w:val="Heading 2 Char"/>
    <w:link w:val="Heading2"/>
    <w:rsid w:val="005A3035"/>
    <w:rPr>
      <w:rFonts w:ascii="Arial" w:eastAsia="Times New Roman" w:hAnsi="Arial"/>
      <w:b/>
      <w:bCs/>
      <w:iCs/>
      <w:color w:val="0070C0"/>
      <w:sz w:val="24"/>
      <w:szCs w:val="28"/>
    </w:rPr>
  </w:style>
  <w:style w:type="character" w:customStyle="1" w:styleId="Heading3Char">
    <w:name w:val="Heading 3 Char"/>
    <w:link w:val="Heading3"/>
    <w:uiPriority w:val="9"/>
    <w:rsid w:val="00563ED6"/>
    <w:rPr>
      <w:rFonts w:ascii="Cambria" w:eastAsia="Times New Roman" w:hAnsi="Cambria"/>
      <w:b/>
      <w:bCs/>
      <w:sz w:val="26"/>
      <w:szCs w:val="26"/>
    </w:rPr>
  </w:style>
  <w:style w:type="paragraph" w:styleId="TOC1">
    <w:name w:val="toc 1"/>
    <w:basedOn w:val="Normal"/>
    <w:next w:val="Normal"/>
    <w:autoRedefine/>
    <w:uiPriority w:val="39"/>
    <w:unhideWhenUsed/>
    <w:rsid w:val="002D4F07"/>
    <w:pPr>
      <w:tabs>
        <w:tab w:val="right" w:leader="dot" w:pos="9350"/>
      </w:tabs>
      <w:spacing w:after="120" w:line="240" w:lineRule="auto"/>
    </w:pPr>
    <w:rPr>
      <w:rFonts w:ascii="Arial" w:hAnsi="Arial"/>
      <w:b/>
      <w:noProof/>
      <w:color w:val="0070C0"/>
    </w:rPr>
  </w:style>
  <w:style w:type="paragraph" w:styleId="TOC2">
    <w:name w:val="toc 2"/>
    <w:basedOn w:val="Normal"/>
    <w:next w:val="Normal"/>
    <w:autoRedefine/>
    <w:uiPriority w:val="39"/>
    <w:unhideWhenUsed/>
    <w:rsid w:val="002D4F07"/>
    <w:pPr>
      <w:tabs>
        <w:tab w:val="left" w:pos="720"/>
        <w:tab w:val="right" w:leader="dot" w:pos="9350"/>
      </w:tabs>
      <w:spacing w:after="120" w:line="240" w:lineRule="auto"/>
      <w:ind w:left="216"/>
    </w:pPr>
    <w:rPr>
      <w:rFonts w:ascii="Arial" w:hAnsi="Arial"/>
    </w:rPr>
  </w:style>
  <w:style w:type="character" w:styleId="Hyperlink">
    <w:name w:val="Hyperlink"/>
    <w:uiPriority w:val="99"/>
    <w:unhideWhenUsed/>
    <w:rsid w:val="00563ED6"/>
    <w:rPr>
      <w:color w:val="0000FF"/>
      <w:u w:val="single"/>
    </w:rPr>
  </w:style>
  <w:style w:type="paragraph" w:customStyle="1" w:styleId="TOC">
    <w:name w:val="TOC"/>
    <w:basedOn w:val="Proposal1"/>
    <w:qFormat/>
    <w:rsid w:val="00563ED6"/>
  </w:style>
  <w:style w:type="paragraph" w:customStyle="1" w:styleId="Style1">
    <w:name w:val="Style1"/>
    <w:basedOn w:val="Normal"/>
    <w:qFormat/>
    <w:rsid w:val="007F6957"/>
    <w:pPr>
      <w:pBdr>
        <w:bottom w:val="dotted" w:sz="6" w:space="1" w:color="77486A"/>
      </w:pBdr>
      <w:tabs>
        <w:tab w:val="center" w:pos="4680"/>
        <w:tab w:val="right" w:pos="9360"/>
      </w:tabs>
      <w:autoSpaceDE w:val="0"/>
      <w:autoSpaceDN w:val="0"/>
      <w:adjustRightInd w:val="0"/>
      <w:spacing w:before="40" w:after="40" w:line="240" w:lineRule="auto"/>
      <w:jc w:val="center"/>
      <w:outlineLvl w:val="0"/>
    </w:pPr>
    <w:rPr>
      <w:rFonts w:ascii="Arial Narrow" w:eastAsia="Times New Roman" w:hAnsi="Arial Narrow" w:cs="Arial"/>
      <w:color w:val="77486A"/>
      <w:sz w:val="20"/>
      <w:szCs w:val="20"/>
    </w:rPr>
  </w:style>
  <w:style w:type="character" w:customStyle="1" w:styleId="ProposalBodyTextChar">
    <w:name w:val="Proposal Body Text Char"/>
    <w:link w:val="ProposalBodyText"/>
    <w:rsid w:val="0086060C"/>
    <w:rPr>
      <w:rFonts w:ascii="Times New Roman" w:hAnsi="Times New Roman"/>
      <w:sz w:val="24"/>
      <w:szCs w:val="22"/>
    </w:rPr>
  </w:style>
  <w:style w:type="paragraph" w:customStyle="1" w:styleId="App1">
    <w:name w:val="App 1"/>
    <w:basedOn w:val="Normal"/>
    <w:qFormat/>
    <w:rsid w:val="00530E23"/>
    <w:pPr>
      <w:pBdr>
        <w:bottom w:val="single" w:sz="36" w:space="1" w:color="BDE3FF"/>
      </w:pBdr>
      <w:tabs>
        <w:tab w:val="left" w:pos="3024"/>
        <w:tab w:val="center" w:pos="4680"/>
      </w:tabs>
      <w:jc w:val="center"/>
    </w:pPr>
    <w:rPr>
      <w:rFonts w:ascii="Arial Black" w:hAnsi="Arial Black" w:cs="Arial"/>
      <w:color w:val="0072C6"/>
      <w:sz w:val="80"/>
      <w:szCs w:val="80"/>
    </w:rPr>
  </w:style>
  <w:style w:type="paragraph" w:customStyle="1" w:styleId="App2">
    <w:name w:val="App 2"/>
    <w:basedOn w:val="Normal"/>
    <w:qFormat/>
    <w:rsid w:val="00530E23"/>
    <w:pPr>
      <w:tabs>
        <w:tab w:val="left" w:pos="3024"/>
        <w:tab w:val="center" w:pos="4680"/>
      </w:tabs>
      <w:jc w:val="center"/>
    </w:pPr>
    <w:rPr>
      <w:rFonts w:ascii="Arial" w:hAnsi="Arial" w:cs="Arial"/>
      <w:b/>
      <w:color w:val="0072C6"/>
      <w:sz w:val="56"/>
      <w:szCs w:val="56"/>
    </w:rPr>
  </w:style>
  <w:style w:type="paragraph" w:customStyle="1" w:styleId="App3">
    <w:name w:val="App 3"/>
    <w:basedOn w:val="Proposal1"/>
    <w:qFormat/>
    <w:rsid w:val="001D11FD"/>
  </w:style>
  <w:style w:type="paragraph" w:styleId="FootnoteText">
    <w:name w:val="footnote text"/>
    <w:basedOn w:val="Normal"/>
    <w:link w:val="FootnoteTextChar"/>
    <w:uiPriority w:val="99"/>
    <w:rsid w:val="00BD2BB1"/>
    <w:pPr>
      <w:widowControl w:val="0"/>
      <w:spacing w:after="0" w:line="240" w:lineRule="auto"/>
    </w:pPr>
    <w:rPr>
      <w:rFonts w:eastAsia="Times New Roman"/>
      <w:snapToGrid w:val="0"/>
      <w:szCs w:val="20"/>
    </w:rPr>
  </w:style>
  <w:style w:type="character" w:customStyle="1" w:styleId="FootnoteTextChar">
    <w:name w:val="Footnote Text Char"/>
    <w:link w:val="FootnoteText"/>
    <w:uiPriority w:val="99"/>
    <w:rsid w:val="00BD2BB1"/>
    <w:rPr>
      <w:rFonts w:ascii="Times New Roman" w:eastAsia="Times New Roman" w:hAnsi="Times New Roman"/>
      <w:snapToGrid w:val="0"/>
      <w:sz w:val="24"/>
    </w:rPr>
  </w:style>
  <w:style w:type="character" w:styleId="FootnoteReference">
    <w:name w:val="footnote reference"/>
    <w:uiPriority w:val="99"/>
    <w:semiHidden/>
    <w:rsid w:val="00BD2BB1"/>
    <w:rPr>
      <w:sz w:val="24"/>
      <w:szCs w:val="24"/>
      <w:vertAlign w:val="superscript"/>
    </w:rPr>
  </w:style>
  <w:style w:type="paragraph" w:styleId="EndnoteText">
    <w:name w:val="endnote text"/>
    <w:basedOn w:val="Normal"/>
    <w:link w:val="EndnoteTextChar"/>
    <w:uiPriority w:val="99"/>
    <w:semiHidden/>
    <w:rsid w:val="00BD2BB1"/>
    <w:pPr>
      <w:spacing w:after="0" w:line="240" w:lineRule="auto"/>
    </w:pPr>
    <w:rPr>
      <w:rFonts w:eastAsia="Times New Roman"/>
      <w:szCs w:val="20"/>
    </w:rPr>
  </w:style>
  <w:style w:type="character" w:customStyle="1" w:styleId="EndnoteTextChar">
    <w:name w:val="Endnote Text Char"/>
    <w:link w:val="EndnoteText"/>
    <w:uiPriority w:val="99"/>
    <w:semiHidden/>
    <w:rsid w:val="00BD2BB1"/>
    <w:rPr>
      <w:rFonts w:ascii="Times New Roman" w:eastAsia="Times New Roman" w:hAnsi="Times New Roman"/>
      <w:sz w:val="24"/>
    </w:rPr>
  </w:style>
  <w:style w:type="paragraph" w:customStyle="1" w:styleId="ProposalFootnotes">
    <w:name w:val="Proposal Footnotes"/>
    <w:basedOn w:val="EndnoteText"/>
    <w:qFormat/>
    <w:rsid w:val="008B346D"/>
    <w:pPr>
      <w:spacing w:after="40"/>
    </w:pPr>
    <w:rPr>
      <w:sz w:val="20"/>
    </w:rPr>
  </w:style>
  <w:style w:type="character" w:customStyle="1" w:styleId="Heading4Char">
    <w:name w:val="Heading 4 Char"/>
    <w:link w:val="Heading4"/>
    <w:uiPriority w:val="9"/>
    <w:rsid w:val="008B346D"/>
    <w:rPr>
      <w:rFonts w:ascii="Times New Roman" w:eastAsia="Times New Roman" w:hAnsi="Times New Roman"/>
      <w:b/>
      <w:bCs/>
      <w:i/>
      <w:color w:val="548DD4"/>
      <w:sz w:val="24"/>
      <w:szCs w:val="28"/>
    </w:rPr>
  </w:style>
  <w:style w:type="character" w:customStyle="1" w:styleId="Heading5Char">
    <w:name w:val="Heading 5 Char"/>
    <w:link w:val="Heading5"/>
    <w:rsid w:val="008B346D"/>
    <w:rPr>
      <w:rFonts w:ascii="Cambria" w:eastAsia="Times New Roman" w:hAnsi="Cambria"/>
      <w:color w:val="243F60"/>
      <w:sz w:val="24"/>
    </w:rPr>
  </w:style>
  <w:style w:type="character" w:customStyle="1" w:styleId="Heading6Char">
    <w:name w:val="Heading 6 Char"/>
    <w:link w:val="Heading6"/>
    <w:rsid w:val="008B346D"/>
    <w:rPr>
      <w:rFonts w:ascii="Times New Roman" w:eastAsia="Times New Roman" w:hAnsi="Times New Roman"/>
      <w:b/>
      <w:sz w:val="24"/>
      <w:szCs w:val="24"/>
    </w:rPr>
  </w:style>
  <w:style w:type="character" w:customStyle="1" w:styleId="Heading7Char">
    <w:name w:val="Heading 7 Char"/>
    <w:link w:val="Heading7"/>
    <w:uiPriority w:val="99"/>
    <w:rsid w:val="008B346D"/>
    <w:rPr>
      <w:rFonts w:ascii="Times New Roman" w:eastAsia="Times New Roman" w:hAnsi="Times New Roman"/>
      <w:sz w:val="24"/>
      <w:szCs w:val="24"/>
    </w:rPr>
  </w:style>
  <w:style w:type="character" w:customStyle="1" w:styleId="Heading8Char">
    <w:name w:val="Heading 8 Char"/>
    <w:link w:val="Heading8"/>
    <w:uiPriority w:val="99"/>
    <w:rsid w:val="008B346D"/>
    <w:rPr>
      <w:rFonts w:ascii="Times New Roman" w:eastAsia="Times New Roman" w:hAnsi="Times New Roman"/>
      <w:spacing w:val="-3"/>
      <w:sz w:val="24"/>
    </w:rPr>
  </w:style>
  <w:style w:type="paragraph" w:styleId="Title">
    <w:name w:val="Title"/>
    <w:basedOn w:val="Normal"/>
    <w:link w:val="TitleChar"/>
    <w:qFormat/>
    <w:rsid w:val="008B346D"/>
    <w:pPr>
      <w:spacing w:after="0" w:line="360" w:lineRule="auto"/>
      <w:jc w:val="center"/>
    </w:pPr>
    <w:rPr>
      <w:rFonts w:eastAsia="Times New Roman"/>
      <w:b/>
      <w:spacing w:val="-3"/>
      <w:sz w:val="72"/>
      <w:szCs w:val="72"/>
    </w:rPr>
  </w:style>
  <w:style w:type="character" w:customStyle="1" w:styleId="TitleChar">
    <w:name w:val="Title Char"/>
    <w:link w:val="Title"/>
    <w:rsid w:val="008B346D"/>
    <w:rPr>
      <w:rFonts w:ascii="Times New Roman" w:eastAsia="Times New Roman" w:hAnsi="Times New Roman"/>
      <w:b/>
      <w:spacing w:val="-3"/>
      <w:sz w:val="72"/>
      <w:szCs w:val="72"/>
    </w:rPr>
  </w:style>
  <w:style w:type="paragraph" w:styleId="Subtitle">
    <w:name w:val="Subtitle"/>
    <w:basedOn w:val="Normal"/>
    <w:link w:val="SubtitleChar"/>
    <w:qFormat/>
    <w:rsid w:val="008B346D"/>
    <w:pPr>
      <w:spacing w:after="0" w:line="240" w:lineRule="auto"/>
      <w:jc w:val="center"/>
    </w:pPr>
    <w:rPr>
      <w:rFonts w:eastAsia="Times New Roman"/>
      <w:b/>
      <w:sz w:val="28"/>
      <w:szCs w:val="28"/>
    </w:rPr>
  </w:style>
  <w:style w:type="character" w:customStyle="1" w:styleId="SubtitleChar">
    <w:name w:val="Subtitle Char"/>
    <w:link w:val="Subtitle"/>
    <w:rsid w:val="008B346D"/>
    <w:rPr>
      <w:rFonts w:ascii="Times New Roman" w:eastAsia="Times New Roman" w:hAnsi="Times New Roman"/>
      <w:b/>
      <w:sz w:val="28"/>
      <w:szCs w:val="28"/>
    </w:rPr>
  </w:style>
  <w:style w:type="character" w:styleId="PageNumber">
    <w:name w:val="page number"/>
    <w:rsid w:val="008B346D"/>
  </w:style>
  <w:style w:type="paragraph" w:styleId="BodyText2">
    <w:name w:val="Body Text 2"/>
    <w:basedOn w:val="Normal"/>
    <w:link w:val="BodyText2Char"/>
    <w:rsid w:val="008B346D"/>
    <w:pPr>
      <w:spacing w:after="0" w:line="240" w:lineRule="auto"/>
      <w:jc w:val="both"/>
    </w:pPr>
    <w:rPr>
      <w:rFonts w:ascii="Garamond" w:eastAsia="Times New Roman" w:hAnsi="Garamond"/>
      <w:szCs w:val="20"/>
    </w:rPr>
  </w:style>
  <w:style w:type="character" w:customStyle="1" w:styleId="BodyText2Char">
    <w:name w:val="Body Text 2 Char"/>
    <w:link w:val="BodyText2"/>
    <w:rsid w:val="008B346D"/>
    <w:rPr>
      <w:rFonts w:ascii="Garamond" w:eastAsia="Times New Roman" w:hAnsi="Garamond"/>
      <w:sz w:val="24"/>
    </w:rPr>
  </w:style>
  <w:style w:type="paragraph" w:styleId="BodyText">
    <w:name w:val="Body Text"/>
    <w:basedOn w:val="Normal"/>
    <w:link w:val="BodyTextChar"/>
    <w:rsid w:val="008B346D"/>
    <w:pPr>
      <w:spacing w:after="0" w:line="240" w:lineRule="auto"/>
    </w:pPr>
    <w:rPr>
      <w:rFonts w:eastAsia="Times New Roman"/>
      <w:spacing w:val="-3"/>
      <w:szCs w:val="20"/>
    </w:rPr>
  </w:style>
  <w:style w:type="character" w:customStyle="1" w:styleId="BodyTextChar">
    <w:name w:val="Body Text Char"/>
    <w:link w:val="BodyText"/>
    <w:rsid w:val="008B346D"/>
    <w:rPr>
      <w:rFonts w:ascii="Times New Roman" w:eastAsia="Times New Roman" w:hAnsi="Times New Roman"/>
      <w:spacing w:val="-3"/>
      <w:sz w:val="24"/>
    </w:rPr>
  </w:style>
  <w:style w:type="paragraph" w:styleId="Caption">
    <w:name w:val="caption"/>
    <w:basedOn w:val="Normal"/>
    <w:next w:val="Normal"/>
    <w:uiPriority w:val="35"/>
    <w:qFormat/>
    <w:rsid w:val="008B346D"/>
    <w:pPr>
      <w:widowControl w:val="0"/>
      <w:spacing w:after="0" w:line="240" w:lineRule="auto"/>
      <w:jc w:val="center"/>
    </w:pPr>
    <w:rPr>
      <w:rFonts w:eastAsia="Times New Roman"/>
      <w:b/>
      <w:snapToGrid w:val="0"/>
      <w:szCs w:val="20"/>
    </w:rPr>
  </w:style>
  <w:style w:type="character" w:customStyle="1" w:styleId="FootnoteCharacters">
    <w:name w:val="Footnote Characters"/>
    <w:rsid w:val="008B346D"/>
  </w:style>
  <w:style w:type="paragraph" w:customStyle="1" w:styleId="TableContents">
    <w:name w:val="Table Contents"/>
    <w:basedOn w:val="BodyText"/>
    <w:rsid w:val="008B346D"/>
    <w:pPr>
      <w:suppressLineNumbers/>
      <w:suppressAutoHyphens/>
      <w:spacing w:after="120"/>
    </w:pPr>
    <w:rPr>
      <w:rFonts w:hint="eastAsia"/>
      <w:spacing w:val="0"/>
    </w:rPr>
  </w:style>
  <w:style w:type="paragraph" w:customStyle="1" w:styleId="OKText">
    <w:name w:val="OK Text"/>
    <w:aliases w:val="1st"/>
    <w:rsid w:val="008B346D"/>
    <w:pPr>
      <w:widowControl w:val="0"/>
      <w:overflowPunct w:val="0"/>
      <w:autoSpaceDE w:val="0"/>
      <w:autoSpaceDN w:val="0"/>
      <w:adjustRightInd w:val="0"/>
      <w:spacing w:line="360" w:lineRule="exact"/>
      <w:textAlignment w:val="baseline"/>
    </w:pPr>
    <w:rPr>
      <w:rFonts w:ascii="Times New Roman" w:eastAsia="Times New Roman" w:hAnsi="Times New Roman"/>
      <w:sz w:val="24"/>
    </w:rPr>
  </w:style>
  <w:style w:type="paragraph" w:styleId="BodyText3">
    <w:name w:val="Body Text 3"/>
    <w:basedOn w:val="Normal"/>
    <w:link w:val="BodyText3Char"/>
    <w:rsid w:val="008B346D"/>
    <w:pPr>
      <w:spacing w:after="120" w:line="240" w:lineRule="auto"/>
    </w:pPr>
    <w:rPr>
      <w:rFonts w:eastAsia="Times New Roman"/>
      <w:sz w:val="16"/>
      <w:szCs w:val="16"/>
    </w:rPr>
  </w:style>
  <w:style w:type="character" w:customStyle="1" w:styleId="BodyText3Char">
    <w:name w:val="Body Text 3 Char"/>
    <w:link w:val="BodyText3"/>
    <w:rsid w:val="008B346D"/>
    <w:rPr>
      <w:rFonts w:ascii="Times New Roman" w:eastAsia="Times New Roman" w:hAnsi="Times New Roman"/>
      <w:sz w:val="16"/>
      <w:szCs w:val="16"/>
    </w:rPr>
  </w:style>
  <w:style w:type="paragraph" w:customStyle="1" w:styleId="Level1">
    <w:name w:val="Level 1"/>
    <w:basedOn w:val="Normal"/>
    <w:rsid w:val="008B346D"/>
    <w:pPr>
      <w:widowControl w:val="0"/>
      <w:autoSpaceDE w:val="0"/>
      <w:autoSpaceDN w:val="0"/>
      <w:adjustRightInd w:val="0"/>
      <w:spacing w:after="0" w:line="240" w:lineRule="auto"/>
      <w:ind w:left="720" w:hanging="720"/>
      <w:outlineLvl w:val="0"/>
    </w:pPr>
    <w:rPr>
      <w:rFonts w:eastAsia="Times New Roman"/>
    </w:rPr>
  </w:style>
  <w:style w:type="paragraph" w:customStyle="1" w:styleId="StyleHeading3Condensedby01ptCharChar">
    <w:name w:val="Style Heading 3 + Condensed by  0.1 pt Char Char"/>
    <w:basedOn w:val="Heading3"/>
    <w:rsid w:val="008B346D"/>
    <w:pPr>
      <w:numPr>
        <w:numId w:val="4"/>
      </w:numPr>
      <w:spacing w:before="120" w:line="240" w:lineRule="auto"/>
      <w:ind w:left="0" w:firstLine="0"/>
    </w:pPr>
    <w:rPr>
      <w:rFonts w:ascii="Verdana" w:hAnsi="Verdana" w:cs="Arial"/>
      <w:spacing w:val="-6"/>
      <w:sz w:val="24"/>
      <w:szCs w:val="24"/>
    </w:rPr>
  </w:style>
  <w:style w:type="paragraph" w:styleId="PlainText">
    <w:name w:val="Plain Text"/>
    <w:basedOn w:val="Normal"/>
    <w:link w:val="PlainTextChar"/>
    <w:uiPriority w:val="99"/>
    <w:rsid w:val="008B346D"/>
    <w:pPr>
      <w:spacing w:after="0" w:line="240" w:lineRule="auto"/>
    </w:pPr>
    <w:rPr>
      <w:rFonts w:ascii="Courier New" w:eastAsia="Times New Roman" w:hAnsi="Courier New"/>
      <w:szCs w:val="20"/>
    </w:rPr>
  </w:style>
  <w:style w:type="character" w:customStyle="1" w:styleId="PlainTextChar">
    <w:name w:val="Plain Text Char"/>
    <w:link w:val="PlainText"/>
    <w:uiPriority w:val="99"/>
    <w:rsid w:val="008B346D"/>
    <w:rPr>
      <w:rFonts w:ascii="Courier New" w:eastAsia="Times New Roman" w:hAnsi="Courier New"/>
      <w:sz w:val="24"/>
    </w:rPr>
  </w:style>
  <w:style w:type="character" w:styleId="CommentReference">
    <w:name w:val="annotation reference"/>
    <w:uiPriority w:val="99"/>
    <w:rsid w:val="008B346D"/>
    <w:rPr>
      <w:sz w:val="16"/>
      <w:szCs w:val="16"/>
    </w:rPr>
  </w:style>
  <w:style w:type="paragraph" w:styleId="CommentText">
    <w:name w:val="annotation text"/>
    <w:basedOn w:val="Normal"/>
    <w:link w:val="CommentTextChar"/>
    <w:rsid w:val="008B346D"/>
    <w:pPr>
      <w:spacing w:after="0" w:line="240" w:lineRule="auto"/>
    </w:pPr>
    <w:rPr>
      <w:rFonts w:eastAsia="Times New Roman"/>
      <w:szCs w:val="20"/>
    </w:rPr>
  </w:style>
  <w:style w:type="character" w:customStyle="1" w:styleId="CommentTextChar">
    <w:name w:val="Comment Text Char"/>
    <w:link w:val="CommentText"/>
    <w:rsid w:val="008B346D"/>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rsid w:val="008B346D"/>
    <w:rPr>
      <w:b/>
      <w:bCs/>
    </w:rPr>
  </w:style>
  <w:style w:type="character" w:customStyle="1" w:styleId="CommentSubjectChar">
    <w:name w:val="Comment Subject Char"/>
    <w:link w:val="CommentSubject"/>
    <w:uiPriority w:val="99"/>
    <w:semiHidden/>
    <w:rsid w:val="008B346D"/>
    <w:rPr>
      <w:rFonts w:ascii="Times New Roman" w:eastAsia="Times New Roman" w:hAnsi="Times New Roman"/>
      <w:b/>
      <w:bCs/>
      <w:sz w:val="24"/>
    </w:rPr>
  </w:style>
  <w:style w:type="paragraph" w:customStyle="1" w:styleId="objective">
    <w:name w:val="objective"/>
    <w:basedOn w:val="Normal"/>
    <w:rsid w:val="008B346D"/>
    <w:pPr>
      <w:spacing w:before="100" w:beforeAutospacing="1" w:after="100" w:afterAutospacing="1" w:line="240" w:lineRule="auto"/>
    </w:pPr>
    <w:rPr>
      <w:rFonts w:eastAsia="Times New Roman"/>
    </w:rPr>
  </w:style>
  <w:style w:type="paragraph" w:styleId="List2">
    <w:name w:val="List 2"/>
    <w:basedOn w:val="Normal"/>
    <w:uiPriority w:val="99"/>
    <w:rsid w:val="008B346D"/>
    <w:pPr>
      <w:spacing w:after="0" w:line="240" w:lineRule="auto"/>
      <w:ind w:left="720" w:hanging="360"/>
    </w:pPr>
    <w:rPr>
      <w:rFonts w:eastAsia="Times New Roman"/>
      <w:szCs w:val="20"/>
    </w:rPr>
  </w:style>
  <w:style w:type="paragraph" w:styleId="List3">
    <w:name w:val="List 3"/>
    <w:basedOn w:val="Normal"/>
    <w:uiPriority w:val="99"/>
    <w:rsid w:val="008B346D"/>
    <w:pPr>
      <w:spacing w:after="0" w:line="240" w:lineRule="auto"/>
      <w:ind w:left="1080" w:hanging="360"/>
    </w:pPr>
    <w:rPr>
      <w:rFonts w:eastAsia="Times New Roman"/>
      <w:szCs w:val="20"/>
    </w:rPr>
  </w:style>
  <w:style w:type="paragraph" w:styleId="ListBullet">
    <w:name w:val="List Bullet"/>
    <w:basedOn w:val="Normal"/>
    <w:rsid w:val="008B346D"/>
    <w:pPr>
      <w:tabs>
        <w:tab w:val="num" w:pos="450"/>
      </w:tabs>
      <w:spacing w:before="120" w:after="0" w:line="240" w:lineRule="auto"/>
      <w:ind w:left="461" w:hanging="274"/>
    </w:pPr>
    <w:rPr>
      <w:rFonts w:eastAsia="Times New Roman"/>
      <w:szCs w:val="20"/>
    </w:rPr>
  </w:style>
  <w:style w:type="paragraph" w:customStyle="1" w:styleId="InsideAddress">
    <w:name w:val="Inside Address"/>
    <w:basedOn w:val="Normal"/>
    <w:rsid w:val="008B346D"/>
    <w:pPr>
      <w:spacing w:after="0" w:line="240" w:lineRule="auto"/>
    </w:pPr>
    <w:rPr>
      <w:rFonts w:eastAsia="Times New Roman"/>
      <w:szCs w:val="20"/>
    </w:rPr>
  </w:style>
  <w:style w:type="paragraph" w:styleId="BodyTextIndent">
    <w:name w:val="Body Text Indent"/>
    <w:basedOn w:val="Normal"/>
    <w:link w:val="BodyTextIndentChar"/>
    <w:rsid w:val="008B346D"/>
    <w:pPr>
      <w:spacing w:after="120" w:line="240" w:lineRule="auto"/>
      <w:ind w:left="360"/>
    </w:pPr>
    <w:rPr>
      <w:rFonts w:eastAsia="Times New Roman"/>
      <w:szCs w:val="20"/>
    </w:rPr>
  </w:style>
  <w:style w:type="character" w:customStyle="1" w:styleId="BodyTextIndentChar">
    <w:name w:val="Body Text Indent Char"/>
    <w:link w:val="BodyTextIndent"/>
    <w:rsid w:val="008B346D"/>
    <w:rPr>
      <w:rFonts w:ascii="Times New Roman" w:eastAsia="Times New Roman" w:hAnsi="Times New Roman"/>
      <w:sz w:val="24"/>
    </w:rPr>
  </w:style>
  <w:style w:type="paragraph" w:styleId="BodyTextFirstIndent2">
    <w:name w:val="Body Text First Indent 2"/>
    <w:basedOn w:val="BodyTextIndent"/>
    <w:link w:val="BodyTextFirstIndent2Char"/>
    <w:rsid w:val="008B346D"/>
    <w:pPr>
      <w:ind w:firstLine="210"/>
    </w:pPr>
  </w:style>
  <w:style w:type="character" w:customStyle="1" w:styleId="BodyTextFirstIndent2Char">
    <w:name w:val="Body Text First Indent 2 Char"/>
    <w:basedOn w:val="BodyTextIndentChar"/>
    <w:link w:val="BodyTextFirstIndent2"/>
    <w:rsid w:val="008B346D"/>
    <w:rPr>
      <w:rFonts w:ascii="Times New Roman" w:eastAsia="Times New Roman" w:hAnsi="Times New Roman"/>
      <w:sz w:val="24"/>
    </w:rPr>
  </w:style>
  <w:style w:type="paragraph" w:styleId="DocumentMap">
    <w:name w:val="Document Map"/>
    <w:basedOn w:val="Normal"/>
    <w:link w:val="DocumentMapChar"/>
    <w:semiHidden/>
    <w:rsid w:val="008B346D"/>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B346D"/>
    <w:rPr>
      <w:rFonts w:ascii="Tahoma" w:eastAsia="Times New Roman" w:hAnsi="Tahoma" w:cs="Tahoma"/>
      <w:sz w:val="24"/>
      <w:shd w:val="clear" w:color="auto" w:fill="000080"/>
    </w:rPr>
  </w:style>
  <w:style w:type="character" w:styleId="Strong">
    <w:name w:val="Strong"/>
    <w:qFormat/>
    <w:rsid w:val="008B346D"/>
    <w:rPr>
      <w:b/>
      <w:bCs/>
    </w:rPr>
  </w:style>
  <w:style w:type="paragraph" w:customStyle="1" w:styleId="Answer">
    <w:name w:val="Answer"/>
    <w:basedOn w:val="Normal"/>
    <w:link w:val="AnswerChar"/>
    <w:uiPriority w:val="99"/>
    <w:rsid w:val="008B346D"/>
    <w:pPr>
      <w:tabs>
        <w:tab w:val="left" w:pos="1080"/>
        <w:tab w:val="right" w:leader="underscore" w:pos="9360"/>
      </w:tabs>
      <w:spacing w:before="20" w:after="20" w:line="240" w:lineRule="auto"/>
      <w:ind w:left="1094" w:hanging="547"/>
    </w:pPr>
    <w:rPr>
      <w:rFonts w:ascii="Arial" w:eastAsia="Times New Roman" w:hAnsi="Arial"/>
      <w:szCs w:val="20"/>
    </w:rPr>
  </w:style>
  <w:style w:type="character" w:customStyle="1" w:styleId="AnswerChar">
    <w:name w:val="Answer Char"/>
    <w:link w:val="Answer"/>
    <w:uiPriority w:val="99"/>
    <w:rsid w:val="008B346D"/>
    <w:rPr>
      <w:rFonts w:ascii="Arial" w:eastAsia="Times New Roman" w:hAnsi="Arial"/>
      <w:sz w:val="22"/>
    </w:rPr>
  </w:style>
  <w:style w:type="paragraph" w:customStyle="1" w:styleId="Direction">
    <w:name w:val="Direction"/>
    <w:basedOn w:val="Normal"/>
    <w:rsid w:val="008B346D"/>
    <w:pPr>
      <w:keepNext/>
      <w:keepLines/>
      <w:pBdr>
        <w:top w:val="single" w:sz="6" w:space="6" w:color="auto" w:shadow="1"/>
        <w:left w:val="single" w:sz="6" w:space="6" w:color="auto" w:shadow="1"/>
        <w:bottom w:val="single" w:sz="6" w:space="6" w:color="auto" w:shadow="1"/>
        <w:right w:val="single" w:sz="6" w:space="6" w:color="auto" w:shadow="1"/>
      </w:pBdr>
      <w:spacing w:before="240" w:after="120" w:line="240" w:lineRule="auto"/>
    </w:pPr>
    <w:rPr>
      <w:rFonts w:ascii="Arial" w:eastAsia="Times New Roman" w:hAnsi="Arial"/>
      <w:b/>
      <w:i/>
      <w:szCs w:val="20"/>
    </w:rPr>
  </w:style>
  <w:style w:type="paragraph" w:customStyle="1" w:styleId="BodyText1">
    <w:name w:val="Body Text1"/>
    <w:aliases w:val="bt"/>
    <w:basedOn w:val="Normal"/>
    <w:uiPriority w:val="99"/>
    <w:rsid w:val="008B346D"/>
    <w:pPr>
      <w:spacing w:after="160" w:line="320" w:lineRule="exact"/>
    </w:pPr>
    <w:rPr>
      <w:rFonts w:ascii="Arial" w:eastAsia="Times New Roman" w:hAnsi="Arial"/>
      <w:szCs w:val="20"/>
    </w:rPr>
  </w:style>
  <w:style w:type="paragraph" w:styleId="List">
    <w:name w:val="List"/>
    <w:basedOn w:val="Normal"/>
    <w:uiPriority w:val="99"/>
    <w:rsid w:val="008B346D"/>
    <w:pPr>
      <w:spacing w:after="0" w:line="240" w:lineRule="auto"/>
      <w:ind w:left="360" w:hanging="360"/>
    </w:pPr>
    <w:rPr>
      <w:rFonts w:eastAsia="Times New Roman"/>
    </w:rPr>
  </w:style>
  <w:style w:type="paragraph" w:styleId="Date">
    <w:name w:val="Date"/>
    <w:basedOn w:val="Normal"/>
    <w:next w:val="Normal"/>
    <w:link w:val="DateChar"/>
    <w:uiPriority w:val="99"/>
    <w:rsid w:val="008B346D"/>
    <w:pPr>
      <w:spacing w:after="0" w:line="240" w:lineRule="auto"/>
    </w:pPr>
    <w:rPr>
      <w:rFonts w:eastAsia="Times New Roman"/>
    </w:rPr>
  </w:style>
  <w:style w:type="character" w:customStyle="1" w:styleId="DateChar">
    <w:name w:val="Date Char"/>
    <w:link w:val="Date"/>
    <w:uiPriority w:val="99"/>
    <w:rsid w:val="008B346D"/>
    <w:rPr>
      <w:rFonts w:ascii="Times New Roman" w:eastAsia="Times New Roman" w:hAnsi="Times New Roman"/>
      <w:sz w:val="24"/>
      <w:szCs w:val="24"/>
    </w:rPr>
  </w:style>
  <w:style w:type="paragraph" w:styleId="ListContinue2">
    <w:name w:val="List Continue 2"/>
    <w:basedOn w:val="Normal"/>
    <w:rsid w:val="008B346D"/>
    <w:pPr>
      <w:spacing w:after="120" w:line="240" w:lineRule="auto"/>
      <w:ind w:left="720"/>
    </w:pPr>
    <w:rPr>
      <w:rFonts w:eastAsia="Times New Roman"/>
    </w:rPr>
  </w:style>
  <w:style w:type="paragraph" w:styleId="NormalWeb">
    <w:name w:val="Normal (Web)"/>
    <w:basedOn w:val="Normal"/>
    <w:uiPriority w:val="99"/>
    <w:rsid w:val="008B346D"/>
    <w:pPr>
      <w:spacing w:before="100" w:beforeAutospacing="1" w:after="100" w:afterAutospacing="1" w:line="240" w:lineRule="auto"/>
    </w:pPr>
    <w:rPr>
      <w:rFonts w:eastAsia="Times New Roman"/>
    </w:rPr>
  </w:style>
  <w:style w:type="character" w:styleId="EndnoteReference">
    <w:name w:val="endnote reference"/>
    <w:uiPriority w:val="99"/>
    <w:semiHidden/>
    <w:rsid w:val="008B346D"/>
    <w:rPr>
      <w:vertAlign w:val="superscript"/>
    </w:rPr>
  </w:style>
  <w:style w:type="paragraph" w:customStyle="1" w:styleId="ColorfulList-Accent11">
    <w:name w:val="Colorful List - Accent 11"/>
    <w:basedOn w:val="Normal"/>
    <w:uiPriority w:val="99"/>
    <w:qFormat/>
    <w:rsid w:val="008B346D"/>
    <w:pPr>
      <w:widowControl w:val="0"/>
      <w:autoSpaceDE w:val="0"/>
      <w:autoSpaceDN w:val="0"/>
      <w:adjustRightInd w:val="0"/>
      <w:spacing w:after="0" w:line="240" w:lineRule="auto"/>
      <w:ind w:left="720"/>
    </w:pPr>
    <w:rPr>
      <w:rFonts w:eastAsia="Times New Roman"/>
    </w:rPr>
  </w:style>
  <w:style w:type="paragraph" w:customStyle="1" w:styleId="HTMLPreform">
    <w:name w:val="HTML Preform"/>
    <w:uiPriority w:val="99"/>
    <w:rsid w:val="008B346D"/>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jc w:val="both"/>
    </w:pPr>
    <w:rPr>
      <w:rFonts w:ascii="Arial Unicode MS" w:eastAsia="Times New Roman" w:hAnsi="Times New Roman"/>
    </w:rPr>
  </w:style>
  <w:style w:type="paragraph" w:customStyle="1" w:styleId="tabletext1">
    <w:name w:val="table text 1"/>
    <w:basedOn w:val="Normal"/>
    <w:rsid w:val="008B346D"/>
    <w:pPr>
      <w:widowControl w:val="0"/>
      <w:numPr>
        <w:numId w:val="5"/>
      </w:numPr>
      <w:autoSpaceDE w:val="0"/>
      <w:autoSpaceDN w:val="0"/>
      <w:adjustRightInd w:val="0"/>
      <w:spacing w:after="0" w:line="240" w:lineRule="auto"/>
      <w:jc w:val="center"/>
    </w:pPr>
    <w:rPr>
      <w:rFonts w:eastAsia="Times New Roman"/>
      <w:szCs w:val="20"/>
    </w:rPr>
  </w:style>
  <w:style w:type="paragraph" w:customStyle="1" w:styleId="TableColumnheadings">
    <w:name w:val="Table Column headings"/>
    <w:basedOn w:val="Normal"/>
    <w:rsid w:val="008B346D"/>
    <w:pPr>
      <w:keepNext/>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pacing w:before="60" w:after="60" w:line="240" w:lineRule="auto"/>
      <w:jc w:val="center"/>
    </w:pPr>
    <w:rPr>
      <w:rFonts w:eastAsia="Times New Roman"/>
      <w:b/>
      <w:bCs/>
      <w:szCs w:val="20"/>
    </w:rPr>
  </w:style>
  <w:style w:type="paragraph" w:styleId="NoteHeading">
    <w:name w:val="Note Heading"/>
    <w:basedOn w:val="Normal"/>
    <w:next w:val="Normal"/>
    <w:link w:val="NoteHeadingChar"/>
    <w:rsid w:val="008B346D"/>
    <w:pPr>
      <w:widowControl w:val="0"/>
      <w:spacing w:before="120" w:after="120" w:line="240" w:lineRule="auto"/>
      <w:jc w:val="both"/>
    </w:pPr>
    <w:rPr>
      <w:rFonts w:eastAsia="Times New Roman"/>
      <w:i/>
      <w:iCs/>
      <w:snapToGrid w:val="0"/>
      <w:szCs w:val="20"/>
    </w:rPr>
  </w:style>
  <w:style w:type="character" w:customStyle="1" w:styleId="NoteHeadingChar">
    <w:name w:val="Note Heading Char"/>
    <w:link w:val="NoteHeading"/>
    <w:rsid w:val="008B346D"/>
    <w:rPr>
      <w:rFonts w:ascii="Times New Roman" w:eastAsia="Times New Roman" w:hAnsi="Times New Roman"/>
      <w:i/>
      <w:iCs/>
      <w:snapToGrid w:val="0"/>
      <w:sz w:val="22"/>
    </w:rPr>
  </w:style>
  <w:style w:type="paragraph" w:customStyle="1" w:styleId="ExhibitTitle2">
    <w:name w:val="Exhibit Title 2"/>
    <w:basedOn w:val="Normal"/>
    <w:rsid w:val="008B346D"/>
    <w:pPr>
      <w:spacing w:after="480" w:line="240" w:lineRule="auto"/>
      <w:jc w:val="center"/>
    </w:pPr>
    <w:rPr>
      <w:rFonts w:ascii="Arial" w:eastAsia="Times New Roman" w:hAnsi="Arial" w:cs="Arial"/>
      <w:b/>
    </w:rPr>
  </w:style>
  <w:style w:type="paragraph" w:customStyle="1" w:styleId="Question">
    <w:name w:val="Question"/>
    <w:basedOn w:val="Normal"/>
    <w:rsid w:val="008B346D"/>
    <w:pPr>
      <w:keepNext/>
      <w:keepLines/>
      <w:numPr>
        <w:numId w:val="6"/>
      </w:numPr>
      <w:tabs>
        <w:tab w:val="clear" w:pos="720"/>
      </w:tabs>
      <w:spacing w:before="240" w:after="60" w:line="240" w:lineRule="auto"/>
      <w:ind w:left="540" w:hanging="540"/>
    </w:pPr>
    <w:rPr>
      <w:rFonts w:ascii="Arial" w:eastAsia="Times New Roman" w:hAnsi="Arial"/>
      <w:b/>
      <w:szCs w:val="20"/>
    </w:rPr>
  </w:style>
  <w:style w:type="paragraph" w:styleId="ListParagraph">
    <w:name w:val="List Paragraph"/>
    <w:basedOn w:val="Normal"/>
    <w:uiPriority w:val="34"/>
    <w:qFormat/>
    <w:rsid w:val="008B346D"/>
    <w:pPr>
      <w:spacing w:after="0" w:line="240" w:lineRule="auto"/>
      <w:ind w:left="720"/>
    </w:pPr>
    <w:rPr>
      <w:rFonts w:eastAsia="Times New Roman"/>
      <w:szCs w:val="20"/>
    </w:rPr>
  </w:style>
  <w:style w:type="paragraph" w:customStyle="1" w:styleId="Default">
    <w:name w:val="Default"/>
    <w:link w:val="DefaultChar"/>
    <w:uiPriority w:val="99"/>
    <w:rsid w:val="008B346D"/>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uiPriority w:val="99"/>
    <w:locked/>
    <w:rsid w:val="008B346D"/>
    <w:rPr>
      <w:rFonts w:ascii="Arial" w:eastAsia="Times New Roman" w:hAnsi="Arial" w:cs="Arial"/>
      <w:color w:val="000000"/>
      <w:sz w:val="24"/>
      <w:szCs w:val="24"/>
    </w:rPr>
  </w:style>
  <w:style w:type="paragraph" w:styleId="Revision">
    <w:name w:val="Revision"/>
    <w:hidden/>
    <w:uiPriority w:val="99"/>
    <w:semiHidden/>
    <w:rsid w:val="008B346D"/>
    <w:rPr>
      <w:sz w:val="22"/>
      <w:szCs w:val="22"/>
    </w:rPr>
  </w:style>
  <w:style w:type="paragraph" w:customStyle="1" w:styleId="msolistparagraph0">
    <w:name w:val="msolistparagraph"/>
    <w:basedOn w:val="Normal"/>
    <w:uiPriority w:val="99"/>
    <w:rsid w:val="008B346D"/>
    <w:pPr>
      <w:spacing w:after="0" w:line="240" w:lineRule="auto"/>
      <w:ind w:left="720"/>
    </w:pPr>
  </w:style>
  <w:style w:type="character" w:styleId="LineNumber">
    <w:name w:val="line number"/>
    <w:uiPriority w:val="99"/>
    <w:rsid w:val="008B346D"/>
    <w:rPr>
      <w:rFonts w:cs="Times New Roman"/>
    </w:rPr>
  </w:style>
  <w:style w:type="paragraph" w:customStyle="1" w:styleId="REF">
    <w:name w:val="REF"/>
    <w:basedOn w:val="Normal"/>
    <w:rsid w:val="008B346D"/>
    <w:pPr>
      <w:spacing w:after="240" w:line="228" w:lineRule="auto"/>
      <w:ind w:left="720" w:hanging="720"/>
    </w:pPr>
    <w:rPr>
      <w:color w:val="000000"/>
    </w:rPr>
  </w:style>
  <w:style w:type="paragraph" w:customStyle="1" w:styleId="Assingment">
    <w:name w:val="Assingment"/>
    <w:basedOn w:val="Normal"/>
    <w:qFormat/>
    <w:rsid w:val="008B346D"/>
    <w:pPr>
      <w:spacing w:before="240" w:after="60" w:line="240" w:lineRule="auto"/>
      <w:jc w:val="center"/>
      <w:outlineLvl w:val="4"/>
    </w:pPr>
    <w:rPr>
      <w:rFonts w:ascii="Comic Sans MS" w:eastAsia="Times New Roman" w:hAnsi="Comic Sans MS"/>
      <w:b/>
      <w:bCs/>
      <w:i/>
      <w:iCs/>
      <w:szCs w:val="20"/>
    </w:rPr>
  </w:style>
  <w:style w:type="paragraph" w:styleId="TOCHeading">
    <w:name w:val="TOC Heading"/>
    <w:basedOn w:val="Heading1"/>
    <w:next w:val="Normal"/>
    <w:uiPriority w:val="39"/>
    <w:unhideWhenUsed/>
    <w:qFormat/>
    <w:rsid w:val="008B346D"/>
    <w:pPr>
      <w:keepLines/>
      <w:spacing w:before="0" w:after="120"/>
      <w:outlineLvl w:val="9"/>
    </w:pPr>
    <w:rPr>
      <w:color w:val="365F91"/>
      <w:kern w:val="0"/>
      <w:sz w:val="28"/>
      <w:szCs w:val="28"/>
      <w:lang w:eastAsia="ja-JP"/>
    </w:rPr>
  </w:style>
  <w:style w:type="paragraph" w:styleId="TOC3">
    <w:name w:val="toc 3"/>
    <w:basedOn w:val="Normal"/>
    <w:next w:val="Normal"/>
    <w:autoRedefine/>
    <w:uiPriority w:val="39"/>
    <w:unhideWhenUsed/>
    <w:rsid w:val="008B346D"/>
    <w:pPr>
      <w:tabs>
        <w:tab w:val="left" w:pos="1980"/>
        <w:tab w:val="right" w:leader="dot" w:pos="10790"/>
      </w:tabs>
      <w:spacing w:after="100" w:line="240" w:lineRule="auto"/>
      <w:ind w:left="1170"/>
    </w:pPr>
    <w:rPr>
      <w:rFonts w:eastAsia="Times New Roman"/>
      <w:noProof/>
      <w:szCs w:val="20"/>
    </w:rPr>
  </w:style>
  <w:style w:type="paragraph" w:styleId="TableofFigures">
    <w:name w:val="table of figures"/>
    <w:basedOn w:val="Normal"/>
    <w:next w:val="Normal"/>
    <w:uiPriority w:val="99"/>
    <w:unhideWhenUsed/>
    <w:rsid w:val="008B346D"/>
    <w:pPr>
      <w:spacing w:after="0" w:line="240" w:lineRule="auto"/>
    </w:pPr>
    <w:rPr>
      <w:rFonts w:eastAsia="Times New Roman"/>
      <w:szCs w:val="20"/>
    </w:rPr>
  </w:style>
  <w:style w:type="character" w:styleId="FollowedHyperlink">
    <w:name w:val="FollowedHyperlink"/>
    <w:uiPriority w:val="99"/>
    <w:semiHidden/>
    <w:unhideWhenUsed/>
    <w:rsid w:val="008B346D"/>
    <w:rPr>
      <w:color w:val="800080"/>
      <w:u w:val="single"/>
    </w:rPr>
  </w:style>
  <w:style w:type="paragraph" w:customStyle="1" w:styleId="xl65">
    <w:name w:val="xl65"/>
    <w:basedOn w:val="Normal"/>
    <w:rsid w:val="008B346D"/>
    <w:pPr>
      <w:spacing w:before="100" w:beforeAutospacing="1" w:after="100" w:afterAutospacing="1" w:line="240" w:lineRule="auto"/>
      <w:textAlignment w:val="center"/>
    </w:pPr>
    <w:rPr>
      <w:rFonts w:eastAsia="Times New Roman"/>
    </w:rPr>
  </w:style>
  <w:style w:type="paragraph" w:customStyle="1" w:styleId="xl66">
    <w:name w:val="xl66"/>
    <w:basedOn w:val="Normal"/>
    <w:rsid w:val="008B346D"/>
    <w:pPr>
      <w:spacing w:before="100" w:beforeAutospacing="1" w:after="100" w:afterAutospacing="1" w:line="240" w:lineRule="auto"/>
      <w:textAlignment w:val="center"/>
    </w:pPr>
    <w:rPr>
      <w:rFonts w:ascii="Courier New" w:eastAsia="Times New Roman" w:hAnsi="Courier New" w:cs="Courier New"/>
      <w:sz w:val="21"/>
      <w:szCs w:val="21"/>
    </w:rPr>
  </w:style>
  <w:style w:type="character" w:customStyle="1" w:styleId="apple-converted-space">
    <w:name w:val="apple-converted-space"/>
    <w:rsid w:val="008B346D"/>
  </w:style>
  <w:style w:type="character" w:styleId="Emphasis">
    <w:name w:val="Emphasis"/>
    <w:uiPriority w:val="20"/>
    <w:qFormat/>
    <w:rsid w:val="008B346D"/>
    <w:rPr>
      <w:i/>
      <w:iCs/>
    </w:rPr>
  </w:style>
  <w:style w:type="paragraph" w:styleId="NoSpacing">
    <w:name w:val="No Spacing"/>
    <w:link w:val="NoSpacingChar"/>
    <w:uiPriority w:val="1"/>
    <w:qFormat/>
    <w:rsid w:val="008B346D"/>
    <w:rPr>
      <w:sz w:val="22"/>
      <w:szCs w:val="22"/>
    </w:rPr>
  </w:style>
  <w:style w:type="paragraph" w:styleId="TOC4">
    <w:name w:val="toc 4"/>
    <w:basedOn w:val="Normal"/>
    <w:next w:val="Normal"/>
    <w:autoRedefine/>
    <w:uiPriority w:val="39"/>
    <w:unhideWhenUsed/>
    <w:rsid w:val="008B346D"/>
    <w:pPr>
      <w:spacing w:after="100" w:line="240" w:lineRule="auto"/>
      <w:ind w:left="720"/>
    </w:pPr>
    <w:rPr>
      <w:rFonts w:eastAsia="Times New Roman"/>
      <w:szCs w:val="20"/>
    </w:rPr>
  </w:style>
  <w:style w:type="table" w:customStyle="1" w:styleId="Style3">
    <w:name w:val="Style3"/>
    <w:basedOn w:val="TableWeb1"/>
    <w:uiPriority w:val="99"/>
    <w:rsid w:val="008B346D"/>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8B346D"/>
    <w:pPr>
      <w:spacing w:after="200" w:line="276"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oposalBullet1Last">
    <w:name w:val="Proposal Bullet 1 Last"/>
    <w:basedOn w:val="ProposalBullet1"/>
    <w:qFormat/>
    <w:rsid w:val="008B346D"/>
    <w:pPr>
      <w:spacing w:after="240"/>
    </w:pPr>
  </w:style>
  <w:style w:type="paragraph" w:customStyle="1" w:styleId="Q-1">
    <w:name w:val="Q-1"/>
    <w:basedOn w:val="ProposalTableText"/>
    <w:qFormat/>
    <w:rsid w:val="009A4C33"/>
    <w:pPr>
      <w:numPr>
        <w:numId w:val="7"/>
      </w:numPr>
      <w:ind w:left="342"/>
    </w:pPr>
  </w:style>
  <w:style w:type="paragraph" w:customStyle="1" w:styleId="Q-2">
    <w:name w:val="Q-2"/>
    <w:basedOn w:val="ProposalTableText"/>
    <w:qFormat/>
    <w:rsid w:val="009A4C33"/>
    <w:pPr>
      <w:numPr>
        <w:numId w:val="8"/>
      </w:numPr>
    </w:pPr>
  </w:style>
  <w:style w:type="paragraph" w:customStyle="1" w:styleId="BodyTextNYTSFlint">
    <w:name w:val="Body Text NYTS Flint"/>
    <w:basedOn w:val="Normal"/>
    <w:rsid w:val="009B5665"/>
    <w:pPr>
      <w:spacing w:after="240" w:line="240" w:lineRule="auto"/>
      <w:jc w:val="both"/>
    </w:pPr>
    <w:rPr>
      <w:rFonts w:eastAsia="Times New Roman"/>
      <w:szCs w:val="20"/>
    </w:rPr>
  </w:style>
  <w:style w:type="paragraph" w:customStyle="1" w:styleId="FootnoteNYTSFlint">
    <w:name w:val="Footnote NYTS Flint"/>
    <w:basedOn w:val="Normal"/>
    <w:rsid w:val="00D250B1"/>
    <w:pPr>
      <w:spacing w:after="0" w:line="240" w:lineRule="auto"/>
    </w:pPr>
    <w:rPr>
      <w:rFonts w:ascii="Arial" w:eastAsia="Times New Roman" w:hAnsi="Arial"/>
      <w:sz w:val="18"/>
      <w:szCs w:val="20"/>
    </w:rPr>
  </w:style>
  <w:style w:type="paragraph" w:customStyle="1" w:styleId="BulletSingleNYTSFlint">
    <w:name w:val="Bullet Single NYTS Flint"/>
    <w:basedOn w:val="Normal"/>
    <w:rsid w:val="00D250B1"/>
    <w:pPr>
      <w:numPr>
        <w:numId w:val="9"/>
      </w:numPr>
      <w:spacing w:after="0" w:line="240" w:lineRule="auto"/>
      <w:ind w:leftChars="314" w:left="1106" w:hangingChars="199" w:hanging="478"/>
    </w:pPr>
    <w:rPr>
      <w:rFonts w:eastAsia="Times New Roman"/>
      <w:szCs w:val="20"/>
    </w:rPr>
  </w:style>
  <w:style w:type="paragraph" w:customStyle="1" w:styleId="ExhibitHeadNYTSFlint">
    <w:name w:val="Exhibit Head NYTS Flint"/>
    <w:basedOn w:val="Normal"/>
    <w:qFormat/>
    <w:rsid w:val="00D250B1"/>
    <w:pPr>
      <w:spacing w:after="120" w:line="240" w:lineRule="auto"/>
      <w:jc w:val="center"/>
    </w:pPr>
    <w:rPr>
      <w:rFonts w:eastAsia="Times New Roman"/>
      <w:b/>
    </w:rPr>
  </w:style>
  <w:style w:type="character" w:customStyle="1" w:styleId="CommentTextChar1">
    <w:name w:val="Comment Text Char1"/>
    <w:basedOn w:val="DefaultParagraphFont"/>
    <w:uiPriority w:val="99"/>
    <w:semiHidden/>
    <w:rsid w:val="00D250B1"/>
    <w:rPr>
      <w:rFonts w:eastAsia="Calibri" w:cs="Times New Roman"/>
      <w:sz w:val="20"/>
      <w:szCs w:val="20"/>
    </w:rPr>
  </w:style>
  <w:style w:type="character" w:styleId="PlaceholderText">
    <w:name w:val="Placeholder Text"/>
    <w:basedOn w:val="DefaultParagraphFont"/>
    <w:uiPriority w:val="99"/>
    <w:semiHidden/>
    <w:rsid w:val="00D250B1"/>
    <w:rPr>
      <w:color w:val="808080"/>
    </w:rPr>
  </w:style>
  <w:style w:type="character" w:customStyle="1" w:styleId="NoSpacingChar">
    <w:name w:val="No Spacing Char"/>
    <w:basedOn w:val="DefaultParagraphFont"/>
    <w:link w:val="NoSpacing"/>
    <w:uiPriority w:val="1"/>
    <w:rsid w:val="00D250B1"/>
    <w:rPr>
      <w:sz w:val="22"/>
      <w:szCs w:val="22"/>
    </w:rPr>
  </w:style>
  <w:style w:type="character" w:customStyle="1" w:styleId="Heading9Char">
    <w:name w:val="Heading 9 Char"/>
    <w:basedOn w:val="DefaultParagraphFont"/>
    <w:link w:val="Heading9"/>
    <w:uiPriority w:val="9"/>
    <w:semiHidden/>
    <w:rsid w:val="0020454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20454F"/>
    <w:pPr>
      <w:numPr>
        <w:numId w:val="14"/>
      </w:numPr>
    </w:pPr>
  </w:style>
  <w:style w:type="table" w:customStyle="1" w:styleId="GridTable5DarkAccent1">
    <w:name w:val="Grid Table 5 Dark Accent 1"/>
    <w:basedOn w:val="TableNormal"/>
    <w:uiPriority w:val="50"/>
    <w:rsid w:val="00707C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Note Heading"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03"/>
    <w:pPr>
      <w:spacing w:after="200" w:line="276" w:lineRule="auto"/>
    </w:pPr>
    <w:rPr>
      <w:rFonts w:ascii="Times New Roman" w:hAnsi="Times New Roman"/>
      <w:sz w:val="24"/>
      <w:szCs w:val="24"/>
    </w:rPr>
  </w:style>
  <w:style w:type="paragraph" w:styleId="Heading1">
    <w:name w:val="heading 1"/>
    <w:aliases w:val="Heading 1 NYTS Flint"/>
    <w:basedOn w:val="Normal"/>
    <w:next w:val="Normal"/>
    <w:link w:val="Heading1Char"/>
    <w:uiPriority w:val="9"/>
    <w:qFormat/>
    <w:rsid w:val="00563ED6"/>
    <w:pPr>
      <w:keepNext/>
      <w:numPr>
        <w:numId w:val="10"/>
      </w:numPr>
      <w:spacing w:before="240" w:after="60"/>
      <w:ind w:left="1242"/>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5A3035"/>
    <w:pPr>
      <w:keepNext/>
      <w:numPr>
        <w:ilvl w:val="1"/>
        <w:numId w:val="10"/>
      </w:numPr>
      <w:spacing w:before="240" w:after="60"/>
      <w:outlineLvl w:val="1"/>
    </w:pPr>
    <w:rPr>
      <w:rFonts w:ascii="Arial" w:eastAsia="Times New Roman" w:hAnsi="Arial"/>
      <w:b/>
      <w:bCs/>
      <w:iCs/>
      <w:color w:val="0070C0"/>
      <w:szCs w:val="28"/>
    </w:rPr>
  </w:style>
  <w:style w:type="paragraph" w:styleId="Heading3">
    <w:name w:val="heading 3"/>
    <w:basedOn w:val="Normal"/>
    <w:next w:val="Normal"/>
    <w:link w:val="Heading3Char"/>
    <w:uiPriority w:val="9"/>
    <w:unhideWhenUsed/>
    <w:qFormat/>
    <w:rsid w:val="00563ED6"/>
    <w:pPr>
      <w:keepNext/>
      <w:numPr>
        <w:ilvl w:val="2"/>
        <w:numId w:val="10"/>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8B346D"/>
    <w:pPr>
      <w:keepNext/>
      <w:numPr>
        <w:ilvl w:val="3"/>
        <w:numId w:val="10"/>
      </w:numPr>
      <w:spacing w:before="240" w:after="60" w:line="240" w:lineRule="auto"/>
      <w:outlineLvl w:val="3"/>
    </w:pPr>
    <w:rPr>
      <w:rFonts w:eastAsia="Times New Roman"/>
      <w:b/>
      <w:bCs/>
      <w:i/>
      <w:color w:val="548DD4"/>
      <w:szCs w:val="28"/>
    </w:rPr>
  </w:style>
  <w:style w:type="paragraph" w:styleId="Heading5">
    <w:name w:val="heading 5"/>
    <w:basedOn w:val="Normal"/>
    <w:next w:val="Normal"/>
    <w:link w:val="Heading5Char"/>
    <w:unhideWhenUsed/>
    <w:qFormat/>
    <w:rsid w:val="008B346D"/>
    <w:pPr>
      <w:keepNext/>
      <w:keepLines/>
      <w:numPr>
        <w:ilvl w:val="4"/>
        <w:numId w:val="10"/>
      </w:numPr>
      <w:spacing w:before="200" w:after="0" w:line="240" w:lineRule="auto"/>
      <w:outlineLvl w:val="4"/>
    </w:pPr>
    <w:rPr>
      <w:rFonts w:ascii="Cambria" w:eastAsia="Times New Roman" w:hAnsi="Cambria"/>
      <w:color w:val="243F60"/>
      <w:szCs w:val="20"/>
    </w:rPr>
  </w:style>
  <w:style w:type="paragraph" w:styleId="Heading6">
    <w:name w:val="heading 6"/>
    <w:basedOn w:val="Normal"/>
    <w:next w:val="Normal"/>
    <w:link w:val="Heading6Char"/>
    <w:qFormat/>
    <w:rsid w:val="008B346D"/>
    <w:pPr>
      <w:keepNext/>
      <w:numPr>
        <w:ilvl w:val="5"/>
        <w:numId w:val="10"/>
      </w:numPr>
      <w:tabs>
        <w:tab w:val="left" w:pos="0"/>
        <w:tab w:val="left" w:pos="2160"/>
      </w:tabs>
      <w:suppressAutoHyphens/>
      <w:spacing w:after="240" w:line="240" w:lineRule="auto"/>
      <w:jc w:val="center"/>
      <w:outlineLvl w:val="5"/>
    </w:pPr>
    <w:rPr>
      <w:rFonts w:eastAsia="Times New Roman"/>
      <w:b/>
    </w:rPr>
  </w:style>
  <w:style w:type="paragraph" w:styleId="Heading7">
    <w:name w:val="heading 7"/>
    <w:basedOn w:val="Normal"/>
    <w:next w:val="Normal"/>
    <w:link w:val="Heading7Char"/>
    <w:uiPriority w:val="99"/>
    <w:qFormat/>
    <w:rsid w:val="008B346D"/>
    <w:pPr>
      <w:numPr>
        <w:ilvl w:val="6"/>
        <w:numId w:val="10"/>
      </w:numPr>
      <w:spacing w:before="240" w:after="60" w:line="240" w:lineRule="auto"/>
      <w:outlineLvl w:val="6"/>
    </w:pPr>
    <w:rPr>
      <w:rFonts w:eastAsia="Times New Roman"/>
    </w:rPr>
  </w:style>
  <w:style w:type="paragraph" w:styleId="Heading8">
    <w:name w:val="heading 8"/>
    <w:basedOn w:val="Normal"/>
    <w:next w:val="Normal"/>
    <w:link w:val="Heading8Char"/>
    <w:uiPriority w:val="99"/>
    <w:qFormat/>
    <w:rsid w:val="008B346D"/>
    <w:pPr>
      <w:keepNext/>
      <w:numPr>
        <w:ilvl w:val="7"/>
        <w:numId w:val="10"/>
      </w:numPr>
      <w:tabs>
        <w:tab w:val="left" w:pos="0"/>
        <w:tab w:val="left" w:pos="1710"/>
        <w:tab w:val="left" w:pos="2160"/>
      </w:tabs>
      <w:suppressAutoHyphens/>
      <w:spacing w:after="240" w:line="240" w:lineRule="auto"/>
      <w:jc w:val="both"/>
      <w:outlineLvl w:val="7"/>
    </w:pPr>
    <w:rPr>
      <w:rFonts w:eastAsia="Times New Roman"/>
      <w:spacing w:val="-3"/>
      <w:szCs w:val="20"/>
    </w:rPr>
  </w:style>
  <w:style w:type="paragraph" w:styleId="Heading9">
    <w:name w:val="heading 9"/>
    <w:basedOn w:val="Normal"/>
    <w:next w:val="Normal"/>
    <w:link w:val="Heading9Char"/>
    <w:uiPriority w:val="9"/>
    <w:semiHidden/>
    <w:unhideWhenUsed/>
    <w:qFormat/>
    <w:rsid w:val="0020454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556B2D"/>
    <w:pPr>
      <w:tabs>
        <w:tab w:val="center" w:pos="4680"/>
        <w:tab w:val="right" w:pos="9360"/>
      </w:tabs>
      <w:jc w:val="right"/>
    </w:pPr>
    <w:rPr>
      <w:rFonts w:ascii="Arial Narrow" w:hAnsi="Arial Narrow"/>
      <w:i/>
      <w:color w:val="0072C6"/>
      <w:sz w:val="16"/>
      <w:szCs w:val="22"/>
    </w:rPr>
  </w:style>
  <w:style w:type="character" w:customStyle="1" w:styleId="HeaderChar">
    <w:name w:val="Header Char"/>
    <w:link w:val="Header"/>
    <w:uiPriority w:val="99"/>
    <w:rsid w:val="00556B2D"/>
    <w:rPr>
      <w:rFonts w:ascii="Arial Narrow" w:hAnsi="Arial Narrow"/>
      <w:i/>
      <w:color w:val="0072C6"/>
      <w:sz w:val="16"/>
    </w:rPr>
  </w:style>
  <w:style w:type="paragraph" w:styleId="BalloonText">
    <w:name w:val="Balloon Text"/>
    <w:basedOn w:val="Normal"/>
    <w:link w:val="BalloonTextChar"/>
    <w:uiPriority w:val="99"/>
    <w:unhideWhenUsed/>
    <w:rsid w:val="00556B2D"/>
    <w:pPr>
      <w:spacing w:after="0" w:line="240" w:lineRule="auto"/>
    </w:pPr>
    <w:rPr>
      <w:rFonts w:ascii="Tahoma" w:hAnsi="Tahoma" w:cs="Tahoma"/>
      <w:sz w:val="16"/>
      <w:szCs w:val="16"/>
    </w:rPr>
  </w:style>
  <w:style w:type="character" w:customStyle="1" w:styleId="BalloonTextChar">
    <w:name w:val="Balloon Text Char"/>
    <w:link w:val="BalloonText"/>
    <w:uiPriority w:val="99"/>
    <w:rsid w:val="00556B2D"/>
    <w:rPr>
      <w:rFonts w:ascii="Tahoma" w:hAnsi="Tahoma" w:cs="Tahoma"/>
      <w:sz w:val="16"/>
      <w:szCs w:val="16"/>
    </w:rPr>
  </w:style>
  <w:style w:type="paragraph" w:customStyle="1" w:styleId="Proposal1">
    <w:name w:val="Proposal 1"/>
    <w:next w:val="NormalWeb"/>
    <w:qFormat/>
    <w:rsid w:val="00BA4149"/>
    <w:pPr>
      <w:pBdr>
        <w:bottom w:val="single" w:sz="8" w:space="1" w:color="auto"/>
      </w:pBdr>
      <w:spacing w:after="240"/>
      <w:outlineLvl w:val="0"/>
    </w:pPr>
    <w:rPr>
      <w:rFonts w:ascii="Arial Black" w:hAnsi="Arial Black"/>
      <w:smallCaps/>
      <w:sz w:val="24"/>
      <w:szCs w:val="22"/>
    </w:rPr>
  </w:style>
  <w:style w:type="paragraph" w:styleId="Footer">
    <w:name w:val="footer"/>
    <w:basedOn w:val="Normal"/>
    <w:link w:val="FooterChar"/>
    <w:uiPriority w:val="99"/>
    <w:unhideWhenUsed/>
    <w:rsid w:val="0086060C"/>
    <w:pPr>
      <w:pBdr>
        <w:bottom w:val="single" w:sz="18" w:space="3" w:color="0072C6"/>
      </w:pBdr>
      <w:tabs>
        <w:tab w:val="center" w:pos="4680"/>
        <w:tab w:val="right" w:pos="9360"/>
      </w:tabs>
      <w:spacing w:after="0" w:line="240" w:lineRule="auto"/>
      <w:jc w:val="center"/>
    </w:pPr>
    <w:rPr>
      <w:rFonts w:ascii="Arial" w:hAnsi="Arial"/>
      <w:color w:val="0072C6"/>
      <w:sz w:val="18"/>
    </w:rPr>
  </w:style>
  <w:style w:type="character" w:customStyle="1" w:styleId="FooterChar">
    <w:name w:val="Footer Char"/>
    <w:link w:val="Footer"/>
    <w:uiPriority w:val="99"/>
    <w:rsid w:val="0086060C"/>
    <w:rPr>
      <w:rFonts w:ascii="Arial" w:hAnsi="Arial"/>
      <w:color w:val="0072C6"/>
      <w:sz w:val="18"/>
      <w:szCs w:val="22"/>
    </w:rPr>
  </w:style>
  <w:style w:type="paragraph" w:customStyle="1" w:styleId="Footer2">
    <w:name w:val="Footer 2"/>
    <w:qFormat/>
    <w:rsid w:val="0086060C"/>
    <w:pPr>
      <w:spacing w:before="60"/>
      <w:jc w:val="center"/>
    </w:pPr>
    <w:rPr>
      <w:rFonts w:ascii="Arial" w:hAnsi="Arial"/>
      <w:color w:val="0072C6"/>
      <w:sz w:val="18"/>
      <w:szCs w:val="22"/>
    </w:rPr>
  </w:style>
  <w:style w:type="paragraph" w:customStyle="1" w:styleId="ProposalBodyText">
    <w:name w:val="Proposal Body Text"/>
    <w:link w:val="ProposalBodyTextChar"/>
    <w:qFormat/>
    <w:rsid w:val="0086060C"/>
    <w:pPr>
      <w:spacing w:after="240"/>
      <w:jc w:val="both"/>
    </w:pPr>
    <w:rPr>
      <w:rFonts w:ascii="Times New Roman" w:hAnsi="Times New Roman"/>
      <w:sz w:val="24"/>
      <w:szCs w:val="22"/>
    </w:rPr>
  </w:style>
  <w:style w:type="paragraph" w:customStyle="1" w:styleId="Proposal2">
    <w:name w:val="Proposal 2"/>
    <w:qFormat/>
    <w:rsid w:val="00E4443D"/>
    <w:pPr>
      <w:spacing w:after="200"/>
      <w:ind w:left="720" w:hanging="720"/>
      <w:outlineLvl w:val="1"/>
    </w:pPr>
    <w:rPr>
      <w:rFonts w:ascii="Arial" w:hAnsi="Arial" w:cs="Arial"/>
      <w:b/>
      <w:color w:val="0070C0"/>
      <w:sz w:val="24"/>
      <w:szCs w:val="22"/>
    </w:rPr>
  </w:style>
  <w:style w:type="paragraph" w:customStyle="1" w:styleId="Proposal3">
    <w:name w:val="Proposal 3"/>
    <w:qFormat/>
    <w:rsid w:val="00E4443D"/>
    <w:pPr>
      <w:spacing w:after="200"/>
      <w:ind w:left="720" w:hanging="720"/>
      <w:outlineLvl w:val="2"/>
    </w:pPr>
    <w:rPr>
      <w:rFonts w:ascii="Arial" w:hAnsi="Arial"/>
      <w:b/>
      <w:sz w:val="24"/>
      <w:szCs w:val="22"/>
    </w:rPr>
  </w:style>
  <w:style w:type="paragraph" w:customStyle="1" w:styleId="Proposal4">
    <w:name w:val="Proposal 4"/>
    <w:qFormat/>
    <w:rsid w:val="003C17B9"/>
    <w:pPr>
      <w:tabs>
        <w:tab w:val="left" w:pos="900"/>
      </w:tabs>
      <w:spacing w:after="200"/>
    </w:pPr>
    <w:rPr>
      <w:rFonts w:ascii="Arial Narrow" w:hAnsi="Arial Narrow"/>
      <w:b/>
      <w:color w:val="0070C0"/>
      <w:sz w:val="24"/>
      <w:szCs w:val="22"/>
    </w:rPr>
  </w:style>
  <w:style w:type="paragraph" w:customStyle="1" w:styleId="ProposalBullet1">
    <w:name w:val="Proposal Bullet 1"/>
    <w:qFormat/>
    <w:rsid w:val="0086060C"/>
    <w:pPr>
      <w:numPr>
        <w:numId w:val="1"/>
      </w:numPr>
      <w:spacing w:after="120"/>
    </w:pPr>
    <w:rPr>
      <w:rFonts w:ascii="Times New Roman" w:hAnsi="Times New Roman"/>
      <w:sz w:val="24"/>
      <w:szCs w:val="22"/>
    </w:rPr>
  </w:style>
  <w:style w:type="paragraph" w:customStyle="1" w:styleId="ProposalTableHeader">
    <w:name w:val="Proposal Table Header"/>
    <w:qFormat/>
    <w:rsid w:val="0084161F"/>
    <w:pPr>
      <w:spacing w:after="120"/>
      <w:jc w:val="center"/>
    </w:pPr>
    <w:rPr>
      <w:rFonts w:ascii="Arial Narrow" w:hAnsi="Arial Narrow"/>
      <w:b/>
      <w:smallCaps/>
      <w:color w:val="0070C0"/>
      <w:sz w:val="24"/>
      <w:szCs w:val="22"/>
    </w:rPr>
  </w:style>
  <w:style w:type="table" w:styleId="TableGrid">
    <w:name w:val="Table Grid"/>
    <w:basedOn w:val="TableNormal"/>
    <w:uiPriority w:val="59"/>
    <w:rsid w:val="00CF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ableHeaderRow">
    <w:name w:val="Proposal Table Header Row"/>
    <w:qFormat/>
    <w:rsid w:val="008176F7"/>
    <w:pPr>
      <w:spacing w:before="40" w:after="40"/>
    </w:pPr>
    <w:rPr>
      <w:rFonts w:ascii="Arial Narrow" w:hAnsi="Arial Narrow"/>
      <w:b/>
      <w:color w:val="FFFFFF"/>
      <w:sz w:val="22"/>
      <w:szCs w:val="22"/>
    </w:rPr>
  </w:style>
  <w:style w:type="paragraph" w:customStyle="1" w:styleId="ProposalTableHeader2">
    <w:name w:val="Proposal Table Header 2"/>
    <w:qFormat/>
    <w:rsid w:val="009346DF"/>
    <w:pPr>
      <w:spacing w:before="40" w:after="40"/>
    </w:pPr>
    <w:rPr>
      <w:rFonts w:ascii="Arial Narrow" w:hAnsi="Arial Narrow"/>
      <w:b/>
      <w:sz w:val="22"/>
      <w:szCs w:val="22"/>
    </w:rPr>
  </w:style>
  <w:style w:type="paragraph" w:customStyle="1" w:styleId="ProposalTableText">
    <w:name w:val="Proposal Table Text"/>
    <w:qFormat/>
    <w:rsid w:val="009346DF"/>
    <w:pPr>
      <w:spacing w:before="40" w:after="40"/>
    </w:pPr>
    <w:rPr>
      <w:rFonts w:ascii="Arial Narrow" w:hAnsi="Arial Narrow"/>
      <w:sz w:val="22"/>
      <w:szCs w:val="22"/>
    </w:rPr>
  </w:style>
  <w:style w:type="paragraph" w:customStyle="1" w:styleId="ProposalTableBullet">
    <w:name w:val="Proposal Table Bullet"/>
    <w:qFormat/>
    <w:rsid w:val="009346DF"/>
    <w:pPr>
      <w:numPr>
        <w:numId w:val="2"/>
      </w:numPr>
      <w:spacing w:before="40" w:after="40"/>
      <w:ind w:left="216" w:hanging="216"/>
    </w:pPr>
    <w:rPr>
      <w:rFonts w:ascii="Arial Narrow" w:hAnsi="Arial Narrow"/>
      <w:sz w:val="22"/>
      <w:szCs w:val="22"/>
    </w:rPr>
  </w:style>
  <w:style w:type="paragraph" w:customStyle="1" w:styleId="ProposalTextBoxHeading">
    <w:name w:val="Proposal Text Box Heading"/>
    <w:qFormat/>
    <w:rsid w:val="00A9592F"/>
    <w:pPr>
      <w:jc w:val="center"/>
    </w:pPr>
    <w:rPr>
      <w:rFonts w:ascii="Arial Narrow" w:hAnsi="Arial Narrow"/>
      <w:b/>
      <w:szCs w:val="22"/>
    </w:rPr>
  </w:style>
  <w:style w:type="paragraph" w:customStyle="1" w:styleId="ProposalTextBoxText">
    <w:name w:val="Proposal Text Box Text"/>
    <w:qFormat/>
    <w:rsid w:val="00A9592F"/>
    <w:rPr>
      <w:rFonts w:ascii="Arial Narrow" w:hAnsi="Arial Narrow"/>
      <w:szCs w:val="22"/>
    </w:rPr>
  </w:style>
  <w:style w:type="paragraph" w:customStyle="1" w:styleId="ProposalBullet2">
    <w:name w:val="Proposal Bullet 2"/>
    <w:basedOn w:val="ProposalBullet1"/>
    <w:qFormat/>
    <w:rsid w:val="00563ED6"/>
    <w:pPr>
      <w:numPr>
        <w:numId w:val="3"/>
      </w:numPr>
      <w:ind w:left="1080"/>
    </w:pPr>
  </w:style>
  <w:style w:type="character" w:customStyle="1" w:styleId="Heading1Char">
    <w:name w:val="Heading 1 Char"/>
    <w:aliases w:val="Heading 1 NYTS Flint Char"/>
    <w:link w:val="Heading1"/>
    <w:uiPriority w:val="9"/>
    <w:rsid w:val="00563ED6"/>
    <w:rPr>
      <w:rFonts w:ascii="Cambria" w:eastAsia="Times New Roman" w:hAnsi="Cambria"/>
      <w:b/>
      <w:bCs/>
      <w:kern w:val="32"/>
      <w:sz w:val="32"/>
      <w:szCs w:val="32"/>
    </w:rPr>
  </w:style>
  <w:style w:type="character" w:customStyle="1" w:styleId="Heading2Char">
    <w:name w:val="Heading 2 Char"/>
    <w:link w:val="Heading2"/>
    <w:rsid w:val="005A3035"/>
    <w:rPr>
      <w:rFonts w:ascii="Arial" w:eastAsia="Times New Roman" w:hAnsi="Arial"/>
      <w:b/>
      <w:bCs/>
      <w:iCs/>
      <w:color w:val="0070C0"/>
      <w:sz w:val="24"/>
      <w:szCs w:val="28"/>
    </w:rPr>
  </w:style>
  <w:style w:type="character" w:customStyle="1" w:styleId="Heading3Char">
    <w:name w:val="Heading 3 Char"/>
    <w:link w:val="Heading3"/>
    <w:uiPriority w:val="9"/>
    <w:rsid w:val="00563ED6"/>
    <w:rPr>
      <w:rFonts w:ascii="Cambria" w:eastAsia="Times New Roman" w:hAnsi="Cambria"/>
      <w:b/>
      <w:bCs/>
      <w:sz w:val="26"/>
      <w:szCs w:val="26"/>
    </w:rPr>
  </w:style>
  <w:style w:type="paragraph" w:styleId="TOC1">
    <w:name w:val="toc 1"/>
    <w:basedOn w:val="Normal"/>
    <w:next w:val="Normal"/>
    <w:autoRedefine/>
    <w:uiPriority w:val="39"/>
    <w:unhideWhenUsed/>
    <w:rsid w:val="002D4F07"/>
    <w:pPr>
      <w:tabs>
        <w:tab w:val="right" w:leader="dot" w:pos="9350"/>
      </w:tabs>
      <w:spacing w:after="120" w:line="240" w:lineRule="auto"/>
    </w:pPr>
    <w:rPr>
      <w:rFonts w:ascii="Arial" w:hAnsi="Arial"/>
      <w:b/>
      <w:noProof/>
      <w:color w:val="0070C0"/>
    </w:rPr>
  </w:style>
  <w:style w:type="paragraph" w:styleId="TOC2">
    <w:name w:val="toc 2"/>
    <w:basedOn w:val="Normal"/>
    <w:next w:val="Normal"/>
    <w:autoRedefine/>
    <w:uiPriority w:val="39"/>
    <w:unhideWhenUsed/>
    <w:rsid w:val="002D4F07"/>
    <w:pPr>
      <w:tabs>
        <w:tab w:val="left" w:pos="720"/>
        <w:tab w:val="right" w:leader="dot" w:pos="9350"/>
      </w:tabs>
      <w:spacing w:after="120" w:line="240" w:lineRule="auto"/>
      <w:ind w:left="216"/>
    </w:pPr>
    <w:rPr>
      <w:rFonts w:ascii="Arial" w:hAnsi="Arial"/>
    </w:rPr>
  </w:style>
  <w:style w:type="character" w:styleId="Hyperlink">
    <w:name w:val="Hyperlink"/>
    <w:uiPriority w:val="99"/>
    <w:unhideWhenUsed/>
    <w:rsid w:val="00563ED6"/>
    <w:rPr>
      <w:color w:val="0000FF"/>
      <w:u w:val="single"/>
    </w:rPr>
  </w:style>
  <w:style w:type="paragraph" w:customStyle="1" w:styleId="TOC">
    <w:name w:val="TOC"/>
    <w:basedOn w:val="Proposal1"/>
    <w:qFormat/>
    <w:rsid w:val="00563ED6"/>
  </w:style>
  <w:style w:type="paragraph" w:customStyle="1" w:styleId="Style1">
    <w:name w:val="Style1"/>
    <w:basedOn w:val="Normal"/>
    <w:qFormat/>
    <w:rsid w:val="007F6957"/>
    <w:pPr>
      <w:pBdr>
        <w:bottom w:val="dotted" w:sz="6" w:space="1" w:color="77486A"/>
      </w:pBdr>
      <w:tabs>
        <w:tab w:val="center" w:pos="4680"/>
        <w:tab w:val="right" w:pos="9360"/>
      </w:tabs>
      <w:autoSpaceDE w:val="0"/>
      <w:autoSpaceDN w:val="0"/>
      <w:adjustRightInd w:val="0"/>
      <w:spacing w:before="40" w:after="40" w:line="240" w:lineRule="auto"/>
      <w:jc w:val="center"/>
      <w:outlineLvl w:val="0"/>
    </w:pPr>
    <w:rPr>
      <w:rFonts w:ascii="Arial Narrow" w:eastAsia="Times New Roman" w:hAnsi="Arial Narrow" w:cs="Arial"/>
      <w:color w:val="77486A"/>
      <w:sz w:val="20"/>
      <w:szCs w:val="20"/>
    </w:rPr>
  </w:style>
  <w:style w:type="character" w:customStyle="1" w:styleId="ProposalBodyTextChar">
    <w:name w:val="Proposal Body Text Char"/>
    <w:link w:val="ProposalBodyText"/>
    <w:rsid w:val="0086060C"/>
    <w:rPr>
      <w:rFonts w:ascii="Times New Roman" w:hAnsi="Times New Roman"/>
      <w:sz w:val="24"/>
      <w:szCs w:val="22"/>
    </w:rPr>
  </w:style>
  <w:style w:type="paragraph" w:customStyle="1" w:styleId="App1">
    <w:name w:val="App 1"/>
    <w:basedOn w:val="Normal"/>
    <w:qFormat/>
    <w:rsid w:val="00530E23"/>
    <w:pPr>
      <w:pBdr>
        <w:bottom w:val="single" w:sz="36" w:space="1" w:color="BDE3FF"/>
      </w:pBdr>
      <w:tabs>
        <w:tab w:val="left" w:pos="3024"/>
        <w:tab w:val="center" w:pos="4680"/>
      </w:tabs>
      <w:jc w:val="center"/>
    </w:pPr>
    <w:rPr>
      <w:rFonts w:ascii="Arial Black" w:hAnsi="Arial Black" w:cs="Arial"/>
      <w:color w:val="0072C6"/>
      <w:sz w:val="80"/>
      <w:szCs w:val="80"/>
    </w:rPr>
  </w:style>
  <w:style w:type="paragraph" w:customStyle="1" w:styleId="App2">
    <w:name w:val="App 2"/>
    <w:basedOn w:val="Normal"/>
    <w:qFormat/>
    <w:rsid w:val="00530E23"/>
    <w:pPr>
      <w:tabs>
        <w:tab w:val="left" w:pos="3024"/>
        <w:tab w:val="center" w:pos="4680"/>
      </w:tabs>
      <w:jc w:val="center"/>
    </w:pPr>
    <w:rPr>
      <w:rFonts w:ascii="Arial" w:hAnsi="Arial" w:cs="Arial"/>
      <w:b/>
      <w:color w:val="0072C6"/>
      <w:sz w:val="56"/>
      <w:szCs w:val="56"/>
    </w:rPr>
  </w:style>
  <w:style w:type="paragraph" w:customStyle="1" w:styleId="App3">
    <w:name w:val="App 3"/>
    <w:basedOn w:val="Proposal1"/>
    <w:qFormat/>
    <w:rsid w:val="001D11FD"/>
  </w:style>
  <w:style w:type="paragraph" w:styleId="FootnoteText">
    <w:name w:val="footnote text"/>
    <w:basedOn w:val="Normal"/>
    <w:link w:val="FootnoteTextChar"/>
    <w:uiPriority w:val="99"/>
    <w:rsid w:val="00BD2BB1"/>
    <w:pPr>
      <w:widowControl w:val="0"/>
      <w:spacing w:after="0" w:line="240" w:lineRule="auto"/>
    </w:pPr>
    <w:rPr>
      <w:rFonts w:eastAsia="Times New Roman"/>
      <w:snapToGrid w:val="0"/>
      <w:szCs w:val="20"/>
    </w:rPr>
  </w:style>
  <w:style w:type="character" w:customStyle="1" w:styleId="FootnoteTextChar">
    <w:name w:val="Footnote Text Char"/>
    <w:link w:val="FootnoteText"/>
    <w:uiPriority w:val="99"/>
    <w:rsid w:val="00BD2BB1"/>
    <w:rPr>
      <w:rFonts w:ascii="Times New Roman" w:eastAsia="Times New Roman" w:hAnsi="Times New Roman"/>
      <w:snapToGrid w:val="0"/>
      <w:sz w:val="24"/>
    </w:rPr>
  </w:style>
  <w:style w:type="character" w:styleId="FootnoteReference">
    <w:name w:val="footnote reference"/>
    <w:uiPriority w:val="99"/>
    <w:semiHidden/>
    <w:rsid w:val="00BD2BB1"/>
    <w:rPr>
      <w:sz w:val="24"/>
      <w:szCs w:val="24"/>
      <w:vertAlign w:val="superscript"/>
    </w:rPr>
  </w:style>
  <w:style w:type="paragraph" w:styleId="EndnoteText">
    <w:name w:val="endnote text"/>
    <w:basedOn w:val="Normal"/>
    <w:link w:val="EndnoteTextChar"/>
    <w:uiPriority w:val="99"/>
    <w:semiHidden/>
    <w:rsid w:val="00BD2BB1"/>
    <w:pPr>
      <w:spacing w:after="0" w:line="240" w:lineRule="auto"/>
    </w:pPr>
    <w:rPr>
      <w:rFonts w:eastAsia="Times New Roman"/>
      <w:szCs w:val="20"/>
    </w:rPr>
  </w:style>
  <w:style w:type="character" w:customStyle="1" w:styleId="EndnoteTextChar">
    <w:name w:val="Endnote Text Char"/>
    <w:link w:val="EndnoteText"/>
    <w:uiPriority w:val="99"/>
    <w:semiHidden/>
    <w:rsid w:val="00BD2BB1"/>
    <w:rPr>
      <w:rFonts w:ascii="Times New Roman" w:eastAsia="Times New Roman" w:hAnsi="Times New Roman"/>
      <w:sz w:val="24"/>
    </w:rPr>
  </w:style>
  <w:style w:type="paragraph" w:customStyle="1" w:styleId="ProposalFootnotes">
    <w:name w:val="Proposal Footnotes"/>
    <w:basedOn w:val="EndnoteText"/>
    <w:qFormat/>
    <w:rsid w:val="008B346D"/>
    <w:pPr>
      <w:spacing w:after="40"/>
    </w:pPr>
    <w:rPr>
      <w:sz w:val="20"/>
    </w:rPr>
  </w:style>
  <w:style w:type="character" w:customStyle="1" w:styleId="Heading4Char">
    <w:name w:val="Heading 4 Char"/>
    <w:link w:val="Heading4"/>
    <w:uiPriority w:val="9"/>
    <w:rsid w:val="008B346D"/>
    <w:rPr>
      <w:rFonts w:ascii="Times New Roman" w:eastAsia="Times New Roman" w:hAnsi="Times New Roman"/>
      <w:b/>
      <w:bCs/>
      <w:i/>
      <w:color w:val="548DD4"/>
      <w:sz w:val="24"/>
      <w:szCs w:val="28"/>
    </w:rPr>
  </w:style>
  <w:style w:type="character" w:customStyle="1" w:styleId="Heading5Char">
    <w:name w:val="Heading 5 Char"/>
    <w:link w:val="Heading5"/>
    <w:rsid w:val="008B346D"/>
    <w:rPr>
      <w:rFonts w:ascii="Cambria" w:eastAsia="Times New Roman" w:hAnsi="Cambria"/>
      <w:color w:val="243F60"/>
      <w:sz w:val="24"/>
    </w:rPr>
  </w:style>
  <w:style w:type="character" w:customStyle="1" w:styleId="Heading6Char">
    <w:name w:val="Heading 6 Char"/>
    <w:link w:val="Heading6"/>
    <w:rsid w:val="008B346D"/>
    <w:rPr>
      <w:rFonts w:ascii="Times New Roman" w:eastAsia="Times New Roman" w:hAnsi="Times New Roman"/>
      <w:b/>
      <w:sz w:val="24"/>
      <w:szCs w:val="24"/>
    </w:rPr>
  </w:style>
  <w:style w:type="character" w:customStyle="1" w:styleId="Heading7Char">
    <w:name w:val="Heading 7 Char"/>
    <w:link w:val="Heading7"/>
    <w:uiPriority w:val="99"/>
    <w:rsid w:val="008B346D"/>
    <w:rPr>
      <w:rFonts w:ascii="Times New Roman" w:eastAsia="Times New Roman" w:hAnsi="Times New Roman"/>
      <w:sz w:val="24"/>
      <w:szCs w:val="24"/>
    </w:rPr>
  </w:style>
  <w:style w:type="character" w:customStyle="1" w:styleId="Heading8Char">
    <w:name w:val="Heading 8 Char"/>
    <w:link w:val="Heading8"/>
    <w:uiPriority w:val="99"/>
    <w:rsid w:val="008B346D"/>
    <w:rPr>
      <w:rFonts w:ascii="Times New Roman" w:eastAsia="Times New Roman" w:hAnsi="Times New Roman"/>
      <w:spacing w:val="-3"/>
      <w:sz w:val="24"/>
    </w:rPr>
  </w:style>
  <w:style w:type="paragraph" w:styleId="Title">
    <w:name w:val="Title"/>
    <w:basedOn w:val="Normal"/>
    <w:link w:val="TitleChar"/>
    <w:qFormat/>
    <w:rsid w:val="008B346D"/>
    <w:pPr>
      <w:spacing w:after="0" w:line="360" w:lineRule="auto"/>
      <w:jc w:val="center"/>
    </w:pPr>
    <w:rPr>
      <w:rFonts w:eastAsia="Times New Roman"/>
      <w:b/>
      <w:spacing w:val="-3"/>
      <w:sz w:val="72"/>
      <w:szCs w:val="72"/>
    </w:rPr>
  </w:style>
  <w:style w:type="character" w:customStyle="1" w:styleId="TitleChar">
    <w:name w:val="Title Char"/>
    <w:link w:val="Title"/>
    <w:rsid w:val="008B346D"/>
    <w:rPr>
      <w:rFonts w:ascii="Times New Roman" w:eastAsia="Times New Roman" w:hAnsi="Times New Roman"/>
      <w:b/>
      <w:spacing w:val="-3"/>
      <w:sz w:val="72"/>
      <w:szCs w:val="72"/>
    </w:rPr>
  </w:style>
  <w:style w:type="paragraph" w:styleId="Subtitle">
    <w:name w:val="Subtitle"/>
    <w:basedOn w:val="Normal"/>
    <w:link w:val="SubtitleChar"/>
    <w:qFormat/>
    <w:rsid w:val="008B346D"/>
    <w:pPr>
      <w:spacing w:after="0" w:line="240" w:lineRule="auto"/>
      <w:jc w:val="center"/>
    </w:pPr>
    <w:rPr>
      <w:rFonts w:eastAsia="Times New Roman"/>
      <w:b/>
      <w:sz w:val="28"/>
      <w:szCs w:val="28"/>
    </w:rPr>
  </w:style>
  <w:style w:type="character" w:customStyle="1" w:styleId="SubtitleChar">
    <w:name w:val="Subtitle Char"/>
    <w:link w:val="Subtitle"/>
    <w:rsid w:val="008B346D"/>
    <w:rPr>
      <w:rFonts w:ascii="Times New Roman" w:eastAsia="Times New Roman" w:hAnsi="Times New Roman"/>
      <w:b/>
      <w:sz w:val="28"/>
      <w:szCs w:val="28"/>
    </w:rPr>
  </w:style>
  <w:style w:type="character" w:styleId="PageNumber">
    <w:name w:val="page number"/>
    <w:rsid w:val="008B346D"/>
  </w:style>
  <w:style w:type="paragraph" w:styleId="BodyText2">
    <w:name w:val="Body Text 2"/>
    <w:basedOn w:val="Normal"/>
    <w:link w:val="BodyText2Char"/>
    <w:rsid w:val="008B346D"/>
    <w:pPr>
      <w:spacing w:after="0" w:line="240" w:lineRule="auto"/>
      <w:jc w:val="both"/>
    </w:pPr>
    <w:rPr>
      <w:rFonts w:ascii="Garamond" w:eastAsia="Times New Roman" w:hAnsi="Garamond"/>
      <w:szCs w:val="20"/>
    </w:rPr>
  </w:style>
  <w:style w:type="character" w:customStyle="1" w:styleId="BodyText2Char">
    <w:name w:val="Body Text 2 Char"/>
    <w:link w:val="BodyText2"/>
    <w:rsid w:val="008B346D"/>
    <w:rPr>
      <w:rFonts w:ascii="Garamond" w:eastAsia="Times New Roman" w:hAnsi="Garamond"/>
      <w:sz w:val="24"/>
    </w:rPr>
  </w:style>
  <w:style w:type="paragraph" w:styleId="BodyText">
    <w:name w:val="Body Text"/>
    <w:basedOn w:val="Normal"/>
    <w:link w:val="BodyTextChar"/>
    <w:rsid w:val="008B346D"/>
    <w:pPr>
      <w:spacing w:after="0" w:line="240" w:lineRule="auto"/>
    </w:pPr>
    <w:rPr>
      <w:rFonts w:eastAsia="Times New Roman"/>
      <w:spacing w:val="-3"/>
      <w:szCs w:val="20"/>
    </w:rPr>
  </w:style>
  <w:style w:type="character" w:customStyle="1" w:styleId="BodyTextChar">
    <w:name w:val="Body Text Char"/>
    <w:link w:val="BodyText"/>
    <w:rsid w:val="008B346D"/>
    <w:rPr>
      <w:rFonts w:ascii="Times New Roman" w:eastAsia="Times New Roman" w:hAnsi="Times New Roman"/>
      <w:spacing w:val="-3"/>
      <w:sz w:val="24"/>
    </w:rPr>
  </w:style>
  <w:style w:type="paragraph" w:styleId="Caption">
    <w:name w:val="caption"/>
    <w:basedOn w:val="Normal"/>
    <w:next w:val="Normal"/>
    <w:uiPriority w:val="35"/>
    <w:qFormat/>
    <w:rsid w:val="008B346D"/>
    <w:pPr>
      <w:widowControl w:val="0"/>
      <w:spacing w:after="0" w:line="240" w:lineRule="auto"/>
      <w:jc w:val="center"/>
    </w:pPr>
    <w:rPr>
      <w:rFonts w:eastAsia="Times New Roman"/>
      <w:b/>
      <w:snapToGrid w:val="0"/>
      <w:szCs w:val="20"/>
    </w:rPr>
  </w:style>
  <w:style w:type="character" w:customStyle="1" w:styleId="FootnoteCharacters">
    <w:name w:val="Footnote Characters"/>
    <w:rsid w:val="008B346D"/>
  </w:style>
  <w:style w:type="paragraph" w:customStyle="1" w:styleId="TableContents">
    <w:name w:val="Table Contents"/>
    <w:basedOn w:val="BodyText"/>
    <w:rsid w:val="008B346D"/>
    <w:pPr>
      <w:suppressLineNumbers/>
      <w:suppressAutoHyphens/>
      <w:spacing w:after="120"/>
    </w:pPr>
    <w:rPr>
      <w:rFonts w:hint="eastAsia"/>
      <w:spacing w:val="0"/>
    </w:rPr>
  </w:style>
  <w:style w:type="paragraph" w:customStyle="1" w:styleId="OKText">
    <w:name w:val="OK Text"/>
    <w:aliases w:val="1st"/>
    <w:rsid w:val="008B346D"/>
    <w:pPr>
      <w:widowControl w:val="0"/>
      <w:overflowPunct w:val="0"/>
      <w:autoSpaceDE w:val="0"/>
      <w:autoSpaceDN w:val="0"/>
      <w:adjustRightInd w:val="0"/>
      <w:spacing w:line="360" w:lineRule="exact"/>
      <w:textAlignment w:val="baseline"/>
    </w:pPr>
    <w:rPr>
      <w:rFonts w:ascii="Times New Roman" w:eastAsia="Times New Roman" w:hAnsi="Times New Roman"/>
      <w:sz w:val="24"/>
    </w:rPr>
  </w:style>
  <w:style w:type="paragraph" w:styleId="BodyText3">
    <w:name w:val="Body Text 3"/>
    <w:basedOn w:val="Normal"/>
    <w:link w:val="BodyText3Char"/>
    <w:rsid w:val="008B346D"/>
    <w:pPr>
      <w:spacing w:after="120" w:line="240" w:lineRule="auto"/>
    </w:pPr>
    <w:rPr>
      <w:rFonts w:eastAsia="Times New Roman"/>
      <w:sz w:val="16"/>
      <w:szCs w:val="16"/>
    </w:rPr>
  </w:style>
  <w:style w:type="character" w:customStyle="1" w:styleId="BodyText3Char">
    <w:name w:val="Body Text 3 Char"/>
    <w:link w:val="BodyText3"/>
    <w:rsid w:val="008B346D"/>
    <w:rPr>
      <w:rFonts w:ascii="Times New Roman" w:eastAsia="Times New Roman" w:hAnsi="Times New Roman"/>
      <w:sz w:val="16"/>
      <w:szCs w:val="16"/>
    </w:rPr>
  </w:style>
  <w:style w:type="paragraph" w:customStyle="1" w:styleId="Level1">
    <w:name w:val="Level 1"/>
    <w:basedOn w:val="Normal"/>
    <w:rsid w:val="008B346D"/>
    <w:pPr>
      <w:widowControl w:val="0"/>
      <w:autoSpaceDE w:val="0"/>
      <w:autoSpaceDN w:val="0"/>
      <w:adjustRightInd w:val="0"/>
      <w:spacing w:after="0" w:line="240" w:lineRule="auto"/>
      <w:ind w:left="720" w:hanging="720"/>
      <w:outlineLvl w:val="0"/>
    </w:pPr>
    <w:rPr>
      <w:rFonts w:eastAsia="Times New Roman"/>
    </w:rPr>
  </w:style>
  <w:style w:type="paragraph" w:customStyle="1" w:styleId="StyleHeading3Condensedby01ptCharChar">
    <w:name w:val="Style Heading 3 + Condensed by  0.1 pt Char Char"/>
    <w:basedOn w:val="Heading3"/>
    <w:rsid w:val="008B346D"/>
    <w:pPr>
      <w:numPr>
        <w:numId w:val="4"/>
      </w:numPr>
      <w:spacing w:before="120" w:line="240" w:lineRule="auto"/>
      <w:ind w:left="0" w:firstLine="0"/>
    </w:pPr>
    <w:rPr>
      <w:rFonts w:ascii="Verdana" w:hAnsi="Verdana" w:cs="Arial"/>
      <w:spacing w:val="-6"/>
      <w:sz w:val="24"/>
      <w:szCs w:val="24"/>
    </w:rPr>
  </w:style>
  <w:style w:type="paragraph" w:styleId="PlainText">
    <w:name w:val="Plain Text"/>
    <w:basedOn w:val="Normal"/>
    <w:link w:val="PlainTextChar"/>
    <w:uiPriority w:val="99"/>
    <w:rsid w:val="008B346D"/>
    <w:pPr>
      <w:spacing w:after="0" w:line="240" w:lineRule="auto"/>
    </w:pPr>
    <w:rPr>
      <w:rFonts w:ascii="Courier New" w:eastAsia="Times New Roman" w:hAnsi="Courier New"/>
      <w:szCs w:val="20"/>
    </w:rPr>
  </w:style>
  <w:style w:type="character" w:customStyle="1" w:styleId="PlainTextChar">
    <w:name w:val="Plain Text Char"/>
    <w:link w:val="PlainText"/>
    <w:uiPriority w:val="99"/>
    <w:rsid w:val="008B346D"/>
    <w:rPr>
      <w:rFonts w:ascii="Courier New" w:eastAsia="Times New Roman" w:hAnsi="Courier New"/>
      <w:sz w:val="24"/>
    </w:rPr>
  </w:style>
  <w:style w:type="character" w:styleId="CommentReference">
    <w:name w:val="annotation reference"/>
    <w:uiPriority w:val="99"/>
    <w:rsid w:val="008B346D"/>
    <w:rPr>
      <w:sz w:val="16"/>
      <w:szCs w:val="16"/>
    </w:rPr>
  </w:style>
  <w:style w:type="paragraph" w:styleId="CommentText">
    <w:name w:val="annotation text"/>
    <w:basedOn w:val="Normal"/>
    <w:link w:val="CommentTextChar"/>
    <w:rsid w:val="008B346D"/>
    <w:pPr>
      <w:spacing w:after="0" w:line="240" w:lineRule="auto"/>
    </w:pPr>
    <w:rPr>
      <w:rFonts w:eastAsia="Times New Roman"/>
      <w:szCs w:val="20"/>
    </w:rPr>
  </w:style>
  <w:style w:type="character" w:customStyle="1" w:styleId="CommentTextChar">
    <w:name w:val="Comment Text Char"/>
    <w:link w:val="CommentText"/>
    <w:rsid w:val="008B346D"/>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rsid w:val="008B346D"/>
    <w:rPr>
      <w:b/>
      <w:bCs/>
    </w:rPr>
  </w:style>
  <w:style w:type="character" w:customStyle="1" w:styleId="CommentSubjectChar">
    <w:name w:val="Comment Subject Char"/>
    <w:link w:val="CommentSubject"/>
    <w:uiPriority w:val="99"/>
    <w:semiHidden/>
    <w:rsid w:val="008B346D"/>
    <w:rPr>
      <w:rFonts w:ascii="Times New Roman" w:eastAsia="Times New Roman" w:hAnsi="Times New Roman"/>
      <w:b/>
      <w:bCs/>
      <w:sz w:val="24"/>
    </w:rPr>
  </w:style>
  <w:style w:type="paragraph" w:customStyle="1" w:styleId="objective">
    <w:name w:val="objective"/>
    <w:basedOn w:val="Normal"/>
    <w:rsid w:val="008B346D"/>
    <w:pPr>
      <w:spacing w:before="100" w:beforeAutospacing="1" w:after="100" w:afterAutospacing="1" w:line="240" w:lineRule="auto"/>
    </w:pPr>
    <w:rPr>
      <w:rFonts w:eastAsia="Times New Roman"/>
    </w:rPr>
  </w:style>
  <w:style w:type="paragraph" w:styleId="List2">
    <w:name w:val="List 2"/>
    <w:basedOn w:val="Normal"/>
    <w:uiPriority w:val="99"/>
    <w:rsid w:val="008B346D"/>
    <w:pPr>
      <w:spacing w:after="0" w:line="240" w:lineRule="auto"/>
      <w:ind w:left="720" w:hanging="360"/>
    </w:pPr>
    <w:rPr>
      <w:rFonts w:eastAsia="Times New Roman"/>
      <w:szCs w:val="20"/>
    </w:rPr>
  </w:style>
  <w:style w:type="paragraph" w:styleId="List3">
    <w:name w:val="List 3"/>
    <w:basedOn w:val="Normal"/>
    <w:uiPriority w:val="99"/>
    <w:rsid w:val="008B346D"/>
    <w:pPr>
      <w:spacing w:after="0" w:line="240" w:lineRule="auto"/>
      <w:ind w:left="1080" w:hanging="360"/>
    </w:pPr>
    <w:rPr>
      <w:rFonts w:eastAsia="Times New Roman"/>
      <w:szCs w:val="20"/>
    </w:rPr>
  </w:style>
  <w:style w:type="paragraph" w:styleId="ListBullet">
    <w:name w:val="List Bullet"/>
    <w:basedOn w:val="Normal"/>
    <w:rsid w:val="008B346D"/>
    <w:pPr>
      <w:tabs>
        <w:tab w:val="num" w:pos="450"/>
      </w:tabs>
      <w:spacing w:before="120" w:after="0" w:line="240" w:lineRule="auto"/>
      <w:ind w:left="461" w:hanging="274"/>
    </w:pPr>
    <w:rPr>
      <w:rFonts w:eastAsia="Times New Roman"/>
      <w:szCs w:val="20"/>
    </w:rPr>
  </w:style>
  <w:style w:type="paragraph" w:customStyle="1" w:styleId="InsideAddress">
    <w:name w:val="Inside Address"/>
    <w:basedOn w:val="Normal"/>
    <w:rsid w:val="008B346D"/>
    <w:pPr>
      <w:spacing w:after="0" w:line="240" w:lineRule="auto"/>
    </w:pPr>
    <w:rPr>
      <w:rFonts w:eastAsia="Times New Roman"/>
      <w:szCs w:val="20"/>
    </w:rPr>
  </w:style>
  <w:style w:type="paragraph" w:styleId="BodyTextIndent">
    <w:name w:val="Body Text Indent"/>
    <w:basedOn w:val="Normal"/>
    <w:link w:val="BodyTextIndentChar"/>
    <w:rsid w:val="008B346D"/>
    <w:pPr>
      <w:spacing w:after="120" w:line="240" w:lineRule="auto"/>
      <w:ind w:left="360"/>
    </w:pPr>
    <w:rPr>
      <w:rFonts w:eastAsia="Times New Roman"/>
      <w:szCs w:val="20"/>
    </w:rPr>
  </w:style>
  <w:style w:type="character" w:customStyle="1" w:styleId="BodyTextIndentChar">
    <w:name w:val="Body Text Indent Char"/>
    <w:link w:val="BodyTextIndent"/>
    <w:rsid w:val="008B346D"/>
    <w:rPr>
      <w:rFonts w:ascii="Times New Roman" w:eastAsia="Times New Roman" w:hAnsi="Times New Roman"/>
      <w:sz w:val="24"/>
    </w:rPr>
  </w:style>
  <w:style w:type="paragraph" w:styleId="BodyTextFirstIndent2">
    <w:name w:val="Body Text First Indent 2"/>
    <w:basedOn w:val="BodyTextIndent"/>
    <w:link w:val="BodyTextFirstIndent2Char"/>
    <w:rsid w:val="008B346D"/>
    <w:pPr>
      <w:ind w:firstLine="210"/>
    </w:pPr>
  </w:style>
  <w:style w:type="character" w:customStyle="1" w:styleId="BodyTextFirstIndent2Char">
    <w:name w:val="Body Text First Indent 2 Char"/>
    <w:basedOn w:val="BodyTextIndentChar"/>
    <w:link w:val="BodyTextFirstIndent2"/>
    <w:rsid w:val="008B346D"/>
    <w:rPr>
      <w:rFonts w:ascii="Times New Roman" w:eastAsia="Times New Roman" w:hAnsi="Times New Roman"/>
      <w:sz w:val="24"/>
    </w:rPr>
  </w:style>
  <w:style w:type="paragraph" w:styleId="DocumentMap">
    <w:name w:val="Document Map"/>
    <w:basedOn w:val="Normal"/>
    <w:link w:val="DocumentMapChar"/>
    <w:semiHidden/>
    <w:rsid w:val="008B346D"/>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B346D"/>
    <w:rPr>
      <w:rFonts w:ascii="Tahoma" w:eastAsia="Times New Roman" w:hAnsi="Tahoma" w:cs="Tahoma"/>
      <w:sz w:val="24"/>
      <w:shd w:val="clear" w:color="auto" w:fill="000080"/>
    </w:rPr>
  </w:style>
  <w:style w:type="character" w:styleId="Strong">
    <w:name w:val="Strong"/>
    <w:qFormat/>
    <w:rsid w:val="008B346D"/>
    <w:rPr>
      <w:b/>
      <w:bCs/>
    </w:rPr>
  </w:style>
  <w:style w:type="paragraph" w:customStyle="1" w:styleId="Answer">
    <w:name w:val="Answer"/>
    <w:basedOn w:val="Normal"/>
    <w:link w:val="AnswerChar"/>
    <w:uiPriority w:val="99"/>
    <w:rsid w:val="008B346D"/>
    <w:pPr>
      <w:tabs>
        <w:tab w:val="left" w:pos="1080"/>
        <w:tab w:val="right" w:leader="underscore" w:pos="9360"/>
      </w:tabs>
      <w:spacing w:before="20" w:after="20" w:line="240" w:lineRule="auto"/>
      <w:ind w:left="1094" w:hanging="547"/>
    </w:pPr>
    <w:rPr>
      <w:rFonts w:ascii="Arial" w:eastAsia="Times New Roman" w:hAnsi="Arial"/>
      <w:szCs w:val="20"/>
    </w:rPr>
  </w:style>
  <w:style w:type="character" w:customStyle="1" w:styleId="AnswerChar">
    <w:name w:val="Answer Char"/>
    <w:link w:val="Answer"/>
    <w:uiPriority w:val="99"/>
    <w:rsid w:val="008B346D"/>
    <w:rPr>
      <w:rFonts w:ascii="Arial" w:eastAsia="Times New Roman" w:hAnsi="Arial"/>
      <w:sz w:val="22"/>
    </w:rPr>
  </w:style>
  <w:style w:type="paragraph" w:customStyle="1" w:styleId="Direction">
    <w:name w:val="Direction"/>
    <w:basedOn w:val="Normal"/>
    <w:rsid w:val="008B346D"/>
    <w:pPr>
      <w:keepNext/>
      <w:keepLines/>
      <w:pBdr>
        <w:top w:val="single" w:sz="6" w:space="6" w:color="auto" w:shadow="1"/>
        <w:left w:val="single" w:sz="6" w:space="6" w:color="auto" w:shadow="1"/>
        <w:bottom w:val="single" w:sz="6" w:space="6" w:color="auto" w:shadow="1"/>
        <w:right w:val="single" w:sz="6" w:space="6" w:color="auto" w:shadow="1"/>
      </w:pBdr>
      <w:spacing w:before="240" w:after="120" w:line="240" w:lineRule="auto"/>
    </w:pPr>
    <w:rPr>
      <w:rFonts w:ascii="Arial" w:eastAsia="Times New Roman" w:hAnsi="Arial"/>
      <w:b/>
      <w:i/>
      <w:szCs w:val="20"/>
    </w:rPr>
  </w:style>
  <w:style w:type="paragraph" w:customStyle="1" w:styleId="BodyText1">
    <w:name w:val="Body Text1"/>
    <w:aliases w:val="bt"/>
    <w:basedOn w:val="Normal"/>
    <w:uiPriority w:val="99"/>
    <w:rsid w:val="008B346D"/>
    <w:pPr>
      <w:spacing w:after="160" w:line="320" w:lineRule="exact"/>
    </w:pPr>
    <w:rPr>
      <w:rFonts w:ascii="Arial" w:eastAsia="Times New Roman" w:hAnsi="Arial"/>
      <w:szCs w:val="20"/>
    </w:rPr>
  </w:style>
  <w:style w:type="paragraph" w:styleId="List">
    <w:name w:val="List"/>
    <w:basedOn w:val="Normal"/>
    <w:uiPriority w:val="99"/>
    <w:rsid w:val="008B346D"/>
    <w:pPr>
      <w:spacing w:after="0" w:line="240" w:lineRule="auto"/>
      <w:ind w:left="360" w:hanging="360"/>
    </w:pPr>
    <w:rPr>
      <w:rFonts w:eastAsia="Times New Roman"/>
    </w:rPr>
  </w:style>
  <w:style w:type="paragraph" w:styleId="Date">
    <w:name w:val="Date"/>
    <w:basedOn w:val="Normal"/>
    <w:next w:val="Normal"/>
    <w:link w:val="DateChar"/>
    <w:uiPriority w:val="99"/>
    <w:rsid w:val="008B346D"/>
    <w:pPr>
      <w:spacing w:after="0" w:line="240" w:lineRule="auto"/>
    </w:pPr>
    <w:rPr>
      <w:rFonts w:eastAsia="Times New Roman"/>
    </w:rPr>
  </w:style>
  <w:style w:type="character" w:customStyle="1" w:styleId="DateChar">
    <w:name w:val="Date Char"/>
    <w:link w:val="Date"/>
    <w:uiPriority w:val="99"/>
    <w:rsid w:val="008B346D"/>
    <w:rPr>
      <w:rFonts w:ascii="Times New Roman" w:eastAsia="Times New Roman" w:hAnsi="Times New Roman"/>
      <w:sz w:val="24"/>
      <w:szCs w:val="24"/>
    </w:rPr>
  </w:style>
  <w:style w:type="paragraph" w:styleId="ListContinue2">
    <w:name w:val="List Continue 2"/>
    <w:basedOn w:val="Normal"/>
    <w:rsid w:val="008B346D"/>
    <w:pPr>
      <w:spacing w:after="120" w:line="240" w:lineRule="auto"/>
      <w:ind w:left="720"/>
    </w:pPr>
    <w:rPr>
      <w:rFonts w:eastAsia="Times New Roman"/>
    </w:rPr>
  </w:style>
  <w:style w:type="paragraph" w:styleId="NormalWeb">
    <w:name w:val="Normal (Web)"/>
    <w:basedOn w:val="Normal"/>
    <w:uiPriority w:val="99"/>
    <w:rsid w:val="008B346D"/>
    <w:pPr>
      <w:spacing w:before="100" w:beforeAutospacing="1" w:after="100" w:afterAutospacing="1" w:line="240" w:lineRule="auto"/>
    </w:pPr>
    <w:rPr>
      <w:rFonts w:eastAsia="Times New Roman"/>
    </w:rPr>
  </w:style>
  <w:style w:type="character" w:styleId="EndnoteReference">
    <w:name w:val="endnote reference"/>
    <w:uiPriority w:val="99"/>
    <w:semiHidden/>
    <w:rsid w:val="008B346D"/>
    <w:rPr>
      <w:vertAlign w:val="superscript"/>
    </w:rPr>
  </w:style>
  <w:style w:type="paragraph" w:customStyle="1" w:styleId="ColorfulList-Accent11">
    <w:name w:val="Colorful List - Accent 11"/>
    <w:basedOn w:val="Normal"/>
    <w:uiPriority w:val="99"/>
    <w:qFormat/>
    <w:rsid w:val="008B346D"/>
    <w:pPr>
      <w:widowControl w:val="0"/>
      <w:autoSpaceDE w:val="0"/>
      <w:autoSpaceDN w:val="0"/>
      <w:adjustRightInd w:val="0"/>
      <w:spacing w:after="0" w:line="240" w:lineRule="auto"/>
      <w:ind w:left="720"/>
    </w:pPr>
    <w:rPr>
      <w:rFonts w:eastAsia="Times New Roman"/>
    </w:rPr>
  </w:style>
  <w:style w:type="paragraph" w:customStyle="1" w:styleId="HTMLPreform">
    <w:name w:val="HTML Preform"/>
    <w:uiPriority w:val="99"/>
    <w:rsid w:val="008B346D"/>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jc w:val="both"/>
    </w:pPr>
    <w:rPr>
      <w:rFonts w:ascii="Arial Unicode MS" w:eastAsia="Times New Roman" w:hAnsi="Times New Roman"/>
    </w:rPr>
  </w:style>
  <w:style w:type="paragraph" w:customStyle="1" w:styleId="tabletext1">
    <w:name w:val="table text 1"/>
    <w:basedOn w:val="Normal"/>
    <w:rsid w:val="008B346D"/>
    <w:pPr>
      <w:widowControl w:val="0"/>
      <w:numPr>
        <w:numId w:val="5"/>
      </w:numPr>
      <w:autoSpaceDE w:val="0"/>
      <w:autoSpaceDN w:val="0"/>
      <w:adjustRightInd w:val="0"/>
      <w:spacing w:after="0" w:line="240" w:lineRule="auto"/>
      <w:jc w:val="center"/>
    </w:pPr>
    <w:rPr>
      <w:rFonts w:eastAsia="Times New Roman"/>
      <w:szCs w:val="20"/>
    </w:rPr>
  </w:style>
  <w:style w:type="paragraph" w:customStyle="1" w:styleId="TableColumnheadings">
    <w:name w:val="Table Column headings"/>
    <w:basedOn w:val="Normal"/>
    <w:rsid w:val="008B346D"/>
    <w:pPr>
      <w:keepNext/>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pacing w:before="60" w:after="60" w:line="240" w:lineRule="auto"/>
      <w:jc w:val="center"/>
    </w:pPr>
    <w:rPr>
      <w:rFonts w:eastAsia="Times New Roman"/>
      <w:b/>
      <w:bCs/>
      <w:szCs w:val="20"/>
    </w:rPr>
  </w:style>
  <w:style w:type="paragraph" w:styleId="NoteHeading">
    <w:name w:val="Note Heading"/>
    <w:basedOn w:val="Normal"/>
    <w:next w:val="Normal"/>
    <w:link w:val="NoteHeadingChar"/>
    <w:rsid w:val="008B346D"/>
    <w:pPr>
      <w:widowControl w:val="0"/>
      <w:spacing w:before="120" w:after="120" w:line="240" w:lineRule="auto"/>
      <w:jc w:val="both"/>
    </w:pPr>
    <w:rPr>
      <w:rFonts w:eastAsia="Times New Roman"/>
      <w:i/>
      <w:iCs/>
      <w:snapToGrid w:val="0"/>
      <w:szCs w:val="20"/>
    </w:rPr>
  </w:style>
  <w:style w:type="character" w:customStyle="1" w:styleId="NoteHeadingChar">
    <w:name w:val="Note Heading Char"/>
    <w:link w:val="NoteHeading"/>
    <w:rsid w:val="008B346D"/>
    <w:rPr>
      <w:rFonts w:ascii="Times New Roman" w:eastAsia="Times New Roman" w:hAnsi="Times New Roman"/>
      <w:i/>
      <w:iCs/>
      <w:snapToGrid w:val="0"/>
      <w:sz w:val="22"/>
    </w:rPr>
  </w:style>
  <w:style w:type="paragraph" w:customStyle="1" w:styleId="ExhibitTitle2">
    <w:name w:val="Exhibit Title 2"/>
    <w:basedOn w:val="Normal"/>
    <w:rsid w:val="008B346D"/>
    <w:pPr>
      <w:spacing w:after="480" w:line="240" w:lineRule="auto"/>
      <w:jc w:val="center"/>
    </w:pPr>
    <w:rPr>
      <w:rFonts w:ascii="Arial" w:eastAsia="Times New Roman" w:hAnsi="Arial" w:cs="Arial"/>
      <w:b/>
    </w:rPr>
  </w:style>
  <w:style w:type="paragraph" w:customStyle="1" w:styleId="Question">
    <w:name w:val="Question"/>
    <w:basedOn w:val="Normal"/>
    <w:rsid w:val="008B346D"/>
    <w:pPr>
      <w:keepNext/>
      <w:keepLines/>
      <w:numPr>
        <w:numId w:val="6"/>
      </w:numPr>
      <w:tabs>
        <w:tab w:val="clear" w:pos="720"/>
      </w:tabs>
      <w:spacing w:before="240" w:after="60" w:line="240" w:lineRule="auto"/>
      <w:ind w:left="540" w:hanging="540"/>
    </w:pPr>
    <w:rPr>
      <w:rFonts w:ascii="Arial" w:eastAsia="Times New Roman" w:hAnsi="Arial"/>
      <w:b/>
      <w:szCs w:val="20"/>
    </w:rPr>
  </w:style>
  <w:style w:type="paragraph" w:styleId="ListParagraph">
    <w:name w:val="List Paragraph"/>
    <w:basedOn w:val="Normal"/>
    <w:uiPriority w:val="34"/>
    <w:qFormat/>
    <w:rsid w:val="008B346D"/>
    <w:pPr>
      <w:spacing w:after="0" w:line="240" w:lineRule="auto"/>
      <w:ind w:left="720"/>
    </w:pPr>
    <w:rPr>
      <w:rFonts w:eastAsia="Times New Roman"/>
      <w:szCs w:val="20"/>
    </w:rPr>
  </w:style>
  <w:style w:type="paragraph" w:customStyle="1" w:styleId="Default">
    <w:name w:val="Default"/>
    <w:link w:val="DefaultChar"/>
    <w:uiPriority w:val="99"/>
    <w:rsid w:val="008B346D"/>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uiPriority w:val="99"/>
    <w:locked/>
    <w:rsid w:val="008B346D"/>
    <w:rPr>
      <w:rFonts w:ascii="Arial" w:eastAsia="Times New Roman" w:hAnsi="Arial" w:cs="Arial"/>
      <w:color w:val="000000"/>
      <w:sz w:val="24"/>
      <w:szCs w:val="24"/>
    </w:rPr>
  </w:style>
  <w:style w:type="paragraph" w:styleId="Revision">
    <w:name w:val="Revision"/>
    <w:hidden/>
    <w:uiPriority w:val="99"/>
    <w:semiHidden/>
    <w:rsid w:val="008B346D"/>
    <w:rPr>
      <w:sz w:val="22"/>
      <w:szCs w:val="22"/>
    </w:rPr>
  </w:style>
  <w:style w:type="paragraph" w:customStyle="1" w:styleId="msolistparagraph0">
    <w:name w:val="msolistparagraph"/>
    <w:basedOn w:val="Normal"/>
    <w:uiPriority w:val="99"/>
    <w:rsid w:val="008B346D"/>
    <w:pPr>
      <w:spacing w:after="0" w:line="240" w:lineRule="auto"/>
      <w:ind w:left="720"/>
    </w:pPr>
  </w:style>
  <w:style w:type="character" w:styleId="LineNumber">
    <w:name w:val="line number"/>
    <w:uiPriority w:val="99"/>
    <w:rsid w:val="008B346D"/>
    <w:rPr>
      <w:rFonts w:cs="Times New Roman"/>
    </w:rPr>
  </w:style>
  <w:style w:type="paragraph" w:customStyle="1" w:styleId="REF">
    <w:name w:val="REF"/>
    <w:basedOn w:val="Normal"/>
    <w:rsid w:val="008B346D"/>
    <w:pPr>
      <w:spacing w:after="240" w:line="228" w:lineRule="auto"/>
      <w:ind w:left="720" w:hanging="720"/>
    </w:pPr>
    <w:rPr>
      <w:color w:val="000000"/>
    </w:rPr>
  </w:style>
  <w:style w:type="paragraph" w:customStyle="1" w:styleId="Assingment">
    <w:name w:val="Assingment"/>
    <w:basedOn w:val="Normal"/>
    <w:qFormat/>
    <w:rsid w:val="008B346D"/>
    <w:pPr>
      <w:spacing w:before="240" w:after="60" w:line="240" w:lineRule="auto"/>
      <w:jc w:val="center"/>
      <w:outlineLvl w:val="4"/>
    </w:pPr>
    <w:rPr>
      <w:rFonts w:ascii="Comic Sans MS" w:eastAsia="Times New Roman" w:hAnsi="Comic Sans MS"/>
      <w:b/>
      <w:bCs/>
      <w:i/>
      <w:iCs/>
      <w:szCs w:val="20"/>
    </w:rPr>
  </w:style>
  <w:style w:type="paragraph" w:styleId="TOCHeading">
    <w:name w:val="TOC Heading"/>
    <w:basedOn w:val="Heading1"/>
    <w:next w:val="Normal"/>
    <w:uiPriority w:val="39"/>
    <w:unhideWhenUsed/>
    <w:qFormat/>
    <w:rsid w:val="008B346D"/>
    <w:pPr>
      <w:keepLines/>
      <w:spacing w:before="0" w:after="120"/>
      <w:outlineLvl w:val="9"/>
    </w:pPr>
    <w:rPr>
      <w:color w:val="365F91"/>
      <w:kern w:val="0"/>
      <w:sz w:val="28"/>
      <w:szCs w:val="28"/>
      <w:lang w:eastAsia="ja-JP"/>
    </w:rPr>
  </w:style>
  <w:style w:type="paragraph" w:styleId="TOC3">
    <w:name w:val="toc 3"/>
    <w:basedOn w:val="Normal"/>
    <w:next w:val="Normal"/>
    <w:autoRedefine/>
    <w:uiPriority w:val="39"/>
    <w:unhideWhenUsed/>
    <w:rsid w:val="008B346D"/>
    <w:pPr>
      <w:tabs>
        <w:tab w:val="left" w:pos="1980"/>
        <w:tab w:val="right" w:leader="dot" w:pos="10790"/>
      </w:tabs>
      <w:spacing w:after="100" w:line="240" w:lineRule="auto"/>
      <w:ind w:left="1170"/>
    </w:pPr>
    <w:rPr>
      <w:rFonts w:eastAsia="Times New Roman"/>
      <w:noProof/>
      <w:szCs w:val="20"/>
    </w:rPr>
  </w:style>
  <w:style w:type="paragraph" w:styleId="TableofFigures">
    <w:name w:val="table of figures"/>
    <w:basedOn w:val="Normal"/>
    <w:next w:val="Normal"/>
    <w:uiPriority w:val="99"/>
    <w:unhideWhenUsed/>
    <w:rsid w:val="008B346D"/>
    <w:pPr>
      <w:spacing w:after="0" w:line="240" w:lineRule="auto"/>
    </w:pPr>
    <w:rPr>
      <w:rFonts w:eastAsia="Times New Roman"/>
      <w:szCs w:val="20"/>
    </w:rPr>
  </w:style>
  <w:style w:type="character" w:styleId="FollowedHyperlink">
    <w:name w:val="FollowedHyperlink"/>
    <w:uiPriority w:val="99"/>
    <w:semiHidden/>
    <w:unhideWhenUsed/>
    <w:rsid w:val="008B346D"/>
    <w:rPr>
      <w:color w:val="800080"/>
      <w:u w:val="single"/>
    </w:rPr>
  </w:style>
  <w:style w:type="paragraph" w:customStyle="1" w:styleId="xl65">
    <w:name w:val="xl65"/>
    <w:basedOn w:val="Normal"/>
    <w:rsid w:val="008B346D"/>
    <w:pPr>
      <w:spacing w:before="100" w:beforeAutospacing="1" w:after="100" w:afterAutospacing="1" w:line="240" w:lineRule="auto"/>
      <w:textAlignment w:val="center"/>
    </w:pPr>
    <w:rPr>
      <w:rFonts w:eastAsia="Times New Roman"/>
    </w:rPr>
  </w:style>
  <w:style w:type="paragraph" w:customStyle="1" w:styleId="xl66">
    <w:name w:val="xl66"/>
    <w:basedOn w:val="Normal"/>
    <w:rsid w:val="008B346D"/>
    <w:pPr>
      <w:spacing w:before="100" w:beforeAutospacing="1" w:after="100" w:afterAutospacing="1" w:line="240" w:lineRule="auto"/>
      <w:textAlignment w:val="center"/>
    </w:pPr>
    <w:rPr>
      <w:rFonts w:ascii="Courier New" w:eastAsia="Times New Roman" w:hAnsi="Courier New" w:cs="Courier New"/>
      <w:sz w:val="21"/>
      <w:szCs w:val="21"/>
    </w:rPr>
  </w:style>
  <w:style w:type="character" w:customStyle="1" w:styleId="apple-converted-space">
    <w:name w:val="apple-converted-space"/>
    <w:rsid w:val="008B346D"/>
  </w:style>
  <w:style w:type="character" w:styleId="Emphasis">
    <w:name w:val="Emphasis"/>
    <w:uiPriority w:val="20"/>
    <w:qFormat/>
    <w:rsid w:val="008B346D"/>
    <w:rPr>
      <w:i/>
      <w:iCs/>
    </w:rPr>
  </w:style>
  <w:style w:type="paragraph" w:styleId="NoSpacing">
    <w:name w:val="No Spacing"/>
    <w:link w:val="NoSpacingChar"/>
    <w:uiPriority w:val="1"/>
    <w:qFormat/>
    <w:rsid w:val="008B346D"/>
    <w:rPr>
      <w:sz w:val="22"/>
      <w:szCs w:val="22"/>
    </w:rPr>
  </w:style>
  <w:style w:type="paragraph" w:styleId="TOC4">
    <w:name w:val="toc 4"/>
    <w:basedOn w:val="Normal"/>
    <w:next w:val="Normal"/>
    <w:autoRedefine/>
    <w:uiPriority w:val="39"/>
    <w:unhideWhenUsed/>
    <w:rsid w:val="008B346D"/>
    <w:pPr>
      <w:spacing w:after="100" w:line="240" w:lineRule="auto"/>
      <w:ind w:left="720"/>
    </w:pPr>
    <w:rPr>
      <w:rFonts w:eastAsia="Times New Roman"/>
      <w:szCs w:val="20"/>
    </w:rPr>
  </w:style>
  <w:style w:type="table" w:customStyle="1" w:styleId="Style3">
    <w:name w:val="Style3"/>
    <w:basedOn w:val="TableWeb1"/>
    <w:uiPriority w:val="99"/>
    <w:rsid w:val="008B346D"/>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8B346D"/>
    <w:pPr>
      <w:spacing w:after="200" w:line="276"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oposalBullet1Last">
    <w:name w:val="Proposal Bullet 1 Last"/>
    <w:basedOn w:val="ProposalBullet1"/>
    <w:qFormat/>
    <w:rsid w:val="008B346D"/>
    <w:pPr>
      <w:spacing w:after="240"/>
    </w:pPr>
  </w:style>
  <w:style w:type="paragraph" w:customStyle="1" w:styleId="Q-1">
    <w:name w:val="Q-1"/>
    <w:basedOn w:val="ProposalTableText"/>
    <w:qFormat/>
    <w:rsid w:val="009A4C33"/>
    <w:pPr>
      <w:numPr>
        <w:numId w:val="7"/>
      </w:numPr>
      <w:ind w:left="342"/>
    </w:pPr>
  </w:style>
  <w:style w:type="paragraph" w:customStyle="1" w:styleId="Q-2">
    <w:name w:val="Q-2"/>
    <w:basedOn w:val="ProposalTableText"/>
    <w:qFormat/>
    <w:rsid w:val="009A4C33"/>
    <w:pPr>
      <w:numPr>
        <w:numId w:val="8"/>
      </w:numPr>
    </w:pPr>
  </w:style>
  <w:style w:type="paragraph" w:customStyle="1" w:styleId="BodyTextNYTSFlint">
    <w:name w:val="Body Text NYTS Flint"/>
    <w:basedOn w:val="Normal"/>
    <w:rsid w:val="009B5665"/>
    <w:pPr>
      <w:spacing w:after="240" w:line="240" w:lineRule="auto"/>
      <w:jc w:val="both"/>
    </w:pPr>
    <w:rPr>
      <w:rFonts w:eastAsia="Times New Roman"/>
      <w:szCs w:val="20"/>
    </w:rPr>
  </w:style>
  <w:style w:type="paragraph" w:customStyle="1" w:styleId="FootnoteNYTSFlint">
    <w:name w:val="Footnote NYTS Flint"/>
    <w:basedOn w:val="Normal"/>
    <w:rsid w:val="00D250B1"/>
    <w:pPr>
      <w:spacing w:after="0" w:line="240" w:lineRule="auto"/>
    </w:pPr>
    <w:rPr>
      <w:rFonts w:ascii="Arial" w:eastAsia="Times New Roman" w:hAnsi="Arial"/>
      <w:sz w:val="18"/>
      <w:szCs w:val="20"/>
    </w:rPr>
  </w:style>
  <w:style w:type="paragraph" w:customStyle="1" w:styleId="BulletSingleNYTSFlint">
    <w:name w:val="Bullet Single NYTS Flint"/>
    <w:basedOn w:val="Normal"/>
    <w:rsid w:val="00D250B1"/>
    <w:pPr>
      <w:numPr>
        <w:numId w:val="9"/>
      </w:numPr>
      <w:spacing w:after="0" w:line="240" w:lineRule="auto"/>
      <w:ind w:leftChars="314" w:left="1106" w:hangingChars="199" w:hanging="478"/>
    </w:pPr>
    <w:rPr>
      <w:rFonts w:eastAsia="Times New Roman"/>
      <w:szCs w:val="20"/>
    </w:rPr>
  </w:style>
  <w:style w:type="paragraph" w:customStyle="1" w:styleId="ExhibitHeadNYTSFlint">
    <w:name w:val="Exhibit Head NYTS Flint"/>
    <w:basedOn w:val="Normal"/>
    <w:qFormat/>
    <w:rsid w:val="00D250B1"/>
    <w:pPr>
      <w:spacing w:after="120" w:line="240" w:lineRule="auto"/>
      <w:jc w:val="center"/>
    </w:pPr>
    <w:rPr>
      <w:rFonts w:eastAsia="Times New Roman"/>
      <w:b/>
    </w:rPr>
  </w:style>
  <w:style w:type="character" w:customStyle="1" w:styleId="CommentTextChar1">
    <w:name w:val="Comment Text Char1"/>
    <w:basedOn w:val="DefaultParagraphFont"/>
    <w:uiPriority w:val="99"/>
    <w:semiHidden/>
    <w:rsid w:val="00D250B1"/>
    <w:rPr>
      <w:rFonts w:eastAsia="Calibri" w:cs="Times New Roman"/>
      <w:sz w:val="20"/>
      <w:szCs w:val="20"/>
    </w:rPr>
  </w:style>
  <w:style w:type="character" w:styleId="PlaceholderText">
    <w:name w:val="Placeholder Text"/>
    <w:basedOn w:val="DefaultParagraphFont"/>
    <w:uiPriority w:val="99"/>
    <w:semiHidden/>
    <w:rsid w:val="00D250B1"/>
    <w:rPr>
      <w:color w:val="808080"/>
    </w:rPr>
  </w:style>
  <w:style w:type="character" w:customStyle="1" w:styleId="NoSpacingChar">
    <w:name w:val="No Spacing Char"/>
    <w:basedOn w:val="DefaultParagraphFont"/>
    <w:link w:val="NoSpacing"/>
    <w:uiPriority w:val="1"/>
    <w:rsid w:val="00D250B1"/>
    <w:rPr>
      <w:sz w:val="22"/>
      <w:szCs w:val="22"/>
    </w:rPr>
  </w:style>
  <w:style w:type="character" w:customStyle="1" w:styleId="Heading9Char">
    <w:name w:val="Heading 9 Char"/>
    <w:basedOn w:val="DefaultParagraphFont"/>
    <w:link w:val="Heading9"/>
    <w:uiPriority w:val="9"/>
    <w:semiHidden/>
    <w:rsid w:val="0020454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20454F"/>
    <w:pPr>
      <w:numPr>
        <w:numId w:val="14"/>
      </w:numPr>
    </w:pPr>
  </w:style>
  <w:style w:type="table" w:customStyle="1" w:styleId="GridTable5DarkAccent1">
    <w:name w:val="Grid Table 5 Dark Accent 1"/>
    <w:basedOn w:val="TableNormal"/>
    <w:uiPriority w:val="50"/>
    <w:rsid w:val="00707C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913">
      <w:bodyDiv w:val="1"/>
      <w:marLeft w:val="0"/>
      <w:marRight w:val="0"/>
      <w:marTop w:val="0"/>
      <w:marBottom w:val="0"/>
      <w:divBdr>
        <w:top w:val="none" w:sz="0" w:space="0" w:color="auto"/>
        <w:left w:val="none" w:sz="0" w:space="0" w:color="auto"/>
        <w:bottom w:val="none" w:sz="0" w:space="0" w:color="auto"/>
        <w:right w:val="none" w:sz="0" w:space="0" w:color="auto"/>
      </w:divBdr>
    </w:div>
    <w:div w:id="20084583">
      <w:bodyDiv w:val="1"/>
      <w:marLeft w:val="0"/>
      <w:marRight w:val="0"/>
      <w:marTop w:val="0"/>
      <w:marBottom w:val="0"/>
      <w:divBdr>
        <w:top w:val="none" w:sz="0" w:space="0" w:color="auto"/>
        <w:left w:val="none" w:sz="0" w:space="0" w:color="auto"/>
        <w:bottom w:val="none" w:sz="0" w:space="0" w:color="auto"/>
        <w:right w:val="none" w:sz="0" w:space="0" w:color="auto"/>
      </w:divBdr>
    </w:div>
    <w:div w:id="32196025">
      <w:bodyDiv w:val="1"/>
      <w:marLeft w:val="0"/>
      <w:marRight w:val="0"/>
      <w:marTop w:val="0"/>
      <w:marBottom w:val="0"/>
      <w:divBdr>
        <w:top w:val="none" w:sz="0" w:space="0" w:color="auto"/>
        <w:left w:val="none" w:sz="0" w:space="0" w:color="auto"/>
        <w:bottom w:val="none" w:sz="0" w:space="0" w:color="auto"/>
        <w:right w:val="none" w:sz="0" w:space="0" w:color="auto"/>
      </w:divBdr>
    </w:div>
    <w:div w:id="89664478">
      <w:bodyDiv w:val="1"/>
      <w:marLeft w:val="0"/>
      <w:marRight w:val="0"/>
      <w:marTop w:val="0"/>
      <w:marBottom w:val="0"/>
      <w:divBdr>
        <w:top w:val="none" w:sz="0" w:space="0" w:color="auto"/>
        <w:left w:val="none" w:sz="0" w:space="0" w:color="auto"/>
        <w:bottom w:val="none" w:sz="0" w:space="0" w:color="auto"/>
        <w:right w:val="none" w:sz="0" w:space="0" w:color="auto"/>
      </w:divBdr>
    </w:div>
    <w:div w:id="117335721">
      <w:bodyDiv w:val="1"/>
      <w:marLeft w:val="0"/>
      <w:marRight w:val="0"/>
      <w:marTop w:val="0"/>
      <w:marBottom w:val="0"/>
      <w:divBdr>
        <w:top w:val="none" w:sz="0" w:space="0" w:color="auto"/>
        <w:left w:val="none" w:sz="0" w:space="0" w:color="auto"/>
        <w:bottom w:val="none" w:sz="0" w:space="0" w:color="auto"/>
        <w:right w:val="none" w:sz="0" w:space="0" w:color="auto"/>
      </w:divBdr>
    </w:div>
    <w:div w:id="145628964">
      <w:bodyDiv w:val="1"/>
      <w:marLeft w:val="0"/>
      <w:marRight w:val="0"/>
      <w:marTop w:val="0"/>
      <w:marBottom w:val="0"/>
      <w:divBdr>
        <w:top w:val="none" w:sz="0" w:space="0" w:color="auto"/>
        <w:left w:val="none" w:sz="0" w:space="0" w:color="auto"/>
        <w:bottom w:val="none" w:sz="0" w:space="0" w:color="auto"/>
        <w:right w:val="none" w:sz="0" w:space="0" w:color="auto"/>
      </w:divBdr>
    </w:div>
    <w:div w:id="151604208">
      <w:bodyDiv w:val="1"/>
      <w:marLeft w:val="0"/>
      <w:marRight w:val="0"/>
      <w:marTop w:val="0"/>
      <w:marBottom w:val="0"/>
      <w:divBdr>
        <w:top w:val="none" w:sz="0" w:space="0" w:color="auto"/>
        <w:left w:val="none" w:sz="0" w:space="0" w:color="auto"/>
        <w:bottom w:val="none" w:sz="0" w:space="0" w:color="auto"/>
        <w:right w:val="none" w:sz="0" w:space="0" w:color="auto"/>
      </w:divBdr>
    </w:div>
    <w:div w:id="154687845">
      <w:bodyDiv w:val="1"/>
      <w:marLeft w:val="0"/>
      <w:marRight w:val="0"/>
      <w:marTop w:val="0"/>
      <w:marBottom w:val="0"/>
      <w:divBdr>
        <w:top w:val="none" w:sz="0" w:space="0" w:color="auto"/>
        <w:left w:val="none" w:sz="0" w:space="0" w:color="auto"/>
        <w:bottom w:val="none" w:sz="0" w:space="0" w:color="auto"/>
        <w:right w:val="none" w:sz="0" w:space="0" w:color="auto"/>
      </w:divBdr>
    </w:div>
    <w:div w:id="287276455">
      <w:bodyDiv w:val="1"/>
      <w:marLeft w:val="0"/>
      <w:marRight w:val="0"/>
      <w:marTop w:val="0"/>
      <w:marBottom w:val="0"/>
      <w:divBdr>
        <w:top w:val="none" w:sz="0" w:space="0" w:color="auto"/>
        <w:left w:val="none" w:sz="0" w:space="0" w:color="auto"/>
        <w:bottom w:val="none" w:sz="0" w:space="0" w:color="auto"/>
        <w:right w:val="none" w:sz="0" w:space="0" w:color="auto"/>
      </w:divBdr>
    </w:div>
    <w:div w:id="336269082">
      <w:bodyDiv w:val="1"/>
      <w:marLeft w:val="0"/>
      <w:marRight w:val="0"/>
      <w:marTop w:val="0"/>
      <w:marBottom w:val="0"/>
      <w:divBdr>
        <w:top w:val="none" w:sz="0" w:space="0" w:color="auto"/>
        <w:left w:val="none" w:sz="0" w:space="0" w:color="auto"/>
        <w:bottom w:val="none" w:sz="0" w:space="0" w:color="auto"/>
        <w:right w:val="none" w:sz="0" w:space="0" w:color="auto"/>
      </w:divBdr>
    </w:div>
    <w:div w:id="337928710">
      <w:bodyDiv w:val="1"/>
      <w:marLeft w:val="0"/>
      <w:marRight w:val="0"/>
      <w:marTop w:val="0"/>
      <w:marBottom w:val="0"/>
      <w:divBdr>
        <w:top w:val="none" w:sz="0" w:space="0" w:color="auto"/>
        <w:left w:val="none" w:sz="0" w:space="0" w:color="auto"/>
        <w:bottom w:val="none" w:sz="0" w:space="0" w:color="auto"/>
        <w:right w:val="none" w:sz="0" w:space="0" w:color="auto"/>
      </w:divBdr>
    </w:div>
    <w:div w:id="511456605">
      <w:bodyDiv w:val="1"/>
      <w:marLeft w:val="0"/>
      <w:marRight w:val="0"/>
      <w:marTop w:val="0"/>
      <w:marBottom w:val="0"/>
      <w:divBdr>
        <w:top w:val="none" w:sz="0" w:space="0" w:color="auto"/>
        <w:left w:val="none" w:sz="0" w:space="0" w:color="auto"/>
        <w:bottom w:val="none" w:sz="0" w:space="0" w:color="auto"/>
        <w:right w:val="none" w:sz="0" w:space="0" w:color="auto"/>
      </w:divBdr>
    </w:div>
    <w:div w:id="582377972">
      <w:bodyDiv w:val="1"/>
      <w:marLeft w:val="0"/>
      <w:marRight w:val="0"/>
      <w:marTop w:val="0"/>
      <w:marBottom w:val="0"/>
      <w:divBdr>
        <w:top w:val="none" w:sz="0" w:space="0" w:color="auto"/>
        <w:left w:val="none" w:sz="0" w:space="0" w:color="auto"/>
        <w:bottom w:val="none" w:sz="0" w:space="0" w:color="auto"/>
        <w:right w:val="none" w:sz="0" w:space="0" w:color="auto"/>
      </w:divBdr>
    </w:div>
    <w:div w:id="738210385">
      <w:bodyDiv w:val="1"/>
      <w:marLeft w:val="0"/>
      <w:marRight w:val="0"/>
      <w:marTop w:val="0"/>
      <w:marBottom w:val="0"/>
      <w:divBdr>
        <w:top w:val="none" w:sz="0" w:space="0" w:color="auto"/>
        <w:left w:val="none" w:sz="0" w:space="0" w:color="auto"/>
        <w:bottom w:val="none" w:sz="0" w:space="0" w:color="auto"/>
        <w:right w:val="none" w:sz="0" w:space="0" w:color="auto"/>
      </w:divBdr>
    </w:div>
    <w:div w:id="748649153">
      <w:bodyDiv w:val="1"/>
      <w:marLeft w:val="0"/>
      <w:marRight w:val="0"/>
      <w:marTop w:val="0"/>
      <w:marBottom w:val="0"/>
      <w:divBdr>
        <w:top w:val="none" w:sz="0" w:space="0" w:color="auto"/>
        <w:left w:val="none" w:sz="0" w:space="0" w:color="auto"/>
        <w:bottom w:val="none" w:sz="0" w:space="0" w:color="auto"/>
        <w:right w:val="none" w:sz="0" w:space="0" w:color="auto"/>
      </w:divBdr>
    </w:div>
    <w:div w:id="759135191">
      <w:bodyDiv w:val="1"/>
      <w:marLeft w:val="0"/>
      <w:marRight w:val="0"/>
      <w:marTop w:val="0"/>
      <w:marBottom w:val="0"/>
      <w:divBdr>
        <w:top w:val="none" w:sz="0" w:space="0" w:color="auto"/>
        <w:left w:val="none" w:sz="0" w:space="0" w:color="auto"/>
        <w:bottom w:val="none" w:sz="0" w:space="0" w:color="auto"/>
        <w:right w:val="none" w:sz="0" w:space="0" w:color="auto"/>
      </w:divBdr>
    </w:div>
    <w:div w:id="763917031">
      <w:bodyDiv w:val="1"/>
      <w:marLeft w:val="0"/>
      <w:marRight w:val="0"/>
      <w:marTop w:val="0"/>
      <w:marBottom w:val="0"/>
      <w:divBdr>
        <w:top w:val="none" w:sz="0" w:space="0" w:color="auto"/>
        <w:left w:val="none" w:sz="0" w:space="0" w:color="auto"/>
        <w:bottom w:val="none" w:sz="0" w:space="0" w:color="auto"/>
        <w:right w:val="none" w:sz="0" w:space="0" w:color="auto"/>
      </w:divBdr>
    </w:div>
    <w:div w:id="783187039">
      <w:bodyDiv w:val="1"/>
      <w:marLeft w:val="0"/>
      <w:marRight w:val="0"/>
      <w:marTop w:val="0"/>
      <w:marBottom w:val="0"/>
      <w:divBdr>
        <w:top w:val="none" w:sz="0" w:space="0" w:color="auto"/>
        <w:left w:val="none" w:sz="0" w:space="0" w:color="auto"/>
        <w:bottom w:val="none" w:sz="0" w:space="0" w:color="auto"/>
        <w:right w:val="none" w:sz="0" w:space="0" w:color="auto"/>
      </w:divBdr>
    </w:div>
    <w:div w:id="819003956">
      <w:bodyDiv w:val="1"/>
      <w:marLeft w:val="0"/>
      <w:marRight w:val="0"/>
      <w:marTop w:val="0"/>
      <w:marBottom w:val="0"/>
      <w:divBdr>
        <w:top w:val="none" w:sz="0" w:space="0" w:color="auto"/>
        <w:left w:val="none" w:sz="0" w:space="0" w:color="auto"/>
        <w:bottom w:val="none" w:sz="0" w:space="0" w:color="auto"/>
        <w:right w:val="none" w:sz="0" w:space="0" w:color="auto"/>
      </w:divBdr>
    </w:div>
    <w:div w:id="952832611">
      <w:bodyDiv w:val="1"/>
      <w:marLeft w:val="0"/>
      <w:marRight w:val="0"/>
      <w:marTop w:val="0"/>
      <w:marBottom w:val="0"/>
      <w:divBdr>
        <w:top w:val="none" w:sz="0" w:space="0" w:color="auto"/>
        <w:left w:val="none" w:sz="0" w:space="0" w:color="auto"/>
        <w:bottom w:val="none" w:sz="0" w:space="0" w:color="auto"/>
        <w:right w:val="none" w:sz="0" w:space="0" w:color="auto"/>
      </w:divBdr>
    </w:div>
    <w:div w:id="1012411328">
      <w:bodyDiv w:val="1"/>
      <w:marLeft w:val="0"/>
      <w:marRight w:val="0"/>
      <w:marTop w:val="0"/>
      <w:marBottom w:val="0"/>
      <w:divBdr>
        <w:top w:val="none" w:sz="0" w:space="0" w:color="auto"/>
        <w:left w:val="none" w:sz="0" w:space="0" w:color="auto"/>
        <w:bottom w:val="none" w:sz="0" w:space="0" w:color="auto"/>
        <w:right w:val="none" w:sz="0" w:space="0" w:color="auto"/>
      </w:divBdr>
    </w:div>
    <w:div w:id="1174689501">
      <w:bodyDiv w:val="1"/>
      <w:marLeft w:val="0"/>
      <w:marRight w:val="0"/>
      <w:marTop w:val="0"/>
      <w:marBottom w:val="0"/>
      <w:divBdr>
        <w:top w:val="none" w:sz="0" w:space="0" w:color="auto"/>
        <w:left w:val="none" w:sz="0" w:space="0" w:color="auto"/>
        <w:bottom w:val="none" w:sz="0" w:space="0" w:color="auto"/>
        <w:right w:val="none" w:sz="0" w:space="0" w:color="auto"/>
      </w:divBdr>
    </w:div>
    <w:div w:id="1217740059">
      <w:bodyDiv w:val="1"/>
      <w:marLeft w:val="0"/>
      <w:marRight w:val="0"/>
      <w:marTop w:val="0"/>
      <w:marBottom w:val="0"/>
      <w:divBdr>
        <w:top w:val="none" w:sz="0" w:space="0" w:color="auto"/>
        <w:left w:val="none" w:sz="0" w:space="0" w:color="auto"/>
        <w:bottom w:val="none" w:sz="0" w:space="0" w:color="auto"/>
        <w:right w:val="none" w:sz="0" w:space="0" w:color="auto"/>
      </w:divBdr>
    </w:div>
    <w:div w:id="1327708067">
      <w:bodyDiv w:val="1"/>
      <w:marLeft w:val="0"/>
      <w:marRight w:val="0"/>
      <w:marTop w:val="0"/>
      <w:marBottom w:val="0"/>
      <w:divBdr>
        <w:top w:val="none" w:sz="0" w:space="0" w:color="auto"/>
        <w:left w:val="none" w:sz="0" w:space="0" w:color="auto"/>
        <w:bottom w:val="none" w:sz="0" w:space="0" w:color="auto"/>
        <w:right w:val="none" w:sz="0" w:space="0" w:color="auto"/>
      </w:divBdr>
    </w:div>
    <w:div w:id="1428967046">
      <w:bodyDiv w:val="1"/>
      <w:marLeft w:val="0"/>
      <w:marRight w:val="0"/>
      <w:marTop w:val="0"/>
      <w:marBottom w:val="0"/>
      <w:divBdr>
        <w:top w:val="none" w:sz="0" w:space="0" w:color="auto"/>
        <w:left w:val="none" w:sz="0" w:space="0" w:color="auto"/>
        <w:bottom w:val="none" w:sz="0" w:space="0" w:color="auto"/>
        <w:right w:val="none" w:sz="0" w:space="0" w:color="auto"/>
      </w:divBdr>
    </w:div>
    <w:div w:id="1613050231">
      <w:bodyDiv w:val="1"/>
      <w:marLeft w:val="0"/>
      <w:marRight w:val="0"/>
      <w:marTop w:val="0"/>
      <w:marBottom w:val="0"/>
      <w:divBdr>
        <w:top w:val="none" w:sz="0" w:space="0" w:color="auto"/>
        <w:left w:val="none" w:sz="0" w:space="0" w:color="auto"/>
        <w:bottom w:val="none" w:sz="0" w:space="0" w:color="auto"/>
        <w:right w:val="none" w:sz="0" w:space="0" w:color="auto"/>
      </w:divBdr>
    </w:div>
    <w:div w:id="1698775329">
      <w:bodyDiv w:val="1"/>
      <w:marLeft w:val="0"/>
      <w:marRight w:val="0"/>
      <w:marTop w:val="0"/>
      <w:marBottom w:val="0"/>
      <w:divBdr>
        <w:top w:val="none" w:sz="0" w:space="0" w:color="auto"/>
        <w:left w:val="none" w:sz="0" w:space="0" w:color="auto"/>
        <w:bottom w:val="none" w:sz="0" w:space="0" w:color="auto"/>
        <w:right w:val="none" w:sz="0" w:space="0" w:color="auto"/>
      </w:divBdr>
    </w:div>
    <w:div w:id="1809350008">
      <w:bodyDiv w:val="1"/>
      <w:marLeft w:val="0"/>
      <w:marRight w:val="0"/>
      <w:marTop w:val="0"/>
      <w:marBottom w:val="0"/>
      <w:divBdr>
        <w:top w:val="none" w:sz="0" w:space="0" w:color="auto"/>
        <w:left w:val="none" w:sz="0" w:space="0" w:color="auto"/>
        <w:bottom w:val="none" w:sz="0" w:space="0" w:color="auto"/>
        <w:right w:val="none" w:sz="0" w:space="0" w:color="auto"/>
      </w:divBdr>
    </w:div>
    <w:div w:id="1951279470">
      <w:bodyDiv w:val="1"/>
      <w:marLeft w:val="0"/>
      <w:marRight w:val="0"/>
      <w:marTop w:val="0"/>
      <w:marBottom w:val="0"/>
      <w:divBdr>
        <w:top w:val="none" w:sz="0" w:space="0" w:color="auto"/>
        <w:left w:val="none" w:sz="0" w:space="0" w:color="auto"/>
        <w:bottom w:val="none" w:sz="0" w:space="0" w:color="auto"/>
        <w:right w:val="none" w:sz="0" w:space="0" w:color="auto"/>
      </w:divBdr>
    </w:div>
    <w:div w:id="1958638103">
      <w:bodyDiv w:val="1"/>
      <w:marLeft w:val="0"/>
      <w:marRight w:val="0"/>
      <w:marTop w:val="0"/>
      <w:marBottom w:val="0"/>
      <w:divBdr>
        <w:top w:val="none" w:sz="0" w:space="0" w:color="auto"/>
        <w:left w:val="none" w:sz="0" w:space="0" w:color="auto"/>
        <w:bottom w:val="none" w:sz="0" w:space="0" w:color="auto"/>
        <w:right w:val="none" w:sz="0" w:space="0" w:color="auto"/>
      </w:divBdr>
    </w:div>
    <w:div w:id="1970629759">
      <w:bodyDiv w:val="1"/>
      <w:marLeft w:val="0"/>
      <w:marRight w:val="0"/>
      <w:marTop w:val="0"/>
      <w:marBottom w:val="0"/>
      <w:divBdr>
        <w:top w:val="none" w:sz="0" w:space="0" w:color="auto"/>
        <w:left w:val="none" w:sz="0" w:space="0" w:color="auto"/>
        <w:bottom w:val="none" w:sz="0" w:space="0" w:color="auto"/>
        <w:right w:val="none" w:sz="0" w:space="0" w:color="auto"/>
      </w:divBdr>
    </w:div>
    <w:div w:id="2000843962">
      <w:bodyDiv w:val="1"/>
      <w:marLeft w:val="0"/>
      <w:marRight w:val="0"/>
      <w:marTop w:val="0"/>
      <w:marBottom w:val="0"/>
      <w:divBdr>
        <w:top w:val="none" w:sz="0" w:space="0" w:color="auto"/>
        <w:left w:val="none" w:sz="0" w:space="0" w:color="auto"/>
        <w:bottom w:val="none" w:sz="0" w:space="0" w:color="auto"/>
        <w:right w:val="none" w:sz="0" w:space="0" w:color="auto"/>
      </w:divBdr>
    </w:div>
    <w:div w:id="205345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21360\Desktop\National%20YTS%20&amp;%20YRBS\NYTS\NYTS_RRs_Historical_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Students</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Sheet1!$E$4:$Q$4</c:f>
              <c:numCache>
                <c:formatCode>General</c:formatCode>
                <c:ptCount val="13"/>
                <c:pt idx="0">
                  <c:v>1999</c:v>
                </c:pt>
                <c:pt idx="1">
                  <c:v>2000</c:v>
                </c:pt>
                <c:pt idx="2">
                  <c:v>2002</c:v>
                </c:pt>
                <c:pt idx="3">
                  <c:v>2004</c:v>
                </c:pt>
                <c:pt idx="4">
                  <c:v>2006</c:v>
                </c:pt>
                <c:pt idx="5">
                  <c:v>2009</c:v>
                </c:pt>
                <c:pt idx="6">
                  <c:v>2011</c:v>
                </c:pt>
                <c:pt idx="7">
                  <c:v>2012</c:v>
                </c:pt>
                <c:pt idx="8">
                  <c:v>2013</c:v>
                </c:pt>
                <c:pt idx="9">
                  <c:v>2014</c:v>
                </c:pt>
                <c:pt idx="10">
                  <c:v>2015</c:v>
                </c:pt>
                <c:pt idx="11">
                  <c:v>2016</c:v>
                </c:pt>
                <c:pt idx="12">
                  <c:v>2017</c:v>
                </c:pt>
              </c:numCache>
            </c:numRef>
          </c:cat>
          <c:val>
            <c:numRef>
              <c:f>Sheet1!$E$10:$Q$10</c:f>
              <c:numCache>
                <c:formatCode>0%</c:formatCode>
                <c:ptCount val="13"/>
                <c:pt idx="0">
                  <c:v>0.93</c:v>
                </c:pt>
                <c:pt idx="1">
                  <c:v>0.93</c:v>
                </c:pt>
                <c:pt idx="2">
                  <c:v>0.9</c:v>
                </c:pt>
                <c:pt idx="3">
                  <c:v>0.88</c:v>
                </c:pt>
                <c:pt idx="4">
                  <c:v>0.88</c:v>
                </c:pt>
                <c:pt idx="5">
                  <c:v>0.92</c:v>
                </c:pt>
                <c:pt idx="6">
                  <c:v>0.88</c:v>
                </c:pt>
                <c:pt idx="7">
                  <c:v>0.92</c:v>
                </c:pt>
                <c:pt idx="8">
                  <c:v>0.91</c:v>
                </c:pt>
                <c:pt idx="9">
                  <c:v>0.91</c:v>
                </c:pt>
                <c:pt idx="10">
                  <c:v>0.8742287378449084</c:v>
                </c:pt>
                <c:pt idx="11">
                  <c:v>0.87854440334991291</c:v>
                </c:pt>
                <c:pt idx="12">
                  <c:v>0.8873113582208102</c:v>
                </c:pt>
              </c:numCache>
            </c:numRef>
          </c:val>
          <c:smooth val="0"/>
          <c:extLst xmlns:c16r2="http://schemas.microsoft.com/office/drawing/2015/06/chart">
            <c:ext xmlns:c16="http://schemas.microsoft.com/office/drawing/2014/chart" uri="{C3380CC4-5D6E-409C-BE32-E72D297353CC}">
              <c16:uniqueId val="{00000000-55A6-4D98-80ED-4AC14074C02D}"/>
            </c:ext>
          </c:extLst>
        </c:ser>
        <c:ser>
          <c:idx val="2"/>
          <c:order val="1"/>
          <c:tx>
            <c:v>Schools</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Sheet1!$E$4:$Q$4</c:f>
              <c:numCache>
                <c:formatCode>General</c:formatCode>
                <c:ptCount val="13"/>
                <c:pt idx="0">
                  <c:v>1999</c:v>
                </c:pt>
                <c:pt idx="1">
                  <c:v>2000</c:v>
                </c:pt>
                <c:pt idx="2">
                  <c:v>2002</c:v>
                </c:pt>
                <c:pt idx="3">
                  <c:v>2004</c:v>
                </c:pt>
                <c:pt idx="4">
                  <c:v>2006</c:v>
                </c:pt>
                <c:pt idx="5">
                  <c:v>2009</c:v>
                </c:pt>
                <c:pt idx="6">
                  <c:v>2011</c:v>
                </c:pt>
                <c:pt idx="7">
                  <c:v>2012</c:v>
                </c:pt>
                <c:pt idx="8">
                  <c:v>2013</c:v>
                </c:pt>
                <c:pt idx="9">
                  <c:v>2014</c:v>
                </c:pt>
                <c:pt idx="10">
                  <c:v>2015</c:v>
                </c:pt>
                <c:pt idx="11">
                  <c:v>2016</c:v>
                </c:pt>
                <c:pt idx="12">
                  <c:v>2017</c:v>
                </c:pt>
              </c:numCache>
            </c:numRef>
          </c:cat>
          <c:val>
            <c:numRef>
              <c:f>Sheet1!$E$12:$Q$12</c:f>
              <c:numCache>
                <c:formatCode>0%</c:formatCode>
                <c:ptCount val="13"/>
                <c:pt idx="0">
                  <c:v>0.9</c:v>
                </c:pt>
                <c:pt idx="1">
                  <c:v>0.9</c:v>
                </c:pt>
                <c:pt idx="2">
                  <c:v>0.83</c:v>
                </c:pt>
                <c:pt idx="3">
                  <c:v>0.93</c:v>
                </c:pt>
                <c:pt idx="4">
                  <c:v>0.92</c:v>
                </c:pt>
                <c:pt idx="5">
                  <c:v>0.92</c:v>
                </c:pt>
                <c:pt idx="6">
                  <c:v>0.83</c:v>
                </c:pt>
                <c:pt idx="7">
                  <c:v>0.8</c:v>
                </c:pt>
                <c:pt idx="8">
                  <c:v>0.75</c:v>
                </c:pt>
                <c:pt idx="9">
                  <c:v>0.82</c:v>
                </c:pt>
                <c:pt idx="10">
                  <c:v>0.72549019607843135</c:v>
                </c:pt>
                <c:pt idx="11">
                  <c:v>0.81048387096774188</c:v>
                </c:pt>
                <c:pt idx="12">
                  <c:v>0.76348547717842319</c:v>
                </c:pt>
              </c:numCache>
            </c:numRef>
          </c:val>
          <c:smooth val="0"/>
          <c:extLst xmlns:c16r2="http://schemas.microsoft.com/office/drawing/2015/06/chart">
            <c:ext xmlns:c16="http://schemas.microsoft.com/office/drawing/2014/chart" uri="{C3380CC4-5D6E-409C-BE32-E72D297353CC}">
              <c16:uniqueId val="{00000001-55A6-4D98-80ED-4AC14074C02D}"/>
            </c:ext>
          </c:extLst>
        </c:ser>
        <c:ser>
          <c:idx val="4"/>
          <c:order val="2"/>
          <c:tx>
            <c:v>Overall</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Sheet1!$E$4:$Q$4</c:f>
              <c:numCache>
                <c:formatCode>General</c:formatCode>
                <c:ptCount val="13"/>
                <c:pt idx="0">
                  <c:v>1999</c:v>
                </c:pt>
                <c:pt idx="1">
                  <c:v>2000</c:v>
                </c:pt>
                <c:pt idx="2">
                  <c:v>2002</c:v>
                </c:pt>
                <c:pt idx="3">
                  <c:v>2004</c:v>
                </c:pt>
                <c:pt idx="4">
                  <c:v>2006</c:v>
                </c:pt>
                <c:pt idx="5">
                  <c:v>2009</c:v>
                </c:pt>
                <c:pt idx="6">
                  <c:v>2011</c:v>
                </c:pt>
                <c:pt idx="7">
                  <c:v>2012</c:v>
                </c:pt>
                <c:pt idx="8">
                  <c:v>2013</c:v>
                </c:pt>
                <c:pt idx="9">
                  <c:v>2014</c:v>
                </c:pt>
                <c:pt idx="10">
                  <c:v>2015</c:v>
                </c:pt>
                <c:pt idx="11">
                  <c:v>2016</c:v>
                </c:pt>
                <c:pt idx="12">
                  <c:v>2017</c:v>
                </c:pt>
              </c:numCache>
            </c:numRef>
          </c:cat>
          <c:val>
            <c:numRef>
              <c:f>Sheet1!$E$18:$Q$18</c:f>
              <c:numCache>
                <c:formatCode>0%</c:formatCode>
                <c:ptCount val="13"/>
                <c:pt idx="0">
                  <c:v>0.83700000000000008</c:v>
                </c:pt>
                <c:pt idx="1">
                  <c:v>0.83700000000000008</c:v>
                </c:pt>
                <c:pt idx="2">
                  <c:v>0.747</c:v>
                </c:pt>
                <c:pt idx="3">
                  <c:v>0.81840000000000002</c:v>
                </c:pt>
                <c:pt idx="4">
                  <c:v>0.80959999999999999</c:v>
                </c:pt>
                <c:pt idx="5">
                  <c:v>0.84640000000000004</c:v>
                </c:pt>
                <c:pt idx="6">
                  <c:v>0.73039999999999994</c:v>
                </c:pt>
                <c:pt idx="7">
                  <c:v>0.7360000000000001</c:v>
                </c:pt>
                <c:pt idx="8">
                  <c:v>0.6825</c:v>
                </c:pt>
                <c:pt idx="9">
                  <c:v>0.74619999999999997</c:v>
                </c:pt>
                <c:pt idx="10">
                  <c:v>0.63424437843650217</c:v>
                </c:pt>
                <c:pt idx="11">
                  <c:v>0.71204606884408261</c:v>
                </c:pt>
                <c:pt idx="12">
                  <c:v>0.67744933573705002</c:v>
                </c:pt>
              </c:numCache>
            </c:numRef>
          </c:val>
          <c:smooth val="0"/>
          <c:extLst xmlns:c16r2="http://schemas.microsoft.com/office/drawing/2015/06/chart">
            <c:ext xmlns:c16="http://schemas.microsoft.com/office/drawing/2014/chart" uri="{C3380CC4-5D6E-409C-BE32-E72D297353CC}">
              <c16:uniqueId val="{00000002-55A6-4D98-80ED-4AC14074C02D}"/>
            </c:ext>
          </c:extLst>
        </c:ser>
        <c:dLbls>
          <c:showLegendKey val="0"/>
          <c:showVal val="0"/>
          <c:showCatName val="0"/>
          <c:showSerName val="0"/>
          <c:showPercent val="0"/>
          <c:showBubbleSize val="0"/>
        </c:dLbls>
        <c:marker val="1"/>
        <c:smooth val="0"/>
        <c:axId val="44503424"/>
        <c:axId val="44505344"/>
      </c:lineChart>
      <c:catAx>
        <c:axId val="4450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05344"/>
        <c:crosses val="autoZero"/>
        <c:auto val="1"/>
        <c:lblAlgn val="ctr"/>
        <c:lblOffset val="100"/>
        <c:noMultiLvlLbl val="0"/>
      </c:catAx>
      <c:valAx>
        <c:axId val="44505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03424"/>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Submitted to:
Division of Adolescent and School Health
Centers for Disease Control and Prevention
November 2017</Abstract>
  <CompanyAddress/>
  <CompanyPhone/>
  <CompanyFax/>
  <CompanyEmail>ICF</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743B72-1D1F-4A09-BFA9-4F947E20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Nonresponse Bias Analysis</vt:lpstr>
    </vt:vector>
  </TitlesOfParts>
  <Company>ICF</Company>
  <LinksUpToDate>false</LinksUpToDate>
  <CharactersWithSpaces>24781</CharactersWithSpaces>
  <SharedDoc>false</SharedDoc>
  <HLinks>
    <vt:vector size="216" baseType="variant">
      <vt:variant>
        <vt:i4>1245246</vt:i4>
      </vt:variant>
      <vt:variant>
        <vt:i4>194</vt:i4>
      </vt:variant>
      <vt:variant>
        <vt:i4>0</vt:i4>
      </vt:variant>
      <vt:variant>
        <vt:i4>5</vt:i4>
      </vt:variant>
      <vt:variant>
        <vt:lpwstr/>
      </vt:variant>
      <vt:variant>
        <vt:lpwstr>_Toc409004306</vt:lpwstr>
      </vt:variant>
      <vt:variant>
        <vt:i4>1245246</vt:i4>
      </vt:variant>
      <vt:variant>
        <vt:i4>188</vt:i4>
      </vt:variant>
      <vt:variant>
        <vt:i4>0</vt:i4>
      </vt:variant>
      <vt:variant>
        <vt:i4>5</vt:i4>
      </vt:variant>
      <vt:variant>
        <vt:lpwstr/>
      </vt:variant>
      <vt:variant>
        <vt:lpwstr>_Toc409004305</vt:lpwstr>
      </vt:variant>
      <vt:variant>
        <vt:i4>1245246</vt:i4>
      </vt:variant>
      <vt:variant>
        <vt:i4>182</vt:i4>
      </vt:variant>
      <vt:variant>
        <vt:i4>0</vt:i4>
      </vt:variant>
      <vt:variant>
        <vt:i4>5</vt:i4>
      </vt:variant>
      <vt:variant>
        <vt:lpwstr/>
      </vt:variant>
      <vt:variant>
        <vt:lpwstr>_Toc409004302</vt:lpwstr>
      </vt:variant>
      <vt:variant>
        <vt:i4>1703999</vt:i4>
      </vt:variant>
      <vt:variant>
        <vt:i4>176</vt:i4>
      </vt:variant>
      <vt:variant>
        <vt:i4>0</vt:i4>
      </vt:variant>
      <vt:variant>
        <vt:i4>5</vt:i4>
      </vt:variant>
      <vt:variant>
        <vt:lpwstr/>
      </vt:variant>
      <vt:variant>
        <vt:lpwstr>_Toc409004299</vt:lpwstr>
      </vt:variant>
      <vt:variant>
        <vt:i4>1703999</vt:i4>
      </vt:variant>
      <vt:variant>
        <vt:i4>170</vt:i4>
      </vt:variant>
      <vt:variant>
        <vt:i4>0</vt:i4>
      </vt:variant>
      <vt:variant>
        <vt:i4>5</vt:i4>
      </vt:variant>
      <vt:variant>
        <vt:lpwstr/>
      </vt:variant>
      <vt:variant>
        <vt:lpwstr>_Toc409004298</vt:lpwstr>
      </vt:variant>
      <vt:variant>
        <vt:i4>1703999</vt:i4>
      </vt:variant>
      <vt:variant>
        <vt:i4>164</vt:i4>
      </vt:variant>
      <vt:variant>
        <vt:i4>0</vt:i4>
      </vt:variant>
      <vt:variant>
        <vt:i4>5</vt:i4>
      </vt:variant>
      <vt:variant>
        <vt:lpwstr/>
      </vt:variant>
      <vt:variant>
        <vt:lpwstr>_Toc409004295</vt:lpwstr>
      </vt:variant>
      <vt:variant>
        <vt:i4>1703999</vt:i4>
      </vt:variant>
      <vt:variant>
        <vt:i4>158</vt:i4>
      </vt:variant>
      <vt:variant>
        <vt:i4>0</vt:i4>
      </vt:variant>
      <vt:variant>
        <vt:i4>5</vt:i4>
      </vt:variant>
      <vt:variant>
        <vt:lpwstr/>
      </vt:variant>
      <vt:variant>
        <vt:lpwstr>_Toc409004294</vt:lpwstr>
      </vt:variant>
      <vt:variant>
        <vt:i4>1703999</vt:i4>
      </vt:variant>
      <vt:variant>
        <vt:i4>152</vt:i4>
      </vt:variant>
      <vt:variant>
        <vt:i4>0</vt:i4>
      </vt:variant>
      <vt:variant>
        <vt:i4>5</vt:i4>
      </vt:variant>
      <vt:variant>
        <vt:lpwstr/>
      </vt:variant>
      <vt:variant>
        <vt:lpwstr>_Toc409004293</vt:lpwstr>
      </vt:variant>
      <vt:variant>
        <vt:i4>15138927</vt:i4>
      </vt:variant>
      <vt:variant>
        <vt:i4>146</vt:i4>
      </vt:variant>
      <vt:variant>
        <vt:i4>0</vt:i4>
      </vt:variant>
      <vt:variant>
        <vt:i4>5</vt:i4>
      </vt:variant>
      <vt:variant>
        <vt:lpwstr>../../../21185/Desktop/123003-0-000-04-001 NYTS Sampling and Weighting Report_formatted .doc</vt:lpwstr>
      </vt:variant>
      <vt:variant>
        <vt:lpwstr>_Toc409004292</vt:lpwstr>
      </vt:variant>
      <vt:variant>
        <vt:i4>1703999</vt:i4>
      </vt:variant>
      <vt:variant>
        <vt:i4>140</vt:i4>
      </vt:variant>
      <vt:variant>
        <vt:i4>0</vt:i4>
      </vt:variant>
      <vt:variant>
        <vt:i4>5</vt:i4>
      </vt:variant>
      <vt:variant>
        <vt:lpwstr/>
      </vt:variant>
      <vt:variant>
        <vt:lpwstr>_Toc409004291</vt:lpwstr>
      </vt:variant>
      <vt:variant>
        <vt:i4>1703999</vt:i4>
      </vt:variant>
      <vt:variant>
        <vt:i4>134</vt:i4>
      </vt:variant>
      <vt:variant>
        <vt:i4>0</vt:i4>
      </vt:variant>
      <vt:variant>
        <vt:i4>5</vt:i4>
      </vt:variant>
      <vt:variant>
        <vt:lpwstr/>
      </vt:variant>
      <vt:variant>
        <vt:lpwstr>_Toc409004290</vt:lpwstr>
      </vt:variant>
      <vt:variant>
        <vt:i4>1179696</vt:i4>
      </vt:variant>
      <vt:variant>
        <vt:i4>129</vt:i4>
      </vt:variant>
      <vt:variant>
        <vt:i4>0</vt:i4>
      </vt:variant>
      <vt:variant>
        <vt:i4>5</vt:i4>
      </vt:variant>
      <vt:variant>
        <vt:lpwstr/>
      </vt:variant>
      <vt:variant>
        <vt:lpwstr>_Toc406755778</vt:lpwstr>
      </vt:variant>
      <vt:variant>
        <vt:i4>1179696</vt:i4>
      </vt:variant>
      <vt:variant>
        <vt:i4>126</vt:i4>
      </vt:variant>
      <vt:variant>
        <vt:i4>0</vt:i4>
      </vt:variant>
      <vt:variant>
        <vt:i4>5</vt:i4>
      </vt:variant>
      <vt:variant>
        <vt:lpwstr/>
      </vt:variant>
      <vt:variant>
        <vt:lpwstr>_Toc406755777</vt:lpwstr>
      </vt:variant>
      <vt:variant>
        <vt:i4>1179696</vt:i4>
      </vt:variant>
      <vt:variant>
        <vt:i4>123</vt:i4>
      </vt:variant>
      <vt:variant>
        <vt:i4>0</vt:i4>
      </vt:variant>
      <vt:variant>
        <vt:i4>5</vt:i4>
      </vt:variant>
      <vt:variant>
        <vt:lpwstr/>
      </vt:variant>
      <vt:variant>
        <vt:lpwstr>_Toc406755776</vt:lpwstr>
      </vt:variant>
      <vt:variant>
        <vt:i4>1179696</vt:i4>
      </vt:variant>
      <vt:variant>
        <vt:i4>120</vt:i4>
      </vt:variant>
      <vt:variant>
        <vt:i4>0</vt:i4>
      </vt:variant>
      <vt:variant>
        <vt:i4>5</vt:i4>
      </vt:variant>
      <vt:variant>
        <vt:lpwstr/>
      </vt:variant>
      <vt:variant>
        <vt:lpwstr>_Toc406755775</vt:lpwstr>
      </vt:variant>
      <vt:variant>
        <vt:i4>1179696</vt:i4>
      </vt:variant>
      <vt:variant>
        <vt:i4>117</vt:i4>
      </vt:variant>
      <vt:variant>
        <vt:i4>0</vt:i4>
      </vt:variant>
      <vt:variant>
        <vt:i4>5</vt:i4>
      </vt:variant>
      <vt:variant>
        <vt:lpwstr/>
      </vt:variant>
      <vt:variant>
        <vt:lpwstr>_Toc406755774</vt:lpwstr>
      </vt:variant>
      <vt:variant>
        <vt:i4>1114164</vt:i4>
      </vt:variant>
      <vt:variant>
        <vt:i4>110</vt:i4>
      </vt:variant>
      <vt:variant>
        <vt:i4>0</vt:i4>
      </vt:variant>
      <vt:variant>
        <vt:i4>5</vt:i4>
      </vt:variant>
      <vt:variant>
        <vt:lpwstr/>
      </vt:variant>
      <vt:variant>
        <vt:lpwstr>_Toc408996196</vt:lpwstr>
      </vt:variant>
      <vt:variant>
        <vt:i4>1114164</vt:i4>
      </vt:variant>
      <vt:variant>
        <vt:i4>104</vt:i4>
      </vt:variant>
      <vt:variant>
        <vt:i4>0</vt:i4>
      </vt:variant>
      <vt:variant>
        <vt:i4>5</vt:i4>
      </vt:variant>
      <vt:variant>
        <vt:lpwstr/>
      </vt:variant>
      <vt:variant>
        <vt:lpwstr>_Toc408996195</vt:lpwstr>
      </vt:variant>
      <vt:variant>
        <vt:i4>1114164</vt:i4>
      </vt:variant>
      <vt:variant>
        <vt:i4>98</vt:i4>
      </vt:variant>
      <vt:variant>
        <vt:i4>0</vt:i4>
      </vt:variant>
      <vt:variant>
        <vt:i4>5</vt:i4>
      </vt:variant>
      <vt:variant>
        <vt:lpwstr/>
      </vt:variant>
      <vt:variant>
        <vt:lpwstr>_Toc408996194</vt:lpwstr>
      </vt:variant>
      <vt:variant>
        <vt:i4>1114164</vt:i4>
      </vt:variant>
      <vt:variant>
        <vt:i4>92</vt:i4>
      </vt:variant>
      <vt:variant>
        <vt:i4>0</vt:i4>
      </vt:variant>
      <vt:variant>
        <vt:i4>5</vt:i4>
      </vt:variant>
      <vt:variant>
        <vt:lpwstr/>
      </vt:variant>
      <vt:variant>
        <vt:lpwstr>_Toc408996193</vt:lpwstr>
      </vt:variant>
      <vt:variant>
        <vt:i4>1114164</vt:i4>
      </vt:variant>
      <vt:variant>
        <vt:i4>86</vt:i4>
      </vt:variant>
      <vt:variant>
        <vt:i4>0</vt:i4>
      </vt:variant>
      <vt:variant>
        <vt:i4>5</vt:i4>
      </vt:variant>
      <vt:variant>
        <vt:lpwstr/>
      </vt:variant>
      <vt:variant>
        <vt:lpwstr>_Toc408996192</vt:lpwstr>
      </vt:variant>
      <vt:variant>
        <vt:i4>1114164</vt:i4>
      </vt:variant>
      <vt:variant>
        <vt:i4>80</vt:i4>
      </vt:variant>
      <vt:variant>
        <vt:i4>0</vt:i4>
      </vt:variant>
      <vt:variant>
        <vt:i4>5</vt:i4>
      </vt:variant>
      <vt:variant>
        <vt:lpwstr/>
      </vt:variant>
      <vt:variant>
        <vt:lpwstr>_Toc408996191</vt:lpwstr>
      </vt:variant>
      <vt:variant>
        <vt:i4>1114164</vt:i4>
      </vt:variant>
      <vt:variant>
        <vt:i4>74</vt:i4>
      </vt:variant>
      <vt:variant>
        <vt:i4>0</vt:i4>
      </vt:variant>
      <vt:variant>
        <vt:i4>5</vt:i4>
      </vt:variant>
      <vt:variant>
        <vt:lpwstr/>
      </vt:variant>
      <vt:variant>
        <vt:lpwstr>_Toc408996190</vt:lpwstr>
      </vt:variant>
      <vt:variant>
        <vt:i4>1048628</vt:i4>
      </vt:variant>
      <vt:variant>
        <vt:i4>68</vt:i4>
      </vt:variant>
      <vt:variant>
        <vt:i4>0</vt:i4>
      </vt:variant>
      <vt:variant>
        <vt:i4>5</vt:i4>
      </vt:variant>
      <vt:variant>
        <vt:lpwstr/>
      </vt:variant>
      <vt:variant>
        <vt:lpwstr>_Toc408996189</vt:lpwstr>
      </vt:variant>
      <vt:variant>
        <vt:i4>1048628</vt:i4>
      </vt:variant>
      <vt:variant>
        <vt:i4>62</vt:i4>
      </vt:variant>
      <vt:variant>
        <vt:i4>0</vt:i4>
      </vt:variant>
      <vt:variant>
        <vt:i4>5</vt:i4>
      </vt:variant>
      <vt:variant>
        <vt:lpwstr/>
      </vt:variant>
      <vt:variant>
        <vt:lpwstr>_Toc408996188</vt:lpwstr>
      </vt:variant>
      <vt:variant>
        <vt:i4>1048628</vt:i4>
      </vt:variant>
      <vt:variant>
        <vt:i4>56</vt:i4>
      </vt:variant>
      <vt:variant>
        <vt:i4>0</vt:i4>
      </vt:variant>
      <vt:variant>
        <vt:i4>5</vt:i4>
      </vt:variant>
      <vt:variant>
        <vt:lpwstr/>
      </vt:variant>
      <vt:variant>
        <vt:lpwstr>_Toc408996187</vt:lpwstr>
      </vt:variant>
      <vt:variant>
        <vt:i4>1048628</vt:i4>
      </vt:variant>
      <vt:variant>
        <vt:i4>50</vt:i4>
      </vt:variant>
      <vt:variant>
        <vt:i4>0</vt:i4>
      </vt:variant>
      <vt:variant>
        <vt:i4>5</vt:i4>
      </vt:variant>
      <vt:variant>
        <vt:lpwstr/>
      </vt:variant>
      <vt:variant>
        <vt:lpwstr>_Toc408996186</vt:lpwstr>
      </vt:variant>
      <vt:variant>
        <vt:i4>1048628</vt:i4>
      </vt:variant>
      <vt:variant>
        <vt:i4>44</vt:i4>
      </vt:variant>
      <vt:variant>
        <vt:i4>0</vt:i4>
      </vt:variant>
      <vt:variant>
        <vt:i4>5</vt:i4>
      </vt:variant>
      <vt:variant>
        <vt:lpwstr/>
      </vt:variant>
      <vt:variant>
        <vt:lpwstr>_Toc408996185</vt:lpwstr>
      </vt:variant>
      <vt:variant>
        <vt:i4>1048628</vt:i4>
      </vt:variant>
      <vt:variant>
        <vt:i4>38</vt:i4>
      </vt:variant>
      <vt:variant>
        <vt:i4>0</vt:i4>
      </vt:variant>
      <vt:variant>
        <vt:i4>5</vt:i4>
      </vt:variant>
      <vt:variant>
        <vt:lpwstr/>
      </vt:variant>
      <vt:variant>
        <vt:lpwstr>_Toc408996184</vt:lpwstr>
      </vt:variant>
      <vt:variant>
        <vt:i4>1048628</vt:i4>
      </vt:variant>
      <vt:variant>
        <vt:i4>32</vt:i4>
      </vt:variant>
      <vt:variant>
        <vt:i4>0</vt:i4>
      </vt:variant>
      <vt:variant>
        <vt:i4>5</vt:i4>
      </vt:variant>
      <vt:variant>
        <vt:lpwstr/>
      </vt:variant>
      <vt:variant>
        <vt:lpwstr>_Toc408996183</vt:lpwstr>
      </vt:variant>
      <vt:variant>
        <vt:i4>1048628</vt:i4>
      </vt:variant>
      <vt:variant>
        <vt:i4>26</vt:i4>
      </vt:variant>
      <vt:variant>
        <vt:i4>0</vt:i4>
      </vt:variant>
      <vt:variant>
        <vt:i4>5</vt:i4>
      </vt:variant>
      <vt:variant>
        <vt:lpwstr/>
      </vt:variant>
      <vt:variant>
        <vt:lpwstr>_Toc408996182</vt:lpwstr>
      </vt:variant>
      <vt:variant>
        <vt:i4>1048628</vt:i4>
      </vt:variant>
      <vt:variant>
        <vt:i4>20</vt:i4>
      </vt:variant>
      <vt:variant>
        <vt:i4>0</vt:i4>
      </vt:variant>
      <vt:variant>
        <vt:i4>5</vt:i4>
      </vt:variant>
      <vt:variant>
        <vt:lpwstr/>
      </vt:variant>
      <vt:variant>
        <vt:lpwstr>_Toc408996181</vt:lpwstr>
      </vt:variant>
      <vt:variant>
        <vt:i4>1048628</vt:i4>
      </vt:variant>
      <vt:variant>
        <vt:i4>14</vt:i4>
      </vt:variant>
      <vt:variant>
        <vt:i4>0</vt:i4>
      </vt:variant>
      <vt:variant>
        <vt:i4>5</vt:i4>
      </vt:variant>
      <vt:variant>
        <vt:lpwstr/>
      </vt:variant>
      <vt:variant>
        <vt:lpwstr>_Toc408996180</vt:lpwstr>
      </vt:variant>
      <vt:variant>
        <vt:i4>2031668</vt:i4>
      </vt:variant>
      <vt:variant>
        <vt:i4>8</vt:i4>
      </vt:variant>
      <vt:variant>
        <vt:i4>0</vt:i4>
      </vt:variant>
      <vt:variant>
        <vt:i4>5</vt:i4>
      </vt:variant>
      <vt:variant>
        <vt:lpwstr/>
      </vt:variant>
      <vt:variant>
        <vt:lpwstr>_Toc408996179</vt:lpwstr>
      </vt:variant>
      <vt:variant>
        <vt:i4>2031668</vt:i4>
      </vt:variant>
      <vt:variant>
        <vt:i4>2</vt:i4>
      </vt:variant>
      <vt:variant>
        <vt:i4>0</vt:i4>
      </vt:variant>
      <vt:variant>
        <vt:i4>5</vt:i4>
      </vt:variant>
      <vt:variant>
        <vt:lpwstr/>
      </vt:variant>
      <vt:variant>
        <vt:lpwstr>_Toc408996178</vt:lpwstr>
      </vt:variant>
      <vt:variant>
        <vt:i4>8126577</vt:i4>
      </vt:variant>
      <vt:variant>
        <vt:i4>0</vt:i4>
      </vt:variant>
      <vt:variant>
        <vt:i4>0</vt:i4>
      </vt:variant>
      <vt:variant>
        <vt:i4>5</vt:i4>
      </vt:variant>
      <vt:variant>
        <vt:lpwstr>http://nces.ed.gov/ccd/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Nonresponse Bias Analysis</dc:title>
  <dc:subject>2017 National Youth Tobacco Survey</dc:subject>
  <dc:creator>Kate Flint, Ronaldo Iachan, Alice Roberts, Lee Harding, Yangyang Deng</dc:creator>
  <cp:lastModifiedBy>SYSTEM</cp:lastModifiedBy>
  <cp:revision>2</cp:revision>
  <cp:lastPrinted>2018-03-08T15:01:00Z</cp:lastPrinted>
  <dcterms:created xsi:type="dcterms:W3CDTF">2018-04-25T17:44:00Z</dcterms:created>
  <dcterms:modified xsi:type="dcterms:W3CDTF">2018-04-25T17:44:00Z</dcterms:modified>
</cp:coreProperties>
</file>