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12FA1" w14:textId="073A7585" w:rsidR="00CB2ECC" w:rsidRPr="00C46EAC" w:rsidRDefault="00CB2ECC" w:rsidP="00CB2ECC">
      <w:pPr>
        <w:tabs>
          <w:tab w:val="left" w:pos="-3060"/>
          <w:tab w:val="center" w:pos="4752"/>
        </w:tabs>
        <w:suppressAutoHyphens/>
        <w:spacing w:line="240" w:lineRule="atLeast"/>
        <w:jc w:val="center"/>
        <w:rPr>
          <w:bCs/>
          <w:sz w:val="24"/>
          <w:szCs w:val="24"/>
        </w:rPr>
      </w:pPr>
      <w:bookmarkStart w:id="0" w:name="_GoBack"/>
      <w:bookmarkEnd w:id="0"/>
      <w:r w:rsidRPr="00C46EAC">
        <w:rPr>
          <w:sz w:val="24"/>
          <w:szCs w:val="24"/>
        </w:rPr>
        <w:t>Appendix A: Supporting Statement for Paperwork Reduction Act Submissions</w:t>
      </w:r>
    </w:p>
    <w:p w14:paraId="052CF342" w14:textId="697A796F" w:rsidR="00CA01E6" w:rsidRPr="00C46EAC" w:rsidRDefault="00CA01E6" w:rsidP="00EE2110">
      <w:pPr>
        <w:tabs>
          <w:tab w:val="left" w:pos="-3060"/>
          <w:tab w:val="center" w:pos="4752"/>
        </w:tabs>
        <w:suppressAutoHyphens/>
        <w:spacing w:line="240" w:lineRule="atLeast"/>
        <w:jc w:val="center"/>
        <w:rPr>
          <w:sz w:val="24"/>
          <w:szCs w:val="24"/>
        </w:rPr>
      </w:pPr>
      <w:r w:rsidRPr="00C46EAC">
        <w:rPr>
          <w:bCs/>
          <w:sz w:val="24"/>
          <w:szCs w:val="24"/>
        </w:rPr>
        <w:t>CMS</w:t>
      </w:r>
      <w:r w:rsidR="00485DD4" w:rsidRPr="00C46EAC">
        <w:rPr>
          <w:sz w:val="24"/>
          <w:szCs w:val="24"/>
        </w:rPr>
        <w:t xml:space="preserve"> </w:t>
      </w:r>
      <w:r w:rsidR="00CB2ECC" w:rsidRPr="00C46EAC">
        <w:rPr>
          <w:sz w:val="24"/>
          <w:szCs w:val="24"/>
        </w:rPr>
        <w:t>Plan Benefit Package (PBP)</w:t>
      </w:r>
      <w:r w:rsidR="00485DD4" w:rsidRPr="00C46EAC">
        <w:rPr>
          <w:sz w:val="24"/>
          <w:szCs w:val="24"/>
        </w:rPr>
        <w:t xml:space="preserve"> and Formulary CY</w:t>
      </w:r>
      <w:r w:rsidR="0017359F" w:rsidRPr="00C46EAC">
        <w:rPr>
          <w:sz w:val="24"/>
          <w:szCs w:val="24"/>
        </w:rPr>
        <w:t xml:space="preserve"> </w:t>
      </w:r>
      <w:r w:rsidR="00F1081A" w:rsidRPr="00C46EAC">
        <w:rPr>
          <w:sz w:val="24"/>
          <w:szCs w:val="24"/>
        </w:rPr>
        <w:t>20</w:t>
      </w:r>
      <w:r w:rsidR="00F1081A">
        <w:rPr>
          <w:sz w:val="24"/>
          <w:szCs w:val="24"/>
        </w:rPr>
        <w:t>20</w:t>
      </w:r>
    </w:p>
    <w:p w14:paraId="287CCE32" w14:textId="77777777" w:rsidR="00695E7B" w:rsidRPr="00C46EAC" w:rsidRDefault="00695E7B" w:rsidP="00EE2110">
      <w:pPr>
        <w:tabs>
          <w:tab w:val="left" w:pos="-3060"/>
          <w:tab w:val="center" w:pos="4752"/>
        </w:tabs>
        <w:suppressAutoHyphens/>
        <w:spacing w:line="240" w:lineRule="atLeast"/>
        <w:jc w:val="center"/>
        <w:rPr>
          <w:sz w:val="24"/>
          <w:szCs w:val="24"/>
        </w:rPr>
      </w:pPr>
      <w:r w:rsidRPr="00C46EAC">
        <w:rPr>
          <w:sz w:val="24"/>
          <w:szCs w:val="24"/>
        </w:rPr>
        <w:t>CMS-R-262, OMB 0938-0763</w:t>
      </w:r>
    </w:p>
    <w:p w14:paraId="56FF15E0" w14:textId="77777777" w:rsidR="00CA01E6" w:rsidRPr="00C46EAC" w:rsidRDefault="00CA01E6" w:rsidP="00EE2110">
      <w:pPr>
        <w:tabs>
          <w:tab w:val="left" w:pos="-3060"/>
          <w:tab w:val="left" w:pos="0"/>
        </w:tabs>
        <w:suppressAutoHyphens/>
        <w:spacing w:line="240" w:lineRule="atLeast"/>
        <w:rPr>
          <w:sz w:val="24"/>
          <w:szCs w:val="24"/>
          <w:u w:val="single"/>
        </w:rPr>
      </w:pPr>
    </w:p>
    <w:p w14:paraId="12F717AE" w14:textId="04425C8F" w:rsidR="00CD7F5B" w:rsidRPr="00C46EAC" w:rsidRDefault="004342D9" w:rsidP="00EE2110">
      <w:pPr>
        <w:pStyle w:val="BodyText3"/>
        <w:jc w:val="left"/>
        <w:rPr>
          <w:i/>
          <w:sz w:val="24"/>
          <w:szCs w:val="24"/>
          <w:u w:val="none"/>
        </w:rPr>
      </w:pPr>
      <w:r w:rsidRPr="00C46EAC">
        <w:rPr>
          <w:i/>
          <w:sz w:val="24"/>
          <w:szCs w:val="24"/>
          <w:u w:val="none"/>
        </w:rPr>
        <w:t>The</w:t>
      </w:r>
      <w:r w:rsidR="00081FA0" w:rsidRPr="00C46EAC">
        <w:rPr>
          <w:i/>
          <w:sz w:val="24"/>
          <w:szCs w:val="24"/>
          <w:u w:val="none"/>
        </w:rPr>
        <w:t xml:space="preserve"> Plan Benefit Package (PBP), Formulary, </w:t>
      </w:r>
      <w:r w:rsidR="00CD7F5B" w:rsidRPr="00C46EAC">
        <w:rPr>
          <w:i/>
          <w:sz w:val="24"/>
          <w:szCs w:val="24"/>
          <w:u w:val="none"/>
        </w:rPr>
        <w:t xml:space="preserve">and Supporting Regulations Contained in 42 Code of Federal Regulation (CFR): </w:t>
      </w:r>
      <w:r w:rsidR="006211CD" w:rsidRPr="00C46EAC">
        <w:rPr>
          <w:i/>
          <w:sz w:val="24"/>
          <w:szCs w:val="24"/>
          <w:u w:val="none"/>
        </w:rPr>
        <w:t xml:space="preserve">422.100, 422.101, 422.102, 422.103, 422.105, 422.106, 422.108, 422.110, 422.111, 422.112, 422.113, 422.114, </w:t>
      </w:r>
      <w:r w:rsidR="00CD7F5B" w:rsidRPr="00C46EAC">
        <w:rPr>
          <w:i/>
          <w:sz w:val="24"/>
          <w:szCs w:val="24"/>
          <w:u w:val="none"/>
        </w:rPr>
        <w:t xml:space="preserve">422.250, 422.252, 422.254, 422.256, 422.258, 422.262, 422.264, 422.266, </w:t>
      </w:r>
      <w:r w:rsidR="004E7842" w:rsidRPr="00C46EAC">
        <w:rPr>
          <w:i/>
          <w:sz w:val="24"/>
          <w:szCs w:val="24"/>
          <w:u w:val="none"/>
        </w:rPr>
        <w:t>4</w:t>
      </w:r>
      <w:r w:rsidR="00CD7F5B" w:rsidRPr="00C46EAC">
        <w:rPr>
          <w:i/>
          <w:sz w:val="24"/>
          <w:szCs w:val="24"/>
          <w:u w:val="none"/>
        </w:rPr>
        <w:t xml:space="preserve">22.270, 422.300, 422.304, 422.306, 422.308, 422.310, 422.312, 422.314, 422.316, 422.318, 422.320, 422.322, 422.324, </w:t>
      </w:r>
      <w:r w:rsidR="000C1E39" w:rsidRPr="00C46EAC">
        <w:rPr>
          <w:i/>
          <w:sz w:val="24"/>
          <w:szCs w:val="24"/>
          <w:u w:val="none"/>
        </w:rPr>
        <w:t>423.100, 423.104, 423.112, 423.120, 423.124, 423.128, 423.132, 423.136,</w:t>
      </w:r>
      <w:r w:rsidR="00BC6F09">
        <w:rPr>
          <w:i/>
          <w:sz w:val="24"/>
          <w:szCs w:val="24"/>
          <w:u w:val="none"/>
        </w:rPr>
        <w:t>423.160,</w:t>
      </w:r>
      <w:r w:rsidR="000C1E39" w:rsidRPr="00C46EAC">
        <w:rPr>
          <w:i/>
          <w:sz w:val="24"/>
          <w:szCs w:val="24"/>
          <w:u w:val="none"/>
        </w:rPr>
        <w:t xml:space="preserve"> </w:t>
      </w:r>
      <w:r w:rsidR="00CD7F5B" w:rsidRPr="00C46EAC">
        <w:rPr>
          <w:i/>
          <w:sz w:val="24"/>
          <w:szCs w:val="24"/>
          <w:u w:val="none"/>
        </w:rPr>
        <w:t xml:space="preserve">423.251, </w:t>
      </w:r>
      <w:r w:rsidR="004E7842" w:rsidRPr="00C46EAC">
        <w:rPr>
          <w:i/>
          <w:sz w:val="24"/>
          <w:szCs w:val="24"/>
          <w:u w:val="none"/>
        </w:rPr>
        <w:t>4</w:t>
      </w:r>
      <w:r w:rsidR="00CD7F5B" w:rsidRPr="00C46EAC">
        <w:rPr>
          <w:i/>
          <w:sz w:val="24"/>
          <w:szCs w:val="24"/>
          <w:u w:val="none"/>
        </w:rPr>
        <w:t xml:space="preserve">23.258, </w:t>
      </w:r>
      <w:r w:rsidR="004E7842" w:rsidRPr="00C46EAC">
        <w:rPr>
          <w:i/>
          <w:sz w:val="24"/>
          <w:szCs w:val="24"/>
          <w:u w:val="none"/>
        </w:rPr>
        <w:t>4</w:t>
      </w:r>
      <w:r w:rsidR="00CD7F5B" w:rsidRPr="00C46EAC">
        <w:rPr>
          <w:i/>
          <w:sz w:val="24"/>
          <w:szCs w:val="24"/>
          <w:u w:val="none"/>
        </w:rPr>
        <w:t>23.265, 423.272, 423.286, 423.293, 423.301, 423.308, 423.315, 423.322, 423.329, 423.336, 423.343, 423.346, 423.350</w:t>
      </w:r>
      <w:r w:rsidR="00CB2ECC" w:rsidRPr="00C46EAC">
        <w:rPr>
          <w:i/>
          <w:sz w:val="24"/>
          <w:szCs w:val="24"/>
          <w:u w:val="none"/>
        </w:rPr>
        <w:t>.</w:t>
      </w:r>
    </w:p>
    <w:p w14:paraId="2C5437DE" w14:textId="77777777" w:rsidR="00CA01E6" w:rsidRPr="00C46EAC" w:rsidRDefault="00CA01E6" w:rsidP="00EE2110">
      <w:pPr>
        <w:tabs>
          <w:tab w:val="left" w:pos="-3060"/>
          <w:tab w:val="left" w:pos="0"/>
          <w:tab w:val="left" w:pos="432"/>
          <w:tab w:val="left" w:pos="720"/>
        </w:tabs>
        <w:suppressAutoHyphens/>
        <w:spacing w:line="240" w:lineRule="atLeast"/>
        <w:rPr>
          <w:b/>
          <w:bCs/>
          <w:sz w:val="24"/>
          <w:szCs w:val="24"/>
          <w:u w:val="single"/>
        </w:rPr>
      </w:pPr>
    </w:p>
    <w:p w14:paraId="35F00854" w14:textId="3A91D6BA" w:rsidR="00CA01E6" w:rsidRPr="00C46EAC" w:rsidRDefault="00CA01E6" w:rsidP="00EE2110">
      <w:pPr>
        <w:pStyle w:val="Heading1"/>
        <w:tabs>
          <w:tab w:val="left" w:pos="-3060"/>
          <w:tab w:val="left" w:pos="432"/>
          <w:tab w:val="left" w:pos="720"/>
        </w:tabs>
        <w:rPr>
          <w:u w:val="none"/>
        </w:rPr>
      </w:pPr>
      <w:r w:rsidRPr="00C46EAC">
        <w:rPr>
          <w:u w:val="none"/>
        </w:rPr>
        <w:t>Background</w:t>
      </w:r>
    </w:p>
    <w:p w14:paraId="547C5FB2"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4270200F" w14:textId="77777777" w:rsidR="00CA01E6" w:rsidRPr="00C46EAC" w:rsidRDefault="00CA01E6" w:rsidP="00EE2110">
      <w:pPr>
        <w:pStyle w:val="BodyTextIndent"/>
        <w:ind w:left="0" w:firstLine="0"/>
      </w:pPr>
      <w:r w:rsidRPr="00C46EAC">
        <w:t xml:space="preserve">Under </w:t>
      </w:r>
      <w:r w:rsidR="0009736F" w:rsidRPr="00C46EAC">
        <w:t xml:space="preserve">the Medicare Modernization Act (MMA), Medicare Advantage (MA) and Prescription Drug Plan (PDP) </w:t>
      </w:r>
      <w:r w:rsidR="00644D73" w:rsidRPr="00C46EAC">
        <w:t xml:space="preserve">organizations </w:t>
      </w:r>
      <w:r w:rsidR="0009736F" w:rsidRPr="00C46EAC">
        <w:t xml:space="preserve">are required to submit plan benefit </w:t>
      </w:r>
      <w:r w:rsidR="00081FA0" w:rsidRPr="00C46EAC">
        <w:t xml:space="preserve">packages for </w:t>
      </w:r>
      <w:r w:rsidRPr="00C46EAC">
        <w:t>all Medicare beneficiaries residing in the</w:t>
      </w:r>
      <w:r w:rsidR="00081FA0" w:rsidRPr="00C46EAC">
        <w:t>ir</w:t>
      </w:r>
      <w:r w:rsidRPr="00C46EAC">
        <w:t xml:space="preserve"> service area.  </w:t>
      </w:r>
      <w:r w:rsidR="00AB6955" w:rsidRPr="00C46EAC">
        <w:t xml:space="preserve">The plan benefit package submission consists of the Plan Benefit Package (PBP) software, </w:t>
      </w:r>
      <w:r w:rsidR="00F0150A" w:rsidRPr="00C46EAC">
        <w:t xml:space="preserve">formulary file, </w:t>
      </w:r>
      <w:r w:rsidR="00AB6955" w:rsidRPr="00C46EAC">
        <w:t>and supporting documentation</w:t>
      </w:r>
      <w:r w:rsidR="006F196F" w:rsidRPr="00C46EAC">
        <w:t>,</w:t>
      </w:r>
      <w:r w:rsidR="00AB6955" w:rsidRPr="00C46EAC">
        <w:t xml:space="preserve"> as necessary. </w:t>
      </w:r>
      <w:r w:rsidR="00081FA0" w:rsidRPr="00C46EAC">
        <w:t xml:space="preserve">MA and PDP </w:t>
      </w:r>
      <w:r w:rsidR="00644D73" w:rsidRPr="00C46EAC">
        <w:t xml:space="preserve">organizations </w:t>
      </w:r>
      <w:r w:rsidR="00D46715" w:rsidRPr="00C46EAC">
        <w:t>use</w:t>
      </w:r>
      <w:r w:rsidR="00081FA0" w:rsidRPr="00C46EAC">
        <w:t xml:space="preserve"> </w:t>
      </w:r>
      <w:r w:rsidR="00D46715" w:rsidRPr="00C46EAC">
        <w:t xml:space="preserve">the PBP software to describe their organization’s plan benefit packages, including information on premiums, cost sharing, authorization rules, and supplemental benefits.  They also </w:t>
      </w:r>
      <w:r w:rsidR="00081FA0" w:rsidRPr="00C46EAC">
        <w:t>generate a formulary to</w:t>
      </w:r>
      <w:r w:rsidR="00AB6955" w:rsidRPr="00C46EAC">
        <w:t xml:space="preserve"> </w:t>
      </w:r>
      <w:r w:rsidR="00D46715" w:rsidRPr="00C46EAC">
        <w:t>describe</w:t>
      </w:r>
      <w:r w:rsidR="00AB6955" w:rsidRPr="00C46EAC">
        <w:t xml:space="preserve"> their list of drugs, including information on prior authorization, step therapy, tiering, and quantity limits. </w:t>
      </w:r>
      <w:r w:rsidR="00081FA0" w:rsidRPr="00C46EAC">
        <w:t xml:space="preserve">Additionally, </w:t>
      </w:r>
      <w:r w:rsidRPr="00C46EAC">
        <w:t xml:space="preserve">CMS uses the </w:t>
      </w:r>
      <w:r w:rsidR="00D46715" w:rsidRPr="00C46EAC">
        <w:t xml:space="preserve">PBP and </w:t>
      </w:r>
      <w:r w:rsidR="00081FA0" w:rsidRPr="00C46EAC">
        <w:t xml:space="preserve">formulary </w:t>
      </w:r>
      <w:r w:rsidRPr="00C46EAC">
        <w:t>data to review and approve the plan benefit packages proposed by each M</w:t>
      </w:r>
      <w:r w:rsidR="00CD7F5B" w:rsidRPr="00C46EAC">
        <w:t>A</w:t>
      </w:r>
      <w:r w:rsidRPr="00C46EAC">
        <w:t xml:space="preserve"> </w:t>
      </w:r>
      <w:r w:rsidR="00081FA0" w:rsidRPr="00C46EAC">
        <w:t>and PDP</w:t>
      </w:r>
      <w:r w:rsidR="00644D73" w:rsidRPr="00C46EAC">
        <w:t xml:space="preserve"> organization</w:t>
      </w:r>
      <w:r w:rsidRPr="00C46EAC">
        <w:t xml:space="preserve">.  </w:t>
      </w:r>
    </w:p>
    <w:p w14:paraId="628AA49B" w14:textId="77777777" w:rsidR="00CA01E6" w:rsidRPr="00C46EAC" w:rsidRDefault="00CA01E6" w:rsidP="00EE2110">
      <w:pPr>
        <w:pStyle w:val="BodyTextIndent"/>
        <w:ind w:left="0" w:firstLine="0"/>
      </w:pPr>
    </w:p>
    <w:p w14:paraId="7BD9C13F" w14:textId="77777777" w:rsidR="00081FA0" w:rsidRPr="00C46EAC" w:rsidRDefault="000A5265" w:rsidP="00EE2110">
      <w:pPr>
        <w:pStyle w:val="BodyTextIndent"/>
        <w:tabs>
          <w:tab w:val="left" w:pos="-3060"/>
        </w:tabs>
        <w:ind w:left="0" w:firstLine="0"/>
      </w:pPr>
      <w:r w:rsidRPr="00C46EAC">
        <w:t xml:space="preserve">After receiving OMB clearance in spring 2000, CMS implemented the PBP as part of the Contract Year (CY) 2001 Adjusted Community Rate Proposal (ACRP) process. In addition, information collected via the PBP and formulary has been used to support the marketing material review process, the National Medicare Education Program, and other program oversight and development activities. The PBP data is used by the MA and Part D organizations in their marketing materials and by CMS to generate plan benefits data for display in the Medicare &amp; You handbook and on the </w:t>
      </w:r>
      <w:hyperlink r:id="rId9" w:history="1">
        <w:r w:rsidRPr="00C46EAC">
          <w:t>www.medicare.gov</w:t>
        </w:r>
      </w:hyperlink>
      <w:r w:rsidRPr="00C46EAC">
        <w:t xml:space="preserve"> website.</w:t>
      </w:r>
    </w:p>
    <w:p w14:paraId="6BD78026" w14:textId="77777777" w:rsidR="000A5265" w:rsidRPr="00C46EAC" w:rsidRDefault="000A5265" w:rsidP="00EE2110">
      <w:pPr>
        <w:pStyle w:val="BodyTextIndent"/>
        <w:tabs>
          <w:tab w:val="left" w:pos="-3060"/>
        </w:tabs>
        <w:ind w:left="0" w:firstLine="0"/>
      </w:pPr>
    </w:p>
    <w:p w14:paraId="455C3228" w14:textId="0CC2A40B" w:rsidR="00CA01E6" w:rsidRDefault="00CA01E6" w:rsidP="00EE2110">
      <w:pPr>
        <w:pStyle w:val="BodyTextIndent"/>
        <w:tabs>
          <w:tab w:val="left" w:pos="-3060"/>
        </w:tabs>
        <w:ind w:left="0" w:firstLine="0"/>
      </w:pPr>
      <w:r w:rsidRPr="00C46EAC">
        <w:t xml:space="preserve">CMS is requesting to continue its use of the PBP software </w:t>
      </w:r>
      <w:r w:rsidR="000414A9" w:rsidRPr="00C46EAC">
        <w:t xml:space="preserve">and formulary submission </w:t>
      </w:r>
      <w:r w:rsidRPr="00C46EAC">
        <w:t>for the collection of benefits an</w:t>
      </w:r>
      <w:r w:rsidR="000C27EF" w:rsidRPr="00C46EAC">
        <w:t xml:space="preserve">d related information for </w:t>
      </w:r>
      <w:r w:rsidR="00485DD4" w:rsidRPr="00C46EAC">
        <w:t xml:space="preserve">CY </w:t>
      </w:r>
      <w:r w:rsidR="003E0EE4" w:rsidRPr="00C46EAC">
        <w:t>201</w:t>
      </w:r>
      <w:r w:rsidR="00780D35" w:rsidRPr="00C46EAC">
        <w:t>9</w:t>
      </w:r>
      <w:r w:rsidR="000414A9" w:rsidRPr="00C46EAC">
        <w:t xml:space="preserve">. </w:t>
      </w:r>
      <w:r w:rsidRPr="00C46EAC">
        <w:t xml:space="preserve">CMS estimates that </w:t>
      </w:r>
      <w:r w:rsidR="00CF200B">
        <w:t>532</w:t>
      </w:r>
      <w:r w:rsidR="00CF200B" w:rsidRPr="00C46EAC">
        <w:t xml:space="preserve"> </w:t>
      </w:r>
      <w:r w:rsidRPr="00C46EAC">
        <w:t>M</w:t>
      </w:r>
      <w:r w:rsidR="000414A9" w:rsidRPr="00C46EAC">
        <w:t>A</w:t>
      </w:r>
      <w:r w:rsidRPr="00C46EAC">
        <w:t xml:space="preserve"> organizations </w:t>
      </w:r>
      <w:r w:rsidR="000414A9" w:rsidRPr="00C46EAC">
        <w:t xml:space="preserve">and </w:t>
      </w:r>
      <w:r w:rsidR="00F1081A">
        <w:t>38</w:t>
      </w:r>
      <w:r w:rsidR="00F1081A" w:rsidRPr="00C46EAC">
        <w:t xml:space="preserve"> </w:t>
      </w:r>
      <w:r w:rsidR="000414A9" w:rsidRPr="00C46EAC">
        <w:t xml:space="preserve">PDP organizations </w:t>
      </w:r>
      <w:r w:rsidRPr="00C46EAC">
        <w:t xml:space="preserve">will be required to </w:t>
      </w:r>
      <w:r w:rsidR="000414A9" w:rsidRPr="00C46EAC">
        <w:t>submit the plan benefit package information</w:t>
      </w:r>
      <w:r w:rsidRPr="00C46EAC">
        <w:t xml:space="preserve"> </w:t>
      </w:r>
      <w:r w:rsidR="000B365D" w:rsidRPr="00C46EAC">
        <w:t>in CY</w:t>
      </w:r>
      <w:r w:rsidR="000851DC" w:rsidRPr="00C46EAC">
        <w:t xml:space="preserve"> </w:t>
      </w:r>
      <w:r w:rsidR="00F1081A" w:rsidRPr="00C46EAC">
        <w:t>20</w:t>
      </w:r>
      <w:r w:rsidR="00F1081A">
        <w:t>20</w:t>
      </w:r>
      <w:r w:rsidRPr="00C46EAC">
        <w:t xml:space="preserve">.  </w:t>
      </w:r>
      <w:r w:rsidR="00CF200B">
        <w:t>This is an increase from prior years, where 481 MA organizations and 39 PDP organizations were required to submit. This increase in MA</w:t>
      </w:r>
      <w:r w:rsidR="009701D1">
        <w:t xml:space="preserve"> organizations has caused the burden estimate to increase. </w:t>
      </w:r>
      <w:r w:rsidRPr="00C46EAC">
        <w:t xml:space="preserve">Based on </w:t>
      </w:r>
      <w:r w:rsidR="00345E04" w:rsidRPr="00C46EAC">
        <w:t>operational</w:t>
      </w:r>
      <w:r w:rsidRPr="00C46EAC">
        <w:t xml:space="preserve"> changes </w:t>
      </w:r>
      <w:r w:rsidR="00345E04" w:rsidRPr="00C46EAC">
        <w:t xml:space="preserve">and policy clarifications </w:t>
      </w:r>
      <w:r w:rsidRPr="00C46EAC">
        <w:t xml:space="preserve">to the </w:t>
      </w:r>
      <w:r w:rsidR="000414A9" w:rsidRPr="00C46EAC">
        <w:t xml:space="preserve">Medicare </w:t>
      </w:r>
      <w:r w:rsidRPr="00C46EAC">
        <w:t xml:space="preserve">program and continued input and feedback by the </w:t>
      </w:r>
      <w:r w:rsidR="000414A9" w:rsidRPr="00C46EAC">
        <w:t>industry</w:t>
      </w:r>
      <w:r w:rsidRPr="00C46EAC">
        <w:t xml:space="preserve">, CMS has made the necessary changes to the </w:t>
      </w:r>
      <w:r w:rsidR="000414A9" w:rsidRPr="00C46EAC">
        <w:t>plan benefit package submission</w:t>
      </w:r>
      <w:r w:rsidRPr="00C46EAC">
        <w:t xml:space="preserve">.   </w:t>
      </w:r>
    </w:p>
    <w:p w14:paraId="2316F7EA" w14:textId="77777777" w:rsidR="00691760" w:rsidRDefault="00691760" w:rsidP="00EE2110">
      <w:pPr>
        <w:pStyle w:val="BodyTextIndent"/>
        <w:tabs>
          <w:tab w:val="left" w:pos="-3060"/>
        </w:tabs>
        <w:ind w:left="0" w:firstLine="0"/>
      </w:pPr>
    </w:p>
    <w:p w14:paraId="5C42CA41" w14:textId="2404B0B5" w:rsidR="005E7172" w:rsidRDefault="00691760" w:rsidP="008137BC">
      <w:pPr>
        <w:pStyle w:val="BodyTextIndent"/>
        <w:tabs>
          <w:tab w:val="left" w:pos="-3060"/>
        </w:tabs>
        <w:ind w:left="0" w:firstLine="0"/>
      </w:pPr>
      <w:r>
        <w:t xml:space="preserve">Part D eRx standards are periodically updated to take new knowledge, technology, and other considerations into account. CMS currently requires providers and dispensers to utilize the National Council for Prescription Drug Programs (NCPDP) SCRIPT standard, Implementation Guide Version 10.6, which was approved November 12, 2008, to provide for the communication of a prescription or prescription-related information for certain named transactions. As of January 1, 2020, however, prescribers and dispensers will be required to use the NCPDP SCRIPT standard, Implementation Guide Version 2017071, which was approved July 28, 2017 to provide for the communication of prescription or prescription-related information between </w:t>
      </w:r>
      <w:r>
        <w:lastRenderedPageBreak/>
        <w:t>prescribers and dispensers for the old named transactions and a handful of new transactions named at § 423.160(b)(2)(iv). We also currently require (under § 423.160(b)(5)) Medicare Part D plan sponsors and prescribers to convey electronic formulary and benefits information amongst themselves using either Version 1, Release 1 (Version 1.0), from October 2005, or Version 3 Release 0 (Version 3.0), from April 2012 of the National Council for Prescription Drug Programs (NCPDP) Formulary and Benefits Standard Implementation Guides. (For a detailed discussion of the regulatory history of eRx standards see the November 2017 proposed rule (82 FR 56437 and 56438).</w:t>
      </w:r>
      <w:r w:rsidR="00CA0AA3" w:rsidRPr="00CA0AA3">
        <w:t xml:space="preserve"> </w:t>
      </w:r>
    </w:p>
    <w:p w14:paraId="26197CE4" w14:textId="77777777" w:rsidR="005E7172" w:rsidRDefault="005E7172" w:rsidP="008137BC">
      <w:pPr>
        <w:pStyle w:val="BodyTextIndent"/>
        <w:tabs>
          <w:tab w:val="left" w:pos="-3060"/>
        </w:tabs>
        <w:ind w:left="0" w:firstLine="0"/>
      </w:pPr>
    </w:p>
    <w:p w14:paraId="43317F42" w14:textId="60BEC85A" w:rsidR="00691760" w:rsidRPr="008137BC" w:rsidRDefault="002A2C16" w:rsidP="008137BC">
      <w:pPr>
        <w:pStyle w:val="BodyTextIndent"/>
        <w:tabs>
          <w:tab w:val="left" w:pos="-3060"/>
        </w:tabs>
        <w:ind w:left="0" w:firstLine="0"/>
      </w:pPr>
      <w:r>
        <w:t xml:space="preserve">Our </w:t>
      </w:r>
      <w:r w:rsidR="006858C8">
        <w:t>November 3</w:t>
      </w:r>
      <w:r w:rsidR="009F6B64">
        <w:t>0, 201</w:t>
      </w:r>
      <w:r w:rsidR="006858C8">
        <w:t>8</w:t>
      </w:r>
      <w:r w:rsidRPr="00D444B4">
        <w:t xml:space="preserve"> (83 FR </w:t>
      </w:r>
      <w:r>
        <w:t xml:space="preserve">62152) </w:t>
      </w:r>
      <w:r w:rsidR="00DD29A9">
        <w:t xml:space="preserve">proposed </w:t>
      </w:r>
      <w:r>
        <w:t xml:space="preserve">rule </w:t>
      </w:r>
      <w:r w:rsidR="00D93D58">
        <w:t>(</w:t>
      </w:r>
      <w:r>
        <w:t xml:space="preserve">CMS-4180-P, </w:t>
      </w:r>
      <w:r w:rsidR="00D93D58">
        <w:t xml:space="preserve">RIN 0938-AT92) </w:t>
      </w:r>
      <w:r w:rsidR="00DD29A9">
        <w:t xml:space="preserve">would </w:t>
      </w:r>
      <w:r w:rsidR="00CA0AA3">
        <w:t>require</w:t>
      </w:r>
      <w:r w:rsidR="008137BC">
        <w:t xml:space="preserve"> </w:t>
      </w:r>
      <w:r w:rsidR="00CA0AA3">
        <w:t xml:space="preserve">that each Part D plan select a real time benefit tool (RTBT) of its choosing by January 1, 2020. </w:t>
      </w:r>
      <w:r w:rsidR="008137BC">
        <w:t>As discussed in sections 12 and 15, below, w</w:t>
      </w:r>
      <w:r w:rsidR="008137BC" w:rsidRPr="008137BC">
        <w:t>e are unable to fully quantify the impact of RTBT implementation due to lack of adequate data.</w:t>
      </w:r>
    </w:p>
    <w:p w14:paraId="7A4ED9A4" w14:textId="4950F52F" w:rsidR="008137BC" w:rsidRDefault="008137BC" w:rsidP="00B410A7">
      <w:pPr>
        <w:pStyle w:val="BodyTextIndent"/>
        <w:tabs>
          <w:tab w:val="left" w:pos="-3060"/>
        </w:tabs>
        <w:spacing w:line="240" w:lineRule="auto"/>
        <w:ind w:left="0" w:firstLine="0"/>
      </w:pPr>
    </w:p>
    <w:p w14:paraId="2E75FB7C" w14:textId="4DDEEE51" w:rsidR="00B410A7" w:rsidRDefault="00B410A7" w:rsidP="00B410A7">
      <w:pPr>
        <w:pStyle w:val="BodyTextIndent"/>
        <w:tabs>
          <w:tab w:val="left" w:pos="-3060"/>
        </w:tabs>
        <w:spacing w:line="240" w:lineRule="auto"/>
        <w:ind w:left="0" w:firstLine="0"/>
      </w:pPr>
      <w:r>
        <w:t xml:space="preserve">Section 423.120(b)(2)(vi) would implement the authority granted to CMS by section 1860D-4(b)(3)(G) of the Act to establish exceptions that would permit a Part D sponsor to exclude from its formulary (or to otherwise limit access to such a drug, including through prior authorization or utilization management) a particular Part D drug that is otherwise required to be included in the formulary. </w:t>
      </w:r>
    </w:p>
    <w:p w14:paraId="7C6989F7" w14:textId="77777777" w:rsidR="00B410A7" w:rsidRDefault="00B410A7" w:rsidP="00B410A7">
      <w:pPr>
        <w:pStyle w:val="BodyTextIndent"/>
        <w:tabs>
          <w:tab w:val="left" w:pos="-3060"/>
        </w:tabs>
        <w:spacing w:line="240" w:lineRule="auto"/>
        <w:ind w:left="0" w:firstLine="0"/>
      </w:pPr>
    </w:p>
    <w:p w14:paraId="578E31D6" w14:textId="01BD904D" w:rsidR="008137BC" w:rsidRDefault="00B410A7" w:rsidP="00B410A7">
      <w:pPr>
        <w:pStyle w:val="BodyTextIndent"/>
        <w:tabs>
          <w:tab w:val="left" w:pos="-3060"/>
        </w:tabs>
        <w:spacing w:line="240" w:lineRule="auto"/>
        <w:ind w:left="0" w:firstLine="0"/>
      </w:pPr>
      <w:r>
        <w:t>For the exceptions that expand the use of prior authorization and step therapy for protected class drugs at §</w:t>
      </w:r>
      <w:r w:rsidR="004F71B5">
        <w:t xml:space="preserve"> </w:t>
      </w:r>
      <w:r>
        <w:t xml:space="preserve">423.120(b)(2)(vi)(C), the burden would consist of the time and effort for Part D sponsors to submit their formularies to CMS under the existing annual submission process. The annual submission requirements and burden are currently approved by OMB under this control number and would not impose any new or revised information collection requirements or burden. </w:t>
      </w:r>
    </w:p>
    <w:p w14:paraId="6F66E3EF" w14:textId="594334FE" w:rsidR="008137BC" w:rsidRDefault="008137BC" w:rsidP="00B410A7">
      <w:pPr>
        <w:pStyle w:val="BodyTextIndent"/>
        <w:tabs>
          <w:tab w:val="left" w:pos="-3060"/>
        </w:tabs>
        <w:spacing w:line="240" w:lineRule="auto"/>
        <w:ind w:left="0" w:firstLine="0"/>
      </w:pPr>
    </w:p>
    <w:p w14:paraId="0254E725" w14:textId="60557B2A" w:rsidR="008137BC" w:rsidRDefault="004F71B5" w:rsidP="004F71B5">
      <w:pPr>
        <w:pStyle w:val="BodyTextIndent"/>
        <w:tabs>
          <w:tab w:val="left" w:pos="-3060"/>
        </w:tabs>
        <w:spacing w:line="240" w:lineRule="auto"/>
        <w:ind w:left="0" w:firstLine="0"/>
      </w:pPr>
      <w:r>
        <w:t>For the exceptions related to § 423.120(b)(2)(vi)(E), for protected class drugs for which a Part D sponsor chooses to exclude from their formulary due to a price increase beyond a certain threshold, Part D sponsors would be required to submit an additional justification to CMS during the annual formulary submission process. The justification must explain why the Part D sponsor is excluding such drug from their formulary. The burden associated with this exception would consist of the time and effort put forth by Part D sponsors to prepare and submit their formularies to CMS along with the justification.</w:t>
      </w:r>
    </w:p>
    <w:p w14:paraId="478E660D" w14:textId="77777777" w:rsidR="008137BC" w:rsidRDefault="008137BC" w:rsidP="00EE2110">
      <w:pPr>
        <w:pStyle w:val="BodyTextIndent"/>
        <w:tabs>
          <w:tab w:val="left" w:pos="-3060"/>
        </w:tabs>
        <w:ind w:left="0" w:firstLine="0"/>
      </w:pPr>
    </w:p>
    <w:p w14:paraId="3194A9B7" w14:textId="16CA409F" w:rsidR="00D93D58" w:rsidRPr="0048264B" w:rsidRDefault="00D93D58" w:rsidP="0048264B">
      <w:pPr>
        <w:pStyle w:val="BodyTextIndent"/>
        <w:tabs>
          <w:tab w:val="left" w:pos="-3060"/>
        </w:tabs>
        <w:ind w:left="0" w:firstLine="0"/>
        <w:rPr>
          <w:b/>
        </w:rPr>
      </w:pPr>
      <w:r w:rsidRPr="000B0130">
        <w:rPr>
          <w:b/>
        </w:rPr>
        <w:t>A. Justification</w:t>
      </w:r>
    </w:p>
    <w:p w14:paraId="2CFDD0FD" w14:textId="77777777" w:rsidR="00D93D58" w:rsidRPr="000B0130" w:rsidRDefault="00D93D58" w:rsidP="0048264B">
      <w:pPr>
        <w:pStyle w:val="BodyTextIndent"/>
        <w:tabs>
          <w:tab w:val="left" w:pos="-3060"/>
        </w:tabs>
        <w:ind w:left="0" w:firstLine="0"/>
      </w:pPr>
    </w:p>
    <w:p w14:paraId="7C90CFEF"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 Need and Legal Basis</w:t>
      </w:r>
    </w:p>
    <w:p w14:paraId="5A85EF45"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E099698" w14:textId="77777777" w:rsidR="00F97C05" w:rsidRDefault="00F97C05" w:rsidP="00F97C05">
      <w:pPr>
        <w:tabs>
          <w:tab w:val="left" w:pos="-3060"/>
          <w:tab w:val="left" w:pos="0"/>
          <w:tab w:val="left" w:pos="432"/>
          <w:tab w:val="left" w:pos="720"/>
        </w:tabs>
        <w:suppressAutoHyphens/>
        <w:spacing w:line="240" w:lineRule="atLeast"/>
        <w:rPr>
          <w:sz w:val="24"/>
          <w:szCs w:val="24"/>
        </w:rPr>
      </w:pPr>
      <w:r w:rsidRPr="00C46EAC">
        <w:rPr>
          <w:sz w:val="24"/>
          <w:szCs w:val="24"/>
        </w:rPr>
        <w:t xml:space="preserve">This information is mandated by the Social Security Act in order to collect plan bids that will establish the Medicare Advantage (Part C) and Prescription Drug (Part D) plan benefit package options to be offered to Medicare beneficiaries during the next annual open enrollment period.  The Part C bid deadline (the first Monday in June) is stated at Section 1854(a)(6)(A) of the Social Security Act.  The same deadline is applied to Part D bids by reference to the Part C requirement at Section 1860D-11(b)(1) of the Act and is cited in the 42 CFR references listed above.  Copies of these references are provided in Appendix D.  </w:t>
      </w:r>
    </w:p>
    <w:p w14:paraId="16ADADF6" w14:textId="77777777" w:rsidR="00FA51C1" w:rsidRDefault="00FA51C1" w:rsidP="00F97C05">
      <w:pPr>
        <w:tabs>
          <w:tab w:val="left" w:pos="-3060"/>
          <w:tab w:val="left" w:pos="0"/>
          <w:tab w:val="left" w:pos="432"/>
          <w:tab w:val="left" w:pos="720"/>
        </w:tabs>
        <w:suppressAutoHyphens/>
        <w:spacing w:line="240" w:lineRule="atLeast"/>
        <w:rPr>
          <w:sz w:val="24"/>
          <w:szCs w:val="24"/>
        </w:rPr>
      </w:pPr>
    </w:p>
    <w:p w14:paraId="1FF76580" w14:textId="30DD0650" w:rsidR="00FA51C1" w:rsidRPr="00C46EAC" w:rsidRDefault="00FA51C1" w:rsidP="00F97C05">
      <w:pPr>
        <w:tabs>
          <w:tab w:val="left" w:pos="-3060"/>
          <w:tab w:val="left" w:pos="0"/>
          <w:tab w:val="left" w:pos="432"/>
          <w:tab w:val="left" w:pos="720"/>
        </w:tabs>
        <w:suppressAutoHyphens/>
        <w:spacing w:line="240" w:lineRule="atLeast"/>
        <w:rPr>
          <w:sz w:val="24"/>
          <w:szCs w:val="24"/>
        </w:rPr>
      </w:pPr>
      <w:r w:rsidRPr="00FA51C1">
        <w:rPr>
          <w:sz w:val="24"/>
          <w:szCs w:val="24"/>
        </w:rPr>
        <w:t xml:space="preserve">Section 101 of the Medicare Prescription Drug, Improvement, and Modernization Act of 2003 (MMA) (Pub. L. 108–173) requires the adoption of Part D eRx standards. Prescription Drug Plan (PDP) sponsors and Medicare Advantage (MA) organizations offering Medicare Advantage Prescription Drug Plans (MA–PD) are required to establish electronic prescription drug </w:t>
      </w:r>
      <w:r w:rsidRPr="00FA51C1">
        <w:rPr>
          <w:sz w:val="24"/>
          <w:szCs w:val="24"/>
        </w:rPr>
        <w:lastRenderedPageBreak/>
        <w:t>programs that comply with the e-prescribing standards that are adopted under this authority. There is no requirement that prescribers or dispensers implement eRx. However, prescribers and dispensers who electronically transmit and receive prescription and certain other information for covered drugs prescribed for Medicare Part D eligible beneficiaries, directly or through an intermediary, are required to comply with any applicable standards that are in effect. For a further discussion of the statutory basis for this proposed rule and the statutory requirements at section 1860D–4(e) of the Act, please refer to section I. of the eRx and the Prescription Drug Program February 2005 proposed rule (70 FR 6256).</w:t>
      </w:r>
      <w:r w:rsidR="00CA0AA3">
        <w:rPr>
          <w:sz w:val="24"/>
          <w:szCs w:val="24"/>
        </w:rPr>
        <w:t xml:space="preserve"> </w:t>
      </w:r>
      <w:r w:rsidR="00CA0AA3" w:rsidRPr="00CA0AA3">
        <w:rPr>
          <w:sz w:val="24"/>
          <w:szCs w:val="24"/>
        </w:rPr>
        <w:t>4180-P proposes a requirement that each Part D plan select a real time benefit tool (RTBT) of its choosing by January 1, 2020</w:t>
      </w:r>
    </w:p>
    <w:p w14:paraId="2C150D6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EAFD35A"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2. Information Users</w:t>
      </w:r>
    </w:p>
    <w:p w14:paraId="7A4C009A"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50C01D23" w14:textId="77777777" w:rsidR="00F579CA" w:rsidRPr="00C46EAC" w:rsidRDefault="00F579CA" w:rsidP="00F579CA">
      <w:pPr>
        <w:tabs>
          <w:tab w:val="left" w:pos="-3060"/>
          <w:tab w:val="left" w:pos="0"/>
          <w:tab w:val="left" w:pos="432"/>
          <w:tab w:val="left" w:pos="720"/>
        </w:tabs>
        <w:suppressAutoHyphens/>
        <w:spacing w:line="240" w:lineRule="atLeast"/>
        <w:rPr>
          <w:sz w:val="24"/>
          <w:szCs w:val="24"/>
        </w:rPr>
      </w:pPr>
      <w:r w:rsidRPr="00C46EAC">
        <w:rPr>
          <w:sz w:val="24"/>
          <w:szCs w:val="24"/>
        </w:rPr>
        <w:t xml:space="preserve">This information is used by both CMS and the public.  </w:t>
      </w:r>
    </w:p>
    <w:p w14:paraId="752AB808" w14:textId="77777777" w:rsidR="00F579CA" w:rsidRPr="00C46EAC" w:rsidRDefault="00F579CA" w:rsidP="00EE2110">
      <w:pPr>
        <w:tabs>
          <w:tab w:val="left" w:pos="-3060"/>
          <w:tab w:val="left" w:pos="0"/>
          <w:tab w:val="left" w:pos="432"/>
          <w:tab w:val="left" w:pos="720"/>
        </w:tabs>
        <w:suppressAutoHyphens/>
        <w:spacing w:line="240" w:lineRule="atLeast"/>
        <w:rPr>
          <w:sz w:val="24"/>
          <w:szCs w:val="24"/>
        </w:rPr>
      </w:pPr>
    </w:p>
    <w:p w14:paraId="02E2EF77" w14:textId="77777777" w:rsidR="00CA01E6"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CMS requires that </w:t>
      </w:r>
      <w:r w:rsidR="00081FA0" w:rsidRPr="00C46EAC">
        <w:rPr>
          <w:sz w:val="24"/>
          <w:szCs w:val="24"/>
        </w:rPr>
        <w:t>MA</w:t>
      </w:r>
      <w:r w:rsidR="00644D73" w:rsidRPr="00C46EAC">
        <w:rPr>
          <w:sz w:val="24"/>
          <w:szCs w:val="24"/>
        </w:rPr>
        <w:t xml:space="preserve"> and PDP organizations submit a completed </w:t>
      </w:r>
      <w:r w:rsidR="00C22607" w:rsidRPr="00C46EAC">
        <w:rPr>
          <w:sz w:val="24"/>
          <w:szCs w:val="24"/>
        </w:rPr>
        <w:t xml:space="preserve">PBP and </w:t>
      </w:r>
      <w:r w:rsidR="00644D73" w:rsidRPr="00C46EAC">
        <w:rPr>
          <w:sz w:val="24"/>
          <w:szCs w:val="24"/>
        </w:rPr>
        <w:t xml:space="preserve">formulary </w:t>
      </w:r>
      <w:r w:rsidRPr="00C46EAC">
        <w:rPr>
          <w:sz w:val="24"/>
          <w:szCs w:val="24"/>
        </w:rPr>
        <w:t xml:space="preserve">as part of the annual </w:t>
      </w:r>
      <w:r w:rsidR="00644D73" w:rsidRPr="00C46EAC">
        <w:rPr>
          <w:sz w:val="24"/>
          <w:szCs w:val="24"/>
        </w:rPr>
        <w:t xml:space="preserve">bidding </w:t>
      </w:r>
      <w:r w:rsidRPr="00C46EAC">
        <w:rPr>
          <w:sz w:val="24"/>
          <w:szCs w:val="24"/>
        </w:rPr>
        <w:t xml:space="preserve">process.  During this process, organizations prepare their proposed plan benefit packages for the upcoming contract year and submit them to CMS for review and approval.    </w:t>
      </w:r>
    </w:p>
    <w:p w14:paraId="6A6D01D0" w14:textId="77777777" w:rsidR="005C269A" w:rsidRDefault="005C269A" w:rsidP="00EE2110">
      <w:pPr>
        <w:tabs>
          <w:tab w:val="left" w:pos="-3060"/>
          <w:tab w:val="left" w:pos="0"/>
          <w:tab w:val="left" w:pos="432"/>
          <w:tab w:val="left" w:pos="720"/>
        </w:tabs>
        <w:suppressAutoHyphens/>
        <w:spacing w:line="240" w:lineRule="atLeast"/>
        <w:rPr>
          <w:sz w:val="24"/>
          <w:szCs w:val="24"/>
        </w:rPr>
      </w:pPr>
    </w:p>
    <w:p w14:paraId="4688AED7" w14:textId="6B22521F" w:rsidR="005C269A" w:rsidRDefault="005C269A" w:rsidP="00EE2110">
      <w:pPr>
        <w:tabs>
          <w:tab w:val="left" w:pos="-3060"/>
          <w:tab w:val="left" w:pos="0"/>
          <w:tab w:val="left" w:pos="432"/>
          <w:tab w:val="left" w:pos="720"/>
        </w:tabs>
        <w:suppressAutoHyphens/>
        <w:spacing w:line="240" w:lineRule="atLeast"/>
        <w:rPr>
          <w:sz w:val="24"/>
          <w:szCs w:val="24"/>
        </w:rPr>
      </w:pPr>
      <w:r>
        <w:rPr>
          <w:sz w:val="24"/>
          <w:szCs w:val="24"/>
        </w:rPr>
        <w:t>CMS uses this data to review and approve the benefit packages that the plans will offer to Medicare beneficiaries.  This allows CMS to review the benefit packages in a consistent way across all submitted bids</w:t>
      </w:r>
      <w:r w:rsidR="005B51C6">
        <w:rPr>
          <w:sz w:val="24"/>
          <w:szCs w:val="24"/>
        </w:rPr>
        <w:t xml:space="preserve"> during with incredibly tight timeframes</w:t>
      </w:r>
      <w:r>
        <w:rPr>
          <w:sz w:val="24"/>
          <w:szCs w:val="24"/>
        </w:rPr>
        <w:t>.  This data is also used to populate data on Medicare Plan Finder,</w:t>
      </w:r>
      <w:r w:rsidR="005B51C6">
        <w:rPr>
          <w:sz w:val="24"/>
          <w:szCs w:val="24"/>
        </w:rPr>
        <w:t xml:space="preserve"> which allows</w:t>
      </w:r>
      <w:r>
        <w:rPr>
          <w:sz w:val="24"/>
          <w:szCs w:val="24"/>
        </w:rPr>
        <w:t xml:space="preserve"> beneficiaries to access and compare Medicare Advantage and Prescription Drug plans. </w:t>
      </w:r>
    </w:p>
    <w:p w14:paraId="73386A44" w14:textId="77777777" w:rsidR="00E3647D" w:rsidRDefault="00E3647D" w:rsidP="00EE2110">
      <w:pPr>
        <w:tabs>
          <w:tab w:val="left" w:pos="-3060"/>
          <w:tab w:val="left" w:pos="0"/>
          <w:tab w:val="left" w:pos="432"/>
          <w:tab w:val="left" w:pos="720"/>
        </w:tabs>
        <w:suppressAutoHyphens/>
        <w:spacing w:line="240" w:lineRule="atLeast"/>
        <w:rPr>
          <w:sz w:val="24"/>
          <w:szCs w:val="24"/>
        </w:rPr>
      </w:pPr>
    </w:p>
    <w:p w14:paraId="264E1CB9" w14:textId="2121B461" w:rsidR="00E3647D" w:rsidRDefault="00E3647D" w:rsidP="00EE2110">
      <w:pPr>
        <w:tabs>
          <w:tab w:val="left" w:pos="-3060"/>
          <w:tab w:val="left" w:pos="0"/>
          <w:tab w:val="left" w:pos="432"/>
          <w:tab w:val="left" w:pos="720"/>
        </w:tabs>
        <w:suppressAutoHyphens/>
        <w:spacing w:line="240" w:lineRule="atLeast"/>
        <w:rPr>
          <w:sz w:val="24"/>
          <w:szCs w:val="24"/>
        </w:rPr>
      </w:pPr>
      <w:r>
        <w:rPr>
          <w:sz w:val="24"/>
          <w:szCs w:val="24"/>
        </w:rPr>
        <w:t xml:space="preserve">The PBP is broken into five specific sections: </w:t>
      </w:r>
    </w:p>
    <w:p w14:paraId="26CCFD64" w14:textId="7AAE886E" w:rsidR="00E3647D" w:rsidRDefault="00C71152" w:rsidP="00F34395">
      <w:pPr>
        <w:pStyle w:val="ListParagraph"/>
        <w:numPr>
          <w:ilvl w:val="0"/>
          <w:numId w:val="22"/>
        </w:numPr>
        <w:tabs>
          <w:tab w:val="left" w:pos="-3060"/>
          <w:tab w:val="left" w:pos="0"/>
          <w:tab w:val="left" w:pos="432"/>
          <w:tab w:val="left" w:pos="720"/>
        </w:tabs>
        <w:suppressAutoHyphens/>
        <w:spacing w:line="240" w:lineRule="atLeast"/>
        <w:rPr>
          <w:sz w:val="24"/>
          <w:szCs w:val="24"/>
        </w:rPr>
      </w:pPr>
      <w:r w:rsidRPr="00C71152">
        <w:rPr>
          <w:sz w:val="24"/>
          <w:szCs w:val="24"/>
        </w:rPr>
        <w:t>Section A defines certain plan-specific data characteristics in the Plan Benefit Package (PBP).  Section A consists primarily of high-level plan information, including the Contract Number, Plan ID, Plan Type, Plan Name, and Geographic Service Area of the plan.</w:t>
      </w:r>
      <w:r>
        <w:rPr>
          <w:sz w:val="24"/>
          <w:szCs w:val="24"/>
        </w:rPr>
        <w:t xml:space="preserve"> In addition, Section A allows organizations to indicate if they are offering a bid that mirrors fee-for-service cost sharing.  Both MA and Part D plans must complete this section. </w:t>
      </w:r>
    </w:p>
    <w:p w14:paraId="39819085" w14:textId="35D2A35B" w:rsidR="00C71152" w:rsidRDefault="00C71152" w:rsidP="00F34395">
      <w:pPr>
        <w:pStyle w:val="ListParagraph"/>
        <w:numPr>
          <w:ilvl w:val="0"/>
          <w:numId w:val="22"/>
        </w:numPr>
        <w:tabs>
          <w:tab w:val="left" w:pos="-3060"/>
          <w:tab w:val="left" w:pos="0"/>
          <w:tab w:val="left" w:pos="432"/>
          <w:tab w:val="left" w:pos="720"/>
        </w:tabs>
        <w:suppressAutoHyphens/>
        <w:spacing w:line="240" w:lineRule="atLeast"/>
        <w:rPr>
          <w:sz w:val="24"/>
          <w:szCs w:val="24"/>
        </w:rPr>
      </w:pPr>
      <w:r>
        <w:rPr>
          <w:sz w:val="24"/>
          <w:szCs w:val="24"/>
        </w:rPr>
        <w:t xml:space="preserve">Section B collects in-network benefit information for MA plans.  This includes cost sharing, premium information, and if supplemental benefits are offered.  Section B is broken into the following sections: </w:t>
      </w:r>
    </w:p>
    <w:p w14:paraId="26602AB4"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Inpatient Hospital Services</w:t>
      </w:r>
    </w:p>
    <w:p w14:paraId="5252EF77"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Skilled Nursing Facility (SNF)</w:t>
      </w:r>
    </w:p>
    <w:p w14:paraId="52B98B49"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Cardiac and Pulmonary Rehabilitation Services</w:t>
      </w:r>
    </w:p>
    <w:p w14:paraId="33214E4E"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Emergency Care/Urgently Needed Services</w:t>
      </w:r>
    </w:p>
    <w:p w14:paraId="1FC5D78F"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Partial Hospitalization</w:t>
      </w:r>
    </w:p>
    <w:p w14:paraId="03EB5EE5"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Home Health Services</w:t>
      </w:r>
    </w:p>
    <w:p w14:paraId="77A437C7"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Health Care Professional Services</w:t>
      </w:r>
    </w:p>
    <w:p w14:paraId="71FCBD28"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Outpatient Procedures, Tests, Labs &amp; Radiology Services</w:t>
      </w:r>
    </w:p>
    <w:p w14:paraId="07F1AF15"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Outpatient Services</w:t>
      </w:r>
    </w:p>
    <w:p w14:paraId="5DD65C5E"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Ambulance/Transportation Services</w:t>
      </w:r>
    </w:p>
    <w:p w14:paraId="03A274A5"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DME, Prosthetics and Medical &amp; Diabetic Supplies</w:t>
      </w:r>
    </w:p>
    <w:p w14:paraId="0A61800A"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Dialysis Services</w:t>
      </w:r>
    </w:p>
    <w:p w14:paraId="5979A58C"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Other Supplemental Services</w:t>
      </w:r>
    </w:p>
    <w:p w14:paraId="2AD0C241"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Preventive and Other Defined Supplemental Services</w:t>
      </w:r>
    </w:p>
    <w:p w14:paraId="25B8FBA6"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Medicare Part B Prescription (Rx) Drugs</w:t>
      </w:r>
    </w:p>
    <w:p w14:paraId="449AE672"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Dental</w:t>
      </w:r>
    </w:p>
    <w:p w14:paraId="058786C6"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Eye Exams/Eyewear</w:t>
      </w:r>
    </w:p>
    <w:p w14:paraId="3B4A07DD"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Hearing Exams/Hearing Aids</w:t>
      </w:r>
    </w:p>
    <w:p w14:paraId="221C6A06" w14:textId="77777777" w:rsidR="00C71152" w:rsidRPr="00C71152" w:rsidRDefault="00C71152" w:rsidP="00C71152">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VBID/MA Uniformity Flexibility</w:t>
      </w:r>
    </w:p>
    <w:p w14:paraId="67D01C18" w14:textId="693A85CA" w:rsidR="00C71152" w:rsidRDefault="00C71152"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C71152">
        <w:rPr>
          <w:sz w:val="24"/>
          <w:szCs w:val="24"/>
        </w:rPr>
        <w:t>Prescription Drugs</w:t>
      </w:r>
      <w:r>
        <w:rPr>
          <w:sz w:val="24"/>
          <w:szCs w:val="24"/>
        </w:rPr>
        <w:t xml:space="preserve"> (ONLY for Cost Plans not offering Part D</w:t>
      </w:r>
    </w:p>
    <w:p w14:paraId="052B8548" w14:textId="34D92BE6" w:rsidR="00C71152" w:rsidRDefault="00C71152" w:rsidP="00F34395">
      <w:pPr>
        <w:pStyle w:val="ListParagraph"/>
        <w:numPr>
          <w:ilvl w:val="0"/>
          <w:numId w:val="22"/>
        </w:numPr>
        <w:tabs>
          <w:tab w:val="left" w:pos="-3060"/>
          <w:tab w:val="left" w:pos="0"/>
          <w:tab w:val="left" w:pos="432"/>
          <w:tab w:val="left" w:pos="720"/>
        </w:tabs>
        <w:suppressAutoHyphens/>
        <w:spacing w:line="240" w:lineRule="atLeast"/>
        <w:rPr>
          <w:sz w:val="24"/>
          <w:szCs w:val="24"/>
        </w:rPr>
      </w:pPr>
      <w:r>
        <w:rPr>
          <w:sz w:val="24"/>
          <w:szCs w:val="24"/>
        </w:rPr>
        <w:t xml:space="preserve">Section C collects out-of-network information, as well as information regarding the visitor/travel benefits and </w:t>
      </w:r>
      <w:r w:rsidR="00B3075A">
        <w:rPr>
          <w:sz w:val="24"/>
          <w:szCs w:val="24"/>
        </w:rPr>
        <w:t xml:space="preserve">Point-of-Service Benefits. Only MA plans complete this section. </w:t>
      </w:r>
    </w:p>
    <w:p w14:paraId="2B26A0C2" w14:textId="0335AC55" w:rsidR="00B3075A" w:rsidRDefault="00B3075A" w:rsidP="00F34395">
      <w:pPr>
        <w:pStyle w:val="ListParagraph"/>
        <w:numPr>
          <w:ilvl w:val="0"/>
          <w:numId w:val="22"/>
        </w:numPr>
        <w:tabs>
          <w:tab w:val="left" w:pos="-3060"/>
          <w:tab w:val="left" w:pos="0"/>
          <w:tab w:val="left" w:pos="432"/>
          <w:tab w:val="left" w:pos="720"/>
        </w:tabs>
        <w:suppressAutoHyphens/>
        <w:spacing w:line="240" w:lineRule="atLeast"/>
        <w:rPr>
          <w:sz w:val="24"/>
          <w:szCs w:val="24"/>
        </w:rPr>
      </w:pPr>
      <w:r>
        <w:rPr>
          <w:sz w:val="24"/>
          <w:szCs w:val="24"/>
        </w:rPr>
        <w:t xml:space="preserve">Section D collects plan-level information.  Only MA plans complete this section. This includes: </w:t>
      </w:r>
    </w:p>
    <w:p w14:paraId="7884B556" w14:textId="25ED4E91" w:rsidR="00B3075A" w:rsidRDefault="00B3075A"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Pr>
          <w:sz w:val="24"/>
          <w:szCs w:val="24"/>
        </w:rPr>
        <w:t>Plan Deductible</w:t>
      </w:r>
    </w:p>
    <w:p w14:paraId="1BEBE041" w14:textId="21FE12E6" w:rsidR="00B3075A" w:rsidRDefault="00B3075A"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Pr>
          <w:sz w:val="24"/>
          <w:szCs w:val="24"/>
        </w:rPr>
        <w:t>Maximum Enrollee Out-of-Pocket Costs</w:t>
      </w:r>
    </w:p>
    <w:p w14:paraId="2F91EBF9" w14:textId="048BE438" w:rsidR="00B3075A" w:rsidRDefault="00B3075A"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Pr>
          <w:sz w:val="24"/>
          <w:szCs w:val="24"/>
        </w:rPr>
        <w:t>Maximum Coverage for Supplemental Benefits</w:t>
      </w:r>
    </w:p>
    <w:p w14:paraId="473CDA34" w14:textId="110BFF6C" w:rsidR="00B3075A" w:rsidRDefault="00B3075A"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Pr>
          <w:sz w:val="24"/>
          <w:szCs w:val="24"/>
        </w:rPr>
        <w:t>Balance Billing (PFFS only)</w:t>
      </w:r>
    </w:p>
    <w:p w14:paraId="7837D5A4" w14:textId="5D379A6B" w:rsidR="00B3075A" w:rsidRDefault="00B3075A"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Pr>
          <w:sz w:val="24"/>
          <w:szCs w:val="24"/>
        </w:rPr>
        <w:t>Medical Savings Account Information (for MSA plans only)</w:t>
      </w:r>
    </w:p>
    <w:p w14:paraId="7A3BA50B" w14:textId="00DCF543" w:rsidR="00B3075A" w:rsidRDefault="00B3075A"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Pr>
          <w:sz w:val="24"/>
          <w:szCs w:val="24"/>
        </w:rPr>
        <w:t>Medicaid Covered vs. Plan Covered Cost sharing (for MMPs only)</w:t>
      </w:r>
    </w:p>
    <w:p w14:paraId="67AA070A" w14:textId="3D20E0E4" w:rsidR="00B3075A" w:rsidRDefault="00B3075A"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Pr>
          <w:sz w:val="24"/>
          <w:szCs w:val="24"/>
        </w:rPr>
        <w:t xml:space="preserve">Optional Supplemental Benefit Packages. </w:t>
      </w:r>
    </w:p>
    <w:p w14:paraId="31606485" w14:textId="2D55FB51" w:rsidR="00B3075A" w:rsidRDefault="00B3075A" w:rsidP="00F34395">
      <w:pPr>
        <w:pStyle w:val="ListParagraph"/>
        <w:numPr>
          <w:ilvl w:val="0"/>
          <w:numId w:val="22"/>
        </w:numPr>
        <w:tabs>
          <w:tab w:val="left" w:pos="-3060"/>
          <w:tab w:val="left" w:pos="0"/>
          <w:tab w:val="left" w:pos="432"/>
          <w:tab w:val="left" w:pos="720"/>
        </w:tabs>
        <w:suppressAutoHyphens/>
        <w:spacing w:line="240" w:lineRule="atLeast"/>
        <w:rPr>
          <w:sz w:val="24"/>
          <w:szCs w:val="24"/>
        </w:rPr>
      </w:pPr>
      <w:r>
        <w:rPr>
          <w:sz w:val="24"/>
          <w:szCs w:val="24"/>
        </w:rPr>
        <w:t xml:space="preserve">Section Rx contains all Part D information.  All plans that offer Part D must complete this section.  This includes: </w:t>
      </w:r>
    </w:p>
    <w:p w14:paraId="0AF6B547" w14:textId="77777777" w:rsidR="00706AB5" w:rsidRPr="00706AB5" w:rsidRDefault="00706AB5" w:rsidP="00706AB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706AB5">
        <w:rPr>
          <w:sz w:val="24"/>
          <w:szCs w:val="24"/>
        </w:rPr>
        <w:t>Medicare Rx Screens</w:t>
      </w:r>
    </w:p>
    <w:p w14:paraId="35951233" w14:textId="318C94A5" w:rsidR="00706AB5" w:rsidRPr="00706AB5" w:rsidRDefault="00706AB5" w:rsidP="00706AB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706AB5">
        <w:rPr>
          <w:sz w:val="24"/>
          <w:szCs w:val="24"/>
        </w:rPr>
        <w:t>Pre-Initial Coverage Limit</w:t>
      </w:r>
      <w:r>
        <w:rPr>
          <w:sz w:val="24"/>
          <w:szCs w:val="24"/>
        </w:rPr>
        <w:t xml:space="preserve"> (ICL)</w:t>
      </w:r>
      <w:r w:rsidRPr="00706AB5">
        <w:rPr>
          <w:sz w:val="24"/>
          <w:szCs w:val="24"/>
        </w:rPr>
        <w:t xml:space="preserve"> Screens</w:t>
      </w:r>
    </w:p>
    <w:p w14:paraId="32E80B37" w14:textId="77777777" w:rsidR="00706AB5" w:rsidRPr="00706AB5" w:rsidRDefault="00706AB5" w:rsidP="00706AB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706AB5">
        <w:rPr>
          <w:sz w:val="24"/>
          <w:szCs w:val="24"/>
        </w:rPr>
        <w:t>ICL Screens</w:t>
      </w:r>
    </w:p>
    <w:p w14:paraId="0B030AE9" w14:textId="77777777" w:rsidR="00706AB5" w:rsidRPr="00706AB5" w:rsidRDefault="00706AB5" w:rsidP="00706AB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706AB5">
        <w:rPr>
          <w:sz w:val="24"/>
          <w:szCs w:val="24"/>
        </w:rPr>
        <w:t>Gap Coverage Screens</w:t>
      </w:r>
    </w:p>
    <w:p w14:paraId="0EC63C87" w14:textId="77777777" w:rsidR="00706AB5" w:rsidRPr="00706AB5" w:rsidRDefault="00706AB5" w:rsidP="00706AB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706AB5">
        <w:rPr>
          <w:sz w:val="24"/>
          <w:szCs w:val="24"/>
        </w:rPr>
        <w:t>Out-of-Pocket Threshold Screens</w:t>
      </w:r>
    </w:p>
    <w:p w14:paraId="660CBD24" w14:textId="3B0950C4" w:rsidR="00706AB5" w:rsidRPr="00706AB5" w:rsidRDefault="00706AB5" w:rsidP="00706AB5">
      <w:pPr>
        <w:pStyle w:val="ListParagraph"/>
        <w:numPr>
          <w:ilvl w:val="1"/>
          <w:numId w:val="22"/>
        </w:numPr>
        <w:tabs>
          <w:tab w:val="left" w:pos="-3060"/>
          <w:tab w:val="left" w:pos="0"/>
          <w:tab w:val="left" w:pos="432"/>
          <w:tab w:val="left" w:pos="720"/>
        </w:tabs>
        <w:suppressAutoHyphens/>
        <w:spacing w:line="240" w:lineRule="atLeast"/>
        <w:rPr>
          <w:sz w:val="24"/>
          <w:szCs w:val="24"/>
        </w:rPr>
      </w:pPr>
      <w:r>
        <w:rPr>
          <w:sz w:val="24"/>
          <w:szCs w:val="24"/>
        </w:rPr>
        <w:t>L</w:t>
      </w:r>
      <w:r w:rsidRPr="00706AB5">
        <w:rPr>
          <w:sz w:val="24"/>
          <w:szCs w:val="24"/>
        </w:rPr>
        <w:t>ocations and location supply Screen</w:t>
      </w:r>
      <w:r>
        <w:rPr>
          <w:sz w:val="24"/>
          <w:szCs w:val="24"/>
        </w:rPr>
        <w:t>s</w:t>
      </w:r>
    </w:p>
    <w:p w14:paraId="11C0ED77" w14:textId="77777777" w:rsidR="00706AB5" w:rsidRPr="00706AB5" w:rsidRDefault="00706AB5" w:rsidP="00706AB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706AB5">
        <w:rPr>
          <w:sz w:val="24"/>
          <w:szCs w:val="24"/>
        </w:rPr>
        <w:t>Rx attestations</w:t>
      </w:r>
    </w:p>
    <w:p w14:paraId="3162AA79" w14:textId="77777777" w:rsidR="00706AB5" w:rsidRPr="00706AB5" w:rsidRDefault="00706AB5" w:rsidP="00706AB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706AB5">
        <w:rPr>
          <w:sz w:val="24"/>
          <w:szCs w:val="24"/>
        </w:rPr>
        <w:t>Medicare Rx Notes</w:t>
      </w:r>
    </w:p>
    <w:p w14:paraId="56972CF0" w14:textId="69A96A08" w:rsidR="00B3075A" w:rsidRDefault="00706AB5" w:rsidP="00F34395">
      <w:pPr>
        <w:pStyle w:val="ListParagraph"/>
        <w:numPr>
          <w:ilvl w:val="1"/>
          <w:numId w:val="22"/>
        </w:numPr>
        <w:tabs>
          <w:tab w:val="left" w:pos="-3060"/>
          <w:tab w:val="left" w:pos="0"/>
          <w:tab w:val="left" w:pos="432"/>
          <w:tab w:val="left" w:pos="720"/>
        </w:tabs>
        <w:suppressAutoHyphens/>
        <w:spacing w:line="240" w:lineRule="atLeast"/>
        <w:rPr>
          <w:sz w:val="24"/>
          <w:szCs w:val="24"/>
        </w:rPr>
      </w:pPr>
      <w:r w:rsidRPr="00706AB5">
        <w:rPr>
          <w:sz w:val="24"/>
          <w:szCs w:val="24"/>
        </w:rPr>
        <w:t>Section Rx VBID</w:t>
      </w:r>
      <w:r>
        <w:rPr>
          <w:sz w:val="24"/>
          <w:szCs w:val="24"/>
        </w:rPr>
        <w:t xml:space="preserve"> (only for plans offering VBID)</w:t>
      </w:r>
    </w:p>
    <w:p w14:paraId="51D69A1A" w14:textId="77777777" w:rsidR="00E3647D" w:rsidRDefault="00E3647D" w:rsidP="00EE2110">
      <w:pPr>
        <w:tabs>
          <w:tab w:val="left" w:pos="-3060"/>
          <w:tab w:val="left" w:pos="0"/>
          <w:tab w:val="left" w:pos="432"/>
          <w:tab w:val="left" w:pos="720"/>
        </w:tabs>
        <w:suppressAutoHyphens/>
        <w:spacing w:line="240" w:lineRule="atLeast"/>
        <w:rPr>
          <w:sz w:val="24"/>
          <w:szCs w:val="24"/>
        </w:rPr>
      </w:pPr>
    </w:p>
    <w:p w14:paraId="30E2C3CB" w14:textId="14B4DB06" w:rsidR="00E3647D" w:rsidRDefault="00E3647D" w:rsidP="00EE2110">
      <w:pPr>
        <w:tabs>
          <w:tab w:val="left" w:pos="-3060"/>
          <w:tab w:val="left" w:pos="0"/>
          <w:tab w:val="left" w:pos="432"/>
          <w:tab w:val="left" w:pos="720"/>
        </w:tabs>
        <w:suppressAutoHyphens/>
        <w:spacing w:line="240" w:lineRule="atLeast"/>
        <w:rPr>
          <w:sz w:val="24"/>
          <w:szCs w:val="24"/>
        </w:rPr>
      </w:pPr>
      <w:r>
        <w:rPr>
          <w:sz w:val="24"/>
          <w:szCs w:val="24"/>
        </w:rPr>
        <w:t xml:space="preserve">The formulary </w:t>
      </w:r>
      <w:r w:rsidR="00881273">
        <w:rPr>
          <w:sz w:val="24"/>
          <w:szCs w:val="24"/>
        </w:rPr>
        <w:t xml:space="preserve">submission </w:t>
      </w:r>
      <w:r w:rsidR="008B42A1">
        <w:rPr>
          <w:sz w:val="24"/>
          <w:szCs w:val="24"/>
        </w:rPr>
        <w:t>contain</w:t>
      </w:r>
      <w:r w:rsidR="00881273">
        <w:rPr>
          <w:sz w:val="24"/>
          <w:szCs w:val="24"/>
        </w:rPr>
        <w:t>s</w:t>
      </w:r>
      <w:r w:rsidR="008B42A1">
        <w:rPr>
          <w:sz w:val="24"/>
          <w:szCs w:val="24"/>
        </w:rPr>
        <w:t xml:space="preserve"> the following files: </w:t>
      </w:r>
    </w:p>
    <w:p w14:paraId="141BEF0A" w14:textId="652ED53E" w:rsidR="008B42A1" w:rsidRDefault="008B42A1" w:rsidP="00F34395">
      <w:pPr>
        <w:pStyle w:val="ListParagraph"/>
        <w:numPr>
          <w:ilvl w:val="0"/>
          <w:numId w:val="23"/>
        </w:numPr>
        <w:tabs>
          <w:tab w:val="left" w:pos="-3060"/>
          <w:tab w:val="left" w:pos="0"/>
          <w:tab w:val="left" w:pos="432"/>
          <w:tab w:val="left" w:pos="720"/>
        </w:tabs>
        <w:suppressAutoHyphens/>
        <w:spacing w:line="240" w:lineRule="atLeast"/>
        <w:rPr>
          <w:sz w:val="24"/>
          <w:szCs w:val="24"/>
        </w:rPr>
      </w:pPr>
      <w:r>
        <w:rPr>
          <w:sz w:val="24"/>
          <w:szCs w:val="24"/>
        </w:rPr>
        <w:t>Formulary Submission File (required for all Part D plans offering a formulary. This file lists all Part D covered drugs offered by the plan)</w:t>
      </w:r>
    </w:p>
    <w:p w14:paraId="2E14A47E" w14:textId="1BE3BDBE" w:rsidR="008B42A1" w:rsidRDefault="008B42A1" w:rsidP="00F34395">
      <w:pPr>
        <w:pStyle w:val="ListParagraph"/>
        <w:numPr>
          <w:ilvl w:val="0"/>
          <w:numId w:val="23"/>
        </w:numPr>
        <w:tabs>
          <w:tab w:val="left" w:pos="-3060"/>
          <w:tab w:val="left" w:pos="0"/>
          <w:tab w:val="left" w:pos="432"/>
          <w:tab w:val="left" w:pos="720"/>
        </w:tabs>
        <w:suppressAutoHyphens/>
        <w:spacing w:line="240" w:lineRule="atLeast"/>
        <w:rPr>
          <w:sz w:val="24"/>
          <w:szCs w:val="24"/>
        </w:rPr>
      </w:pPr>
      <w:r>
        <w:rPr>
          <w:sz w:val="24"/>
          <w:szCs w:val="24"/>
        </w:rPr>
        <w:t>Formulary Over-the-Counter (OTC) Drugs File (required for any plans offering OTC drugs as part of their Part D plan)</w:t>
      </w:r>
    </w:p>
    <w:p w14:paraId="48325D3B" w14:textId="2BF9ED28" w:rsidR="008B42A1" w:rsidRDefault="008B42A1" w:rsidP="00F34395">
      <w:pPr>
        <w:pStyle w:val="ListParagraph"/>
        <w:numPr>
          <w:ilvl w:val="0"/>
          <w:numId w:val="23"/>
        </w:numPr>
        <w:tabs>
          <w:tab w:val="left" w:pos="-3060"/>
          <w:tab w:val="left" w:pos="0"/>
          <w:tab w:val="left" w:pos="432"/>
          <w:tab w:val="left" w:pos="720"/>
        </w:tabs>
        <w:suppressAutoHyphens/>
        <w:spacing w:line="240" w:lineRule="atLeast"/>
        <w:rPr>
          <w:sz w:val="24"/>
          <w:szCs w:val="24"/>
        </w:rPr>
      </w:pPr>
      <w:r>
        <w:rPr>
          <w:sz w:val="24"/>
          <w:szCs w:val="24"/>
        </w:rPr>
        <w:t>Formulary Prior Authorization (PA) File (required for any Part D plans requiring PA for any drugs on their formulary)</w:t>
      </w:r>
    </w:p>
    <w:p w14:paraId="1BE21EEA" w14:textId="7FD50FA6" w:rsidR="008B42A1" w:rsidRDefault="008B42A1" w:rsidP="00F34395">
      <w:pPr>
        <w:pStyle w:val="ListParagraph"/>
        <w:numPr>
          <w:ilvl w:val="0"/>
          <w:numId w:val="23"/>
        </w:numPr>
        <w:tabs>
          <w:tab w:val="left" w:pos="-3060"/>
          <w:tab w:val="left" w:pos="0"/>
          <w:tab w:val="left" w:pos="432"/>
          <w:tab w:val="left" w:pos="720"/>
        </w:tabs>
        <w:suppressAutoHyphens/>
        <w:spacing w:line="240" w:lineRule="atLeast"/>
        <w:rPr>
          <w:sz w:val="24"/>
          <w:szCs w:val="24"/>
        </w:rPr>
      </w:pPr>
      <w:r>
        <w:rPr>
          <w:sz w:val="24"/>
          <w:szCs w:val="24"/>
        </w:rPr>
        <w:t>Formulary Partial Gap Co</w:t>
      </w:r>
      <w:r w:rsidR="00881273">
        <w:rPr>
          <w:sz w:val="24"/>
          <w:szCs w:val="24"/>
        </w:rPr>
        <w:t>verage Fi</w:t>
      </w:r>
      <w:r>
        <w:rPr>
          <w:sz w:val="24"/>
          <w:szCs w:val="24"/>
        </w:rPr>
        <w:t>le (required if there is partial tier gap coverage for the Part D plan)</w:t>
      </w:r>
    </w:p>
    <w:p w14:paraId="0547B671" w14:textId="7FCC976C" w:rsidR="008B42A1" w:rsidRDefault="008B42A1" w:rsidP="00F34395">
      <w:pPr>
        <w:pStyle w:val="ListParagraph"/>
        <w:numPr>
          <w:ilvl w:val="0"/>
          <w:numId w:val="23"/>
        </w:numPr>
        <w:tabs>
          <w:tab w:val="left" w:pos="-3060"/>
          <w:tab w:val="left" w:pos="0"/>
          <w:tab w:val="left" w:pos="432"/>
          <w:tab w:val="left" w:pos="720"/>
        </w:tabs>
        <w:suppressAutoHyphens/>
        <w:spacing w:line="240" w:lineRule="atLeast"/>
        <w:rPr>
          <w:sz w:val="24"/>
          <w:szCs w:val="24"/>
        </w:rPr>
      </w:pPr>
      <w:r>
        <w:rPr>
          <w:sz w:val="24"/>
          <w:szCs w:val="24"/>
        </w:rPr>
        <w:t>Formulary Free First Fill File (required if any drugs are offered for free for their first fill)</w:t>
      </w:r>
    </w:p>
    <w:p w14:paraId="07CF3A0F" w14:textId="6977FA65" w:rsidR="008B42A1" w:rsidRDefault="008B42A1" w:rsidP="00F34395">
      <w:pPr>
        <w:pStyle w:val="ListParagraph"/>
        <w:numPr>
          <w:ilvl w:val="0"/>
          <w:numId w:val="23"/>
        </w:numPr>
        <w:tabs>
          <w:tab w:val="left" w:pos="-3060"/>
          <w:tab w:val="left" w:pos="0"/>
          <w:tab w:val="left" w:pos="432"/>
          <w:tab w:val="left" w:pos="720"/>
        </w:tabs>
        <w:suppressAutoHyphens/>
        <w:spacing w:line="240" w:lineRule="atLeast"/>
        <w:rPr>
          <w:sz w:val="24"/>
          <w:szCs w:val="24"/>
        </w:rPr>
      </w:pPr>
      <w:r>
        <w:rPr>
          <w:sz w:val="24"/>
          <w:szCs w:val="24"/>
        </w:rPr>
        <w:t>Formulary Excluded Drug File (required if the Part D plan offers excluded drugs)</w:t>
      </w:r>
    </w:p>
    <w:p w14:paraId="0B093E6C" w14:textId="3B82E5A5" w:rsidR="008B42A1" w:rsidRDefault="008B42A1" w:rsidP="00F34395">
      <w:pPr>
        <w:pStyle w:val="ListParagraph"/>
        <w:numPr>
          <w:ilvl w:val="0"/>
          <w:numId w:val="23"/>
        </w:numPr>
        <w:tabs>
          <w:tab w:val="left" w:pos="-3060"/>
          <w:tab w:val="left" w:pos="0"/>
          <w:tab w:val="left" w:pos="432"/>
          <w:tab w:val="left" w:pos="720"/>
        </w:tabs>
        <w:suppressAutoHyphens/>
        <w:spacing w:line="240" w:lineRule="atLeast"/>
        <w:rPr>
          <w:sz w:val="24"/>
          <w:szCs w:val="24"/>
        </w:rPr>
      </w:pPr>
      <w:r>
        <w:rPr>
          <w:sz w:val="24"/>
          <w:szCs w:val="24"/>
        </w:rPr>
        <w:t>Formulary Additional Demonstration Drug File (only required for MMP plans)</w:t>
      </w:r>
    </w:p>
    <w:p w14:paraId="047C9C40" w14:textId="64F7DB19" w:rsidR="008B42A1" w:rsidRDefault="008B42A1" w:rsidP="00F34395">
      <w:pPr>
        <w:pStyle w:val="ListParagraph"/>
        <w:numPr>
          <w:ilvl w:val="0"/>
          <w:numId w:val="23"/>
        </w:numPr>
        <w:tabs>
          <w:tab w:val="left" w:pos="-3060"/>
          <w:tab w:val="left" w:pos="0"/>
          <w:tab w:val="left" w:pos="432"/>
          <w:tab w:val="left" w:pos="720"/>
        </w:tabs>
        <w:suppressAutoHyphens/>
        <w:spacing w:line="240" w:lineRule="atLeast"/>
        <w:rPr>
          <w:sz w:val="24"/>
          <w:szCs w:val="24"/>
        </w:rPr>
      </w:pPr>
      <w:r>
        <w:rPr>
          <w:sz w:val="24"/>
          <w:szCs w:val="24"/>
        </w:rPr>
        <w:t>Formulary Opioid Strategy Submission and Layout (required for all Part D plans)</w:t>
      </w:r>
    </w:p>
    <w:p w14:paraId="27E9DDAD" w14:textId="77777777" w:rsidR="00706AB5" w:rsidRDefault="00706AB5" w:rsidP="00EE2110">
      <w:pPr>
        <w:tabs>
          <w:tab w:val="left" w:pos="-3060"/>
          <w:tab w:val="left" w:pos="0"/>
          <w:tab w:val="left" w:pos="432"/>
          <w:tab w:val="left" w:pos="720"/>
        </w:tabs>
        <w:suppressAutoHyphens/>
        <w:spacing w:line="240" w:lineRule="atLeast"/>
        <w:rPr>
          <w:sz w:val="24"/>
          <w:szCs w:val="24"/>
        </w:rPr>
      </w:pPr>
    </w:p>
    <w:p w14:paraId="51EA00DA" w14:textId="149AF49D" w:rsidR="00706AB5" w:rsidRPr="00C46EAC" w:rsidRDefault="00706AB5" w:rsidP="00EE2110">
      <w:pPr>
        <w:tabs>
          <w:tab w:val="left" w:pos="-3060"/>
          <w:tab w:val="left" w:pos="0"/>
          <w:tab w:val="left" w:pos="432"/>
          <w:tab w:val="left" w:pos="720"/>
        </w:tabs>
        <w:suppressAutoHyphens/>
        <w:spacing w:line="240" w:lineRule="atLeast"/>
        <w:rPr>
          <w:sz w:val="24"/>
          <w:szCs w:val="24"/>
        </w:rPr>
      </w:pPr>
      <w:r>
        <w:rPr>
          <w:sz w:val="24"/>
          <w:szCs w:val="24"/>
        </w:rPr>
        <w:t xml:space="preserve">Exact layouts of the formulary files and detailed PBP data collect can be found within </w:t>
      </w:r>
      <w:r w:rsidR="008B42A1">
        <w:rPr>
          <w:sz w:val="24"/>
          <w:szCs w:val="24"/>
        </w:rPr>
        <w:t xml:space="preserve">the </w:t>
      </w:r>
      <w:r>
        <w:rPr>
          <w:sz w:val="24"/>
          <w:szCs w:val="24"/>
        </w:rPr>
        <w:t xml:space="preserve">Appendix C </w:t>
      </w:r>
      <w:r w:rsidR="00F1081A">
        <w:rPr>
          <w:sz w:val="24"/>
          <w:szCs w:val="24"/>
        </w:rPr>
        <w:t>documents</w:t>
      </w:r>
      <w:r>
        <w:rPr>
          <w:sz w:val="24"/>
          <w:szCs w:val="24"/>
        </w:rPr>
        <w:t xml:space="preserve">. </w:t>
      </w:r>
    </w:p>
    <w:p w14:paraId="570952B7"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BB70FF3" w14:textId="77777777" w:rsidR="00CA01E6"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CMS publishes beneficiary education informat</w:t>
      </w:r>
      <w:r w:rsidR="000414A9" w:rsidRPr="00C46EAC">
        <w:rPr>
          <w:sz w:val="24"/>
          <w:szCs w:val="24"/>
        </w:rPr>
        <w:t xml:space="preserve">ion using a variety of formats.  </w:t>
      </w:r>
      <w:r w:rsidRPr="00C46EAC">
        <w:rPr>
          <w:sz w:val="24"/>
          <w:szCs w:val="24"/>
        </w:rPr>
        <w:t xml:space="preserve">The specific education initiatives that utilize </w:t>
      </w:r>
      <w:r w:rsidR="00CF389A" w:rsidRPr="00C46EAC">
        <w:rPr>
          <w:sz w:val="24"/>
          <w:szCs w:val="24"/>
        </w:rPr>
        <w:t xml:space="preserve">PBP and </w:t>
      </w:r>
      <w:r w:rsidR="00644D73" w:rsidRPr="00C46EAC">
        <w:rPr>
          <w:sz w:val="24"/>
          <w:szCs w:val="24"/>
        </w:rPr>
        <w:t xml:space="preserve">formulary </w:t>
      </w:r>
      <w:r w:rsidRPr="00C46EAC">
        <w:rPr>
          <w:sz w:val="24"/>
          <w:szCs w:val="24"/>
        </w:rPr>
        <w:t>data include web application tool</w:t>
      </w:r>
      <w:r w:rsidR="00644D73" w:rsidRPr="00C46EAC">
        <w:rPr>
          <w:sz w:val="24"/>
          <w:szCs w:val="24"/>
        </w:rPr>
        <w:t>s</w:t>
      </w:r>
      <w:r w:rsidRPr="00C46EAC">
        <w:rPr>
          <w:sz w:val="24"/>
          <w:szCs w:val="24"/>
        </w:rPr>
        <w:t xml:space="preserve"> on </w:t>
      </w:r>
      <w:hyperlink r:id="rId10" w:history="1">
        <w:r w:rsidRPr="00C46EAC">
          <w:rPr>
            <w:rStyle w:val="Hyperlink"/>
            <w:sz w:val="24"/>
            <w:szCs w:val="24"/>
          </w:rPr>
          <w:t>www.medicare.gov</w:t>
        </w:r>
      </w:hyperlink>
      <w:r w:rsidRPr="00C46EAC">
        <w:rPr>
          <w:sz w:val="24"/>
          <w:szCs w:val="24"/>
        </w:rPr>
        <w:t xml:space="preserve"> and the plan benefit insert in the </w:t>
      </w:r>
      <w:r w:rsidRPr="00C46EAC">
        <w:rPr>
          <w:i/>
          <w:sz w:val="24"/>
          <w:szCs w:val="24"/>
        </w:rPr>
        <w:t>Medicare &amp; You</w:t>
      </w:r>
      <w:r w:rsidRPr="00C46EAC">
        <w:rPr>
          <w:sz w:val="24"/>
          <w:szCs w:val="24"/>
        </w:rPr>
        <w:t xml:space="preserve"> handbook.  All other information collected through the PBP follows the rules described in Section 10: Confidentiality.  </w:t>
      </w:r>
    </w:p>
    <w:p w14:paraId="2936F09E" w14:textId="77777777" w:rsidR="00875373" w:rsidRDefault="00875373" w:rsidP="00EE2110">
      <w:pPr>
        <w:tabs>
          <w:tab w:val="left" w:pos="-3060"/>
          <w:tab w:val="left" w:pos="0"/>
          <w:tab w:val="left" w:pos="432"/>
          <w:tab w:val="left" w:pos="720"/>
        </w:tabs>
        <w:suppressAutoHyphens/>
        <w:spacing w:line="240" w:lineRule="atLeast"/>
        <w:rPr>
          <w:sz w:val="24"/>
          <w:szCs w:val="24"/>
        </w:rPr>
      </w:pPr>
    </w:p>
    <w:p w14:paraId="3BB99632" w14:textId="407D0ADF" w:rsidR="00875373" w:rsidRPr="00C46EAC" w:rsidRDefault="00875373" w:rsidP="00EE2110">
      <w:pPr>
        <w:tabs>
          <w:tab w:val="left" w:pos="-3060"/>
          <w:tab w:val="left" w:pos="0"/>
          <w:tab w:val="left" w:pos="432"/>
          <w:tab w:val="left" w:pos="720"/>
        </w:tabs>
        <w:suppressAutoHyphens/>
        <w:spacing w:line="240" w:lineRule="atLeast"/>
        <w:rPr>
          <w:sz w:val="24"/>
          <w:szCs w:val="24"/>
        </w:rPr>
      </w:pPr>
      <w:r>
        <w:rPr>
          <w:sz w:val="24"/>
          <w:szCs w:val="24"/>
        </w:rPr>
        <w:t xml:space="preserve">Part D sponsors will use </w:t>
      </w:r>
      <w:r w:rsidRPr="00875373">
        <w:rPr>
          <w:sz w:val="24"/>
          <w:szCs w:val="24"/>
        </w:rPr>
        <w:t>one or more electronic real-time benefit tools (RTBT) that are capable of integrating prescribers’ e-Prescribing (eRx) and electronic medical record (EMR) systems to provide complete, accurate, timely, clinically appropriate, patient</w:t>
      </w:r>
      <w:r>
        <w:rPr>
          <w:sz w:val="24"/>
          <w:szCs w:val="24"/>
        </w:rPr>
        <w:t xml:space="preserve"> </w:t>
      </w:r>
      <w:r w:rsidRPr="00875373">
        <w:rPr>
          <w:sz w:val="24"/>
          <w:szCs w:val="24"/>
        </w:rPr>
        <w:t>specific formulary and benefit</w:t>
      </w:r>
      <w:r>
        <w:rPr>
          <w:sz w:val="24"/>
          <w:szCs w:val="24"/>
        </w:rPr>
        <w:t xml:space="preserve"> </w:t>
      </w:r>
      <w:r w:rsidRPr="00875373">
        <w:rPr>
          <w:sz w:val="24"/>
          <w:szCs w:val="24"/>
        </w:rPr>
        <w:t>information to the prescriber in real time for assessing coverage under the Part D plan. Such information must include enrollee cost-sharing information, clinically appropriate formulary alternatives, when available, and the formulary status of each drug presented including any utilization</w:t>
      </w:r>
      <w:r w:rsidR="00691760">
        <w:rPr>
          <w:sz w:val="24"/>
          <w:szCs w:val="24"/>
        </w:rPr>
        <w:t xml:space="preserve"> </w:t>
      </w:r>
      <w:r w:rsidR="00691760" w:rsidRPr="00691760">
        <w:rPr>
          <w:sz w:val="24"/>
          <w:szCs w:val="24"/>
        </w:rPr>
        <w:t>management requirements applicable to each alternative drug. Patients must specifically consent to use of their protected health information for RTBT</w:t>
      </w:r>
    </w:p>
    <w:p w14:paraId="58EBA31C"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2DD4E19"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3. Improved Information Technology</w:t>
      </w:r>
    </w:p>
    <w:p w14:paraId="5F0A089F"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EF9990D" w14:textId="77777777" w:rsidR="001E1A39" w:rsidRPr="00C46EAC" w:rsidRDefault="00E3237B" w:rsidP="00EE2110">
      <w:pPr>
        <w:pStyle w:val="BodyTextIndent"/>
        <w:tabs>
          <w:tab w:val="left" w:pos="-3060"/>
        </w:tabs>
        <w:ind w:left="0" w:firstLine="0"/>
      </w:pPr>
      <w:r w:rsidRPr="00C46EAC">
        <w:t>Since</w:t>
      </w:r>
      <w:r w:rsidR="000414A9" w:rsidRPr="00C46EAC">
        <w:t xml:space="preserve"> CY</w:t>
      </w:r>
      <w:r w:rsidR="00447E23" w:rsidRPr="00C46EAC">
        <w:t xml:space="preserve"> </w:t>
      </w:r>
      <w:r w:rsidR="000414A9" w:rsidRPr="00C46EAC">
        <w:t xml:space="preserve">2001, the Health Plan Management System (HPMS) </w:t>
      </w:r>
      <w:r w:rsidRPr="00C46EAC">
        <w:t xml:space="preserve">has been </w:t>
      </w:r>
      <w:r w:rsidR="000414A9" w:rsidRPr="00C46EAC">
        <w:t xml:space="preserve">utilized </w:t>
      </w:r>
      <w:r w:rsidR="001E1A39" w:rsidRPr="00C46EAC">
        <w:t xml:space="preserve">to </w:t>
      </w:r>
      <w:r w:rsidR="000414A9" w:rsidRPr="00C46EAC">
        <w:t>upload</w:t>
      </w:r>
      <w:r w:rsidR="001E1A39" w:rsidRPr="00C46EAC">
        <w:t xml:space="preserve"> completed benefit information during the ACRP process.  Under MMA</w:t>
      </w:r>
      <w:r w:rsidR="00026AF3" w:rsidRPr="00C46EAC">
        <w:t xml:space="preserve"> and in support of the bidding process</w:t>
      </w:r>
      <w:r w:rsidR="001E1A39" w:rsidRPr="00C46EAC">
        <w:t xml:space="preserve">, CMS enhanced the </w:t>
      </w:r>
      <w:r w:rsidR="0061716A" w:rsidRPr="00C46EAC">
        <w:t xml:space="preserve">HPMS </w:t>
      </w:r>
      <w:r w:rsidR="001E1A39" w:rsidRPr="00C46EAC">
        <w:t>upload functionality to incorporate the necessary submission changes to include the formulary</w:t>
      </w:r>
      <w:r w:rsidR="00FA1811" w:rsidRPr="00C46EAC">
        <w:t xml:space="preserve"> </w:t>
      </w:r>
      <w:r w:rsidR="00516736" w:rsidRPr="00C46EAC">
        <w:t xml:space="preserve">to supplement </w:t>
      </w:r>
      <w:r w:rsidR="00FA1811" w:rsidRPr="00C46EAC">
        <w:t>the plan benefit package submission</w:t>
      </w:r>
      <w:r w:rsidR="001E1A39" w:rsidRPr="00C46EAC">
        <w:t>.</w:t>
      </w:r>
      <w:r w:rsidR="000414A9" w:rsidRPr="00C46EAC">
        <w:t xml:space="preserve"> </w:t>
      </w:r>
    </w:p>
    <w:p w14:paraId="687140AB" w14:textId="77777777" w:rsidR="001E1A39" w:rsidRPr="00C46EAC" w:rsidRDefault="001E1A39" w:rsidP="00EE2110">
      <w:pPr>
        <w:pStyle w:val="BodyTextIndent"/>
        <w:tabs>
          <w:tab w:val="left" w:pos="-3060"/>
        </w:tabs>
        <w:ind w:left="0" w:firstLine="0"/>
      </w:pPr>
    </w:p>
    <w:p w14:paraId="5BCABBC2" w14:textId="77777777" w:rsidR="00CA01E6" w:rsidRPr="00C46EAC" w:rsidRDefault="00FA1811" w:rsidP="00EE2110">
      <w:pPr>
        <w:pStyle w:val="BodyTextIndent"/>
        <w:tabs>
          <w:tab w:val="left" w:pos="-3060"/>
        </w:tabs>
        <w:ind w:left="0" w:firstLine="0"/>
      </w:pPr>
      <w:r w:rsidRPr="00C46EAC">
        <w:t xml:space="preserve">CMS continues to improve the PBP software </w:t>
      </w:r>
      <w:r w:rsidR="00345E04" w:rsidRPr="00C46EAC">
        <w:t xml:space="preserve">and formulary </w:t>
      </w:r>
      <w:r w:rsidR="00DF0985" w:rsidRPr="00C46EAC">
        <w:t>submission</w:t>
      </w:r>
      <w:r w:rsidR="00345E04" w:rsidRPr="00C46EAC">
        <w:t xml:space="preserve"> </w:t>
      </w:r>
      <w:r w:rsidRPr="00C46EAC">
        <w:t xml:space="preserve">with </w:t>
      </w:r>
      <w:r w:rsidR="00345E04" w:rsidRPr="00C46EAC">
        <w:t xml:space="preserve">guidance from CMS policy and operations groups </w:t>
      </w:r>
      <w:r w:rsidRPr="00C46EAC">
        <w:t>and the solicitation of industry comment.  In Appendix</w:t>
      </w:r>
      <w:r w:rsidR="007A5D54" w:rsidRPr="00C46EAC">
        <w:t xml:space="preserve"> C</w:t>
      </w:r>
      <w:r w:rsidRPr="00C46EAC">
        <w:t xml:space="preserve">, the </w:t>
      </w:r>
      <w:r w:rsidR="00CA01E6" w:rsidRPr="00C46EAC">
        <w:t xml:space="preserve">hardcopy </w:t>
      </w:r>
      <w:r w:rsidRPr="00C46EAC">
        <w:t xml:space="preserve">PBP </w:t>
      </w:r>
      <w:r w:rsidR="00CA01E6" w:rsidRPr="00C46EAC">
        <w:t xml:space="preserve">screen prints </w:t>
      </w:r>
      <w:r w:rsidR="00345E04" w:rsidRPr="00C46EAC">
        <w:t>and formulary</w:t>
      </w:r>
      <w:r w:rsidR="00DF0985" w:rsidRPr="00C46EAC">
        <w:t xml:space="preserve"> submission materials</w:t>
      </w:r>
      <w:r w:rsidR="00345E04" w:rsidRPr="00C46EAC">
        <w:t xml:space="preserve"> </w:t>
      </w:r>
      <w:r w:rsidRPr="00C46EAC">
        <w:t>are provided to illustrate</w:t>
      </w:r>
      <w:r w:rsidR="00CA01E6" w:rsidRPr="00C46EAC">
        <w:t xml:space="preserve"> a thorough overview of the </w:t>
      </w:r>
      <w:r w:rsidR="00AA22D7" w:rsidRPr="00C46EAC">
        <w:t>tool</w:t>
      </w:r>
      <w:r w:rsidR="00345E04" w:rsidRPr="00C46EAC">
        <w:t>s</w:t>
      </w:r>
      <w:r w:rsidR="00AA22D7" w:rsidRPr="00C46EAC">
        <w:t>;</w:t>
      </w:r>
      <w:r w:rsidR="00CA01E6" w:rsidRPr="00C46EAC">
        <w:t xml:space="preserve"> </w:t>
      </w:r>
      <w:r w:rsidRPr="00C46EAC">
        <w:t xml:space="preserve">however, </w:t>
      </w:r>
      <w:r w:rsidR="00CA01E6" w:rsidRPr="00C46EAC">
        <w:t xml:space="preserve">this information cannot accurately display the streamlining effect of the </w:t>
      </w:r>
      <w:r w:rsidR="00345E04" w:rsidRPr="00C46EAC">
        <w:t xml:space="preserve">tools </w:t>
      </w:r>
      <w:r w:rsidR="00CA01E6" w:rsidRPr="00C46EAC">
        <w:t xml:space="preserve">on the </w:t>
      </w:r>
      <w:r w:rsidR="00644D73" w:rsidRPr="00C46EAC">
        <w:t>bidding</w:t>
      </w:r>
      <w:r w:rsidR="00CA01E6" w:rsidRPr="00C46EAC">
        <w:t xml:space="preserve"> process.  </w:t>
      </w:r>
    </w:p>
    <w:p w14:paraId="0B91E0F0"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766F1A65" w14:textId="77777777" w:rsidR="00CA01E6" w:rsidRPr="00C46EAC" w:rsidRDefault="00FA1811" w:rsidP="00EE2110">
      <w:pPr>
        <w:tabs>
          <w:tab w:val="left" w:pos="-3060"/>
          <w:tab w:val="left" w:pos="0"/>
          <w:tab w:val="left" w:pos="432"/>
          <w:tab w:val="left" w:pos="720"/>
        </w:tabs>
        <w:suppressAutoHyphens/>
        <w:spacing w:line="240" w:lineRule="atLeast"/>
        <w:rPr>
          <w:sz w:val="24"/>
          <w:szCs w:val="24"/>
        </w:rPr>
      </w:pPr>
      <w:r w:rsidRPr="00C46EAC">
        <w:rPr>
          <w:sz w:val="24"/>
          <w:szCs w:val="24"/>
        </w:rPr>
        <w:t>P</w:t>
      </w:r>
      <w:r w:rsidR="00CA01E6" w:rsidRPr="00C46EAC">
        <w:rPr>
          <w:sz w:val="24"/>
          <w:szCs w:val="24"/>
        </w:rPr>
        <w:t xml:space="preserve">rior experience coupled with the continued </w:t>
      </w:r>
      <w:r w:rsidRPr="00C46EAC">
        <w:rPr>
          <w:sz w:val="24"/>
          <w:szCs w:val="24"/>
        </w:rPr>
        <w:t xml:space="preserve">relationship with the industry </w:t>
      </w:r>
      <w:r w:rsidR="00CA01E6" w:rsidRPr="00C46EAC">
        <w:rPr>
          <w:sz w:val="24"/>
          <w:szCs w:val="24"/>
        </w:rPr>
        <w:t xml:space="preserve">for the past </w:t>
      </w:r>
      <w:r w:rsidR="00644D73" w:rsidRPr="00C46EAC">
        <w:rPr>
          <w:sz w:val="24"/>
          <w:szCs w:val="24"/>
        </w:rPr>
        <w:t xml:space="preserve">several </w:t>
      </w:r>
      <w:r w:rsidR="00CA01E6" w:rsidRPr="00C46EAC">
        <w:rPr>
          <w:sz w:val="24"/>
          <w:szCs w:val="24"/>
        </w:rPr>
        <w:t xml:space="preserve">years has helped to further enhance the already user-friendly nature </w:t>
      </w:r>
      <w:r w:rsidRPr="00C46EAC">
        <w:rPr>
          <w:sz w:val="24"/>
          <w:szCs w:val="24"/>
        </w:rPr>
        <w:t>of the plan benefit package submission process</w:t>
      </w:r>
      <w:r w:rsidR="00CA01E6" w:rsidRPr="00C46EAC">
        <w:rPr>
          <w:sz w:val="24"/>
          <w:szCs w:val="24"/>
        </w:rPr>
        <w:t>.  CMS has maximized the usability of the PBP by using standardized pick lists, intelligently pre-filled data fields, and integrated online help screens</w:t>
      </w:r>
      <w:r w:rsidRPr="00C46EAC">
        <w:rPr>
          <w:sz w:val="24"/>
          <w:szCs w:val="24"/>
        </w:rPr>
        <w:t>.</w:t>
      </w:r>
    </w:p>
    <w:p w14:paraId="1F54924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0A7C4B65" w14:textId="77777777" w:rsidR="00CA01E6" w:rsidRPr="00C46EAC" w:rsidRDefault="00CA01E6" w:rsidP="00EE2110">
      <w:pPr>
        <w:tabs>
          <w:tab w:val="left" w:pos="-3060"/>
          <w:tab w:val="left" w:pos="0"/>
          <w:tab w:val="left" w:pos="432"/>
          <w:tab w:val="left" w:pos="720"/>
        </w:tabs>
        <w:suppressAutoHyphens/>
        <w:spacing w:line="240" w:lineRule="atLeast"/>
        <w:rPr>
          <w:sz w:val="24"/>
        </w:rPr>
      </w:pPr>
      <w:r w:rsidRPr="00C46EAC">
        <w:rPr>
          <w:sz w:val="24"/>
        </w:rPr>
        <w:t xml:space="preserve">Also, the </w:t>
      </w:r>
      <w:r w:rsidR="001E1A39" w:rsidRPr="00C46EAC">
        <w:rPr>
          <w:sz w:val="24"/>
        </w:rPr>
        <w:t xml:space="preserve">plan benefit package data </w:t>
      </w:r>
      <w:r w:rsidRPr="00C46EAC">
        <w:rPr>
          <w:sz w:val="24"/>
        </w:rPr>
        <w:t xml:space="preserve">and its many outputs have served to reduce burden as it relates to the creation and publication of beneficiary education materials.  The PBP serves primarily as a tool for organizations to describe and report their </w:t>
      </w:r>
      <w:r w:rsidR="001E1A39" w:rsidRPr="00C46EAC">
        <w:rPr>
          <w:sz w:val="24"/>
        </w:rPr>
        <w:t xml:space="preserve">benefits </w:t>
      </w:r>
      <w:r w:rsidRPr="00C46EAC">
        <w:rPr>
          <w:sz w:val="24"/>
        </w:rPr>
        <w:t xml:space="preserve">for the upcoming contract year.  </w:t>
      </w:r>
      <w:r w:rsidR="001E1A39" w:rsidRPr="00C46EAC">
        <w:rPr>
          <w:sz w:val="24"/>
        </w:rPr>
        <w:t>The formulary supplements this information to include the drug lists</w:t>
      </w:r>
      <w:r w:rsidR="00345E04" w:rsidRPr="00C46EAC">
        <w:rPr>
          <w:sz w:val="24"/>
        </w:rPr>
        <w:t xml:space="preserve"> associated with the plan’s benefits</w:t>
      </w:r>
      <w:r w:rsidR="001E1A39" w:rsidRPr="00C46EAC">
        <w:rPr>
          <w:sz w:val="24"/>
        </w:rPr>
        <w:t xml:space="preserve">.  </w:t>
      </w:r>
      <w:r w:rsidRPr="00C46EAC">
        <w:rPr>
          <w:sz w:val="24"/>
        </w:rPr>
        <w:t>However, these data are also central to plan marketing and education efforts.  As a result, CMS chose to take advantage of these data being collected via a</w:t>
      </w:r>
      <w:r w:rsidR="001E1A39" w:rsidRPr="00C46EAC">
        <w:rPr>
          <w:sz w:val="24"/>
        </w:rPr>
        <w:t>n</w:t>
      </w:r>
      <w:r w:rsidRPr="00C46EAC">
        <w:rPr>
          <w:sz w:val="24"/>
        </w:rPr>
        <w:t xml:space="preserve"> electronic mechanism.  </w:t>
      </w:r>
    </w:p>
    <w:p w14:paraId="5D650B80" w14:textId="77777777" w:rsidR="00CA01E6" w:rsidRPr="00C46EAC" w:rsidRDefault="00CA01E6" w:rsidP="00EE2110">
      <w:pPr>
        <w:tabs>
          <w:tab w:val="left" w:pos="-3060"/>
          <w:tab w:val="left" w:pos="0"/>
          <w:tab w:val="left" w:pos="432"/>
          <w:tab w:val="left" w:pos="720"/>
        </w:tabs>
        <w:suppressAutoHyphens/>
        <w:spacing w:line="240" w:lineRule="atLeast"/>
        <w:rPr>
          <w:sz w:val="24"/>
        </w:rPr>
      </w:pPr>
    </w:p>
    <w:p w14:paraId="087714FB" w14:textId="77777777" w:rsidR="00BE6254" w:rsidRPr="00C46EAC" w:rsidRDefault="00CA01E6" w:rsidP="00EE2110">
      <w:pPr>
        <w:tabs>
          <w:tab w:val="left" w:pos="-3060"/>
          <w:tab w:val="left" w:pos="0"/>
          <w:tab w:val="left" w:pos="432"/>
          <w:tab w:val="left" w:pos="720"/>
        </w:tabs>
        <w:suppressAutoHyphens/>
        <w:spacing w:line="240" w:lineRule="atLeast"/>
        <w:rPr>
          <w:sz w:val="24"/>
        </w:rPr>
      </w:pPr>
      <w:r w:rsidRPr="00C46EAC">
        <w:rPr>
          <w:sz w:val="24"/>
        </w:rPr>
        <w:t xml:space="preserve">Specifically, CMS developed the PBP so that it </w:t>
      </w:r>
      <w:r w:rsidR="00BE6254" w:rsidRPr="00C46EAC">
        <w:rPr>
          <w:sz w:val="24"/>
        </w:rPr>
        <w:t>standardizes the collection of benefits data.</w:t>
      </w:r>
      <w:r w:rsidRPr="00C46EAC">
        <w:rPr>
          <w:sz w:val="24"/>
        </w:rPr>
        <w:t xml:space="preserve">  </w:t>
      </w:r>
      <w:r w:rsidR="001E1A39" w:rsidRPr="00C46EAC">
        <w:rPr>
          <w:sz w:val="24"/>
        </w:rPr>
        <w:t xml:space="preserve">The formulary and </w:t>
      </w:r>
      <w:r w:rsidR="00BE6254" w:rsidRPr="00C46EAC">
        <w:rPr>
          <w:sz w:val="24"/>
        </w:rPr>
        <w:t>PBP</w:t>
      </w:r>
      <w:r w:rsidR="001E1A39" w:rsidRPr="00C46EAC">
        <w:rPr>
          <w:sz w:val="24"/>
        </w:rPr>
        <w:t xml:space="preserve"> are both used </w:t>
      </w:r>
      <w:r w:rsidRPr="00C46EAC">
        <w:rPr>
          <w:sz w:val="24"/>
        </w:rPr>
        <w:t xml:space="preserve">by CMS in </w:t>
      </w:r>
      <w:r w:rsidR="001E1A39" w:rsidRPr="00C46EAC">
        <w:rPr>
          <w:sz w:val="24"/>
        </w:rPr>
        <w:t xml:space="preserve">the </w:t>
      </w:r>
      <w:r w:rsidRPr="00C46EAC">
        <w:rPr>
          <w:sz w:val="24"/>
        </w:rPr>
        <w:t>comparative web application tool</w:t>
      </w:r>
      <w:r w:rsidR="001E1A39" w:rsidRPr="00C46EAC">
        <w:rPr>
          <w:sz w:val="24"/>
        </w:rPr>
        <w:t>s</w:t>
      </w:r>
      <w:r w:rsidRPr="00C46EAC">
        <w:rPr>
          <w:sz w:val="24"/>
        </w:rPr>
        <w:t xml:space="preserve"> on </w:t>
      </w:r>
      <w:hyperlink r:id="rId11" w:history="1">
        <w:r w:rsidRPr="00C46EAC">
          <w:rPr>
            <w:rStyle w:val="Hyperlink"/>
            <w:sz w:val="24"/>
          </w:rPr>
          <w:t>www.medicare.gov</w:t>
        </w:r>
      </w:hyperlink>
      <w:r w:rsidR="00644D73" w:rsidRPr="00C46EAC">
        <w:rPr>
          <w:sz w:val="24"/>
        </w:rPr>
        <w:t xml:space="preserve"> that</w:t>
      </w:r>
      <w:r w:rsidRPr="00C46EAC">
        <w:rPr>
          <w:sz w:val="24"/>
        </w:rPr>
        <w:t xml:space="preserve"> facilitate the comparison of plan choices available to beneficiaries.  </w:t>
      </w:r>
      <w:r w:rsidR="00BE6254" w:rsidRPr="00C46EAC">
        <w:rPr>
          <w:sz w:val="24"/>
        </w:rPr>
        <w:t>In addition</w:t>
      </w:r>
      <w:r w:rsidRPr="00C46EAC">
        <w:rPr>
          <w:sz w:val="24"/>
        </w:rPr>
        <w:t xml:space="preserve">, the PBP data is used by CMS to generate plan benefits information in the </w:t>
      </w:r>
      <w:r w:rsidRPr="00C46EAC">
        <w:rPr>
          <w:i/>
          <w:sz w:val="24"/>
        </w:rPr>
        <w:t>Medicare &amp; You</w:t>
      </w:r>
      <w:r w:rsidRPr="00C46EAC">
        <w:rPr>
          <w:sz w:val="24"/>
        </w:rPr>
        <w:t xml:space="preserve"> handbook.  By consolidating this data reporting, CMS is able to use the information to perform numerous activities without placing additional burden on the organization.  </w:t>
      </w:r>
    </w:p>
    <w:p w14:paraId="5B6C8EBD"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EACD348"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4. Duplication of Similar Information</w:t>
      </w:r>
    </w:p>
    <w:p w14:paraId="77325D33"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22E6B08" w14:textId="77777777" w:rsidR="00CA01E6"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 information collected in the </w:t>
      </w:r>
      <w:r w:rsidR="00FF4A3F" w:rsidRPr="00C46EAC">
        <w:rPr>
          <w:sz w:val="24"/>
          <w:szCs w:val="24"/>
        </w:rPr>
        <w:t xml:space="preserve">PBP and </w:t>
      </w:r>
      <w:r w:rsidR="00644D73" w:rsidRPr="00C46EAC">
        <w:rPr>
          <w:sz w:val="24"/>
          <w:szCs w:val="24"/>
        </w:rPr>
        <w:t xml:space="preserve">formulary </w:t>
      </w:r>
      <w:r w:rsidRPr="00C46EAC">
        <w:rPr>
          <w:sz w:val="24"/>
          <w:szCs w:val="24"/>
        </w:rPr>
        <w:t>is not duplicated through any other CMS effort.  In fact, CMS has eliminated potential duplication by consolidating the collection of plan benefits data.  The collected data are then used to support numerous activities, including the</w:t>
      </w:r>
      <w:r w:rsidRPr="00C46EAC">
        <w:rPr>
          <w:sz w:val="24"/>
        </w:rPr>
        <w:t xml:space="preserve"> marketing material review process, </w:t>
      </w:r>
      <w:r w:rsidR="001E501E" w:rsidRPr="00C46EAC">
        <w:rPr>
          <w:sz w:val="24"/>
        </w:rPr>
        <w:t xml:space="preserve">the generation of </w:t>
      </w:r>
      <w:r w:rsidRPr="00C46EAC">
        <w:rPr>
          <w:sz w:val="24"/>
        </w:rPr>
        <w:t xml:space="preserve">plan marketing materials, and other program oversight and development activities.  Because </w:t>
      </w:r>
      <w:r w:rsidR="00F61B07" w:rsidRPr="00C46EAC">
        <w:rPr>
          <w:sz w:val="24"/>
          <w:szCs w:val="24"/>
        </w:rPr>
        <w:t xml:space="preserve">the </w:t>
      </w:r>
      <w:r w:rsidR="0073712F" w:rsidRPr="00C46EAC">
        <w:rPr>
          <w:sz w:val="24"/>
          <w:szCs w:val="24"/>
        </w:rPr>
        <w:t xml:space="preserve">PBP and </w:t>
      </w:r>
      <w:r w:rsidR="00F61B07" w:rsidRPr="00C46EAC">
        <w:rPr>
          <w:sz w:val="24"/>
          <w:szCs w:val="24"/>
        </w:rPr>
        <w:t xml:space="preserve">formulary </w:t>
      </w:r>
      <w:r w:rsidRPr="00C46EAC">
        <w:rPr>
          <w:sz w:val="24"/>
          <w:szCs w:val="24"/>
        </w:rPr>
        <w:t xml:space="preserve">collects the information that populates </w:t>
      </w:r>
      <w:r w:rsidR="00644D73" w:rsidRPr="00C46EAC">
        <w:rPr>
          <w:sz w:val="24"/>
          <w:szCs w:val="24"/>
        </w:rPr>
        <w:t xml:space="preserve">the </w:t>
      </w:r>
      <w:hyperlink r:id="rId12" w:history="1">
        <w:r w:rsidR="00F61B07" w:rsidRPr="00C46EAC">
          <w:rPr>
            <w:rStyle w:val="Hyperlink"/>
            <w:sz w:val="24"/>
            <w:szCs w:val="24"/>
          </w:rPr>
          <w:t>www.medicare.gov</w:t>
        </w:r>
      </w:hyperlink>
      <w:r w:rsidR="00F61B07" w:rsidRPr="00C46EAC">
        <w:rPr>
          <w:sz w:val="24"/>
          <w:szCs w:val="24"/>
        </w:rPr>
        <w:t xml:space="preserve"> website</w:t>
      </w:r>
      <w:r w:rsidR="00BE6254" w:rsidRPr="00C46EAC">
        <w:rPr>
          <w:sz w:val="24"/>
          <w:szCs w:val="24"/>
        </w:rPr>
        <w:t xml:space="preserve"> and in the</w:t>
      </w:r>
      <w:r w:rsidR="00644D73" w:rsidRPr="00C46EAC">
        <w:rPr>
          <w:sz w:val="24"/>
          <w:szCs w:val="24"/>
        </w:rPr>
        <w:t xml:space="preserve"> </w:t>
      </w:r>
      <w:r w:rsidR="00784AE0" w:rsidRPr="00C46EAC">
        <w:rPr>
          <w:i/>
          <w:sz w:val="24"/>
          <w:szCs w:val="24"/>
        </w:rPr>
        <w:t>Medicare &amp; You</w:t>
      </w:r>
      <w:r w:rsidR="00644D73" w:rsidRPr="00C46EAC">
        <w:rPr>
          <w:sz w:val="24"/>
          <w:szCs w:val="24"/>
        </w:rPr>
        <w:t xml:space="preserve"> Handbook</w:t>
      </w:r>
      <w:r w:rsidRPr="00C46EAC">
        <w:rPr>
          <w:sz w:val="24"/>
          <w:szCs w:val="24"/>
        </w:rPr>
        <w:t xml:space="preserve">, there is no need </w:t>
      </w:r>
      <w:r w:rsidR="003C61DD" w:rsidRPr="00C46EAC">
        <w:rPr>
          <w:sz w:val="24"/>
          <w:szCs w:val="24"/>
        </w:rPr>
        <w:t>for organizations</w:t>
      </w:r>
      <w:r w:rsidRPr="00C46EAC">
        <w:rPr>
          <w:sz w:val="24"/>
          <w:szCs w:val="24"/>
        </w:rPr>
        <w:t xml:space="preserve"> to complete multiple </w:t>
      </w:r>
      <w:r w:rsidR="00F24EB9" w:rsidRPr="00C46EAC">
        <w:rPr>
          <w:sz w:val="24"/>
          <w:szCs w:val="24"/>
        </w:rPr>
        <w:t xml:space="preserve">marketing </w:t>
      </w:r>
      <w:r w:rsidRPr="00C46EAC">
        <w:rPr>
          <w:sz w:val="24"/>
          <w:szCs w:val="24"/>
        </w:rPr>
        <w:t xml:space="preserve">data reporting activities for CMS.  </w:t>
      </w:r>
    </w:p>
    <w:p w14:paraId="16FD91D3" w14:textId="77777777" w:rsidR="00CA0AA3" w:rsidRDefault="00CA0AA3" w:rsidP="00EE2110">
      <w:pPr>
        <w:tabs>
          <w:tab w:val="left" w:pos="-3060"/>
          <w:tab w:val="left" w:pos="0"/>
          <w:tab w:val="left" w:pos="432"/>
          <w:tab w:val="left" w:pos="720"/>
        </w:tabs>
        <w:suppressAutoHyphens/>
        <w:spacing w:line="240" w:lineRule="atLeast"/>
        <w:rPr>
          <w:sz w:val="24"/>
          <w:szCs w:val="24"/>
        </w:rPr>
      </w:pPr>
    </w:p>
    <w:p w14:paraId="18CFF970" w14:textId="0898AF54" w:rsidR="00CA0AA3" w:rsidRPr="00C46EAC" w:rsidRDefault="00CA0AA3" w:rsidP="00EE2110">
      <w:pPr>
        <w:tabs>
          <w:tab w:val="left" w:pos="-3060"/>
          <w:tab w:val="left" w:pos="0"/>
          <w:tab w:val="left" w:pos="432"/>
          <w:tab w:val="left" w:pos="720"/>
        </w:tabs>
        <w:suppressAutoHyphens/>
        <w:spacing w:line="240" w:lineRule="atLeast"/>
        <w:rPr>
          <w:sz w:val="24"/>
          <w:szCs w:val="24"/>
        </w:rPr>
      </w:pPr>
      <w:r>
        <w:rPr>
          <w:sz w:val="24"/>
          <w:szCs w:val="24"/>
        </w:rPr>
        <w:t>The information collected in the RTBT is also not duplicated through any other CMS agency effort.</w:t>
      </w:r>
    </w:p>
    <w:p w14:paraId="29CCF55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6ECBF81"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5. Small Businesses</w:t>
      </w:r>
    </w:p>
    <w:p w14:paraId="337B9AD8"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27F02849"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Small businesses are not significantly affected by this collection. </w:t>
      </w:r>
      <w:r w:rsidR="00F579CA" w:rsidRPr="00C46EAC">
        <w:rPr>
          <w:sz w:val="24"/>
          <w:szCs w:val="24"/>
        </w:rPr>
        <w:t>Where small businesses may participate in these programs, they are required to submit these same data, per statutory requirements.  This software is designed to provide all participating businesses with a straightforward and efficient method for delivering these data to CMS.</w:t>
      </w:r>
    </w:p>
    <w:p w14:paraId="43464DDD"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7B25ECDA"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6. Less Frequent Collection</w:t>
      </w:r>
    </w:p>
    <w:p w14:paraId="78FC51AA"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02D5EB4F" w14:textId="77777777" w:rsidR="00CA01E6" w:rsidRPr="00C46EAC" w:rsidRDefault="001F5701" w:rsidP="00EE2110">
      <w:pPr>
        <w:tabs>
          <w:tab w:val="left" w:pos="-3060"/>
          <w:tab w:val="left" w:pos="0"/>
          <w:tab w:val="left" w:pos="432"/>
          <w:tab w:val="left" w:pos="720"/>
        </w:tabs>
        <w:suppressAutoHyphens/>
        <w:spacing w:line="240" w:lineRule="atLeast"/>
        <w:rPr>
          <w:sz w:val="24"/>
          <w:szCs w:val="24"/>
        </w:rPr>
      </w:pPr>
      <w:r w:rsidRPr="00C46EAC">
        <w:rPr>
          <w:sz w:val="24"/>
          <w:szCs w:val="24"/>
        </w:rPr>
        <w:t>Since</w:t>
      </w:r>
      <w:r w:rsidR="00CA01E6" w:rsidRPr="00C46EAC">
        <w:rPr>
          <w:sz w:val="24"/>
          <w:szCs w:val="24"/>
        </w:rPr>
        <w:t xml:space="preserve"> CY 2001, CMS has collected the </w:t>
      </w:r>
      <w:r w:rsidR="00F24EB9" w:rsidRPr="00C46EAC">
        <w:rPr>
          <w:sz w:val="24"/>
          <w:szCs w:val="24"/>
        </w:rPr>
        <w:t xml:space="preserve">benefit package </w:t>
      </w:r>
      <w:r w:rsidR="00CA01E6" w:rsidRPr="00C46EAC">
        <w:rPr>
          <w:sz w:val="24"/>
          <w:szCs w:val="24"/>
        </w:rPr>
        <w:t xml:space="preserve">once a year as required by the Social Security Act.  </w:t>
      </w:r>
      <w:r w:rsidR="00F24EB9" w:rsidRPr="00C46EAC">
        <w:rPr>
          <w:sz w:val="24"/>
          <w:szCs w:val="24"/>
        </w:rPr>
        <w:t>Under MMA, t</w:t>
      </w:r>
      <w:r w:rsidR="00CA01E6" w:rsidRPr="00C46EAC">
        <w:rPr>
          <w:sz w:val="24"/>
          <w:szCs w:val="24"/>
        </w:rPr>
        <w:t xml:space="preserve">his collection </w:t>
      </w:r>
      <w:r w:rsidR="00E440BD" w:rsidRPr="00C46EAC">
        <w:rPr>
          <w:sz w:val="24"/>
          <w:szCs w:val="24"/>
        </w:rPr>
        <w:t xml:space="preserve">is </w:t>
      </w:r>
      <w:r w:rsidR="00F24EB9" w:rsidRPr="00C46EAC">
        <w:rPr>
          <w:sz w:val="24"/>
          <w:szCs w:val="24"/>
        </w:rPr>
        <w:t xml:space="preserve">now </w:t>
      </w:r>
      <w:r w:rsidR="00CA01E6" w:rsidRPr="00C46EAC">
        <w:rPr>
          <w:sz w:val="24"/>
          <w:szCs w:val="24"/>
        </w:rPr>
        <w:t xml:space="preserve">part of the annual </w:t>
      </w:r>
      <w:r w:rsidR="00F24EB9" w:rsidRPr="00C46EAC">
        <w:rPr>
          <w:sz w:val="24"/>
          <w:szCs w:val="24"/>
        </w:rPr>
        <w:t xml:space="preserve">bidding </w:t>
      </w:r>
      <w:r w:rsidR="00CA01E6" w:rsidRPr="00C46EAC">
        <w:rPr>
          <w:sz w:val="24"/>
          <w:szCs w:val="24"/>
        </w:rPr>
        <w:t xml:space="preserve">process, where organizations </w:t>
      </w:r>
      <w:r w:rsidR="00F24EB9" w:rsidRPr="00C46EAC">
        <w:rPr>
          <w:sz w:val="24"/>
          <w:szCs w:val="24"/>
        </w:rPr>
        <w:t xml:space="preserve">are </w:t>
      </w:r>
      <w:r w:rsidR="00CA01E6" w:rsidRPr="00C46EAC">
        <w:rPr>
          <w:sz w:val="24"/>
          <w:szCs w:val="24"/>
        </w:rPr>
        <w:t xml:space="preserve">required to submit their proposed plan benefit packages </w:t>
      </w:r>
      <w:r w:rsidR="00F24EB9" w:rsidRPr="00C46EAC">
        <w:rPr>
          <w:sz w:val="24"/>
          <w:szCs w:val="24"/>
        </w:rPr>
        <w:t xml:space="preserve">(including the </w:t>
      </w:r>
      <w:r w:rsidR="00FD3C93" w:rsidRPr="00C46EAC">
        <w:rPr>
          <w:sz w:val="24"/>
          <w:szCs w:val="24"/>
        </w:rPr>
        <w:t xml:space="preserve">PBP and </w:t>
      </w:r>
      <w:r w:rsidR="00F24EB9" w:rsidRPr="00C46EAC">
        <w:rPr>
          <w:sz w:val="24"/>
          <w:szCs w:val="24"/>
        </w:rPr>
        <w:t xml:space="preserve">formulary) </w:t>
      </w:r>
      <w:r w:rsidR="00CA01E6" w:rsidRPr="00C46EAC">
        <w:rPr>
          <w:sz w:val="24"/>
          <w:szCs w:val="24"/>
        </w:rPr>
        <w:t xml:space="preserve">for the upcoming contract year.  </w:t>
      </w:r>
      <w:r w:rsidR="00F24EB9" w:rsidRPr="00C46EAC">
        <w:rPr>
          <w:sz w:val="24"/>
          <w:szCs w:val="24"/>
        </w:rPr>
        <w:t>In the event that an o</w:t>
      </w:r>
      <w:r w:rsidR="00CA01E6" w:rsidRPr="00C46EAC">
        <w:rPr>
          <w:sz w:val="24"/>
          <w:szCs w:val="24"/>
        </w:rPr>
        <w:t xml:space="preserve">rganization </w:t>
      </w:r>
      <w:r w:rsidR="00F24EB9" w:rsidRPr="00C46EAC">
        <w:rPr>
          <w:sz w:val="24"/>
          <w:szCs w:val="24"/>
        </w:rPr>
        <w:t xml:space="preserve">would </w:t>
      </w:r>
      <w:r w:rsidR="00CA01E6" w:rsidRPr="00C46EAC">
        <w:rPr>
          <w:sz w:val="24"/>
          <w:szCs w:val="24"/>
        </w:rPr>
        <w:t xml:space="preserve">propose mid-year benefit enhancements to their existing plans, propose new plans, </w:t>
      </w:r>
      <w:r w:rsidR="00F24EB9" w:rsidRPr="00C46EAC">
        <w:rPr>
          <w:sz w:val="24"/>
          <w:szCs w:val="24"/>
        </w:rPr>
        <w:t xml:space="preserve">or </w:t>
      </w:r>
      <w:r w:rsidR="00CA01E6" w:rsidRPr="00C46EAC">
        <w:rPr>
          <w:sz w:val="24"/>
          <w:szCs w:val="24"/>
        </w:rPr>
        <w:t xml:space="preserve">enter the </w:t>
      </w:r>
      <w:r w:rsidR="00F24EB9" w:rsidRPr="00C46EAC">
        <w:rPr>
          <w:sz w:val="24"/>
          <w:szCs w:val="24"/>
        </w:rPr>
        <w:t>Medicare program as a new organization, the organization would be required to submit the benefit package materials during the contract year.</w:t>
      </w:r>
    </w:p>
    <w:p w14:paraId="63B0F59C"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6CB5F8E"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If this collection were not conducted or were conducted less frequently than described above, there would be adverse consequences, including but not limited to, the following: </w:t>
      </w:r>
    </w:p>
    <w:p w14:paraId="131D9B10"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71D26B6F" w14:textId="77777777" w:rsidR="00CA01E6" w:rsidRPr="00C46EAC" w:rsidRDefault="00F61B07"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O</w:t>
      </w:r>
      <w:r w:rsidR="00CA01E6" w:rsidRPr="00C46EAC">
        <w:rPr>
          <w:sz w:val="24"/>
          <w:szCs w:val="24"/>
        </w:rPr>
        <w:t xml:space="preserve">rganizations would not be able to increase the number of </w:t>
      </w:r>
      <w:r w:rsidR="00AF7344" w:rsidRPr="00C46EAC">
        <w:rPr>
          <w:sz w:val="24"/>
          <w:szCs w:val="24"/>
        </w:rPr>
        <w:t xml:space="preserve">plan </w:t>
      </w:r>
      <w:r w:rsidR="00CA01E6" w:rsidRPr="00C46EAC">
        <w:rPr>
          <w:sz w:val="24"/>
          <w:szCs w:val="24"/>
        </w:rPr>
        <w:t xml:space="preserve">or enhance </w:t>
      </w:r>
      <w:r w:rsidR="00AF7344" w:rsidRPr="00C46EAC">
        <w:rPr>
          <w:sz w:val="24"/>
          <w:szCs w:val="24"/>
        </w:rPr>
        <w:t>current</w:t>
      </w:r>
      <w:r w:rsidR="00CA01E6" w:rsidRPr="00C46EAC">
        <w:rPr>
          <w:sz w:val="24"/>
          <w:szCs w:val="24"/>
        </w:rPr>
        <w:t xml:space="preserve"> plan choices available to Medicare beneficiaries.  </w:t>
      </w:r>
    </w:p>
    <w:p w14:paraId="30706B20" w14:textId="77777777" w:rsidR="00F24EB9" w:rsidRPr="00C46EAC" w:rsidRDefault="00F24EB9"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Organizations would not be able to make changes to the formulary that could enhance the therapeutic options</w:t>
      </w:r>
      <w:r w:rsidR="00AF7344" w:rsidRPr="00C46EAC">
        <w:rPr>
          <w:sz w:val="24"/>
          <w:szCs w:val="24"/>
        </w:rPr>
        <w:t xml:space="preserve"> or lower cost-sharing </w:t>
      </w:r>
      <w:r w:rsidRPr="00C46EAC">
        <w:rPr>
          <w:sz w:val="24"/>
          <w:szCs w:val="24"/>
        </w:rPr>
        <w:t>for beneficiaries.</w:t>
      </w:r>
    </w:p>
    <w:p w14:paraId="63CA7062" w14:textId="77777777" w:rsidR="00CA01E6" w:rsidRPr="00C46EAC" w:rsidRDefault="00CA01E6"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CMS would not be able to accurat</w:t>
      </w:r>
      <w:r w:rsidR="00F61B07" w:rsidRPr="00C46EAC">
        <w:rPr>
          <w:sz w:val="24"/>
          <w:szCs w:val="24"/>
        </w:rPr>
        <w:t>ely</w:t>
      </w:r>
      <w:r w:rsidRPr="00C46EAC">
        <w:rPr>
          <w:sz w:val="24"/>
          <w:szCs w:val="24"/>
        </w:rPr>
        <w:t xml:space="preserve"> or effectively educate Medicare beneficiaries on the plan choices available to them.  </w:t>
      </w:r>
    </w:p>
    <w:p w14:paraId="68463D8F" w14:textId="77777777" w:rsidR="00CA01E6" w:rsidRPr="00C46EAC" w:rsidRDefault="00CA01E6"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 xml:space="preserve">CMS would not be able to effectively review and approve plan marketing materials.  </w:t>
      </w:r>
    </w:p>
    <w:p w14:paraId="69B48E9C" w14:textId="77777777" w:rsidR="00CA01E6" w:rsidRPr="00C46EAC" w:rsidRDefault="00CA01E6"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 xml:space="preserve">CMS would not be able to effectively review and approve the </w:t>
      </w:r>
      <w:r w:rsidR="001A5961" w:rsidRPr="00C46EAC">
        <w:rPr>
          <w:sz w:val="24"/>
          <w:szCs w:val="24"/>
        </w:rPr>
        <w:t xml:space="preserve">PBP and </w:t>
      </w:r>
      <w:r w:rsidR="00F61B07" w:rsidRPr="00C46EAC">
        <w:rPr>
          <w:sz w:val="24"/>
          <w:szCs w:val="24"/>
        </w:rPr>
        <w:t>formulary</w:t>
      </w:r>
      <w:r w:rsidRPr="00C46EAC">
        <w:rPr>
          <w:sz w:val="24"/>
          <w:szCs w:val="24"/>
        </w:rPr>
        <w:t xml:space="preserve">, as required by statute. </w:t>
      </w:r>
    </w:p>
    <w:p w14:paraId="4ECFD395" w14:textId="77777777" w:rsidR="008D1869" w:rsidRPr="00C46EAC" w:rsidRDefault="008D1869" w:rsidP="00EE2110">
      <w:pPr>
        <w:numPr>
          <w:ilvl w:val="0"/>
          <w:numId w:val="11"/>
        </w:numPr>
        <w:tabs>
          <w:tab w:val="left" w:pos="-3060"/>
          <w:tab w:val="left" w:pos="0"/>
          <w:tab w:val="left" w:pos="432"/>
        </w:tabs>
        <w:suppressAutoHyphens/>
        <w:spacing w:line="240" w:lineRule="atLeast"/>
        <w:rPr>
          <w:sz w:val="24"/>
          <w:szCs w:val="24"/>
        </w:rPr>
      </w:pPr>
      <w:r w:rsidRPr="00C46EAC">
        <w:rPr>
          <w:sz w:val="24"/>
          <w:szCs w:val="24"/>
        </w:rPr>
        <w:t>Beneficiaries would not receive accurate, updated</w:t>
      </w:r>
      <w:r w:rsidR="00362F44" w:rsidRPr="00C46EAC">
        <w:rPr>
          <w:sz w:val="24"/>
          <w:szCs w:val="24"/>
        </w:rPr>
        <w:t xml:space="preserve"> plan</w:t>
      </w:r>
      <w:r w:rsidRPr="00C46EAC">
        <w:rPr>
          <w:sz w:val="24"/>
          <w:szCs w:val="24"/>
        </w:rPr>
        <w:t xml:space="preserve"> information via the website.</w:t>
      </w:r>
    </w:p>
    <w:p w14:paraId="15F4DDF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DF3F03E"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7. Special Circumstances</w:t>
      </w:r>
    </w:p>
    <w:p w14:paraId="42547E79"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E84BCDA" w14:textId="77777777" w:rsidR="00CA01E6" w:rsidRPr="00C46EAC" w:rsidRDefault="00F61B07" w:rsidP="00EE2110">
      <w:pPr>
        <w:pStyle w:val="BodyTextIndent"/>
        <w:tabs>
          <w:tab w:val="left" w:pos="-3060"/>
        </w:tabs>
        <w:ind w:left="0" w:firstLine="0"/>
      </w:pPr>
      <w:r w:rsidRPr="00C46EAC">
        <w:t>O</w:t>
      </w:r>
      <w:r w:rsidR="00CA01E6" w:rsidRPr="00C46EAC">
        <w:t xml:space="preserve">rganizations may be required to submit </w:t>
      </w:r>
      <w:r w:rsidR="005E6FB1" w:rsidRPr="00C46EAC">
        <w:t xml:space="preserve">benefit </w:t>
      </w:r>
      <w:r w:rsidR="00CA01E6" w:rsidRPr="00C46EAC">
        <w:t xml:space="preserve">data more often under certain circumstances.  Each </w:t>
      </w:r>
      <w:r w:rsidR="005E6FB1" w:rsidRPr="00C46EAC">
        <w:t>o</w:t>
      </w:r>
      <w:r w:rsidR="00CA01E6" w:rsidRPr="00C46EAC">
        <w:t xml:space="preserve">rganization must submit </w:t>
      </w:r>
      <w:r w:rsidR="00404F7C" w:rsidRPr="00C46EAC">
        <w:t xml:space="preserve">a new PBP and </w:t>
      </w:r>
      <w:r w:rsidR="00CA01E6" w:rsidRPr="00C46EAC">
        <w:t>a</w:t>
      </w:r>
      <w:r w:rsidR="00C61F62" w:rsidRPr="00C46EAC">
        <w:t>n updated</w:t>
      </w:r>
      <w:r w:rsidRPr="00C46EAC">
        <w:t xml:space="preserve"> formulary</w:t>
      </w:r>
      <w:r w:rsidR="00C61F62" w:rsidRPr="00C46EAC">
        <w:t xml:space="preserve"> </w:t>
      </w:r>
      <w:r w:rsidR="00CA01E6" w:rsidRPr="00C46EAC">
        <w:t xml:space="preserve">on an annual basis as part of the </w:t>
      </w:r>
      <w:r w:rsidRPr="00C46EAC">
        <w:t xml:space="preserve">annual bidding </w:t>
      </w:r>
      <w:r w:rsidR="00CA01E6" w:rsidRPr="00C46EAC">
        <w:t xml:space="preserve">process.  </w:t>
      </w:r>
      <w:r w:rsidR="002E212B" w:rsidRPr="00C46EAC">
        <w:t xml:space="preserve">Under certain circumstances, an </w:t>
      </w:r>
      <w:r w:rsidR="00CA01E6" w:rsidRPr="00C46EAC">
        <w:t xml:space="preserve">organization could choose to </w:t>
      </w:r>
      <w:r w:rsidR="005E6FB1" w:rsidRPr="00C46EAC">
        <w:t>enhance an existing plan benefit package mid-year</w:t>
      </w:r>
      <w:r w:rsidR="002E212B" w:rsidRPr="00C46EAC">
        <w:t xml:space="preserve"> or</w:t>
      </w:r>
      <w:r w:rsidR="005E6FB1" w:rsidRPr="00C46EAC">
        <w:t xml:space="preserve"> offer new plans</w:t>
      </w:r>
      <w:r w:rsidR="00CA01E6" w:rsidRPr="00C46EAC">
        <w:t xml:space="preserve">, which would require a second submission.  </w:t>
      </w:r>
      <w:r w:rsidR="005E6FB1" w:rsidRPr="00C46EAC">
        <w:t>Additionally</w:t>
      </w:r>
      <w:r w:rsidR="00A606AB" w:rsidRPr="00C46EAC">
        <w:t>,</w:t>
      </w:r>
      <w:r w:rsidR="005E6FB1" w:rsidRPr="00C46EAC">
        <w:t xml:space="preserve"> organizations must submit any changes in their formulary </w:t>
      </w:r>
      <w:r w:rsidR="00F03DFE" w:rsidRPr="00C46EAC">
        <w:t>prior to removing a covered Part D drug or when making any change in the preferred or tiered cost-sharing status of a covered Part D drug</w:t>
      </w:r>
      <w:r w:rsidR="005E6FB1" w:rsidRPr="00C46EAC">
        <w:t xml:space="preserve"> as required by the regulations.</w:t>
      </w:r>
    </w:p>
    <w:p w14:paraId="054DC952"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4310544"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8. Federal Register Notice/Outside Consultation</w:t>
      </w:r>
    </w:p>
    <w:p w14:paraId="37A3B734"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EB813E5" w14:textId="77777777" w:rsidR="00DA0DD5" w:rsidRDefault="00DA0DD5" w:rsidP="00DA0DD5">
      <w:pPr>
        <w:tabs>
          <w:tab w:val="left" w:pos="-3060"/>
          <w:tab w:val="left" w:pos="0"/>
          <w:tab w:val="left" w:pos="432"/>
          <w:tab w:val="left" w:pos="720"/>
        </w:tabs>
        <w:suppressAutoHyphens/>
        <w:spacing w:line="240" w:lineRule="atLeast"/>
        <w:rPr>
          <w:bCs/>
          <w:i/>
          <w:sz w:val="24"/>
          <w:szCs w:val="24"/>
        </w:rPr>
      </w:pPr>
      <w:r w:rsidRPr="00C46EAC">
        <w:rPr>
          <w:bCs/>
          <w:i/>
          <w:sz w:val="24"/>
          <w:szCs w:val="24"/>
        </w:rPr>
        <w:t>Federal Register</w:t>
      </w:r>
    </w:p>
    <w:p w14:paraId="16DFEF0B" w14:textId="5FF8EF6C" w:rsidR="00DA0DD5" w:rsidRDefault="00DA0DD5" w:rsidP="00DA0DD5">
      <w:pPr>
        <w:tabs>
          <w:tab w:val="left" w:pos="-3060"/>
          <w:tab w:val="left" w:pos="0"/>
          <w:tab w:val="left" w:pos="432"/>
          <w:tab w:val="left" w:pos="720"/>
        </w:tabs>
        <w:suppressAutoHyphens/>
        <w:spacing w:line="240" w:lineRule="atLeast"/>
        <w:rPr>
          <w:sz w:val="24"/>
          <w:szCs w:val="24"/>
        </w:rPr>
      </w:pPr>
    </w:p>
    <w:p w14:paraId="6C05DD92" w14:textId="4C996D3A" w:rsidR="00D444B4" w:rsidRPr="00C46EAC" w:rsidRDefault="00D444B4" w:rsidP="00DA0DD5">
      <w:pPr>
        <w:tabs>
          <w:tab w:val="left" w:pos="-3060"/>
          <w:tab w:val="left" w:pos="0"/>
          <w:tab w:val="left" w:pos="432"/>
          <w:tab w:val="left" w:pos="720"/>
        </w:tabs>
        <w:suppressAutoHyphens/>
        <w:spacing w:line="240" w:lineRule="atLeast"/>
        <w:rPr>
          <w:sz w:val="24"/>
          <w:szCs w:val="24"/>
        </w:rPr>
      </w:pPr>
      <w:r w:rsidRPr="00D444B4">
        <w:rPr>
          <w:sz w:val="24"/>
          <w:szCs w:val="24"/>
        </w:rPr>
        <w:t xml:space="preserve">The November </w:t>
      </w:r>
      <w:r>
        <w:rPr>
          <w:sz w:val="24"/>
          <w:szCs w:val="24"/>
        </w:rPr>
        <w:t>30</w:t>
      </w:r>
      <w:r w:rsidRPr="00D444B4">
        <w:rPr>
          <w:sz w:val="24"/>
          <w:szCs w:val="24"/>
        </w:rPr>
        <w:t xml:space="preserve">, 2018 (83 FR </w:t>
      </w:r>
      <w:r>
        <w:rPr>
          <w:sz w:val="24"/>
          <w:szCs w:val="24"/>
        </w:rPr>
        <w:t>62152)</w:t>
      </w:r>
      <w:r w:rsidRPr="00D444B4">
        <w:rPr>
          <w:sz w:val="24"/>
          <w:szCs w:val="24"/>
        </w:rPr>
        <w:t>, proposed rule (CMS-418</w:t>
      </w:r>
      <w:r w:rsidR="002A2C16">
        <w:rPr>
          <w:sz w:val="24"/>
          <w:szCs w:val="24"/>
        </w:rPr>
        <w:t>0-</w:t>
      </w:r>
      <w:r w:rsidRPr="00D444B4">
        <w:rPr>
          <w:sz w:val="24"/>
          <w:szCs w:val="24"/>
        </w:rPr>
        <w:t>P, RIN 0938-AT9</w:t>
      </w:r>
      <w:r w:rsidR="002A2C16">
        <w:rPr>
          <w:sz w:val="24"/>
          <w:szCs w:val="24"/>
        </w:rPr>
        <w:t>2</w:t>
      </w:r>
      <w:r w:rsidRPr="00D444B4">
        <w:rPr>
          <w:sz w:val="24"/>
          <w:szCs w:val="24"/>
        </w:rPr>
        <w:t xml:space="preserve">) serves as the 60-day Federal Register notice.  </w:t>
      </w:r>
    </w:p>
    <w:p w14:paraId="7BE56757" w14:textId="3D97E9AE" w:rsidR="00557FC7" w:rsidRPr="00C46EAC" w:rsidRDefault="00557FC7" w:rsidP="00DA0DD5">
      <w:pPr>
        <w:tabs>
          <w:tab w:val="left" w:pos="-3060"/>
          <w:tab w:val="left" w:pos="0"/>
          <w:tab w:val="left" w:pos="432"/>
          <w:tab w:val="left" w:pos="720"/>
        </w:tabs>
        <w:suppressAutoHyphens/>
        <w:spacing w:line="240" w:lineRule="atLeast"/>
        <w:rPr>
          <w:sz w:val="24"/>
          <w:szCs w:val="24"/>
        </w:rPr>
      </w:pPr>
    </w:p>
    <w:p w14:paraId="0F058711" w14:textId="77777777" w:rsidR="00DA0DD5" w:rsidRPr="00C46EAC" w:rsidRDefault="00DA0DD5" w:rsidP="00DA0DD5">
      <w:pPr>
        <w:tabs>
          <w:tab w:val="left" w:pos="-3060"/>
          <w:tab w:val="left" w:pos="0"/>
          <w:tab w:val="left" w:pos="432"/>
          <w:tab w:val="left" w:pos="720"/>
        </w:tabs>
        <w:suppressAutoHyphens/>
        <w:spacing w:line="240" w:lineRule="atLeast"/>
        <w:rPr>
          <w:i/>
          <w:sz w:val="24"/>
          <w:szCs w:val="24"/>
        </w:rPr>
      </w:pPr>
      <w:r w:rsidRPr="00C46EAC">
        <w:rPr>
          <w:bCs/>
          <w:i/>
          <w:sz w:val="24"/>
          <w:szCs w:val="24"/>
        </w:rPr>
        <w:t>Outside Consultation</w:t>
      </w:r>
    </w:p>
    <w:p w14:paraId="621B5DE8" w14:textId="77777777" w:rsidR="00DA0DD5" w:rsidRPr="00C46EAC" w:rsidRDefault="00DA0DD5" w:rsidP="00EE2110">
      <w:pPr>
        <w:tabs>
          <w:tab w:val="left" w:pos="-3060"/>
          <w:tab w:val="left" w:pos="0"/>
          <w:tab w:val="left" w:pos="432"/>
          <w:tab w:val="left" w:pos="720"/>
        </w:tabs>
        <w:suppressAutoHyphens/>
        <w:spacing w:line="240" w:lineRule="atLeast"/>
        <w:rPr>
          <w:sz w:val="24"/>
          <w:szCs w:val="24"/>
        </w:rPr>
      </w:pPr>
    </w:p>
    <w:p w14:paraId="4EEE791A" w14:textId="3782062A" w:rsidR="00A500F3" w:rsidRPr="00C46EAC" w:rsidRDefault="005D5F2F" w:rsidP="00EE2110">
      <w:pPr>
        <w:pStyle w:val="BodyText"/>
      </w:pPr>
      <w:bookmarkStart w:id="1" w:name="OLE_LINK3"/>
      <w:bookmarkStart w:id="2" w:name="OLE_LINK4"/>
      <w:r w:rsidRPr="00C46EAC">
        <w:rPr>
          <w:b/>
        </w:rPr>
        <w:t>Formulary:</w:t>
      </w:r>
      <w:r w:rsidRPr="00C46EAC">
        <w:t xml:space="preserve"> CMS and one of its consultants </w:t>
      </w:r>
      <w:r w:rsidR="00403313" w:rsidRPr="00C46EAC">
        <w:t xml:space="preserve">first drafted the </w:t>
      </w:r>
      <w:r w:rsidRPr="00C46EAC">
        <w:t xml:space="preserve">formulary submission </w:t>
      </w:r>
      <w:r w:rsidR="00403313" w:rsidRPr="00C46EAC">
        <w:t>for use during CY</w:t>
      </w:r>
      <w:r w:rsidR="00A606AB" w:rsidRPr="00C46EAC">
        <w:t xml:space="preserve"> </w:t>
      </w:r>
      <w:r w:rsidR="00403313" w:rsidRPr="00C46EAC">
        <w:t xml:space="preserve">2006 by </w:t>
      </w:r>
      <w:r w:rsidRPr="00C46EAC">
        <w:t xml:space="preserve">utilizing </w:t>
      </w:r>
      <w:r w:rsidR="00A606AB" w:rsidRPr="00C46EAC">
        <w:t>its considerable</w:t>
      </w:r>
      <w:r w:rsidRPr="00C46EAC">
        <w:t xml:space="preserve"> experience </w:t>
      </w:r>
      <w:r w:rsidR="00A606AB" w:rsidRPr="00C46EAC">
        <w:t>from</w:t>
      </w:r>
      <w:r w:rsidRPr="00C46EAC">
        <w:t xml:space="preserve"> the Medicare Prescription Drug Card program</w:t>
      </w:r>
      <w:r w:rsidR="00403313" w:rsidRPr="00C46EAC">
        <w:t xml:space="preserve"> and by conferring with the industry on numerous occasions</w:t>
      </w:r>
      <w:r w:rsidR="00485DD4" w:rsidRPr="00C46EAC">
        <w:t xml:space="preserve">.  </w:t>
      </w:r>
      <w:r w:rsidR="00FB55C3" w:rsidRPr="00C46EAC">
        <w:t xml:space="preserve">CMS requests comments and feedback from the industry via a lessons learned process annually.  </w:t>
      </w:r>
      <w:r w:rsidR="00485DD4" w:rsidRPr="00C46EAC">
        <w:t xml:space="preserve">The </w:t>
      </w:r>
      <w:r w:rsidR="00F1081A" w:rsidRPr="00C46EAC">
        <w:t>20</w:t>
      </w:r>
      <w:r w:rsidR="00F1081A">
        <w:t>20</w:t>
      </w:r>
      <w:r w:rsidR="00F1081A" w:rsidRPr="00C46EAC">
        <w:t xml:space="preserve"> </w:t>
      </w:r>
      <w:r w:rsidRPr="00C46EAC">
        <w:t xml:space="preserve">format </w:t>
      </w:r>
      <w:r w:rsidR="00A500F3" w:rsidRPr="00C46EAC">
        <w:t>is included in the</w:t>
      </w:r>
      <w:r w:rsidRPr="00C46EAC">
        <w:t xml:space="preserve"> formulary guidelines</w:t>
      </w:r>
      <w:bookmarkEnd w:id="1"/>
      <w:bookmarkEnd w:id="2"/>
      <w:r w:rsidR="00DF0985" w:rsidRPr="00C46EAC">
        <w:t>.</w:t>
      </w:r>
      <w:r w:rsidR="00FD447A" w:rsidRPr="00C46EAC">
        <w:t xml:space="preserve"> </w:t>
      </w:r>
    </w:p>
    <w:p w14:paraId="2DA8C2E6" w14:textId="77777777" w:rsidR="00485DD4" w:rsidRPr="00C46EAC" w:rsidRDefault="00485DD4" w:rsidP="00EE2110">
      <w:pPr>
        <w:pStyle w:val="BodyText"/>
      </w:pPr>
    </w:p>
    <w:p w14:paraId="3E49ACF9" w14:textId="77777777" w:rsidR="008D1869" w:rsidRPr="00C46EAC" w:rsidRDefault="005D5F2F" w:rsidP="00EE2110">
      <w:pPr>
        <w:pStyle w:val="BodyText"/>
      </w:pPr>
      <w:r w:rsidRPr="00C46EAC">
        <w:rPr>
          <w:b/>
        </w:rPr>
        <w:t>PBP:</w:t>
      </w:r>
      <w:r w:rsidRPr="00C46EAC">
        <w:t xml:space="preserve">  </w:t>
      </w:r>
      <w:r w:rsidR="00BD4E15" w:rsidRPr="00C46EAC">
        <w:t>CMS</w:t>
      </w:r>
      <w:r w:rsidR="00B3331B" w:rsidRPr="00C46EAC">
        <w:t>, with contractor support,</w:t>
      </w:r>
      <w:r w:rsidR="00BD4E15" w:rsidRPr="00C46EAC">
        <w:t xml:space="preserve"> prepare</w:t>
      </w:r>
      <w:r w:rsidR="00B3331B" w:rsidRPr="00C46EAC">
        <w:t>d</w:t>
      </w:r>
      <w:r w:rsidR="00BD4E15" w:rsidRPr="00C46EAC">
        <w:t xml:space="preserve"> the initial draft of the </w:t>
      </w:r>
      <w:r w:rsidR="008D1869" w:rsidRPr="00C46EAC">
        <w:t>PBP for use during CY</w:t>
      </w:r>
      <w:r w:rsidR="009A12F9" w:rsidRPr="00C46EAC">
        <w:t xml:space="preserve"> </w:t>
      </w:r>
      <w:r w:rsidR="008D1869" w:rsidRPr="00C46EAC">
        <w:t xml:space="preserve">2001 </w:t>
      </w:r>
      <w:r w:rsidRPr="00C46EAC">
        <w:t xml:space="preserve">by performing </w:t>
      </w:r>
      <w:r w:rsidR="008D1869" w:rsidRPr="00C46EAC">
        <w:t xml:space="preserve">extensive market research, screening, and testing.  Since the initial PBP development, CMS has taken numerous opportunities to confer with representatives from the Medicare </w:t>
      </w:r>
      <w:r w:rsidR="009A12F9" w:rsidRPr="00C46EAC">
        <w:t>private plan</w:t>
      </w:r>
      <w:r w:rsidR="008D1869" w:rsidRPr="00C46EAC">
        <w:t xml:space="preserve"> industry, including MA and PDP organizations and trade groups, to solicit comments and feedback on the PBP software.</w:t>
      </w:r>
      <w:r w:rsidRPr="00C46EAC">
        <w:t xml:space="preserve">  CMS </w:t>
      </w:r>
      <w:r w:rsidR="00656EE8" w:rsidRPr="00C46EAC">
        <w:t xml:space="preserve">has </w:t>
      </w:r>
      <w:r w:rsidRPr="00C46EAC">
        <w:t xml:space="preserve">also included internal users of the PBP data in these efforts.  Participants included staff from each CMS Regional Office, Central Office </w:t>
      </w:r>
      <w:r w:rsidR="00A500F3" w:rsidRPr="00C46EAC">
        <w:t>Medicare Advantage and Prescription Drug staff</w:t>
      </w:r>
      <w:r w:rsidRPr="00C46EAC">
        <w:t>, and staff from the CMS beneficiary education campaign.  These comment opportunities have included the following:</w:t>
      </w:r>
      <w:r w:rsidR="008D1869" w:rsidRPr="00C46EAC">
        <w:t xml:space="preserve">  </w:t>
      </w:r>
    </w:p>
    <w:p w14:paraId="2B7DA7DF" w14:textId="77777777" w:rsidR="008D1869" w:rsidRPr="00C46EAC" w:rsidRDefault="008D1869" w:rsidP="00EE2110">
      <w:pPr>
        <w:pStyle w:val="BodyText"/>
      </w:pPr>
    </w:p>
    <w:p w14:paraId="0E9DE092" w14:textId="4DADF43A" w:rsidR="0041551E" w:rsidRPr="00C46EAC" w:rsidRDefault="0041551E" w:rsidP="00EE2110">
      <w:pPr>
        <w:numPr>
          <w:ilvl w:val="0"/>
          <w:numId w:val="17"/>
        </w:numPr>
        <w:tabs>
          <w:tab w:val="left" w:pos="-3060"/>
          <w:tab w:val="left" w:pos="0"/>
          <w:tab w:val="left" w:pos="432"/>
        </w:tabs>
        <w:suppressAutoHyphens/>
        <w:spacing w:line="240" w:lineRule="atLeast"/>
        <w:rPr>
          <w:sz w:val="24"/>
          <w:szCs w:val="24"/>
        </w:rPr>
      </w:pPr>
      <w:r w:rsidRPr="00C46EAC">
        <w:rPr>
          <w:b/>
          <w:sz w:val="24"/>
          <w:szCs w:val="24"/>
        </w:rPr>
        <w:t>Beta Testing</w:t>
      </w:r>
      <w:r w:rsidRPr="00C46EAC">
        <w:rPr>
          <w:sz w:val="24"/>
          <w:szCs w:val="24"/>
        </w:rPr>
        <w:t xml:space="preserve"> – The functional test PBP software is distributed</w:t>
      </w:r>
      <w:r w:rsidR="0044559F" w:rsidRPr="00C46EAC">
        <w:rPr>
          <w:sz w:val="24"/>
          <w:szCs w:val="24"/>
        </w:rPr>
        <w:t xml:space="preserve"> to plans</w:t>
      </w:r>
      <w:r w:rsidRPr="00C46EAC">
        <w:rPr>
          <w:sz w:val="24"/>
          <w:szCs w:val="24"/>
        </w:rPr>
        <w:t xml:space="preserve"> for the Beta testing to allow for hands-on data entry testing</w:t>
      </w:r>
      <w:r w:rsidR="001B0C03">
        <w:rPr>
          <w:sz w:val="24"/>
          <w:szCs w:val="24"/>
        </w:rPr>
        <w:t xml:space="preserve"> and to identify any potential bugs/defects with the software</w:t>
      </w:r>
      <w:r w:rsidRPr="00C46EAC">
        <w:rPr>
          <w:sz w:val="24"/>
          <w:szCs w:val="24"/>
        </w:rPr>
        <w:t xml:space="preserve">.  CMS </w:t>
      </w:r>
      <w:r w:rsidR="00485DD4" w:rsidRPr="00C46EAC">
        <w:rPr>
          <w:sz w:val="24"/>
          <w:szCs w:val="24"/>
        </w:rPr>
        <w:t>is schedule</w:t>
      </w:r>
      <w:r w:rsidR="00C3134C" w:rsidRPr="00C46EAC">
        <w:rPr>
          <w:sz w:val="24"/>
          <w:szCs w:val="24"/>
        </w:rPr>
        <w:t>d</w:t>
      </w:r>
      <w:r w:rsidR="00485DD4" w:rsidRPr="00C46EAC">
        <w:rPr>
          <w:sz w:val="24"/>
          <w:szCs w:val="24"/>
        </w:rPr>
        <w:t xml:space="preserve"> to hold the PBP</w:t>
      </w:r>
      <w:r w:rsidR="007114E4" w:rsidRPr="00C46EAC">
        <w:rPr>
          <w:sz w:val="24"/>
          <w:szCs w:val="24"/>
        </w:rPr>
        <w:t xml:space="preserve"> </w:t>
      </w:r>
      <w:r w:rsidR="00F1081A" w:rsidRPr="00C46EAC">
        <w:rPr>
          <w:sz w:val="24"/>
          <w:szCs w:val="24"/>
        </w:rPr>
        <w:t>20</w:t>
      </w:r>
      <w:r w:rsidR="00F1081A">
        <w:rPr>
          <w:sz w:val="24"/>
          <w:szCs w:val="24"/>
        </w:rPr>
        <w:t>20</w:t>
      </w:r>
      <w:r w:rsidR="00F1081A" w:rsidRPr="00C46EAC">
        <w:rPr>
          <w:sz w:val="24"/>
          <w:szCs w:val="24"/>
        </w:rPr>
        <w:t xml:space="preserve"> </w:t>
      </w:r>
      <w:r w:rsidRPr="00C46EAC">
        <w:rPr>
          <w:sz w:val="24"/>
          <w:szCs w:val="24"/>
        </w:rPr>
        <w:t xml:space="preserve">Beta </w:t>
      </w:r>
      <w:r w:rsidR="00485DD4" w:rsidRPr="00C46EAC">
        <w:rPr>
          <w:sz w:val="24"/>
          <w:szCs w:val="24"/>
        </w:rPr>
        <w:t xml:space="preserve">in early February </w:t>
      </w:r>
      <w:r w:rsidR="003E0EE4" w:rsidRPr="00C46EAC">
        <w:rPr>
          <w:sz w:val="24"/>
          <w:szCs w:val="24"/>
        </w:rPr>
        <w:t>201</w:t>
      </w:r>
      <w:r w:rsidR="00F1081A">
        <w:rPr>
          <w:sz w:val="24"/>
          <w:szCs w:val="24"/>
        </w:rPr>
        <w:t>9</w:t>
      </w:r>
      <w:r w:rsidR="00485DD4" w:rsidRPr="00C46EAC">
        <w:rPr>
          <w:sz w:val="24"/>
          <w:szCs w:val="24"/>
        </w:rPr>
        <w:t xml:space="preserve">.  </w:t>
      </w:r>
      <w:r w:rsidRPr="00C46EAC">
        <w:rPr>
          <w:sz w:val="24"/>
          <w:szCs w:val="24"/>
        </w:rPr>
        <w:t xml:space="preserve">This process has occurred each year since the </w:t>
      </w:r>
      <w:r w:rsidR="00F37EB4" w:rsidRPr="00C46EAC">
        <w:rPr>
          <w:sz w:val="24"/>
          <w:szCs w:val="24"/>
        </w:rPr>
        <w:t xml:space="preserve">start of the </w:t>
      </w:r>
      <w:r w:rsidRPr="00C46EAC">
        <w:rPr>
          <w:sz w:val="24"/>
          <w:szCs w:val="24"/>
        </w:rPr>
        <w:t>PBP.</w:t>
      </w:r>
      <w:r w:rsidR="00F37EB4" w:rsidRPr="00C46EAC">
        <w:rPr>
          <w:sz w:val="24"/>
          <w:szCs w:val="24"/>
        </w:rPr>
        <w:t xml:space="preserve"> </w:t>
      </w:r>
    </w:p>
    <w:p w14:paraId="59BCEA40" w14:textId="2C08D93B" w:rsidR="0041551E" w:rsidRPr="00C46EAC" w:rsidRDefault="005D5F2F" w:rsidP="00EE2110">
      <w:pPr>
        <w:numPr>
          <w:ilvl w:val="0"/>
          <w:numId w:val="15"/>
        </w:numPr>
        <w:tabs>
          <w:tab w:val="left" w:pos="-3060"/>
          <w:tab w:val="left" w:pos="810"/>
          <w:tab w:val="left" w:pos="1080"/>
          <w:tab w:val="left" w:pos="1350"/>
        </w:tabs>
        <w:suppressAutoHyphens/>
        <w:spacing w:line="240" w:lineRule="atLeast"/>
        <w:rPr>
          <w:sz w:val="24"/>
          <w:szCs w:val="24"/>
        </w:rPr>
      </w:pPr>
      <w:r w:rsidRPr="00C46EAC">
        <w:rPr>
          <w:b/>
          <w:sz w:val="24"/>
          <w:szCs w:val="24"/>
        </w:rPr>
        <w:t>Lessons Learned</w:t>
      </w:r>
      <w:r w:rsidR="0041551E" w:rsidRPr="00C46EAC">
        <w:rPr>
          <w:b/>
          <w:sz w:val="24"/>
          <w:szCs w:val="24"/>
        </w:rPr>
        <w:t xml:space="preserve"> Comments</w:t>
      </w:r>
      <w:r w:rsidR="00743720" w:rsidRPr="00C46EAC">
        <w:rPr>
          <w:b/>
          <w:sz w:val="24"/>
          <w:szCs w:val="24"/>
        </w:rPr>
        <w:t xml:space="preserve"> </w:t>
      </w:r>
      <w:r w:rsidRPr="00C46EAC">
        <w:rPr>
          <w:sz w:val="24"/>
          <w:szCs w:val="24"/>
        </w:rPr>
        <w:t xml:space="preserve">– </w:t>
      </w:r>
      <w:r w:rsidR="0041551E" w:rsidRPr="00C46EAC">
        <w:rPr>
          <w:sz w:val="24"/>
          <w:szCs w:val="24"/>
        </w:rPr>
        <w:t xml:space="preserve">CMS has implemented a formal process for the electronic submission of comments and feedback through the HPMS website.  The </w:t>
      </w:r>
      <w:r w:rsidR="00602998" w:rsidRPr="00C46EAC">
        <w:rPr>
          <w:sz w:val="24"/>
          <w:szCs w:val="24"/>
        </w:rPr>
        <w:t xml:space="preserve">annual </w:t>
      </w:r>
      <w:r w:rsidR="0041551E" w:rsidRPr="00C46EAC">
        <w:rPr>
          <w:sz w:val="24"/>
          <w:szCs w:val="24"/>
        </w:rPr>
        <w:t>comment period serves as an opportunity to account for lessons learned on the PBP</w:t>
      </w:r>
      <w:r w:rsidR="007114E4" w:rsidRPr="00C46EAC">
        <w:rPr>
          <w:sz w:val="24"/>
          <w:szCs w:val="24"/>
        </w:rPr>
        <w:t xml:space="preserve"> </w:t>
      </w:r>
      <w:r w:rsidR="0041551E" w:rsidRPr="00C46EAC">
        <w:rPr>
          <w:sz w:val="24"/>
          <w:szCs w:val="24"/>
        </w:rPr>
        <w:t xml:space="preserve">post production and use.  </w:t>
      </w:r>
      <w:r w:rsidR="00485DD4" w:rsidRPr="00C46EAC">
        <w:rPr>
          <w:sz w:val="24"/>
          <w:szCs w:val="24"/>
        </w:rPr>
        <w:t xml:space="preserve">The </w:t>
      </w:r>
      <w:r w:rsidR="003E0EE4" w:rsidRPr="00C46EAC">
        <w:rPr>
          <w:sz w:val="24"/>
          <w:szCs w:val="24"/>
        </w:rPr>
        <w:t>201</w:t>
      </w:r>
      <w:r w:rsidR="00F1081A">
        <w:rPr>
          <w:sz w:val="24"/>
          <w:szCs w:val="24"/>
        </w:rPr>
        <w:t>9</w:t>
      </w:r>
      <w:r w:rsidR="003E0EE4" w:rsidRPr="00C46EAC">
        <w:rPr>
          <w:sz w:val="24"/>
          <w:szCs w:val="24"/>
        </w:rPr>
        <w:t xml:space="preserve"> </w:t>
      </w:r>
      <w:r w:rsidR="00485DD4" w:rsidRPr="00C46EAC">
        <w:rPr>
          <w:sz w:val="24"/>
          <w:szCs w:val="24"/>
        </w:rPr>
        <w:t xml:space="preserve">Lessons Learned comment period was held from </w:t>
      </w:r>
      <w:r w:rsidR="005D337D" w:rsidRPr="00C46EAC">
        <w:rPr>
          <w:sz w:val="24"/>
          <w:szCs w:val="24"/>
        </w:rPr>
        <w:t xml:space="preserve">July </w:t>
      </w:r>
      <w:r w:rsidR="002746AE">
        <w:rPr>
          <w:sz w:val="24"/>
          <w:szCs w:val="24"/>
        </w:rPr>
        <w:t>9</w:t>
      </w:r>
      <w:r w:rsidR="00DF0985" w:rsidRPr="00C46EAC">
        <w:rPr>
          <w:sz w:val="24"/>
          <w:szCs w:val="24"/>
        </w:rPr>
        <w:t xml:space="preserve">, </w:t>
      </w:r>
      <w:r w:rsidR="003E0EE4" w:rsidRPr="00C46EAC">
        <w:rPr>
          <w:sz w:val="24"/>
          <w:szCs w:val="24"/>
        </w:rPr>
        <w:t>201</w:t>
      </w:r>
      <w:r w:rsidR="00F1081A">
        <w:rPr>
          <w:sz w:val="24"/>
          <w:szCs w:val="24"/>
        </w:rPr>
        <w:t>8</w:t>
      </w:r>
      <w:r w:rsidR="003E0EE4" w:rsidRPr="00C46EAC">
        <w:rPr>
          <w:sz w:val="24"/>
          <w:szCs w:val="24"/>
        </w:rPr>
        <w:t xml:space="preserve"> </w:t>
      </w:r>
      <w:r w:rsidR="00DF0985" w:rsidRPr="00C46EAC">
        <w:rPr>
          <w:sz w:val="24"/>
          <w:szCs w:val="24"/>
        </w:rPr>
        <w:t xml:space="preserve">through </w:t>
      </w:r>
      <w:r w:rsidR="005D337D" w:rsidRPr="00C46EAC">
        <w:rPr>
          <w:sz w:val="24"/>
          <w:szCs w:val="24"/>
        </w:rPr>
        <w:t xml:space="preserve">July </w:t>
      </w:r>
      <w:r w:rsidR="00F1081A" w:rsidRPr="00C46EAC">
        <w:rPr>
          <w:sz w:val="24"/>
          <w:szCs w:val="24"/>
        </w:rPr>
        <w:t>2</w:t>
      </w:r>
      <w:r w:rsidR="002746AE">
        <w:rPr>
          <w:sz w:val="24"/>
          <w:szCs w:val="24"/>
        </w:rPr>
        <w:t>0</w:t>
      </w:r>
      <w:r w:rsidR="009E0019" w:rsidRPr="00C46EAC">
        <w:rPr>
          <w:sz w:val="24"/>
          <w:szCs w:val="24"/>
        </w:rPr>
        <w:t xml:space="preserve">, </w:t>
      </w:r>
      <w:r w:rsidR="003E0EE4" w:rsidRPr="00C46EAC">
        <w:rPr>
          <w:sz w:val="24"/>
          <w:szCs w:val="24"/>
        </w:rPr>
        <w:t>201</w:t>
      </w:r>
      <w:r w:rsidR="00F1081A">
        <w:rPr>
          <w:sz w:val="24"/>
          <w:szCs w:val="24"/>
        </w:rPr>
        <w:t>8</w:t>
      </w:r>
      <w:r w:rsidR="009E0019" w:rsidRPr="00C46EAC">
        <w:rPr>
          <w:sz w:val="24"/>
          <w:szCs w:val="24"/>
        </w:rPr>
        <w:t xml:space="preserve">. </w:t>
      </w:r>
    </w:p>
    <w:p w14:paraId="3F736F58" w14:textId="77777777" w:rsidR="0041551E" w:rsidRPr="00C46EAC" w:rsidRDefault="0041551E" w:rsidP="00EE2110">
      <w:pPr>
        <w:numPr>
          <w:ilvl w:val="0"/>
          <w:numId w:val="15"/>
        </w:numPr>
        <w:tabs>
          <w:tab w:val="left" w:pos="-3060"/>
          <w:tab w:val="left" w:pos="810"/>
          <w:tab w:val="left" w:pos="1080"/>
          <w:tab w:val="left" w:pos="1350"/>
        </w:tabs>
        <w:suppressAutoHyphens/>
        <w:spacing w:line="240" w:lineRule="atLeast"/>
        <w:rPr>
          <w:sz w:val="24"/>
          <w:szCs w:val="24"/>
        </w:rPr>
      </w:pPr>
      <w:r w:rsidRPr="00C46EAC">
        <w:rPr>
          <w:b/>
          <w:bCs/>
          <w:sz w:val="24"/>
          <w:szCs w:val="24"/>
        </w:rPr>
        <w:t xml:space="preserve">Ongoing Discussions </w:t>
      </w:r>
      <w:r w:rsidRPr="00C46EAC">
        <w:rPr>
          <w:sz w:val="24"/>
          <w:szCs w:val="24"/>
        </w:rPr>
        <w:t xml:space="preserve">– As part of our daily business of assisting organizations and others, CMS has informally received comments concerning the PBP </w:t>
      </w:r>
      <w:r w:rsidR="003C61DD" w:rsidRPr="00C46EAC">
        <w:rPr>
          <w:sz w:val="24"/>
          <w:szCs w:val="24"/>
        </w:rPr>
        <w:t>from organizations</w:t>
      </w:r>
      <w:r w:rsidRPr="00C46EAC">
        <w:rPr>
          <w:sz w:val="24"/>
          <w:szCs w:val="24"/>
        </w:rPr>
        <w:t xml:space="preserve">, trade associations, </w:t>
      </w:r>
      <w:r w:rsidR="005D337D" w:rsidRPr="00C46EAC">
        <w:rPr>
          <w:sz w:val="24"/>
          <w:szCs w:val="24"/>
        </w:rPr>
        <w:t xml:space="preserve">Central Office, </w:t>
      </w:r>
      <w:r w:rsidRPr="00C46EAC">
        <w:rPr>
          <w:sz w:val="24"/>
          <w:szCs w:val="24"/>
        </w:rPr>
        <w:t xml:space="preserve">and Regional Offices.  </w:t>
      </w:r>
    </w:p>
    <w:p w14:paraId="4A83517E" w14:textId="77777777" w:rsidR="00C036E6" w:rsidRPr="00C46EAC" w:rsidRDefault="00C036E6" w:rsidP="00EE2110">
      <w:pPr>
        <w:tabs>
          <w:tab w:val="left" w:pos="-3060"/>
          <w:tab w:val="left" w:pos="810"/>
          <w:tab w:val="left" w:pos="1080"/>
        </w:tabs>
        <w:suppressAutoHyphens/>
        <w:spacing w:line="240" w:lineRule="atLeast"/>
        <w:rPr>
          <w:sz w:val="24"/>
          <w:szCs w:val="24"/>
        </w:rPr>
      </w:pPr>
    </w:p>
    <w:p w14:paraId="2ADA3667" w14:textId="26EF5798" w:rsidR="00CA01E6" w:rsidRPr="00C46EAC" w:rsidRDefault="00CA01E6" w:rsidP="00EE2110">
      <w:pPr>
        <w:tabs>
          <w:tab w:val="left" w:pos="-3060"/>
          <w:tab w:val="left" w:pos="810"/>
          <w:tab w:val="left" w:pos="1080"/>
        </w:tabs>
        <w:suppressAutoHyphens/>
        <w:spacing w:line="240" w:lineRule="atLeast"/>
        <w:rPr>
          <w:sz w:val="24"/>
          <w:szCs w:val="24"/>
        </w:rPr>
      </w:pPr>
      <w:r w:rsidRPr="00C46EAC">
        <w:rPr>
          <w:sz w:val="24"/>
          <w:szCs w:val="24"/>
        </w:rPr>
        <w:t>After collecting and compil</w:t>
      </w:r>
      <w:r w:rsidR="0041551E" w:rsidRPr="00C46EAC">
        <w:rPr>
          <w:sz w:val="24"/>
          <w:szCs w:val="24"/>
        </w:rPr>
        <w:t>ing these requests and comments during the various timeframes,</w:t>
      </w:r>
      <w:r w:rsidRPr="00C46EAC">
        <w:rPr>
          <w:sz w:val="24"/>
          <w:szCs w:val="24"/>
        </w:rPr>
        <w:t xml:space="preserve"> CMS reviews each one and makes a determination as to whether the change should be made in the software.  The CMS review team consists of the agency component areas that </w:t>
      </w:r>
      <w:r w:rsidR="004034F0" w:rsidRPr="00C46EAC">
        <w:rPr>
          <w:sz w:val="24"/>
          <w:szCs w:val="24"/>
        </w:rPr>
        <w:t xml:space="preserve">serve as stakeholders for </w:t>
      </w:r>
      <w:r w:rsidRPr="00C46EAC">
        <w:rPr>
          <w:sz w:val="24"/>
          <w:szCs w:val="24"/>
        </w:rPr>
        <w:t>the PBP, including M</w:t>
      </w:r>
      <w:r w:rsidR="0041551E" w:rsidRPr="00C46EAC">
        <w:rPr>
          <w:sz w:val="24"/>
          <w:szCs w:val="24"/>
        </w:rPr>
        <w:t>A</w:t>
      </w:r>
      <w:r w:rsidRPr="00C46EAC">
        <w:rPr>
          <w:sz w:val="24"/>
          <w:szCs w:val="24"/>
        </w:rPr>
        <w:t xml:space="preserve"> </w:t>
      </w:r>
      <w:r w:rsidR="006E0B84" w:rsidRPr="00C46EAC">
        <w:rPr>
          <w:sz w:val="24"/>
          <w:szCs w:val="24"/>
        </w:rPr>
        <w:t xml:space="preserve">and Part D </w:t>
      </w:r>
      <w:r w:rsidR="0033438F" w:rsidRPr="00C46EAC">
        <w:rPr>
          <w:sz w:val="24"/>
          <w:szCs w:val="24"/>
        </w:rPr>
        <w:t xml:space="preserve">policy and </w:t>
      </w:r>
      <w:r w:rsidRPr="00C46EAC">
        <w:rPr>
          <w:sz w:val="24"/>
          <w:szCs w:val="24"/>
        </w:rPr>
        <w:t xml:space="preserve">operations, beneficiary education, and systems.  </w:t>
      </w:r>
      <w:r w:rsidR="007A5D54" w:rsidRPr="00C46EAC">
        <w:rPr>
          <w:sz w:val="24"/>
          <w:szCs w:val="24"/>
        </w:rPr>
        <w:t>Appendix B</w:t>
      </w:r>
      <w:r w:rsidRPr="00C46EAC">
        <w:rPr>
          <w:sz w:val="24"/>
          <w:szCs w:val="24"/>
        </w:rPr>
        <w:t xml:space="preserve"> provides a detailed list of the changes </w:t>
      </w:r>
      <w:r w:rsidR="00E922B8" w:rsidRPr="00C46EAC">
        <w:rPr>
          <w:sz w:val="24"/>
          <w:szCs w:val="24"/>
        </w:rPr>
        <w:t>identified for</w:t>
      </w:r>
      <w:r w:rsidRPr="00C46EAC">
        <w:rPr>
          <w:sz w:val="24"/>
          <w:szCs w:val="24"/>
        </w:rPr>
        <w:t xml:space="preserve"> the PBP software package</w:t>
      </w:r>
      <w:r w:rsidR="00F24D5A" w:rsidRPr="00C46EAC">
        <w:rPr>
          <w:sz w:val="24"/>
          <w:szCs w:val="24"/>
        </w:rPr>
        <w:t xml:space="preserve"> and the formulary file</w:t>
      </w:r>
      <w:r w:rsidRPr="00C46EAC">
        <w:rPr>
          <w:sz w:val="24"/>
          <w:szCs w:val="24"/>
        </w:rPr>
        <w:t xml:space="preserve"> </w:t>
      </w:r>
      <w:r w:rsidR="006E0B84" w:rsidRPr="00C46EAC">
        <w:rPr>
          <w:sz w:val="24"/>
          <w:szCs w:val="24"/>
        </w:rPr>
        <w:t xml:space="preserve">for </w:t>
      </w:r>
      <w:r w:rsidR="00BB6B0B" w:rsidRPr="00C46EAC">
        <w:rPr>
          <w:sz w:val="24"/>
          <w:szCs w:val="24"/>
        </w:rPr>
        <w:t>CY</w:t>
      </w:r>
      <w:r w:rsidR="00D67141" w:rsidRPr="00C46EAC">
        <w:rPr>
          <w:sz w:val="24"/>
          <w:szCs w:val="24"/>
        </w:rPr>
        <w:t xml:space="preserve"> </w:t>
      </w:r>
      <w:r w:rsidR="00F1081A" w:rsidRPr="00C46EAC">
        <w:rPr>
          <w:sz w:val="24"/>
          <w:szCs w:val="24"/>
        </w:rPr>
        <w:t>20</w:t>
      </w:r>
      <w:r w:rsidR="00F1081A">
        <w:rPr>
          <w:sz w:val="24"/>
          <w:szCs w:val="24"/>
        </w:rPr>
        <w:t>20</w:t>
      </w:r>
      <w:r w:rsidR="00F1081A" w:rsidRPr="00C46EAC">
        <w:rPr>
          <w:sz w:val="24"/>
          <w:szCs w:val="24"/>
        </w:rPr>
        <w:t xml:space="preserve"> </w:t>
      </w:r>
      <w:r w:rsidRPr="00C46EAC">
        <w:rPr>
          <w:sz w:val="24"/>
          <w:szCs w:val="24"/>
        </w:rPr>
        <w:t xml:space="preserve">as a result of feedback from the </w:t>
      </w:r>
      <w:r w:rsidR="0084153C" w:rsidRPr="00C46EAC">
        <w:rPr>
          <w:sz w:val="24"/>
          <w:szCs w:val="24"/>
        </w:rPr>
        <w:t>Medicare</w:t>
      </w:r>
      <w:r w:rsidR="00AA19AE" w:rsidRPr="00C46EAC">
        <w:rPr>
          <w:sz w:val="24"/>
          <w:szCs w:val="24"/>
        </w:rPr>
        <w:t xml:space="preserve"> </w:t>
      </w:r>
      <w:r w:rsidR="00D67141" w:rsidRPr="00C46EAC">
        <w:rPr>
          <w:sz w:val="24"/>
          <w:szCs w:val="24"/>
        </w:rPr>
        <w:t xml:space="preserve">private </w:t>
      </w:r>
      <w:r w:rsidR="00AA19AE" w:rsidRPr="00C46EAC">
        <w:rPr>
          <w:sz w:val="24"/>
          <w:szCs w:val="24"/>
        </w:rPr>
        <w:t>plan</w:t>
      </w:r>
      <w:r w:rsidR="0084153C" w:rsidRPr="00C46EAC">
        <w:rPr>
          <w:sz w:val="24"/>
          <w:szCs w:val="24"/>
        </w:rPr>
        <w:t xml:space="preserve"> </w:t>
      </w:r>
      <w:r w:rsidR="006E0B84" w:rsidRPr="00C46EAC">
        <w:rPr>
          <w:sz w:val="24"/>
          <w:szCs w:val="24"/>
        </w:rPr>
        <w:t xml:space="preserve">industry </w:t>
      </w:r>
      <w:r w:rsidRPr="00C46EAC">
        <w:rPr>
          <w:sz w:val="24"/>
          <w:szCs w:val="24"/>
        </w:rPr>
        <w:t xml:space="preserve">community and administrative and legislative directives.  </w:t>
      </w:r>
    </w:p>
    <w:p w14:paraId="1065C8EA"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2BD97507" w14:textId="428C8BE3" w:rsidR="00043651" w:rsidRPr="00C46EAC" w:rsidRDefault="00043651" w:rsidP="00EE2110">
      <w:pPr>
        <w:pStyle w:val="BodyText"/>
      </w:pPr>
      <w:r w:rsidRPr="00C46EAC">
        <w:t xml:space="preserve">Lastly, CMS is providing numerous instructional sessions and user instructions for the </w:t>
      </w:r>
      <w:r w:rsidR="00D6327B" w:rsidRPr="00C46EAC">
        <w:t xml:space="preserve">PBP and </w:t>
      </w:r>
      <w:r w:rsidRPr="00C46EAC">
        <w:t xml:space="preserve">formulary submission during </w:t>
      </w:r>
      <w:r w:rsidR="00D6327B" w:rsidRPr="00C46EAC">
        <w:t xml:space="preserve">the upcoming months. </w:t>
      </w:r>
    </w:p>
    <w:p w14:paraId="506B53FA" w14:textId="77777777" w:rsidR="004B42C5" w:rsidRPr="00C46EAC" w:rsidRDefault="004B42C5" w:rsidP="00EE2110">
      <w:pPr>
        <w:tabs>
          <w:tab w:val="left" w:pos="-3060"/>
          <w:tab w:val="left" w:pos="0"/>
          <w:tab w:val="left" w:pos="432"/>
          <w:tab w:val="left" w:pos="720"/>
        </w:tabs>
        <w:suppressAutoHyphens/>
        <w:spacing w:line="240" w:lineRule="atLeast"/>
        <w:rPr>
          <w:sz w:val="24"/>
          <w:szCs w:val="24"/>
        </w:rPr>
      </w:pPr>
    </w:p>
    <w:p w14:paraId="40816DC5"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 xml:space="preserve">9. Payments/Gifts </w:t>
      </w:r>
      <w:r w:rsidR="00625543" w:rsidRPr="00C46EAC">
        <w:rPr>
          <w:bCs/>
          <w:sz w:val="24"/>
          <w:szCs w:val="24"/>
          <w:u w:val="single"/>
        </w:rPr>
        <w:t>to</w:t>
      </w:r>
      <w:r w:rsidRPr="00C46EAC">
        <w:rPr>
          <w:bCs/>
          <w:sz w:val="24"/>
          <w:szCs w:val="24"/>
          <w:u w:val="single"/>
        </w:rPr>
        <w:t xml:space="preserve"> Respondents</w:t>
      </w:r>
    </w:p>
    <w:p w14:paraId="405CF123"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489BABFF" w14:textId="497D61C3" w:rsidR="00CA01E6" w:rsidRPr="00C46EAC" w:rsidRDefault="00C80D66" w:rsidP="00EE2110">
      <w:pPr>
        <w:tabs>
          <w:tab w:val="left" w:pos="-3060"/>
          <w:tab w:val="left" w:pos="0"/>
          <w:tab w:val="left" w:pos="432"/>
          <w:tab w:val="left" w:pos="720"/>
        </w:tabs>
        <w:suppressAutoHyphens/>
        <w:spacing w:line="240" w:lineRule="atLeast"/>
        <w:rPr>
          <w:sz w:val="24"/>
          <w:szCs w:val="24"/>
        </w:rPr>
      </w:pPr>
      <w:r>
        <w:rPr>
          <w:sz w:val="24"/>
          <w:szCs w:val="24"/>
        </w:rPr>
        <w:t>While t</w:t>
      </w:r>
      <w:r w:rsidR="00CA01E6" w:rsidRPr="00C46EAC">
        <w:rPr>
          <w:sz w:val="24"/>
          <w:szCs w:val="24"/>
        </w:rPr>
        <w:t xml:space="preserve">here </w:t>
      </w:r>
      <w:r w:rsidR="00AA08A7" w:rsidRPr="00C46EAC">
        <w:rPr>
          <w:sz w:val="24"/>
          <w:szCs w:val="24"/>
        </w:rPr>
        <w:t>ar</w:t>
      </w:r>
      <w:r w:rsidR="00CA01E6" w:rsidRPr="00C46EAC">
        <w:rPr>
          <w:sz w:val="24"/>
          <w:szCs w:val="24"/>
        </w:rPr>
        <w:t xml:space="preserve">e no </w:t>
      </w:r>
      <w:r>
        <w:rPr>
          <w:sz w:val="24"/>
          <w:szCs w:val="24"/>
        </w:rPr>
        <w:t xml:space="preserve">monetary </w:t>
      </w:r>
      <w:r w:rsidR="00CA01E6" w:rsidRPr="00C46EAC">
        <w:rPr>
          <w:sz w:val="24"/>
          <w:szCs w:val="24"/>
        </w:rPr>
        <w:t>payments</w:t>
      </w:r>
      <w:r>
        <w:rPr>
          <w:sz w:val="24"/>
          <w:szCs w:val="24"/>
        </w:rPr>
        <w:t xml:space="preserve"> or </w:t>
      </w:r>
      <w:r w:rsidR="00CA01E6" w:rsidRPr="00C46EAC">
        <w:rPr>
          <w:sz w:val="24"/>
          <w:szCs w:val="24"/>
        </w:rPr>
        <w:t>gifts to respondents</w:t>
      </w:r>
      <w:r>
        <w:rPr>
          <w:sz w:val="24"/>
          <w:szCs w:val="24"/>
        </w:rPr>
        <w:t>, the approval of the contract for the organization is an incentive for their participation in the Medicare program</w:t>
      </w:r>
      <w:r w:rsidR="00CA01E6" w:rsidRPr="00C46EAC">
        <w:rPr>
          <w:sz w:val="24"/>
          <w:szCs w:val="24"/>
        </w:rPr>
        <w:t xml:space="preserve">. </w:t>
      </w:r>
    </w:p>
    <w:p w14:paraId="17223F23" w14:textId="77777777" w:rsidR="00CA01E6" w:rsidRPr="00C46EAC" w:rsidRDefault="00CA01E6" w:rsidP="00EE2110">
      <w:pPr>
        <w:tabs>
          <w:tab w:val="left" w:pos="-3060"/>
          <w:tab w:val="left" w:pos="0"/>
          <w:tab w:val="left" w:pos="432"/>
          <w:tab w:val="left" w:pos="720"/>
        </w:tabs>
        <w:suppressAutoHyphens/>
        <w:spacing w:line="240" w:lineRule="atLeast"/>
        <w:rPr>
          <w:sz w:val="24"/>
          <w:szCs w:val="24"/>
          <w:u w:val="single"/>
        </w:rPr>
      </w:pPr>
    </w:p>
    <w:p w14:paraId="17DCF1F7"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rPr>
      </w:pPr>
      <w:r w:rsidRPr="00C46EAC">
        <w:rPr>
          <w:bCs/>
          <w:sz w:val="24"/>
          <w:szCs w:val="24"/>
          <w:u w:val="single"/>
        </w:rPr>
        <w:t>10. Confidentiality</w:t>
      </w:r>
    </w:p>
    <w:p w14:paraId="123B58D1"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09CAF35D" w14:textId="77777777" w:rsidR="00B407FF" w:rsidRPr="00C46EAC" w:rsidRDefault="00B407FF" w:rsidP="00B407FF">
      <w:pPr>
        <w:tabs>
          <w:tab w:val="left" w:pos="-3060"/>
          <w:tab w:val="left" w:pos="0"/>
          <w:tab w:val="left" w:pos="432"/>
          <w:tab w:val="left" w:pos="720"/>
        </w:tabs>
        <w:suppressAutoHyphens/>
        <w:spacing w:line="240" w:lineRule="atLeast"/>
        <w:rPr>
          <w:sz w:val="24"/>
          <w:szCs w:val="24"/>
        </w:rPr>
      </w:pPr>
      <w:r w:rsidRPr="00C46EAC">
        <w:rPr>
          <w:sz w:val="24"/>
          <w:szCs w:val="24"/>
        </w:rPr>
        <w:t xml:space="preserve">The information collected through the </w:t>
      </w:r>
      <w:r w:rsidR="00EC3952" w:rsidRPr="00C46EAC">
        <w:rPr>
          <w:sz w:val="24"/>
          <w:szCs w:val="24"/>
        </w:rPr>
        <w:t>P</w:t>
      </w:r>
      <w:r w:rsidRPr="00C46EAC">
        <w:rPr>
          <w:sz w:val="24"/>
          <w:szCs w:val="24"/>
        </w:rPr>
        <w:t xml:space="preserve">lan </w:t>
      </w:r>
      <w:r w:rsidR="006A26D6" w:rsidRPr="00C46EAC">
        <w:rPr>
          <w:sz w:val="24"/>
          <w:szCs w:val="24"/>
        </w:rPr>
        <w:t>B</w:t>
      </w:r>
      <w:r w:rsidRPr="00C46EAC">
        <w:rPr>
          <w:sz w:val="24"/>
          <w:szCs w:val="24"/>
        </w:rPr>
        <w:t xml:space="preserve">enefit </w:t>
      </w:r>
      <w:r w:rsidR="006A26D6" w:rsidRPr="00C46EAC">
        <w:rPr>
          <w:sz w:val="24"/>
          <w:szCs w:val="24"/>
        </w:rPr>
        <w:t>P</w:t>
      </w:r>
      <w:r w:rsidRPr="00C46EAC">
        <w:rPr>
          <w:sz w:val="24"/>
          <w:szCs w:val="24"/>
        </w:rPr>
        <w:t>ackage (PBP) software is considered proprietary until the bids are approved by CMS for the upcoming contract year (September</w:t>
      </w:r>
      <w:r w:rsidR="006A26D6" w:rsidRPr="00C46EAC">
        <w:rPr>
          <w:sz w:val="24"/>
          <w:szCs w:val="24"/>
        </w:rPr>
        <w:t>-October</w:t>
      </w:r>
      <w:r w:rsidRPr="00C46EAC">
        <w:rPr>
          <w:sz w:val="24"/>
          <w:szCs w:val="24"/>
        </w:rPr>
        <w:t xml:space="preserve"> timeframe).  </w:t>
      </w:r>
      <w:r w:rsidR="00750B68" w:rsidRPr="00C46EAC">
        <w:rPr>
          <w:sz w:val="24"/>
          <w:szCs w:val="24"/>
        </w:rPr>
        <w:t xml:space="preserve">After bid </w:t>
      </w:r>
      <w:r w:rsidR="00AC7490" w:rsidRPr="00C46EAC">
        <w:rPr>
          <w:sz w:val="24"/>
          <w:szCs w:val="24"/>
        </w:rPr>
        <w:t xml:space="preserve">and contract </w:t>
      </w:r>
      <w:r w:rsidR="00750B68" w:rsidRPr="00C46EAC">
        <w:rPr>
          <w:sz w:val="24"/>
          <w:szCs w:val="24"/>
        </w:rPr>
        <w:t xml:space="preserve">approval, </w:t>
      </w:r>
      <w:r w:rsidRPr="00C46EAC">
        <w:rPr>
          <w:sz w:val="24"/>
          <w:szCs w:val="24"/>
        </w:rPr>
        <w:t>CMS publishes</w:t>
      </w:r>
      <w:r w:rsidR="0071157B" w:rsidRPr="00C46EAC">
        <w:rPr>
          <w:sz w:val="24"/>
          <w:szCs w:val="24"/>
        </w:rPr>
        <w:t xml:space="preserve"> a subset of</w:t>
      </w:r>
      <w:r w:rsidRPr="00C46EAC">
        <w:rPr>
          <w:sz w:val="24"/>
          <w:szCs w:val="24"/>
        </w:rPr>
        <w:t xml:space="preserve"> PBP data elements for </w:t>
      </w:r>
      <w:r w:rsidR="004B0977" w:rsidRPr="00C46EAC">
        <w:rPr>
          <w:sz w:val="24"/>
          <w:szCs w:val="24"/>
        </w:rPr>
        <w:t>research and analysis</w:t>
      </w:r>
      <w:r w:rsidRPr="00C46EAC">
        <w:rPr>
          <w:sz w:val="24"/>
          <w:szCs w:val="24"/>
        </w:rPr>
        <w:t xml:space="preserve"> purposes on </w:t>
      </w:r>
      <w:r w:rsidR="004B0977" w:rsidRPr="00C46EAC">
        <w:rPr>
          <w:sz w:val="24"/>
          <w:szCs w:val="24"/>
        </w:rPr>
        <w:t>www.</w:t>
      </w:r>
      <w:r w:rsidRPr="00C46EAC">
        <w:rPr>
          <w:sz w:val="24"/>
          <w:szCs w:val="24"/>
        </w:rPr>
        <w:t>cms.gov</w:t>
      </w:r>
      <w:r w:rsidR="00750B68" w:rsidRPr="00C46EAC">
        <w:rPr>
          <w:sz w:val="24"/>
          <w:szCs w:val="24"/>
        </w:rPr>
        <w:t xml:space="preserve">. </w:t>
      </w:r>
    </w:p>
    <w:p w14:paraId="49E6FB6B" w14:textId="77777777" w:rsidR="00B407FF" w:rsidRPr="00C46EAC" w:rsidRDefault="00B407FF" w:rsidP="00EE2110">
      <w:pPr>
        <w:tabs>
          <w:tab w:val="left" w:pos="-3060"/>
          <w:tab w:val="left" w:pos="0"/>
          <w:tab w:val="left" w:pos="432"/>
          <w:tab w:val="left" w:pos="720"/>
        </w:tabs>
        <w:suppressAutoHyphens/>
        <w:spacing w:line="240" w:lineRule="atLeast"/>
        <w:rPr>
          <w:sz w:val="24"/>
          <w:szCs w:val="24"/>
        </w:rPr>
      </w:pPr>
    </w:p>
    <w:p w14:paraId="3D48206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Information collected through the </w:t>
      </w:r>
      <w:r w:rsidR="00F8195B" w:rsidRPr="00C46EAC">
        <w:rPr>
          <w:sz w:val="24"/>
          <w:szCs w:val="24"/>
        </w:rPr>
        <w:t xml:space="preserve">formulary </w:t>
      </w:r>
      <w:r w:rsidRPr="00C46EAC">
        <w:rPr>
          <w:sz w:val="24"/>
          <w:szCs w:val="24"/>
        </w:rPr>
        <w:t xml:space="preserve">contains proprietary information, trade secret, commercial and/or financial information, therefore it is privileged, </w:t>
      </w:r>
      <w:r w:rsidR="00BB1ECB" w:rsidRPr="00C46EAC">
        <w:rPr>
          <w:sz w:val="24"/>
          <w:szCs w:val="24"/>
        </w:rPr>
        <w:t>private to the extent permitted by law,</w:t>
      </w:r>
      <w:r w:rsidRPr="00C46EAC">
        <w:rPr>
          <w:sz w:val="24"/>
          <w:szCs w:val="24"/>
        </w:rPr>
        <w:t xml:space="preserve"> and protected from disclosure. </w:t>
      </w:r>
      <w:r w:rsidR="00675D62" w:rsidRPr="00C46EAC">
        <w:rPr>
          <w:sz w:val="24"/>
          <w:szCs w:val="24"/>
        </w:rPr>
        <w:t xml:space="preserve"> Formulary supporting documentation is considered </w:t>
      </w:r>
      <w:r w:rsidR="00BB1ECB" w:rsidRPr="00C46EAC">
        <w:rPr>
          <w:sz w:val="24"/>
          <w:szCs w:val="24"/>
        </w:rPr>
        <w:t xml:space="preserve">private to the extent permitted by law </w:t>
      </w:r>
      <w:r w:rsidR="00675D62" w:rsidRPr="00C46EAC">
        <w:rPr>
          <w:sz w:val="24"/>
          <w:szCs w:val="24"/>
        </w:rPr>
        <w:t>and will not be disclosed to the public.</w:t>
      </w:r>
    </w:p>
    <w:p w14:paraId="130FAB72" w14:textId="77777777" w:rsidR="00555B69" w:rsidRPr="00C46EAC" w:rsidRDefault="00555B69" w:rsidP="00EE2110">
      <w:pPr>
        <w:tabs>
          <w:tab w:val="left" w:pos="-3060"/>
          <w:tab w:val="left" w:pos="0"/>
          <w:tab w:val="left" w:pos="432"/>
          <w:tab w:val="left" w:pos="720"/>
        </w:tabs>
        <w:suppressAutoHyphens/>
        <w:spacing w:line="240" w:lineRule="atLeast"/>
        <w:rPr>
          <w:sz w:val="24"/>
          <w:szCs w:val="24"/>
        </w:rPr>
      </w:pPr>
    </w:p>
    <w:p w14:paraId="5B30E557" w14:textId="77777777" w:rsidR="00555B69" w:rsidRPr="00C46EAC" w:rsidRDefault="00555B69"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These data are protected from disclosure under Exemption 4 of the Freedom of Information Act (FOIA). Exemption 4 is provided below and is part of the HHA FOIA implementation regulation (45 CFR Section 5.65) available at: </w:t>
      </w:r>
      <w:hyperlink r:id="rId13" w:anchor="Subf" w:history="1">
        <w:r w:rsidRPr="00C46EAC">
          <w:rPr>
            <w:rStyle w:val="Hyperlink"/>
            <w:sz w:val="24"/>
            <w:szCs w:val="24"/>
          </w:rPr>
          <w:t>http://www.hhs.gov/foia/45cfr5.html#Subf</w:t>
        </w:r>
      </w:hyperlink>
      <w:r w:rsidRPr="00C46EAC">
        <w:rPr>
          <w:sz w:val="24"/>
          <w:szCs w:val="24"/>
        </w:rPr>
        <w:t>:</w:t>
      </w:r>
    </w:p>
    <w:p w14:paraId="7DDB2BE5" w14:textId="77777777" w:rsidR="00555B69" w:rsidRPr="00C46EAC" w:rsidRDefault="00555B69" w:rsidP="00EE2110">
      <w:pPr>
        <w:tabs>
          <w:tab w:val="left" w:pos="-3060"/>
          <w:tab w:val="left" w:pos="0"/>
          <w:tab w:val="left" w:pos="432"/>
          <w:tab w:val="left" w:pos="720"/>
        </w:tabs>
        <w:suppressAutoHyphens/>
        <w:spacing w:line="240" w:lineRule="atLeast"/>
        <w:rPr>
          <w:sz w:val="24"/>
          <w:szCs w:val="24"/>
        </w:rPr>
      </w:pPr>
    </w:p>
    <w:p w14:paraId="5C2FE29B"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r w:rsidRPr="00C46EAC">
        <w:rPr>
          <w:sz w:val="24"/>
          <w:szCs w:val="24"/>
        </w:rPr>
        <w:t>“Sec. 5.65 Exemption four: Trade secrets and confidential commercial or financial information. We will withhold trade secrets and commercial or financial information that is obtained from a person and is privileged or confidential.</w:t>
      </w:r>
    </w:p>
    <w:p w14:paraId="34153C3C"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p>
    <w:p w14:paraId="2DB4A12A"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r w:rsidRPr="00C46EAC">
        <w:rPr>
          <w:sz w:val="24"/>
          <w:szCs w:val="24"/>
        </w:rPr>
        <w:t>Trade secrets. A trade secret is a secret, commercially valuable plan, formula, process, or device that is used for the making, preparing, compounding, or processing of trade commodities and that can be said to be the end product of either innovation or substantial effort. There must be a direct relationship between the trade secret and the productive process.</w:t>
      </w:r>
    </w:p>
    <w:p w14:paraId="05979A29"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p>
    <w:p w14:paraId="2401B877"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r w:rsidRPr="00C46EAC">
        <w:rPr>
          <w:sz w:val="24"/>
          <w:szCs w:val="24"/>
        </w:rPr>
        <w:t>Commercial or financial information. We will not disclose records whose information is “commercial or financial,” is obtained from a person, and is “privileged or confidential.” Information is “commercial or financial” if it relates to businesses, commerce, trade, employment, profits, or finances (including personal finances). We interpret this category broadly.</w:t>
      </w:r>
    </w:p>
    <w:p w14:paraId="710E6F17"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p>
    <w:p w14:paraId="51C8B898"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r w:rsidRPr="00C46EAC">
        <w:rPr>
          <w:sz w:val="24"/>
          <w:szCs w:val="24"/>
        </w:rPr>
        <w:t>Information is “obtained from a person” if HHS or another agency has obtained it from someone outside the Federal Government or from someone within the Government who has a commercial or financial interest in the information. “Person” includes an individual, partnership, corporation, association, state or foreign government, or other organization. Information is not “obtained from a person” if it is generated by HHS or another federal agency. However, information is “obtained from a person” if it is provided by someone, including but not limited to an agency employee, who retains a commercial or financial interest in the information.</w:t>
      </w:r>
    </w:p>
    <w:p w14:paraId="1C5E8726"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p>
    <w:p w14:paraId="71736DCE" w14:textId="77777777" w:rsidR="00555B69" w:rsidRPr="00C46EAC" w:rsidRDefault="00555B69" w:rsidP="00555B69">
      <w:pPr>
        <w:tabs>
          <w:tab w:val="left" w:pos="-3060"/>
          <w:tab w:val="left" w:pos="450"/>
          <w:tab w:val="left" w:pos="720"/>
        </w:tabs>
        <w:suppressAutoHyphens/>
        <w:spacing w:line="240" w:lineRule="atLeast"/>
        <w:ind w:left="450"/>
        <w:rPr>
          <w:sz w:val="24"/>
          <w:szCs w:val="24"/>
        </w:rPr>
      </w:pPr>
      <w:r w:rsidRPr="00C46EAC">
        <w:rPr>
          <w:sz w:val="24"/>
          <w:szCs w:val="24"/>
        </w:rPr>
        <w:t>Information is “privileged” if it would ordinarily be protected from disclosure in civil discovery by a recognized evidentiary privilege, such as the attorney-client privilege or the work product privilege. Information may be privileged for this purpose under a privilege belonging to a person outside the government, unless the providing of the information to the government rendered the information no longer protectable in civil discovery.</w:t>
      </w:r>
    </w:p>
    <w:p w14:paraId="74487018" w14:textId="77777777" w:rsidR="00FD73EE" w:rsidRPr="00C46EAC" w:rsidRDefault="00FD73EE" w:rsidP="00555B69">
      <w:pPr>
        <w:tabs>
          <w:tab w:val="left" w:pos="-3060"/>
          <w:tab w:val="left" w:pos="450"/>
          <w:tab w:val="left" w:pos="720"/>
        </w:tabs>
        <w:suppressAutoHyphens/>
        <w:spacing w:line="240" w:lineRule="atLeast"/>
        <w:ind w:left="450"/>
        <w:rPr>
          <w:sz w:val="24"/>
          <w:szCs w:val="24"/>
        </w:rPr>
      </w:pPr>
    </w:p>
    <w:p w14:paraId="1A013717" w14:textId="77777777" w:rsidR="00FD73EE" w:rsidRPr="00C46EAC" w:rsidRDefault="00FD73EE" w:rsidP="00555B69">
      <w:pPr>
        <w:tabs>
          <w:tab w:val="left" w:pos="-3060"/>
          <w:tab w:val="left" w:pos="450"/>
          <w:tab w:val="left" w:pos="720"/>
        </w:tabs>
        <w:suppressAutoHyphens/>
        <w:spacing w:line="240" w:lineRule="atLeast"/>
        <w:ind w:left="450"/>
        <w:rPr>
          <w:sz w:val="24"/>
          <w:szCs w:val="24"/>
        </w:rPr>
      </w:pPr>
      <w:r w:rsidRPr="00C46EAC">
        <w:rPr>
          <w:sz w:val="24"/>
          <w:szCs w:val="24"/>
        </w:rPr>
        <w:t>Information is “confidential” if it meets one of the following tests:</w:t>
      </w:r>
    </w:p>
    <w:p w14:paraId="3BAB3643" w14:textId="77777777" w:rsidR="00FD73EE" w:rsidRPr="00C46EAC" w:rsidRDefault="00FD73EE" w:rsidP="00555B69">
      <w:pPr>
        <w:tabs>
          <w:tab w:val="left" w:pos="-3060"/>
          <w:tab w:val="left" w:pos="450"/>
          <w:tab w:val="left" w:pos="720"/>
        </w:tabs>
        <w:suppressAutoHyphens/>
        <w:spacing w:line="240" w:lineRule="atLeast"/>
        <w:ind w:left="450"/>
        <w:rPr>
          <w:sz w:val="24"/>
          <w:szCs w:val="24"/>
        </w:rPr>
      </w:pPr>
      <w:r w:rsidRPr="00C46EAC">
        <w:rPr>
          <w:sz w:val="24"/>
          <w:szCs w:val="24"/>
        </w:rPr>
        <w:tab/>
      </w:r>
    </w:p>
    <w:p w14:paraId="324D7811" w14:textId="77777777" w:rsidR="00FD73EE" w:rsidRPr="00C46EAC" w:rsidRDefault="00FD73EE" w:rsidP="00FD73EE">
      <w:pPr>
        <w:tabs>
          <w:tab w:val="left" w:pos="-3060"/>
          <w:tab w:val="left" w:pos="450"/>
          <w:tab w:val="left" w:pos="720"/>
        </w:tabs>
        <w:suppressAutoHyphens/>
        <w:spacing w:line="240" w:lineRule="atLeast"/>
        <w:ind w:left="720"/>
        <w:rPr>
          <w:sz w:val="24"/>
          <w:szCs w:val="24"/>
        </w:rPr>
      </w:pPr>
      <w:r w:rsidRPr="00C46EAC">
        <w:rPr>
          <w:sz w:val="24"/>
          <w:szCs w:val="24"/>
        </w:rPr>
        <w:t>Disclosure may impair the government’s ability to obtain necessary information in the future;</w:t>
      </w:r>
    </w:p>
    <w:p w14:paraId="6103E1D7" w14:textId="77777777" w:rsidR="004B6810" w:rsidRPr="00C46EAC" w:rsidRDefault="004B6810" w:rsidP="00FD73EE">
      <w:pPr>
        <w:tabs>
          <w:tab w:val="left" w:pos="-3060"/>
          <w:tab w:val="left" w:pos="450"/>
          <w:tab w:val="left" w:pos="720"/>
        </w:tabs>
        <w:suppressAutoHyphens/>
        <w:spacing w:line="240" w:lineRule="atLeast"/>
        <w:ind w:left="720"/>
        <w:rPr>
          <w:sz w:val="24"/>
          <w:szCs w:val="24"/>
        </w:rPr>
      </w:pPr>
    </w:p>
    <w:p w14:paraId="6CFBE1C0" w14:textId="77777777" w:rsidR="00FD73EE" w:rsidRPr="00C46EAC" w:rsidRDefault="00FD73EE" w:rsidP="00FD73EE">
      <w:pPr>
        <w:tabs>
          <w:tab w:val="left" w:pos="-3060"/>
          <w:tab w:val="left" w:pos="450"/>
          <w:tab w:val="left" w:pos="720"/>
        </w:tabs>
        <w:suppressAutoHyphens/>
        <w:spacing w:line="240" w:lineRule="atLeast"/>
        <w:ind w:left="720"/>
        <w:rPr>
          <w:sz w:val="24"/>
          <w:szCs w:val="24"/>
        </w:rPr>
      </w:pPr>
      <w:r w:rsidRPr="00C46EAC">
        <w:rPr>
          <w:sz w:val="24"/>
          <w:szCs w:val="24"/>
        </w:rPr>
        <w:t>Disclosure would substantially harm the competitive position of the person who submitted the information;</w:t>
      </w:r>
    </w:p>
    <w:p w14:paraId="16106B21" w14:textId="77777777" w:rsidR="00FD73EE" w:rsidRPr="00C46EAC" w:rsidRDefault="00FD73EE" w:rsidP="00555B69">
      <w:pPr>
        <w:tabs>
          <w:tab w:val="left" w:pos="-3060"/>
          <w:tab w:val="left" w:pos="450"/>
          <w:tab w:val="left" w:pos="720"/>
        </w:tabs>
        <w:suppressAutoHyphens/>
        <w:spacing w:line="240" w:lineRule="atLeast"/>
        <w:ind w:left="450"/>
        <w:rPr>
          <w:sz w:val="24"/>
          <w:szCs w:val="24"/>
        </w:rPr>
      </w:pPr>
    </w:p>
    <w:p w14:paraId="0EEA8584" w14:textId="77777777" w:rsidR="00FD73EE" w:rsidRPr="00C46EAC" w:rsidRDefault="00FD73EE" w:rsidP="00FD73EE">
      <w:pPr>
        <w:tabs>
          <w:tab w:val="left" w:pos="-3060"/>
          <w:tab w:val="left" w:pos="450"/>
          <w:tab w:val="left" w:pos="720"/>
        </w:tabs>
        <w:suppressAutoHyphens/>
        <w:spacing w:line="240" w:lineRule="atLeast"/>
        <w:ind w:left="720"/>
        <w:rPr>
          <w:sz w:val="24"/>
          <w:szCs w:val="24"/>
        </w:rPr>
      </w:pPr>
      <w:r w:rsidRPr="00C46EAC">
        <w:rPr>
          <w:sz w:val="24"/>
          <w:szCs w:val="24"/>
        </w:rPr>
        <w:t>Disclosure would impair other government interests, such as program effectiveness and compliance; or</w:t>
      </w:r>
    </w:p>
    <w:p w14:paraId="5610D917" w14:textId="77777777" w:rsidR="00FD73EE" w:rsidRPr="00C46EAC" w:rsidRDefault="00FD73EE" w:rsidP="00FD73EE">
      <w:pPr>
        <w:tabs>
          <w:tab w:val="left" w:pos="-3060"/>
          <w:tab w:val="left" w:pos="450"/>
          <w:tab w:val="left" w:pos="720"/>
        </w:tabs>
        <w:suppressAutoHyphens/>
        <w:spacing w:line="240" w:lineRule="atLeast"/>
        <w:ind w:left="720"/>
        <w:rPr>
          <w:sz w:val="24"/>
          <w:szCs w:val="24"/>
        </w:rPr>
      </w:pPr>
    </w:p>
    <w:p w14:paraId="5F6533C6" w14:textId="77777777" w:rsidR="00FD73EE" w:rsidRPr="00C46EAC" w:rsidRDefault="00FD73EE" w:rsidP="00FD73EE">
      <w:pPr>
        <w:tabs>
          <w:tab w:val="left" w:pos="-3060"/>
          <w:tab w:val="left" w:pos="450"/>
          <w:tab w:val="left" w:pos="720"/>
        </w:tabs>
        <w:suppressAutoHyphens/>
        <w:spacing w:line="240" w:lineRule="atLeast"/>
        <w:ind w:left="720"/>
        <w:rPr>
          <w:sz w:val="24"/>
          <w:szCs w:val="24"/>
        </w:rPr>
      </w:pPr>
      <w:r w:rsidRPr="00C46EAC">
        <w:rPr>
          <w:sz w:val="24"/>
          <w:szCs w:val="24"/>
        </w:rPr>
        <w:t>Disclosure would impair other private interests, such as an interest in controlling availability of intrinsically valuable records, which are sold in the market by their owner.</w:t>
      </w:r>
    </w:p>
    <w:p w14:paraId="48802CC3" w14:textId="77777777" w:rsidR="00FD73EE" w:rsidRPr="00C46EAC" w:rsidRDefault="00FD73EE" w:rsidP="00FD73EE">
      <w:pPr>
        <w:tabs>
          <w:tab w:val="left" w:pos="-3060"/>
          <w:tab w:val="left" w:pos="450"/>
          <w:tab w:val="left" w:pos="720"/>
        </w:tabs>
        <w:suppressAutoHyphens/>
        <w:spacing w:line="240" w:lineRule="atLeast"/>
        <w:ind w:left="450"/>
        <w:rPr>
          <w:sz w:val="24"/>
          <w:szCs w:val="24"/>
        </w:rPr>
      </w:pPr>
    </w:p>
    <w:p w14:paraId="78421C03" w14:textId="77777777" w:rsidR="00FD73EE" w:rsidRPr="00C46EAC" w:rsidRDefault="00FD73EE" w:rsidP="00FD73EE">
      <w:pPr>
        <w:tabs>
          <w:tab w:val="left" w:pos="-3060"/>
          <w:tab w:val="left" w:pos="450"/>
          <w:tab w:val="left" w:pos="720"/>
        </w:tabs>
        <w:suppressAutoHyphens/>
        <w:spacing w:line="240" w:lineRule="atLeast"/>
        <w:ind w:left="450"/>
        <w:rPr>
          <w:sz w:val="24"/>
          <w:szCs w:val="24"/>
        </w:rPr>
      </w:pPr>
      <w:r w:rsidRPr="00C46EAC">
        <w:rPr>
          <w:sz w:val="24"/>
          <w:szCs w:val="24"/>
        </w:rPr>
        <w:t>The following questions may be relevant in analyzing whether a record meets one or more of the above tests: Is the information of a type customarily held in strict confidence and not disclosed to the public by the person to whom it belongs? What is the general custom or usage with respect to such information in the relevant occupation or business? How many, and what types of individuals have access to the information? What kind and degree of financial injury can be expected if the information is disclosed?”</w:t>
      </w:r>
    </w:p>
    <w:p w14:paraId="1B39A3DE"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0D502A08" w14:textId="77777777" w:rsidR="00CA01E6" w:rsidRPr="00C46EAC" w:rsidRDefault="00675D62"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This </w:t>
      </w:r>
      <w:r w:rsidR="00CA01E6" w:rsidRPr="00C46EAC">
        <w:rPr>
          <w:sz w:val="24"/>
          <w:szCs w:val="24"/>
        </w:rPr>
        <w:t xml:space="preserve">information is not published in a manner that identifies individual business decisions, unless otherwise indicated.  Information provided for the CMS beneficiary education campaign (i.e., </w:t>
      </w:r>
      <w:hyperlink r:id="rId14" w:history="1">
        <w:r w:rsidR="00F8195B" w:rsidRPr="00C46EAC">
          <w:rPr>
            <w:rStyle w:val="Hyperlink"/>
            <w:sz w:val="24"/>
            <w:szCs w:val="24"/>
          </w:rPr>
          <w:t>www.medicare.gov</w:t>
        </w:r>
      </w:hyperlink>
      <w:r w:rsidR="00F8195B" w:rsidRPr="00C46EAC">
        <w:rPr>
          <w:sz w:val="24"/>
          <w:szCs w:val="24"/>
        </w:rPr>
        <w:t xml:space="preserve"> </w:t>
      </w:r>
      <w:r w:rsidR="00CA01E6" w:rsidRPr="00C46EAC">
        <w:rPr>
          <w:sz w:val="24"/>
          <w:szCs w:val="24"/>
        </w:rPr>
        <w:t xml:space="preserve">and the </w:t>
      </w:r>
      <w:r w:rsidR="00CA01E6" w:rsidRPr="00C46EAC">
        <w:rPr>
          <w:i/>
          <w:sz w:val="24"/>
          <w:szCs w:val="24"/>
        </w:rPr>
        <w:t>Medicare &amp; You</w:t>
      </w:r>
      <w:r w:rsidR="00CA01E6" w:rsidRPr="00C46EAC">
        <w:rPr>
          <w:sz w:val="24"/>
          <w:szCs w:val="24"/>
        </w:rPr>
        <w:t xml:space="preserve"> handbook) is published no earlier than </w:t>
      </w:r>
      <w:r w:rsidR="00A01CDC" w:rsidRPr="00C46EAC">
        <w:rPr>
          <w:sz w:val="24"/>
          <w:szCs w:val="24"/>
        </w:rPr>
        <w:t xml:space="preserve">the </w:t>
      </w:r>
      <w:r w:rsidR="00CA01E6" w:rsidRPr="00C46EAC">
        <w:rPr>
          <w:sz w:val="24"/>
          <w:szCs w:val="24"/>
        </w:rPr>
        <w:t xml:space="preserve">time frames required for the legislatively mandated </w:t>
      </w:r>
      <w:r w:rsidR="009B52F9" w:rsidRPr="00C46EAC">
        <w:rPr>
          <w:sz w:val="24"/>
          <w:szCs w:val="24"/>
        </w:rPr>
        <w:t>annual enrollment period</w:t>
      </w:r>
      <w:r w:rsidR="00CA01E6" w:rsidRPr="00C46EAC">
        <w:rPr>
          <w:sz w:val="24"/>
          <w:szCs w:val="24"/>
        </w:rPr>
        <w:t xml:space="preserve">.  </w:t>
      </w:r>
      <w:r w:rsidR="00935BAB" w:rsidRPr="00C46EAC">
        <w:rPr>
          <w:sz w:val="24"/>
          <w:szCs w:val="24"/>
        </w:rPr>
        <w:t xml:space="preserve">The PBP software </w:t>
      </w:r>
      <w:r w:rsidR="00DB6820" w:rsidRPr="00C46EAC">
        <w:rPr>
          <w:sz w:val="24"/>
          <w:szCs w:val="24"/>
        </w:rPr>
        <w:t xml:space="preserve">identifies for the user </w:t>
      </w:r>
      <w:r w:rsidR="003C61DD" w:rsidRPr="00C46EAC">
        <w:rPr>
          <w:sz w:val="24"/>
          <w:szCs w:val="24"/>
        </w:rPr>
        <w:t>the</w:t>
      </w:r>
      <w:r w:rsidR="008A3D05" w:rsidRPr="00C46EAC">
        <w:rPr>
          <w:sz w:val="24"/>
          <w:szCs w:val="24"/>
        </w:rPr>
        <w:t xml:space="preserve"> </w:t>
      </w:r>
      <w:r w:rsidR="00DB6820" w:rsidRPr="00C46EAC">
        <w:rPr>
          <w:sz w:val="24"/>
          <w:szCs w:val="24"/>
        </w:rPr>
        <w:t xml:space="preserve">specific </w:t>
      </w:r>
      <w:r w:rsidR="00935BAB" w:rsidRPr="00C46EAC">
        <w:rPr>
          <w:sz w:val="24"/>
          <w:szCs w:val="24"/>
        </w:rPr>
        <w:t xml:space="preserve">data </w:t>
      </w:r>
      <w:r w:rsidR="00CA01E6" w:rsidRPr="00C46EAC">
        <w:rPr>
          <w:sz w:val="24"/>
          <w:szCs w:val="24"/>
        </w:rPr>
        <w:t xml:space="preserve">elements </w:t>
      </w:r>
      <w:r w:rsidR="00935BAB" w:rsidRPr="00C46EAC">
        <w:rPr>
          <w:sz w:val="24"/>
          <w:szCs w:val="24"/>
        </w:rPr>
        <w:t xml:space="preserve">that are </w:t>
      </w:r>
      <w:r w:rsidR="00CA01E6" w:rsidRPr="00C46EAC">
        <w:rPr>
          <w:sz w:val="24"/>
          <w:szCs w:val="24"/>
        </w:rPr>
        <w:t xml:space="preserve">used for the </w:t>
      </w:r>
      <w:r w:rsidR="00935BAB" w:rsidRPr="00C46EAC">
        <w:rPr>
          <w:sz w:val="24"/>
          <w:szCs w:val="24"/>
        </w:rPr>
        <w:t xml:space="preserve">beneficiary education </w:t>
      </w:r>
      <w:r w:rsidR="00CA01E6" w:rsidRPr="00C46EAC">
        <w:rPr>
          <w:sz w:val="24"/>
          <w:szCs w:val="24"/>
        </w:rPr>
        <w:t xml:space="preserve">campaign.  </w:t>
      </w:r>
    </w:p>
    <w:p w14:paraId="57693917" w14:textId="77777777" w:rsidR="00F8195B" w:rsidRPr="00C46EAC" w:rsidRDefault="00F8195B" w:rsidP="00EE2110">
      <w:pPr>
        <w:tabs>
          <w:tab w:val="left" w:pos="-3060"/>
          <w:tab w:val="left" w:pos="0"/>
          <w:tab w:val="left" w:pos="432"/>
          <w:tab w:val="left" w:pos="720"/>
        </w:tabs>
        <w:suppressAutoHyphens/>
        <w:spacing w:line="240" w:lineRule="atLeast"/>
        <w:rPr>
          <w:sz w:val="24"/>
          <w:szCs w:val="24"/>
        </w:rPr>
      </w:pPr>
    </w:p>
    <w:p w14:paraId="7AC00C6E"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11. Sensitive Questions</w:t>
      </w:r>
    </w:p>
    <w:p w14:paraId="34A9D970"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730772BA"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There are no sensitive questions included in this collection effort. </w:t>
      </w:r>
    </w:p>
    <w:p w14:paraId="7FC94FFD"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90E9804"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12. Burden Estimate (Total Hours &amp; Wages)</w:t>
      </w:r>
    </w:p>
    <w:p w14:paraId="45C83246" w14:textId="3D2B86C0" w:rsidR="00301474" w:rsidRPr="0048264B" w:rsidRDefault="00301474" w:rsidP="0048264B">
      <w:pPr>
        <w:pStyle w:val="BodyText"/>
        <w:suppressAutoHyphens w:val="0"/>
        <w:spacing w:line="240" w:lineRule="auto"/>
        <w:rPr>
          <w:i/>
        </w:rPr>
      </w:pPr>
    </w:p>
    <w:p w14:paraId="5F07779F" w14:textId="247FDCC9" w:rsidR="00B5670A" w:rsidRPr="00B5670A" w:rsidRDefault="00B5670A" w:rsidP="00B5670A">
      <w:pPr>
        <w:pStyle w:val="BodyText"/>
        <w:rPr>
          <w:i/>
        </w:rPr>
      </w:pPr>
      <w:r>
        <w:rPr>
          <w:i/>
        </w:rPr>
        <w:t>Wage Estimates</w:t>
      </w:r>
    </w:p>
    <w:p w14:paraId="3C84F783" w14:textId="77777777" w:rsidR="00B5670A" w:rsidRPr="00B5670A" w:rsidRDefault="00B5670A" w:rsidP="00B5670A">
      <w:pPr>
        <w:pStyle w:val="BodyText"/>
      </w:pPr>
    </w:p>
    <w:p w14:paraId="49DD4ABE" w14:textId="3EBD1042" w:rsidR="00B5670A" w:rsidRPr="00B5670A" w:rsidRDefault="00B5670A" w:rsidP="00B5670A">
      <w:pPr>
        <w:pStyle w:val="BodyText"/>
      </w:pPr>
      <w:r w:rsidRPr="00B5670A">
        <w:t>To derive average costs for the private sector, we used data from the U.S. Bureau of Labor Statistics' (BLS's) May 2017 National Occupational Employment and Wage Estimates for all salary estimates (http://www.bls.gov/oes/current/oes_nat.htm). In this regard, Table 2 presents the mean hourly wage, the cost of fringe benefits and overhead (calculated at 100 percent of salary), and the adjusted hourly wage.</w:t>
      </w:r>
    </w:p>
    <w:p w14:paraId="0FD8C620" w14:textId="0A3578B8" w:rsidR="00B5670A" w:rsidRPr="00B5670A" w:rsidRDefault="00B5670A" w:rsidP="00AF0098">
      <w:pPr>
        <w:pStyle w:val="BodyText"/>
        <w:suppressAutoHyphens w:val="0"/>
        <w:spacing w:line="240" w:lineRule="auto"/>
      </w:pPr>
    </w:p>
    <w:p w14:paraId="6DFC1FE0" w14:textId="36F1AD60" w:rsidR="00CF27DE" w:rsidRPr="003D1FC1" w:rsidRDefault="00CF27DE" w:rsidP="00CF27DE">
      <w:pPr>
        <w:keepNext/>
        <w:jc w:val="center"/>
        <w:rPr>
          <w:b/>
        </w:rPr>
      </w:pPr>
      <w:r w:rsidRPr="003D1FC1">
        <w:rPr>
          <w:b/>
        </w:rPr>
        <w:t>NATIONAL OCCUPATIONAL EMPLOYMENT AND WAGE ESTIMATES</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1107"/>
        <w:gridCol w:w="1350"/>
        <w:gridCol w:w="1440"/>
        <w:gridCol w:w="1440"/>
      </w:tblGrid>
      <w:tr w:rsidR="00CF27DE" w:rsidRPr="003D1FC1" w14:paraId="61209F3E" w14:textId="77777777" w:rsidTr="001F2972">
        <w:trPr>
          <w:tblHeader/>
        </w:trPr>
        <w:tc>
          <w:tcPr>
            <w:tcW w:w="4203" w:type="dxa"/>
            <w:tcBorders>
              <w:top w:val="single" w:sz="4" w:space="0" w:color="auto"/>
              <w:left w:val="single" w:sz="4" w:space="0" w:color="auto"/>
              <w:bottom w:val="single" w:sz="4" w:space="0" w:color="auto"/>
              <w:right w:val="single" w:sz="4" w:space="0" w:color="auto"/>
            </w:tcBorders>
            <w:vAlign w:val="bottom"/>
            <w:hideMark/>
          </w:tcPr>
          <w:p w14:paraId="7C5FD386" w14:textId="77777777" w:rsidR="00CF27DE" w:rsidRPr="003D1FC1" w:rsidRDefault="00CF27DE" w:rsidP="001F2972">
            <w:pPr>
              <w:jc w:val="center"/>
              <w:rPr>
                <w:b/>
                <w:snapToGrid w:val="0"/>
                <w:sz w:val="18"/>
                <w:szCs w:val="18"/>
              </w:rPr>
            </w:pPr>
            <w:r w:rsidRPr="003D1FC1">
              <w:rPr>
                <w:b/>
                <w:snapToGrid w:val="0"/>
                <w:sz w:val="18"/>
                <w:szCs w:val="18"/>
              </w:rPr>
              <w:t>Occupation Title</w:t>
            </w:r>
          </w:p>
        </w:tc>
        <w:tc>
          <w:tcPr>
            <w:tcW w:w="1107" w:type="dxa"/>
            <w:tcBorders>
              <w:top w:val="single" w:sz="4" w:space="0" w:color="auto"/>
              <w:left w:val="single" w:sz="4" w:space="0" w:color="auto"/>
              <w:bottom w:val="single" w:sz="4" w:space="0" w:color="auto"/>
              <w:right w:val="single" w:sz="4" w:space="0" w:color="auto"/>
            </w:tcBorders>
            <w:vAlign w:val="bottom"/>
            <w:hideMark/>
          </w:tcPr>
          <w:p w14:paraId="0342C554" w14:textId="77777777" w:rsidR="00CF27DE" w:rsidRPr="003D1FC1" w:rsidRDefault="00CF27DE" w:rsidP="001F2972">
            <w:pPr>
              <w:keepNext/>
              <w:jc w:val="center"/>
              <w:rPr>
                <w:b/>
                <w:snapToGrid w:val="0"/>
                <w:sz w:val="18"/>
                <w:szCs w:val="18"/>
              </w:rPr>
            </w:pPr>
            <w:r w:rsidRPr="003D1FC1">
              <w:rPr>
                <w:b/>
                <w:snapToGrid w:val="0"/>
                <w:sz w:val="18"/>
                <w:szCs w:val="18"/>
              </w:rPr>
              <w:t>Occupation Code</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398CE8E" w14:textId="77777777" w:rsidR="00CF27DE" w:rsidRPr="003D1FC1" w:rsidRDefault="00CF27DE" w:rsidP="001F2972">
            <w:pPr>
              <w:keepNext/>
              <w:jc w:val="center"/>
              <w:rPr>
                <w:b/>
                <w:snapToGrid w:val="0"/>
                <w:sz w:val="18"/>
                <w:szCs w:val="18"/>
              </w:rPr>
            </w:pPr>
            <w:r w:rsidRPr="003D1FC1">
              <w:rPr>
                <w:b/>
                <w:snapToGrid w:val="0"/>
                <w:sz w:val="18"/>
                <w:szCs w:val="18"/>
              </w:rPr>
              <w:t xml:space="preserve">Mean Hourly Wage </w:t>
            </w:r>
          </w:p>
          <w:p w14:paraId="0838E96B" w14:textId="77777777" w:rsidR="00CF27DE" w:rsidRPr="003D1FC1" w:rsidRDefault="00CF27DE" w:rsidP="001F2972">
            <w:pPr>
              <w:keepNext/>
              <w:jc w:val="center"/>
              <w:rPr>
                <w:b/>
                <w:snapToGrid w:val="0"/>
                <w:sz w:val="18"/>
                <w:szCs w:val="18"/>
              </w:rPr>
            </w:pPr>
            <w:r w:rsidRPr="003D1FC1">
              <w:rPr>
                <w:b/>
                <w:snapToGrid w:val="0"/>
                <w:sz w:val="18"/>
                <w:szCs w:val="18"/>
              </w:rPr>
              <w:t>($/hr)</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A5F7176" w14:textId="77777777" w:rsidR="00CF27DE" w:rsidRPr="003D1FC1" w:rsidRDefault="00CF27DE" w:rsidP="001F2972">
            <w:pPr>
              <w:keepNext/>
              <w:jc w:val="center"/>
              <w:rPr>
                <w:b/>
                <w:snapToGrid w:val="0"/>
                <w:sz w:val="18"/>
                <w:szCs w:val="18"/>
              </w:rPr>
            </w:pPr>
            <w:r w:rsidRPr="003D1FC1">
              <w:rPr>
                <w:b/>
                <w:snapToGrid w:val="0"/>
                <w:sz w:val="18"/>
                <w:szCs w:val="18"/>
              </w:rPr>
              <w:t xml:space="preserve"> Benefits and Overhead ($/hr)</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A906934" w14:textId="77777777" w:rsidR="00CF27DE" w:rsidRPr="003D1FC1" w:rsidRDefault="00CF27DE" w:rsidP="001F2972">
            <w:pPr>
              <w:keepNext/>
              <w:jc w:val="center"/>
              <w:rPr>
                <w:b/>
                <w:snapToGrid w:val="0"/>
                <w:sz w:val="18"/>
                <w:szCs w:val="18"/>
              </w:rPr>
            </w:pPr>
            <w:r w:rsidRPr="003D1FC1">
              <w:rPr>
                <w:b/>
                <w:snapToGrid w:val="0"/>
                <w:sz w:val="18"/>
                <w:szCs w:val="18"/>
              </w:rPr>
              <w:t>Adjusted Hourly Wage ($/hr)</w:t>
            </w:r>
          </w:p>
        </w:tc>
      </w:tr>
      <w:tr w:rsidR="00CF27DE" w:rsidRPr="003D1FC1" w14:paraId="23BC4A64" w14:textId="77777777" w:rsidTr="001F2972">
        <w:tc>
          <w:tcPr>
            <w:tcW w:w="4203" w:type="dxa"/>
            <w:tcBorders>
              <w:top w:val="single" w:sz="4" w:space="0" w:color="auto"/>
              <w:left w:val="single" w:sz="4" w:space="0" w:color="auto"/>
              <w:bottom w:val="single" w:sz="4" w:space="0" w:color="auto"/>
              <w:right w:val="single" w:sz="4" w:space="0" w:color="auto"/>
            </w:tcBorders>
            <w:vAlign w:val="bottom"/>
          </w:tcPr>
          <w:p w14:paraId="00A96F5A" w14:textId="77777777" w:rsidR="00CF27DE" w:rsidRPr="003D1FC1" w:rsidRDefault="00CF27DE" w:rsidP="001F2972">
            <w:pPr>
              <w:keepNext/>
              <w:rPr>
                <w:snapToGrid w:val="0"/>
                <w:sz w:val="18"/>
                <w:szCs w:val="18"/>
              </w:rPr>
            </w:pPr>
            <w:r w:rsidRPr="003D1FC1">
              <w:rPr>
                <w:snapToGrid w:val="0"/>
                <w:sz w:val="18"/>
                <w:szCs w:val="18"/>
              </w:rPr>
              <w:t>Pharmacist</w:t>
            </w:r>
          </w:p>
        </w:tc>
        <w:tc>
          <w:tcPr>
            <w:tcW w:w="1107" w:type="dxa"/>
            <w:tcBorders>
              <w:top w:val="single" w:sz="4" w:space="0" w:color="auto"/>
              <w:left w:val="single" w:sz="4" w:space="0" w:color="auto"/>
              <w:bottom w:val="single" w:sz="4" w:space="0" w:color="auto"/>
              <w:right w:val="single" w:sz="4" w:space="0" w:color="auto"/>
            </w:tcBorders>
            <w:vAlign w:val="bottom"/>
          </w:tcPr>
          <w:p w14:paraId="7F2173A9" w14:textId="77777777" w:rsidR="00CF27DE" w:rsidRPr="003D1FC1" w:rsidRDefault="00CF27DE" w:rsidP="001F2972">
            <w:pPr>
              <w:keepNext/>
              <w:jc w:val="right"/>
              <w:rPr>
                <w:snapToGrid w:val="0"/>
                <w:sz w:val="18"/>
                <w:szCs w:val="18"/>
              </w:rPr>
            </w:pPr>
            <w:r w:rsidRPr="003D1FC1">
              <w:rPr>
                <w:snapToGrid w:val="0"/>
                <w:sz w:val="18"/>
                <w:szCs w:val="18"/>
              </w:rPr>
              <w:t>29-1051</w:t>
            </w:r>
          </w:p>
        </w:tc>
        <w:tc>
          <w:tcPr>
            <w:tcW w:w="1350" w:type="dxa"/>
            <w:tcBorders>
              <w:top w:val="single" w:sz="4" w:space="0" w:color="auto"/>
              <w:left w:val="single" w:sz="4" w:space="0" w:color="auto"/>
              <w:bottom w:val="single" w:sz="4" w:space="0" w:color="auto"/>
              <w:right w:val="single" w:sz="4" w:space="0" w:color="auto"/>
            </w:tcBorders>
            <w:vAlign w:val="bottom"/>
          </w:tcPr>
          <w:p w14:paraId="415F126D" w14:textId="77777777" w:rsidR="00CF27DE" w:rsidRPr="003D1FC1" w:rsidRDefault="00CF27DE" w:rsidP="001F2972">
            <w:pPr>
              <w:keepNext/>
              <w:jc w:val="right"/>
              <w:rPr>
                <w:snapToGrid w:val="0"/>
                <w:sz w:val="18"/>
                <w:szCs w:val="18"/>
              </w:rPr>
            </w:pPr>
            <w:r w:rsidRPr="003D1FC1">
              <w:rPr>
                <w:snapToGrid w:val="0"/>
                <w:sz w:val="18"/>
                <w:szCs w:val="18"/>
              </w:rPr>
              <w:t>58.52</w:t>
            </w:r>
          </w:p>
        </w:tc>
        <w:tc>
          <w:tcPr>
            <w:tcW w:w="1440" w:type="dxa"/>
            <w:tcBorders>
              <w:top w:val="single" w:sz="4" w:space="0" w:color="auto"/>
              <w:left w:val="single" w:sz="4" w:space="0" w:color="auto"/>
              <w:bottom w:val="single" w:sz="4" w:space="0" w:color="auto"/>
              <w:right w:val="single" w:sz="4" w:space="0" w:color="auto"/>
            </w:tcBorders>
            <w:vAlign w:val="bottom"/>
          </w:tcPr>
          <w:p w14:paraId="7752A5F4" w14:textId="77777777" w:rsidR="00CF27DE" w:rsidRPr="003D1FC1" w:rsidRDefault="00CF27DE" w:rsidP="001F2972">
            <w:pPr>
              <w:keepNext/>
              <w:jc w:val="right"/>
              <w:rPr>
                <w:snapToGrid w:val="0"/>
                <w:sz w:val="18"/>
                <w:szCs w:val="18"/>
              </w:rPr>
            </w:pPr>
            <w:r w:rsidRPr="003D1FC1">
              <w:rPr>
                <w:snapToGrid w:val="0"/>
                <w:sz w:val="18"/>
                <w:szCs w:val="18"/>
              </w:rPr>
              <w:t>58.52</w:t>
            </w:r>
          </w:p>
        </w:tc>
        <w:tc>
          <w:tcPr>
            <w:tcW w:w="1440" w:type="dxa"/>
            <w:tcBorders>
              <w:top w:val="single" w:sz="4" w:space="0" w:color="auto"/>
              <w:left w:val="single" w:sz="4" w:space="0" w:color="auto"/>
              <w:bottom w:val="single" w:sz="4" w:space="0" w:color="auto"/>
              <w:right w:val="single" w:sz="4" w:space="0" w:color="auto"/>
            </w:tcBorders>
            <w:vAlign w:val="bottom"/>
          </w:tcPr>
          <w:p w14:paraId="38B570FC" w14:textId="77777777" w:rsidR="00CF27DE" w:rsidRPr="003D1FC1" w:rsidRDefault="00CF27DE" w:rsidP="001F2972">
            <w:pPr>
              <w:keepNext/>
              <w:jc w:val="right"/>
              <w:rPr>
                <w:snapToGrid w:val="0"/>
                <w:sz w:val="18"/>
                <w:szCs w:val="18"/>
              </w:rPr>
            </w:pPr>
            <w:r w:rsidRPr="003D1FC1">
              <w:rPr>
                <w:snapToGrid w:val="0"/>
                <w:sz w:val="18"/>
                <w:szCs w:val="18"/>
              </w:rPr>
              <w:t>117.04</w:t>
            </w:r>
          </w:p>
        </w:tc>
      </w:tr>
    </w:tbl>
    <w:p w14:paraId="56C58F35" w14:textId="7413C97B" w:rsidR="00B5670A" w:rsidRPr="00B5670A" w:rsidRDefault="00B5670A" w:rsidP="00AF0098">
      <w:pPr>
        <w:pStyle w:val="BodyText"/>
        <w:suppressAutoHyphens w:val="0"/>
        <w:spacing w:line="240" w:lineRule="auto"/>
      </w:pPr>
    </w:p>
    <w:p w14:paraId="36255CBC" w14:textId="233FEC33" w:rsidR="00B5670A" w:rsidRPr="00B5670A" w:rsidRDefault="00B5670A" w:rsidP="00B5670A">
      <w:pPr>
        <w:pStyle w:val="BodyText"/>
      </w:pPr>
      <w: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w:t>
      </w:r>
    </w:p>
    <w:p w14:paraId="5E0A9C8A" w14:textId="77777777" w:rsidR="00B5670A" w:rsidRPr="00B5670A" w:rsidRDefault="00B5670A" w:rsidP="00AF0098">
      <w:pPr>
        <w:pStyle w:val="BodyText"/>
        <w:suppressAutoHyphens w:val="0"/>
        <w:spacing w:line="240" w:lineRule="auto"/>
      </w:pPr>
    </w:p>
    <w:p w14:paraId="1B3E10F4" w14:textId="29AAF80E" w:rsidR="00AF0098" w:rsidRDefault="00301474" w:rsidP="00AF0098">
      <w:pPr>
        <w:pStyle w:val="BodyText"/>
        <w:suppressAutoHyphens w:val="0"/>
        <w:spacing w:line="240" w:lineRule="auto"/>
        <w:rPr>
          <w:i/>
        </w:rPr>
      </w:pPr>
      <w:r>
        <w:rPr>
          <w:i/>
        </w:rPr>
        <w:t xml:space="preserve">Requirements and Associated </w:t>
      </w:r>
      <w:r w:rsidR="00AF0098" w:rsidRPr="00C46EAC">
        <w:rPr>
          <w:i/>
        </w:rPr>
        <w:t>Burden</w:t>
      </w:r>
      <w:r>
        <w:rPr>
          <w:i/>
        </w:rPr>
        <w:t xml:space="preserve"> Estimates</w:t>
      </w:r>
    </w:p>
    <w:p w14:paraId="4527A905" w14:textId="77777777" w:rsidR="00301474" w:rsidRPr="0048264B" w:rsidRDefault="00301474" w:rsidP="0048264B">
      <w:pPr>
        <w:tabs>
          <w:tab w:val="left" w:pos="-3060"/>
          <w:tab w:val="left" w:pos="0"/>
          <w:tab w:val="left" w:pos="432"/>
          <w:tab w:val="left" w:pos="720"/>
        </w:tabs>
        <w:suppressAutoHyphens/>
        <w:spacing w:line="240" w:lineRule="atLeast"/>
        <w:rPr>
          <w:sz w:val="24"/>
        </w:rPr>
      </w:pPr>
    </w:p>
    <w:p w14:paraId="1D8BF957" w14:textId="3060FB60" w:rsidR="00301474" w:rsidRPr="00C46EAC" w:rsidRDefault="00301474" w:rsidP="00301474">
      <w:pPr>
        <w:pStyle w:val="BodyText"/>
        <w:suppressAutoHyphens w:val="0"/>
        <w:spacing w:line="240" w:lineRule="auto"/>
      </w:pPr>
      <w:r w:rsidRPr="00C46EAC">
        <w:t>The estimates for “number of respondents” and “average number of responses per respondent” are based on the previous years’ bid submissions.</w:t>
      </w:r>
    </w:p>
    <w:p w14:paraId="1DE92DE3" w14:textId="77777777" w:rsidR="00301474" w:rsidRPr="00C46EAC" w:rsidRDefault="00301474" w:rsidP="00301474">
      <w:pPr>
        <w:tabs>
          <w:tab w:val="left" w:pos="-3060"/>
          <w:tab w:val="left" w:pos="0"/>
          <w:tab w:val="left" w:pos="432"/>
          <w:tab w:val="left" w:pos="720"/>
        </w:tabs>
        <w:suppressAutoHyphens/>
        <w:spacing w:line="240" w:lineRule="atLeast"/>
        <w:rPr>
          <w:sz w:val="24"/>
          <w:szCs w:val="24"/>
        </w:rPr>
      </w:pPr>
    </w:p>
    <w:p w14:paraId="1592288C" w14:textId="77777777" w:rsidR="00301474" w:rsidRPr="00C46EAC" w:rsidRDefault="00301474" w:rsidP="00301474">
      <w:pPr>
        <w:tabs>
          <w:tab w:val="left" w:pos="-3060"/>
          <w:tab w:val="left" w:pos="0"/>
          <w:tab w:val="left" w:pos="432"/>
          <w:tab w:val="left" w:pos="720"/>
        </w:tabs>
        <w:suppressAutoHyphens/>
        <w:spacing w:line="240" w:lineRule="atLeast"/>
        <w:rPr>
          <w:sz w:val="24"/>
          <w:szCs w:val="24"/>
        </w:rPr>
      </w:pPr>
      <w:r w:rsidRPr="00C46EAC">
        <w:rPr>
          <w:sz w:val="24"/>
          <w:szCs w:val="24"/>
        </w:rPr>
        <w:t xml:space="preserve">The estimated </w:t>
      </w:r>
      <w:r w:rsidRPr="00FF07C3">
        <w:rPr>
          <w:sz w:val="24"/>
          <w:szCs w:val="24"/>
        </w:rPr>
        <w:t xml:space="preserve">hour burden for the PBP and </w:t>
      </w:r>
      <w:r w:rsidRPr="00A676F4">
        <w:rPr>
          <w:sz w:val="24"/>
          <w:szCs w:val="24"/>
        </w:rPr>
        <w:t>formulary submissions for CY 2020 is 65,354.5 total burden hours, or 114</w:t>
      </w:r>
      <w:r w:rsidRPr="00FF07C3">
        <w:rPr>
          <w:sz w:val="24"/>
          <w:szCs w:val="24"/>
        </w:rPr>
        <w:t>.</w:t>
      </w:r>
      <w:r w:rsidRPr="00A676F4">
        <w:rPr>
          <w:sz w:val="24"/>
          <w:szCs w:val="24"/>
        </w:rPr>
        <w:t>6</w:t>
      </w:r>
      <w:r w:rsidRPr="00FF07C3">
        <w:rPr>
          <w:sz w:val="24"/>
          <w:szCs w:val="24"/>
        </w:rPr>
        <w:t xml:space="preserve">6 </w:t>
      </w:r>
      <w:r w:rsidRPr="00A676F4">
        <w:rPr>
          <w:sz w:val="24"/>
          <w:szCs w:val="24"/>
        </w:rPr>
        <w:t>hours</w:t>
      </w:r>
      <w:r w:rsidRPr="00C46EAC">
        <w:rPr>
          <w:sz w:val="24"/>
          <w:szCs w:val="24"/>
        </w:rPr>
        <w:t xml:space="preserve"> per organization.</w:t>
      </w:r>
    </w:p>
    <w:p w14:paraId="232A367D" w14:textId="77777777" w:rsidR="00301474" w:rsidRPr="00C46EAC" w:rsidRDefault="00301474" w:rsidP="00301474">
      <w:pPr>
        <w:widowControl/>
        <w:rPr>
          <w:rFonts w:ascii="Tahoma" w:hAnsi="Tahoma" w:cs="Tahoma"/>
          <w:sz w:val="17"/>
          <w:szCs w:val="17"/>
        </w:rPr>
      </w:pPr>
    </w:p>
    <w:p w14:paraId="257912A8" w14:textId="38CF216C" w:rsidR="00301474" w:rsidRPr="00C46EAC" w:rsidRDefault="00301474" w:rsidP="00301474">
      <w:pPr>
        <w:widowControl/>
        <w:numPr>
          <w:ilvl w:val="0"/>
          <w:numId w:val="19"/>
        </w:numPr>
        <w:rPr>
          <w:sz w:val="24"/>
          <w:szCs w:val="24"/>
        </w:rPr>
      </w:pPr>
      <w:r w:rsidRPr="00C46EAC">
        <w:rPr>
          <w:sz w:val="24"/>
          <w:szCs w:val="24"/>
        </w:rPr>
        <w:t>5</w:t>
      </w:r>
      <w:r>
        <w:rPr>
          <w:sz w:val="24"/>
          <w:szCs w:val="24"/>
        </w:rPr>
        <w:t>70</w:t>
      </w:r>
      <w:r w:rsidRPr="00C46EAC">
        <w:rPr>
          <w:sz w:val="24"/>
          <w:szCs w:val="24"/>
        </w:rPr>
        <w:t xml:space="preserve"> Organization </w:t>
      </w:r>
      <w:r>
        <w:rPr>
          <w:sz w:val="24"/>
          <w:szCs w:val="24"/>
        </w:rPr>
        <w:t>(532</w:t>
      </w:r>
      <w:r w:rsidRPr="00C46EAC">
        <w:rPr>
          <w:sz w:val="24"/>
          <w:szCs w:val="24"/>
        </w:rPr>
        <w:t xml:space="preserve"> Medicare Advantage + 3</w:t>
      </w:r>
      <w:r>
        <w:rPr>
          <w:sz w:val="24"/>
          <w:szCs w:val="24"/>
        </w:rPr>
        <w:t>8</w:t>
      </w:r>
      <w:r w:rsidRPr="00C46EAC">
        <w:rPr>
          <w:sz w:val="24"/>
          <w:szCs w:val="24"/>
        </w:rPr>
        <w:t xml:space="preserve"> </w:t>
      </w:r>
      <w:r w:rsidRPr="0048264B">
        <w:rPr>
          <w:sz w:val="24"/>
        </w:rPr>
        <w:t xml:space="preserve">Prescription Drug </w:t>
      </w:r>
      <w:r w:rsidRPr="00C46EAC">
        <w:rPr>
          <w:sz w:val="24"/>
          <w:szCs w:val="24"/>
        </w:rPr>
        <w:t>Plans</w:t>
      </w:r>
      <w:r>
        <w:rPr>
          <w:sz w:val="24"/>
          <w:szCs w:val="24"/>
        </w:rPr>
        <w:t>)</w:t>
      </w:r>
    </w:p>
    <w:p w14:paraId="30CD882E" w14:textId="77777777" w:rsidR="00301474" w:rsidRPr="00C46EAC" w:rsidRDefault="00301474" w:rsidP="00301474">
      <w:pPr>
        <w:widowControl/>
        <w:numPr>
          <w:ilvl w:val="0"/>
          <w:numId w:val="19"/>
        </w:numPr>
        <w:rPr>
          <w:sz w:val="24"/>
          <w:szCs w:val="24"/>
        </w:rPr>
      </w:pPr>
      <w:r>
        <w:rPr>
          <w:sz w:val="24"/>
          <w:szCs w:val="24"/>
        </w:rPr>
        <w:t>11</w:t>
      </w:r>
      <w:r w:rsidRPr="00C46EAC">
        <w:rPr>
          <w:sz w:val="24"/>
          <w:szCs w:val="24"/>
        </w:rPr>
        <w:t xml:space="preserve"> plans/PBPs per organization</w:t>
      </w:r>
      <w:r w:rsidRPr="00C46EAC">
        <w:rPr>
          <w:sz w:val="18"/>
          <w:szCs w:val="24"/>
        </w:rPr>
        <w:t>*</w:t>
      </w:r>
    </w:p>
    <w:p w14:paraId="57EE1BAF" w14:textId="77777777" w:rsidR="00301474" w:rsidRPr="00C46EAC" w:rsidRDefault="00301474" w:rsidP="00301474">
      <w:pPr>
        <w:widowControl/>
        <w:numPr>
          <w:ilvl w:val="0"/>
          <w:numId w:val="19"/>
        </w:numPr>
        <w:rPr>
          <w:sz w:val="24"/>
          <w:szCs w:val="24"/>
        </w:rPr>
      </w:pPr>
      <w:r w:rsidRPr="00C07950">
        <w:rPr>
          <w:sz w:val="24"/>
          <w:szCs w:val="24"/>
        </w:rPr>
        <w:t>493</w:t>
      </w:r>
      <w:r w:rsidRPr="00C46EAC">
        <w:rPr>
          <w:sz w:val="24"/>
          <w:szCs w:val="24"/>
        </w:rPr>
        <w:t xml:space="preserve"> Formulary submissions</w:t>
      </w:r>
      <w:r w:rsidRPr="00C46EAC">
        <w:rPr>
          <w:sz w:val="18"/>
          <w:szCs w:val="24"/>
        </w:rPr>
        <w:t>*</w:t>
      </w:r>
    </w:p>
    <w:p w14:paraId="64A8F3A5" w14:textId="669ED60E" w:rsidR="00301474" w:rsidRPr="00C46EAC" w:rsidRDefault="00301474" w:rsidP="00301474">
      <w:pPr>
        <w:widowControl/>
        <w:numPr>
          <w:ilvl w:val="0"/>
          <w:numId w:val="19"/>
        </w:numPr>
        <w:rPr>
          <w:sz w:val="24"/>
          <w:szCs w:val="24"/>
        </w:rPr>
      </w:pPr>
      <w:r w:rsidRPr="00C07950">
        <w:rPr>
          <w:sz w:val="24"/>
          <w:szCs w:val="24"/>
        </w:rPr>
        <w:t>6</w:t>
      </w:r>
      <w:r>
        <w:rPr>
          <w:sz w:val="24"/>
          <w:szCs w:val="24"/>
        </w:rPr>
        <w:t>,763</w:t>
      </w:r>
      <w:r w:rsidRPr="00C46EAC">
        <w:rPr>
          <w:sz w:val="24"/>
          <w:szCs w:val="24"/>
        </w:rPr>
        <w:t xml:space="preserve"> total annual responses </w:t>
      </w:r>
      <w:r>
        <w:rPr>
          <w:sz w:val="24"/>
          <w:szCs w:val="24"/>
        </w:rPr>
        <w:t>(</w:t>
      </w:r>
      <w:r w:rsidR="007B0DC9">
        <w:rPr>
          <w:sz w:val="24"/>
          <w:szCs w:val="24"/>
        </w:rPr>
        <w:t>[</w:t>
      </w:r>
      <w:r w:rsidRPr="00C46EAC">
        <w:rPr>
          <w:sz w:val="24"/>
          <w:szCs w:val="24"/>
        </w:rPr>
        <w:t>5</w:t>
      </w:r>
      <w:r>
        <w:rPr>
          <w:sz w:val="24"/>
          <w:szCs w:val="24"/>
        </w:rPr>
        <w:t>70 organizations x 11</w:t>
      </w:r>
      <w:r w:rsidRPr="00C46EAC">
        <w:rPr>
          <w:sz w:val="24"/>
          <w:szCs w:val="24"/>
        </w:rPr>
        <w:t xml:space="preserve"> </w:t>
      </w:r>
      <w:r>
        <w:rPr>
          <w:sz w:val="24"/>
          <w:szCs w:val="24"/>
        </w:rPr>
        <w:t>plans/organization</w:t>
      </w:r>
      <w:r w:rsidR="007B0DC9">
        <w:rPr>
          <w:sz w:val="24"/>
          <w:szCs w:val="24"/>
        </w:rPr>
        <w:t>]</w:t>
      </w:r>
      <w:r>
        <w:rPr>
          <w:sz w:val="24"/>
          <w:szCs w:val="24"/>
        </w:rPr>
        <w:t xml:space="preserve"> </w:t>
      </w:r>
      <w:r w:rsidRPr="00C46EAC">
        <w:rPr>
          <w:sz w:val="24"/>
          <w:szCs w:val="24"/>
        </w:rPr>
        <w:t xml:space="preserve">+ </w:t>
      </w:r>
      <w:r w:rsidRPr="00C07950">
        <w:rPr>
          <w:sz w:val="24"/>
          <w:szCs w:val="24"/>
        </w:rPr>
        <w:t>4</w:t>
      </w:r>
      <w:r>
        <w:rPr>
          <w:sz w:val="24"/>
          <w:szCs w:val="24"/>
        </w:rPr>
        <w:t>93 submissions)</w:t>
      </w:r>
    </w:p>
    <w:p w14:paraId="4097F06F" w14:textId="77777777" w:rsidR="00301474" w:rsidRPr="00C46EAC" w:rsidRDefault="00301474" w:rsidP="00301474">
      <w:pPr>
        <w:widowControl/>
        <w:numPr>
          <w:ilvl w:val="0"/>
          <w:numId w:val="19"/>
        </w:numPr>
        <w:rPr>
          <w:sz w:val="24"/>
          <w:szCs w:val="24"/>
        </w:rPr>
      </w:pPr>
      <w:r w:rsidRPr="00C46EAC">
        <w:rPr>
          <w:sz w:val="24"/>
          <w:szCs w:val="24"/>
        </w:rPr>
        <w:t>7.75 hours to complete gather of information, data entry, reviewing instructions, and attending training for the PBP</w:t>
      </w:r>
      <w:r w:rsidRPr="00C46EAC">
        <w:rPr>
          <w:sz w:val="18"/>
          <w:szCs w:val="24"/>
        </w:rPr>
        <w:t>**</w:t>
      </w:r>
    </w:p>
    <w:p w14:paraId="1FEFB6F5" w14:textId="77777777" w:rsidR="00301474" w:rsidRPr="00C46EAC" w:rsidRDefault="00301474" w:rsidP="00301474">
      <w:pPr>
        <w:widowControl/>
        <w:numPr>
          <w:ilvl w:val="0"/>
          <w:numId w:val="19"/>
        </w:numPr>
        <w:rPr>
          <w:sz w:val="24"/>
          <w:szCs w:val="24"/>
        </w:rPr>
      </w:pPr>
      <w:r>
        <w:rPr>
          <w:sz w:val="24"/>
          <w:szCs w:val="24"/>
        </w:rPr>
        <w:t>34</w:t>
      </w:r>
      <w:r w:rsidRPr="00C46EAC">
        <w:rPr>
          <w:sz w:val="24"/>
          <w:szCs w:val="24"/>
        </w:rPr>
        <w:t xml:space="preserve"> hours to complete gather of information, data entry, reviewing instructions, and attending online training for the Formulary</w:t>
      </w:r>
      <w:r w:rsidRPr="00C46EAC">
        <w:rPr>
          <w:sz w:val="18"/>
          <w:szCs w:val="24"/>
        </w:rPr>
        <w:t>**</w:t>
      </w:r>
    </w:p>
    <w:p w14:paraId="4A4A864E" w14:textId="63671A42" w:rsidR="00301474" w:rsidRPr="00C46EAC" w:rsidRDefault="00301474" w:rsidP="00301474">
      <w:pPr>
        <w:widowControl/>
        <w:numPr>
          <w:ilvl w:val="0"/>
          <w:numId w:val="19"/>
        </w:numPr>
        <w:rPr>
          <w:sz w:val="24"/>
          <w:szCs w:val="24"/>
        </w:rPr>
      </w:pPr>
      <w:r>
        <w:rPr>
          <w:sz w:val="24"/>
          <w:szCs w:val="24"/>
        </w:rPr>
        <w:t xml:space="preserve">48,592.5 </w:t>
      </w:r>
      <w:r w:rsidRPr="00C46EAC">
        <w:rPr>
          <w:sz w:val="24"/>
          <w:szCs w:val="24"/>
        </w:rPr>
        <w:t xml:space="preserve">hours for industry to complete the PBPs </w:t>
      </w:r>
      <w:r w:rsidR="007B0DC9">
        <w:rPr>
          <w:sz w:val="24"/>
          <w:szCs w:val="24"/>
        </w:rPr>
        <w:t>(</w:t>
      </w:r>
      <w:r w:rsidR="007B0DC9" w:rsidRPr="00C46EAC">
        <w:rPr>
          <w:sz w:val="24"/>
          <w:szCs w:val="24"/>
        </w:rPr>
        <w:t>5</w:t>
      </w:r>
      <w:r w:rsidR="007B0DC9">
        <w:rPr>
          <w:sz w:val="24"/>
          <w:szCs w:val="24"/>
        </w:rPr>
        <w:t>70 organizations x 11</w:t>
      </w:r>
      <w:r w:rsidR="007B0DC9" w:rsidRPr="00C46EAC">
        <w:rPr>
          <w:sz w:val="24"/>
          <w:szCs w:val="24"/>
        </w:rPr>
        <w:t xml:space="preserve"> </w:t>
      </w:r>
      <w:r w:rsidR="007B0DC9">
        <w:rPr>
          <w:sz w:val="24"/>
          <w:szCs w:val="24"/>
        </w:rPr>
        <w:t xml:space="preserve">plans/organization x </w:t>
      </w:r>
      <w:r w:rsidRPr="00C46EAC">
        <w:rPr>
          <w:sz w:val="24"/>
          <w:szCs w:val="24"/>
        </w:rPr>
        <w:t>7.75</w:t>
      </w:r>
      <w:r w:rsidR="007B0DC9">
        <w:rPr>
          <w:sz w:val="24"/>
          <w:szCs w:val="24"/>
        </w:rPr>
        <w:t xml:space="preserve"> hr)</w:t>
      </w:r>
    </w:p>
    <w:p w14:paraId="280F4C1C" w14:textId="78E053FB" w:rsidR="00301474" w:rsidRPr="00C46EAC" w:rsidRDefault="00301474" w:rsidP="00301474">
      <w:pPr>
        <w:widowControl/>
        <w:numPr>
          <w:ilvl w:val="0"/>
          <w:numId w:val="19"/>
        </w:numPr>
        <w:rPr>
          <w:sz w:val="24"/>
          <w:szCs w:val="24"/>
        </w:rPr>
      </w:pPr>
      <w:r w:rsidRPr="00C07950">
        <w:rPr>
          <w:sz w:val="24"/>
          <w:szCs w:val="24"/>
        </w:rPr>
        <w:t>16,</w:t>
      </w:r>
      <w:r>
        <w:rPr>
          <w:sz w:val="24"/>
          <w:szCs w:val="24"/>
        </w:rPr>
        <w:t>762</w:t>
      </w:r>
      <w:r w:rsidRPr="00C46EAC">
        <w:rPr>
          <w:sz w:val="24"/>
          <w:szCs w:val="24"/>
        </w:rPr>
        <w:t xml:space="preserve"> hours for industry to complete the Formularies </w:t>
      </w:r>
      <w:r w:rsidR="007B0DC9">
        <w:rPr>
          <w:sz w:val="24"/>
          <w:szCs w:val="24"/>
        </w:rPr>
        <w:t>(</w:t>
      </w:r>
      <w:r w:rsidRPr="00C07950">
        <w:rPr>
          <w:sz w:val="24"/>
          <w:szCs w:val="24"/>
        </w:rPr>
        <w:t>4</w:t>
      </w:r>
      <w:r>
        <w:rPr>
          <w:sz w:val="24"/>
          <w:szCs w:val="24"/>
        </w:rPr>
        <w:t>93</w:t>
      </w:r>
      <w:r w:rsidR="007B0DC9">
        <w:rPr>
          <w:sz w:val="24"/>
          <w:szCs w:val="24"/>
        </w:rPr>
        <w:t xml:space="preserve"> submissions x </w:t>
      </w:r>
      <w:r>
        <w:rPr>
          <w:sz w:val="24"/>
          <w:szCs w:val="24"/>
        </w:rPr>
        <w:t>34</w:t>
      </w:r>
      <w:r w:rsidR="007B0DC9">
        <w:rPr>
          <w:sz w:val="24"/>
          <w:szCs w:val="24"/>
        </w:rPr>
        <w:t xml:space="preserve"> hr)</w:t>
      </w:r>
      <w:r w:rsidRPr="00C46EAC">
        <w:rPr>
          <w:sz w:val="24"/>
          <w:szCs w:val="24"/>
        </w:rPr>
        <w:t xml:space="preserve"> </w:t>
      </w:r>
    </w:p>
    <w:p w14:paraId="6DE7859E" w14:textId="771F1B2D" w:rsidR="00301474" w:rsidRPr="00C46EAC" w:rsidRDefault="00301474" w:rsidP="00301474">
      <w:pPr>
        <w:widowControl/>
        <w:numPr>
          <w:ilvl w:val="0"/>
          <w:numId w:val="19"/>
        </w:numPr>
        <w:rPr>
          <w:sz w:val="24"/>
          <w:szCs w:val="24"/>
        </w:rPr>
      </w:pPr>
      <w:r>
        <w:rPr>
          <w:sz w:val="24"/>
          <w:szCs w:val="24"/>
        </w:rPr>
        <w:t>65,354.5</w:t>
      </w:r>
      <w:r w:rsidRPr="00C46EAC">
        <w:rPr>
          <w:sz w:val="24"/>
          <w:szCs w:val="24"/>
        </w:rPr>
        <w:t xml:space="preserve"> total hours for industry to complete entire submission </w:t>
      </w:r>
      <w:r w:rsidR="007B0DC9">
        <w:rPr>
          <w:sz w:val="24"/>
          <w:szCs w:val="24"/>
        </w:rPr>
        <w:t>(</w:t>
      </w:r>
      <w:r>
        <w:rPr>
          <w:sz w:val="24"/>
          <w:szCs w:val="24"/>
        </w:rPr>
        <w:t>48,592.5</w:t>
      </w:r>
      <w:r w:rsidR="007B0DC9">
        <w:rPr>
          <w:sz w:val="24"/>
          <w:szCs w:val="24"/>
        </w:rPr>
        <w:t xml:space="preserve"> hr </w:t>
      </w:r>
      <w:r w:rsidRPr="00C46EAC">
        <w:rPr>
          <w:sz w:val="24"/>
          <w:szCs w:val="24"/>
        </w:rPr>
        <w:t xml:space="preserve">+ </w:t>
      </w:r>
      <w:r w:rsidRPr="00C07950">
        <w:rPr>
          <w:sz w:val="24"/>
          <w:szCs w:val="24"/>
        </w:rPr>
        <w:t>16,762</w:t>
      </w:r>
      <w:r w:rsidR="007B0DC9">
        <w:rPr>
          <w:sz w:val="24"/>
          <w:szCs w:val="24"/>
        </w:rPr>
        <w:t xml:space="preserve"> hr)</w:t>
      </w:r>
      <w:r w:rsidRPr="00C46EAC">
        <w:rPr>
          <w:sz w:val="24"/>
          <w:szCs w:val="24"/>
        </w:rPr>
        <w:t xml:space="preserve"> </w:t>
      </w:r>
    </w:p>
    <w:p w14:paraId="65FDE81F" w14:textId="77777777" w:rsidR="00301474" w:rsidRPr="007A29B4" w:rsidRDefault="00301474" w:rsidP="00301474">
      <w:pPr>
        <w:widowControl/>
        <w:rPr>
          <w:sz w:val="24"/>
          <w:szCs w:val="24"/>
        </w:rPr>
      </w:pPr>
    </w:p>
    <w:p w14:paraId="58BED27D" w14:textId="13E6A2D9" w:rsidR="00301474" w:rsidRPr="007A29B4" w:rsidRDefault="00301474" w:rsidP="00301474">
      <w:pPr>
        <w:tabs>
          <w:tab w:val="left" w:pos="-3060"/>
          <w:tab w:val="left" w:pos="0"/>
          <w:tab w:val="left" w:pos="432"/>
          <w:tab w:val="left" w:pos="720"/>
        </w:tabs>
        <w:suppressAutoHyphens/>
        <w:spacing w:line="240" w:lineRule="atLeast"/>
        <w:rPr>
          <w:sz w:val="24"/>
          <w:szCs w:val="24"/>
        </w:rPr>
      </w:pPr>
      <w:r w:rsidRPr="007A29B4">
        <w:rPr>
          <w:sz w:val="24"/>
          <w:szCs w:val="24"/>
        </w:rPr>
        <w:t>An estimate of the annualized cost to the industry in burden hours for the complete submission is approximately $5,032,296.50 (65,354.5 h</w:t>
      </w:r>
      <w:r w:rsidR="004C0A7C" w:rsidRPr="007A29B4">
        <w:rPr>
          <w:sz w:val="24"/>
          <w:szCs w:val="24"/>
        </w:rPr>
        <w:t>r</w:t>
      </w:r>
      <w:r w:rsidRPr="007A29B4">
        <w:rPr>
          <w:sz w:val="24"/>
          <w:szCs w:val="24"/>
        </w:rPr>
        <w:t xml:space="preserve"> </w:t>
      </w:r>
      <w:r w:rsidR="004C0A7C" w:rsidRPr="007A29B4">
        <w:rPr>
          <w:sz w:val="24"/>
          <w:szCs w:val="24"/>
        </w:rPr>
        <w:t xml:space="preserve">x </w:t>
      </w:r>
      <w:r w:rsidRPr="007A29B4">
        <w:rPr>
          <w:sz w:val="24"/>
          <w:szCs w:val="24"/>
        </w:rPr>
        <w:t>$77.00</w:t>
      </w:r>
      <w:r w:rsidR="004C0A7C" w:rsidRPr="007A29B4">
        <w:rPr>
          <w:sz w:val="24"/>
          <w:szCs w:val="24"/>
        </w:rPr>
        <w:t>/hr</w:t>
      </w:r>
      <w:r w:rsidRPr="007A29B4">
        <w:rPr>
          <w:sz w:val="18"/>
          <w:szCs w:val="24"/>
        </w:rPr>
        <w:t>**</w:t>
      </w:r>
      <w:r w:rsidRPr="007A29B4">
        <w:rPr>
          <w:sz w:val="24"/>
          <w:szCs w:val="24"/>
        </w:rPr>
        <w:t xml:space="preserve">).  </w:t>
      </w:r>
    </w:p>
    <w:p w14:paraId="2B9DEE76" w14:textId="77777777" w:rsidR="00301474" w:rsidRPr="007A29B4" w:rsidRDefault="00301474" w:rsidP="00301474">
      <w:pPr>
        <w:tabs>
          <w:tab w:val="left" w:pos="-3060"/>
          <w:tab w:val="left" w:pos="0"/>
          <w:tab w:val="left" w:pos="432"/>
          <w:tab w:val="left" w:pos="720"/>
        </w:tabs>
        <w:suppressAutoHyphens/>
        <w:spacing w:line="240" w:lineRule="atLeast"/>
        <w:rPr>
          <w:sz w:val="24"/>
          <w:szCs w:val="24"/>
        </w:rPr>
      </w:pPr>
    </w:p>
    <w:p w14:paraId="64D1F1AB" w14:textId="77777777" w:rsidR="00301474" w:rsidRPr="00C46EAC" w:rsidRDefault="00301474" w:rsidP="00301474">
      <w:pPr>
        <w:tabs>
          <w:tab w:val="left" w:pos="-3060"/>
          <w:tab w:val="left" w:pos="0"/>
          <w:tab w:val="left" w:pos="432"/>
        </w:tabs>
        <w:suppressAutoHyphens/>
        <w:spacing w:line="240" w:lineRule="atLeast"/>
        <w:rPr>
          <w:sz w:val="18"/>
          <w:szCs w:val="24"/>
        </w:rPr>
      </w:pPr>
      <w:r w:rsidRPr="00C46EAC">
        <w:rPr>
          <w:sz w:val="18"/>
          <w:szCs w:val="24"/>
          <w:u w:val="single"/>
        </w:rPr>
        <w:t>Key</w:t>
      </w:r>
    </w:p>
    <w:p w14:paraId="65310DED" w14:textId="77777777" w:rsidR="00301474" w:rsidRPr="00C46EAC" w:rsidRDefault="00301474" w:rsidP="00301474">
      <w:pPr>
        <w:tabs>
          <w:tab w:val="left" w:pos="-3060"/>
          <w:tab w:val="left" w:pos="0"/>
          <w:tab w:val="left" w:pos="432"/>
          <w:tab w:val="left" w:pos="720"/>
        </w:tabs>
        <w:suppressAutoHyphens/>
        <w:spacing w:line="240" w:lineRule="atLeast"/>
        <w:rPr>
          <w:sz w:val="18"/>
          <w:szCs w:val="24"/>
        </w:rPr>
      </w:pPr>
      <w:r w:rsidRPr="00C46EAC">
        <w:rPr>
          <w:sz w:val="18"/>
          <w:szCs w:val="24"/>
        </w:rPr>
        <w:t>*</w:t>
      </w:r>
      <w:r w:rsidRPr="00C46EAC">
        <w:rPr>
          <w:sz w:val="18"/>
          <w:szCs w:val="24"/>
        </w:rPr>
        <w:tab/>
        <w:t>Source: HPMS actual data</w:t>
      </w:r>
    </w:p>
    <w:p w14:paraId="25F03103" w14:textId="77777777" w:rsidR="00301474" w:rsidRPr="00C46EAC" w:rsidRDefault="00301474" w:rsidP="00301474">
      <w:pPr>
        <w:tabs>
          <w:tab w:val="left" w:pos="-3060"/>
          <w:tab w:val="left" w:pos="0"/>
          <w:tab w:val="left" w:pos="432"/>
          <w:tab w:val="left" w:pos="720"/>
        </w:tabs>
        <w:suppressAutoHyphens/>
        <w:spacing w:line="240" w:lineRule="atLeast"/>
        <w:rPr>
          <w:sz w:val="24"/>
          <w:szCs w:val="24"/>
        </w:rPr>
      </w:pPr>
      <w:r w:rsidRPr="00C46EAC">
        <w:rPr>
          <w:sz w:val="18"/>
          <w:szCs w:val="24"/>
        </w:rPr>
        <w:t>**</w:t>
      </w:r>
      <w:r w:rsidRPr="00C46EAC">
        <w:rPr>
          <w:sz w:val="18"/>
          <w:szCs w:val="24"/>
        </w:rPr>
        <w:tab/>
        <w:t xml:space="preserve">Source: </w:t>
      </w:r>
      <w:r>
        <w:rPr>
          <w:sz w:val="18"/>
          <w:szCs w:val="24"/>
        </w:rPr>
        <w:t>Wage</w:t>
      </w:r>
      <w:r w:rsidRPr="00C46EAC">
        <w:rPr>
          <w:sz w:val="18"/>
          <w:szCs w:val="24"/>
        </w:rPr>
        <w:t xml:space="preserve"> based on the results of industry survey</w:t>
      </w:r>
      <w:r>
        <w:rPr>
          <w:sz w:val="18"/>
          <w:szCs w:val="24"/>
        </w:rPr>
        <w:t xml:space="preserve"> of average hourly wage for individuals completing the data submissions</w:t>
      </w:r>
      <w:r w:rsidRPr="00C46EAC">
        <w:rPr>
          <w:sz w:val="18"/>
          <w:szCs w:val="24"/>
        </w:rPr>
        <w:t xml:space="preserve">. </w:t>
      </w:r>
    </w:p>
    <w:p w14:paraId="66B48BF6" w14:textId="77777777" w:rsidR="00301474" w:rsidRDefault="00301474" w:rsidP="00AF0098">
      <w:pPr>
        <w:pStyle w:val="BodyText"/>
        <w:suppressAutoHyphens w:val="0"/>
        <w:spacing w:line="240" w:lineRule="auto"/>
        <w:rPr>
          <w:i/>
        </w:rPr>
      </w:pPr>
    </w:p>
    <w:p w14:paraId="7FCA6B59" w14:textId="77777777" w:rsidR="003D2804" w:rsidRPr="000B0130" w:rsidRDefault="003D2804" w:rsidP="0048264B">
      <w:pPr>
        <w:pStyle w:val="BodyText"/>
        <w:suppressAutoHyphens w:val="0"/>
        <w:spacing w:line="240" w:lineRule="auto"/>
      </w:pPr>
      <w:r>
        <w:t xml:space="preserve">Our </w:t>
      </w:r>
      <w:r w:rsidRPr="00D444B4">
        <w:t xml:space="preserve">November </w:t>
      </w:r>
      <w:r>
        <w:t>30</w:t>
      </w:r>
      <w:r w:rsidRPr="00D444B4">
        <w:t xml:space="preserve">, 2018 (83 FR </w:t>
      </w:r>
      <w:r>
        <w:t>62152) proposed rule (CMS-4180-P, RIN 0938-AT92) would require that that each Part D plan select a real time benefit tool (RTBT) of its choosing by January 1, 2020. As explained in more detail under section 15 (below) we are unable to fully quantify the impact of RTBT implementation due to lack of adequate data</w:t>
      </w:r>
      <w:r w:rsidRPr="000B0130">
        <w:t xml:space="preserve">. </w:t>
      </w:r>
    </w:p>
    <w:p w14:paraId="4A3760EA" w14:textId="77777777" w:rsidR="003D2804" w:rsidRPr="000B0130" w:rsidRDefault="003D2804" w:rsidP="0048264B">
      <w:pPr>
        <w:pStyle w:val="BodyText"/>
        <w:suppressAutoHyphens w:val="0"/>
        <w:spacing w:line="240" w:lineRule="auto"/>
      </w:pPr>
    </w:p>
    <w:p w14:paraId="350C98A5" w14:textId="5984F401" w:rsidR="003D2804" w:rsidRPr="008B1862" w:rsidRDefault="003D2804" w:rsidP="003D2804">
      <w:pPr>
        <w:tabs>
          <w:tab w:val="left" w:pos="-3060"/>
          <w:tab w:val="left" w:pos="0"/>
          <w:tab w:val="left" w:pos="432"/>
          <w:tab w:val="left" w:pos="720"/>
        </w:tabs>
        <w:suppressAutoHyphens/>
        <w:spacing w:line="240" w:lineRule="atLeast"/>
        <w:rPr>
          <w:sz w:val="24"/>
          <w:szCs w:val="24"/>
        </w:rPr>
      </w:pPr>
      <w:r w:rsidRPr="008B1862">
        <w:rPr>
          <w:sz w:val="24"/>
          <w:szCs w:val="24"/>
        </w:rPr>
        <w:t xml:space="preserve">The use of RTBT will affect software costs; however, the production of the formulary and bid will not be changed because RTBT is being used. Consequently we are not estimating additional impact on the bid because it is not necessary. </w:t>
      </w:r>
    </w:p>
    <w:p w14:paraId="4774595B" w14:textId="77777777" w:rsidR="005D6A3F" w:rsidRDefault="005D6A3F" w:rsidP="00EE2110">
      <w:pPr>
        <w:tabs>
          <w:tab w:val="left" w:pos="-3060"/>
          <w:tab w:val="left" w:pos="0"/>
          <w:tab w:val="left" w:pos="432"/>
          <w:tab w:val="left" w:pos="720"/>
        </w:tabs>
        <w:suppressAutoHyphens/>
        <w:spacing w:line="240" w:lineRule="atLeast"/>
        <w:rPr>
          <w:sz w:val="24"/>
          <w:szCs w:val="24"/>
        </w:rPr>
      </w:pPr>
    </w:p>
    <w:p w14:paraId="0AEC09C4" w14:textId="5C91A21A" w:rsidR="003D2804" w:rsidRDefault="003D2804" w:rsidP="0048264B">
      <w:pPr>
        <w:pStyle w:val="BodyTextIndent"/>
        <w:tabs>
          <w:tab w:val="left" w:pos="-3060"/>
        </w:tabs>
        <w:spacing w:line="240" w:lineRule="auto"/>
        <w:ind w:left="0" w:firstLine="0"/>
      </w:pPr>
      <w:r>
        <w:t xml:space="preserve">Section 423.120(b)(2)(vi) would implement the authority granted to CMS by section 1860D-4(b)(3)(G) of the Act to establish exceptions that would permit a Part D sponsor to exclude from its formulary (or to otherwise limit access to such a drug, including through prior authorization or utilization management) a particular Part D drug that is otherwise required to be included in the formulary. </w:t>
      </w:r>
    </w:p>
    <w:p w14:paraId="1C3F5A61" w14:textId="77777777" w:rsidR="003D2804" w:rsidRDefault="003D2804" w:rsidP="0048264B">
      <w:pPr>
        <w:pStyle w:val="BodyTextIndent"/>
        <w:tabs>
          <w:tab w:val="left" w:pos="-3060"/>
        </w:tabs>
        <w:spacing w:line="240" w:lineRule="auto"/>
        <w:ind w:left="0" w:firstLine="0"/>
      </w:pPr>
    </w:p>
    <w:p w14:paraId="457AFB3A" w14:textId="77777777" w:rsidR="003D2804" w:rsidRDefault="003D2804" w:rsidP="003D2804">
      <w:pPr>
        <w:pStyle w:val="BodyTextIndent"/>
        <w:tabs>
          <w:tab w:val="left" w:pos="-3060"/>
        </w:tabs>
        <w:spacing w:line="240" w:lineRule="auto"/>
        <w:ind w:left="0" w:firstLine="0"/>
      </w:pPr>
      <w:r>
        <w:t xml:space="preserve">For the proposed exceptions that expand the use of prior authorization and step therapy for protected class drugs at § 423.120(b)(2)(vi)(C) and the exceptions for protected class drugs that are new formulations at § 423.120(b)(2)(vi)(D), the burden would consist of the time and effort for Part D sponsors to submit their formularies to CMS under the existing annual submission process. The annual submission requirements and burden are currently approved by OMB under this control number and would not impose any new or revised information collection requirements or burden. </w:t>
      </w:r>
    </w:p>
    <w:p w14:paraId="1A04BE8F" w14:textId="77777777" w:rsidR="003D2804" w:rsidRDefault="003D2804" w:rsidP="003D2804">
      <w:pPr>
        <w:pStyle w:val="BodyTextIndent"/>
        <w:tabs>
          <w:tab w:val="left" w:pos="-3060"/>
        </w:tabs>
        <w:spacing w:line="240" w:lineRule="auto"/>
        <w:ind w:left="0" w:firstLine="0"/>
      </w:pPr>
    </w:p>
    <w:p w14:paraId="430F294C" w14:textId="77777777" w:rsidR="003D2804" w:rsidRDefault="003D2804" w:rsidP="003D2804">
      <w:pPr>
        <w:pStyle w:val="BodyTextIndent"/>
        <w:tabs>
          <w:tab w:val="left" w:pos="-3060"/>
        </w:tabs>
        <w:spacing w:line="240" w:lineRule="auto"/>
        <w:ind w:left="0" w:firstLine="0"/>
      </w:pPr>
      <w:r>
        <w:t>For the proposed exceptions related to § 423.120(b)(2)(vi)(E), for protected class drugs for which a Part D sponsor chooses to exclude from their formulary due to a price increase beyond a certain threshold, Part D sponsors would be required to submit an additional justification to CMS during the annual formulary submission process. The justification must explain why the Part D sponsor is excluding such drug from their formulary. The burden associated with this exception would consist of the time and effort put forth by Part D sponsors to prepare and submit their formularies to CMS along with the justification.</w:t>
      </w:r>
    </w:p>
    <w:p w14:paraId="37B02F0A" w14:textId="77777777" w:rsidR="003D2804" w:rsidRDefault="003D2804" w:rsidP="003D2804">
      <w:pPr>
        <w:tabs>
          <w:tab w:val="left" w:pos="-3060"/>
          <w:tab w:val="left" w:pos="0"/>
          <w:tab w:val="left" w:pos="432"/>
          <w:tab w:val="left" w:pos="720"/>
        </w:tabs>
        <w:suppressAutoHyphens/>
        <w:spacing w:line="240" w:lineRule="atLeast"/>
        <w:rPr>
          <w:sz w:val="24"/>
          <w:szCs w:val="24"/>
        </w:rPr>
      </w:pPr>
    </w:p>
    <w:p w14:paraId="7D0951B8" w14:textId="77777777" w:rsidR="003D2804" w:rsidRDefault="003D2804" w:rsidP="003D2804">
      <w:pPr>
        <w:tabs>
          <w:tab w:val="left" w:pos="-3060"/>
          <w:tab w:val="left" w:pos="0"/>
          <w:tab w:val="left" w:pos="432"/>
          <w:tab w:val="left" w:pos="720"/>
        </w:tabs>
        <w:suppressAutoHyphens/>
        <w:spacing w:line="240" w:lineRule="atLeast"/>
        <w:rPr>
          <w:sz w:val="24"/>
          <w:szCs w:val="24"/>
        </w:rPr>
      </w:pPr>
      <w:r w:rsidRPr="005E7172">
        <w:rPr>
          <w:sz w:val="24"/>
          <w:szCs w:val="24"/>
        </w:rPr>
        <w:t>While the annual formulary preparation and submission process and burden are currently approved by OMB without the need for change, we estimate that it would take an average of 10 minutes (0.167 hours) at $117.04/hr for a pharmacist to prepare and submit each justification. Because Part D sponsors already research list prices to inform the existing formulary negotiation process, we only consider the time necessary to prepare and submit the justification to CMS. We estimate that all 218 Part D plan sponsors (32 PDP parent organizations and 186 MA-PD parent organizations, based on plan year 2018 plan participation) would be subject to this requirement. In aggregate, we estimate an annual burden of 36 hours (0.167 hr x 218 sponsors) at a cost of $4,213 (36 hr x $117.04/hr).</w:t>
      </w:r>
    </w:p>
    <w:p w14:paraId="7C7DDFEB" w14:textId="13474A5F" w:rsidR="00CA01E6" w:rsidRDefault="00CA01E6" w:rsidP="00EE2110">
      <w:pPr>
        <w:tabs>
          <w:tab w:val="left" w:pos="-3060"/>
          <w:tab w:val="left" w:pos="0"/>
          <w:tab w:val="left" w:pos="432"/>
          <w:tab w:val="left" w:pos="720"/>
        </w:tabs>
        <w:suppressAutoHyphens/>
        <w:spacing w:line="240" w:lineRule="atLeast"/>
        <w:rPr>
          <w:sz w:val="24"/>
          <w:szCs w:val="24"/>
        </w:rPr>
      </w:pPr>
    </w:p>
    <w:p w14:paraId="30FCC76C" w14:textId="7EF3E33B" w:rsidR="00CA4DF9" w:rsidRPr="00CA4DF9" w:rsidRDefault="00CA4DF9" w:rsidP="00EE2110">
      <w:pPr>
        <w:tabs>
          <w:tab w:val="left" w:pos="-3060"/>
          <w:tab w:val="left" w:pos="0"/>
          <w:tab w:val="left" w:pos="432"/>
          <w:tab w:val="left" w:pos="720"/>
        </w:tabs>
        <w:suppressAutoHyphens/>
        <w:spacing w:line="240" w:lineRule="atLeast"/>
        <w:rPr>
          <w:i/>
          <w:sz w:val="24"/>
          <w:szCs w:val="24"/>
        </w:rPr>
      </w:pPr>
      <w:r w:rsidRPr="00CA4DF9">
        <w:rPr>
          <w:i/>
          <w:sz w:val="24"/>
          <w:szCs w:val="24"/>
        </w:rPr>
        <w:t>Burden Summary</w:t>
      </w:r>
    </w:p>
    <w:p w14:paraId="7AFEB376" w14:textId="38E261D2" w:rsidR="00CA4DF9" w:rsidRDefault="00CA4DF9" w:rsidP="00EE2110">
      <w:pPr>
        <w:tabs>
          <w:tab w:val="left" w:pos="-3060"/>
          <w:tab w:val="left" w:pos="0"/>
          <w:tab w:val="left" w:pos="432"/>
          <w:tab w:val="left" w:pos="720"/>
        </w:tabs>
        <w:suppressAutoHyphens/>
        <w:spacing w:line="240" w:lineRule="atLeast"/>
        <w:rPr>
          <w:sz w:val="24"/>
          <w:szCs w:val="24"/>
        </w:rPr>
      </w:pPr>
    </w:p>
    <w:p w14:paraId="5FCF76C6" w14:textId="56E1CD3E" w:rsidR="00B77B25" w:rsidRDefault="00B77B25" w:rsidP="00EE2110">
      <w:pPr>
        <w:tabs>
          <w:tab w:val="left" w:pos="-3060"/>
          <w:tab w:val="left" w:pos="0"/>
          <w:tab w:val="left" w:pos="432"/>
          <w:tab w:val="left" w:pos="720"/>
        </w:tabs>
        <w:suppressAutoHyphens/>
        <w:spacing w:line="240" w:lineRule="atLeast"/>
        <w:rPr>
          <w:sz w:val="24"/>
          <w:szCs w:val="24"/>
        </w:rPr>
      </w:pPr>
      <w:r w:rsidRPr="00B77B25">
        <w:rPr>
          <w:sz w:val="24"/>
          <w:szCs w:val="24"/>
        </w:rPr>
        <w:t>Summary of Annual Recordkeeping and Reporting Requirements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0"/>
        <w:gridCol w:w="1418"/>
        <w:gridCol w:w="1344"/>
        <w:gridCol w:w="1185"/>
        <w:gridCol w:w="1099"/>
        <w:gridCol w:w="954"/>
        <w:gridCol w:w="1172"/>
        <w:gridCol w:w="1476"/>
      </w:tblGrid>
      <w:tr w:rsidR="00CA4DF9" w:rsidRPr="00B478A5" w14:paraId="7E8491B0" w14:textId="77777777" w:rsidTr="00854FFD">
        <w:trPr>
          <w:cantSplit/>
          <w:tblHeader/>
          <w:jc w:val="center"/>
        </w:trPr>
        <w:tc>
          <w:tcPr>
            <w:tcW w:w="1270" w:type="dxa"/>
            <w:vAlign w:val="center"/>
          </w:tcPr>
          <w:p w14:paraId="42BA9384" w14:textId="77777777" w:rsidR="00CA4DF9" w:rsidRPr="00B478A5" w:rsidRDefault="00CA4DF9"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rPr>
            </w:pPr>
            <w:r w:rsidRPr="00B478A5">
              <w:rPr>
                <w:b/>
                <w:bCs/>
                <w:color w:val="000000"/>
              </w:rPr>
              <w:t>Regulation Section(s)</w:t>
            </w:r>
          </w:p>
        </w:tc>
        <w:tc>
          <w:tcPr>
            <w:tcW w:w="1418" w:type="dxa"/>
            <w:vAlign w:val="center"/>
          </w:tcPr>
          <w:p w14:paraId="0ABA00DA" w14:textId="77777777" w:rsidR="00CA4DF9" w:rsidRPr="00B478A5" w:rsidRDefault="00CA4DF9"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rPr>
            </w:pPr>
            <w:r w:rsidRPr="00B478A5">
              <w:rPr>
                <w:b/>
                <w:bCs/>
                <w:color w:val="000000"/>
              </w:rPr>
              <w:t>Respondents</w:t>
            </w:r>
          </w:p>
        </w:tc>
        <w:tc>
          <w:tcPr>
            <w:tcW w:w="1344" w:type="dxa"/>
            <w:vAlign w:val="center"/>
          </w:tcPr>
          <w:p w14:paraId="1CBF7321" w14:textId="77777777" w:rsidR="00CA4DF9" w:rsidRPr="00B478A5" w:rsidRDefault="00CA4DF9"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rPr>
            </w:pPr>
            <w:r w:rsidRPr="00B478A5">
              <w:rPr>
                <w:b/>
                <w:bCs/>
                <w:color w:val="000000"/>
              </w:rPr>
              <w:t>Responses (per respondent)</w:t>
            </w:r>
          </w:p>
        </w:tc>
        <w:tc>
          <w:tcPr>
            <w:tcW w:w="1185" w:type="dxa"/>
            <w:vAlign w:val="center"/>
          </w:tcPr>
          <w:p w14:paraId="77B07AD9" w14:textId="77777777" w:rsidR="00CA4DF9" w:rsidRPr="00B478A5" w:rsidRDefault="00CA4DF9"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rPr>
            </w:pPr>
            <w:r w:rsidRPr="00B478A5">
              <w:rPr>
                <w:b/>
                <w:bCs/>
                <w:color w:val="000000"/>
              </w:rPr>
              <w:t>Total Responses</w:t>
            </w:r>
          </w:p>
        </w:tc>
        <w:tc>
          <w:tcPr>
            <w:tcW w:w="1099" w:type="dxa"/>
            <w:vAlign w:val="center"/>
          </w:tcPr>
          <w:p w14:paraId="4865CA12" w14:textId="77777777" w:rsidR="00CA4DF9" w:rsidRPr="00B478A5" w:rsidRDefault="00CA4DF9"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rPr>
            </w:pPr>
            <w:r w:rsidRPr="00B478A5">
              <w:rPr>
                <w:b/>
                <w:bCs/>
                <w:color w:val="000000"/>
              </w:rPr>
              <w:t>Burden per Response</w:t>
            </w:r>
          </w:p>
        </w:tc>
        <w:tc>
          <w:tcPr>
            <w:tcW w:w="954" w:type="dxa"/>
            <w:vAlign w:val="center"/>
          </w:tcPr>
          <w:p w14:paraId="0405FC78" w14:textId="77777777" w:rsidR="00CA4DF9" w:rsidRPr="00B478A5" w:rsidRDefault="00CA4DF9"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rPr>
            </w:pPr>
            <w:r w:rsidRPr="00B478A5">
              <w:rPr>
                <w:b/>
                <w:bCs/>
                <w:color w:val="000000"/>
              </w:rPr>
              <w:t>Total Annual Burden (hours)</w:t>
            </w:r>
          </w:p>
        </w:tc>
        <w:tc>
          <w:tcPr>
            <w:tcW w:w="1172" w:type="dxa"/>
            <w:vAlign w:val="center"/>
          </w:tcPr>
          <w:p w14:paraId="74B33898" w14:textId="77777777" w:rsidR="00CA4DF9" w:rsidRPr="00B478A5" w:rsidRDefault="00CA4DF9" w:rsidP="001F2972">
            <w:pPr>
              <w:widowControl/>
              <w:jc w:val="center"/>
              <w:rPr>
                <w:b/>
              </w:rPr>
            </w:pPr>
            <w:r w:rsidRPr="00B478A5">
              <w:rPr>
                <w:b/>
                <w:bCs/>
                <w:color w:val="000000"/>
              </w:rPr>
              <w:t>Labor Cost of Reporting ($/hr)</w:t>
            </w:r>
          </w:p>
        </w:tc>
        <w:tc>
          <w:tcPr>
            <w:tcW w:w="1476" w:type="dxa"/>
            <w:vAlign w:val="center"/>
          </w:tcPr>
          <w:p w14:paraId="1A8F177B" w14:textId="77777777" w:rsidR="00CA4DF9" w:rsidRPr="00B478A5" w:rsidRDefault="00CA4DF9"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rPr>
            </w:pPr>
            <w:r w:rsidRPr="00B478A5">
              <w:rPr>
                <w:b/>
              </w:rPr>
              <w:t>Total Cost ($)</w:t>
            </w:r>
          </w:p>
        </w:tc>
      </w:tr>
      <w:tr w:rsidR="00CA4DF9" w:rsidRPr="00B478A5" w14:paraId="67847B53" w14:textId="77777777" w:rsidTr="00854FFD">
        <w:trPr>
          <w:cantSplit/>
          <w:trHeight w:val="4823"/>
          <w:tblHeader/>
          <w:jc w:val="center"/>
        </w:trPr>
        <w:tc>
          <w:tcPr>
            <w:tcW w:w="1270" w:type="dxa"/>
            <w:vAlign w:val="center"/>
          </w:tcPr>
          <w:p w14:paraId="3ED5FC22" w14:textId="5C658177" w:rsidR="00CA4DF9" w:rsidRPr="00B478A5" w:rsidRDefault="00E42CFD" w:rsidP="007F51D3">
            <w:pPr>
              <w:widowControl/>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Pr>
                <w:bCs/>
                <w:color w:val="000000"/>
              </w:rPr>
              <w:t xml:space="preserve">Plan Benefit Package </w:t>
            </w:r>
            <w:r w:rsidRPr="00064B75">
              <w:rPr>
                <w:bCs/>
                <w:i/>
                <w:color w:val="000000"/>
              </w:rPr>
              <w:t>423.100</w:t>
            </w:r>
            <w:r w:rsidR="00064B75">
              <w:rPr>
                <w:bCs/>
                <w:color w:val="000000"/>
              </w:rPr>
              <w:t xml:space="preserve">, </w:t>
            </w:r>
            <w:r w:rsidR="00064B75" w:rsidRPr="00064B75">
              <w:rPr>
                <w:bCs/>
                <w:i/>
                <w:color w:val="000000"/>
              </w:rPr>
              <w:t>423.104, 423.112, 423.124, 423.128, 423.132, 423.136, 423.251, 423.258, 423.265, 423.272, 423.286, 423.293, 423.301, 423.308, 423.315, 423.322, 423.329, 423.336, 423.343, 423.346,</w:t>
            </w:r>
            <w:r w:rsidR="007F51D3">
              <w:rPr>
                <w:bCs/>
                <w:i/>
                <w:color w:val="000000"/>
              </w:rPr>
              <w:t xml:space="preserve"> and</w:t>
            </w:r>
            <w:r w:rsidR="00064B75" w:rsidRPr="00064B75">
              <w:rPr>
                <w:bCs/>
                <w:i/>
                <w:color w:val="000000"/>
              </w:rPr>
              <w:t xml:space="preserve"> 423.350.</w:t>
            </w:r>
          </w:p>
        </w:tc>
        <w:tc>
          <w:tcPr>
            <w:tcW w:w="1418" w:type="dxa"/>
            <w:vAlign w:val="center"/>
          </w:tcPr>
          <w:p w14:paraId="32366D1C" w14:textId="4F83F084" w:rsidR="00CA4DF9" w:rsidRPr="00B478A5" w:rsidRDefault="00E42CFD"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Pr>
                <w:bCs/>
                <w:color w:val="000000"/>
              </w:rPr>
              <w:t>570</w:t>
            </w:r>
          </w:p>
        </w:tc>
        <w:tc>
          <w:tcPr>
            <w:tcW w:w="1344" w:type="dxa"/>
            <w:vAlign w:val="center"/>
          </w:tcPr>
          <w:p w14:paraId="6D048CF5" w14:textId="0D78301F" w:rsidR="00CA4DF9" w:rsidRPr="00B478A5" w:rsidRDefault="00064B75"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Pr>
                <w:bCs/>
                <w:color w:val="000000"/>
              </w:rPr>
              <w:t>varies</w:t>
            </w:r>
          </w:p>
        </w:tc>
        <w:tc>
          <w:tcPr>
            <w:tcW w:w="1185" w:type="dxa"/>
            <w:vAlign w:val="center"/>
          </w:tcPr>
          <w:p w14:paraId="62A07F46" w14:textId="374B2C8B" w:rsidR="00CA4DF9" w:rsidRPr="00B478A5" w:rsidRDefault="00E42CFD"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Pr>
                <w:bCs/>
                <w:color w:val="000000"/>
              </w:rPr>
              <w:t>6,763</w:t>
            </w:r>
          </w:p>
        </w:tc>
        <w:tc>
          <w:tcPr>
            <w:tcW w:w="1099" w:type="dxa"/>
            <w:vAlign w:val="center"/>
          </w:tcPr>
          <w:p w14:paraId="423F8C67" w14:textId="58CC6454" w:rsidR="00CA4DF9" w:rsidRPr="00B478A5" w:rsidRDefault="00064B75" w:rsidP="00854FF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Pr>
                <w:bCs/>
                <w:color w:val="000000"/>
              </w:rPr>
              <w:t>114.66 h</w:t>
            </w:r>
            <w:r w:rsidR="00854FFD">
              <w:rPr>
                <w:bCs/>
                <w:color w:val="000000"/>
              </w:rPr>
              <w:t>r</w:t>
            </w:r>
          </w:p>
        </w:tc>
        <w:tc>
          <w:tcPr>
            <w:tcW w:w="954" w:type="dxa"/>
            <w:vAlign w:val="center"/>
          </w:tcPr>
          <w:p w14:paraId="1AFA1B72" w14:textId="119F25FA" w:rsidR="00CA4DF9" w:rsidRPr="00B478A5" w:rsidRDefault="00E42CFD" w:rsidP="00E109A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Pr>
                <w:bCs/>
                <w:color w:val="000000"/>
              </w:rPr>
              <w:t>65,354.5</w:t>
            </w:r>
          </w:p>
        </w:tc>
        <w:tc>
          <w:tcPr>
            <w:tcW w:w="1172" w:type="dxa"/>
            <w:vAlign w:val="center"/>
          </w:tcPr>
          <w:p w14:paraId="07FB9798" w14:textId="5B70F233" w:rsidR="00CA4DF9" w:rsidRPr="00B478A5" w:rsidRDefault="00064B75" w:rsidP="00E109A6">
            <w:pPr>
              <w:widowControl/>
              <w:jc w:val="center"/>
              <w:rPr>
                <w:bCs/>
                <w:color w:val="000000"/>
              </w:rPr>
            </w:pPr>
            <w:r>
              <w:rPr>
                <w:bCs/>
                <w:color w:val="000000"/>
              </w:rPr>
              <w:t>77</w:t>
            </w:r>
            <w:r w:rsidR="00E109A6">
              <w:rPr>
                <w:bCs/>
                <w:color w:val="000000"/>
              </w:rPr>
              <w:t>.00</w:t>
            </w:r>
          </w:p>
        </w:tc>
        <w:tc>
          <w:tcPr>
            <w:tcW w:w="1476" w:type="dxa"/>
            <w:vAlign w:val="center"/>
          </w:tcPr>
          <w:p w14:paraId="59F35804" w14:textId="77C0BEB7" w:rsidR="00CA4DF9" w:rsidRPr="00064B75" w:rsidRDefault="00064B75"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rsidRPr="00064B75">
              <w:rPr>
                <w:sz w:val="24"/>
                <w:szCs w:val="24"/>
              </w:rPr>
              <w:t>5,032,296.50</w:t>
            </w:r>
          </w:p>
        </w:tc>
      </w:tr>
      <w:tr w:rsidR="00CA4DF9" w:rsidRPr="00B478A5" w14:paraId="43E7B46C" w14:textId="77777777" w:rsidTr="00854FFD">
        <w:trPr>
          <w:cantSplit/>
          <w:tblHeader/>
          <w:jc w:val="center"/>
        </w:trPr>
        <w:tc>
          <w:tcPr>
            <w:tcW w:w="1270" w:type="dxa"/>
            <w:vAlign w:val="center"/>
          </w:tcPr>
          <w:p w14:paraId="5107A6A7" w14:textId="7DE539BC" w:rsidR="00064B75" w:rsidRPr="00064B75" w:rsidRDefault="00064B75"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Pr>
                <w:bCs/>
                <w:color w:val="000000"/>
              </w:rPr>
              <w:t>Protected Classes</w:t>
            </w:r>
          </w:p>
          <w:p w14:paraId="0AF3826C" w14:textId="22B691E4" w:rsidR="00CA4DF9" w:rsidRPr="00064B75" w:rsidRDefault="00064B75"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i/>
                <w:color w:val="000000"/>
              </w:rPr>
            </w:pPr>
            <w:r>
              <w:rPr>
                <w:bCs/>
                <w:i/>
                <w:color w:val="000000"/>
              </w:rPr>
              <w:t>423.120</w:t>
            </w:r>
          </w:p>
        </w:tc>
        <w:tc>
          <w:tcPr>
            <w:tcW w:w="1418" w:type="dxa"/>
            <w:vAlign w:val="center"/>
          </w:tcPr>
          <w:p w14:paraId="3ADF1704" w14:textId="1E7C5F13" w:rsidR="00CA4DF9" w:rsidRPr="00B478A5" w:rsidRDefault="00064B75"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Pr>
                <w:bCs/>
                <w:color w:val="000000"/>
              </w:rPr>
              <w:t>218</w:t>
            </w:r>
          </w:p>
        </w:tc>
        <w:tc>
          <w:tcPr>
            <w:tcW w:w="1344" w:type="dxa"/>
            <w:vAlign w:val="center"/>
          </w:tcPr>
          <w:p w14:paraId="1B82CD9F" w14:textId="488C0781" w:rsidR="00CA4DF9" w:rsidRPr="00B478A5" w:rsidRDefault="00064B75"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Pr>
                <w:bCs/>
                <w:color w:val="000000"/>
              </w:rPr>
              <w:t>1</w:t>
            </w:r>
          </w:p>
        </w:tc>
        <w:tc>
          <w:tcPr>
            <w:tcW w:w="1185" w:type="dxa"/>
            <w:vAlign w:val="center"/>
          </w:tcPr>
          <w:p w14:paraId="04170616" w14:textId="772F9DB1" w:rsidR="00CA4DF9" w:rsidRPr="00B478A5" w:rsidRDefault="00064B75"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Pr>
                <w:bCs/>
                <w:color w:val="000000"/>
              </w:rPr>
              <w:t>218</w:t>
            </w:r>
          </w:p>
        </w:tc>
        <w:tc>
          <w:tcPr>
            <w:tcW w:w="1099" w:type="dxa"/>
            <w:vAlign w:val="center"/>
          </w:tcPr>
          <w:p w14:paraId="02512BC0" w14:textId="5D3B7148" w:rsidR="00CA4DF9" w:rsidRPr="00B478A5" w:rsidRDefault="00854FFD" w:rsidP="00854FF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Pr>
                <w:bCs/>
                <w:color w:val="000000"/>
              </w:rPr>
              <w:t>0</w:t>
            </w:r>
            <w:r w:rsidR="00064B75">
              <w:rPr>
                <w:bCs/>
                <w:color w:val="000000"/>
              </w:rPr>
              <w:t>.167 h</w:t>
            </w:r>
            <w:r>
              <w:rPr>
                <w:bCs/>
                <w:color w:val="000000"/>
              </w:rPr>
              <w:t>r</w:t>
            </w:r>
          </w:p>
        </w:tc>
        <w:tc>
          <w:tcPr>
            <w:tcW w:w="954" w:type="dxa"/>
            <w:vAlign w:val="center"/>
          </w:tcPr>
          <w:p w14:paraId="7F08093D" w14:textId="6A071ECF" w:rsidR="00CA4DF9" w:rsidRPr="00B478A5" w:rsidRDefault="00064B75" w:rsidP="00E109A6">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Cs/>
                <w:color w:val="000000"/>
              </w:rPr>
            </w:pPr>
            <w:r>
              <w:rPr>
                <w:bCs/>
                <w:color w:val="000000"/>
              </w:rPr>
              <w:t>36</w:t>
            </w:r>
          </w:p>
        </w:tc>
        <w:tc>
          <w:tcPr>
            <w:tcW w:w="1172" w:type="dxa"/>
            <w:vAlign w:val="center"/>
          </w:tcPr>
          <w:p w14:paraId="7257549B" w14:textId="65E0B2FB" w:rsidR="00CA4DF9" w:rsidRPr="00B478A5" w:rsidRDefault="00064B75" w:rsidP="00E109A6">
            <w:pPr>
              <w:widowControl/>
              <w:jc w:val="center"/>
              <w:rPr>
                <w:bCs/>
                <w:color w:val="000000"/>
              </w:rPr>
            </w:pPr>
            <w:r>
              <w:rPr>
                <w:bCs/>
                <w:color w:val="000000"/>
              </w:rPr>
              <w:t>117.04</w:t>
            </w:r>
          </w:p>
        </w:tc>
        <w:tc>
          <w:tcPr>
            <w:tcW w:w="1476" w:type="dxa"/>
            <w:vAlign w:val="center"/>
          </w:tcPr>
          <w:p w14:paraId="1B55C15C" w14:textId="488447D2" w:rsidR="00CA4DF9" w:rsidRPr="00B478A5" w:rsidRDefault="00064B75"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t>4,213</w:t>
            </w:r>
          </w:p>
        </w:tc>
      </w:tr>
      <w:tr w:rsidR="00E109A6" w:rsidRPr="00B478A5" w14:paraId="3150B928" w14:textId="77777777" w:rsidTr="00854FFD">
        <w:trPr>
          <w:cantSplit/>
          <w:tblHeader/>
          <w:jc w:val="center"/>
        </w:trPr>
        <w:tc>
          <w:tcPr>
            <w:tcW w:w="1270" w:type="dxa"/>
            <w:shd w:val="clear" w:color="auto" w:fill="EAEAEA"/>
            <w:vAlign w:val="center"/>
          </w:tcPr>
          <w:p w14:paraId="1D8C351F" w14:textId="77777777" w:rsidR="00CA4DF9" w:rsidRPr="00B478A5" w:rsidRDefault="00CA4DF9" w:rsidP="001F297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B478A5">
              <w:rPr>
                <w:b/>
              </w:rPr>
              <w:t>Total</w:t>
            </w:r>
          </w:p>
        </w:tc>
        <w:tc>
          <w:tcPr>
            <w:tcW w:w="1418" w:type="dxa"/>
            <w:shd w:val="clear" w:color="auto" w:fill="EAEAEA"/>
            <w:vAlign w:val="center"/>
          </w:tcPr>
          <w:p w14:paraId="26DE9E73" w14:textId="20523EC8" w:rsidR="00CA4DF9" w:rsidRPr="00B478A5" w:rsidRDefault="000319B8"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t>570</w:t>
            </w:r>
          </w:p>
        </w:tc>
        <w:tc>
          <w:tcPr>
            <w:tcW w:w="1344" w:type="dxa"/>
            <w:shd w:val="clear" w:color="auto" w:fill="EAEAEA"/>
            <w:vAlign w:val="center"/>
          </w:tcPr>
          <w:p w14:paraId="45717536" w14:textId="24903A2B" w:rsidR="00CA4DF9" w:rsidRPr="00B478A5" w:rsidRDefault="007F51D3"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t>Varies</w:t>
            </w:r>
          </w:p>
        </w:tc>
        <w:tc>
          <w:tcPr>
            <w:tcW w:w="1185" w:type="dxa"/>
            <w:shd w:val="clear" w:color="auto" w:fill="EAEAEA"/>
            <w:vAlign w:val="center"/>
          </w:tcPr>
          <w:p w14:paraId="2CAA6921" w14:textId="24D2F822" w:rsidR="00CA4DF9" w:rsidRPr="00B478A5" w:rsidRDefault="001F2972"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t>6,981</w:t>
            </w:r>
          </w:p>
        </w:tc>
        <w:tc>
          <w:tcPr>
            <w:tcW w:w="1099" w:type="dxa"/>
            <w:shd w:val="clear" w:color="auto" w:fill="EAEAEA"/>
            <w:vAlign w:val="center"/>
          </w:tcPr>
          <w:p w14:paraId="208FE451" w14:textId="303E4CB5" w:rsidR="00CA4DF9" w:rsidRPr="00B478A5" w:rsidRDefault="007F51D3"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t>Varies</w:t>
            </w:r>
          </w:p>
        </w:tc>
        <w:tc>
          <w:tcPr>
            <w:tcW w:w="954" w:type="dxa"/>
            <w:shd w:val="clear" w:color="auto" w:fill="EAEAEA"/>
            <w:vAlign w:val="center"/>
          </w:tcPr>
          <w:p w14:paraId="4B36BC49" w14:textId="41307C5A" w:rsidR="00CA4DF9" w:rsidRPr="00B478A5" w:rsidRDefault="001F2972" w:rsidP="001F297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65,390</w:t>
            </w:r>
            <w:r w:rsidR="005421AB">
              <w:t>.5</w:t>
            </w:r>
          </w:p>
        </w:tc>
        <w:tc>
          <w:tcPr>
            <w:tcW w:w="1172" w:type="dxa"/>
            <w:shd w:val="clear" w:color="auto" w:fill="EAEAEA"/>
            <w:vAlign w:val="center"/>
          </w:tcPr>
          <w:p w14:paraId="0DE21397" w14:textId="33AC1D76" w:rsidR="00CA4DF9" w:rsidRPr="00B478A5" w:rsidRDefault="007F51D3"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t>Varies</w:t>
            </w:r>
          </w:p>
        </w:tc>
        <w:tc>
          <w:tcPr>
            <w:tcW w:w="1476" w:type="dxa"/>
            <w:shd w:val="clear" w:color="auto" w:fill="EAEAEA"/>
            <w:vAlign w:val="center"/>
          </w:tcPr>
          <w:p w14:paraId="35163DE1" w14:textId="07C8CBDB" w:rsidR="00CA4DF9" w:rsidRPr="00B478A5" w:rsidRDefault="001F2972" w:rsidP="001F297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pPr>
            <w:r>
              <w:t>5,036,509.50</w:t>
            </w:r>
          </w:p>
        </w:tc>
      </w:tr>
    </w:tbl>
    <w:p w14:paraId="050FDBE2" w14:textId="07946D8C" w:rsidR="00B64431" w:rsidRDefault="00B64431" w:rsidP="00EE2110">
      <w:pPr>
        <w:tabs>
          <w:tab w:val="left" w:pos="-3060"/>
          <w:tab w:val="left" w:pos="0"/>
          <w:tab w:val="left" w:pos="432"/>
          <w:tab w:val="left" w:pos="720"/>
        </w:tabs>
        <w:suppressAutoHyphens/>
        <w:spacing w:line="240" w:lineRule="atLeast"/>
        <w:rPr>
          <w:sz w:val="24"/>
          <w:szCs w:val="24"/>
        </w:rPr>
      </w:pPr>
    </w:p>
    <w:p w14:paraId="04043CD3" w14:textId="77777777" w:rsidR="008C2264" w:rsidRPr="00C46EAC" w:rsidRDefault="008C2264" w:rsidP="008C2264">
      <w:pPr>
        <w:tabs>
          <w:tab w:val="left" w:pos="-3060"/>
          <w:tab w:val="left" w:pos="0"/>
          <w:tab w:val="left" w:pos="432"/>
          <w:tab w:val="left" w:pos="720"/>
        </w:tabs>
        <w:suppressAutoHyphens/>
        <w:spacing w:line="240" w:lineRule="atLeast"/>
        <w:rPr>
          <w:i/>
          <w:sz w:val="24"/>
          <w:szCs w:val="24"/>
        </w:rPr>
      </w:pPr>
      <w:r w:rsidRPr="00C46EAC">
        <w:rPr>
          <w:i/>
          <w:sz w:val="24"/>
          <w:szCs w:val="24"/>
        </w:rPr>
        <w:t>Information Collection Documents</w:t>
      </w:r>
    </w:p>
    <w:p w14:paraId="319E2745" w14:textId="77777777" w:rsidR="008C2264" w:rsidRPr="00C46EAC" w:rsidRDefault="008C2264" w:rsidP="008C2264">
      <w:pPr>
        <w:tabs>
          <w:tab w:val="left" w:pos="-3060"/>
          <w:tab w:val="left" w:pos="0"/>
          <w:tab w:val="left" w:pos="432"/>
          <w:tab w:val="left" w:pos="720"/>
        </w:tabs>
        <w:suppressAutoHyphens/>
        <w:spacing w:line="240" w:lineRule="atLeast"/>
        <w:rPr>
          <w:sz w:val="24"/>
          <w:szCs w:val="24"/>
        </w:rPr>
      </w:pPr>
    </w:p>
    <w:p w14:paraId="1B5559E3" w14:textId="7DE434E9" w:rsidR="008C2264" w:rsidRPr="00C46EAC" w:rsidRDefault="008C2264" w:rsidP="008C2264">
      <w:pPr>
        <w:pStyle w:val="ListParagraph"/>
        <w:numPr>
          <w:ilvl w:val="0"/>
          <w:numId w:val="21"/>
        </w:numPr>
        <w:tabs>
          <w:tab w:val="left" w:pos="-3060"/>
          <w:tab w:val="left" w:pos="0"/>
          <w:tab w:val="left" w:pos="432"/>
          <w:tab w:val="left" w:pos="720"/>
        </w:tabs>
        <w:suppressAutoHyphens/>
        <w:spacing w:line="240" w:lineRule="atLeast"/>
        <w:rPr>
          <w:sz w:val="24"/>
          <w:szCs w:val="24"/>
        </w:rPr>
      </w:pPr>
      <w:r w:rsidRPr="00C46EAC">
        <w:rPr>
          <w:sz w:val="24"/>
          <w:szCs w:val="24"/>
        </w:rPr>
        <w:t>PBP Software Screenshots</w:t>
      </w:r>
      <w:r w:rsidR="001B24C4">
        <w:rPr>
          <w:sz w:val="24"/>
          <w:szCs w:val="24"/>
        </w:rPr>
        <w:t xml:space="preserve"> (No Proposed Changes)</w:t>
      </w:r>
    </w:p>
    <w:p w14:paraId="34660872" w14:textId="4D9B5DA9" w:rsidR="008C2264" w:rsidRPr="00C46EAC" w:rsidRDefault="008C2264" w:rsidP="008C2264">
      <w:pPr>
        <w:pStyle w:val="ListParagraph"/>
        <w:numPr>
          <w:ilvl w:val="0"/>
          <w:numId w:val="21"/>
        </w:numPr>
        <w:tabs>
          <w:tab w:val="left" w:pos="-3060"/>
          <w:tab w:val="left" w:pos="0"/>
          <w:tab w:val="left" w:pos="432"/>
          <w:tab w:val="left" w:pos="720"/>
        </w:tabs>
        <w:suppressAutoHyphens/>
        <w:spacing w:line="240" w:lineRule="atLeast"/>
        <w:rPr>
          <w:sz w:val="24"/>
          <w:szCs w:val="24"/>
        </w:rPr>
      </w:pPr>
      <w:r w:rsidRPr="00C46EAC">
        <w:rPr>
          <w:sz w:val="24"/>
          <w:szCs w:val="24"/>
        </w:rPr>
        <w:t>Formulary File Record Layouts</w:t>
      </w:r>
      <w:r w:rsidR="001B24C4">
        <w:rPr>
          <w:sz w:val="24"/>
          <w:szCs w:val="24"/>
        </w:rPr>
        <w:t xml:space="preserve"> (No Proposed Changes)</w:t>
      </w:r>
    </w:p>
    <w:p w14:paraId="55D0D1A8" w14:textId="77777777" w:rsidR="008C2264" w:rsidRPr="00C46EAC" w:rsidRDefault="008C2264" w:rsidP="00EE2110">
      <w:pPr>
        <w:tabs>
          <w:tab w:val="left" w:pos="-3060"/>
          <w:tab w:val="left" w:pos="0"/>
          <w:tab w:val="left" w:pos="432"/>
          <w:tab w:val="left" w:pos="720"/>
        </w:tabs>
        <w:suppressAutoHyphens/>
        <w:spacing w:line="240" w:lineRule="atLeast"/>
        <w:rPr>
          <w:sz w:val="24"/>
          <w:szCs w:val="24"/>
        </w:rPr>
      </w:pPr>
    </w:p>
    <w:p w14:paraId="4707F824"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13. Capital Costs</w:t>
      </w:r>
    </w:p>
    <w:p w14:paraId="17C75C51" w14:textId="77777777" w:rsidR="00C036E6" w:rsidRPr="00C46EAC" w:rsidRDefault="00C036E6" w:rsidP="00EE2110">
      <w:pPr>
        <w:tabs>
          <w:tab w:val="left" w:pos="-3060"/>
          <w:tab w:val="left" w:pos="0"/>
          <w:tab w:val="left" w:pos="432"/>
          <w:tab w:val="left" w:pos="720"/>
        </w:tabs>
        <w:suppressAutoHyphens/>
        <w:spacing w:line="240" w:lineRule="atLeast"/>
        <w:rPr>
          <w:sz w:val="24"/>
          <w:szCs w:val="24"/>
        </w:rPr>
      </w:pPr>
    </w:p>
    <w:p w14:paraId="562D3DBB" w14:textId="77777777" w:rsidR="00A92BA2"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There </w:t>
      </w:r>
      <w:r w:rsidR="002374CB" w:rsidRPr="00C46EAC">
        <w:rPr>
          <w:sz w:val="24"/>
          <w:szCs w:val="24"/>
        </w:rPr>
        <w:t>is no capital cost</w:t>
      </w:r>
      <w:r w:rsidRPr="00C46EAC">
        <w:rPr>
          <w:sz w:val="24"/>
          <w:szCs w:val="24"/>
        </w:rPr>
        <w:t xml:space="preserve"> needed for this collection effort. </w:t>
      </w:r>
    </w:p>
    <w:p w14:paraId="20A61284" w14:textId="77777777" w:rsidR="00A92BA2" w:rsidRPr="00C46EAC" w:rsidRDefault="00A92BA2" w:rsidP="00EE2110">
      <w:pPr>
        <w:tabs>
          <w:tab w:val="left" w:pos="-3060"/>
          <w:tab w:val="left" w:pos="0"/>
          <w:tab w:val="left" w:pos="432"/>
          <w:tab w:val="left" w:pos="720"/>
        </w:tabs>
        <w:suppressAutoHyphens/>
        <w:spacing w:line="240" w:lineRule="atLeast"/>
        <w:rPr>
          <w:sz w:val="24"/>
          <w:szCs w:val="24"/>
        </w:rPr>
      </w:pPr>
    </w:p>
    <w:p w14:paraId="1E2114CB"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14. Cost to the Federal Government</w:t>
      </w:r>
    </w:p>
    <w:p w14:paraId="7627641E"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03EF9DD1" w14:textId="2EAE89ED" w:rsidR="00887206" w:rsidRDefault="00887206" w:rsidP="00EE2110">
      <w:pPr>
        <w:tabs>
          <w:tab w:val="left" w:pos="-3060"/>
          <w:tab w:val="left" w:pos="0"/>
          <w:tab w:val="left" w:pos="432"/>
          <w:tab w:val="left" w:pos="720"/>
        </w:tabs>
        <w:suppressAutoHyphens/>
        <w:spacing w:line="240" w:lineRule="atLeast"/>
        <w:rPr>
          <w:sz w:val="24"/>
          <w:szCs w:val="24"/>
        </w:rPr>
      </w:pPr>
      <w:r w:rsidRPr="00887206">
        <w:rPr>
          <w:sz w:val="24"/>
          <w:szCs w:val="24"/>
        </w:rPr>
        <w:t>The PBP undergoes annual updates. These updates reflect system updates and help updates for both Part D and Part C. The annual updates are about $1.2 million in burden and this is the average ongoing costs. Since updates happen routinely every year, an extra update does not affect the average cost</w:t>
      </w:r>
      <w:r w:rsidR="00883D13">
        <w:rPr>
          <w:sz w:val="24"/>
          <w:szCs w:val="24"/>
        </w:rPr>
        <w:t>.</w:t>
      </w:r>
    </w:p>
    <w:p w14:paraId="49B13797" w14:textId="77777777" w:rsidR="00883D13" w:rsidRDefault="00883D13" w:rsidP="00EE2110">
      <w:pPr>
        <w:tabs>
          <w:tab w:val="left" w:pos="-3060"/>
          <w:tab w:val="left" w:pos="0"/>
          <w:tab w:val="left" w:pos="432"/>
          <w:tab w:val="left" w:pos="720"/>
        </w:tabs>
        <w:suppressAutoHyphens/>
        <w:spacing w:line="240" w:lineRule="atLeast"/>
        <w:rPr>
          <w:sz w:val="24"/>
          <w:szCs w:val="24"/>
        </w:rPr>
      </w:pPr>
    </w:p>
    <w:p w14:paraId="4826C63D" w14:textId="3D481C24" w:rsidR="00883D13" w:rsidRPr="00883D13" w:rsidRDefault="00883D13" w:rsidP="00883D13">
      <w:pPr>
        <w:tabs>
          <w:tab w:val="left" w:pos="-3060"/>
          <w:tab w:val="left" w:pos="0"/>
          <w:tab w:val="left" w:pos="432"/>
          <w:tab w:val="left" w:pos="720"/>
        </w:tabs>
        <w:suppressAutoHyphens/>
        <w:spacing w:line="240" w:lineRule="atLeast"/>
        <w:rPr>
          <w:sz w:val="24"/>
          <w:szCs w:val="24"/>
        </w:rPr>
      </w:pPr>
      <w:r w:rsidRPr="00883D13">
        <w:rPr>
          <w:sz w:val="24"/>
          <w:szCs w:val="24"/>
        </w:rPr>
        <w:t xml:space="preserve">Consequently, we are not listing the impact on the PBP: </w:t>
      </w:r>
      <w:r w:rsidR="00EA0E08">
        <w:rPr>
          <w:sz w:val="24"/>
          <w:szCs w:val="24"/>
        </w:rPr>
        <w:t>f</w:t>
      </w:r>
      <w:r w:rsidRPr="00883D13">
        <w:rPr>
          <w:sz w:val="24"/>
          <w:szCs w:val="24"/>
        </w:rPr>
        <w:t xml:space="preserve">irst, as just indicated the annual $1.2 million burden (in </w:t>
      </w:r>
      <w:r>
        <w:rPr>
          <w:sz w:val="24"/>
          <w:szCs w:val="24"/>
        </w:rPr>
        <w:t>this package)</w:t>
      </w:r>
      <w:r w:rsidRPr="00883D13">
        <w:rPr>
          <w:sz w:val="24"/>
          <w:szCs w:val="24"/>
        </w:rPr>
        <w:t xml:space="preserve"> includes updates from several sources; second, we have not begun to implement these particular updates and have no way of estimating what it would cost. However, it would be incorrect to simply cite the entire PBP cost and apply it to one upda</w:t>
      </w:r>
      <w:r>
        <w:rPr>
          <w:sz w:val="24"/>
          <w:szCs w:val="24"/>
        </w:rPr>
        <w:t>te</w:t>
      </w:r>
    </w:p>
    <w:p w14:paraId="6BC8EED2" w14:textId="77777777" w:rsidR="00AE10B6" w:rsidRPr="00C46EAC" w:rsidRDefault="00AE10B6" w:rsidP="00101A41">
      <w:pPr>
        <w:tabs>
          <w:tab w:val="left" w:pos="-3060"/>
          <w:tab w:val="left" w:pos="0"/>
          <w:tab w:val="left" w:pos="432"/>
          <w:tab w:val="left" w:pos="720"/>
        </w:tabs>
        <w:suppressAutoHyphens/>
        <w:spacing w:line="240" w:lineRule="atLeast"/>
        <w:rPr>
          <w:sz w:val="24"/>
          <w:szCs w:val="24"/>
        </w:rPr>
      </w:pPr>
    </w:p>
    <w:p w14:paraId="167EEA99" w14:textId="77777777" w:rsidR="00CA01E6" w:rsidRPr="00C46EAC" w:rsidRDefault="00CA01E6" w:rsidP="00832397">
      <w:pPr>
        <w:tabs>
          <w:tab w:val="left" w:pos="-3060"/>
        </w:tabs>
        <w:suppressAutoHyphens/>
        <w:spacing w:line="240" w:lineRule="atLeast"/>
        <w:rPr>
          <w:bCs/>
          <w:sz w:val="24"/>
          <w:szCs w:val="24"/>
          <w:u w:val="single"/>
        </w:rPr>
      </w:pPr>
      <w:r w:rsidRPr="00C46EAC">
        <w:rPr>
          <w:bCs/>
          <w:sz w:val="24"/>
          <w:szCs w:val="24"/>
          <w:u w:val="single"/>
        </w:rPr>
        <w:t>15. Program Changes</w:t>
      </w:r>
    </w:p>
    <w:p w14:paraId="2D860D8A" w14:textId="77777777" w:rsidR="001F67F4" w:rsidRPr="00C46EAC" w:rsidRDefault="001F67F4" w:rsidP="00832397">
      <w:pPr>
        <w:tabs>
          <w:tab w:val="left" w:pos="-3060"/>
        </w:tabs>
        <w:suppressAutoHyphens/>
        <w:spacing w:line="240" w:lineRule="atLeast"/>
        <w:rPr>
          <w:b/>
          <w:bCs/>
          <w:sz w:val="24"/>
          <w:szCs w:val="24"/>
          <w:u w:val="single"/>
        </w:rPr>
      </w:pPr>
    </w:p>
    <w:p w14:paraId="19369D5A" w14:textId="5A04B42F" w:rsidR="005D6A3F" w:rsidRPr="00CA4DF9" w:rsidRDefault="006858C8" w:rsidP="0048264B">
      <w:pPr>
        <w:pStyle w:val="BodyText"/>
        <w:suppressAutoHyphens w:val="0"/>
        <w:spacing w:line="240" w:lineRule="auto"/>
      </w:pPr>
      <w:r>
        <w:t xml:space="preserve">Our </w:t>
      </w:r>
      <w:r w:rsidRPr="00D444B4">
        <w:t xml:space="preserve">November </w:t>
      </w:r>
      <w:r>
        <w:t>30</w:t>
      </w:r>
      <w:r w:rsidRPr="00D444B4">
        <w:t xml:space="preserve">, 2018 (83 FR </w:t>
      </w:r>
      <w:r>
        <w:t>62152)</w:t>
      </w:r>
      <w:r w:rsidRPr="00D444B4">
        <w:t>, proposed rule (CMS-418</w:t>
      </w:r>
      <w:r>
        <w:t>0-</w:t>
      </w:r>
      <w:r w:rsidRPr="00D444B4">
        <w:t>P, RIN 0938-AT9</w:t>
      </w:r>
      <w:r>
        <w:t>2</w:t>
      </w:r>
      <w:r w:rsidRPr="00D444B4">
        <w:t xml:space="preserve">) </w:t>
      </w:r>
      <w:r>
        <w:t>would</w:t>
      </w:r>
      <w:r w:rsidR="005D6A3F" w:rsidRPr="00CA4DF9">
        <w:t xml:space="preserve"> require that that each Part D plan select a real time benefit tool (RTBT) of its choosing by January 1, 2020. We are unable to fully quantify the impact of RTBT implementation due to lack of adequate data. We are unsure if the industry will use third party intermediaries or build their own software. As a result, we solicited comments on the RTBT proposal. However, the following illustrates a sample of the range of potential implementation costs. </w:t>
      </w:r>
    </w:p>
    <w:p w14:paraId="5F3F5558" w14:textId="77777777" w:rsidR="005D6A3F" w:rsidRPr="00CA4DF9" w:rsidRDefault="005D6A3F" w:rsidP="005D6A3F">
      <w:pPr>
        <w:pStyle w:val="xmsonormal"/>
      </w:pPr>
      <w:r w:rsidRPr="00CA4DF9">
        <w:t> </w:t>
      </w:r>
    </w:p>
    <w:p w14:paraId="1BB9EE08" w14:textId="097F125A" w:rsidR="005D6A3F" w:rsidRPr="00CA4DF9" w:rsidRDefault="005D6A3F" w:rsidP="005D6A3F">
      <w:pPr>
        <w:pStyle w:val="CommentText"/>
        <w:rPr>
          <w:sz w:val="24"/>
          <w:szCs w:val="24"/>
        </w:rPr>
      </w:pPr>
      <w:r w:rsidRPr="00CA4DF9">
        <w:rPr>
          <w:sz w:val="24"/>
          <w:szCs w:val="24"/>
        </w:rPr>
        <w:t>Under the following scenarios plans used their own software resulting in a cost ranging from $1.05 million to $4.2 million. This cost is based on a unit of two software developers, two programmers, two physicians and two pharmacists whereby the programmers are needed to write the code while the software developers are needed for business requirements. Both physicians and pharmacists would be needed to identify clinically equivalent drugs.</w:t>
      </w:r>
    </w:p>
    <w:p w14:paraId="46ED734F" w14:textId="77777777" w:rsidR="005D6A3F" w:rsidRPr="00CA4DF9" w:rsidRDefault="005D6A3F" w:rsidP="005D6A3F">
      <w:pPr>
        <w:pStyle w:val="CommentText"/>
        <w:rPr>
          <w:sz w:val="24"/>
          <w:szCs w:val="24"/>
        </w:rPr>
      </w:pPr>
    </w:p>
    <w:p w14:paraId="1E6D85B4" w14:textId="6AEFC69B" w:rsidR="005D6A3F" w:rsidRPr="00CA4DF9" w:rsidRDefault="005D6A3F" w:rsidP="005D6A3F">
      <w:pPr>
        <w:pStyle w:val="CommentText"/>
        <w:rPr>
          <w:sz w:val="24"/>
          <w:szCs w:val="24"/>
        </w:rPr>
      </w:pPr>
      <w:r w:rsidRPr="00CA4DF9">
        <w:rPr>
          <w:sz w:val="24"/>
          <w:szCs w:val="24"/>
        </w:rPr>
        <w:t>We have detailed this cost in the table below. This $8,192 which is the cost per day for a unit of 8 staff is used as a factor which is multiplied by the number of days that might be needed to create the software. We informally spoke to industry and they suggested it would take half a year to 2 years. The corresponding impacts are described below</w:t>
      </w:r>
    </w:p>
    <w:p w14:paraId="6AAF025C" w14:textId="77777777" w:rsidR="005D6A3F" w:rsidRPr="00CA4DF9" w:rsidRDefault="005D6A3F" w:rsidP="005D6A3F">
      <w:pPr>
        <w:pStyle w:val="xmsonormal"/>
        <w:ind w:firstLine="720"/>
      </w:pPr>
      <w:r w:rsidRPr="00CA4DF9">
        <w:t>The following examples of impacts of scenarios are illustrative:</w:t>
      </w:r>
    </w:p>
    <w:p w14:paraId="56FA778F" w14:textId="5C0E401E" w:rsidR="005D6A3F" w:rsidRPr="00CA4DF9" w:rsidRDefault="005D6A3F" w:rsidP="005D6A3F">
      <w:pPr>
        <w:pStyle w:val="xmsonormal"/>
        <w:ind w:firstLine="720"/>
      </w:pPr>
      <w:r w:rsidRPr="00CA4DF9">
        <w:rPr>
          <w:snapToGrid w:val="0"/>
        </w:rPr>
        <w:t xml:space="preserve">●  </w:t>
      </w:r>
      <w:r w:rsidRPr="00CA4DF9">
        <w:t>If we assume a year of work is needed we would need $2.1 million (52 weeks x 5 days a week x $8,192 cost per day) per organization</w:t>
      </w:r>
    </w:p>
    <w:p w14:paraId="61C9979E" w14:textId="123B0236" w:rsidR="005D6A3F" w:rsidRPr="00CA4DF9" w:rsidRDefault="005D6A3F" w:rsidP="005D6A3F">
      <w:pPr>
        <w:pStyle w:val="xmsolistparagraph"/>
        <w:ind w:left="0" w:firstLine="720"/>
      </w:pPr>
      <w:r w:rsidRPr="00CA4DF9">
        <w:rPr>
          <w:rFonts w:ascii="Times New Roman" w:hAnsi="Times New Roman"/>
          <w:sz w:val="24"/>
          <w:szCs w:val="24"/>
        </w:rPr>
        <w:t>●  If we assume that 2 years of work is needed, we would double the $1-year impact with a resulting cost of $4.2 million ($2.1 million/ year x 2 years) per organization</w:t>
      </w:r>
    </w:p>
    <w:p w14:paraId="0DCA6D1B" w14:textId="669E4C0A" w:rsidR="005D6A3F" w:rsidRPr="00CA4DF9" w:rsidRDefault="005D6A3F" w:rsidP="005D6A3F">
      <w:pPr>
        <w:pStyle w:val="xmsonormal"/>
        <w:ind w:firstLine="720"/>
      </w:pPr>
      <w:r w:rsidRPr="00CA4DF9">
        <w:rPr>
          <w:snapToGrid w:val="0"/>
        </w:rPr>
        <w:t xml:space="preserve">●  </w:t>
      </w:r>
      <w:r w:rsidRPr="00CA4DF9">
        <w:t>If we assume only 6 months are needed then half would be needed ($1.05 million or $2.1 million / 2) per organization.</w:t>
      </w:r>
    </w:p>
    <w:p w14:paraId="29C85D15" w14:textId="77777777" w:rsidR="005D6A3F" w:rsidRPr="00CA4DF9" w:rsidRDefault="005D6A3F" w:rsidP="005D6A3F">
      <w:pPr>
        <w:pStyle w:val="xmsonormal"/>
        <w:ind w:firstLine="720"/>
      </w:pPr>
    </w:p>
    <w:p w14:paraId="06A7B1EB" w14:textId="77777777" w:rsidR="005D6A3F" w:rsidRPr="00CA4DF9" w:rsidRDefault="005D6A3F" w:rsidP="00EB0FA6">
      <w:pPr>
        <w:pStyle w:val="xmsonormal"/>
      </w:pPr>
      <w:r w:rsidRPr="00CA4DF9">
        <w:t>In addition to the uncertainties just documented, we are uncertain on how many organizations already have RTBT and of those who do not have it, what portion will implement RTBT through their own software.</w:t>
      </w:r>
    </w:p>
    <w:p w14:paraId="6A613C31" w14:textId="77777777" w:rsidR="005D6A3F" w:rsidRPr="00CA4DF9" w:rsidRDefault="005D6A3F" w:rsidP="005D6A3F">
      <w:pPr>
        <w:pStyle w:val="xmsonormal"/>
      </w:pPr>
      <w:r w:rsidRPr="00CA4DF9">
        <w:t> </w:t>
      </w:r>
    </w:p>
    <w:p w14:paraId="2F4F0A01" w14:textId="7CD0902E" w:rsidR="005D6A3F" w:rsidRPr="00CA4DF9" w:rsidRDefault="005D6A3F" w:rsidP="005D6A3F">
      <w:pPr>
        <w:pStyle w:val="xmsonormal"/>
      </w:pPr>
      <w:r w:rsidRPr="00CA4DF9">
        <w:t xml:space="preserve">If plans were to use intermediaries, the cost could range depending on the cost per transaction, which can range from $.01/transaction for plans with large volumes to $.50/transaction for smaller plans. If we multiply this amount by the estimated 1.4 billion PDE transactions per year, which is the number based on internal CMS data, this net cost could range from $14 million year to $700,000,000/year.   </w:t>
      </w:r>
    </w:p>
    <w:p w14:paraId="063F98EA" w14:textId="77777777" w:rsidR="005D6A3F" w:rsidRPr="00CA4DF9" w:rsidRDefault="005D6A3F" w:rsidP="005D6A3F">
      <w:pPr>
        <w:pStyle w:val="xmsonormal"/>
      </w:pPr>
    </w:p>
    <w:p w14:paraId="50DA0699" w14:textId="77777777" w:rsidR="005D6A3F" w:rsidRPr="00CA4DF9" w:rsidRDefault="005D6A3F" w:rsidP="005D6A3F">
      <w:pPr>
        <w:pStyle w:val="xmsonormal"/>
      </w:pPr>
      <w:r w:rsidRPr="00CA4DF9">
        <w:t>In addition to the uncertainty mentioned in the previous paragraph, there is uncertainty on how many PDE events per year will benefit from RTBT; clearly this number is significantly below 1.4 billion. We are also uncertain on how many organizations would use this and thus cannot estimate the cost per organization.</w:t>
      </w:r>
    </w:p>
    <w:p w14:paraId="573C0142" w14:textId="77777777" w:rsidR="005D6A3F" w:rsidRPr="00CA4DF9" w:rsidRDefault="005D6A3F" w:rsidP="005D6A3F">
      <w:pPr>
        <w:pStyle w:val="xmsonormal"/>
      </w:pPr>
    </w:p>
    <w:p w14:paraId="34092D79" w14:textId="4C368C75" w:rsidR="005D6A3F" w:rsidRDefault="005D6A3F" w:rsidP="005D6A3F">
      <w:pPr>
        <w:pStyle w:val="BodyText"/>
        <w:suppressAutoHyphens w:val="0"/>
        <w:spacing w:line="240" w:lineRule="auto"/>
      </w:pPr>
      <w:r w:rsidRPr="00CA4DF9">
        <w:t>Based on the above, we are not quantitatively scoring this provision.</w:t>
      </w:r>
    </w:p>
    <w:p w14:paraId="63B74F5A" w14:textId="77777777" w:rsidR="007506EC" w:rsidRPr="00CA4DF9" w:rsidRDefault="007506EC" w:rsidP="005D6A3F">
      <w:pPr>
        <w:pStyle w:val="BodyText"/>
        <w:suppressAutoHyphens w:val="0"/>
        <w:spacing w:line="240" w:lineRule="auto"/>
      </w:pPr>
    </w:p>
    <w:tbl>
      <w:tblPr>
        <w:tblW w:w="107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05"/>
        <w:gridCol w:w="2482"/>
        <w:gridCol w:w="1080"/>
        <w:gridCol w:w="1080"/>
        <w:gridCol w:w="962"/>
        <w:gridCol w:w="928"/>
        <w:gridCol w:w="1350"/>
        <w:gridCol w:w="810"/>
        <w:gridCol w:w="810"/>
      </w:tblGrid>
      <w:tr w:rsidR="005D6A3F" w:rsidRPr="00CA4DF9" w14:paraId="5C00892F" w14:textId="77777777" w:rsidTr="001F2972">
        <w:trPr>
          <w:cantSplit/>
          <w:jc w:val="center"/>
        </w:trPr>
        <w:tc>
          <w:tcPr>
            <w:tcW w:w="1205" w:type="dxa"/>
            <w:shd w:val="clear" w:color="auto" w:fill="auto"/>
            <w:vAlign w:val="center"/>
            <w:hideMark/>
          </w:tcPr>
          <w:p w14:paraId="5F225565" w14:textId="77777777" w:rsidR="005D6A3F" w:rsidRPr="00CA4DF9" w:rsidRDefault="005D6A3F" w:rsidP="0048264B">
            <w:pPr>
              <w:keepNext/>
              <w:jc w:val="center"/>
              <w:rPr>
                <w:b/>
                <w:color w:val="000000"/>
              </w:rPr>
            </w:pPr>
            <w:r w:rsidRPr="00CA4DF9">
              <w:rPr>
                <w:b/>
                <w:color w:val="000000"/>
              </w:rPr>
              <w:t>BLS Occupation Code</w:t>
            </w:r>
          </w:p>
        </w:tc>
        <w:tc>
          <w:tcPr>
            <w:tcW w:w="2482" w:type="dxa"/>
            <w:shd w:val="clear" w:color="auto" w:fill="auto"/>
            <w:vAlign w:val="center"/>
            <w:hideMark/>
          </w:tcPr>
          <w:p w14:paraId="4332E6BF" w14:textId="77777777" w:rsidR="005D6A3F" w:rsidRPr="00CA4DF9" w:rsidRDefault="005D6A3F" w:rsidP="0048264B">
            <w:pPr>
              <w:keepNext/>
              <w:jc w:val="center"/>
              <w:rPr>
                <w:b/>
                <w:color w:val="000000"/>
              </w:rPr>
            </w:pPr>
            <w:r w:rsidRPr="00CA4DF9">
              <w:rPr>
                <w:b/>
                <w:color w:val="000000"/>
              </w:rPr>
              <w:t xml:space="preserve">Occupation </w:t>
            </w:r>
            <w:r w:rsidRPr="00CA4DF9">
              <w:rPr>
                <w:b/>
                <w:color w:val="000000"/>
                <w:lang w:bidi="he-IL"/>
              </w:rPr>
              <w:t>Title</w:t>
            </w:r>
          </w:p>
        </w:tc>
        <w:tc>
          <w:tcPr>
            <w:tcW w:w="1080" w:type="dxa"/>
            <w:shd w:val="clear" w:color="auto" w:fill="auto"/>
            <w:vAlign w:val="center"/>
            <w:hideMark/>
          </w:tcPr>
          <w:p w14:paraId="12CB0C2D" w14:textId="77777777" w:rsidR="005D6A3F" w:rsidRPr="00CA4DF9" w:rsidRDefault="005D6A3F" w:rsidP="0048264B">
            <w:pPr>
              <w:keepNext/>
              <w:jc w:val="center"/>
              <w:rPr>
                <w:b/>
                <w:color w:val="000000"/>
              </w:rPr>
            </w:pPr>
            <w:r w:rsidRPr="00CA4DF9">
              <w:rPr>
                <w:b/>
                <w:color w:val="000000"/>
                <w:lang w:bidi="he-IL"/>
              </w:rPr>
              <w:t>Mean Wages</w:t>
            </w:r>
            <w:r w:rsidRPr="00CA4DF9">
              <w:rPr>
                <w:b/>
                <w:color w:val="000000"/>
              </w:rPr>
              <w:t xml:space="preserve"> per </w:t>
            </w:r>
            <w:r w:rsidRPr="00CA4DF9">
              <w:rPr>
                <w:b/>
                <w:color w:val="000000"/>
                <w:lang w:bidi="he-IL"/>
              </w:rPr>
              <w:t>Hour</w:t>
            </w:r>
          </w:p>
        </w:tc>
        <w:tc>
          <w:tcPr>
            <w:tcW w:w="1080" w:type="dxa"/>
            <w:shd w:val="clear" w:color="auto" w:fill="auto"/>
            <w:vAlign w:val="center"/>
            <w:hideMark/>
          </w:tcPr>
          <w:p w14:paraId="129EC536" w14:textId="77777777" w:rsidR="005D6A3F" w:rsidRPr="00CA4DF9" w:rsidRDefault="005D6A3F" w:rsidP="0048264B">
            <w:pPr>
              <w:keepNext/>
              <w:jc w:val="center"/>
              <w:rPr>
                <w:b/>
                <w:color w:val="000000"/>
              </w:rPr>
            </w:pPr>
            <w:r w:rsidRPr="00CA4DF9">
              <w:rPr>
                <w:b/>
                <w:color w:val="000000"/>
              </w:rPr>
              <w:t>Fringe Benefits and Overtime</w:t>
            </w:r>
          </w:p>
        </w:tc>
        <w:tc>
          <w:tcPr>
            <w:tcW w:w="962" w:type="dxa"/>
            <w:shd w:val="clear" w:color="auto" w:fill="auto"/>
            <w:vAlign w:val="center"/>
            <w:hideMark/>
          </w:tcPr>
          <w:p w14:paraId="70005832" w14:textId="77777777" w:rsidR="005D6A3F" w:rsidRPr="00CA4DF9" w:rsidRDefault="005D6A3F" w:rsidP="0048264B">
            <w:pPr>
              <w:keepNext/>
              <w:jc w:val="center"/>
              <w:rPr>
                <w:b/>
                <w:color w:val="000000"/>
              </w:rPr>
            </w:pPr>
            <w:r w:rsidRPr="00CA4DF9">
              <w:rPr>
                <w:b/>
                <w:color w:val="000000"/>
              </w:rPr>
              <w:t xml:space="preserve">Wage per </w:t>
            </w:r>
            <w:r w:rsidRPr="00CA4DF9">
              <w:rPr>
                <w:b/>
                <w:color w:val="000000"/>
                <w:lang w:bidi="he-IL"/>
              </w:rPr>
              <w:t>Person</w:t>
            </w:r>
          </w:p>
        </w:tc>
        <w:tc>
          <w:tcPr>
            <w:tcW w:w="928" w:type="dxa"/>
            <w:shd w:val="clear" w:color="auto" w:fill="auto"/>
            <w:vAlign w:val="center"/>
            <w:hideMark/>
          </w:tcPr>
          <w:p w14:paraId="58445D1D" w14:textId="77777777" w:rsidR="005D6A3F" w:rsidRPr="00CA4DF9" w:rsidRDefault="005D6A3F" w:rsidP="0048264B">
            <w:pPr>
              <w:keepNext/>
              <w:jc w:val="center"/>
              <w:rPr>
                <w:b/>
                <w:color w:val="000000"/>
                <w:lang w:bidi="he-IL"/>
              </w:rPr>
            </w:pPr>
            <w:r w:rsidRPr="00CA4DF9">
              <w:rPr>
                <w:b/>
                <w:color w:val="000000"/>
              </w:rPr>
              <w:t xml:space="preserve">Number </w:t>
            </w:r>
          </w:p>
          <w:p w14:paraId="51B5118D" w14:textId="77777777" w:rsidR="005D6A3F" w:rsidRPr="00CA4DF9" w:rsidRDefault="005D6A3F" w:rsidP="0048264B">
            <w:pPr>
              <w:keepNext/>
              <w:jc w:val="center"/>
              <w:rPr>
                <w:b/>
                <w:color w:val="000000"/>
                <w:lang w:bidi="he-IL"/>
              </w:rPr>
            </w:pPr>
            <w:r w:rsidRPr="00CA4DF9">
              <w:rPr>
                <w:b/>
                <w:color w:val="000000"/>
                <w:lang w:bidi="he-IL"/>
              </w:rPr>
              <w:t>of</w:t>
            </w:r>
          </w:p>
          <w:p w14:paraId="2A6F3D45" w14:textId="77777777" w:rsidR="005D6A3F" w:rsidRPr="00CA4DF9" w:rsidRDefault="005D6A3F" w:rsidP="0048264B">
            <w:pPr>
              <w:keepNext/>
              <w:jc w:val="center"/>
              <w:rPr>
                <w:b/>
                <w:color w:val="000000"/>
              </w:rPr>
            </w:pPr>
            <w:r w:rsidRPr="00CA4DF9">
              <w:rPr>
                <w:b/>
                <w:color w:val="000000"/>
                <w:lang w:bidi="he-IL"/>
              </w:rPr>
              <w:t>People</w:t>
            </w:r>
          </w:p>
        </w:tc>
        <w:tc>
          <w:tcPr>
            <w:tcW w:w="1350" w:type="dxa"/>
            <w:shd w:val="clear" w:color="auto" w:fill="auto"/>
            <w:vAlign w:val="center"/>
            <w:hideMark/>
          </w:tcPr>
          <w:p w14:paraId="088E3AE4" w14:textId="77777777" w:rsidR="005D6A3F" w:rsidRPr="00CA4DF9" w:rsidRDefault="005D6A3F" w:rsidP="0048264B">
            <w:pPr>
              <w:keepNext/>
              <w:jc w:val="center"/>
              <w:rPr>
                <w:b/>
                <w:color w:val="000000"/>
              </w:rPr>
            </w:pPr>
            <w:r w:rsidRPr="00CA4DF9">
              <w:rPr>
                <w:b/>
                <w:color w:val="000000"/>
              </w:rPr>
              <w:t xml:space="preserve">Wage per </w:t>
            </w:r>
            <w:r w:rsidRPr="00CA4DF9">
              <w:rPr>
                <w:b/>
                <w:color w:val="000000"/>
                <w:lang w:bidi="he-IL"/>
              </w:rPr>
              <w:t>Occupation</w:t>
            </w:r>
          </w:p>
        </w:tc>
        <w:tc>
          <w:tcPr>
            <w:tcW w:w="810" w:type="dxa"/>
            <w:shd w:val="clear" w:color="auto" w:fill="auto"/>
            <w:vAlign w:val="center"/>
            <w:hideMark/>
          </w:tcPr>
          <w:p w14:paraId="5375E07E" w14:textId="77777777" w:rsidR="005D6A3F" w:rsidRPr="00CA4DF9" w:rsidRDefault="005D6A3F" w:rsidP="0048264B">
            <w:pPr>
              <w:keepNext/>
              <w:jc w:val="center"/>
              <w:rPr>
                <w:b/>
                <w:color w:val="000000"/>
              </w:rPr>
            </w:pPr>
            <w:r w:rsidRPr="00CA4DF9">
              <w:rPr>
                <w:b/>
                <w:color w:val="000000"/>
              </w:rPr>
              <w:t xml:space="preserve">Hours per </w:t>
            </w:r>
            <w:r w:rsidRPr="00CA4DF9">
              <w:rPr>
                <w:b/>
                <w:color w:val="000000"/>
                <w:lang w:bidi="he-IL"/>
              </w:rPr>
              <w:t>Day</w:t>
            </w:r>
          </w:p>
        </w:tc>
        <w:tc>
          <w:tcPr>
            <w:tcW w:w="810" w:type="dxa"/>
            <w:shd w:val="clear" w:color="auto" w:fill="auto"/>
            <w:vAlign w:val="center"/>
            <w:hideMark/>
          </w:tcPr>
          <w:p w14:paraId="6C322D4B" w14:textId="77777777" w:rsidR="005D6A3F" w:rsidRPr="00CA4DF9" w:rsidRDefault="005D6A3F" w:rsidP="0048264B">
            <w:pPr>
              <w:keepNext/>
              <w:jc w:val="center"/>
              <w:rPr>
                <w:b/>
                <w:color w:val="000000"/>
              </w:rPr>
            </w:pPr>
            <w:r w:rsidRPr="00CA4DF9">
              <w:rPr>
                <w:b/>
                <w:color w:val="000000"/>
              </w:rPr>
              <w:t xml:space="preserve">Wage per </w:t>
            </w:r>
            <w:r w:rsidRPr="00CA4DF9">
              <w:rPr>
                <w:b/>
                <w:color w:val="000000"/>
                <w:lang w:bidi="he-IL"/>
              </w:rPr>
              <w:t>Day</w:t>
            </w:r>
          </w:p>
        </w:tc>
      </w:tr>
      <w:tr w:rsidR="005D6A3F" w:rsidRPr="00CA4DF9" w14:paraId="64C7D846" w14:textId="77777777" w:rsidTr="001F2972">
        <w:trPr>
          <w:cantSplit/>
          <w:jc w:val="center"/>
        </w:trPr>
        <w:tc>
          <w:tcPr>
            <w:tcW w:w="1205" w:type="dxa"/>
            <w:shd w:val="clear" w:color="auto" w:fill="auto"/>
            <w:vAlign w:val="center"/>
            <w:hideMark/>
          </w:tcPr>
          <w:p w14:paraId="1B9BC27E" w14:textId="77777777" w:rsidR="005D6A3F" w:rsidRPr="00CA4DF9" w:rsidRDefault="005D6A3F" w:rsidP="0048264B">
            <w:pPr>
              <w:keepNext/>
              <w:rPr>
                <w:color w:val="000000"/>
              </w:rPr>
            </w:pPr>
            <w:r w:rsidRPr="00CA4DF9">
              <w:rPr>
                <w:color w:val="000000"/>
              </w:rPr>
              <w:t>29-1051</w:t>
            </w:r>
          </w:p>
        </w:tc>
        <w:tc>
          <w:tcPr>
            <w:tcW w:w="2482" w:type="dxa"/>
            <w:shd w:val="clear" w:color="auto" w:fill="auto"/>
            <w:vAlign w:val="center"/>
            <w:hideMark/>
          </w:tcPr>
          <w:p w14:paraId="41811D43" w14:textId="77777777" w:rsidR="005D6A3F" w:rsidRPr="00CA4DF9" w:rsidRDefault="005D6A3F" w:rsidP="0048264B">
            <w:pPr>
              <w:keepNext/>
              <w:rPr>
                <w:color w:val="000000"/>
              </w:rPr>
            </w:pPr>
            <w:r w:rsidRPr="00CA4DF9">
              <w:rPr>
                <w:color w:val="000000"/>
              </w:rPr>
              <w:t>Pharmacists</w:t>
            </w:r>
          </w:p>
        </w:tc>
        <w:tc>
          <w:tcPr>
            <w:tcW w:w="1080" w:type="dxa"/>
            <w:shd w:val="clear" w:color="auto" w:fill="auto"/>
            <w:vAlign w:val="center"/>
            <w:hideMark/>
          </w:tcPr>
          <w:p w14:paraId="114C63BE" w14:textId="77777777" w:rsidR="005D6A3F" w:rsidRPr="00CA4DF9" w:rsidRDefault="005D6A3F" w:rsidP="0048264B">
            <w:pPr>
              <w:keepNext/>
              <w:jc w:val="center"/>
              <w:rPr>
                <w:color w:val="000000"/>
              </w:rPr>
            </w:pPr>
            <w:r w:rsidRPr="00CA4DF9">
              <w:rPr>
                <w:color w:val="000000"/>
                <w:lang w:bidi="he-IL"/>
              </w:rPr>
              <w:t>$</w:t>
            </w:r>
            <w:r w:rsidRPr="00CA4DF9">
              <w:rPr>
                <w:color w:val="000000"/>
              </w:rPr>
              <w:t>58.52</w:t>
            </w:r>
          </w:p>
        </w:tc>
        <w:tc>
          <w:tcPr>
            <w:tcW w:w="1080" w:type="dxa"/>
            <w:shd w:val="clear" w:color="auto" w:fill="auto"/>
            <w:vAlign w:val="center"/>
            <w:hideMark/>
          </w:tcPr>
          <w:p w14:paraId="3A9B1FAE" w14:textId="77777777" w:rsidR="005D6A3F" w:rsidRPr="00CA4DF9" w:rsidRDefault="005D6A3F" w:rsidP="0048264B">
            <w:pPr>
              <w:keepNext/>
              <w:jc w:val="center"/>
              <w:rPr>
                <w:color w:val="000000"/>
              </w:rPr>
            </w:pPr>
            <w:r w:rsidRPr="00CA4DF9">
              <w:rPr>
                <w:color w:val="000000"/>
                <w:lang w:bidi="he-IL"/>
              </w:rPr>
              <w:t>$</w:t>
            </w:r>
            <w:r w:rsidRPr="00CA4DF9">
              <w:rPr>
                <w:color w:val="000000"/>
              </w:rPr>
              <w:t>58.52</w:t>
            </w:r>
          </w:p>
        </w:tc>
        <w:tc>
          <w:tcPr>
            <w:tcW w:w="962" w:type="dxa"/>
            <w:shd w:val="clear" w:color="auto" w:fill="auto"/>
            <w:vAlign w:val="center"/>
            <w:hideMark/>
          </w:tcPr>
          <w:p w14:paraId="6C1B1DC4" w14:textId="77777777" w:rsidR="005D6A3F" w:rsidRPr="00CA4DF9" w:rsidRDefault="005D6A3F" w:rsidP="0048264B">
            <w:pPr>
              <w:keepNext/>
              <w:jc w:val="center"/>
              <w:rPr>
                <w:color w:val="000000"/>
              </w:rPr>
            </w:pPr>
            <w:r w:rsidRPr="00CA4DF9">
              <w:rPr>
                <w:color w:val="000000"/>
                <w:lang w:bidi="he-IL"/>
              </w:rPr>
              <w:t>$</w:t>
            </w:r>
            <w:r w:rsidRPr="00CA4DF9">
              <w:rPr>
                <w:color w:val="000000"/>
              </w:rPr>
              <w:t>117.04</w:t>
            </w:r>
          </w:p>
        </w:tc>
        <w:tc>
          <w:tcPr>
            <w:tcW w:w="928" w:type="dxa"/>
            <w:shd w:val="clear" w:color="auto" w:fill="auto"/>
            <w:vAlign w:val="center"/>
            <w:hideMark/>
          </w:tcPr>
          <w:p w14:paraId="6751D3F3" w14:textId="77777777" w:rsidR="005D6A3F" w:rsidRPr="00CA4DF9" w:rsidRDefault="005D6A3F" w:rsidP="0048264B">
            <w:pPr>
              <w:keepNext/>
              <w:jc w:val="center"/>
              <w:rPr>
                <w:color w:val="000000"/>
              </w:rPr>
            </w:pPr>
            <w:r w:rsidRPr="00CA4DF9">
              <w:rPr>
                <w:color w:val="000000"/>
              </w:rPr>
              <w:t>2</w:t>
            </w:r>
          </w:p>
        </w:tc>
        <w:tc>
          <w:tcPr>
            <w:tcW w:w="1350" w:type="dxa"/>
            <w:shd w:val="clear" w:color="auto" w:fill="auto"/>
            <w:vAlign w:val="center"/>
            <w:hideMark/>
          </w:tcPr>
          <w:p w14:paraId="493CF2E9" w14:textId="77777777" w:rsidR="005D6A3F" w:rsidRPr="00CA4DF9" w:rsidRDefault="005D6A3F" w:rsidP="0048264B">
            <w:pPr>
              <w:keepNext/>
              <w:jc w:val="center"/>
              <w:rPr>
                <w:color w:val="000000"/>
              </w:rPr>
            </w:pPr>
            <w:r w:rsidRPr="00CA4DF9">
              <w:rPr>
                <w:color w:val="000000"/>
                <w:lang w:bidi="he-IL"/>
              </w:rPr>
              <w:t>$</w:t>
            </w:r>
            <w:r w:rsidRPr="00CA4DF9">
              <w:rPr>
                <w:color w:val="000000"/>
              </w:rPr>
              <w:t>234.08</w:t>
            </w:r>
          </w:p>
        </w:tc>
        <w:tc>
          <w:tcPr>
            <w:tcW w:w="810" w:type="dxa"/>
            <w:shd w:val="clear" w:color="auto" w:fill="auto"/>
            <w:vAlign w:val="center"/>
            <w:hideMark/>
          </w:tcPr>
          <w:p w14:paraId="423FA21F" w14:textId="77777777" w:rsidR="005D6A3F" w:rsidRPr="00CA4DF9" w:rsidRDefault="005D6A3F" w:rsidP="0048264B">
            <w:pPr>
              <w:keepNext/>
              <w:jc w:val="center"/>
              <w:rPr>
                <w:color w:val="000000"/>
              </w:rPr>
            </w:pPr>
            <w:r w:rsidRPr="00CA4DF9">
              <w:rPr>
                <w:color w:val="000000"/>
              </w:rPr>
              <w:t>8</w:t>
            </w:r>
          </w:p>
        </w:tc>
        <w:tc>
          <w:tcPr>
            <w:tcW w:w="810" w:type="dxa"/>
            <w:shd w:val="clear" w:color="auto" w:fill="auto"/>
            <w:vAlign w:val="center"/>
            <w:hideMark/>
          </w:tcPr>
          <w:p w14:paraId="1E3B520F" w14:textId="68382840" w:rsidR="005D6A3F" w:rsidRPr="00CA4DF9" w:rsidRDefault="005D6A3F" w:rsidP="0048264B">
            <w:pPr>
              <w:keepNext/>
              <w:jc w:val="center"/>
              <w:rPr>
                <w:color w:val="000000"/>
              </w:rPr>
            </w:pPr>
            <w:r w:rsidRPr="00CA4DF9">
              <w:rPr>
                <w:color w:val="000000"/>
                <w:lang w:bidi="he-IL"/>
              </w:rPr>
              <w:t>$</w:t>
            </w:r>
            <w:r w:rsidRPr="00CA4DF9">
              <w:rPr>
                <w:color w:val="000000"/>
              </w:rPr>
              <w:t>1,873</w:t>
            </w:r>
          </w:p>
        </w:tc>
      </w:tr>
      <w:tr w:rsidR="005D6A3F" w:rsidRPr="00CA4DF9" w14:paraId="46D2A65C" w14:textId="77777777" w:rsidTr="001F2972">
        <w:trPr>
          <w:cantSplit/>
          <w:jc w:val="center"/>
        </w:trPr>
        <w:tc>
          <w:tcPr>
            <w:tcW w:w="1205" w:type="dxa"/>
            <w:shd w:val="clear" w:color="auto" w:fill="auto"/>
            <w:vAlign w:val="center"/>
          </w:tcPr>
          <w:p w14:paraId="61C0D290" w14:textId="77777777" w:rsidR="005D6A3F" w:rsidRPr="00CA4DF9" w:rsidRDefault="005D6A3F" w:rsidP="0048264B">
            <w:pPr>
              <w:rPr>
                <w:color w:val="000000"/>
              </w:rPr>
            </w:pPr>
            <w:r w:rsidRPr="00CA4DF9">
              <w:rPr>
                <w:color w:val="000000"/>
              </w:rPr>
              <w:t>29-1060</w:t>
            </w:r>
          </w:p>
        </w:tc>
        <w:tc>
          <w:tcPr>
            <w:tcW w:w="2482" w:type="dxa"/>
            <w:shd w:val="clear" w:color="auto" w:fill="auto"/>
            <w:vAlign w:val="center"/>
          </w:tcPr>
          <w:p w14:paraId="3D5AD60C" w14:textId="77777777" w:rsidR="005D6A3F" w:rsidRPr="00CA4DF9" w:rsidRDefault="005D6A3F" w:rsidP="0048264B">
            <w:pPr>
              <w:rPr>
                <w:color w:val="000000"/>
              </w:rPr>
            </w:pPr>
            <w:r w:rsidRPr="00CA4DF9">
              <w:rPr>
                <w:color w:val="000000"/>
              </w:rPr>
              <w:t>Physicians</w:t>
            </w:r>
          </w:p>
        </w:tc>
        <w:tc>
          <w:tcPr>
            <w:tcW w:w="1080" w:type="dxa"/>
            <w:shd w:val="clear" w:color="auto" w:fill="auto"/>
            <w:vAlign w:val="center"/>
          </w:tcPr>
          <w:p w14:paraId="60D26E3D" w14:textId="77777777" w:rsidR="005D6A3F" w:rsidRPr="00CA4DF9" w:rsidRDefault="005D6A3F" w:rsidP="0048264B">
            <w:pPr>
              <w:jc w:val="center"/>
              <w:rPr>
                <w:color w:val="000000"/>
              </w:rPr>
            </w:pPr>
            <w:r w:rsidRPr="00CA4DF9">
              <w:rPr>
                <w:color w:val="000000"/>
                <w:lang w:bidi="he-IL"/>
              </w:rPr>
              <w:t>$</w:t>
            </w:r>
            <w:r w:rsidRPr="00CA4DF9">
              <w:rPr>
                <w:color w:val="000000"/>
              </w:rPr>
              <w:t>101.63</w:t>
            </w:r>
          </w:p>
        </w:tc>
        <w:tc>
          <w:tcPr>
            <w:tcW w:w="1080" w:type="dxa"/>
            <w:shd w:val="clear" w:color="auto" w:fill="auto"/>
            <w:vAlign w:val="center"/>
          </w:tcPr>
          <w:p w14:paraId="03DBF8E0" w14:textId="77777777" w:rsidR="005D6A3F" w:rsidRPr="00CA4DF9" w:rsidRDefault="005D6A3F" w:rsidP="0048264B">
            <w:pPr>
              <w:jc w:val="center"/>
              <w:rPr>
                <w:color w:val="000000"/>
              </w:rPr>
            </w:pPr>
            <w:r w:rsidRPr="00CA4DF9">
              <w:rPr>
                <w:color w:val="000000"/>
                <w:lang w:bidi="he-IL"/>
              </w:rPr>
              <w:t>$</w:t>
            </w:r>
            <w:r w:rsidRPr="00CA4DF9">
              <w:rPr>
                <w:color w:val="000000"/>
              </w:rPr>
              <w:t>101.63</w:t>
            </w:r>
          </w:p>
        </w:tc>
        <w:tc>
          <w:tcPr>
            <w:tcW w:w="962" w:type="dxa"/>
            <w:shd w:val="clear" w:color="auto" w:fill="auto"/>
            <w:vAlign w:val="center"/>
          </w:tcPr>
          <w:p w14:paraId="28E74D44" w14:textId="77777777" w:rsidR="005D6A3F" w:rsidRPr="00CA4DF9" w:rsidRDefault="005D6A3F" w:rsidP="0048264B">
            <w:pPr>
              <w:jc w:val="center"/>
              <w:rPr>
                <w:color w:val="000000"/>
              </w:rPr>
            </w:pPr>
            <w:r w:rsidRPr="00CA4DF9">
              <w:rPr>
                <w:color w:val="000000"/>
              </w:rPr>
              <w:t>$203.26</w:t>
            </w:r>
          </w:p>
        </w:tc>
        <w:tc>
          <w:tcPr>
            <w:tcW w:w="928" w:type="dxa"/>
            <w:shd w:val="clear" w:color="auto" w:fill="auto"/>
            <w:vAlign w:val="center"/>
          </w:tcPr>
          <w:p w14:paraId="4C8C03C4" w14:textId="77777777" w:rsidR="005D6A3F" w:rsidRPr="00CA4DF9" w:rsidRDefault="005D6A3F" w:rsidP="0048264B">
            <w:pPr>
              <w:jc w:val="center"/>
              <w:rPr>
                <w:color w:val="000000"/>
              </w:rPr>
            </w:pPr>
            <w:r w:rsidRPr="00CA4DF9">
              <w:rPr>
                <w:color w:val="000000"/>
              </w:rPr>
              <w:t>2</w:t>
            </w:r>
          </w:p>
        </w:tc>
        <w:tc>
          <w:tcPr>
            <w:tcW w:w="1350" w:type="dxa"/>
            <w:shd w:val="clear" w:color="auto" w:fill="auto"/>
            <w:vAlign w:val="center"/>
          </w:tcPr>
          <w:p w14:paraId="32795CC8" w14:textId="77777777" w:rsidR="005D6A3F" w:rsidRPr="00CA4DF9" w:rsidRDefault="005D6A3F" w:rsidP="0048264B">
            <w:pPr>
              <w:jc w:val="center"/>
              <w:rPr>
                <w:color w:val="000000"/>
              </w:rPr>
            </w:pPr>
            <w:r w:rsidRPr="00CA4DF9">
              <w:rPr>
                <w:color w:val="000000"/>
                <w:lang w:bidi="he-IL"/>
              </w:rPr>
              <w:t>$</w:t>
            </w:r>
            <w:r w:rsidRPr="00CA4DF9">
              <w:rPr>
                <w:color w:val="000000"/>
              </w:rPr>
              <w:t>406.52</w:t>
            </w:r>
          </w:p>
        </w:tc>
        <w:tc>
          <w:tcPr>
            <w:tcW w:w="810" w:type="dxa"/>
            <w:shd w:val="clear" w:color="auto" w:fill="auto"/>
            <w:vAlign w:val="center"/>
          </w:tcPr>
          <w:p w14:paraId="74E931AE" w14:textId="77777777" w:rsidR="005D6A3F" w:rsidRPr="00CA4DF9" w:rsidRDefault="005D6A3F" w:rsidP="0048264B">
            <w:pPr>
              <w:jc w:val="center"/>
              <w:rPr>
                <w:color w:val="000000"/>
              </w:rPr>
            </w:pPr>
            <w:r w:rsidRPr="00CA4DF9">
              <w:rPr>
                <w:color w:val="000000"/>
              </w:rPr>
              <w:t>8</w:t>
            </w:r>
          </w:p>
        </w:tc>
        <w:tc>
          <w:tcPr>
            <w:tcW w:w="810" w:type="dxa"/>
            <w:shd w:val="clear" w:color="auto" w:fill="auto"/>
            <w:vAlign w:val="center"/>
          </w:tcPr>
          <w:p w14:paraId="3123D5ED" w14:textId="4D6CFCAF" w:rsidR="005D6A3F" w:rsidRPr="00CA4DF9" w:rsidRDefault="005D6A3F" w:rsidP="0048264B">
            <w:pPr>
              <w:jc w:val="center"/>
              <w:rPr>
                <w:color w:val="000000"/>
              </w:rPr>
            </w:pPr>
            <w:r w:rsidRPr="00CA4DF9">
              <w:rPr>
                <w:color w:val="000000"/>
                <w:lang w:bidi="he-IL"/>
              </w:rPr>
              <w:t>$</w:t>
            </w:r>
            <w:r w:rsidRPr="00CA4DF9">
              <w:rPr>
                <w:color w:val="000000"/>
              </w:rPr>
              <w:t>3,252</w:t>
            </w:r>
          </w:p>
        </w:tc>
      </w:tr>
      <w:tr w:rsidR="005D6A3F" w:rsidRPr="00CA4DF9" w14:paraId="290A4122" w14:textId="77777777" w:rsidTr="001F2972">
        <w:trPr>
          <w:cantSplit/>
          <w:jc w:val="center"/>
        </w:trPr>
        <w:tc>
          <w:tcPr>
            <w:tcW w:w="1205" w:type="dxa"/>
            <w:shd w:val="clear" w:color="auto" w:fill="auto"/>
            <w:vAlign w:val="center"/>
            <w:hideMark/>
          </w:tcPr>
          <w:p w14:paraId="1A44F948" w14:textId="77777777" w:rsidR="005D6A3F" w:rsidRPr="00CA4DF9" w:rsidRDefault="005D6A3F" w:rsidP="0048264B">
            <w:pPr>
              <w:rPr>
                <w:color w:val="000000"/>
              </w:rPr>
            </w:pPr>
            <w:r w:rsidRPr="00CA4DF9">
              <w:rPr>
                <w:color w:val="000000"/>
              </w:rPr>
              <w:t>15-1133</w:t>
            </w:r>
          </w:p>
        </w:tc>
        <w:tc>
          <w:tcPr>
            <w:tcW w:w="2482" w:type="dxa"/>
            <w:shd w:val="clear" w:color="auto" w:fill="auto"/>
            <w:vAlign w:val="center"/>
            <w:hideMark/>
          </w:tcPr>
          <w:p w14:paraId="631BFB2C" w14:textId="77777777" w:rsidR="005D6A3F" w:rsidRPr="00CA4DF9" w:rsidRDefault="005D6A3F" w:rsidP="0048264B">
            <w:pPr>
              <w:rPr>
                <w:color w:val="000000"/>
              </w:rPr>
            </w:pPr>
            <w:r w:rsidRPr="00CA4DF9">
              <w:rPr>
                <w:color w:val="000000"/>
              </w:rPr>
              <w:t>Software developers system software</w:t>
            </w:r>
          </w:p>
        </w:tc>
        <w:tc>
          <w:tcPr>
            <w:tcW w:w="1080" w:type="dxa"/>
            <w:shd w:val="clear" w:color="auto" w:fill="auto"/>
            <w:vAlign w:val="center"/>
            <w:hideMark/>
          </w:tcPr>
          <w:p w14:paraId="437FB3C8" w14:textId="77777777" w:rsidR="005D6A3F" w:rsidRPr="00CA4DF9" w:rsidRDefault="005D6A3F" w:rsidP="0048264B">
            <w:pPr>
              <w:jc w:val="center"/>
              <w:rPr>
                <w:color w:val="000000"/>
              </w:rPr>
            </w:pPr>
            <w:r w:rsidRPr="00CA4DF9">
              <w:rPr>
                <w:color w:val="000000"/>
                <w:lang w:bidi="he-IL"/>
              </w:rPr>
              <w:t>$</w:t>
            </w:r>
            <w:r w:rsidRPr="00CA4DF9">
              <w:rPr>
                <w:color w:val="000000"/>
              </w:rPr>
              <w:t>53.74</w:t>
            </w:r>
          </w:p>
        </w:tc>
        <w:tc>
          <w:tcPr>
            <w:tcW w:w="1080" w:type="dxa"/>
            <w:shd w:val="clear" w:color="auto" w:fill="auto"/>
            <w:vAlign w:val="center"/>
            <w:hideMark/>
          </w:tcPr>
          <w:p w14:paraId="1520CF9C" w14:textId="77777777" w:rsidR="005D6A3F" w:rsidRPr="00CA4DF9" w:rsidRDefault="005D6A3F" w:rsidP="0048264B">
            <w:pPr>
              <w:jc w:val="center"/>
              <w:rPr>
                <w:color w:val="000000"/>
              </w:rPr>
            </w:pPr>
            <w:r w:rsidRPr="00CA4DF9">
              <w:rPr>
                <w:color w:val="000000"/>
                <w:lang w:bidi="he-IL"/>
              </w:rPr>
              <w:t>$</w:t>
            </w:r>
            <w:r w:rsidRPr="00CA4DF9">
              <w:rPr>
                <w:color w:val="000000"/>
              </w:rPr>
              <w:t>53.74</w:t>
            </w:r>
          </w:p>
        </w:tc>
        <w:tc>
          <w:tcPr>
            <w:tcW w:w="962" w:type="dxa"/>
            <w:shd w:val="clear" w:color="auto" w:fill="auto"/>
            <w:vAlign w:val="center"/>
            <w:hideMark/>
          </w:tcPr>
          <w:p w14:paraId="26C93FE2" w14:textId="77777777" w:rsidR="005D6A3F" w:rsidRPr="00CA4DF9" w:rsidRDefault="005D6A3F" w:rsidP="0048264B">
            <w:pPr>
              <w:jc w:val="center"/>
              <w:rPr>
                <w:color w:val="000000"/>
              </w:rPr>
            </w:pPr>
            <w:r w:rsidRPr="00CA4DF9">
              <w:rPr>
                <w:color w:val="000000"/>
                <w:lang w:bidi="he-IL"/>
              </w:rPr>
              <w:t>$</w:t>
            </w:r>
            <w:r w:rsidRPr="00CA4DF9">
              <w:rPr>
                <w:color w:val="000000"/>
              </w:rPr>
              <w:t>107.48</w:t>
            </w:r>
          </w:p>
        </w:tc>
        <w:tc>
          <w:tcPr>
            <w:tcW w:w="928" w:type="dxa"/>
            <w:shd w:val="clear" w:color="auto" w:fill="auto"/>
            <w:vAlign w:val="center"/>
            <w:hideMark/>
          </w:tcPr>
          <w:p w14:paraId="11A47B06" w14:textId="77777777" w:rsidR="005D6A3F" w:rsidRPr="00CA4DF9" w:rsidRDefault="005D6A3F" w:rsidP="0048264B">
            <w:pPr>
              <w:jc w:val="center"/>
              <w:rPr>
                <w:color w:val="000000"/>
              </w:rPr>
            </w:pPr>
            <w:r w:rsidRPr="00CA4DF9">
              <w:rPr>
                <w:color w:val="000000"/>
              </w:rPr>
              <w:t>2</w:t>
            </w:r>
          </w:p>
        </w:tc>
        <w:tc>
          <w:tcPr>
            <w:tcW w:w="1350" w:type="dxa"/>
            <w:shd w:val="clear" w:color="auto" w:fill="auto"/>
            <w:vAlign w:val="center"/>
            <w:hideMark/>
          </w:tcPr>
          <w:p w14:paraId="6E105850" w14:textId="77777777" w:rsidR="005D6A3F" w:rsidRPr="00CA4DF9" w:rsidRDefault="005D6A3F" w:rsidP="0048264B">
            <w:pPr>
              <w:jc w:val="center"/>
              <w:rPr>
                <w:color w:val="000000"/>
              </w:rPr>
            </w:pPr>
            <w:r w:rsidRPr="00CA4DF9">
              <w:rPr>
                <w:color w:val="000000"/>
                <w:lang w:bidi="he-IL"/>
              </w:rPr>
              <w:t>$</w:t>
            </w:r>
            <w:r w:rsidRPr="00CA4DF9">
              <w:rPr>
                <w:color w:val="000000"/>
              </w:rPr>
              <w:t>214.96</w:t>
            </w:r>
          </w:p>
        </w:tc>
        <w:tc>
          <w:tcPr>
            <w:tcW w:w="810" w:type="dxa"/>
            <w:shd w:val="clear" w:color="auto" w:fill="auto"/>
            <w:vAlign w:val="center"/>
            <w:hideMark/>
          </w:tcPr>
          <w:p w14:paraId="0418EBAE" w14:textId="77777777" w:rsidR="005D6A3F" w:rsidRPr="00CA4DF9" w:rsidRDefault="005D6A3F" w:rsidP="0048264B">
            <w:pPr>
              <w:jc w:val="center"/>
              <w:rPr>
                <w:color w:val="000000"/>
              </w:rPr>
            </w:pPr>
            <w:r w:rsidRPr="00CA4DF9">
              <w:rPr>
                <w:color w:val="000000"/>
              </w:rPr>
              <w:t>8</w:t>
            </w:r>
          </w:p>
        </w:tc>
        <w:tc>
          <w:tcPr>
            <w:tcW w:w="810" w:type="dxa"/>
            <w:shd w:val="clear" w:color="auto" w:fill="auto"/>
            <w:vAlign w:val="center"/>
            <w:hideMark/>
          </w:tcPr>
          <w:p w14:paraId="4B161401" w14:textId="6926B2D1" w:rsidR="005D6A3F" w:rsidRPr="00CA4DF9" w:rsidRDefault="005D6A3F" w:rsidP="0048264B">
            <w:pPr>
              <w:jc w:val="center"/>
              <w:rPr>
                <w:color w:val="000000"/>
              </w:rPr>
            </w:pPr>
            <w:r w:rsidRPr="00CA4DF9">
              <w:rPr>
                <w:color w:val="000000"/>
                <w:lang w:bidi="he-IL"/>
              </w:rPr>
              <w:t>$</w:t>
            </w:r>
            <w:r w:rsidRPr="00CA4DF9">
              <w:rPr>
                <w:color w:val="000000"/>
              </w:rPr>
              <w:t>1,720</w:t>
            </w:r>
          </w:p>
        </w:tc>
      </w:tr>
      <w:tr w:rsidR="005D6A3F" w:rsidRPr="00CA4DF9" w14:paraId="543D5EEA" w14:textId="77777777" w:rsidTr="001F2972">
        <w:trPr>
          <w:cantSplit/>
          <w:jc w:val="center"/>
        </w:trPr>
        <w:tc>
          <w:tcPr>
            <w:tcW w:w="1205" w:type="dxa"/>
            <w:shd w:val="clear" w:color="auto" w:fill="auto"/>
            <w:vAlign w:val="center"/>
            <w:hideMark/>
          </w:tcPr>
          <w:p w14:paraId="097175DE" w14:textId="77777777" w:rsidR="005D6A3F" w:rsidRPr="00CA4DF9" w:rsidRDefault="005D6A3F" w:rsidP="0048264B">
            <w:pPr>
              <w:rPr>
                <w:color w:val="000000"/>
              </w:rPr>
            </w:pPr>
            <w:r w:rsidRPr="00CA4DF9">
              <w:rPr>
                <w:color w:val="000000"/>
              </w:rPr>
              <w:t>15-1131</w:t>
            </w:r>
          </w:p>
        </w:tc>
        <w:tc>
          <w:tcPr>
            <w:tcW w:w="2482" w:type="dxa"/>
            <w:shd w:val="clear" w:color="auto" w:fill="auto"/>
            <w:vAlign w:val="center"/>
            <w:hideMark/>
          </w:tcPr>
          <w:p w14:paraId="60C3882F" w14:textId="77777777" w:rsidR="005D6A3F" w:rsidRPr="00CA4DF9" w:rsidRDefault="005D6A3F" w:rsidP="0048264B">
            <w:pPr>
              <w:rPr>
                <w:color w:val="000000"/>
              </w:rPr>
            </w:pPr>
            <w:r w:rsidRPr="00CA4DF9">
              <w:rPr>
                <w:color w:val="000000"/>
              </w:rPr>
              <w:t>Programmers</w:t>
            </w:r>
          </w:p>
        </w:tc>
        <w:tc>
          <w:tcPr>
            <w:tcW w:w="1080" w:type="dxa"/>
            <w:shd w:val="clear" w:color="auto" w:fill="auto"/>
            <w:vAlign w:val="center"/>
            <w:hideMark/>
          </w:tcPr>
          <w:p w14:paraId="484C584D" w14:textId="77777777" w:rsidR="005D6A3F" w:rsidRPr="00CA4DF9" w:rsidRDefault="005D6A3F" w:rsidP="0048264B">
            <w:pPr>
              <w:jc w:val="center"/>
              <w:rPr>
                <w:color w:val="000000"/>
              </w:rPr>
            </w:pPr>
            <w:r w:rsidRPr="00CA4DF9">
              <w:rPr>
                <w:color w:val="000000"/>
                <w:lang w:bidi="he-IL"/>
              </w:rPr>
              <w:t>$</w:t>
            </w:r>
            <w:r w:rsidRPr="00CA4DF9">
              <w:rPr>
                <w:color w:val="000000"/>
              </w:rPr>
              <w:t>42.08</w:t>
            </w:r>
          </w:p>
        </w:tc>
        <w:tc>
          <w:tcPr>
            <w:tcW w:w="1080" w:type="dxa"/>
            <w:shd w:val="clear" w:color="auto" w:fill="auto"/>
            <w:vAlign w:val="center"/>
            <w:hideMark/>
          </w:tcPr>
          <w:p w14:paraId="33E46B06" w14:textId="77777777" w:rsidR="005D6A3F" w:rsidRPr="00CA4DF9" w:rsidRDefault="005D6A3F" w:rsidP="0048264B">
            <w:pPr>
              <w:jc w:val="center"/>
              <w:rPr>
                <w:color w:val="000000"/>
              </w:rPr>
            </w:pPr>
            <w:r w:rsidRPr="00CA4DF9">
              <w:rPr>
                <w:color w:val="000000"/>
                <w:lang w:bidi="he-IL"/>
              </w:rPr>
              <w:t>$</w:t>
            </w:r>
            <w:r w:rsidRPr="00CA4DF9">
              <w:rPr>
                <w:color w:val="000000"/>
              </w:rPr>
              <w:t>42.08</w:t>
            </w:r>
          </w:p>
        </w:tc>
        <w:tc>
          <w:tcPr>
            <w:tcW w:w="962" w:type="dxa"/>
            <w:shd w:val="clear" w:color="auto" w:fill="auto"/>
            <w:vAlign w:val="center"/>
            <w:hideMark/>
          </w:tcPr>
          <w:p w14:paraId="5CEA91FB" w14:textId="77777777" w:rsidR="005D6A3F" w:rsidRPr="00CA4DF9" w:rsidRDefault="005D6A3F" w:rsidP="0048264B">
            <w:pPr>
              <w:jc w:val="center"/>
              <w:rPr>
                <w:color w:val="000000"/>
              </w:rPr>
            </w:pPr>
            <w:r w:rsidRPr="00CA4DF9">
              <w:rPr>
                <w:color w:val="000000"/>
                <w:lang w:bidi="he-IL"/>
              </w:rPr>
              <w:t>$</w:t>
            </w:r>
            <w:r w:rsidRPr="00CA4DF9">
              <w:rPr>
                <w:color w:val="000000"/>
              </w:rPr>
              <w:t>84.16</w:t>
            </w:r>
          </w:p>
        </w:tc>
        <w:tc>
          <w:tcPr>
            <w:tcW w:w="928" w:type="dxa"/>
            <w:shd w:val="clear" w:color="auto" w:fill="auto"/>
            <w:vAlign w:val="center"/>
            <w:hideMark/>
          </w:tcPr>
          <w:p w14:paraId="2DEF2AFE" w14:textId="77777777" w:rsidR="005D6A3F" w:rsidRPr="00CA4DF9" w:rsidRDefault="005D6A3F" w:rsidP="0048264B">
            <w:pPr>
              <w:jc w:val="center"/>
              <w:rPr>
                <w:color w:val="000000"/>
              </w:rPr>
            </w:pPr>
            <w:r w:rsidRPr="00CA4DF9">
              <w:rPr>
                <w:color w:val="000000"/>
              </w:rPr>
              <w:t>2</w:t>
            </w:r>
          </w:p>
        </w:tc>
        <w:tc>
          <w:tcPr>
            <w:tcW w:w="1350" w:type="dxa"/>
            <w:shd w:val="clear" w:color="auto" w:fill="auto"/>
            <w:vAlign w:val="center"/>
            <w:hideMark/>
          </w:tcPr>
          <w:p w14:paraId="4B511FD3" w14:textId="77777777" w:rsidR="005D6A3F" w:rsidRPr="00CA4DF9" w:rsidRDefault="005D6A3F" w:rsidP="0048264B">
            <w:pPr>
              <w:jc w:val="center"/>
              <w:rPr>
                <w:color w:val="000000"/>
              </w:rPr>
            </w:pPr>
            <w:r w:rsidRPr="00CA4DF9">
              <w:rPr>
                <w:color w:val="000000"/>
                <w:lang w:bidi="he-IL"/>
              </w:rPr>
              <w:t>$</w:t>
            </w:r>
            <w:r w:rsidRPr="00CA4DF9">
              <w:rPr>
                <w:color w:val="000000"/>
              </w:rPr>
              <w:t>168.32</w:t>
            </w:r>
          </w:p>
        </w:tc>
        <w:tc>
          <w:tcPr>
            <w:tcW w:w="810" w:type="dxa"/>
            <w:shd w:val="clear" w:color="auto" w:fill="auto"/>
            <w:vAlign w:val="center"/>
            <w:hideMark/>
          </w:tcPr>
          <w:p w14:paraId="023EBB6C" w14:textId="77777777" w:rsidR="005D6A3F" w:rsidRPr="00CA4DF9" w:rsidRDefault="005D6A3F" w:rsidP="0048264B">
            <w:pPr>
              <w:jc w:val="center"/>
              <w:rPr>
                <w:color w:val="000000"/>
              </w:rPr>
            </w:pPr>
            <w:r w:rsidRPr="00CA4DF9">
              <w:rPr>
                <w:color w:val="000000"/>
              </w:rPr>
              <w:t>8</w:t>
            </w:r>
          </w:p>
        </w:tc>
        <w:tc>
          <w:tcPr>
            <w:tcW w:w="810" w:type="dxa"/>
            <w:shd w:val="clear" w:color="auto" w:fill="auto"/>
            <w:vAlign w:val="center"/>
            <w:hideMark/>
          </w:tcPr>
          <w:p w14:paraId="3BA8C293" w14:textId="0CA6F5B0" w:rsidR="005D6A3F" w:rsidRPr="00CA4DF9" w:rsidRDefault="005D6A3F" w:rsidP="0048264B">
            <w:pPr>
              <w:jc w:val="center"/>
              <w:rPr>
                <w:color w:val="000000"/>
              </w:rPr>
            </w:pPr>
            <w:r w:rsidRPr="00CA4DF9">
              <w:rPr>
                <w:color w:val="000000"/>
                <w:lang w:bidi="he-IL"/>
              </w:rPr>
              <w:t>$</w:t>
            </w:r>
            <w:r w:rsidRPr="00CA4DF9">
              <w:rPr>
                <w:color w:val="000000"/>
              </w:rPr>
              <w:t>1,347</w:t>
            </w:r>
          </w:p>
        </w:tc>
      </w:tr>
      <w:tr w:rsidR="005D6A3F" w:rsidRPr="00CA4DF9" w14:paraId="19368A9D" w14:textId="77777777" w:rsidTr="001F2972">
        <w:trPr>
          <w:cantSplit/>
          <w:jc w:val="center"/>
        </w:trPr>
        <w:tc>
          <w:tcPr>
            <w:tcW w:w="1205" w:type="dxa"/>
            <w:shd w:val="clear" w:color="auto" w:fill="auto"/>
            <w:vAlign w:val="center"/>
            <w:hideMark/>
          </w:tcPr>
          <w:p w14:paraId="516F1BDC" w14:textId="77777777" w:rsidR="005D6A3F" w:rsidRPr="00CA4DF9" w:rsidRDefault="005D6A3F" w:rsidP="0048264B">
            <w:pPr>
              <w:rPr>
                <w:color w:val="000000"/>
              </w:rPr>
            </w:pPr>
            <w:r w:rsidRPr="00CA4DF9">
              <w:rPr>
                <w:color w:val="000000"/>
              </w:rPr>
              <w:t> </w:t>
            </w:r>
          </w:p>
        </w:tc>
        <w:tc>
          <w:tcPr>
            <w:tcW w:w="2482" w:type="dxa"/>
            <w:shd w:val="clear" w:color="auto" w:fill="auto"/>
            <w:vAlign w:val="center"/>
            <w:hideMark/>
          </w:tcPr>
          <w:p w14:paraId="2E8CB37F" w14:textId="77777777" w:rsidR="005D6A3F" w:rsidRPr="00CA4DF9" w:rsidRDefault="005D6A3F" w:rsidP="0048264B">
            <w:pPr>
              <w:rPr>
                <w:color w:val="000000"/>
              </w:rPr>
            </w:pPr>
            <w:r w:rsidRPr="00CA4DF9">
              <w:rPr>
                <w:color w:val="000000"/>
              </w:rPr>
              <w:t>Total cost per day</w:t>
            </w:r>
          </w:p>
        </w:tc>
        <w:tc>
          <w:tcPr>
            <w:tcW w:w="1080" w:type="dxa"/>
            <w:shd w:val="clear" w:color="auto" w:fill="auto"/>
            <w:vAlign w:val="center"/>
            <w:hideMark/>
          </w:tcPr>
          <w:p w14:paraId="66CECA2E" w14:textId="7C2C1AC7" w:rsidR="005D6A3F" w:rsidRPr="00CA4DF9" w:rsidRDefault="005D6A3F" w:rsidP="0048264B">
            <w:pPr>
              <w:jc w:val="center"/>
              <w:rPr>
                <w:color w:val="000000"/>
              </w:rPr>
            </w:pPr>
          </w:p>
        </w:tc>
        <w:tc>
          <w:tcPr>
            <w:tcW w:w="1080" w:type="dxa"/>
            <w:shd w:val="clear" w:color="auto" w:fill="auto"/>
            <w:vAlign w:val="center"/>
            <w:hideMark/>
          </w:tcPr>
          <w:p w14:paraId="262F25A6" w14:textId="430C4D30" w:rsidR="005D6A3F" w:rsidRPr="00CA4DF9" w:rsidRDefault="005D6A3F" w:rsidP="0048264B">
            <w:pPr>
              <w:jc w:val="center"/>
              <w:rPr>
                <w:color w:val="000000"/>
              </w:rPr>
            </w:pPr>
          </w:p>
        </w:tc>
        <w:tc>
          <w:tcPr>
            <w:tcW w:w="962" w:type="dxa"/>
            <w:shd w:val="clear" w:color="auto" w:fill="auto"/>
            <w:vAlign w:val="center"/>
            <w:hideMark/>
          </w:tcPr>
          <w:p w14:paraId="79C40A19" w14:textId="49F9FEE2" w:rsidR="005D6A3F" w:rsidRPr="00CA4DF9" w:rsidRDefault="005D6A3F" w:rsidP="0048264B">
            <w:pPr>
              <w:jc w:val="center"/>
              <w:rPr>
                <w:color w:val="000000"/>
              </w:rPr>
            </w:pPr>
          </w:p>
        </w:tc>
        <w:tc>
          <w:tcPr>
            <w:tcW w:w="928" w:type="dxa"/>
            <w:shd w:val="clear" w:color="auto" w:fill="auto"/>
            <w:vAlign w:val="center"/>
            <w:hideMark/>
          </w:tcPr>
          <w:p w14:paraId="70C45525" w14:textId="16B3F2C7" w:rsidR="005D6A3F" w:rsidRPr="00CA4DF9" w:rsidRDefault="005D6A3F" w:rsidP="0048264B">
            <w:pPr>
              <w:jc w:val="center"/>
              <w:rPr>
                <w:color w:val="000000"/>
              </w:rPr>
            </w:pPr>
          </w:p>
        </w:tc>
        <w:tc>
          <w:tcPr>
            <w:tcW w:w="1350" w:type="dxa"/>
            <w:shd w:val="clear" w:color="auto" w:fill="auto"/>
            <w:vAlign w:val="center"/>
            <w:hideMark/>
          </w:tcPr>
          <w:p w14:paraId="37035438" w14:textId="10758B7F" w:rsidR="005D6A3F" w:rsidRPr="00CA4DF9" w:rsidRDefault="005D6A3F" w:rsidP="0048264B">
            <w:pPr>
              <w:jc w:val="center"/>
              <w:rPr>
                <w:color w:val="000000"/>
              </w:rPr>
            </w:pPr>
          </w:p>
        </w:tc>
        <w:tc>
          <w:tcPr>
            <w:tcW w:w="810" w:type="dxa"/>
            <w:shd w:val="clear" w:color="auto" w:fill="auto"/>
            <w:vAlign w:val="center"/>
            <w:hideMark/>
          </w:tcPr>
          <w:p w14:paraId="15C2B1DA" w14:textId="08753A64" w:rsidR="005D6A3F" w:rsidRPr="00CA4DF9" w:rsidRDefault="005D6A3F" w:rsidP="0048264B">
            <w:pPr>
              <w:jc w:val="center"/>
              <w:rPr>
                <w:color w:val="000000"/>
              </w:rPr>
            </w:pPr>
          </w:p>
        </w:tc>
        <w:tc>
          <w:tcPr>
            <w:tcW w:w="810" w:type="dxa"/>
            <w:shd w:val="clear" w:color="auto" w:fill="auto"/>
            <w:vAlign w:val="center"/>
            <w:hideMark/>
          </w:tcPr>
          <w:p w14:paraId="692DB2F0" w14:textId="144DCB19" w:rsidR="005D6A3F" w:rsidRPr="00CA4DF9" w:rsidRDefault="005D6A3F" w:rsidP="0048264B">
            <w:pPr>
              <w:jc w:val="center"/>
              <w:rPr>
                <w:color w:val="000000"/>
              </w:rPr>
            </w:pPr>
            <w:r w:rsidRPr="00CA4DF9">
              <w:rPr>
                <w:color w:val="000000"/>
                <w:lang w:bidi="he-IL"/>
              </w:rPr>
              <w:t>$</w:t>
            </w:r>
            <w:r w:rsidRPr="00CA4DF9">
              <w:rPr>
                <w:color w:val="000000"/>
              </w:rPr>
              <w:t>8,192</w:t>
            </w:r>
          </w:p>
        </w:tc>
      </w:tr>
    </w:tbl>
    <w:p w14:paraId="4EA72B9E" w14:textId="77777777" w:rsidR="005D6A3F" w:rsidRPr="0048264B" w:rsidRDefault="005D6A3F" w:rsidP="0048264B">
      <w:pPr>
        <w:tabs>
          <w:tab w:val="left" w:pos="-3060"/>
          <w:tab w:val="left" w:pos="0"/>
          <w:tab w:val="left" w:pos="432"/>
          <w:tab w:val="left" w:pos="720"/>
        </w:tabs>
        <w:suppressAutoHyphens/>
        <w:spacing w:line="240" w:lineRule="atLeast"/>
        <w:rPr>
          <w:sz w:val="24"/>
        </w:rPr>
      </w:pPr>
    </w:p>
    <w:p w14:paraId="1FEFCB55" w14:textId="77777777" w:rsidR="00651E1A" w:rsidRPr="008B1862" w:rsidRDefault="00651E1A" w:rsidP="00651E1A">
      <w:pPr>
        <w:tabs>
          <w:tab w:val="left" w:pos="-3060"/>
          <w:tab w:val="left" w:pos="0"/>
          <w:tab w:val="left" w:pos="432"/>
          <w:tab w:val="left" w:pos="720"/>
        </w:tabs>
        <w:suppressAutoHyphens/>
        <w:spacing w:line="240" w:lineRule="atLeast"/>
        <w:rPr>
          <w:sz w:val="24"/>
          <w:szCs w:val="24"/>
        </w:rPr>
      </w:pPr>
      <w:r w:rsidRPr="0048264B">
        <w:rPr>
          <w:sz w:val="24"/>
        </w:rPr>
        <w:t xml:space="preserve">The use of RTBT will affect software costs; however, the production of the formulary and bid will not be changed because RTBT is being used. Consequently we are not estimating additional impact on the bid because it is not necessary. </w:t>
      </w:r>
    </w:p>
    <w:p w14:paraId="25111B02" w14:textId="1C45DB6C" w:rsidR="005E7172" w:rsidRDefault="005E7172" w:rsidP="00AE10B6">
      <w:pPr>
        <w:tabs>
          <w:tab w:val="left" w:pos="-3060"/>
          <w:tab w:val="left" w:pos="0"/>
          <w:tab w:val="left" w:pos="432"/>
          <w:tab w:val="left" w:pos="720"/>
        </w:tabs>
        <w:suppressAutoHyphens/>
        <w:spacing w:line="240" w:lineRule="atLeast"/>
        <w:rPr>
          <w:sz w:val="24"/>
          <w:szCs w:val="24"/>
        </w:rPr>
      </w:pPr>
    </w:p>
    <w:p w14:paraId="6792FFA3" w14:textId="77777777" w:rsidR="005E7172" w:rsidRDefault="005E7172" w:rsidP="005E7172">
      <w:pPr>
        <w:pStyle w:val="BodyTextIndent"/>
        <w:tabs>
          <w:tab w:val="left" w:pos="-3060"/>
        </w:tabs>
        <w:spacing w:line="240" w:lineRule="auto"/>
        <w:ind w:left="0" w:firstLine="0"/>
      </w:pPr>
      <w:r>
        <w:t xml:space="preserve">Section 423.120(b)(2)(vi) would implement the authority granted to CMS by section 1860D-4(b)(3)(G) of the Act to establish exceptions that would permit a Part D sponsor to exclude from its formulary (or to otherwise limit access to such a drug, including through prior authorization or utilization management) a particular Part D drug that is otherwise required to be included in the formulary. </w:t>
      </w:r>
    </w:p>
    <w:p w14:paraId="0D6601F6" w14:textId="77777777" w:rsidR="005E7172" w:rsidRDefault="005E7172" w:rsidP="005E7172">
      <w:pPr>
        <w:pStyle w:val="BodyTextIndent"/>
        <w:tabs>
          <w:tab w:val="left" w:pos="-3060"/>
        </w:tabs>
        <w:spacing w:line="240" w:lineRule="auto"/>
        <w:ind w:left="0" w:firstLine="0"/>
      </w:pPr>
    </w:p>
    <w:p w14:paraId="1D65E381" w14:textId="47A55A3A" w:rsidR="005E7172" w:rsidRDefault="005E7172" w:rsidP="005E7172">
      <w:pPr>
        <w:pStyle w:val="BodyTextIndent"/>
        <w:tabs>
          <w:tab w:val="left" w:pos="-3060"/>
        </w:tabs>
        <w:spacing w:line="240" w:lineRule="auto"/>
        <w:ind w:left="0" w:firstLine="0"/>
      </w:pPr>
      <w:r>
        <w:t>For the exceptions that expand the use of prior authorization and step therapy for protected class drugs at § 423.120(b)(2)(vi)(C)</w:t>
      </w:r>
      <w:r w:rsidR="00D200C0">
        <w:t>,</w:t>
      </w:r>
      <w:r>
        <w:t xml:space="preserve"> the burden would consist of the time and effort for Part D sponsors to submit their formularies to CMS under the existing annual submission process. The annual submission requirements and burden are currently approved by OMB under this control number and would not impose any new or revised information collection requirements or burden. </w:t>
      </w:r>
    </w:p>
    <w:p w14:paraId="68D59AFC" w14:textId="77777777" w:rsidR="005E7172" w:rsidRDefault="005E7172" w:rsidP="005E7172">
      <w:pPr>
        <w:pStyle w:val="BodyTextIndent"/>
        <w:tabs>
          <w:tab w:val="left" w:pos="-3060"/>
        </w:tabs>
        <w:spacing w:line="240" w:lineRule="auto"/>
        <w:ind w:left="0" w:firstLine="0"/>
      </w:pPr>
    </w:p>
    <w:p w14:paraId="65A7AE8E" w14:textId="7900A6DA" w:rsidR="005E7172" w:rsidRDefault="005E7172" w:rsidP="00EB0FA6">
      <w:pPr>
        <w:pStyle w:val="BodyTextIndent"/>
        <w:tabs>
          <w:tab w:val="left" w:pos="-3060"/>
        </w:tabs>
        <w:spacing w:line="240" w:lineRule="auto"/>
        <w:ind w:left="0" w:firstLine="0"/>
      </w:pPr>
      <w:r>
        <w:t>For the exceptions related to § 423.120(b)(2)(vi)(</w:t>
      </w:r>
      <w:r w:rsidR="00821D52">
        <w:t>D)</w:t>
      </w:r>
      <w:r>
        <w:t>, for protected class drugs for which a Part D sponsor chooses to exclude from their formulary due to a price increase beyond a certain threshold, Part D sponsors would be required to submit an additional justification to CMS during the annual formulary submission process. The justification must explain why the Part D sponsor is excluding such drug from their formulary. The burden associated with this exception would consist of the time and effort put forth by Part D sponsors to prepare and submit their formularies to CMS along with the justification.</w:t>
      </w:r>
    </w:p>
    <w:p w14:paraId="3EFF717C" w14:textId="47B2A4FE" w:rsidR="005E7172" w:rsidRPr="00EB0FA6" w:rsidRDefault="005E7172" w:rsidP="00EB0FA6">
      <w:pPr>
        <w:tabs>
          <w:tab w:val="left" w:pos="-3060"/>
          <w:tab w:val="left" w:pos="0"/>
          <w:tab w:val="left" w:pos="432"/>
          <w:tab w:val="left" w:pos="720"/>
        </w:tabs>
        <w:suppressAutoHyphens/>
        <w:spacing w:line="240" w:lineRule="atLeast"/>
        <w:rPr>
          <w:sz w:val="24"/>
        </w:rPr>
      </w:pPr>
    </w:p>
    <w:p w14:paraId="2B707DF7" w14:textId="46A0684C" w:rsidR="005E7172" w:rsidRDefault="005E7172" w:rsidP="005E7172">
      <w:pPr>
        <w:tabs>
          <w:tab w:val="left" w:pos="-3060"/>
          <w:tab w:val="left" w:pos="0"/>
          <w:tab w:val="left" w:pos="432"/>
          <w:tab w:val="left" w:pos="720"/>
        </w:tabs>
        <w:suppressAutoHyphens/>
        <w:spacing w:line="240" w:lineRule="atLeast"/>
        <w:rPr>
          <w:sz w:val="24"/>
          <w:szCs w:val="24"/>
        </w:rPr>
      </w:pPr>
      <w:r w:rsidRPr="005E7172">
        <w:rPr>
          <w:sz w:val="24"/>
          <w:szCs w:val="24"/>
        </w:rPr>
        <w:t>While the annual formulary preparation and submission process and burden are currently approved by OMB without the need for change, we estimate that it would take an average of 10 minutes (0.167 hours) at $117.04/hr for a pharmacist to prepare and submit each justification. Because Part D sponsors already research list prices to inform the existing formulary negotiation process, we only consider the time necessary to prepare and submit the justification to CMS. We estimate that all 218 Part D plan sponsors (32 PDP parent organizations and 186 MA-PD parent organizations, based on plan year 2018 plan participation) would be subject to this requirement. In aggregate, we estimate an annual burden of 36 hours (0.167 hr x 218 sponsors) at a cost of $4,213 (36 hr x $117.04/hr).</w:t>
      </w:r>
    </w:p>
    <w:p w14:paraId="7D4EF519" w14:textId="22CA4AB1" w:rsidR="005E7172" w:rsidRPr="001F67F4" w:rsidRDefault="005E7172" w:rsidP="00AE10B6">
      <w:pPr>
        <w:tabs>
          <w:tab w:val="left" w:pos="-3060"/>
          <w:tab w:val="left" w:pos="0"/>
          <w:tab w:val="left" w:pos="432"/>
          <w:tab w:val="left" w:pos="720"/>
        </w:tabs>
        <w:suppressAutoHyphens/>
        <w:spacing w:line="240" w:lineRule="atLeast"/>
        <w:rPr>
          <w:sz w:val="24"/>
          <w:szCs w:val="24"/>
        </w:rPr>
      </w:pPr>
    </w:p>
    <w:p w14:paraId="3B0D72E6" w14:textId="2D022D9A" w:rsidR="001F67F4" w:rsidRDefault="001F67F4" w:rsidP="001F67F4">
      <w:pPr>
        <w:tabs>
          <w:tab w:val="left" w:pos="-3060"/>
        </w:tabs>
        <w:suppressAutoHyphens/>
        <w:spacing w:line="240" w:lineRule="atLeast"/>
        <w:rPr>
          <w:bCs/>
          <w:sz w:val="24"/>
          <w:szCs w:val="24"/>
        </w:rPr>
      </w:pPr>
      <w:r w:rsidRPr="001F67F4">
        <w:rPr>
          <w:bCs/>
          <w:sz w:val="24"/>
          <w:szCs w:val="24"/>
        </w:rPr>
        <w:t>The proposed rule would make no changes to our currently approved (active) PBP Software Screenshots and Formulary File Record Layouts.</w:t>
      </w:r>
    </w:p>
    <w:p w14:paraId="5706FE9F" w14:textId="77777777" w:rsidR="001F2972" w:rsidRDefault="001F2972" w:rsidP="001F67F4">
      <w:pPr>
        <w:tabs>
          <w:tab w:val="left" w:pos="-3060"/>
        </w:tabs>
        <w:suppressAutoHyphens/>
        <w:spacing w:line="240" w:lineRule="atLeast"/>
        <w:rPr>
          <w:bCs/>
          <w:sz w:val="24"/>
          <w:szCs w:val="24"/>
        </w:rPr>
      </w:pPr>
    </w:p>
    <w:p w14:paraId="4263098E" w14:textId="17518162" w:rsidR="001F2972" w:rsidRPr="001F67F4" w:rsidRDefault="001F2972" w:rsidP="001F67F4">
      <w:pPr>
        <w:tabs>
          <w:tab w:val="left" w:pos="-3060"/>
        </w:tabs>
        <w:suppressAutoHyphens/>
        <w:spacing w:line="240" w:lineRule="atLeast"/>
        <w:rPr>
          <w:bCs/>
          <w:sz w:val="24"/>
          <w:szCs w:val="24"/>
        </w:rPr>
      </w:pPr>
      <w:r>
        <w:rPr>
          <w:bCs/>
          <w:sz w:val="24"/>
          <w:szCs w:val="24"/>
        </w:rPr>
        <w:t xml:space="preserve">The increase in burden from the previously approved package is attributable to </w:t>
      </w:r>
      <w:r w:rsidR="00B1697B">
        <w:rPr>
          <w:bCs/>
          <w:sz w:val="24"/>
          <w:szCs w:val="24"/>
        </w:rPr>
        <w:t>the addition of the Protected Class Provision, which adds 36 additional hours of burden.</w:t>
      </w:r>
    </w:p>
    <w:p w14:paraId="26803C3D" w14:textId="53104940" w:rsidR="001F67F4" w:rsidRPr="001F67F4" w:rsidRDefault="001F67F4" w:rsidP="00AE10B6">
      <w:pPr>
        <w:tabs>
          <w:tab w:val="left" w:pos="-3060"/>
          <w:tab w:val="left" w:pos="0"/>
          <w:tab w:val="left" w:pos="432"/>
          <w:tab w:val="left" w:pos="720"/>
        </w:tabs>
        <w:suppressAutoHyphens/>
        <w:spacing w:line="240" w:lineRule="atLeast"/>
        <w:rPr>
          <w:sz w:val="24"/>
          <w:szCs w:val="24"/>
        </w:rPr>
      </w:pPr>
    </w:p>
    <w:p w14:paraId="3DC6195F"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16. Publication and Tabulation Dates</w:t>
      </w:r>
    </w:p>
    <w:p w14:paraId="73C826C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0846740" w14:textId="77777777" w:rsidR="00623202"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Using the plan benefits data entry </w:t>
      </w:r>
      <w:r w:rsidR="00623202" w:rsidRPr="00C46EAC">
        <w:rPr>
          <w:sz w:val="24"/>
          <w:szCs w:val="24"/>
        </w:rPr>
        <w:t xml:space="preserve">already </w:t>
      </w:r>
      <w:r w:rsidRPr="00C46EAC">
        <w:rPr>
          <w:sz w:val="24"/>
          <w:szCs w:val="24"/>
        </w:rPr>
        <w:t xml:space="preserve">completed by the user, the PBP software automatically generates standardized </w:t>
      </w:r>
      <w:r w:rsidR="007114E4" w:rsidRPr="00C46EAC">
        <w:rPr>
          <w:sz w:val="24"/>
          <w:szCs w:val="24"/>
        </w:rPr>
        <w:t>data in a consistent format</w:t>
      </w:r>
      <w:r w:rsidRPr="00C46EAC">
        <w:rPr>
          <w:sz w:val="24"/>
          <w:szCs w:val="24"/>
        </w:rPr>
        <w:t xml:space="preserve"> that are then displayed to the public through several mechanisms, including the</w:t>
      </w:r>
      <w:r w:rsidR="00623202" w:rsidRPr="00C46EAC">
        <w:rPr>
          <w:sz w:val="24"/>
          <w:szCs w:val="24"/>
        </w:rPr>
        <w:t xml:space="preserve"> </w:t>
      </w:r>
      <w:hyperlink r:id="rId15" w:history="1">
        <w:r w:rsidR="00623202" w:rsidRPr="00C46EAC">
          <w:rPr>
            <w:rStyle w:val="Hyperlink"/>
            <w:sz w:val="24"/>
            <w:szCs w:val="24"/>
          </w:rPr>
          <w:t>www.medicare.gov</w:t>
        </w:r>
      </w:hyperlink>
      <w:r w:rsidR="00623202" w:rsidRPr="00C46EAC">
        <w:rPr>
          <w:sz w:val="24"/>
          <w:szCs w:val="24"/>
        </w:rPr>
        <w:t xml:space="preserve"> website</w:t>
      </w:r>
      <w:r w:rsidR="007114E4" w:rsidRPr="00C46EAC">
        <w:rPr>
          <w:sz w:val="24"/>
          <w:szCs w:val="24"/>
        </w:rPr>
        <w:t xml:space="preserve"> </w:t>
      </w:r>
      <w:r w:rsidRPr="00C46EAC">
        <w:rPr>
          <w:sz w:val="24"/>
          <w:szCs w:val="24"/>
        </w:rPr>
        <w:t xml:space="preserve">and the </w:t>
      </w:r>
      <w:r w:rsidRPr="00C46EAC">
        <w:rPr>
          <w:i/>
          <w:iCs/>
          <w:sz w:val="24"/>
          <w:szCs w:val="24"/>
        </w:rPr>
        <w:t>Medicare &amp; You</w:t>
      </w:r>
      <w:r w:rsidRPr="00C46EAC">
        <w:rPr>
          <w:sz w:val="24"/>
          <w:szCs w:val="24"/>
        </w:rPr>
        <w:t xml:space="preserve"> handbook.  </w:t>
      </w:r>
      <w:r w:rsidR="00623202" w:rsidRPr="00C46EAC">
        <w:rPr>
          <w:sz w:val="24"/>
          <w:szCs w:val="24"/>
        </w:rPr>
        <w:t xml:space="preserve">The completed </w:t>
      </w:r>
      <w:r w:rsidR="003C61DD" w:rsidRPr="00C46EAC">
        <w:rPr>
          <w:sz w:val="24"/>
          <w:szCs w:val="24"/>
        </w:rPr>
        <w:t>formulary is</w:t>
      </w:r>
      <w:r w:rsidR="0018445D" w:rsidRPr="00C46EAC">
        <w:rPr>
          <w:sz w:val="24"/>
          <w:szCs w:val="24"/>
        </w:rPr>
        <w:t xml:space="preserve"> </w:t>
      </w:r>
      <w:r w:rsidR="00623202" w:rsidRPr="00C46EAC">
        <w:rPr>
          <w:sz w:val="24"/>
          <w:szCs w:val="24"/>
        </w:rPr>
        <w:t xml:space="preserve">utilized to display drug benefit information on the </w:t>
      </w:r>
      <w:hyperlink r:id="rId16" w:history="1">
        <w:r w:rsidR="00623202" w:rsidRPr="00C46EAC">
          <w:rPr>
            <w:rStyle w:val="Hyperlink"/>
            <w:sz w:val="24"/>
            <w:szCs w:val="24"/>
          </w:rPr>
          <w:t>www.medicare.gov</w:t>
        </w:r>
      </w:hyperlink>
      <w:r w:rsidR="00743720" w:rsidRPr="00C46EAC">
        <w:rPr>
          <w:sz w:val="24"/>
          <w:szCs w:val="24"/>
        </w:rPr>
        <w:t xml:space="preserve"> website.  </w:t>
      </w:r>
    </w:p>
    <w:p w14:paraId="5279DCB0" w14:textId="77777777" w:rsidR="00623202" w:rsidRPr="00C46EAC" w:rsidRDefault="00623202" w:rsidP="00EE2110">
      <w:pPr>
        <w:tabs>
          <w:tab w:val="left" w:pos="-3060"/>
          <w:tab w:val="left" w:pos="0"/>
          <w:tab w:val="left" w:pos="432"/>
          <w:tab w:val="left" w:pos="720"/>
        </w:tabs>
        <w:suppressAutoHyphens/>
        <w:spacing w:line="240" w:lineRule="atLeast"/>
        <w:rPr>
          <w:sz w:val="24"/>
          <w:szCs w:val="24"/>
        </w:rPr>
      </w:pPr>
    </w:p>
    <w:p w14:paraId="28142EFF"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In all cases below, the organization is required to electronically submit their </w:t>
      </w:r>
      <w:r w:rsidR="00743720" w:rsidRPr="00C46EAC">
        <w:rPr>
          <w:sz w:val="24"/>
          <w:szCs w:val="24"/>
        </w:rPr>
        <w:t xml:space="preserve">formulary </w:t>
      </w:r>
      <w:r w:rsidRPr="00C46EAC">
        <w:rPr>
          <w:sz w:val="24"/>
          <w:szCs w:val="24"/>
        </w:rPr>
        <w:t xml:space="preserve">no later than the </w:t>
      </w:r>
      <w:r w:rsidR="00FB7EBD" w:rsidRPr="00C46EAC">
        <w:rPr>
          <w:sz w:val="24"/>
          <w:szCs w:val="24"/>
        </w:rPr>
        <w:t>Friday prior to the first Monday of June</w:t>
      </w:r>
      <w:r w:rsidR="00743720" w:rsidRPr="00C46EAC">
        <w:rPr>
          <w:sz w:val="24"/>
          <w:szCs w:val="24"/>
        </w:rPr>
        <w:t xml:space="preserve"> and the PBP no later than the first Monday of June</w:t>
      </w:r>
      <w:r w:rsidRPr="00C46EAC">
        <w:rPr>
          <w:sz w:val="24"/>
          <w:szCs w:val="24"/>
        </w:rPr>
        <w:t xml:space="preserve">.  The organization may start developing their </w:t>
      </w:r>
      <w:r w:rsidR="00743720" w:rsidRPr="00C46EAC">
        <w:rPr>
          <w:sz w:val="24"/>
          <w:szCs w:val="24"/>
        </w:rPr>
        <w:t xml:space="preserve">formulary at any time and may submit the formulary as early as </w:t>
      </w:r>
      <w:r w:rsidR="00FB7EBD" w:rsidRPr="00C46EAC">
        <w:rPr>
          <w:sz w:val="24"/>
          <w:szCs w:val="24"/>
        </w:rPr>
        <w:t>mid-May</w:t>
      </w:r>
      <w:r w:rsidR="00743720" w:rsidRPr="00C46EAC">
        <w:rPr>
          <w:sz w:val="24"/>
          <w:szCs w:val="24"/>
        </w:rPr>
        <w:t>.  Additionally, the organization may start developing their</w:t>
      </w:r>
      <w:r w:rsidRPr="00C46EAC">
        <w:rPr>
          <w:sz w:val="24"/>
          <w:szCs w:val="24"/>
        </w:rPr>
        <w:t xml:space="preserve"> </w:t>
      </w:r>
      <w:r w:rsidR="00743720" w:rsidRPr="00C46EAC">
        <w:rPr>
          <w:sz w:val="24"/>
          <w:szCs w:val="24"/>
        </w:rPr>
        <w:t xml:space="preserve">PBP on the </w:t>
      </w:r>
      <w:r w:rsidR="002B18B8" w:rsidRPr="00C46EAC">
        <w:rPr>
          <w:sz w:val="24"/>
          <w:szCs w:val="24"/>
        </w:rPr>
        <w:t xml:space="preserve">first </w:t>
      </w:r>
      <w:r w:rsidR="00743720" w:rsidRPr="00C46EAC">
        <w:rPr>
          <w:sz w:val="24"/>
          <w:szCs w:val="24"/>
        </w:rPr>
        <w:t>Friday of April.</w:t>
      </w:r>
    </w:p>
    <w:p w14:paraId="295BA50F" w14:textId="77777777" w:rsidR="00743720" w:rsidRPr="00C46EAC" w:rsidRDefault="00743720" w:rsidP="00EE2110">
      <w:pPr>
        <w:tabs>
          <w:tab w:val="left" w:pos="-3060"/>
          <w:tab w:val="left" w:pos="0"/>
          <w:tab w:val="left" w:pos="432"/>
          <w:tab w:val="left" w:pos="720"/>
        </w:tabs>
        <w:suppressAutoHyphens/>
        <w:spacing w:line="240" w:lineRule="atLeast"/>
        <w:rPr>
          <w:sz w:val="24"/>
          <w:szCs w:val="24"/>
        </w:rPr>
      </w:pPr>
    </w:p>
    <w:p w14:paraId="3BD801AC" w14:textId="77777777" w:rsidR="00743720" w:rsidRPr="00C46EAC" w:rsidRDefault="00743720" w:rsidP="00EE2110">
      <w:pPr>
        <w:tabs>
          <w:tab w:val="left" w:pos="-3060"/>
          <w:tab w:val="left" w:pos="0"/>
          <w:tab w:val="left" w:pos="432"/>
          <w:tab w:val="left" w:pos="720"/>
        </w:tabs>
        <w:suppressAutoHyphens/>
        <w:spacing w:line="240" w:lineRule="atLeast"/>
        <w:rPr>
          <w:sz w:val="24"/>
          <w:szCs w:val="24"/>
        </w:rPr>
      </w:pPr>
      <w:r w:rsidRPr="00C46EAC">
        <w:rPr>
          <w:sz w:val="24"/>
          <w:szCs w:val="24"/>
        </w:rPr>
        <w:t>The following gives a description of each publication of this data:</w:t>
      </w:r>
    </w:p>
    <w:p w14:paraId="68C4F96D"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67A1B18C" w14:textId="77777777" w:rsidR="00CD6D60" w:rsidRPr="00C46EAC" w:rsidRDefault="00743720" w:rsidP="00EE2110">
      <w:pPr>
        <w:numPr>
          <w:ilvl w:val="0"/>
          <w:numId w:val="18"/>
        </w:numPr>
        <w:tabs>
          <w:tab w:val="left" w:pos="-3060"/>
          <w:tab w:val="left" w:pos="0"/>
          <w:tab w:val="left" w:pos="432"/>
        </w:tabs>
        <w:suppressAutoHyphens/>
        <w:spacing w:line="240" w:lineRule="atLeast"/>
        <w:rPr>
          <w:sz w:val="24"/>
          <w:szCs w:val="24"/>
        </w:rPr>
      </w:pPr>
      <w:r w:rsidRPr="00C46EAC">
        <w:rPr>
          <w:b/>
          <w:sz w:val="24"/>
          <w:szCs w:val="24"/>
        </w:rPr>
        <w:t>CMS Website</w:t>
      </w:r>
      <w:r w:rsidRPr="00C46EAC">
        <w:rPr>
          <w:sz w:val="24"/>
          <w:szCs w:val="24"/>
        </w:rPr>
        <w:t xml:space="preserve"> -</w:t>
      </w:r>
      <w:r w:rsidR="00CA01E6" w:rsidRPr="00C46EAC">
        <w:rPr>
          <w:sz w:val="24"/>
          <w:szCs w:val="24"/>
        </w:rPr>
        <w:t xml:space="preserve"> The </w:t>
      </w:r>
      <w:r w:rsidRPr="00C46EAC">
        <w:rPr>
          <w:sz w:val="24"/>
          <w:szCs w:val="24"/>
        </w:rPr>
        <w:t xml:space="preserve">formulary information and </w:t>
      </w:r>
      <w:r w:rsidR="00CA01E6" w:rsidRPr="00C46EAC">
        <w:rPr>
          <w:sz w:val="24"/>
          <w:szCs w:val="24"/>
        </w:rPr>
        <w:t xml:space="preserve">standardized </w:t>
      </w:r>
      <w:r w:rsidR="00FE751C" w:rsidRPr="00C46EAC">
        <w:rPr>
          <w:sz w:val="24"/>
          <w:szCs w:val="24"/>
        </w:rPr>
        <w:t>benefits data from</w:t>
      </w:r>
      <w:r w:rsidR="00CA01E6" w:rsidRPr="00C46EAC">
        <w:rPr>
          <w:sz w:val="24"/>
          <w:szCs w:val="24"/>
        </w:rPr>
        <w:t xml:space="preserve"> the PBP are displayed </w:t>
      </w:r>
      <w:r w:rsidRPr="00C46EAC">
        <w:rPr>
          <w:sz w:val="24"/>
          <w:szCs w:val="24"/>
        </w:rPr>
        <w:t xml:space="preserve">on an </w:t>
      </w:r>
      <w:r w:rsidR="00CA01E6" w:rsidRPr="00C46EAC">
        <w:rPr>
          <w:sz w:val="24"/>
          <w:szCs w:val="24"/>
        </w:rPr>
        <w:t xml:space="preserve">interactive web tool on </w:t>
      </w:r>
      <w:hyperlink r:id="rId17" w:history="1">
        <w:r w:rsidR="00CA01E6" w:rsidRPr="00C46EAC">
          <w:rPr>
            <w:rStyle w:val="Hyperlink"/>
            <w:sz w:val="24"/>
            <w:szCs w:val="24"/>
          </w:rPr>
          <w:t>www.medicare.gov</w:t>
        </w:r>
      </w:hyperlink>
      <w:r w:rsidR="00CA01E6" w:rsidRPr="00C46EAC">
        <w:rPr>
          <w:sz w:val="24"/>
          <w:szCs w:val="24"/>
        </w:rPr>
        <w:t xml:space="preserve"> that enables beneficiaries to compare plan benefit packages.  </w:t>
      </w:r>
      <w:r w:rsidR="00CD6D60" w:rsidRPr="00C46EAC">
        <w:rPr>
          <w:sz w:val="24"/>
          <w:szCs w:val="24"/>
        </w:rPr>
        <w:t xml:space="preserve">Prior to posting, organizations are allowed to preview only their own plan benefit data.  </w:t>
      </w:r>
      <w:r w:rsidR="00CA01E6" w:rsidRPr="00C46EAC">
        <w:rPr>
          <w:sz w:val="24"/>
          <w:szCs w:val="24"/>
        </w:rPr>
        <w:t xml:space="preserve">The initial posting of </w:t>
      </w:r>
      <w:r w:rsidR="00CD6D60" w:rsidRPr="00C46EAC">
        <w:rPr>
          <w:sz w:val="24"/>
          <w:szCs w:val="24"/>
        </w:rPr>
        <w:t xml:space="preserve">the benefits </w:t>
      </w:r>
      <w:r w:rsidR="00CA01E6" w:rsidRPr="00C46EAC">
        <w:rPr>
          <w:sz w:val="24"/>
          <w:szCs w:val="24"/>
        </w:rPr>
        <w:t xml:space="preserve">data for a new contract year occurs in </w:t>
      </w:r>
      <w:r w:rsidR="00CD6D60" w:rsidRPr="00C46EAC">
        <w:rPr>
          <w:sz w:val="24"/>
          <w:szCs w:val="24"/>
        </w:rPr>
        <w:t>mid</w:t>
      </w:r>
      <w:r w:rsidR="0056239B" w:rsidRPr="00C46EAC">
        <w:rPr>
          <w:sz w:val="24"/>
          <w:szCs w:val="24"/>
        </w:rPr>
        <w:t>-</w:t>
      </w:r>
      <w:r w:rsidR="00CA01E6" w:rsidRPr="00C46EAC">
        <w:rPr>
          <w:sz w:val="24"/>
          <w:szCs w:val="24"/>
        </w:rPr>
        <w:t>October (e.g., post</w:t>
      </w:r>
      <w:r w:rsidR="00D94BFD" w:rsidRPr="00C46EAC">
        <w:rPr>
          <w:sz w:val="24"/>
          <w:szCs w:val="24"/>
        </w:rPr>
        <w:t>ing of</w:t>
      </w:r>
      <w:r w:rsidR="00CA01E6" w:rsidRPr="00C46EAC">
        <w:rPr>
          <w:sz w:val="24"/>
          <w:szCs w:val="24"/>
        </w:rPr>
        <w:t xml:space="preserve"> CY </w:t>
      </w:r>
      <w:r w:rsidR="003E0EE4" w:rsidRPr="00C46EAC">
        <w:rPr>
          <w:sz w:val="24"/>
          <w:szCs w:val="24"/>
        </w:rPr>
        <w:t>201</w:t>
      </w:r>
      <w:r w:rsidR="00AC20D2" w:rsidRPr="00C46EAC">
        <w:rPr>
          <w:sz w:val="24"/>
          <w:szCs w:val="24"/>
        </w:rPr>
        <w:t>4</w:t>
      </w:r>
      <w:r w:rsidR="003E0EE4" w:rsidRPr="00C46EAC">
        <w:rPr>
          <w:sz w:val="24"/>
          <w:szCs w:val="24"/>
        </w:rPr>
        <w:t xml:space="preserve"> </w:t>
      </w:r>
      <w:r w:rsidR="00CA01E6" w:rsidRPr="00C46EAC">
        <w:rPr>
          <w:sz w:val="24"/>
          <w:szCs w:val="24"/>
        </w:rPr>
        <w:t>data in Oct</w:t>
      </w:r>
      <w:r w:rsidR="00BF41CA" w:rsidRPr="00C46EAC">
        <w:rPr>
          <w:sz w:val="24"/>
          <w:szCs w:val="24"/>
        </w:rPr>
        <w:t xml:space="preserve">ober </w:t>
      </w:r>
      <w:r w:rsidR="003E0EE4" w:rsidRPr="00C46EAC">
        <w:rPr>
          <w:sz w:val="24"/>
          <w:szCs w:val="24"/>
        </w:rPr>
        <w:t>201</w:t>
      </w:r>
      <w:r w:rsidR="00AC20D2" w:rsidRPr="00C46EAC">
        <w:rPr>
          <w:sz w:val="24"/>
          <w:szCs w:val="24"/>
        </w:rPr>
        <w:t>3</w:t>
      </w:r>
      <w:r w:rsidR="00CD6D60" w:rsidRPr="00C46EAC">
        <w:rPr>
          <w:sz w:val="24"/>
          <w:szCs w:val="24"/>
        </w:rPr>
        <w:t xml:space="preserve">). </w:t>
      </w:r>
      <w:r w:rsidR="004E791B" w:rsidRPr="00C46EAC">
        <w:rPr>
          <w:sz w:val="24"/>
          <w:szCs w:val="24"/>
        </w:rPr>
        <w:t xml:space="preserve"> </w:t>
      </w:r>
    </w:p>
    <w:p w14:paraId="412537BA" w14:textId="77777777" w:rsidR="00CA01E6" w:rsidRPr="00C46EAC" w:rsidRDefault="00CA01E6" w:rsidP="00A544C6">
      <w:pPr>
        <w:numPr>
          <w:ilvl w:val="0"/>
          <w:numId w:val="18"/>
        </w:numPr>
        <w:tabs>
          <w:tab w:val="left" w:pos="-3060"/>
          <w:tab w:val="left" w:pos="0"/>
          <w:tab w:val="left" w:pos="432"/>
        </w:tabs>
        <w:suppressAutoHyphens/>
        <w:spacing w:line="240" w:lineRule="atLeast"/>
        <w:rPr>
          <w:sz w:val="24"/>
          <w:szCs w:val="24"/>
        </w:rPr>
      </w:pPr>
      <w:r w:rsidRPr="00C46EAC">
        <w:rPr>
          <w:b/>
          <w:i/>
          <w:iCs/>
          <w:sz w:val="24"/>
          <w:szCs w:val="24"/>
        </w:rPr>
        <w:t>Medicare &amp; You</w:t>
      </w:r>
      <w:r w:rsidRPr="00C46EAC">
        <w:rPr>
          <w:b/>
          <w:sz w:val="24"/>
          <w:szCs w:val="24"/>
        </w:rPr>
        <w:t xml:space="preserve"> Handbook</w:t>
      </w:r>
      <w:r w:rsidR="00CD6D60" w:rsidRPr="00C46EAC">
        <w:rPr>
          <w:b/>
          <w:sz w:val="24"/>
          <w:szCs w:val="24"/>
        </w:rPr>
        <w:t xml:space="preserve"> -</w:t>
      </w:r>
      <w:r w:rsidRPr="00C46EAC">
        <w:rPr>
          <w:sz w:val="24"/>
          <w:szCs w:val="24"/>
        </w:rPr>
        <w:t xml:space="preserve"> CMS uses a small subset of the PBP data to generate high-level, limited plan benefits information </w:t>
      </w:r>
      <w:r w:rsidR="00CD6D60" w:rsidRPr="00C46EAC">
        <w:rPr>
          <w:sz w:val="24"/>
          <w:szCs w:val="24"/>
        </w:rPr>
        <w:t xml:space="preserve">(e.g. plan name, monthly premium, physician cost sharing) </w:t>
      </w:r>
      <w:r w:rsidRPr="00C46EAC">
        <w:rPr>
          <w:sz w:val="24"/>
          <w:szCs w:val="24"/>
        </w:rPr>
        <w:t xml:space="preserve">for the </w:t>
      </w:r>
      <w:r w:rsidRPr="00C46EAC">
        <w:rPr>
          <w:i/>
          <w:iCs/>
          <w:sz w:val="24"/>
          <w:szCs w:val="24"/>
        </w:rPr>
        <w:t>Medicare &amp; You</w:t>
      </w:r>
      <w:r w:rsidRPr="00C46EAC">
        <w:rPr>
          <w:sz w:val="24"/>
          <w:szCs w:val="24"/>
        </w:rPr>
        <w:t xml:space="preserve"> handbook.  </w:t>
      </w:r>
      <w:r w:rsidR="00A412AF" w:rsidRPr="00C46EAC">
        <w:rPr>
          <w:sz w:val="24"/>
          <w:szCs w:val="24"/>
        </w:rPr>
        <w:t>O</w:t>
      </w:r>
      <w:r w:rsidR="004E791B" w:rsidRPr="00C46EAC">
        <w:rPr>
          <w:sz w:val="24"/>
          <w:szCs w:val="24"/>
        </w:rPr>
        <w:t xml:space="preserve">rganizations are provided a preview opportunity prior to printing.  </w:t>
      </w:r>
      <w:r w:rsidRPr="00C46EAC">
        <w:rPr>
          <w:sz w:val="24"/>
          <w:szCs w:val="24"/>
        </w:rPr>
        <w:t xml:space="preserve">The initial printing of the plan benefits portion of the handbook occurs in late September to early October with the handbook being delivered to Medicare beneficiaries in October.  </w:t>
      </w:r>
    </w:p>
    <w:p w14:paraId="4BD7BBAD" w14:textId="77777777" w:rsidR="00620735" w:rsidRPr="00C46EAC" w:rsidRDefault="00620735" w:rsidP="00620735">
      <w:pPr>
        <w:tabs>
          <w:tab w:val="left" w:pos="-3060"/>
          <w:tab w:val="left" w:pos="0"/>
          <w:tab w:val="left" w:pos="432"/>
        </w:tabs>
        <w:suppressAutoHyphens/>
        <w:spacing w:line="240" w:lineRule="atLeast"/>
        <w:ind w:left="360"/>
        <w:rPr>
          <w:sz w:val="24"/>
          <w:szCs w:val="24"/>
        </w:rPr>
      </w:pPr>
    </w:p>
    <w:p w14:paraId="2E47C546"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17. Expiration Date</w:t>
      </w:r>
    </w:p>
    <w:p w14:paraId="1267D7B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4CB2D52" w14:textId="727AF1E5" w:rsidR="00CA01E6" w:rsidRPr="00C46EAC" w:rsidRDefault="00CA01E6" w:rsidP="00EE2110">
      <w:pPr>
        <w:tabs>
          <w:tab w:val="left" w:pos="-3060"/>
          <w:tab w:val="left" w:pos="0"/>
          <w:tab w:val="left" w:pos="432"/>
          <w:tab w:val="left" w:pos="720"/>
        </w:tabs>
        <w:suppressAutoHyphens/>
        <w:spacing w:line="240" w:lineRule="atLeast"/>
        <w:rPr>
          <w:sz w:val="24"/>
          <w:szCs w:val="24"/>
        </w:rPr>
      </w:pPr>
      <w:r w:rsidRPr="00C46EAC">
        <w:rPr>
          <w:sz w:val="24"/>
          <w:szCs w:val="24"/>
        </w:rPr>
        <w:t xml:space="preserve">CMS has no objections to displaying the expiration date. </w:t>
      </w:r>
      <w:r w:rsidR="00E71F43">
        <w:rPr>
          <w:sz w:val="24"/>
          <w:szCs w:val="24"/>
        </w:rPr>
        <w:t xml:space="preserve"> The expiration date is posted in the “about PBP” section of the PBP software and under the “OMB clearance” link of the</w:t>
      </w:r>
      <w:r w:rsidR="00CA0B69">
        <w:rPr>
          <w:sz w:val="24"/>
          <w:szCs w:val="24"/>
        </w:rPr>
        <w:t xml:space="preserve"> formulary submission module in HPMS. </w:t>
      </w:r>
    </w:p>
    <w:p w14:paraId="71967236"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33A87023" w14:textId="77777777" w:rsidR="00CA01E6" w:rsidRPr="00C46EAC" w:rsidRDefault="00CA01E6" w:rsidP="00EE2110">
      <w:pPr>
        <w:tabs>
          <w:tab w:val="left" w:pos="-3060"/>
          <w:tab w:val="left" w:pos="0"/>
          <w:tab w:val="left" w:pos="432"/>
          <w:tab w:val="left" w:pos="720"/>
        </w:tabs>
        <w:suppressAutoHyphens/>
        <w:spacing w:line="240" w:lineRule="atLeast"/>
        <w:rPr>
          <w:bCs/>
          <w:sz w:val="24"/>
          <w:szCs w:val="24"/>
          <w:u w:val="single"/>
        </w:rPr>
      </w:pPr>
      <w:r w:rsidRPr="00C46EAC">
        <w:rPr>
          <w:bCs/>
          <w:sz w:val="24"/>
          <w:szCs w:val="24"/>
          <w:u w:val="single"/>
        </w:rPr>
        <w:t xml:space="preserve">18. Certification Statement </w:t>
      </w:r>
    </w:p>
    <w:p w14:paraId="5FE2C58E" w14:textId="77777777" w:rsidR="00CA01E6" w:rsidRPr="00C46EAC" w:rsidRDefault="00CA01E6" w:rsidP="00EE2110">
      <w:pPr>
        <w:tabs>
          <w:tab w:val="left" w:pos="-3060"/>
          <w:tab w:val="left" w:pos="0"/>
          <w:tab w:val="left" w:pos="432"/>
          <w:tab w:val="left" w:pos="720"/>
        </w:tabs>
        <w:suppressAutoHyphens/>
        <w:spacing w:line="240" w:lineRule="atLeast"/>
        <w:rPr>
          <w:sz w:val="24"/>
          <w:szCs w:val="24"/>
        </w:rPr>
      </w:pPr>
    </w:p>
    <w:p w14:paraId="19C1C66F" w14:textId="77777777" w:rsidR="00CA01E6" w:rsidRPr="00C46EAC" w:rsidRDefault="00CA01E6" w:rsidP="00EE2110">
      <w:pPr>
        <w:tabs>
          <w:tab w:val="left" w:pos="-3060"/>
          <w:tab w:val="left" w:pos="0"/>
          <w:tab w:val="left" w:pos="432"/>
          <w:tab w:val="left" w:pos="720"/>
        </w:tabs>
        <w:suppressAutoHyphens/>
        <w:spacing w:line="240" w:lineRule="atLeast"/>
        <w:rPr>
          <w:b/>
          <w:bCs/>
          <w:sz w:val="24"/>
          <w:szCs w:val="24"/>
          <w:u w:val="single"/>
        </w:rPr>
      </w:pPr>
      <w:r w:rsidRPr="00C46EAC">
        <w:rPr>
          <w:sz w:val="24"/>
          <w:szCs w:val="24"/>
        </w:rPr>
        <w:t xml:space="preserve">There are no exceptions to the certification statement. </w:t>
      </w:r>
    </w:p>
    <w:p w14:paraId="39E64EBD" w14:textId="77777777" w:rsidR="00CA01E6" w:rsidRPr="00C46EAC" w:rsidRDefault="00CA01E6" w:rsidP="00EE2110">
      <w:pPr>
        <w:tabs>
          <w:tab w:val="left" w:pos="-3060"/>
          <w:tab w:val="left" w:pos="0"/>
          <w:tab w:val="left" w:pos="432"/>
          <w:tab w:val="left" w:pos="720"/>
        </w:tabs>
        <w:suppressAutoHyphens/>
        <w:spacing w:line="240" w:lineRule="atLeast"/>
        <w:rPr>
          <w:b/>
          <w:bCs/>
          <w:sz w:val="24"/>
          <w:szCs w:val="24"/>
          <w:u w:val="single"/>
        </w:rPr>
      </w:pPr>
    </w:p>
    <w:p w14:paraId="53678E43" w14:textId="77777777" w:rsidR="00CA01E6" w:rsidRPr="00C46EAC" w:rsidRDefault="00695E7B" w:rsidP="00620735">
      <w:pPr>
        <w:pStyle w:val="Heading4"/>
        <w:numPr>
          <w:ilvl w:val="0"/>
          <w:numId w:val="0"/>
        </w:numPr>
        <w:rPr>
          <w:sz w:val="24"/>
          <w:szCs w:val="24"/>
          <w:u w:val="none"/>
        </w:rPr>
      </w:pPr>
      <w:r w:rsidRPr="00C46EAC">
        <w:rPr>
          <w:sz w:val="24"/>
          <w:szCs w:val="24"/>
          <w:u w:val="none"/>
        </w:rPr>
        <w:t>B</w:t>
      </w:r>
      <w:r w:rsidR="00620735" w:rsidRPr="00C46EAC">
        <w:rPr>
          <w:sz w:val="24"/>
          <w:szCs w:val="24"/>
          <w:u w:val="none"/>
        </w:rPr>
        <w:t xml:space="preserve">. </w:t>
      </w:r>
      <w:r w:rsidR="00CA01E6" w:rsidRPr="00C46EAC">
        <w:rPr>
          <w:sz w:val="24"/>
          <w:szCs w:val="24"/>
          <w:u w:val="none"/>
        </w:rPr>
        <w:t>Collections of Information Employing Statistical Methods</w:t>
      </w:r>
    </w:p>
    <w:p w14:paraId="46C985DE" w14:textId="77777777" w:rsidR="00CA01E6" w:rsidRPr="00C46EA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szCs w:val="24"/>
          <w:u w:val="single"/>
        </w:rPr>
      </w:pPr>
    </w:p>
    <w:p w14:paraId="3C217435" w14:textId="77777777"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Cs/>
          <w:sz w:val="24"/>
          <w:szCs w:val="24"/>
        </w:rPr>
      </w:pPr>
      <w:r w:rsidRPr="00C46EAC">
        <w:rPr>
          <w:bCs/>
          <w:sz w:val="24"/>
          <w:szCs w:val="24"/>
        </w:rPr>
        <w:t xml:space="preserve">Not Applicable. </w:t>
      </w:r>
      <w:r w:rsidR="004E791B" w:rsidRPr="00C46EAC">
        <w:rPr>
          <w:bCs/>
          <w:sz w:val="24"/>
          <w:szCs w:val="24"/>
        </w:rPr>
        <w:t xml:space="preserve"> </w:t>
      </w:r>
      <w:r w:rsidRPr="00C46EAC">
        <w:rPr>
          <w:bCs/>
          <w:sz w:val="24"/>
          <w:szCs w:val="24"/>
        </w:rPr>
        <w:t>No statistical methods will be used in this collection effort.</w:t>
      </w:r>
    </w:p>
    <w:p w14:paraId="6A73F7EF" w14:textId="77777777" w:rsidR="00CA01E6"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sectPr w:rsidR="00CA01E6" w:rsidSect="00C036E6">
      <w:footerReference w:type="default" r:id="rId18"/>
      <w:endnotePr>
        <w:numFmt w:val="decimal"/>
      </w:endnotePr>
      <w:type w:val="continuous"/>
      <w:pgSz w:w="12240" w:h="15840" w:code="1"/>
      <w:pgMar w:top="900" w:right="1440" w:bottom="810" w:left="1440" w:header="360" w:footer="36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20FDF" w14:textId="77777777" w:rsidR="00B16F2D" w:rsidRDefault="00B16F2D">
      <w:pPr>
        <w:spacing w:line="20" w:lineRule="exact"/>
        <w:rPr>
          <w:szCs w:val="24"/>
        </w:rPr>
      </w:pPr>
    </w:p>
  </w:endnote>
  <w:endnote w:type="continuationSeparator" w:id="0">
    <w:p w14:paraId="66041E51" w14:textId="77777777" w:rsidR="00B16F2D" w:rsidRDefault="00B16F2D">
      <w:r>
        <w:rPr>
          <w:szCs w:val="24"/>
        </w:rPr>
        <w:t xml:space="preserve"> </w:t>
      </w:r>
    </w:p>
  </w:endnote>
  <w:endnote w:type="continuationNotice" w:id="1">
    <w:p w14:paraId="2F2E6CF6" w14:textId="77777777" w:rsidR="00B16F2D" w:rsidRDefault="00B16F2D">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lbertu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38B7" w14:textId="51A59A81" w:rsidR="00D200C0" w:rsidRDefault="00D200C0">
    <w:pPr>
      <w:pStyle w:val="Footer"/>
      <w:jc w:val="right"/>
    </w:pPr>
    <w:r>
      <w:t xml:space="preserve">Page </w:t>
    </w:r>
    <w:r>
      <w:fldChar w:fldCharType="begin"/>
    </w:r>
    <w:r>
      <w:instrText xml:space="preserve"> PAGE   \* MERGEFORMAT </w:instrText>
    </w:r>
    <w:r>
      <w:fldChar w:fldCharType="separate"/>
    </w:r>
    <w:r w:rsidR="0083290E">
      <w:rPr>
        <w:noProof/>
      </w:rPr>
      <w:t>1</w:t>
    </w:r>
    <w:r>
      <w:rPr>
        <w:noProof/>
      </w:rPr>
      <w:fldChar w:fldCharType="end"/>
    </w:r>
  </w:p>
  <w:p w14:paraId="14EE7C74" w14:textId="77777777" w:rsidR="00D200C0" w:rsidRDefault="00D200C0">
    <w:pPr>
      <w:tabs>
        <w:tab w:val="left" w:pos="-720"/>
      </w:tabs>
      <w:suppressAutoHyphens/>
      <w:spacing w:line="240" w:lineRule="atLeast"/>
      <w:ind w:right="-144"/>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8ECFE" w14:textId="77777777" w:rsidR="00B16F2D" w:rsidRDefault="00B16F2D">
      <w:r>
        <w:rPr>
          <w:szCs w:val="24"/>
        </w:rPr>
        <w:separator/>
      </w:r>
    </w:p>
  </w:footnote>
  <w:footnote w:type="continuationSeparator" w:id="0">
    <w:p w14:paraId="753A0963" w14:textId="77777777" w:rsidR="00B16F2D" w:rsidRDefault="00B16F2D">
      <w:r>
        <w:continuationSeparator/>
      </w:r>
    </w:p>
  </w:footnote>
  <w:footnote w:type="continuationNotice" w:id="1">
    <w:p w14:paraId="30BF8BA5" w14:textId="77777777" w:rsidR="00B16F2D" w:rsidRDefault="00B16F2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34E3"/>
    <w:multiLevelType w:val="hybridMultilevel"/>
    <w:tmpl w:val="34502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D86C98"/>
    <w:multiLevelType w:val="hybridMultilevel"/>
    <w:tmpl w:val="B7AE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E74458"/>
    <w:multiLevelType w:val="hybridMultilevel"/>
    <w:tmpl w:val="42FE823C"/>
    <w:lvl w:ilvl="0" w:tplc="CA54A4B6">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nsid w:val="16B66F4B"/>
    <w:multiLevelType w:val="hybridMultilevel"/>
    <w:tmpl w:val="051665B4"/>
    <w:lvl w:ilvl="0" w:tplc="01C65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D0708"/>
    <w:multiLevelType w:val="hybridMultilevel"/>
    <w:tmpl w:val="8F2E7CD0"/>
    <w:lvl w:ilvl="0" w:tplc="E5CEAD3E">
      <w:start w:val="7"/>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nsid w:val="197678CA"/>
    <w:multiLevelType w:val="hybridMultilevel"/>
    <w:tmpl w:val="060A1042"/>
    <w:lvl w:ilvl="0" w:tplc="DEC25D7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19B8522D"/>
    <w:multiLevelType w:val="hybridMultilevel"/>
    <w:tmpl w:val="96DAA7E0"/>
    <w:lvl w:ilvl="0" w:tplc="5DAA9F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2CA5E80"/>
    <w:multiLevelType w:val="hybridMultilevel"/>
    <w:tmpl w:val="9FDA11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CFB2D2B"/>
    <w:multiLevelType w:val="hybridMultilevel"/>
    <w:tmpl w:val="EE68A31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1C212B"/>
    <w:multiLevelType w:val="hybridMultilevel"/>
    <w:tmpl w:val="594A0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830254"/>
    <w:multiLevelType w:val="hybridMultilevel"/>
    <w:tmpl w:val="59D6DE66"/>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1F71B3"/>
    <w:multiLevelType w:val="hybridMultilevel"/>
    <w:tmpl w:val="6C52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61549B"/>
    <w:multiLevelType w:val="hybridMultilevel"/>
    <w:tmpl w:val="911A178E"/>
    <w:lvl w:ilvl="0" w:tplc="3E8AA21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3">
    <w:nsid w:val="5AEA1693"/>
    <w:multiLevelType w:val="hybridMultilevel"/>
    <w:tmpl w:val="59F0B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7085EE4"/>
    <w:multiLevelType w:val="hybridMultilevel"/>
    <w:tmpl w:val="5948A7A6"/>
    <w:lvl w:ilvl="0" w:tplc="CA54A4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B2D610E"/>
    <w:multiLevelType w:val="hybridMultilevel"/>
    <w:tmpl w:val="34307B5C"/>
    <w:lvl w:ilvl="0" w:tplc="01CADD52">
      <w:start w:val="3"/>
      <w:numFmt w:val="upperLetter"/>
      <w:pStyle w:val="Heading4"/>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094C45"/>
    <w:multiLevelType w:val="hybridMultilevel"/>
    <w:tmpl w:val="8AC89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4A82BE8"/>
    <w:multiLevelType w:val="hybridMultilevel"/>
    <w:tmpl w:val="9B62A3E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E669B5"/>
    <w:multiLevelType w:val="hybridMultilevel"/>
    <w:tmpl w:val="0A86F31A"/>
    <w:lvl w:ilvl="0" w:tplc="3FEE1848">
      <w:start w:val="3"/>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15057D"/>
    <w:multiLevelType w:val="hybridMultilevel"/>
    <w:tmpl w:val="102EFFFC"/>
    <w:lvl w:ilvl="0" w:tplc="F81AA00A">
      <w:start w:val="3"/>
      <w:numFmt w:val="upperLetter"/>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046643"/>
    <w:multiLevelType w:val="hybridMultilevel"/>
    <w:tmpl w:val="DE3E6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9161774"/>
    <w:multiLevelType w:val="hybridMultilevel"/>
    <w:tmpl w:val="694867D8"/>
    <w:lvl w:ilvl="0" w:tplc="16340CC0">
      <w:start w:val="3"/>
      <w:numFmt w:val="bullet"/>
      <w:lvlText w:val="-"/>
      <w:lvlJc w:val="left"/>
      <w:pPr>
        <w:tabs>
          <w:tab w:val="num" w:pos="1170"/>
        </w:tabs>
        <w:ind w:left="1170" w:hanging="360"/>
      </w:pPr>
      <w:rPr>
        <w:rFonts w:ascii="Times New Roman" w:eastAsia="Times New Roman" w:hAnsi="Times New Roman" w:cs="Times New Roman"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2">
    <w:nsid w:val="7BF119FC"/>
    <w:multiLevelType w:val="hybridMultilevel"/>
    <w:tmpl w:val="46023022"/>
    <w:lvl w:ilvl="0" w:tplc="B0F8A4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6"/>
  </w:num>
  <w:num w:numId="3">
    <w:abstractNumId w:val="4"/>
  </w:num>
  <w:num w:numId="4">
    <w:abstractNumId w:val="15"/>
  </w:num>
  <w:num w:numId="5">
    <w:abstractNumId w:val="18"/>
  </w:num>
  <w:num w:numId="6">
    <w:abstractNumId w:val="14"/>
  </w:num>
  <w:num w:numId="7">
    <w:abstractNumId w:val="2"/>
  </w:num>
  <w:num w:numId="8">
    <w:abstractNumId w:val="12"/>
  </w:num>
  <w:num w:numId="9">
    <w:abstractNumId w:val="21"/>
  </w:num>
  <w:num w:numId="10">
    <w:abstractNumId w:val="5"/>
  </w:num>
  <w:num w:numId="11">
    <w:abstractNumId w:val="1"/>
  </w:num>
  <w:num w:numId="12">
    <w:abstractNumId w:val="9"/>
  </w:num>
  <w:num w:numId="13">
    <w:abstractNumId w:val="8"/>
  </w:num>
  <w:num w:numId="14">
    <w:abstractNumId w:val="10"/>
  </w:num>
  <w:num w:numId="15">
    <w:abstractNumId w:val="17"/>
  </w:num>
  <w:num w:numId="16">
    <w:abstractNumId w:val="16"/>
  </w:num>
  <w:num w:numId="17">
    <w:abstractNumId w:val="11"/>
  </w:num>
  <w:num w:numId="18">
    <w:abstractNumId w:val="20"/>
  </w:num>
  <w:num w:numId="19">
    <w:abstractNumId w:val="0"/>
  </w:num>
  <w:num w:numId="20">
    <w:abstractNumId w:val="7"/>
  </w:num>
  <w:num w:numId="21">
    <w:abstractNumId w:val="13"/>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2C"/>
    <w:rsid w:val="00003863"/>
    <w:rsid w:val="00007A74"/>
    <w:rsid w:val="00013D11"/>
    <w:rsid w:val="000207E1"/>
    <w:rsid w:val="00020E2D"/>
    <w:rsid w:val="000233C9"/>
    <w:rsid w:val="00025FCA"/>
    <w:rsid w:val="00026AF3"/>
    <w:rsid w:val="000319B8"/>
    <w:rsid w:val="00032936"/>
    <w:rsid w:val="000329C1"/>
    <w:rsid w:val="00033AAF"/>
    <w:rsid w:val="00035BE4"/>
    <w:rsid w:val="000361F5"/>
    <w:rsid w:val="000414A9"/>
    <w:rsid w:val="00043651"/>
    <w:rsid w:val="00046527"/>
    <w:rsid w:val="0005199A"/>
    <w:rsid w:val="00055181"/>
    <w:rsid w:val="00063B41"/>
    <w:rsid w:val="0006450F"/>
    <w:rsid w:val="00064B75"/>
    <w:rsid w:val="0006762E"/>
    <w:rsid w:val="0007143B"/>
    <w:rsid w:val="0007417C"/>
    <w:rsid w:val="00075763"/>
    <w:rsid w:val="00081FA0"/>
    <w:rsid w:val="000823ED"/>
    <w:rsid w:val="0008261E"/>
    <w:rsid w:val="000851DC"/>
    <w:rsid w:val="000860D6"/>
    <w:rsid w:val="00087024"/>
    <w:rsid w:val="000969B0"/>
    <w:rsid w:val="0009736F"/>
    <w:rsid w:val="000A2F1B"/>
    <w:rsid w:val="000A3C16"/>
    <w:rsid w:val="000A5265"/>
    <w:rsid w:val="000B0130"/>
    <w:rsid w:val="000B0331"/>
    <w:rsid w:val="000B216C"/>
    <w:rsid w:val="000B3174"/>
    <w:rsid w:val="000B365D"/>
    <w:rsid w:val="000B431A"/>
    <w:rsid w:val="000B72BD"/>
    <w:rsid w:val="000C1E39"/>
    <w:rsid w:val="000C27EF"/>
    <w:rsid w:val="000C2A14"/>
    <w:rsid w:val="000C5BA1"/>
    <w:rsid w:val="000D2035"/>
    <w:rsid w:val="000E1E35"/>
    <w:rsid w:val="000E3B71"/>
    <w:rsid w:val="000E5FBD"/>
    <w:rsid w:val="000F7E66"/>
    <w:rsid w:val="00101A41"/>
    <w:rsid w:val="00104D90"/>
    <w:rsid w:val="0012448D"/>
    <w:rsid w:val="001466CC"/>
    <w:rsid w:val="00150E6F"/>
    <w:rsid w:val="00153217"/>
    <w:rsid w:val="0015620D"/>
    <w:rsid w:val="0016113A"/>
    <w:rsid w:val="001629D1"/>
    <w:rsid w:val="00164C10"/>
    <w:rsid w:val="00165001"/>
    <w:rsid w:val="0017359F"/>
    <w:rsid w:val="0018445D"/>
    <w:rsid w:val="00184FC4"/>
    <w:rsid w:val="001960C1"/>
    <w:rsid w:val="001A469C"/>
    <w:rsid w:val="001A4AEF"/>
    <w:rsid w:val="001A5961"/>
    <w:rsid w:val="001B0BB8"/>
    <w:rsid w:val="001B0C03"/>
    <w:rsid w:val="001B115D"/>
    <w:rsid w:val="001B1B28"/>
    <w:rsid w:val="001B24C4"/>
    <w:rsid w:val="001B3F08"/>
    <w:rsid w:val="001B44F1"/>
    <w:rsid w:val="001B6685"/>
    <w:rsid w:val="001B6C97"/>
    <w:rsid w:val="001C3342"/>
    <w:rsid w:val="001C364B"/>
    <w:rsid w:val="001D1CAB"/>
    <w:rsid w:val="001D5F78"/>
    <w:rsid w:val="001E1A39"/>
    <w:rsid w:val="001E1C8F"/>
    <w:rsid w:val="001E3CA6"/>
    <w:rsid w:val="001E501E"/>
    <w:rsid w:val="001F1C57"/>
    <w:rsid w:val="001F2972"/>
    <w:rsid w:val="001F3674"/>
    <w:rsid w:val="001F5701"/>
    <w:rsid w:val="001F67F4"/>
    <w:rsid w:val="002003F7"/>
    <w:rsid w:val="00202EBC"/>
    <w:rsid w:val="002109C4"/>
    <w:rsid w:val="00221B92"/>
    <w:rsid w:val="002230D7"/>
    <w:rsid w:val="00224BEC"/>
    <w:rsid w:val="00225834"/>
    <w:rsid w:val="0022605C"/>
    <w:rsid w:val="00230557"/>
    <w:rsid w:val="00232ECB"/>
    <w:rsid w:val="00235180"/>
    <w:rsid w:val="002374CB"/>
    <w:rsid w:val="00244A5E"/>
    <w:rsid w:val="00247FAB"/>
    <w:rsid w:val="002516D2"/>
    <w:rsid w:val="00253D17"/>
    <w:rsid w:val="002746AE"/>
    <w:rsid w:val="00277932"/>
    <w:rsid w:val="00282134"/>
    <w:rsid w:val="00284894"/>
    <w:rsid w:val="00292AEF"/>
    <w:rsid w:val="00296B4B"/>
    <w:rsid w:val="002A0201"/>
    <w:rsid w:val="002A2C16"/>
    <w:rsid w:val="002A7754"/>
    <w:rsid w:val="002B0615"/>
    <w:rsid w:val="002B18B8"/>
    <w:rsid w:val="002B4507"/>
    <w:rsid w:val="002B4599"/>
    <w:rsid w:val="002B7873"/>
    <w:rsid w:val="002C09CA"/>
    <w:rsid w:val="002C1FE9"/>
    <w:rsid w:val="002C6B78"/>
    <w:rsid w:val="002E212B"/>
    <w:rsid w:val="002E32E3"/>
    <w:rsid w:val="00301474"/>
    <w:rsid w:val="0030346E"/>
    <w:rsid w:val="003046B0"/>
    <w:rsid w:val="00310391"/>
    <w:rsid w:val="00312BC7"/>
    <w:rsid w:val="0031444A"/>
    <w:rsid w:val="003152B8"/>
    <w:rsid w:val="00323D18"/>
    <w:rsid w:val="003252BD"/>
    <w:rsid w:val="00333CB3"/>
    <w:rsid w:val="0033438F"/>
    <w:rsid w:val="00335F22"/>
    <w:rsid w:val="00340471"/>
    <w:rsid w:val="00344D2B"/>
    <w:rsid w:val="00345E04"/>
    <w:rsid w:val="00355927"/>
    <w:rsid w:val="00357D11"/>
    <w:rsid w:val="00362696"/>
    <w:rsid w:val="00362F44"/>
    <w:rsid w:val="00366112"/>
    <w:rsid w:val="00382174"/>
    <w:rsid w:val="00390DD9"/>
    <w:rsid w:val="00392DC1"/>
    <w:rsid w:val="0039487E"/>
    <w:rsid w:val="00397E5D"/>
    <w:rsid w:val="003A2B96"/>
    <w:rsid w:val="003A3074"/>
    <w:rsid w:val="003A410F"/>
    <w:rsid w:val="003A60B9"/>
    <w:rsid w:val="003B158D"/>
    <w:rsid w:val="003C0BFF"/>
    <w:rsid w:val="003C0CAB"/>
    <w:rsid w:val="003C3779"/>
    <w:rsid w:val="003C61DD"/>
    <w:rsid w:val="003C6654"/>
    <w:rsid w:val="003C7E1B"/>
    <w:rsid w:val="003D2804"/>
    <w:rsid w:val="003E0D32"/>
    <w:rsid w:val="003E0EE4"/>
    <w:rsid w:val="003E260F"/>
    <w:rsid w:val="003E5D7D"/>
    <w:rsid w:val="0040111D"/>
    <w:rsid w:val="00403313"/>
    <w:rsid w:val="004034F0"/>
    <w:rsid w:val="00404327"/>
    <w:rsid w:val="00404F7C"/>
    <w:rsid w:val="004145CB"/>
    <w:rsid w:val="00414F2C"/>
    <w:rsid w:val="0041551E"/>
    <w:rsid w:val="00417B16"/>
    <w:rsid w:val="00425941"/>
    <w:rsid w:val="004342D9"/>
    <w:rsid w:val="00435F92"/>
    <w:rsid w:val="00436C38"/>
    <w:rsid w:val="00440094"/>
    <w:rsid w:val="0044128C"/>
    <w:rsid w:val="0044559F"/>
    <w:rsid w:val="00447E23"/>
    <w:rsid w:val="004501D1"/>
    <w:rsid w:val="00454914"/>
    <w:rsid w:val="00466779"/>
    <w:rsid w:val="00470EF6"/>
    <w:rsid w:val="004729B8"/>
    <w:rsid w:val="0048217A"/>
    <w:rsid w:val="0048264B"/>
    <w:rsid w:val="0048569C"/>
    <w:rsid w:val="00485DD4"/>
    <w:rsid w:val="004870C5"/>
    <w:rsid w:val="004914E9"/>
    <w:rsid w:val="00493444"/>
    <w:rsid w:val="004A05BE"/>
    <w:rsid w:val="004A5224"/>
    <w:rsid w:val="004A6BA5"/>
    <w:rsid w:val="004B0977"/>
    <w:rsid w:val="004B0E5F"/>
    <w:rsid w:val="004B1BB9"/>
    <w:rsid w:val="004B29BB"/>
    <w:rsid w:val="004B42C5"/>
    <w:rsid w:val="004B5278"/>
    <w:rsid w:val="004B6810"/>
    <w:rsid w:val="004C0A7C"/>
    <w:rsid w:val="004C3AAD"/>
    <w:rsid w:val="004C3C1D"/>
    <w:rsid w:val="004E313D"/>
    <w:rsid w:val="004E471D"/>
    <w:rsid w:val="004E7842"/>
    <w:rsid w:val="004E791B"/>
    <w:rsid w:val="004F5569"/>
    <w:rsid w:val="004F71B5"/>
    <w:rsid w:val="00506426"/>
    <w:rsid w:val="00516736"/>
    <w:rsid w:val="005348DF"/>
    <w:rsid w:val="005421AB"/>
    <w:rsid w:val="00544303"/>
    <w:rsid w:val="005443F1"/>
    <w:rsid w:val="0054510A"/>
    <w:rsid w:val="00547EB4"/>
    <w:rsid w:val="00555B69"/>
    <w:rsid w:val="005561C2"/>
    <w:rsid w:val="005568A7"/>
    <w:rsid w:val="00557FC7"/>
    <w:rsid w:val="0056239B"/>
    <w:rsid w:val="00563441"/>
    <w:rsid w:val="00564730"/>
    <w:rsid w:val="00567922"/>
    <w:rsid w:val="005737C6"/>
    <w:rsid w:val="0059430A"/>
    <w:rsid w:val="00596FD2"/>
    <w:rsid w:val="005A40BE"/>
    <w:rsid w:val="005B424A"/>
    <w:rsid w:val="005B51C6"/>
    <w:rsid w:val="005C0EA5"/>
    <w:rsid w:val="005C269A"/>
    <w:rsid w:val="005D1733"/>
    <w:rsid w:val="005D337D"/>
    <w:rsid w:val="005D551B"/>
    <w:rsid w:val="005D5CD0"/>
    <w:rsid w:val="005D5F2F"/>
    <w:rsid w:val="005D6A3F"/>
    <w:rsid w:val="005E2DB6"/>
    <w:rsid w:val="005E3728"/>
    <w:rsid w:val="005E429E"/>
    <w:rsid w:val="005E6FB1"/>
    <w:rsid w:val="005E7172"/>
    <w:rsid w:val="005F307B"/>
    <w:rsid w:val="005F4ADB"/>
    <w:rsid w:val="00601646"/>
    <w:rsid w:val="00602998"/>
    <w:rsid w:val="0060346A"/>
    <w:rsid w:val="006163E6"/>
    <w:rsid w:val="0061716A"/>
    <w:rsid w:val="006202DD"/>
    <w:rsid w:val="00620735"/>
    <w:rsid w:val="006211CD"/>
    <w:rsid w:val="00621D20"/>
    <w:rsid w:val="00621FCB"/>
    <w:rsid w:val="00623202"/>
    <w:rsid w:val="00623649"/>
    <w:rsid w:val="0062477C"/>
    <w:rsid w:val="00625543"/>
    <w:rsid w:val="006310FA"/>
    <w:rsid w:val="00631668"/>
    <w:rsid w:val="006328E8"/>
    <w:rsid w:val="00633886"/>
    <w:rsid w:val="00637B17"/>
    <w:rsid w:val="00640980"/>
    <w:rsid w:val="00644D73"/>
    <w:rsid w:val="006501ED"/>
    <w:rsid w:val="00651E1A"/>
    <w:rsid w:val="0065374F"/>
    <w:rsid w:val="00656EE8"/>
    <w:rsid w:val="00662791"/>
    <w:rsid w:val="006649AF"/>
    <w:rsid w:val="00671088"/>
    <w:rsid w:val="006725BB"/>
    <w:rsid w:val="006735EB"/>
    <w:rsid w:val="0067443A"/>
    <w:rsid w:val="00675D62"/>
    <w:rsid w:val="0067631F"/>
    <w:rsid w:val="006818BD"/>
    <w:rsid w:val="00683475"/>
    <w:rsid w:val="006858C8"/>
    <w:rsid w:val="00691760"/>
    <w:rsid w:val="006926FB"/>
    <w:rsid w:val="00695E7B"/>
    <w:rsid w:val="006972C3"/>
    <w:rsid w:val="006A1F7B"/>
    <w:rsid w:val="006A26D6"/>
    <w:rsid w:val="006B53D7"/>
    <w:rsid w:val="006C7818"/>
    <w:rsid w:val="006D22C8"/>
    <w:rsid w:val="006E0B84"/>
    <w:rsid w:val="006F0B16"/>
    <w:rsid w:val="006F196F"/>
    <w:rsid w:val="00705E02"/>
    <w:rsid w:val="00706AB5"/>
    <w:rsid w:val="007114E4"/>
    <w:rsid w:val="0071157B"/>
    <w:rsid w:val="00711B3F"/>
    <w:rsid w:val="007125A1"/>
    <w:rsid w:val="00715DB6"/>
    <w:rsid w:val="007239A9"/>
    <w:rsid w:val="00724DF0"/>
    <w:rsid w:val="007268DD"/>
    <w:rsid w:val="007343E3"/>
    <w:rsid w:val="00734C63"/>
    <w:rsid w:val="0073712F"/>
    <w:rsid w:val="00742197"/>
    <w:rsid w:val="00743720"/>
    <w:rsid w:val="007506EC"/>
    <w:rsid w:val="00750B68"/>
    <w:rsid w:val="007556EC"/>
    <w:rsid w:val="00764F1C"/>
    <w:rsid w:val="00766D24"/>
    <w:rsid w:val="00773F48"/>
    <w:rsid w:val="00776180"/>
    <w:rsid w:val="00780D35"/>
    <w:rsid w:val="00781847"/>
    <w:rsid w:val="00784AE0"/>
    <w:rsid w:val="007923BD"/>
    <w:rsid w:val="00793049"/>
    <w:rsid w:val="007A0040"/>
    <w:rsid w:val="007A29B4"/>
    <w:rsid w:val="007A496A"/>
    <w:rsid w:val="007A508C"/>
    <w:rsid w:val="007A547E"/>
    <w:rsid w:val="007A5D54"/>
    <w:rsid w:val="007A64B3"/>
    <w:rsid w:val="007B0DC9"/>
    <w:rsid w:val="007B5AEE"/>
    <w:rsid w:val="007D1E9E"/>
    <w:rsid w:val="007D28C0"/>
    <w:rsid w:val="007D6F85"/>
    <w:rsid w:val="007E2E45"/>
    <w:rsid w:val="007E58B6"/>
    <w:rsid w:val="007E6417"/>
    <w:rsid w:val="007F0263"/>
    <w:rsid w:val="007F13AC"/>
    <w:rsid w:val="007F51D3"/>
    <w:rsid w:val="007F58B7"/>
    <w:rsid w:val="007F5EED"/>
    <w:rsid w:val="007F66D5"/>
    <w:rsid w:val="007F6771"/>
    <w:rsid w:val="0080038B"/>
    <w:rsid w:val="00801CA1"/>
    <w:rsid w:val="00810C5A"/>
    <w:rsid w:val="008118B9"/>
    <w:rsid w:val="008120E9"/>
    <w:rsid w:val="00813231"/>
    <w:rsid w:val="008137BC"/>
    <w:rsid w:val="00815455"/>
    <w:rsid w:val="00821D52"/>
    <w:rsid w:val="00824E44"/>
    <w:rsid w:val="008264B0"/>
    <w:rsid w:val="0083165C"/>
    <w:rsid w:val="00832397"/>
    <w:rsid w:val="0083290E"/>
    <w:rsid w:val="008370EE"/>
    <w:rsid w:val="00840A56"/>
    <w:rsid w:val="008411EF"/>
    <w:rsid w:val="0084153C"/>
    <w:rsid w:val="00843253"/>
    <w:rsid w:val="00844B57"/>
    <w:rsid w:val="00845E6E"/>
    <w:rsid w:val="00846C31"/>
    <w:rsid w:val="00850BDC"/>
    <w:rsid w:val="00852371"/>
    <w:rsid w:val="00854FFD"/>
    <w:rsid w:val="00875373"/>
    <w:rsid w:val="008757E2"/>
    <w:rsid w:val="00881273"/>
    <w:rsid w:val="008832A0"/>
    <w:rsid w:val="00883D13"/>
    <w:rsid w:val="00884B0A"/>
    <w:rsid w:val="00887206"/>
    <w:rsid w:val="00892951"/>
    <w:rsid w:val="0089397D"/>
    <w:rsid w:val="00894721"/>
    <w:rsid w:val="008A3C8D"/>
    <w:rsid w:val="008A3D05"/>
    <w:rsid w:val="008A4D32"/>
    <w:rsid w:val="008B1862"/>
    <w:rsid w:val="008B282F"/>
    <w:rsid w:val="008B42A1"/>
    <w:rsid w:val="008B4E4E"/>
    <w:rsid w:val="008B613A"/>
    <w:rsid w:val="008C2264"/>
    <w:rsid w:val="008C43AF"/>
    <w:rsid w:val="008D0C79"/>
    <w:rsid w:val="008D142D"/>
    <w:rsid w:val="008D1869"/>
    <w:rsid w:val="008E238D"/>
    <w:rsid w:val="008E23B8"/>
    <w:rsid w:val="008E4895"/>
    <w:rsid w:val="008E530A"/>
    <w:rsid w:val="008E6A66"/>
    <w:rsid w:val="008E6B82"/>
    <w:rsid w:val="008E753A"/>
    <w:rsid w:val="008F45EE"/>
    <w:rsid w:val="008F49F6"/>
    <w:rsid w:val="008F6E91"/>
    <w:rsid w:val="009012C3"/>
    <w:rsid w:val="00914928"/>
    <w:rsid w:val="0092019C"/>
    <w:rsid w:val="00925452"/>
    <w:rsid w:val="0093351F"/>
    <w:rsid w:val="00935BAB"/>
    <w:rsid w:val="0093713B"/>
    <w:rsid w:val="009430CB"/>
    <w:rsid w:val="00951B1E"/>
    <w:rsid w:val="00953945"/>
    <w:rsid w:val="00956909"/>
    <w:rsid w:val="00963000"/>
    <w:rsid w:val="009701D1"/>
    <w:rsid w:val="00970D5D"/>
    <w:rsid w:val="0098495D"/>
    <w:rsid w:val="00992229"/>
    <w:rsid w:val="00993EC8"/>
    <w:rsid w:val="00997701"/>
    <w:rsid w:val="009A12F9"/>
    <w:rsid w:val="009B52F9"/>
    <w:rsid w:val="009D3DB2"/>
    <w:rsid w:val="009D61FA"/>
    <w:rsid w:val="009D6938"/>
    <w:rsid w:val="009E0019"/>
    <w:rsid w:val="009F28FE"/>
    <w:rsid w:val="009F6B64"/>
    <w:rsid w:val="00A002C5"/>
    <w:rsid w:val="00A012BF"/>
    <w:rsid w:val="00A01CDC"/>
    <w:rsid w:val="00A06164"/>
    <w:rsid w:val="00A158C8"/>
    <w:rsid w:val="00A25488"/>
    <w:rsid w:val="00A25C60"/>
    <w:rsid w:val="00A264F5"/>
    <w:rsid w:val="00A31C52"/>
    <w:rsid w:val="00A32619"/>
    <w:rsid w:val="00A35D7F"/>
    <w:rsid w:val="00A412AF"/>
    <w:rsid w:val="00A42992"/>
    <w:rsid w:val="00A500F3"/>
    <w:rsid w:val="00A52A29"/>
    <w:rsid w:val="00A544C6"/>
    <w:rsid w:val="00A606AB"/>
    <w:rsid w:val="00A6240D"/>
    <w:rsid w:val="00A667ED"/>
    <w:rsid w:val="00A676F4"/>
    <w:rsid w:val="00A710B5"/>
    <w:rsid w:val="00A758FE"/>
    <w:rsid w:val="00A77EA5"/>
    <w:rsid w:val="00A86467"/>
    <w:rsid w:val="00A9058D"/>
    <w:rsid w:val="00A905BC"/>
    <w:rsid w:val="00A908E8"/>
    <w:rsid w:val="00A91B33"/>
    <w:rsid w:val="00A92BA2"/>
    <w:rsid w:val="00AA08A7"/>
    <w:rsid w:val="00AA1546"/>
    <w:rsid w:val="00AA19AE"/>
    <w:rsid w:val="00AA22D7"/>
    <w:rsid w:val="00AA4E74"/>
    <w:rsid w:val="00AB2F25"/>
    <w:rsid w:val="00AB6955"/>
    <w:rsid w:val="00AC0765"/>
    <w:rsid w:val="00AC20D2"/>
    <w:rsid w:val="00AC73F0"/>
    <w:rsid w:val="00AC7490"/>
    <w:rsid w:val="00AC77AC"/>
    <w:rsid w:val="00AD068F"/>
    <w:rsid w:val="00AD1CB0"/>
    <w:rsid w:val="00AD2CA7"/>
    <w:rsid w:val="00AD2F44"/>
    <w:rsid w:val="00AE10B6"/>
    <w:rsid w:val="00AE1884"/>
    <w:rsid w:val="00AE334C"/>
    <w:rsid w:val="00AE3B98"/>
    <w:rsid w:val="00AE4BE7"/>
    <w:rsid w:val="00AE6D1C"/>
    <w:rsid w:val="00AF0098"/>
    <w:rsid w:val="00AF0DDD"/>
    <w:rsid w:val="00AF5E5C"/>
    <w:rsid w:val="00AF7344"/>
    <w:rsid w:val="00AF73C8"/>
    <w:rsid w:val="00B008E9"/>
    <w:rsid w:val="00B00CB8"/>
    <w:rsid w:val="00B010AF"/>
    <w:rsid w:val="00B013A4"/>
    <w:rsid w:val="00B022F2"/>
    <w:rsid w:val="00B13601"/>
    <w:rsid w:val="00B1697B"/>
    <w:rsid w:val="00B16F2D"/>
    <w:rsid w:val="00B3075A"/>
    <w:rsid w:val="00B31D91"/>
    <w:rsid w:val="00B3331B"/>
    <w:rsid w:val="00B34DE0"/>
    <w:rsid w:val="00B407FF"/>
    <w:rsid w:val="00B410A7"/>
    <w:rsid w:val="00B42D7B"/>
    <w:rsid w:val="00B45264"/>
    <w:rsid w:val="00B4582B"/>
    <w:rsid w:val="00B47640"/>
    <w:rsid w:val="00B55B79"/>
    <w:rsid w:val="00B5670A"/>
    <w:rsid w:val="00B60DC5"/>
    <w:rsid w:val="00B64431"/>
    <w:rsid w:val="00B70103"/>
    <w:rsid w:val="00B7137A"/>
    <w:rsid w:val="00B77B25"/>
    <w:rsid w:val="00B77BBF"/>
    <w:rsid w:val="00B85DC1"/>
    <w:rsid w:val="00B91F37"/>
    <w:rsid w:val="00B92D1D"/>
    <w:rsid w:val="00B9315A"/>
    <w:rsid w:val="00BA6C56"/>
    <w:rsid w:val="00BA7A7D"/>
    <w:rsid w:val="00BB1ECB"/>
    <w:rsid w:val="00BB6B0B"/>
    <w:rsid w:val="00BC080C"/>
    <w:rsid w:val="00BC6647"/>
    <w:rsid w:val="00BC6F09"/>
    <w:rsid w:val="00BC73F2"/>
    <w:rsid w:val="00BD4E15"/>
    <w:rsid w:val="00BD6373"/>
    <w:rsid w:val="00BE6254"/>
    <w:rsid w:val="00BF41CA"/>
    <w:rsid w:val="00BF4A50"/>
    <w:rsid w:val="00BF50E4"/>
    <w:rsid w:val="00BF78C0"/>
    <w:rsid w:val="00C00350"/>
    <w:rsid w:val="00C009C7"/>
    <w:rsid w:val="00C036E6"/>
    <w:rsid w:val="00C04497"/>
    <w:rsid w:val="00C07950"/>
    <w:rsid w:val="00C10748"/>
    <w:rsid w:val="00C1395E"/>
    <w:rsid w:val="00C15B33"/>
    <w:rsid w:val="00C179C4"/>
    <w:rsid w:val="00C17A4A"/>
    <w:rsid w:val="00C22398"/>
    <w:rsid w:val="00C22531"/>
    <w:rsid w:val="00C22607"/>
    <w:rsid w:val="00C25834"/>
    <w:rsid w:val="00C26E4F"/>
    <w:rsid w:val="00C3134C"/>
    <w:rsid w:val="00C32B10"/>
    <w:rsid w:val="00C4501E"/>
    <w:rsid w:val="00C46EAC"/>
    <w:rsid w:val="00C5085D"/>
    <w:rsid w:val="00C5529A"/>
    <w:rsid w:val="00C61A1B"/>
    <w:rsid w:val="00C61F62"/>
    <w:rsid w:val="00C71152"/>
    <w:rsid w:val="00C75DCC"/>
    <w:rsid w:val="00C80D66"/>
    <w:rsid w:val="00C851A8"/>
    <w:rsid w:val="00C91006"/>
    <w:rsid w:val="00C94F6E"/>
    <w:rsid w:val="00CA01E6"/>
    <w:rsid w:val="00CA0AA3"/>
    <w:rsid w:val="00CA0B69"/>
    <w:rsid w:val="00CA1B05"/>
    <w:rsid w:val="00CA27FB"/>
    <w:rsid w:val="00CA4DE9"/>
    <w:rsid w:val="00CA4DF9"/>
    <w:rsid w:val="00CA56E7"/>
    <w:rsid w:val="00CA780C"/>
    <w:rsid w:val="00CB2ECC"/>
    <w:rsid w:val="00CB4D1B"/>
    <w:rsid w:val="00CC1662"/>
    <w:rsid w:val="00CC515D"/>
    <w:rsid w:val="00CC68AF"/>
    <w:rsid w:val="00CD0A0B"/>
    <w:rsid w:val="00CD6D60"/>
    <w:rsid w:val="00CD71A0"/>
    <w:rsid w:val="00CD7F5B"/>
    <w:rsid w:val="00CE66C3"/>
    <w:rsid w:val="00CF200B"/>
    <w:rsid w:val="00CF27DE"/>
    <w:rsid w:val="00CF389A"/>
    <w:rsid w:val="00CF51EC"/>
    <w:rsid w:val="00CF69C9"/>
    <w:rsid w:val="00CF7435"/>
    <w:rsid w:val="00D200C0"/>
    <w:rsid w:val="00D24E59"/>
    <w:rsid w:val="00D24E9B"/>
    <w:rsid w:val="00D27C3B"/>
    <w:rsid w:val="00D309E8"/>
    <w:rsid w:val="00D444B4"/>
    <w:rsid w:val="00D4636B"/>
    <w:rsid w:val="00D46715"/>
    <w:rsid w:val="00D5520B"/>
    <w:rsid w:val="00D572F9"/>
    <w:rsid w:val="00D60C54"/>
    <w:rsid w:val="00D6327B"/>
    <w:rsid w:val="00D6667A"/>
    <w:rsid w:val="00D67141"/>
    <w:rsid w:val="00D70C64"/>
    <w:rsid w:val="00D75F26"/>
    <w:rsid w:val="00D77382"/>
    <w:rsid w:val="00D774F8"/>
    <w:rsid w:val="00D804BB"/>
    <w:rsid w:val="00D83176"/>
    <w:rsid w:val="00D83C15"/>
    <w:rsid w:val="00D85864"/>
    <w:rsid w:val="00D86039"/>
    <w:rsid w:val="00D90535"/>
    <w:rsid w:val="00D90A92"/>
    <w:rsid w:val="00D93D58"/>
    <w:rsid w:val="00D94BFD"/>
    <w:rsid w:val="00D94ED3"/>
    <w:rsid w:val="00DA0DD5"/>
    <w:rsid w:val="00DB40FF"/>
    <w:rsid w:val="00DB6820"/>
    <w:rsid w:val="00DB7A50"/>
    <w:rsid w:val="00DC1090"/>
    <w:rsid w:val="00DD0344"/>
    <w:rsid w:val="00DD1FF5"/>
    <w:rsid w:val="00DD29A9"/>
    <w:rsid w:val="00DD383F"/>
    <w:rsid w:val="00DD461C"/>
    <w:rsid w:val="00DE7068"/>
    <w:rsid w:val="00DE7D22"/>
    <w:rsid w:val="00DF0985"/>
    <w:rsid w:val="00DF5F02"/>
    <w:rsid w:val="00DF62EB"/>
    <w:rsid w:val="00E109A6"/>
    <w:rsid w:val="00E167C6"/>
    <w:rsid w:val="00E23788"/>
    <w:rsid w:val="00E3237B"/>
    <w:rsid w:val="00E3647D"/>
    <w:rsid w:val="00E37D02"/>
    <w:rsid w:val="00E4051A"/>
    <w:rsid w:val="00E40681"/>
    <w:rsid w:val="00E42CFD"/>
    <w:rsid w:val="00E4397F"/>
    <w:rsid w:val="00E440BD"/>
    <w:rsid w:val="00E51E6E"/>
    <w:rsid w:val="00E5403C"/>
    <w:rsid w:val="00E61623"/>
    <w:rsid w:val="00E62AB2"/>
    <w:rsid w:val="00E66EEC"/>
    <w:rsid w:val="00E71F43"/>
    <w:rsid w:val="00E745ED"/>
    <w:rsid w:val="00E86622"/>
    <w:rsid w:val="00E922B8"/>
    <w:rsid w:val="00E938F9"/>
    <w:rsid w:val="00E94820"/>
    <w:rsid w:val="00E951E2"/>
    <w:rsid w:val="00E957CD"/>
    <w:rsid w:val="00E95F29"/>
    <w:rsid w:val="00E97FBC"/>
    <w:rsid w:val="00EA0BDF"/>
    <w:rsid w:val="00EA0E08"/>
    <w:rsid w:val="00EA60D3"/>
    <w:rsid w:val="00EB0FA6"/>
    <w:rsid w:val="00EB5E89"/>
    <w:rsid w:val="00EC370C"/>
    <w:rsid w:val="00EC3952"/>
    <w:rsid w:val="00ED0CDB"/>
    <w:rsid w:val="00ED7C39"/>
    <w:rsid w:val="00EE0DCD"/>
    <w:rsid w:val="00EE2110"/>
    <w:rsid w:val="00EE5E27"/>
    <w:rsid w:val="00EF27A0"/>
    <w:rsid w:val="00EF2FB0"/>
    <w:rsid w:val="00EF363A"/>
    <w:rsid w:val="00F010DF"/>
    <w:rsid w:val="00F0150A"/>
    <w:rsid w:val="00F03DFE"/>
    <w:rsid w:val="00F1081A"/>
    <w:rsid w:val="00F13F65"/>
    <w:rsid w:val="00F141B6"/>
    <w:rsid w:val="00F170C9"/>
    <w:rsid w:val="00F204B1"/>
    <w:rsid w:val="00F24D5A"/>
    <w:rsid w:val="00F24EB9"/>
    <w:rsid w:val="00F25093"/>
    <w:rsid w:val="00F34395"/>
    <w:rsid w:val="00F37EB4"/>
    <w:rsid w:val="00F403FF"/>
    <w:rsid w:val="00F4406D"/>
    <w:rsid w:val="00F45A07"/>
    <w:rsid w:val="00F45EB3"/>
    <w:rsid w:val="00F46ED7"/>
    <w:rsid w:val="00F5376F"/>
    <w:rsid w:val="00F55E9C"/>
    <w:rsid w:val="00F579CA"/>
    <w:rsid w:val="00F57E2E"/>
    <w:rsid w:val="00F61B07"/>
    <w:rsid w:val="00F659BD"/>
    <w:rsid w:val="00F73BB6"/>
    <w:rsid w:val="00F748BC"/>
    <w:rsid w:val="00F8195B"/>
    <w:rsid w:val="00F876C8"/>
    <w:rsid w:val="00F92462"/>
    <w:rsid w:val="00F97C05"/>
    <w:rsid w:val="00FA1811"/>
    <w:rsid w:val="00FA51C1"/>
    <w:rsid w:val="00FA60EB"/>
    <w:rsid w:val="00FB3929"/>
    <w:rsid w:val="00FB4495"/>
    <w:rsid w:val="00FB55C3"/>
    <w:rsid w:val="00FB7EBD"/>
    <w:rsid w:val="00FC32F5"/>
    <w:rsid w:val="00FC4B5A"/>
    <w:rsid w:val="00FD3C93"/>
    <w:rsid w:val="00FD447A"/>
    <w:rsid w:val="00FD4E80"/>
    <w:rsid w:val="00FD73EE"/>
    <w:rsid w:val="00FD7F3E"/>
    <w:rsid w:val="00FE5642"/>
    <w:rsid w:val="00FE751C"/>
    <w:rsid w:val="00FF07C3"/>
    <w:rsid w:val="00FF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95B"/>
    <w:pPr>
      <w:widowControl w:val="0"/>
      <w:autoSpaceDE w:val="0"/>
      <w:autoSpaceDN w:val="0"/>
      <w:adjustRightInd w:val="0"/>
    </w:pPr>
  </w:style>
  <w:style w:type="paragraph" w:styleId="Heading1">
    <w:name w:val="heading 1"/>
    <w:basedOn w:val="Normal"/>
    <w:next w:val="Normal"/>
    <w:qFormat/>
    <w:rsid w:val="003C0BFF"/>
    <w:pPr>
      <w:keepNext/>
      <w:tabs>
        <w:tab w:val="left" w:pos="0"/>
      </w:tabs>
      <w:suppressAutoHyphens/>
      <w:spacing w:line="240" w:lineRule="atLeast"/>
      <w:outlineLvl w:val="0"/>
    </w:pPr>
    <w:rPr>
      <w:b/>
      <w:bCs/>
      <w:sz w:val="24"/>
      <w:szCs w:val="24"/>
      <w:u w:val="single"/>
    </w:rPr>
  </w:style>
  <w:style w:type="paragraph" w:styleId="Heading2">
    <w:name w:val="heading 2"/>
    <w:basedOn w:val="Normal"/>
    <w:qFormat/>
    <w:rsid w:val="003C0BFF"/>
    <w:pPr>
      <w:widowControl/>
      <w:autoSpaceDE/>
      <w:autoSpaceDN/>
      <w:adjustRightInd/>
      <w:spacing w:before="100" w:beforeAutospacing="1" w:after="100" w:afterAutospacing="1"/>
      <w:outlineLvl w:val="1"/>
    </w:pPr>
    <w:rPr>
      <w:rFonts w:ascii="Georgia" w:hAnsi="Georgia"/>
      <w:b/>
      <w:bCs/>
      <w:color w:val="003366"/>
      <w:sz w:val="36"/>
      <w:szCs w:val="36"/>
    </w:rPr>
  </w:style>
  <w:style w:type="paragraph" w:styleId="Heading3">
    <w:name w:val="heading 3"/>
    <w:basedOn w:val="Normal"/>
    <w:qFormat/>
    <w:rsid w:val="003C0BFF"/>
    <w:pPr>
      <w:widowControl/>
      <w:autoSpaceDE/>
      <w:autoSpaceDN/>
      <w:adjustRightInd/>
      <w:spacing w:before="100" w:beforeAutospacing="1" w:after="100" w:afterAutospacing="1"/>
      <w:outlineLvl w:val="2"/>
    </w:pPr>
    <w:rPr>
      <w:rFonts w:ascii="Georgia" w:hAnsi="Georgia"/>
      <w:b/>
      <w:bCs/>
      <w:color w:val="003366"/>
      <w:sz w:val="27"/>
      <w:szCs w:val="27"/>
    </w:rPr>
  </w:style>
  <w:style w:type="paragraph" w:styleId="Heading4">
    <w:name w:val="heading 4"/>
    <w:basedOn w:val="Normal"/>
    <w:next w:val="Normal"/>
    <w:qFormat/>
    <w:rsid w:val="003C0BFF"/>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BFF"/>
    <w:rPr>
      <w:szCs w:val="24"/>
    </w:rPr>
  </w:style>
  <w:style w:type="character" w:styleId="EndnoteReference">
    <w:name w:val="endnote reference"/>
    <w:basedOn w:val="DefaultParagraphFont"/>
    <w:semiHidden/>
    <w:rsid w:val="003C0BFF"/>
    <w:rPr>
      <w:vertAlign w:val="superscript"/>
    </w:rPr>
  </w:style>
  <w:style w:type="paragraph" w:styleId="FootnoteText">
    <w:name w:val="footnote text"/>
    <w:basedOn w:val="Normal"/>
    <w:semiHidden/>
    <w:rsid w:val="003C0BFF"/>
    <w:rPr>
      <w:szCs w:val="24"/>
    </w:rPr>
  </w:style>
  <w:style w:type="character" w:styleId="FootnoteReference">
    <w:name w:val="footnote reference"/>
    <w:basedOn w:val="DefaultParagraphFont"/>
    <w:semiHidden/>
    <w:rsid w:val="003C0BFF"/>
    <w:rPr>
      <w:vertAlign w:val="superscript"/>
    </w:rPr>
  </w:style>
  <w:style w:type="paragraph" w:styleId="TOC1">
    <w:name w:val="toc 1"/>
    <w:basedOn w:val="Normal"/>
    <w:next w:val="Normal"/>
    <w:autoRedefine/>
    <w:semiHidden/>
    <w:rsid w:val="003C0BF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C0BF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3C0BF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3C0BF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3C0BF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3C0BFF"/>
    <w:pPr>
      <w:tabs>
        <w:tab w:val="right" w:pos="9360"/>
      </w:tabs>
      <w:suppressAutoHyphens/>
      <w:spacing w:line="240" w:lineRule="atLeast"/>
      <w:ind w:left="720" w:hanging="720"/>
    </w:pPr>
  </w:style>
  <w:style w:type="paragraph" w:styleId="TOC7">
    <w:name w:val="toc 7"/>
    <w:basedOn w:val="Normal"/>
    <w:next w:val="Normal"/>
    <w:autoRedefine/>
    <w:semiHidden/>
    <w:rsid w:val="003C0BFF"/>
    <w:pPr>
      <w:suppressAutoHyphens/>
      <w:spacing w:line="240" w:lineRule="atLeast"/>
      <w:ind w:left="720" w:hanging="720"/>
    </w:pPr>
  </w:style>
  <w:style w:type="paragraph" w:styleId="TOC8">
    <w:name w:val="toc 8"/>
    <w:basedOn w:val="Normal"/>
    <w:next w:val="Normal"/>
    <w:autoRedefine/>
    <w:semiHidden/>
    <w:rsid w:val="003C0BFF"/>
    <w:pPr>
      <w:tabs>
        <w:tab w:val="right" w:pos="9360"/>
      </w:tabs>
      <w:suppressAutoHyphens/>
      <w:spacing w:line="240" w:lineRule="atLeast"/>
      <w:ind w:left="720" w:hanging="720"/>
    </w:pPr>
  </w:style>
  <w:style w:type="paragraph" w:styleId="TOC9">
    <w:name w:val="toc 9"/>
    <w:basedOn w:val="Normal"/>
    <w:next w:val="Normal"/>
    <w:autoRedefine/>
    <w:semiHidden/>
    <w:rsid w:val="003C0BFF"/>
    <w:pPr>
      <w:tabs>
        <w:tab w:val="right" w:leader="dot" w:pos="9360"/>
      </w:tabs>
      <w:suppressAutoHyphens/>
      <w:spacing w:line="240" w:lineRule="atLeast"/>
      <w:ind w:left="720" w:hanging="720"/>
    </w:pPr>
  </w:style>
  <w:style w:type="paragraph" w:styleId="Index1">
    <w:name w:val="index 1"/>
    <w:basedOn w:val="Normal"/>
    <w:next w:val="Normal"/>
    <w:autoRedefine/>
    <w:semiHidden/>
    <w:rsid w:val="003C0BF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C0BF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C0BFF"/>
    <w:pPr>
      <w:tabs>
        <w:tab w:val="right" w:pos="9360"/>
      </w:tabs>
      <w:suppressAutoHyphens/>
      <w:spacing w:line="240" w:lineRule="atLeast"/>
    </w:pPr>
  </w:style>
  <w:style w:type="paragraph" w:styleId="Caption">
    <w:name w:val="caption"/>
    <w:basedOn w:val="Normal"/>
    <w:next w:val="Normal"/>
    <w:qFormat/>
    <w:rsid w:val="003C0BFF"/>
    <w:rPr>
      <w:szCs w:val="24"/>
    </w:rPr>
  </w:style>
  <w:style w:type="character" w:customStyle="1" w:styleId="EquationCaption">
    <w:name w:val="_Equation Caption"/>
    <w:rsid w:val="003C0BFF"/>
  </w:style>
  <w:style w:type="paragraph" w:styleId="BodyTextIndent">
    <w:name w:val="Body Text Indent"/>
    <w:basedOn w:val="Normal"/>
    <w:rsid w:val="003C0BFF"/>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3C0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3C0BFF"/>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rsid w:val="003C0BFF"/>
    <w:pPr>
      <w:tabs>
        <w:tab w:val="left" w:pos="-3060"/>
        <w:tab w:val="left" w:pos="0"/>
        <w:tab w:val="left" w:pos="432"/>
        <w:tab w:val="left" w:pos="720"/>
      </w:tabs>
      <w:suppressAutoHyphens/>
      <w:spacing w:line="240" w:lineRule="atLeast"/>
    </w:pPr>
    <w:rPr>
      <w:sz w:val="24"/>
      <w:szCs w:val="24"/>
    </w:rPr>
  </w:style>
  <w:style w:type="paragraph" w:styleId="Header">
    <w:name w:val="header"/>
    <w:basedOn w:val="Normal"/>
    <w:rsid w:val="003C0BFF"/>
    <w:pPr>
      <w:tabs>
        <w:tab w:val="center" w:pos="4320"/>
        <w:tab w:val="right" w:pos="8640"/>
      </w:tabs>
    </w:pPr>
  </w:style>
  <w:style w:type="paragraph" w:styleId="Footer">
    <w:name w:val="footer"/>
    <w:basedOn w:val="Normal"/>
    <w:link w:val="FooterChar"/>
    <w:uiPriority w:val="99"/>
    <w:rsid w:val="003C0BFF"/>
    <w:pPr>
      <w:tabs>
        <w:tab w:val="center" w:pos="4320"/>
        <w:tab w:val="right" w:pos="8640"/>
      </w:tabs>
    </w:pPr>
  </w:style>
  <w:style w:type="character" w:styleId="Hyperlink">
    <w:name w:val="Hyperlink"/>
    <w:basedOn w:val="DefaultParagraphFont"/>
    <w:rsid w:val="003C0BFF"/>
    <w:rPr>
      <w:color w:val="0000FF"/>
      <w:u w:val="single"/>
    </w:rPr>
  </w:style>
  <w:style w:type="paragraph" w:styleId="BodyText2">
    <w:name w:val="Body Text 2"/>
    <w:basedOn w:val="Normal"/>
    <w:rsid w:val="003C0BFF"/>
    <w:pPr>
      <w:tabs>
        <w:tab w:val="left" w:pos="-3060"/>
        <w:tab w:val="left" w:pos="0"/>
      </w:tabs>
      <w:suppressAutoHyphens/>
      <w:spacing w:line="240" w:lineRule="atLeast"/>
    </w:pPr>
    <w:rPr>
      <w:color w:val="FF0000"/>
      <w:sz w:val="24"/>
    </w:rPr>
  </w:style>
  <w:style w:type="paragraph" w:styleId="BodyText3">
    <w:name w:val="Body Text 3"/>
    <w:basedOn w:val="Normal"/>
    <w:rsid w:val="003C0BFF"/>
    <w:pPr>
      <w:tabs>
        <w:tab w:val="left" w:pos="-3060"/>
        <w:tab w:val="left" w:pos="0"/>
      </w:tabs>
      <w:suppressAutoHyphens/>
      <w:spacing w:line="240" w:lineRule="atLeast"/>
      <w:jc w:val="center"/>
    </w:pPr>
    <w:rPr>
      <w:sz w:val="28"/>
      <w:szCs w:val="28"/>
      <w:u w:val="single"/>
    </w:rPr>
  </w:style>
  <w:style w:type="paragraph" w:styleId="BalloonText">
    <w:name w:val="Balloon Text"/>
    <w:basedOn w:val="Normal"/>
    <w:semiHidden/>
    <w:rsid w:val="003C0BFF"/>
    <w:rPr>
      <w:rFonts w:ascii="Tahoma" w:hAnsi="Tahoma" w:cs="Tahoma"/>
      <w:sz w:val="16"/>
      <w:szCs w:val="16"/>
    </w:rPr>
  </w:style>
  <w:style w:type="character" w:styleId="FollowedHyperlink">
    <w:name w:val="FollowedHyperlink"/>
    <w:basedOn w:val="DefaultParagraphFont"/>
    <w:rsid w:val="006725BB"/>
    <w:rPr>
      <w:color w:val="800080"/>
      <w:u w:val="single"/>
    </w:rPr>
  </w:style>
  <w:style w:type="table" w:styleId="TableGrid">
    <w:name w:val="Table Grid"/>
    <w:basedOn w:val="TableNormal"/>
    <w:rsid w:val="006725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516D2"/>
  </w:style>
  <w:style w:type="character" w:styleId="CommentReference">
    <w:name w:val="annotation reference"/>
    <w:basedOn w:val="DefaultParagraphFont"/>
    <w:rsid w:val="003E0EE4"/>
    <w:rPr>
      <w:sz w:val="16"/>
      <w:szCs w:val="16"/>
    </w:rPr>
  </w:style>
  <w:style w:type="paragraph" w:styleId="CommentText">
    <w:name w:val="annotation text"/>
    <w:basedOn w:val="Normal"/>
    <w:link w:val="CommentTextChar"/>
    <w:rsid w:val="003E0EE4"/>
  </w:style>
  <w:style w:type="character" w:customStyle="1" w:styleId="CommentTextChar">
    <w:name w:val="Comment Text Char"/>
    <w:basedOn w:val="DefaultParagraphFont"/>
    <w:link w:val="CommentText"/>
    <w:rsid w:val="003E0EE4"/>
  </w:style>
  <w:style w:type="paragraph" w:styleId="CommentSubject">
    <w:name w:val="annotation subject"/>
    <w:basedOn w:val="CommentText"/>
    <w:next w:val="CommentText"/>
    <w:link w:val="CommentSubjectChar"/>
    <w:rsid w:val="003E0EE4"/>
    <w:rPr>
      <w:b/>
      <w:bCs/>
    </w:rPr>
  </w:style>
  <w:style w:type="character" w:customStyle="1" w:styleId="CommentSubjectChar">
    <w:name w:val="Comment Subject Char"/>
    <w:basedOn w:val="CommentTextChar"/>
    <w:link w:val="CommentSubject"/>
    <w:rsid w:val="003E0EE4"/>
    <w:rPr>
      <w:b/>
      <w:bCs/>
    </w:rPr>
  </w:style>
  <w:style w:type="paragraph" w:styleId="ListParagraph">
    <w:name w:val="List Paragraph"/>
    <w:basedOn w:val="Normal"/>
    <w:uiPriority w:val="34"/>
    <w:qFormat/>
    <w:rsid w:val="008C2264"/>
    <w:pPr>
      <w:ind w:left="720"/>
      <w:contextualSpacing/>
    </w:pPr>
  </w:style>
  <w:style w:type="paragraph" w:customStyle="1" w:styleId="xmsonormal">
    <w:name w:val="x_msonormal"/>
    <w:basedOn w:val="Normal"/>
    <w:rsid w:val="00BC6F09"/>
    <w:pPr>
      <w:widowControl/>
      <w:autoSpaceDE/>
      <w:autoSpaceDN/>
      <w:adjustRightInd/>
    </w:pPr>
    <w:rPr>
      <w:rFonts w:eastAsiaTheme="minorHAnsi"/>
      <w:sz w:val="24"/>
      <w:szCs w:val="24"/>
    </w:rPr>
  </w:style>
  <w:style w:type="paragraph" w:customStyle="1" w:styleId="xmsolistparagraph">
    <w:name w:val="x_msolistparagraph"/>
    <w:basedOn w:val="Normal"/>
    <w:rsid w:val="00BC6F09"/>
    <w:pPr>
      <w:widowControl/>
      <w:adjustRightInd/>
      <w:ind w:left="720"/>
    </w:pPr>
    <w:rPr>
      <w:rFonts w:ascii="Albertus" w:eastAsiaTheme="minorHAnsi" w:hAnsi="Albertus"/>
    </w:rPr>
  </w:style>
  <w:style w:type="paragraph" w:styleId="Revision">
    <w:name w:val="Revision"/>
    <w:hidden/>
    <w:uiPriority w:val="99"/>
    <w:semiHidden/>
    <w:rsid w:val="004B0E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95B"/>
    <w:pPr>
      <w:widowControl w:val="0"/>
      <w:autoSpaceDE w:val="0"/>
      <w:autoSpaceDN w:val="0"/>
      <w:adjustRightInd w:val="0"/>
    </w:pPr>
  </w:style>
  <w:style w:type="paragraph" w:styleId="Heading1">
    <w:name w:val="heading 1"/>
    <w:basedOn w:val="Normal"/>
    <w:next w:val="Normal"/>
    <w:qFormat/>
    <w:rsid w:val="003C0BFF"/>
    <w:pPr>
      <w:keepNext/>
      <w:tabs>
        <w:tab w:val="left" w:pos="0"/>
      </w:tabs>
      <w:suppressAutoHyphens/>
      <w:spacing w:line="240" w:lineRule="atLeast"/>
      <w:outlineLvl w:val="0"/>
    </w:pPr>
    <w:rPr>
      <w:b/>
      <w:bCs/>
      <w:sz w:val="24"/>
      <w:szCs w:val="24"/>
      <w:u w:val="single"/>
    </w:rPr>
  </w:style>
  <w:style w:type="paragraph" w:styleId="Heading2">
    <w:name w:val="heading 2"/>
    <w:basedOn w:val="Normal"/>
    <w:qFormat/>
    <w:rsid w:val="003C0BFF"/>
    <w:pPr>
      <w:widowControl/>
      <w:autoSpaceDE/>
      <w:autoSpaceDN/>
      <w:adjustRightInd/>
      <w:spacing w:before="100" w:beforeAutospacing="1" w:after="100" w:afterAutospacing="1"/>
      <w:outlineLvl w:val="1"/>
    </w:pPr>
    <w:rPr>
      <w:rFonts w:ascii="Georgia" w:hAnsi="Georgia"/>
      <w:b/>
      <w:bCs/>
      <w:color w:val="003366"/>
      <w:sz w:val="36"/>
      <w:szCs w:val="36"/>
    </w:rPr>
  </w:style>
  <w:style w:type="paragraph" w:styleId="Heading3">
    <w:name w:val="heading 3"/>
    <w:basedOn w:val="Normal"/>
    <w:qFormat/>
    <w:rsid w:val="003C0BFF"/>
    <w:pPr>
      <w:widowControl/>
      <w:autoSpaceDE/>
      <w:autoSpaceDN/>
      <w:adjustRightInd/>
      <w:spacing w:before="100" w:beforeAutospacing="1" w:after="100" w:afterAutospacing="1"/>
      <w:outlineLvl w:val="2"/>
    </w:pPr>
    <w:rPr>
      <w:rFonts w:ascii="Georgia" w:hAnsi="Georgia"/>
      <w:b/>
      <w:bCs/>
      <w:color w:val="003366"/>
      <w:sz w:val="27"/>
      <w:szCs w:val="27"/>
    </w:rPr>
  </w:style>
  <w:style w:type="paragraph" w:styleId="Heading4">
    <w:name w:val="heading 4"/>
    <w:basedOn w:val="Normal"/>
    <w:next w:val="Normal"/>
    <w:qFormat/>
    <w:rsid w:val="003C0BFF"/>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BFF"/>
    <w:rPr>
      <w:szCs w:val="24"/>
    </w:rPr>
  </w:style>
  <w:style w:type="character" w:styleId="EndnoteReference">
    <w:name w:val="endnote reference"/>
    <w:basedOn w:val="DefaultParagraphFont"/>
    <w:semiHidden/>
    <w:rsid w:val="003C0BFF"/>
    <w:rPr>
      <w:vertAlign w:val="superscript"/>
    </w:rPr>
  </w:style>
  <w:style w:type="paragraph" w:styleId="FootnoteText">
    <w:name w:val="footnote text"/>
    <w:basedOn w:val="Normal"/>
    <w:semiHidden/>
    <w:rsid w:val="003C0BFF"/>
    <w:rPr>
      <w:szCs w:val="24"/>
    </w:rPr>
  </w:style>
  <w:style w:type="character" w:styleId="FootnoteReference">
    <w:name w:val="footnote reference"/>
    <w:basedOn w:val="DefaultParagraphFont"/>
    <w:semiHidden/>
    <w:rsid w:val="003C0BFF"/>
    <w:rPr>
      <w:vertAlign w:val="superscript"/>
    </w:rPr>
  </w:style>
  <w:style w:type="paragraph" w:styleId="TOC1">
    <w:name w:val="toc 1"/>
    <w:basedOn w:val="Normal"/>
    <w:next w:val="Normal"/>
    <w:autoRedefine/>
    <w:semiHidden/>
    <w:rsid w:val="003C0BF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C0BF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3C0BF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3C0BF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3C0BF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3C0BFF"/>
    <w:pPr>
      <w:tabs>
        <w:tab w:val="right" w:pos="9360"/>
      </w:tabs>
      <w:suppressAutoHyphens/>
      <w:spacing w:line="240" w:lineRule="atLeast"/>
      <w:ind w:left="720" w:hanging="720"/>
    </w:pPr>
  </w:style>
  <w:style w:type="paragraph" w:styleId="TOC7">
    <w:name w:val="toc 7"/>
    <w:basedOn w:val="Normal"/>
    <w:next w:val="Normal"/>
    <w:autoRedefine/>
    <w:semiHidden/>
    <w:rsid w:val="003C0BFF"/>
    <w:pPr>
      <w:suppressAutoHyphens/>
      <w:spacing w:line="240" w:lineRule="atLeast"/>
      <w:ind w:left="720" w:hanging="720"/>
    </w:pPr>
  </w:style>
  <w:style w:type="paragraph" w:styleId="TOC8">
    <w:name w:val="toc 8"/>
    <w:basedOn w:val="Normal"/>
    <w:next w:val="Normal"/>
    <w:autoRedefine/>
    <w:semiHidden/>
    <w:rsid w:val="003C0BFF"/>
    <w:pPr>
      <w:tabs>
        <w:tab w:val="right" w:pos="9360"/>
      </w:tabs>
      <w:suppressAutoHyphens/>
      <w:spacing w:line="240" w:lineRule="atLeast"/>
      <w:ind w:left="720" w:hanging="720"/>
    </w:pPr>
  </w:style>
  <w:style w:type="paragraph" w:styleId="TOC9">
    <w:name w:val="toc 9"/>
    <w:basedOn w:val="Normal"/>
    <w:next w:val="Normal"/>
    <w:autoRedefine/>
    <w:semiHidden/>
    <w:rsid w:val="003C0BFF"/>
    <w:pPr>
      <w:tabs>
        <w:tab w:val="right" w:leader="dot" w:pos="9360"/>
      </w:tabs>
      <w:suppressAutoHyphens/>
      <w:spacing w:line="240" w:lineRule="atLeast"/>
      <w:ind w:left="720" w:hanging="720"/>
    </w:pPr>
  </w:style>
  <w:style w:type="paragraph" w:styleId="Index1">
    <w:name w:val="index 1"/>
    <w:basedOn w:val="Normal"/>
    <w:next w:val="Normal"/>
    <w:autoRedefine/>
    <w:semiHidden/>
    <w:rsid w:val="003C0BF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C0BF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C0BFF"/>
    <w:pPr>
      <w:tabs>
        <w:tab w:val="right" w:pos="9360"/>
      </w:tabs>
      <w:suppressAutoHyphens/>
      <w:spacing w:line="240" w:lineRule="atLeast"/>
    </w:pPr>
  </w:style>
  <w:style w:type="paragraph" w:styleId="Caption">
    <w:name w:val="caption"/>
    <w:basedOn w:val="Normal"/>
    <w:next w:val="Normal"/>
    <w:qFormat/>
    <w:rsid w:val="003C0BFF"/>
    <w:rPr>
      <w:szCs w:val="24"/>
    </w:rPr>
  </w:style>
  <w:style w:type="character" w:customStyle="1" w:styleId="EquationCaption">
    <w:name w:val="_Equation Caption"/>
    <w:rsid w:val="003C0BFF"/>
  </w:style>
  <w:style w:type="paragraph" w:styleId="BodyTextIndent">
    <w:name w:val="Body Text Indent"/>
    <w:basedOn w:val="Normal"/>
    <w:rsid w:val="003C0BFF"/>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3C0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3C0BFF"/>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rsid w:val="003C0BFF"/>
    <w:pPr>
      <w:tabs>
        <w:tab w:val="left" w:pos="-3060"/>
        <w:tab w:val="left" w:pos="0"/>
        <w:tab w:val="left" w:pos="432"/>
        <w:tab w:val="left" w:pos="720"/>
      </w:tabs>
      <w:suppressAutoHyphens/>
      <w:spacing w:line="240" w:lineRule="atLeast"/>
    </w:pPr>
    <w:rPr>
      <w:sz w:val="24"/>
      <w:szCs w:val="24"/>
    </w:rPr>
  </w:style>
  <w:style w:type="paragraph" w:styleId="Header">
    <w:name w:val="header"/>
    <w:basedOn w:val="Normal"/>
    <w:rsid w:val="003C0BFF"/>
    <w:pPr>
      <w:tabs>
        <w:tab w:val="center" w:pos="4320"/>
        <w:tab w:val="right" w:pos="8640"/>
      </w:tabs>
    </w:pPr>
  </w:style>
  <w:style w:type="paragraph" w:styleId="Footer">
    <w:name w:val="footer"/>
    <w:basedOn w:val="Normal"/>
    <w:link w:val="FooterChar"/>
    <w:uiPriority w:val="99"/>
    <w:rsid w:val="003C0BFF"/>
    <w:pPr>
      <w:tabs>
        <w:tab w:val="center" w:pos="4320"/>
        <w:tab w:val="right" w:pos="8640"/>
      </w:tabs>
    </w:pPr>
  </w:style>
  <w:style w:type="character" w:styleId="Hyperlink">
    <w:name w:val="Hyperlink"/>
    <w:basedOn w:val="DefaultParagraphFont"/>
    <w:rsid w:val="003C0BFF"/>
    <w:rPr>
      <w:color w:val="0000FF"/>
      <w:u w:val="single"/>
    </w:rPr>
  </w:style>
  <w:style w:type="paragraph" w:styleId="BodyText2">
    <w:name w:val="Body Text 2"/>
    <w:basedOn w:val="Normal"/>
    <w:rsid w:val="003C0BFF"/>
    <w:pPr>
      <w:tabs>
        <w:tab w:val="left" w:pos="-3060"/>
        <w:tab w:val="left" w:pos="0"/>
      </w:tabs>
      <w:suppressAutoHyphens/>
      <w:spacing w:line="240" w:lineRule="atLeast"/>
    </w:pPr>
    <w:rPr>
      <w:color w:val="FF0000"/>
      <w:sz w:val="24"/>
    </w:rPr>
  </w:style>
  <w:style w:type="paragraph" w:styleId="BodyText3">
    <w:name w:val="Body Text 3"/>
    <w:basedOn w:val="Normal"/>
    <w:rsid w:val="003C0BFF"/>
    <w:pPr>
      <w:tabs>
        <w:tab w:val="left" w:pos="-3060"/>
        <w:tab w:val="left" w:pos="0"/>
      </w:tabs>
      <w:suppressAutoHyphens/>
      <w:spacing w:line="240" w:lineRule="atLeast"/>
      <w:jc w:val="center"/>
    </w:pPr>
    <w:rPr>
      <w:sz w:val="28"/>
      <w:szCs w:val="28"/>
      <w:u w:val="single"/>
    </w:rPr>
  </w:style>
  <w:style w:type="paragraph" w:styleId="BalloonText">
    <w:name w:val="Balloon Text"/>
    <w:basedOn w:val="Normal"/>
    <w:semiHidden/>
    <w:rsid w:val="003C0BFF"/>
    <w:rPr>
      <w:rFonts w:ascii="Tahoma" w:hAnsi="Tahoma" w:cs="Tahoma"/>
      <w:sz w:val="16"/>
      <w:szCs w:val="16"/>
    </w:rPr>
  </w:style>
  <w:style w:type="character" w:styleId="FollowedHyperlink">
    <w:name w:val="FollowedHyperlink"/>
    <w:basedOn w:val="DefaultParagraphFont"/>
    <w:rsid w:val="006725BB"/>
    <w:rPr>
      <w:color w:val="800080"/>
      <w:u w:val="single"/>
    </w:rPr>
  </w:style>
  <w:style w:type="table" w:styleId="TableGrid">
    <w:name w:val="Table Grid"/>
    <w:basedOn w:val="TableNormal"/>
    <w:rsid w:val="006725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516D2"/>
  </w:style>
  <w:style w:type="character" w:styleId="CommentReference">
    <w:name w:val="annotation reference"/>
    <w:basedOn w:val="DefaultParagraphFont"/>
    <w:rsid w:val="003E0EE4"/>
    <w:rPr>
      <w:sz w:val="16"/>
      <w:szCs w:val="16"/>
    </w:rPr>
  </w:style>
  <w:style w:type="paragraph" w:styleId="CommentText">
    <w:name w:val="annotation text"/>
    <w:basedOn w:val="Normal"/>
    <w:link w:val="CommentTextChar"/>
    <w:rsid w:val="003E0EE4"/>
  </w:style>
  <w:style w:type="character" w:customStyle="1" w:styleId="CommentTextChar">
    <w:name w:val="Comment Text Char"/>
    <w:basedOn w:val="DefaultParagraphFont"/>
    <w:link w:val="CommentText"/>
    <w:rsid w:val="003E0EE4"/>
  </w:style>
  <w:style w:type="paragraph" w:styleId="CommentSubject">
    <w:name w:val="annotation subject"/>
    <w:basedOn w:val="CommentText"/>
    <w:next w:val="CommentText"/>
    <w:link w:val="CommentSubjectChar"/>
    <w:rsid w:val="003E0EE4"/>
    <w:rPr>
      <w:b/>
      <w:bCs/>
    </w:rPr>
  </w:style>
  <w:style w:type="character" w:customStyle="1" w:styleId="CommentSubjectChar">
    <w:name w:val="Comment Subject Char"/>
    <w:basedOn w:val="CommentTextChar"/>
    <w:link w:val="CommentSubject"/>
    <w:rsid w:val="003E0EE4"/>
    <w:rPr>
      <w:b/>
      <w:bCs/>
    </w:rPr>
  </w:style>
  <w:style w:type="paragraph" w:styleId="ListParagraph">
    <w:name w:val="List Paragraph"/>
    <w:basedOn w:val="Normal"/>
    <w:uiPriority w:val="34"/>
    <w:qFormat/>
    <w:rsid w:val="008C2264"/>
    <w:pPr>
      <w:ind w:left="720"/>
      <w:contextualSpacing/>
    </w:pPr>
  </w:style>
  <w:style w:type="paragraph" w:customStyle="1" w:styleId="xmsonormal">
    <w:name w:val="x_msonormal"/>
    <w:basedOn w:val="Normal"/>
    <w:rsid w:val="00BC6F09"/>
    <w:pPr>
      <w:widowControl/>
      <w:autoSpaceDE/>
      <w:autoSpaceDN/>
      <w:adjustRightInd/>
    </w:pPr>
    <w:rPr>
      <w:rFonts w:eastAsiaTheme="minorHAnsi"/>
      <w:sz w:val="24"/>
      <w:szCs w:val="24"/>
    </w:rPr>
  </w:style>
  <w:style w:type="paragraph" w:customStyle="1" w:styleId="xmsolistparagraph">
    <w:name w:val="x_msolistparagraph"/>
    <w:basedOn w:val="Normal"/>
    <w:rsid w:val="00BC6F09"/>
    <w:pPr>
      <w:widowControl/>
      <w:adjustRightInd/>
      <w:ind w:left="720"/>
    </w:pPr>
    <w:rPr>
      <w:rFonts w:ascii="Albertus" w:eastAsiaTheme="minorHAnsi" w:hAnsi="Albertus"/>
    </w:rPr>
  </w:style>
  <w:style w:type="paragraph" w:styleId="Revision">
    <w:name w:val="Revision"/>
    <w:hidden/>
    <w:uiPriority w:val="99"/>
    <w:semiHidden/>
    <w:rsid w:val="004B0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4284">
      <w:bodyDiv w:val="1"/>
      <w:marLeft w:val="0"/>
      <w:marRight w:val="0"/>
      <w:marTop w:val="0"/>
      <w:marBottom w:val="0"/>
      <w:divBdr>
        <w:top w:val="none" w:sz="0" w:space="0" w:color="auto"/>
        <w:left w:val="none" w:sz="0" w:space="0" w:color="auto"/>
        <w:bottom w:val="none" w:sz="0" w:space="0" w:color="auto"/>
        <w:right w:val="none" w:sz="0" w:space="0" w:color="auto"/>
      </w:divBdr>
    </w:div>
    <w:div w:id="262961494">
      <w:bodyDiv w:val="1"/>
      <w:marLeft w:val="0"/>
      <w:marRight w:val="0"/>
      <w:marTop w:val="0"/>
      <w:marBottom w:val="0"/>
      <w:divBdr>
        <w:top w:val="none" w:sz="0" w:space="0" w:color="auto"/>
        <w:left w:val="none" w:sz="0" w:space="0" w:color="auto"/>
        <w:bottom w:val="none" w:sz="0" w:space="0" w:color="auto"/>
        <w:right w:val="none" w:sz="0" w:space="0" w:color="auto"/>
      </w:divBdr>
    </w:div>
    <w:div w:id="430665650">
      <w:bodyDiv w:val="1"/>
      <w:marLeft w:val="0"/>
      <w:marRight w:val="0"/>
      <w:marTop w:val="0"/>
      <w:marBottom w:val="0"/>
      <w:divBdr>
        <w:top w:val="none" w:sz="0" w:space="0" w:color="auto"/>
        <w:left w:val="none" w:sz="0" w:space="0" w:color="auto"/>
        <w:bottom w:val="none" w:sz="0" w:space="0" w:color="auto"/>
        <w:right w:val="none" w:sz="0" w:space="0" w:color="auto"/>
      </w:divBdr>
    </w:div>
    <w:div w:id="595214188">
      <w:bodyDiv w:val="1"/>
      <w:marLeft w:val="0"/>
      <w:marRight w:val="0"/>
      <w:marTop w:val="0"/>
      <w:marBottom w:val="0"/>
      <w:divBdr>
        <w:top w:val="none" w:sz="0" w:space="0" w:color="auto"/>
        <w:left w:val="none" w:sz="0" w:space="0" w:color="auto"/>
        <w:bottom w:val="none" w:sz="0" w:space="0" w:color="auto"/>
        <w:right w:val="none" w:sz="0" w:space="0" w:color="auto"/>
      </w:divBdr>
    </w:div>
    <w:div w:id="721563243">
      <w:bodyDiv w:val="1"/>
      <w:marLeft w:val="0"/>
      <w:marRight w:val="0"/>
      <w:marTop w:val="0"/>
      <w:marBottom w:val="0"/>
      <w:divBdr>
        <w:top w:val="none" w:sz="0" w:space="0" w:color="auto"/>
        <w:left w:val="none" w:sz="0" w:space="0" w:color="auto"/>
        <w:bottom w:val="none" w:sz="0" w:space="0" w:color="auto"/>
        <w:right w:val="none" w:sz="0" w:space="0" w:color="auto"/>
      </w:divBdr>
    </w:div>
    <w:div w:id="742265111">
      <w:bodyDiv w:val="1"/>
      <w:marLeft w:val="0"/>
      <w:marRight w:val="0"/>
      <w:marTop w:val="0"/>
      <w:marBottom w:val="0"/>
      <w:divBdr>
        <w:top w:val="none" w:sz="0" w:space="0" w:color="auto"/>
        <w:left w:val="none" w:sz="0" w:space="0" w:color="auto"/>
        <w:bottom w:val="none" w:sz="0" w:space="0" w:color="auto"/>
        <w:right w:val="none" w:sz="0" w:space="0" w:color="auto"/>
      </w:divBdr>
    </w:div>
    <w:div w:id="970213982">
      <w:bodyDiv w:val="1"/>
      <w:marLeft w:val="0"/>
      <w:marRight w:val="0"/>
      <w:marTop w:val="0"/>
      <w:marBottom w:val="0"/>
      <w:divBdr>
        <w:top w:val="none" w:sz="0" w:space="0" w:color="auto"/>
        <w:left w:val="none" w:sz="0" w:space="0" w:color="auto"/>
        <w:bottom w:val="none" w:sz="0" w:space="0" w:color="auto"/>
        <w:right w:val="none" w:sz="0" w:space="0" w:color="auto"/>
      </w:divBdr>
    </w:div>
    <w:div w:id="1001737762">
      <w:bodyDiv w:val="1"/>
      <w:marLeft w:val="0"/>
      <w:marRight w:val="0"/>
      <w:marTop w:val="0"/>
      <w:marBottom w:val="0"/>
      <w:divBdr>
        <w:top w:val="none" w:sz="0" w:space="0" w:color="auto"/>
        <w:left w:val="none" w:sz="0" w:space="0" w:color="auto"/>
        <w:bottom w:val="none" w:sz="0" w:space="0" w:color="auto"/>
        <w:right w:val="none" w:sz="0" w:space="0" w:color="auto"/>
      </w:divBdr>
    </w:div>
    <w:div w:id="1089501404">
      <w:bodyDiv w:val="1"/>
      <w:marLeft w:val="0"/>
      <w:marRight w:val="0"/>
      <w:marTop w:val="0"/>
      <w:marBottom w:val="0"/>
      <w:divBdr>
        <w:top w:val="none" w:sz="0" w:space="0" w:color="auto"/>
        <w:left w:val="none" w:sz="0" w:space="0" w:color="auto"/>
        <w:bottom w:val="none" w:sz="0" w:space="0" w:color="auto"/>
        <w:right w:val="none" w:sz="0" w:space="0" w:color="auto"/>
      </w:divBdr>
    </w:div>
    <w:div w:id="1132290223">
      <w:bodyDiv w:val="1"/>
      <w:marLeft w:val="0"/>
      <w:marRight w:val="0"/>
      <w:marTop w:val="0"/>
      <w:marBottom w:val="0"/>
      <w:divBdr>
        <w:top w:val="none" w:sz="0" w:space="0" w:color="auto"/>
        <w:left w:val="none" w:sz="0" w:space="0" w:color="auto"/>
        <w:bottom w:val="none" w:sz="0" w:space="0" w:color="auto"/>
        <w:right w:val="none" w:sz="0" w:space="0" w:color="auto"/>
      </w:divBdr>
    </w:div>
    <w:div w:id="1422801243">
      <w:bodyDiv w:val="1"/>
      <w:marLeft w:val="0"/>
      <w:marRight w:val="0"/>
      <w:marTop w:val="0"/>
      <w:marBottom w:val="0"/>
      <w:divBdr>
        <w:top w:val="none" w:sz="0" w:space="0" w:color="auto"/>
        <w:left w:val="none" w:sz="0" w:space="0" w:color="auto"/>
        <w:bottom w:val="none" w:sz="0" w:space="0" w:color="auto"/>
        <w:right w:val="none" w:sz="0" w:space="0" w:color="auto"/>
      </w:divBdr>
    </w:div>
    <w:div w:id="1507863888">
      <w:bodyDiv w:val="1"/>
      <w:marLeft w:val="0"/>
      <w:marRight w:val="0"/>
      <w:marTop w:val="0"/>
      <w:marBottom w:val="0"/>
      <w:divBdr>
        <w:top w:val="none" w:sz="0" w:space="0" w:color="auto"/>
        <w:left w:val="none" w:sz="0" w:space="0" w:color="auto"/>
        <w:bottom w:val="none" w:sz="0" w:space="0" w:color="auto"/>
        <w:right w:val="none" w:sz="0" w:space="0" w:color="auto"/>
      </w:divBdr>
    </w:div>
    <w:div w:id="1538815279">
      <w:bodyDiv w:val="1"/>
      <w:marLeft w:val="0"/>
      <w:marRight w:val="0"/>
      <w:marTop w:val="0"/>
      <w:marBottom w:val="0"/>
      <w:divBdr>
        <w:top w:val="none" w:sz="0" w:space="0" w:color="auto"/>
        <w:left w:val="none" w:sz="0" w:space="0" w:color="auto"/>
        <w:bottom w:val="none" w:sz="0" w:space="0" w:color="auto"/>
        <w:right w:val="none" w:sz="0" w:space="0" w:color="auto"/>
      </w:divBdr>
    </w:div>
    <w:div w:id="1612204197">
      <w:bodyDiv w:val="1"/>
      <w:marLeft w:val="0"/>
      <w:marRight w:val="0"/>
      <w:marTop w:val="0"/>
      <w:marBottom w:val="0"/>
      <w:divBdr>
        <w:top w:val="none" w:sz="0" w:space="0" w:color="auto"/>
        <w:left w:val="none" w:sz="0" w:space="0" w:color="auto"/>
        <w:bottom w:val="none" w:sz="0" w:space="0" w:color="auto"/>
        <w:right w:val="none" w:sz="0" w:space="0" w:color="auto"/>
      </w:divBdr>
    </w:div>
    <w:div w:id="1617104648">
      <w:bodyDiv w:val="1"/>
      <w:marLeft w:val="0"/>
      <w:marRight w:val="0"/>
      <w:marTop w:val="0"/>
      <w:marBottom w:val="0"/>
      <w:divBdr>
        <w:top w:val="none" w:sz="0" w:space="0" w:color="auto"/>
        <w:left w:val="none" w:sz="0" w:space="0" w:color="auto"/>
        <w:bottom w:val="none" w:sz="0" w:space="0" w:color="auto"/>
        <w:right w:val="none" w:sz="0" w:space="0" w:color="auto"/>
      </w:divBdr>
    </w:div>
    <w:div w:id="1740592004">
      <w:bodyDiv w:val="1"/>
      <w:marLeft w:val="0"/>
      <w:marRight w:val="0"/>
      <w:marTop w:val="0"/>
      <w:marBottom w:val="0"/>
      <w:divBdr>
        <w:top w:val="none" w:sz="0" w:space="0" w:color="auto"/>
        <w:left w:val="none" w:sz="0" w:space="0" w:color="auto"/>
        <w:bottom w:val="none" w:sz="0" w:space="0" w:color="auto"/>
        <w:right w:val="none" w:sz="0" w:space="0" w:color="auto"/>
      </w:divBdr>
    </w:div>
    <w:div w:id="20983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s.gov/foia/45cfr5.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dicare.gov" TargetMode="External"/><Relationship Id="rId17" Type="http://schemas.openxmlformats.org/officeDocument/2006/relationships/hyperlink" Target="http://www.medicare.gov" TargetMode="External"/><Relationship Id="rId2" Type="http://schemas.openxmlformats.org/officeDocument/2006/relationships/numbering" Target="numbering.xml"/><Relationship Id="rId16" Type="http://schemas.openxmlformats.org/officeDocument/2006/relationships/hyperlink" Target="http://www.medicare.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care.gov" TargetMode="External"/><Relationship Id="rId5" Type="http://schemas.openxmlformats.org/officeDocument/2006/relationships/settings" Target="settings.xml"/><Relationship Id="rId15" Type="http://schemas.openxmlformats.org/officeDocument/2006/relationships/hyperlink" Target="http://www.medicare.gov" TargetMode="External"/><Relationship Id="rId10" Type="http://schemas.openxmlformats.org/officeDocument/2006/relationships/hyperlink" Target="http://www.medicare.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edicare.gov" TargetMode="External"/><Relationship Id="rId14"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BC369-4DFC-428E-B655-466F98E5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6347</Words>
  <Characters>36178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CMS</vt:lpstr>
    </vt:vector>
  </TitlesOfParts>
  <Company>CMS</Company>
  <LinksUpToDate>false</LinksUpToDate>
  <CharactersWithSpaces>42441</CharactersWithSpaces>
  <SharedDoc>false</SharedDoc>
  <HLinks>
    <vt:vector size="60" baseType="variant">
      <vt:variant>
        <vt:i4>6094921</vt:i4>
      </vt:variant>
      <vt:variant>
        <vt:i4>27</vt:i4>
      </vt:variant>
      <vt:variant>
        <vt:i4>0</vt:i4>
      </vt:variant>
      <vt:variant>
        <vt:i4>5</vt:i4>
      </vt:variant>
      <vt:variant>
        <vt:lpwstr>http://www.medicare.gov/</vt:lpwstr>
      </vt:variant>
      <vt:variant>
        <vt:lpwstr/>
      </vt:variant>
      <vt:variant>
        <vt:i4>6094921</vt:i4>
      </vt:variant>
      <vt:variant>
        <vt:i4>24</vt:i4>
      </vt:variant>
      <vt:variant>
        <vt:i4>0</vt:i4>
      </vt:variant>
      <vt:variant>
        <vt:i4>5</vt:i4>
      </vt:variant>
      <vt:variant>
        <vt:lpwstr>http://www.medicare.gov/</vt:lpwstr>
      </vt:variant>
      <vt:variant>
        <vt:lpwstr/>
      </vt:variant>
      <vt:variant>
        <vt:i4>6094921</vt:i4>
      </vt:variant>
      <vt:variant>
        <vt:i4>21</vt:i4>
      </vt:variant>
      <vt:variant>
        <vt:i4>0</vt:i4>
      </vt:variant>
      <vt:variant>
        <vt:i4>5</vt:i4>
      </vt:variant>
      <vt:variant>
        <vt:lpwstr>http://www.medicare.gov/</vt:lpwstr>
      </vt:variant>
      <vt:variant>
        <vt:lpwstr/>
      </vt:variant>
      <vt:variant>
        <vt:i4>3932167</vt:i4>
      </vt:variant>
      <vt:variant>
        <vt:i4>18</vt:i4>
      </vt:variant>
      <vt:variant>
        <vt:i4>0</vt:i4>
      </vt:variant>
      <vt:variant>
        <vt:i4>5</vt:i4>
      </vt:variant>
      <vt:variant>
        <vt:lpwstr>http://www.opm.gov/oca/10tables/html/dcb_h.asp</vt:lpwstr>
      </vt:variant>
      <vt:variant>
        <vt:lpwstr/>
      </vt:variant>
      <vt:variant>
        <vt:i4>6094921</vt:i4>
      </vt:variant>
      <vt:variant>
        <vt:i4>15</vt:i4>
      </vt:variant>
      <vt:variant>
        <vt:i4>0</vt:i4>
      </vt:variant>
      <vt:variant>
        <vt:i4>5</vt:i4>
      </vt:variant>
      <vt:variant>
        <vt:lpwstr>http://www.medicare.gov/</vt:lpwstr>
      </vt:variant>
      <vt:variant>
        <vt:lpwstr/>
      </vt:variant>
      <vt:variant>
        <vt:i4>7405622</vt:i4>
      </vt:variant>
      <vt:variant>
        <vt:i4>12</vt:i4>
      </vt:variant>
      <vt:variant>
        <vt:i4>0</vt:i4>
      </vt:variant>
      <vt:variant>
        <vt:i4>5</vt:i4>
      </vt:variant>
      <vt:variant>
        <vt:lpwstr>http://www.hhs.gov/foia/45cfr5.html</vt:lpwstr>
      </vt:variant>
      <vt:variant>
        <vt:lpwstr>Subf</vt:lpwstr>
      </vt:variant>
      <vt:variant>
        <vt:i4>6094921</vt:i4>
      </vt:variant>
      <vt:variant>
        <vt:i4>9</vt:i4>
      </vt:variant>
      <vt:variant>
        <vt:i4>0</vt:i4>
      </vt:variant>
      <vt:variant>
        <vt:i4>5</vt:i4>
      </vt:variant>
      <vt:variant>
        <vt:lpwstr>http://www.medicare.gov/</vt:lpwstr>
      </vt:variant>
      <vt:variant>
        <vt:lpwstr/>
      </vt:variant>
      <vt:variant>
        <vt:i4>6094921</vt:i4>
      </vt:variant>
      <vt:variant>
        <vt:i4>6</vt:i4>
      </vt:variant>
      <vt:variant>
        <vt:i4>0</vt:i4>
      </vt:variant>
      <vt:variant>
        <vt:i4>5</vt:i4>
      </vt:variant>
      <vt:variant>
        <vt:lpwstr>http://www.medicare.gov/</vt:lpwstr>
      </vt:variant>
      <vt:variant>
        <vt:lpwstr/>
      </vt:variant>
      <vt:variant>
        <vt:i4>6094921</vt:i4>
      </vt:variant>
      <vt:variant>
        <vt:i4>3</vt:i4>
      </vt:variant>
      <vt:variant>
        <vt:i4>0</vt:i4>
      </vt:variant>
      <vt:variant>
        <vt:i4>5</vt:i4>
      </vt:variant>
      <vt:variant>
        <vt:lpwstr>http://www.medicare.gov/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dc:title>
  <dc:subject/>
  <dc:creator>HCFA Software Control</dc:creator>
  <cp:keywords/>
  <dc:description/>
  <cp:lastModifiedBy>SYSTEM</cp:lastModifiedBy>
  <cp:revision>2</cp:revision>
  <cp:lastPrinted>2017-09-07T12:51:00Z</cp:lastPrinted>
  <dcterms:created xsi:type="dcterms:W3CDTF">2019-04-24T15:46:00Z</dcterms:created>
  <dcterms:modified xsi:type="dcterms:W3CDTF">2019-04-24T15:46:00Z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2134075986</vt:i4>
  </property>
  <property fmtid="{D5CDD505-2E9C-101B-9397-08002B2CF9AE}" pid="4" name="_EmailSubject">
    <vt:lpwstr>Action Needed ASAP &gt; RE: CMS-R-262</vt:lpwstr>
  </property>
  <property fmtid="{D5CDD505-2E9C-101B-9397-08002B2CF9AE}" pid="5" name="_AuthorEmail">
    <vt:lpwstr>Chad.Buskirk@cms.hhs.gov</vt:lpwstr>
  </property>
  <property fmtid="{D5CDD505-2E9C-101B-9397-08002B2CF9AE}" pid="6" name="_AuthorEmailDisplayName">
    <vt:lpwstr>Buskirk, Chad D. (CMS/CM)</vt:lpwstr>
  </property>
  <property fmtid="{D5CDD505-2E9C-101B-9397-08002B2CF9AE}" pid="7" name="_ReviewingToolsShownOnce">
    <vt:lpwstr/>
  </property>
</Properties>
</file>