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0DE28" w14:textId="2F4B527C" w:rsidR="00352758" w:rsidRDefault="00352758" w:rsidP="00352758">
      <w:pPr>
        <w:jc w:val="center"/>
        <w:rPr>
          <w:b/>
        </w:rPr>
      </w:pPr>
      <w:bookmarkStart w:id="0" w:name="_GoBack"/>
      <w:bookmarkEnd w:id="0"/>
      <w:r>
        <w:rPr>
          <w:b/>
        </w:rPr>
        <w:t>Justification for Non-Substantive Change Request</w:t>
      </w:r>
    </w:p>
    <w:p w14:paraId="454AB40E" w14:textId="77777777" w:rsidR="00352758" w:rsidRDefault="00352758" w:rsidP="006E1020">
      <w:pPr>
        <w:rPr>
          <w:b/>
        </w:rPr>
      </w:pPr>
    </w:p>
    <w:p w14:paraId="00F783B0" w14:textId="09C77E73" w:rsidR="006E1020" w:rsidRPr="0081795F" w:rsidRDefault="006E1020" w:rsidP="006E1020">
      <w:r w:rsidRPr="0081795F">
        <w:rPr>
          <w:b/>
        </w:rPr>
        <w:t xml:space="preserve">Sample Design and Methodology. </w:t>
      </w:r>
      <w:r w:rsidRPr="0081795F">
        <w:t>The LMI team understands the current design and methodology thoroughly. We will review the existing sample design and methodology and recommend improvements, if needed. We detail our sampling approach below.</w:t>
      </w:r>
    </w:p>
    <w:p w14:paraId="3283AE3C" w14:textId="16EF0D3A" w:rsidR="006E1020" w:rsidRPr="0081795F" w:rsidRDefault="006E1020" w:rsidP="006E1020">
      <w:r w:rsidRPr="0081795F">
        <w:rPr>
          <w:i/>
        </w:rPr>
        <w:t xml:space="preserve">Required sample size for this study. </w:t>
      </w:r>
      <w:r w:rsidRPr="0081795F">
        <w:t xml:space="preserve">For large population surveys, the expected precision of the resulting estimates is a direct function of sample size. In general, the selected sample needs to be large enough to ensure margins of error (ε) no larger than ±ε with at least (1−α) percent confidence. Figure </w:t>
      </w:r>
      <w:r w:rsidRPr="0081795F">
        <w:rPr>
          <w:noProof/>
        </w:rPr>
        <w:fldChar w:fldCharType="begin"/>
      </w:r>
      <w:r w:rsidRPr="0081795F">
        <w:rPr>
          <w:noProof/>
        </w:rPr>
        <w:instrText xml:space="preserve"> STYLEREF 1 \s </w:instrText>
      </w:r>
      <w:r w:rsidRPr="0081795F">
        <w:rPr>
          <w:noProof/>
        </w:rPr>
        <w:fldChar w:fldCharType="separate"/>
      </w:r>
      <w:r w:rsidRPr="0081795F">
        <w:rPr>
          <w:noProof/>
        </w:rPr>
        <w:t>2</w:t>
      </w:r>
      <w:r w:rsidRPr="0081795F">
        <w:rPr>
          <w:noProof/>
        </w:rPr>
        <w:fldChar w:fldCharType="end"/>
      </w:r>
      <w:r w:rsidRPr="0081795F">
        <w:noBreakHyphen/>
      </w:r>
      <w:r w:rsidRPr="0081795F">
        <w:rPr>
          <w:noProof/>
        </w:rPr>
        <w:fldChar w:fldCharType="begin"/>
      </w:r>
      <w:r w:rsidRPr="0081795F">
        <w:rPr>
          <w:noProof/>
        </w:rPr>
        <w:instrText xml:space="preserve"> SEQ Figure \* ARABIC \s 1 </w:instrText>
      </w:r>
      <w:r w:rsidRPr="0081795F">
        <w:rPr>
          <w:noProof/>
        </w:rPr>
        <w:fldChar w:fldCharType="separate"/>
      </w:r>
      <w:r w:rsidRPr="0081795F">
        <w:rPr>
          <w:noProof/>
        </w:rPr>
        <w:t>3</w:t>
      </w:r>
      <w:r w:rsidRPr="0081795F">
        <w:rPr>
          <w:noProof/>
        </w:rPr>
        <w:fldChar w:fldCharType="end"/>
      </w:r>
      <w:r w:rsidRPr="0081795F">
        <w:t xml:space="preserve"> shows the required sample size for various values of ε when α is set at 5 percent, which is to say, when the level of confidence is set at 90 or 95 percent. Accordingly, under a 95 percent confidence scenario, the required sample size increases by more than 225 percent (from 1,067 to 2,401) when the error margin is to decrease from ±3 percent to ±2 percent. Conversely, for a fixed value of ε, a similar but less dramatic increase in the required sample size is observed when the level of confidence is increased from 90 percent to 95 percent (from 1,691 to 2,401). Our proposed sample sizes </w:t>
      </w:r>
      <w:r w:rsidR="007C361A" w:rsidRPr="0081795F">
        <w:t xml:space="preserve">satisfy fully respond to program </w:t>
      </w:r>
      <w:r w:rsidRPr="0081795F">
        <w:t xml:space="preserve">requirements </w:t>
      </w:r>
      <w:r w:rsidR="007C361A" w:rsidRPr="0081795F">
        <w:t xml:space="preserve">by </w:t>
      </w:r>
      <w:r w:rsidRPr="0081795F">
        <w:t>meet</w:t>
      </w:r>
      <w:r w:rsidR="007C361A" w:rsidRPr="0081795F">
        <w:t>ing</w:t>
      </w:r>
      <w:r w:rsidRPr="0081795F">
        <w:t xml:space="preserve"> the ±5 percent margin of error at a 95 percent level of confidence.</w:t>
      </w:r>
    </w:p>
    <w:p w14:paraId="00C00F97" w14:textId="77777777" w:rsidR="006E1020" w:rsidRPr="0081795F" w:rsidRDefault="006E1020" w:rsidP="006E1020">
      <w:pPr>
        <w:keepNext/>
        <w:spacing w:after="120"/>
        <w:jc w:val="center"/>
      </w:pPr>
      <w:r w:rsidRPr="0081795F">
        <w:rPr>
          <w:noProof/>
        </w:rPr>
        <w:drawing>
          <wp:inline distT="0" distB="0" distL="0" distR="0" wp14:anchorId="7B9D2DC2" wp14:editId="57F15666">
            <wp:extent cx="5867400" cy="1720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t="11906" b="2341"/>
                    <a:stretch>
                      <a:fillRect/>
                    </a:stretch>
                  </pic:blipFill>
                  <pic:spPr bwMode="auto">
                    <a:xfrm>
                      <a:off x="0" y="0"/>
                      <a:ext cx="5867400" cy="1720850"/>
                    </a:xfrm>
                    <a:prstGeom prst="rect">
                      <a:avLst/>
                    </a:prstGeom>
                    <a:noFill/>
                    <a:ln>
                      <a:noFill/>
                    </a:ln>
                  </pic:spPr>
                </pic:pic>
              </a:graphicData>
            </a:graphic>
          </wp:inline>
        </w:drawing>
      </w:r>
    </w:p>
    <w:p w14:paraId="6322C006" w14:textId="77777777" w:rsidR="006E1020" w:rsidRPr="0081795F" w:rsidRDefault="006E1020" w:rsidP="006E1020">
      <w:pPr>
        <w:pStyle w:val="CaptionFigure"/>
        <w:spacing w:after="240"/>
      </w:pPr>
      <w:bookmarkStart w:id="1" w:name="_Toc528862493"/>
      <w:r w:rsidRPr="0081795F">
        <w:t xml:space="preserve">Figure </w:t>
      </w:r>
      <w:r w:rsidRPr="0081795F">
        <w:fldChar w:fldCharType="begin"/>
      </w:r>
      <w:r w:rsidRPr="0081795F">
        <w:rPr>
          <w:noProof/>
        </w:rPr>
        <w:instrText xml:space="preserve"> STYLEREF 1 \s </w:instrText>
      </w:r>
      <w:r w:rsidRPr="0081795F">
        <w:fldChar w:fldCharType="separate"/>
      </w:r>
      <w:r w:rsidRPr="0081795F">
        <w:rPr>
          <w:noProof/>
        </w:rPr>
        <w:t>2</w:t>
      </w:r>
      <w:r w:rsidRPr="0081795F">
        <w:fldChar w:fldCharType="end"/>
      </w:r>
      <w:r w:rsidRPr="0081795F">
        <w:noBreakHyphen/>
      </w:r>
      <w:r w:rsidRPr="0081795F">
        <w:rPr>
          <w:noProof/>
        </w:rPr>
        <w:t>3</w:t>
      </w:r>
      <w:r w:rsidRPr="0081795F">
        <w:t>. Required sample size as a function of confidence level and margin of error.</w:t>
      </w:r>
      <w:bookmarkEnd w:id="1"/>
    </w:p>
    <w:p w14:paraId="472D9629" w14:textId="61C4D989" w:rsidR="006E1020" w:rsidRPr="0081795F" w:rsidRDefault="006E1020" w:rsidP="006E1020">
      <w:r w:rsidRPr="0081795F">
        <w:t xml:space="preserve">On the basis of the required sample sizes in Table </w:t>
      </w:r>
      <w:r w:rsidRPr="0081795F">
        <w:rPr>
          <w:noProof/>
        </w:rPr>
        <w:fldChar w:fldCharType="begin"/>
      </w:r>
      <w:r w:rsidRPr="0081795F">
        <w:rPr>
          <w:noProof/>
        </w:rPr>
        <w:instrText xml:space="preserve"> STYLEREF 1 \s </w:instrText>
      </w:r>
      <w:r w:rsidRPr="0081795F">
        <w:rPr>
          <w:noProof/>
        </w:rPr>
        <w:fldChar w:fldCharType="separate"/>
      </w:r>
      <w:r w:rsidRPr="0081795F">
        <w:rPr>
          <w:noProof/>
        </w:rPr>
        <w:t>2</w:t>
      </w:r>
      <w:r w:rsidRPr="0081795F">
        <w:rPr>
          <w:noProof/>
        </w:rPr>
        <w:fldChar w:fldCharType="end"/>
      </w:r>
      <w:r w:rsidRPr="0081795F">
        <w:noBreakHyphen/>
      </w:r>
      <w:r w:rsidRPr="0081795F">
        <w:rPr>
          <w:noProof/>
        </w:rPr>
        <w:t>7</w:t>
      </w:r>
      <w:r w:rsidRPr="0081795F">
        <w:t xml:space="preserve">, the LMI team proposes </w:t>
      </w:r>
      <w:r w:rsidR="00A8215B" w:rsidRPr="0081795F">
        <w:rPr>
          <w:b/>
        </w:rPr>
        <w:t>an alternative</w:t>
      </w:r>
      <w:r w:rsidR="00A8215B" w:rsidRPr="0081795F">
        <w:t xml:space="preserve"> option</w:t>
      </w:r>
      <w:r w:rsidRPr="0081795F">
        <w:t xml:space="preserve"> for sample design. </w:t>
      </w:r>
      <w:r w:rsidR="004E4F02" w:rsidRPr="0081795F">
        <w:t>T</w:t>
      </w:r>
      <w:r w:rsidR="00EC651E" w:rsidRPr="0081795F">
        <w:t xml:space="preserve">he current methodology outlines </w:t>
      </w:r>
      <w:r w:rsidR="00BE29E7" w:rsidRPr="0081795F">
        <w:t>a desired target of</w:t>
      </w:r>
      <w:r w:rsidRPr="0081795F">
        <w:t xml:space="preserve"> 4,000 comp</w:t>
      </w:r>
      <w:r w:rsidR="00BE29E7" w:rsidRPr="0081795F">
        <w:t>leted surveys from a sample of 3</w:t>
      </w:r>
      <w:r w:rsidRPr="0081795F">
        <w:t xml:space="preserve">6,000 persons. </w:t>
      </w:r>
      <w:r w:rsidR="00BE29E7" w:rsidRPr="0081795F">
        <w:t>O</w:t>
      </w:r>
      <w:r w:rsidRPr="0081795F">
        <w:t>ur experience with this project indicate that the goal is not a feasible. In the past 12 months</w:t>
      </w:r>
      <w:r w:rsidR="00C43334" w:rsidRPr="0081795F">
        <w:t xml:space="preserve"> utilizing the current methodology, a </w:t>
      </w:r>
      <w:r w:rsidRPr="0081795F">
        <w:t>gradually declining response rate</w:t>
      </w:r>
      <w:r w:rsidR="00C43334" w:rsidRPr="0081795F">
        <w:t xml:space="preserve"> of </w:t>
      </w:r>
      <w:r w:rsidRPr="0081795F">
        <w:t>about 9 percent</w:t>
      </w:r>
      <w:r w:rsidR="00C43334" w:rsidRPr="0081795F">
        <w:t xml:space="preserve"> has been observed</w:t>
      </w:r>
      <w:r w:rsidRPr="0081795F">
        <w:t xml:space="preserve">. Reduced response to surveys has become an ever-increasing problem for the industry. Using our knowledge of response rates typically seen in such populations, combined with actual historical observations, we </w:t>
      </w:r>
      <w:r w:rsidR="004E4F02" w:rsidRPr="0081795F">
        <w:t>compare the current option as well as t</w:t>
      </w:r>
      <w:r w:rsidRPr="0081795F">
        <w:t xml:space="preserve">he </w:t>
      </w:r>
      <w:r w:rsidR="00A8215B" w:rsidRPr="0081795F">
        <w:t>alternative option</w:t>
      </w:r>
      <w:r w:rsidRPr="0081795F">
        <w:t xml:space="preserve"> in Table </w:t>
      </w:r>
      <w:r w:rsidRPr="0081795F">
        <w:rPr>
          <w:noProof/>
        </w:rPr>
        <w:fldChar w:fldCharType="begin"/>
      </w:r>
      <w:r w:rsidRPr="0081795F">
        <w:rPr>
          <w:noProof/>
        </w:rPr>
        <w:instrText xml:space="preserve"> STYLEREF 1 \s </w:instrText>
      </w:r>
      <w:r w:rsidRPr="0081795F">
        <w:rPr>
          <w:noProof/>
        </w:rPr>
        <w:fldChar w:fldCharType="separate"/>
      </w:r>
      <w:r w:rsidRPr="0081795F">
        <w:rPr>
          <w:noProof/>
        </w:rPr>
        <w:t>2</w:t>
      </w:r>
      <w:r w:rsidRPr="0081795F">
        <w:rPr>
          <w:noProof/>
        </w:rPr>
        <w:fldChar w:fldCharType="end"/>
      </w:r>
      <w:r w:rsidRPr="0081795F">
        <w:noBreakHyphen/>
      </w:r>
      <w:r w:rsidRPr="0081795F">
        <w:rPr>
          <w:noProof/>
        </w:rPr>
        <w:t>7</w:t>
      </w:r>
      <w:r w:rsidRPr="0081795F">
        <w:t xml:space="preserve"> and describe them in the following text.</w:t>
      </w:r>
    </w:p>
    <w:tbl>
      <w:tblPr>
        <w:tblStyle w:val="TableGrid"/>
        <w:tblW w:w="9360" w:type="dxa"/>
        <w:tblInd w:w="0" w:type="dxa"/>
        <w:tblBorders>
          <w:top w:val="none" w:sz="0" w:space="0" w:color="auto"/>
          <w:left w:val="single" w:sz="12" w:space="0" w:color="000000"/>
          <w:bottom w:val="none" w:sz="0" w:space="0" w:color="auto"/>
          <w:right w:val="single" w:sz="12" w:space="0" w:color="000000"/>
          <w:insideH w:val="single" w:sz="6" w:space="0" w:color="000000"/>
          <w:insideV w:val="single" w:sz="6" w:space="0" w:color="000000"/>
        </w:tblBorders>
        <w:tblLayout w:type="fixed"/>
        <w:tblCellMar>
          <w:left w:w="86" w:type="dxa"/>
          <w:right w:w="86" w:type="dxa"/>
        </w:tblCellMar>
        <w:tblLook w:val="04A0" w:firstRow="1" w:lastRow="0" w:firstColumn="1" w:lastColumn="0" w:noHBand="0" w:noVBand="1"/>
      </w:tblPr>
      <w:tblGrid>
        <w:gridCol w:w="2749"/>
        <w:gridCol w:w="1243"/>
        <w:gridCol w:w="1155"/>
        <w:gridCol w:w="1420"/>
        <w:gridCol w:w="1066"/>
        <w:gridCol w:w="1727"/>
      </w:tblGrid>
      <w:tr w:rsidR="006E1020" w:rsidRPr="0081795F" w14:paraId="38CD38A4" w14:textId="77777777" w:rsidTr="00A8215B">
        <w:trPr>
          <w:cantSplit/>
          <w:trHeight w:val="558"/>
          <w:tblHeader/>
        </w:trPr>
        <w:tc>
          <w:tcPr>
            <w:tcW w:w="9360" w:type="dxa"/>
            <w:gridSpan w:val="6"/>
            <w:tcBorders>
              <w:top w:val="nil"/>
              <w:left w:val="nil"/>
              <w:bottom w:val="single" w:sz="4" w:space="0" w:color="000080"/>
              <w:right w:val="nil"/>
            </w:tcBorders>
            <w:tcMar>
              <w:top w:w="0" w:type="dxa"/>
              <w:left w:w="58" w:type="dxa"/>
              <w:bottom w:w="0" w:type="dxa"/>
              <w:right w:w="58" w:type="dxa"/>
            </w:tcMar>
            <w:hideMark/>
          </w:tcPr>
          <w:p w14:paraId="3AE686C6" w14:textId="77777777" w:rsidR="006E1020" w:rsidRPr="0081795F" w:rsidRDefault="006E1020">
            <w:pPr>
              <w:pStyle w:val="CaptionTable"/>
            </w:pPr>
            <w:bookmarkStart w:id="2" w:name="_Toc528781755"/>
            <w:r w:rsidRPr="0081795F">
              <w:t xml:space="preserve">Table </w:t>
            </w:r>
            <w:r w:rsidRPr="0081795F">
              <w:fldChar w:fldCharType="begin"/>
            </w:r>
            <w:r w:rsidRPr="0081795F">
              <w:rPr>
                <w:noProof/>
              </w:rPr>
              <w:instrText xml:space="preserve"> STYLEREF 1 \s </w:instrText>
            </w:r>
            <w:r w:rsidRPr="0081795F">
              <w:fldChar w:fldCharType="separate"/>
            </w:r>
            <w:r w:rsidRPr="0081795F">
              <w:rPr>
                <w:noProof/>
              </w:rPr>
              <w:t>2</w:t>
            </w:r>
            <w:r w:rsidRPr="0081795F">
              <w:fldChar w:fldCharType="end"/>
            </w:r>
            <w:r w:rsidRPr="0081795F">
              <w:noBreakHyphen/>
            </w:r>
            <w:r w:rsidRPr="0081795F">
              <w:rPr>
                <w:noProof/>
              </w:rPr>
              <w:t>7</w:t>
            </w:r>
            <w:r w:rsidRPr="0081795F">
              <w:t xml:space="preserve">. The LMI team will execute and deliver the option that best meets the needs </w:t>
            </w:r>
            <w:r w:rsidRPr="0081795F">
              <w:br/>
              <w:t>and intent of the government</w:t>
            </w:r>
            <w:bookmarkEnd w:id="2"/>
            <w:r w:rsidRPr="0081795F">
              <w:t xml:space="preserve"> successfully.</w:t>
            </w:r>
          </w:p>
        </w:tc>
      </w:tr>
      <w:tr w:rsidR="006E1020" w:rsidRPr="0081795F" w14:paraId="56614ECA" w14:textId="77777777" w:rsidTr="00A8215B">
        <w:trPr>
          <w:cantSplit/>
          <w:trHeight w:val="854"/>
          <w:tblHeader/>
        </w:trPr>
        <w:tc>
          <w:tcPr>
            <w:tcW w:w="2749" w:type="dxa"/>
            <w:tcBorders>
              <w:top w:val="single" w:sz="4" w:space="0" w:color="000080"/>
              <w:left w:val="single" w:sz="4" w:space="0" w:color="FFFFFF"/>
              <w:bottom w:val="single" w:sz="12" w:space="0" w:color="000000"/>
              <w:right w:val="single" w:sz="4" w:space="0" w:color="FFFFFF" w:themeColor="background1"/>
            </w:tcBorders>
            <w:shd w:val="clear" w:color="auto" w:fill="000080"/>
            <w:tcMar>
              <w:top w:w="0" w:type="dxa"/>
              <w:left w:w="58" w:type="dxa"/>
              <w:bottom w:w="0" w:type="dxa"/>
              <w:right w:w="58" w:type="dxa"/>
            </w:tcMar>
            <w:vAlign w:val="bottom"/>
            <w:hideMark/>
          </w:tcPr>
          <w:p w14:paraId="3402B5D5" w14:textId="77777777" w:rsidR="006E1020" w:rsidRPr="0081795F" w:rsidRDefault="006E1020">
            <w:pPr>
              <w:pStyle w:val="TableColumnHeadings"/>
              <w:rPr>
                <w:rFonts w:ascii="Arial Narrow" w:hAnsi="Arial Narrow"/>
                <w:b/>
                <w:sz w:val="18"/>
                <w:szCs w:val="18"/>
              </w:rPr>
            </w:pPr>
            <w:r w:rsidRPr="0081795F">
              <w:rPr>
                <w:rFonts w:ascii="Arial Narrow" w:hAnsi="Arial Narrow"/>
                <w:b/>
                <w:sz w:val="18"/>
                <w:szCs w:val="18"/>
              </w:rPr>
              <w:t>Options</w:t>
            </w:r>
          </w:p>
        </w:tc>
        <w:tc>
          <w:tcPr>
            <w:tcW w:w="1243" w:type="dxa"/>
            <w:tcBorders>
              <w:top w:val="single" w:sz="4" w:space="0" w:color="000080"/>
              <w:left w:val="single" w:sz="4" w:space="0" w:color="FFFFFF" w:themeColor="background1"/>
              <w:bottom w:val="single" w:sz="12" w:space="0" w:color="000000"/>
              <w:right w:val="single" w:sz="4" w:space="0" w:color="FFFFFF" w:themeColor="background1"/>
            </w:tcBorders>
            <w:shd w:val="clear" w:color="auto" w:fill="000080"/>
            <w:vAlign w:val="bottom"/>
            <w:hideMark/>
          </w:tcPr>
          <w:p w14:paraId="67068671" w14:textId="77777777" w:rsidR="006E1020" w:rsidRPr="0081795F" w:rsidRDefault="006E1020">
            <w:pPr>
              <w:pStyle w:val="TableColumnHeadings"/>
              <w:rPr>
                <w:rFonts w:ascii="Arial Narrow" w:hAnsi="Arial Narrow"/>
                <w:b/>
                <w:sz w:val="18"/>
                <w:szCs w:val="18"/>
              </w:rPr>
            </w:pPr>
            <w:r w:rsidRPr="0081795F">
              <w:rPr>
                <w:rFonts w:ascii="Arial Narrow" w:hAnsi="Arial Narrow"/>
                <w:b/>
                <w:sz w:val="18"/>
                <w:szCs w:val="18"/>
              </w:rPr>
              <w:t>Completed surveys each month</w:t>
            </w:r>
          </w:p>
        </w:tc>
        <w:tc>
          <w:tcPr>
            <w:tcW w:w="1155" w:type="dxa"/>
            <w:tcBorders>
              <w:top w:val="single" w:sz="4" w:space="0" w:color="000080"/>
              <w:left w:val="single" w:sz="4" w:space="0" w:color="FFFFFF" w:themeColor="background1"/>
              <w:bottom w:val="single" w:sz="12" w:space="0" w:color="000000"/>
              <w:right w:val="single" w:sz="4" w:space="0" w:color="FFFFFF" w:themeColor="background1"/>
            </w:tcBorders>
            <w:shd w:val="clear" w:color="auto" w:fill="000080"/>
            <w:vAlign w:val="bottom"/>
            <w:hideMark/>
          </w:tcPr>
          <w:p w14:paraId="006083A2" w14:textId="77777777" w:rsidR="006E1020" w:rsidRPr="0081795F" w:rsidRDefault="006E1020">
            <w:pPr>
              <w:pStyle w:val="TableColumnHeadings"/>
              <w:rPr>
                <w:rFonts w:ascii="Arial Narrow" w:hAnsi="Arial Narrow"/>
                <w:b/>
                <w:sz w:val="18"/>
                <w:szCs w:val="18"/>
              </w:rPr>
            </w:pPr>
            <w:r w:rsidRPr="0081795F">
              <w:rPr>
                <w:rFonts w:ascii="Arial Narrow" w:hAnsi="Arial Narrow"/>
                <w:b/>
                <w:sz w:val="18"/>
                <w:szCs w:val="18"/>
              </w:rPr>
              <w:t>Sample size drawn each month</w:t>
            </w:r>
          </w:p>
        </w:tc>
        <w:tc>
          <w:tcPr>
            <w:tcW w:w="1420" w:type="dxa"/>
            <w:tcBorders>
              <w:top w:val="single" w:sz="4" w:space="0" w:color="000080"/>
              <w:left w:val="single" w:sz="4" w:space="0" w:color="FFFFFF" w:themeColor="background1"/>
              <w:bottom w:val="single" w:sz="12" w:space="0" w:color="000000"/>
              <w:right w:val="single" w:sz="4" w:space="0" w:color="FFFFFF" w:themeColor="background1"/>
            </w:tcBorders>
            <w:shd w:val="clear" w:color="auto" w:fill="000080"/>
            <w:vAlign w:val="bottom"/>
            <w:hideMark/>
          </w:tcPr>
          <w:p w14:paraId="11A68485" w14:textId="77777777" w:rsidR="006E1020" w:rsidRPr="0081795F" w:rsidRDefault="006E1020">
            <w:pPr>
              <w:pStyle w:val="TableColumnHeadings"/>
              <w:rPr>
                <w:rFonts w:ascii="Arial Narrow" w:hAnsi="Arial Narrow"/>
                <w:b/>
                <w:sz w:val="18"/>
                <w:szCs w:val="18"/>
              </w:rPr>
            </w:pPr>
            <w:r w:rsidRPr="0081795F">
              <w:rPr>
                <w:rFonts w:ascii="Arial Narrow" w:hAnsi="Arial Narrow"/>
                <w:b/>
                <w:sz w:val="18"/>
                <w:szCs w:val="18"/>
              </w:rPr>
              <w:t xml:space="preserve">Expected </w:t>
            </w:r>
            <w:r w:rsidRPr="0081795F">
              <w:rPr>
                <w:rFonts w:ascii="Arial Narrow" w:hAnsi="Arial Narrow"/>
                <w:b/>
                <w:sz w:val="18"/>
                <w:szCs w:val="18"/>
              </w:rPr>
              <w:br/>
              <w:t xml:space="preserve">survey margin </w:t>
            </w:r>
            <w:r w:rsidRPr="0081795F">
              <w:rPr>
                <w:rFonts w:ascii="Arial Narrow" w:hAnsi="Arial Narrow"/>
                <w:b/>
                <w:sz w:val="18"/>
                <w:szCs w:val="18"/>
              </w:rPr>
              <w:br/>
              <w:t xml:space="preserve">of error </w:t>
            </w:r>
            <w:r w:rsidRPr="0081795F">
              <w:rPr>
                <w:rFonts w:ascii="Arial Narrow" w:hAnsi="Arial Narrow"/>
                <w:b/>
                <w:sz w:val="18"/>
                <w:szCs w:val="18"/>
              </w:rPr>
              <w:br/>
              <w:t>at national level</w:t>
            </w:r>
          </w:p>
        </w:tc>
        <w:tc>
          <w:tcPr>
            <w:tcW w:w="1066" w:type="dxa"/>
            <w:tcBorders>
              <w:top w:val="single" w:sz="4" w:space="0" w:color="000080"/>
              <w:left w:val="single" w:sz="4" w:space="0" w:color="FFFFFF" w:themeColor="background1"/>
              <w:bottom w:val="single" w:sz="12" w:space="0" w:color="000000"/>
              <w:right w:val="single" w:sz="4" w:space="0" w:color="FFFFFF" w:themeColor="background1"/>
            </w:tcBorders>
            <w:shd w:val="clear" w:color="auto" w:fill="000080"/>
            <w:vAlign w:val="bottom"/>
            <w:hideMark/>
          </w:tcPr>
          <w:p w14:paraId="3C368B4E" w14:textId="77777777" w:rsidR="006E1020" w:rsidRPr="0081795F" w:rsidRDefault="006E1020">
            <w:pPr>
              <w:pStyle w:val="TableColumnHeadings"/>
              <w:rPr>
                <w:rFonts w:ascii="Arial Narrow" w:hAnsi="Arial Narrow"/>
                <w:b/>
                <w:sz w:val="18"/>
                <w:szCs w:val="18"/>
              </w:rPr>
            </w:pPr>
            <w:r w:rsidRPr="0081795F">
              <w:rPr>
                <w:rFonts w:ascii="Arial Narrow" w:hAnsi="Arial Narrow"/>
                <w:b/>
                <w:sz w:val="18"/>
                <w:szCs w:val="18"/>
              </w:rPr>
              <w:t>Effect on survey trends</w:t>
            </w:r>
          </w:p>
        </w:tc>
        <w:tc>
          <w:tcPr>
            <w:tcW w:w="1727" w:type="dxa"/>
            <w:tcBorders>
              <w:top w:val="single" w:sz="4" w:space="0" w:color="000080"/>
              <w:left w:val="single" w:sz="4" w:space="0" w:color="FFFFFF" w:themeColor="background1"/>
              <w:bottom w:val="single" w:sz="12" w:space="0" w:color="000000"/>
              <w:right w:val="single" w:sz="4" w:space="0" w:color="FFFFFF"/>
            </w:tcBorders>
            <w:shd w:val="clear" w:color="auto" w:fill="000080"/>
            <w:vAlign w:val="bottom"/>
            <w:hideMark/>
          </w:tcPr>
          <w:p w14:paraId="138AFEE5" w14:textId="77777777" w:rsidR="006E1020" w:rsidRPr="0081795F" w:rsidRDefault="006E1020">
            <w:pPr>
              <w:pStyle w:val="TableColumnHeadings"/>
              <w:rPr>
                <w:rFonts w:ascii="Arial Narrow" w:hAnsi="Arial Narrow"/>
                <w:b/>
                <w:sz w:val="18"/>
                <w:szCs w:val="18"/>
              </w:rPr>
            </w:pPr>
            <w:r w:rsidRPr="0081795F">
              <w:rPr>
                <w:rFonts w:ascii="Arial Narrow" w:hAnsi="Arial Narrow"/>
                <w:b/>
                <w:sz w:val="18"/>
                <w:szCs w:val="18"/>
              </w:rPr>
              <w:t>Effect on final LMI model predictions for a 95%–99% accuracy</w:t>
            </w:r>
          </w:p>
        </w:tc>
      </w:tr>
      <w:tr w:rsidR="006E1020" w:rsidRPr="0081795F" w14:paraId="4ED43934" w14:textId="77777777" w:rsidTr="00A8215B">
        <w:trPr>
          <w:cantSplit/>
          <w:trHeight w:val="250"/>
        </w:trPr>
        <w:tc>
          <w:tcPr>
            <w:tcW w:w="2749" w:type="dxa"/>
            <w:tcBorders>
              <w:top w:val="single" w:sz="12" w:space="0" w:color="000000"/>
              <w:left w:val="single" w:sz="4" w:space="0" w:color="000000"/>
              <w:bottom w:val="single" w:sz="6" w:space="0" w:color="C0C0C0"/>
              <w:right w:val="single" w:sz="6" w:space="0" w:color="000000"/>
            </w:tcBorders>
            <w:hideMark/>
          </w:tcPr>
          <w:p w14:paraId="6E186CAD" w14:textId="184621D5" w:rsidR="006E1020" w:rsidRPr="0081795F" w:rsidRDefault="006E1020" w:rsidP="00927055">
            <w:pPr>
              <w:pStyle w:val="TableText"/>
              <w:rPr>
                <w:rFonts w:ascii="Arial Narrow" w:hAnsi="Arial Narrow"/>
              </w:rPr>
            </w:pPr>
            <w:bookmarkStart w:id="3" w:name="_Toc528781756"/>
            <w:r w:rsidRPr="0081795F">
              <w:rPr>
                <w:rFonts w:ascii="Arial Narrow" w:hAnsi="Arial Narrow"/>
              </w:rPr>
              <w:lastRenderedPageBreak/>
              <w:t xml:space="preserve">1. </w:t>
            </w:r>
            <w:bookmarkEnd w:id="3"/>
            <w:r w:rsidR="00927055" w:rsidRPr="0081795F">
              <w:rPr>
                <w:rFonts w:ascii="Arial Narrow" w:hAnsi="Arial Narrow"/>
              </w:rPr>
              <w:t>Current methodology</w:t>
            </w:r>
          </w:p>
        </w:tc>
        <w:tc>
          <w:tcPr>
            <w:tcW w:w="1243" w:type="dxa"/>
            <w:tcBorders>
              <w:top w:val="single" w:sz="12" w:space="0" w:color="000000"/>
              <w:left w:val="single" w:sz="6" w:space="0" w:color="000000"/>
              <w:bottom w:val="single" w:sz="6" w:space="0" w:color="C0C0C0"/>
              <w:right w:val="single" w:sz="6" w:space="0" w:color="000000"/>
            </w:tcBorders>
            <w:hideMark/>
          </w:tcPr>
          <w:p w14:paraId="3A0E2C1F" w14:textId="77777777" w:rsidR="006E1020" w:rsidRPr="0081795F" w:rsidRDefault="006E1020">
            <w:pPr>
              <w:pStyle w:val="TableText"/>
              <w:rPr>
                <w:rFonts w:ascii="Arial Narrow" w:hAnsi="Arial Narrow"/>
              </w:rPr>
            </w:pPr>
            <w:bookmarkStart w:id="4" w:name="_Toc528781757"/>
            <w:r w:rsidRPr="0081795F">
              <w:rPr>
                <w:rFonts w:ascii="Arial Narrow" w:hAnsi="Arial Narrow"/>
              </w:rPr>
              <w:t>4,000</w:t>
            </w:r>
            <w:bookmarkEnd w:id="4"/>
          </w:p>
        </w:tc>
        <w:tc>
          <w:tcPr>
            <w:tcW w:w="1155" w:type="dxa"/>
            <w:tcBorders>
              <w:top w:val="single" w:sz="12" w:space="0" w:color="000000"/>
              <w:left w:val="single" w:sz="6" w:space="0" w:color="000000"/>
              <w:bottom w:val="single" w:sz="6" w:space="0" w:color="C0C0C0"/>
              <w:right w:val="single" w:sz="6" w:space="0" w:color="000000"/>
            </w:tcBorders>
            <w:hideMark/>
          </w:tcPr>
          <w:p w14:paraId="4CBF8417" w14:textId="16FF339F" w:rsidR="006E1020" w:rsidRPr="0081795F" w:rsidRDefault="00927055">
            <w:pPr>
              <w:pStyle w:val="TableText"/>
              <w:rPr>
                <w:rFonts w:ascii="Arial Narrow" w:hAnsi="Arial Narrow"/>
              </w:rPr>
            </w:pPr>
            <w:bookmarkStart w:id="5" w:name="_Toc528781758"/>
            <w:r w:rsidRPr="0081795F">
              <w:rPr>
                <w:rFonts w:ascii="Arial Narrow" w:hAnsi="Arial Narrow"/>
              </w:rPr>
              <w:t>36</w:t>
            </w:r>
            <w:r w:rsidR="006E1020" w:rsidRPr="0081795F">
              <w:rPr>
                <w:rFonts w:ascii="Arial Narrow" w:hAnsi="Arial Narrow"/>
              </w:rPr>
              <w:t>,000</w:t>
            </w:r>
            <w:bookmarkEnd w:id="5"/>
          </w:p>
        </w:tc>
        <w:tc>
          <w:tcPr>
            <w:tcW w:w="1420" w:type="dxa"/>
            <w:tcBorders>
              <w:top w:val="single" w:sz="12" w:space="0" w:color="000000"/>
              <w:left w:val="single" w:sz="6" w:space="0" w:color="000000"/>
              <w:bottom w:val="single" w:sz="6" w:space="0" w:color="C0C0C0"/>
              <w:right w:val="single" w:sz="6" w:space="0" w:color="000000"/>
            </w:tcBorders>
            <w:hideMark/>
          </w:tcPr>
          <w:p w14:paraId="6A3B5699" w14:textId="77777777" w:rsidR="006E1020" w:rsidRPr="0081795F" w:rsidRDefault="006E1020">
            <w:pPr>
              <w:pStyle w:val="TableText"/>
              <w:rPr>
                <w:rFonts w:ascii="Arial Narrow" w:hAnsi="Arial Narrow"/>
              </w:rPr>
            </w:pPr>
            <w:bookmarkStart w:id="6" w:name="_Toc528781759"/>
            <w:r w:rsidRPr="0081795F">
              <w:rPr>
                <w:rFonts w:ascii="Arial Narrow" w:hAnsi="Arial Narrow"/>
              </w:rPr>
              <w:t>±1.5%</w:t>
            </w:r>
            <w:bookmarkEnd w:id="6"/>
          </w:p>
        </w:tc>
        <w:tc>
          <w:tcPr>
            <w:tcW w:w="1066" w:type="dxa"/>
            <w:tcBorders>
              <w:top w:val="single" w:sz="12" w:space="0" w:color="000000"/>
              <w:left w:val="single" w:sz="6" w:space="0" w:color="000000"/>
              <w:bottom w:val="single" w:sz="6" w:space="0" w:color="C0C0C0"/>
              <w:right w:val="single" w:sz="6" w:space="0" w:color="000000"/>
            </w:tcBorders>
            <w:hideMark/>
          </w:tcPr>
          <w:p w14:paraId="0176092C" w14:textId="77777777" w:rsidR="006E1020" w:rsidRPr="0081795F" w:rsidRDefault="006E1020">
            <w:pPr>
              <w:pStyle w:val="TableText"/>
              <w:rPr>
                <w:rFonts w:ascii="Arial Narrow" w:hAnsi="Arial Narrow"/>
              </w:rPr>
            </w:pPr>
            <w:bookmarkStart w:id="7" w:name="_Toc528781760"/>
            <w:r w:rsidRPr="0081795F">
              <w:rPr>
                <w:rFonts w:ascii="Arial Narrow" w:hAnsi="Arial Narrow"/>
              </w:rPr>
              <w:t>None</w:t>
            </w:r>
            <w:bookmarkEnd w:id="7"/>
          </w:p>
        </w:tc>
        <w:tc>
          <w:tcPr>
            <w:tcW w:w="1727" w:type="dxa"/>
            <w:tcBorders>
              <w:top w:val="single" w:sz="12" w:space="0" w:color="000000"/>
              <w:left w:val="single" w:sz="6" w:space="0" w:color="000000"/>
              <w:bottom w:val="single" w:sz="6" w:space="0" w:color="C0C0C0"/>
              <w:right w:val="single" w:sz="4" w:space="0" w:color="000000"/>
            </w:tcBorders>
            <w:hideMark/>
          </w:tcPr>
          <w:p w14:paraId="284A8B71" w14:textId="77777777" w:rsidR="006E1020" w:rsidRPr="0081795F" w:rsidRDefault="006E1020">
            <w:pPr>
              <w:pStyle w:val="TableText"/>
              <w:rPr>
                <w:rFonts w:ascii="Arial Narrow" w:hAnsi="Arial Narrow"/>
              </w:rPr>
            </w:pPr>
            <w:bookmarkStart w:id="8" w:name="_Toc528781761"/>
            <w:r w:rsidRPr="0081795F">
              <w:rPr>
                <w:rFonts w:ascii="Arial Narrow" w:hAnsi="Arial Narrow"/>
              </w:rPr>
              <w:t>None</w:t>
            </w:r>
            <w:bookmarkEnd w:id="8"/>
          </w:p>
        </w:tc>
      </w:tr>
      <w:tr w:rsidR="006E1020" w:rsidRPr="0081795F" w14:paraId="7A47206F" w14:textId="77777777" w:rsidTr="00A8215B">
        <w:trPr>
          <w:cantSplit/>
          <w:trHeight w:val="246"/>
        </w:trPr>
        <w:tc>
          <w:tcPr>
            <w:tcW w:w="2749" w:type="dxa"/>
            <w:tcBorders>
              <w:top w:val="single" w:sz="6" w:space="0" w:color="C0C0C0"/>
              <w:left w:val="single" w:sz="4" w:space="0" w:color="000000"/>
              <w:bottom w:val="single" w:sz="4" w:space="0" w:color="auto"/>
              <w:right w:val="single" w:sz="6" w:space="0" w:color="000000"/>
            </w:tcBorders>
            <w:hideMark/>
          </w:tcPr>
          <w:p w14:paraId="3EA36C5A" w14:textId="3DEF3737" w:rsidR="006E1020" w:rsidRPr="0081795F" w:rsidRDefault="0056149B" w:rsidP="007B37A2">
            <w:pPr>
              <w:pStyle w:val="TableText"/>
              <w:rPr>
                <w:rFonts w:ascii="Arial Narrow" w:hAnsi="Arial Narrow"/>
              </w:rPr>
            </w:pPr>
            <w:bookmarkStart w:id="9" w:name="_Toc528781768"/>
            <w:r w:rsidRPr="0081795F">
              <w:rPr>
                <w:rFonts w:ascii="Arial Narrow" w:hAnsi="Arial Narrow"/>
              </w:rPr>
              <w:t>2</w:t>
            </w:r>
            <w:r w:rsidR="006E1020" w:rsidRPr="0081795F">
              <w:rPr>
                <w:rFonts w:ascii="Arial Narrow" w:hAnsi="Arial Narrow"/>
              </w:rPr>
              <w:t xml:space="preserve">. </w:t>
            </w:r>
            <w:bookmarkEnd w:id="9"/>
            <w:r w:rsidR="007B37A2" w:rsidRPr="0081795F">
              <w:rPr>
                <w:rFonts w:ascii="Arial Narrow" w:hAnsi="Arial Narrow"/>
              </w:rPr>
              <w:t>Proposed</w:t>
            </w:r>
            <w:r w:rsidR="00927055" w:rsidRPr="0081795F">
              <w:rPr>
                <w:rFonts w:ascii="Arial Narrow" w:hAnsi="Arial Narrow"/>
              </w:rPr>
              <w:t xml:space="preserve"> methodology</w:t>
            </w:r>
          </w:p>
        </w:tc>
        <w:tc>
          <w:tcPr>
            <w:tcW w:w="1243" w:type="dxa"/>
            <w:tcBorders>
              <w:top w:val="single" w:sz="6" w:space="0" w:color="C0C0C0"/>
              <w:left w:val="single" w:sz="6" w:space="0" w:color="000000"/>
              <w:bottom w:val="single" w:sz="4" w:space="0" w:color="auto"/>
              <w:right w:val="single" w:sz="6" w:space="0" w:color="000000"/>
            </w:tcBorders>
            <w:hideMark/>
          </w:tcPr>
          <w:p w14:paraId="1E807C6F" w14:textId="77777777" w:rsidR="006E1020" w:rsidRPr="0081795F" w:rsidRDefault="006E1020">
            <w:pPr>
              <w:pStyle w:val="TableText"/>
              <w:rPr>
                <w:rFonts w:ascii="Arial Narrow" w:hAnsi="Arial Narrow"/>
              </w:rPr>
            </w:pPr>
            <w:bookmarkStart w:id="10" w:name="_Toc528781769"/>
            <w:r w:rsidRPr="0081795F">
              <w:rPr>
                <w:rFonts w:ascii="Arial Narrow" w:hAnsi="Arial Narrow"/>
              </w:rPr>
              <w:t>2,500</w:t>
            </w:r>
            <w:bookmarkEnd w:id="10"/>
          </w:p>
        </w:tc>
        <w:tc>
          <w:tcPr>
            <w:tcW w:w="1155" w:type="dxa"/>
            <w:tcBorders>
              <w:top w:val="single" w:sz="6" w:space="0" w:color="C0C0C0"/>
              <w:left w:val="single" w:sz="6" w:space="0" w:color="000000"/>
              <w:bottom w:val="single" w:sz="4" w:space="0" w:color="auto"/>
              <w:right w:val="single" w:sz="6" w:space="0" w:color="000000"/>
            </w:tcBorders>
            <w:hideMark/>
          </w:tcPr>
          <w:p w14:paraId="42326998" w14:textId="77777777" w:rsidR="006E1020" w:rsidRPr="0081795F" w:rsidRDefault="006E1020">
            <w:pPr>
              <w:pStyle w:val="TableText"/>
              <w:rPr>
                <w:rFonts w:ascii="Arial Narrow" w:hAnsi="Arial Narrow"/>
              </w:rPr>
            </w:pPr>
            <w:bookmarkStart w:id="11" w:name="_Toc528781770"/>
            <w:r w:rsidRPr="0081795F">
              <w:rPr>
                <w:rFonts w:ascii="Arial Narrow" w:hAnsi="Arial Narrow"/>
              </w:rPr>
              <w:t>28,100</w:t>
            </w:r>
            <w:bookmarkEnd w:id="11"/>
          </w:p>
        </w:tc>
        <w:tc>
          <w:tcPr>
            <w:tcW w:w="1420" w:type="dxa"/>
            <w:tcBorders>
              <w:top w:val="single" w:sz="6" w:space="0" w:color="C0C0C0"/>
              <w:left w:val="single" w:sz="6" w:space="0" w:color="000000"/>
              <w:bottom w:val="single" w:sz="4" w:space="0" w:color="auto"/>
              <w:right w:val="single" w:sz="6" w:space="0" w:color="000000"/>
            </w:tcBorders>
            <w:hideMark/>
          </w:tcPr>
          <w:p w14:paraId="2309B9B2" w14:textId="77777777" w:rsidR="006E1020" w:rsidRPr="0081795F" w:rsidRDefault="006E1020">
            <w:pPr>
              <w:pStyle w:val="TableText"/>
              <w:rPr>
                <w:rFonts w:ascii="Arial Narrow" w:hAnsi="Arial Narrow"/>
              </w:rPr>
            </w:pPr>
            <w:bookmarkStart w:id="12" w:name="_Toc528781771"/>
            <w:r w:rsidRPr="0081795F">
              <w:rPr>
                <w:rFonts w:ascii="Arial Narrow" w:hAnsi="Arial Narrow"/>
              </w:rPr>
              <w:t>±2%</w:t>
            </w:r>
            <w:bookmarkEnd w:id="12"/>
          </w:p>
        </w:tc>
        <w:tc>
          <w:tcPr>
            <w:tcW w:w="1066" w:type="dxa"/>
            <w:tcBorders>
              <w:top w:val="single" w:sz="6" w:space="0" w:color="C0C0C0"/>
              <w:left w:val="single" w:sz="6" w:space="0" w:color="000000"/>
              <w:bottom w:val="single" w:sz="4" w:space="0" w:color="auto"/>
              <w:right w:val="single" w:sz="6" w:space="0" w:color="000000"/>
            </w:tcBorders>
            <w:hideMark/>
          </w:tcPr>
          <w:p w14:paraId="4725B476" w14:textId="77777777" w:rsidR="006E1020" w:rsidRPr="0081795F" w:rsidRDefault="006E1020">
            <w:pPr>
              <w:pStyle w:val="TableText"/>
              <w:rPr>
                <w:rFonts w:ascii="Arial Narrow" w:hAnsi="Arial Narrow"/>
              </w:rPr>
            </w:pPr>
            <w:bookmarkStart w:id="13" w:name="_Toc528781772"/>
            <w:r w:rsidRPr="0081795F">
              <w:rPr>
                <w:rFonts w:ascii="Arial Narrow" w:hAnsi="Arial Narrow"/>
              </w:rPr>
              <w:t>Low</w:t>
            </w:r>
            <w:bookmarkEnd w:id="13"/>
          </w:p>
        </w:tc>
        <w:tc>
          <w:tcPr>
            <w:tcW w:w="1727" w:type="dxa"/>
            <w:tcBorders>
              <w:top w:val="single" w:sz="6" w:space="0" w:color="C0C0C0"/>
              <w:left w:val="single" w:sz="6" w:space="0" w:color="000000"/>
              <w:bottom w:val="single" w:sz="4" w:space="0" w:color="auto"/>
              <w:right w:val="single" w:sz="4" w:space="0" w:color="000000"/>
            </w:tcBorders>
            <w:hideMark/>
          </w:tcPr>
          <w:p w14:paraId="0C88E1B2" w14:textId="77777777" w:rsidR="006E1020" w:rsidRPr="0081795F" w:rsidRDefault="006E1020">
            <w:pPr>
              <w:pStyle w:val="TableText"/>
              <w:rPr>
                <w:rFonts w:ascii="Arial Narrow" w:hAnsi="Arial Narrow"/>
              </w:rPr>
            </w:pPr>
            <w:bookmarkStart w:id="14" w:name="_Toc528781773"/>
            <w:r w:rsidRPr="0081795F">
              <w:rPr>
                <w:rFonts w:ascii="Arial Narrow" w:hAnsi="Arial Narrow"/>
              </w:rPr>
              <w:t>None</w:t>
            </w:r>
            <w:bookmarkEnd w:id="14"/>
          </w:p>
        </w:tc>
      </w:tr>
      <w:tr w:rsidR="006E1020" w:rsidRPr="0081795F" w14:paraId="3E24357B" w14:textId="77777777" w:rsidTr="00A8215B">
        <w:trPr>
          <w:cantSplit/>
          <w:trHeight w:val="80"/>
        </w:trPr>
        <w:tc>
          <w:tcPr>
            <w:tcW w:w="9360" w:type="dxa"/>
            <w:gridSpan w:val="6"/>
            <w:tcBorders>
              <w:top w:val="single" w:sz="4" w:space="0" w:color="auto"/>
              <w:left w:val="nil"/>
              <w:bottom w:val="nil"/>
              <w:right w:val="nil"/>
            </w:tcBorders>
          </w:tcPr>
          <w:p w14:paraId="15B43A10" w14:textId="77777777" w:rsidR="006E1020" w:rsidRPr="0081795F" w:rsidRDefault="006E1020">
            <w:pPr>
              <w:pStyle w:val="TableText"/>
            </w:pPr>
          </w:p>
        </w:tc>
      </w:tr>
    </w:tbl>
    <w:p w14:paraId="0E2475F8" w14:textId="31F201D4" w:rsidR="006E1020" w:rsidRPr="0081795F" w:rsidRDefault="004E4F02" w:rsidP="006E1020">
      <w:r w:rsidRPr="0081795F">
        <w:rPr>
          <w:i/>
        </w:rPr>
        <w:t>Current Methodology</w:t>
      </w:r>
      <w:r w:rsidR="006E1020" w:rsidRPr="0081795F">
        <w:rPr>
          <w:i/>
        </w:rPr>
        <w:t xml:space="preserve">. Sampling action plan for 4,000 completed surveys each month. </w:t>
      </w:r>
      <w:r w:rsidR="006E1020" w:rsidRPr="0081795F">
        <w:t>Collecting 4,000 responses each month reflect an approximate ±1.5 percent margin of error at a 95 percent confidence interval. A nationally representative sample of 4,000 per month secure</w:t>
      </w:r>
      <w:r w:rsidRPr="0081795F">
        <w:t>s</w:t>
      </w:r>
      <w:r w:rsidR="006E1020" w:rsidRPr="0081795F">
        <w:t xml:space="preserve"> an effective sample size well above the needed 384 to keep the resulting margin of error below </w:t>
      </w:r>
      <w:r w:rsidR="006E1020" w:rsidRPr="0081795F">
        <w:rPr>
          <w:rFonts w:cs="Arial"/>
        </w:rPr>
        <w:t>±</w:t>
      </w:r>
      <w:r w:rsidR="006E1020" w:rsidRPr="0081795F">
        <w:t>5 percent</w:t>
      </w:r>
      <w:r w:rsidRPr="0081795F">
        <w:t>,</w:t>
      </w:r>
      <w:r w:rsidR="006E1020" w:rsidRPr="0081795F">
        <w:t xml:space="preserve"> with a 95 percent confidence interval</w:t>
      </w:r>
      <w:r w:rsidRPr="0081795F">
        <w:t>.</w:t>
      </w:r>
      <w:r w:rsidR="006E1020" w:rsidRPr="0081795F">
        <w:t xml:space="preserve"> This design ensure</w:t>
      </w:r>
      <w:r w:rsidRPr="0081795F">
        <w:t>s</w:t>
      </w:r>
      <w:r w:rsidR="006E1020" w:rsidRPr="0081795F">
        <w:t xml:space="preserve"> subcategory-level analysis at the passport agency level. </w:t>
      </w:r>
      <w:r w:rsidRPr="0081795F">
        <w:t xml:space="preserve"> LMI </w:t>
      </w:r>
      <w:r w:rsidR="006E1020" w:rsidRPr="0081795F">
        <w:t>stratif</w:t>
      </w:r>
      <w:r w:rsidR="007B37A2" w:rsidRPr="0081795F">
        <w:t>ies</w:t>
      </w:r>
      <w:r w:rsidRPr="0081795F">
        <w:t xml:space="preserve"> </w:t>
      </w:r>
      <w:r w:rsidR="006E1020" w:rsidRPr="0081795F">
        <w:t>by the 2</w:t>
      </w:r>
      <w:r w:rsidR="00821A38" w:rsidRPr="0081795F">
        <w:t>5</w:t>
      </w:r>
      <w:r w:rsidR="006E1020" w:rsidRPr="0081795F">
        <w:t xml:space="preserve"> passport agencies</w:t>
      </w:r>
      <w:r w:rsidR="007B37A2" w:rsidRPr="0081795F">
        <w:t xml:space="preserve"> with passport counter facilities</w:t>
      </w:r>
      <w:r w:rsidR="006E1020" w:rsidRPr="0081795F">
        <w:t xml:space="preserve"> across the country. </w:t>
      </w:r>
      <w:r w:rsidRPr="0081795F">
        <w:t>Based on a</w:t>
      </w:r>
      <w:r w:rsidR="006E1020" w:rsidRPr="0081795F">
        <w:t xml:space="preserve"> response rate of 9 percent, the LMI team select</w:t>
      </w:r>
      <w:r w:rsidRPr="0081795F">
        <w:t>s</w:t>
      </w:r>
      <w:r w:rsidR="006E1020" w:rsidRPr="0081795F">
        <w:t xml:space="preserve"> </w:t>
      </w:r>
      <w:r w:rsidR="00927055" w:rsidRPr="0081795F">
        <w:t>36</w:t>
      </w:r>
      <w:r w:rsidR="006E1020" w:rsidRPr="0081795F">
        <w:t xml:space="preserve">,000 </w:t>
      </w:r>
      <w:r w:rsidR="00761076" w:rsidRPr="0081795F">
        <w:t>Address-B</w:t>
      </w:r>
      <w:r w:rsidR="00927055" w:rsidRPr="0081795F">
        <w:t>ased Sampling (ABS)</w:t>
      </w:r>
      <w:r w:rsidR="006E1020" w:rsidRPr="0081795F">
        <w:t xml:space="preserve"> records monthly, ensuring no duplicate addresses from previous m</w:t>
      </w:r>
      <w:r w:rsidRPr="0081795F">
        <w:t xml:space="preserve">onths. The sample universe </w:t>
      </w:r>
      <w:r w:rsidR="006E1020" w:rsidRPr="0081795F">
        <w:t>consist</w:t>
      </w:r>
      <w:r w:rsidRPr="0081795F">
        <w:t>s</w:t>
      </w:r>
      <w:r w:rsidR="006E1020" w:rsidRPr="0081795F">
        <w:t xml:space="preserve"> of all deliverable residential addresses in the United States (including Alaska and Hawaii), excluding the following types: vacants, seasonals, and PO Boxes. The only P</w:t>
      </w:r>
      <w:r w:rsidR="00761076" w:rsidRPr="0081795F">
        <w:t>.</w:t>
      </w:r>
      <w:r w:rsidR="006E1020" w:rsidRPr="0081795F">
        <w:t>O</w:t>
      </w:r>
      <w:r w:rsidR="00761076" w:rsidRPr="0081795F">
        <w:t>.</w:t>
      </w:r>
      <w:r w:rsidR="006E1020" w:rsidRPr="0081795F">
        <w:t xml:space="preserve"> Boxes included </w:t>
      </w:r>
      <w:r w:rsidRPr="0081795F">
        <w:t xml:space="preserve">are </w:t>
      </w:r>
      <w:r w:rsidR="006E1020" w:rsidRPr="0081795F">
        <w:t xml:space="preserve">those for households that have no other way to get their mail. After the sample is drawn, </w:t>
      </w:r>
      <w:r w:rsidR="00761076" w:rsidRPr="0081795F">
        <w:t>Marketing Systems Group (</w:t>
      </w:r>
      <w:r w:rsidR="006E1020" w:rsidRPr="0081795F">
        <w:t>MSG</w:t>
      </w:r>
      <w:r w:rsidR="00761076" w:rsidRPr="0081795F">
        <w:t>)</w:t>
      </w:r>
      <w:r w:rsidR="006E1020" w:rsidRPr="0081795F">
        <w:t xml:space="preserve"> carr</w:t>
      </w:r>
      <w:r w:rsidR="00761076" w:rsidRPr="0081795F">
        <w:t>ies o</w:t>
      </w:r>
      <w:r w:rsidR="006E1020" w:rsidRPr="0081795F">
        <w:t>ut its enhanced match process using exact matches only. This result</w:t>
      </w:r>
      <w:r w:rsidR="00761076" w:rsidRPr="0081795F">
        <w:t>s</w:t>
      </w:r>
      <w:r w:rsidR="006E1020" w:rsidRPr="0081795F">
        <w:t xml:space="preserve"> in approximately a 60 percent match rate by phone, a 30 percent match rate through email, and an 80 percent match rate on name. </w:t>
      </w:r>
      <w:r w:rsidR="00761076" w:rsidRPr="0081795F">
        <w:t>T</w:t>
      </w:r>
      <w:r w:rsidR="006E1020" w:rsidRPr="0081795F">
        <w:t xml:space="preserve">he sample file </w:t>
      </w:r>
      <w:r w:rsidR="00761076" w:rsidRPr="0081795F">
        <w:t xml:space="preserve">is delivered </w:t>
      </w:r>
      <w:r w:rsidR="006E1020" w:rsidRPr="0081795F">
        <w:t xml:space="preserve">in a comma-separated values (CSV) format with a header record for easy import to Excel for a mail merge. </w:t>
      </w:r>
    </w:p>
    <w:p w14:paraId="27CE6D1B" w14:textId="17A30D0B" w:rsidR="006E1020" w:rsidRPr="0081795F" w:rsidRDefault="006E1020" w:rsidP="006E1020">
      <w:r w:rsidRPr="0081795F">
        <w:rPr>
          <w:noProof/>
        </w:rPr>
        <mc:AlternateContent>
          <mc:Choice Requires="wps">
            <w:drawing>
              <wp:anchor distT="0" distB="0" distL="114300" distR="114300" simplePos="0" relativeHeight="251659264" behindDoc="0" locked="0" layoutInCell="1" allowOverlap="1" wp14:anchorId="608C68AF" wp14:editId="0598F56B">
                <wp:simplePos x="0" y="0"/>
                <wp:positionH relativeFrom="margin">
                  <wp:posOffset>3642360</wp:posOffset>
                </wp:positionH>
                <wp:positionV relativeFrom="paragraph">
                  <wp:posOffset>68580</wp:posOffset>
                </wp:positionV>
                <wp:extent cx="2286000" cy="1440815"/>
                <wp:effectExtent l="0" t="0" r="95250" b="102235"/>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40815"/>
                        </a:xfrm>
                        <a:prstGeom prst="rect">
                          <a:avLst/>
                        </a:prstGeom>
                        <a:solidFill>
                          <a:sysClr val="window" lastClr="FFFFFF">
                            <a:lumMod val="100000"/>
                            <a:lumOff val="0"/>
                          </a:sysClr>
                        </a:solidFill>
                        <a:ln w="25400" cmpd="sng">
                          <a:solidFill>
                            <a:srgbClr val="000080"/>
                          </a:solidFill>
                          <a:prstDash val="solid"/>
                          <a:miter lim="800000"/>
                          <a:headEnd/>
                          <a:tailEnd/>
                        </a:ln>
                        <a:effectLst>
                          <a:outerShdw blurRad="25400" dist="50800" dir="2700000" algn="tl" rotWithShape="0">
                            <a:srgbClr val="FF7800"/>
                          </a:outerShdw>
                        </a:effectLst>
                      </wps:spPr>
                      <wps:txbx>
                        <w:txbxContent>
                          <w:p w14:paraId="1013ADF0" w14:textId="77777777" w:rsidR="006E1020" w:rsidRDefault="006E1020" w:rsidP="006E1020">
                            <w:pPr>
                              <w:pStyle w:val="CalloutText"/>
                            </w:pPr>
                            <w:r>
                              <w:t>Alternativ</w:t>
                            </w:r>
                            <w:r w:rsidR="00A8215B">
                              <w:t>e Sampling Action Plan</w:t>
                            </w:r>
                            <w:r>
                              <w:t>—collect 2,500 completed surveys each month instead of 4,000:</w:t>
                            </w:r>
                          </w:p>
                          <w:p w14:paraId="5E049066" w14:textId="77777777" w:rsidR="006E1020" w:rsidRDefault="006E1020" w:rsidP="006E1020">
                            <w:pPr>
                              <w:pStyle w:val="CalloutText"/>
                              <w:numPr>
                                <w:ilvl w:val="0"/>
                                <w:numId w:val="2"/>
                              </w:numPr>
                              <w:ind w:left="180" w:hanging="270"/>
                            </w:pPr>
                            <w:r>
                              <w:t>Does not impact final forecast estimates.</w:t>
                            </w:r>
                          </w:p>
                          <w:p w14:paraId="70248C71" w14:textId="77777777" w:rsidR="006E1020" w:rsidRDefault="006E1020" w:rsidP="006E1020">
                            <w:pPr>
                              <w:pStyle w:val="CalloutText"/>
                              <w:numPr>
                                <w:ilvl w:val="0"/>
                                <w:numId w:val="2"/>
                              </w:numPr>
                              <w:ind w:left="180" w:hanging="270"/>
                            </w:pPr>
                            <w:r>
                              <w:t>Reduces the public burden and cost to the government.</w:t>
                            </w:r>
                          </w:p>
                          <w:p w14:paraId="452CC0C3" w14:textId="77777777" w:rsidR="006E1020" w:rsidRDefault="006E1020" w:rsidP="006E1020">
                            <w:pPr>
                              <w:pStyle w:val="CalloutText"/>
                              <w:numPr>
                                <w:ilvl w:val="0"/>
                                <w:numId w:val="2"/>
                              </w:numPr>
                              <w:ind w:left="180" w:hanging="270"/>
                            </w:pPr>
                            <w:r>
                              <w:t>Ensures retention of original design through similar stratification.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286.8pt;margin-top:5.4pt;width:180pt;height:11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" strokecolor="navy" strokeweight="2pt">
                <v:shadow on="t" color="#ff7800" origin="-.5,-.5" offset=".99781mm,.99781mm"/>
                <v:textbox>
                  <w:txbxContent>
                    <w:p w14:paraId="1013ADF0" w14:textId="77777777" w:rsidR="006E1020" w:rsidRDefault="006E1020" w:rsidP="006E1020">
                      <w:pPr>
                        <w:pStyle w:val="CalloutText"/>
                      </w:pPr>
                      <w:r>
                        <w:t>Alternativ</w:t>
                      </w:r>
                      <w:r w:rsidR="00A8215B">
                        <w:t>e Sampling Action Plan</w:t>
                      </w:r>
                      <w:r>
                        <w:t>—collect 2,500 completed surveys each month instead of 4,000:</w:t>
                      </w:r>
                    </w:p>
                    <w:p w14:paraId="5E049066" w14:textId="77777777" w:rsidR="006E1020" w:rsidRDefault="006E1020" w:rsidP="006E1020">
                      <w:pPr>
                        <w:pStyle w:val="CalloutText"/>
                        <w:numPr>
                          <w:ilvl w:val="0"/>
                          <w:numId w:val="2"/>
                        </w:numPr>
                        <w:ind w:left="180" w:hanging="270"/>
                      </w:pPr>
                      <w:r>
                        <w:t>Does not impact final forecast estimates.</w:t>
                      </w:r>
                    </w:p>
                    <w:p w14:paraId="70248C71" w14:textId="77777777" w:rsidR="006E1020" w:rsidRDefault="006E1020" w:rsidP="006E1020">
                      <w:pPr>
                        <w:pStyle w:val="CalloutText"/>
                        <w:numPr>
                          <w:ilvl w:val="0"/>
                          <w:numId w:val="2"/>
                        </w:numPr>
                        <w:ind w:left="180" w:hanging="270"/>
                      </w:pPr>
                      <w:r>
                        <w:t>Reduces the public burden and cost to the government.</w:t>
                      </w:r>
                    </w:p>
                    <w:p w14:paraId="452CC0C3" w14:textId="77777777" w:rsidR="006E1020" w:rsidRDefault="006E1020" w:rsidP="006E1020">
                      <w:pPr>
                        <w:pStyle w:val="CalloutText"/>
                        <w:numPr>
                          <w:ilvl w:val="0"/>
                          <w:numId w:val="2"/>
                        </w:numPr>
                        <w:ind w:left="180" w:hanging="270"/>
                      </w:pPr>
                      <w:r>
                        <w:t>Ensures retention of original design through similar stratification.</w:t>
                      </w:r>
                    </w:p>
                  </w:txbxContent>
                </v:textbox>
                <w10:wrap type="square" anchorx="margin"/>
              </v:shape>
            </w:pict>
          </mc:Fallback>
        </mc:AlternateContent>
      </w:r>
      <w:r w:rsidR="00A8215B" w:rsidRPr="0081795F">
        <w:rPr>
          <w:i/>
        </w:rPr>
        <w:t>Option 2</w:t>
      </w:r>
      <w:r w:rsidRPr="0081795F">
        <w:rPr>
          <w:i/>
        </w:rPr>
        <w:t>. Sampling action plan for 2,500 completed surveys each month.</w:t>
      </w:r>
      <w:r w:rsidRPr="0081795F">
        <w:t xml:space="preserve"> The LMI team proposes an alternative to the </w:t>
      </w:r>
      <w:r w:rsidR="007C361A" w:rsidRPr="0081795F">
        <w:t xml:space="preserve">current </w:t>
      </w:r>
      <w:r w:rsidRPr="0081795F">
        <w:t>option</w:t>
      </w:r>
      <w:r w:rsidR="007C361A" w:rsidRPr="0081795F">
        <w:t xml:space="preserve"> as described above.</w:t>
      </w:r>
      <w:r w:rsidRPr="0081795F">
        <w:t xml:space="preserve"> We offer a plan for 2,500 completed surveys each month. We would draw a stratified sample of 100 addresses from each of the 25 passport offices, ensuring geographic representation. Our sampling team member, MSG, will provide at least 28,100 ABS records monthly, ensuring no duplicate addresses from any previous months. </w:t>
      </w:r>
      <w:r w:rsidR="00735FDB" w:rsidRPr="0081795F">
        <w:t xml:space="preserve">The sample universe will consist of all deliverable residential addresses in the United States (including Alaska and Hawaii), excluding the following types: vacants, seasonals, and PO Boxes. The only PO Boxes to be included will be those for households that have no other way to get their mail. After the sample is drawn, MSG will carry out its enhanced match process using exact matches only. This will result in approximately a 60 percent match rate by phone, a 30 percent match rate through email, and an 80 percent match rate on name. We will deliver the sample file in a comma-separated values (CSV) format with a header record for easy import to Excel for a mail merge. </w:t>
      </w:r>
      <w:r w:rsidRPr="0081795F">
        <w:t>This reduction in sample size would still translate into an approximate ±2 percent margin of error at a 95 percent confidence level. This plan would enable stable estimates at the national level for passport demand, while keeping the same stratification. This option will have no impact on the overall LMI model predictions for this study at the national level.</w:t>
      </w:r>
    </w:p>
    <w:p w14:paraId="353C7F9F" w14:textId="77777777" w:rsidR="006E1020" w:rsidRPr="0081795F" w:rsidRDefault="006E1020" w:rsidP="006E1020">
      <w:pPr>
        <w:pStyle w:val="NormalParaBullet"/>
        <w:keepNext/>
        <w:rPr>
          <w:rFonts w:ascii="Times New Roman" w:hAnsi="Times New Roman" w:cs="Times New Roman"/>
        </w:rPr>
      </w:pPr>
      <w:r w:rsidRPr="0081795F">
        <w:rPr>
          <w:rFonts w:ascii="Times New Roman" w:hAnsi="Times New Roman" w:cs="Times New Roman"/>
        </w:rPr>
        <w:lastRenderedPageBreak/>
        <w:t>Advantages of this alt</w:t>
      </w:r>
      <w:r w:rsidR="00A8215B" w:rsidRPr="0081795F">
        <w:rPr>
          <w:rFonts w:ascii="Times New Roman" w:hAnsi="Times New Roman" w:cs="Times New Roman"/>
        </w:rPr>
        <w:t xml:space="preserve">ernative sampling plan </w:t>
      </w:r>
      <w:r w:rsidRPr="0081795F">
        <w:rPr>
          <w:rFonts w:ascii="Times New Roman" w:hAnsi="Times New Roman" w:cs="Times New Roman"/>
        </w:rPr>
        <w:t xml:space="preserve">include the following: </w:t>
      </w:r>
    </w:p>
    <w:p w14:paraId="6CF8D64B" w14:textId="77777777" w:rsidR="006E1020" w:rsidRPr="0081795F" w:rsidRDefault="006E1020" w:rsidP="006E1020">
      <w:pPr>
        <w:pStyle w:val="Bullet1"/>
        <w:rPr>
          <w:rFonts w:ascii="Times New Roman" w:hAnsi="Times New Roman" w:cs="Times New Roman"/>
        </w:rPr>
      </w:pPr>
      <w:r w:rsidRPr="0081795F">
        <w:rPr>
          <w:rFonts w:ascii="Times New Roman" w:hAnsi="Times New Roman" w:cs="Times New Roman"/>
        </w:rPr>
        <w:t>No impact on the final forecast estimates presented to CA/PPT (at most, some trends in survey data may be affected at the subgroup level, but CA/PPT is mainly interested in national-level estimates)</w:t>
      </w:r>
    </w:p>
    <w:p w14:paraId="2141EBCA" w14:textId="77777777" w:rsidR="006E1020" w:rsidRPr="0081795F" w:rsidRDefault="006E1020" w:rsidP="006E1020">
      <w:pPr>
        <w:pStyle w:val="Bullet1"/>
        <w:rPr>
          <w:rFonts w:ascii="Times New Roman" w:hAnsi="Times New Roman" w:cs="Times New Roman"/>
        </w:rPr>
      </w:pPr>
      <w:r w:rsidRPr="0081795F">
        <w:rPr>
          <w:rFonts w:ascii="Times New Roman" w:hAnsi="Times New Roman" w:cs="Times New Roman"/>
        </w:rPr>
        <w:t>A 37 percent reduction in the public respondent burden by collecting 2,500 responses instead of 4,000</w:t>
      </w:r>
    </w:p>
    <w:p w14:paraId="78FF77A0" w14:textId="77777777" w:rsidR="00F24D92" w:rsidRPr="0081795F" w:rsidRDefault="006E1020" w:rsidP="004E2CA3">
      <w:pPr>
        <w:pStyle w:val="Bulletlastline"/>
        <w:rPr>
          <w:rFonts w:ascii="Arial" w:hAnsi="Arial" w:cs="Arial"/>
        </w:rPr>
      </w:pPr>
      <w:r w:rsidRPr="0081795F">
        <w:rPr>
          <w:rFonts w:ascii="Times New Roman" w:hAnsi="Times New Roman" w:cs="Times New Roman"/>
        </w:rPr>
        <w:t xml:space="preserve">A significant reduction in the cost to the government. </w:t>
      </w:r>
    </w:p>
    <w:sectPr w:rsidR="00F24D92" w:rsidRPr="0081795F" w:rsidSect="00F24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71637"/>
    <w:multiLevelType w:val="hybridMultilevel"/>
    <w:tmpl w:val="F3E2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5D97B1A"/>
    <w:multiLevelType w:val="hybridMultilevel"/>
    <w:tmpl w:val="32429138"/>
    <w:lvl w:ilvl="0" w:tplc="7B60A554">
      <w:start w:val="1"/>
      <w:numFmt w:val="bullet"/>
      <w:pStyle w:val="Bullet1"/>
      <w:lvlText w:val=""/>
      <w:lvlJc w:val="left"/>
      <w:pPr>
        <w:tabs>
          <w:tab w:val="num" w:pos="720"/>
        </w:tabs>
        <w:ind w:left="720" w:hanging="360"/>
      </w:pPr>
      <w:rPr>
        <w:rFonts w:ascii="Wingdings 2" w:hAnsi="Wingdings 2" w:hint="default"/>
        <w:sz w:val="1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20"/>
    <w:rsid w:val="00046993"/>
    <w:rsid w:val="0007206A"/>
    <w:rsid w:val="000A1842"/>
    <w:rsid w:val="00106D4F"/>
    <w:rsid w:val="00192209"/>
    <w:rsid w:val="001B56C5"/>
    <w:rsid w:val="002208C3"/>
    <w:rsid w:val="002A5131"/>
    <w:rsid w:val="002B1561"/>
    <w:rsid w:val="002D667F"/>
    <w:rsid w:val="002E0EFC"/>
    <w:rsid w:val="002E3A03"/>
    <w:rsid w:val="002F6A37"/>
    <w:rsid w:val="00352758"/>
    <w:rsid w:val="003860AC"/>
    <w:rsid w:val="003A4B16"/>
    <w:rsid w:val="003D5631"/>
    <w:rsid w:val="0040610A"/>
    <w:rsid w:val="004166B6"/>
    <w:rsid w:val="00474220"/>
    <w:rsid w:val="00491922"/>
    <w:rsid w:val="004B31EA"/>
    <w:rsid w:val="004E4F02"/>
    <w:rsid w:val="0052203F"/>
    <w:rsid w:val="00527542"/>
    <w:rsid w:val="00554FEF"/>
    <w:rsid w:val="0056149B"/>
    <w:rsid w:val="006074E3"/>
    <w:rsid w:val="00607F57"/>
    <w:rsid w:val="0062168A"/>
    <w:rsid w:val="00676B25"/>
    <w:rsid w:val="00685E3B"/>
    <w:rsid w:val="006C3801"/>
    <w:rsid w:val="006E1020"/>
    <w:rsid w:val="00735FDB"/>
    <w:rsid w:val="00761076"/>
    <w:rsid w:val="00781BD2"/>
    <w:rsid w:val="007A48E0"/>
    <w:rsid w:val="007B37A2"/>
    <w:rsid w:val="007B531A"/>
    <w:rsid w:val="007C2AAB"/>
    <w:rsid w:val="007C361A"/>
    <w:rsid w:val="007C5F98"/>
    <w:rsid w:val="007E1502"/>
    <w:rsid w:val="008038AB"/>
    <w:rsid w:val="0081795F"/>
    <w:rsid w:val="00821A38"/>
    <w:rsid w:val="00895D86"/>
    <w:rsid w:val="00927055"/>
    <w:rsid w:val="009C3E24"/>
    <w:rsid w:val="00A37F42"/>
    <w:rsid w:val="00A4511A"/>
    <w:rsid w:val="00A51410"/>
    <w:rsid w:val="00A8215B"/>
    <w:rsid w:val="00A93F9E"/>
    <w:rsid w:val="00AB2018"/>
    <w:rsid w:val="00AF4B90"/>
    <w:rsid w:val="00B176B3"/>
    <w:rsid w:val="00B359EB"/>
    <w:rsid w:val="00B60C3B"/>
    <w:rsid w:val="00BA0BA9"/>
    <w:rsid w:val="00BA1617"/>
    <w:rsid w:val="00BB2168"/>
    <w:rsid w:val="00BB23BB"/>
    <w:rsid w:val="00BB7AB7"/>
    <w:rsid w:val="00BE29E7"/>
    <w:rsid w:val="00C11C87"/>
    <w:rsid w:val="00C43334"/>
    <w:rsid w:val="00C95A4D"/>
    <w:rsid w:val="00C967D4"/>
    <w:rsid w:val="00CB348A"/>
    <w:rsid w:val="00CD4F98"/>
    <w:rsid w:val="00CE2D8C"/>
    <w:rsid w:val="00CF23C3"/>
    <w:rsid w:val="00D22079"/>
    <w:rsid w:val="00D749CA"/>
    <w:rsid w:val="00DA6741"/>
    <w:rsid w:val="00DE4C89"/>
    <w:rsid w:val="00E0146C"/>
    <w:rsid w:val="00E117C7"/>
    <w:rsid w:val="00E350CA"/>
    <w:rsid w:val="00E412DE"/>
    <w:rsid w:val="00E431E4"/>
    <w:rsid w:val="00E75E67"/>
    <w:rsid w:val="00EC651E"/>
    <w:rsid w:val="00EE3370"/>
    <w:rsid w:val="00EF3AB6"/>
    <w:rsid w:val="00F07A19"/>
    <w:rsid w:val="00F24D92"/>
    <w:rsid w:val="00F6293C"/>
    <w:rsid w:val="00F71C58"/>
    <w:rsid w:val="00F84C84"/>
    <w:rsid w:val="00FA2E60"/>
    <w:rsid w:val="00FA3B4F"/>
    <w:rsid w:val="00FA650D"/>
    <w:rsid w:val="00FF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020"/>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1Char">
    <w:name w:val="Bullet1 Char"/>
    <w:link w:val="Bullet1"/>
    <w:locked/>
    <w:rsid w:val="006E1020"/>
    <w:rPr>
      <w:sz w:val="24"/>
    </w:rPr>
  </w:style>
  <w:style w:type="paragraph" w:customStyle="1" w:styleId="Bullet1">
    <w:name w:val="Bullet1"/>
    <w:link w:val="Bullet1Char"/>
    <w:qFormat/>
    <w:rsid w:val="006E1020"/>
    <w:pPr>
      <w:numPr>
        <w:numId w:val="1"/>
      </w:numPr>
      <w:spacing w:after="40" w:line="240" w:lineRule="auto"/>
    </w:pPr>
    <w:rPr>
      <w:sz w:val="24"/>
    </w:rPr>
  </w:style>
  <w:style w:type="paragraph" w:customStyle="1" w:styleId="TableColumnHeadings">
    <w:name w:val="Table Column Headings"/>
    <w:basedOn w:val="Normal"/>
    <w:rsid w:val="006E1020"/>
    <w:pPr>
      <w:keepLines/>
      <w:spacing w:before="40" w:after="40" w:line="200" w:lineRule="exact"/>
      <w:jc w:val="center"/>
    </w:pPr>
    <w:rPr>
      <w:rFonts w:ascii="Arial" w:hAnsi="Arial"/>
      <w:sz w:val="20"/>
    </w:rPr>
  </w:style>
  <w:style w:type="character" w:customStyle="1" w:styleId="TableTextChar">
    <w:name w:val="Table Text Char"/>
    <w:aliases w:val="table Body Text Char,tt Char,table text Char,TableText Char,TT Char Char,TT Char,Table Title Char,table titles Char,Table Titles Char,table title Char,tx Char,t Char,table text Char Char"/>
    <w:basedOn w:val="DefaultParagraphFont"/>
    <w:link w:val="TableText"/>
    <w:locked/>
    <w:rsid w:val="006E1020"/>
    <w:rPr>
      <w:rFonts w:ascii="Arial" w:hAnsi="Arial" w:cs="Arial"/>
      <w:sz w:val="18"/>
    </w:rPr>
  </w:style>
  <w:style w:type="paragraph" w:customStyle="1" w:styleId="TableText">
    <w:name w:val="Table Text"/>
    <w:aliases w:val="tt,table Body Text,table text,TT,TableText,Table Text1,table Body Text1,tt1,t...,tx,table text Char2,table text Char3 Char,Table Title,table titles,Table Titles,table title,t,Table text"/>
    <w:link w:val="TableTextChar"/>
    <w:qFormat/>
    <w:rsid w:val="006E1020"/>
    <w:pPr>
      <w:keepLines/>
      <w:spacing w:before="40" w:after="40" w:line="240" w:lineRule="auto"/>
    </w:pPr>
    <w:rPr>
      <w:rFonts w:ascii="Arial" w:hAnsi="Arial" w:cs="Arial"/>
      <w:sz w:val="18"/>
    </w:rPr>
  </w:style>
  <w:style w:type="paragraph" w:customStyle="1" w:styleId="CaptionFigure">
    <w:name w:val="Caption_Figure"/>
    <w:rsid w:val="006E1020"/>
    <w:pPr>
      <w:spacing w:after="80" w:line="240" w:lineRule="auto"/>
      <w:jc w:val="center"/>
    </w:pPr>
    <w:rPr>
      <w:rFonts w:ascii="Times New Roman" w:eastAsia="Times New Roman" w:hAnsi="Times New Roman" w:cs="Times New Roman"/>
      <w:i/>
      <w:sz w:val="24"/>
      <w:szCs w:val="24"/>
    </w:rPr>
  </w:style>
  <w:style w:type="paragraph" w:customStyle="1" w:styleId="CaptionTable">
    <w:name w:val="Caption_Table"/>
    <w:basedOn w:val="CaptionFigure"/>
    <w:rsid w:val="006E1020"/>
    <w:pPr>
      <w:keepNext/>
    </w:pPr>
  </w:style>
  <w:style w:type="paragraph" w:customStyle="1" w:styleId="Bulletlastline">
    <w:name w:val="Bullet_lastline"/>
    <w:basedOn w:val="Bullet1"/>
    <w:rsid w:val="006E1020"/>
    <w:pPr>
      <w:spacing w:after="120"/>
    </w:pPr>
  </w:style>
  <w:style w:type="paragraph" w:customStyle="1" w:styleId="NormalParaBullet">
    <w:name w:val="Normal Para_Bullet"/>
    <w:basedOn w:val="Bullet1"/>
    <w:rsid w:val="006E1020"/>
    <w:pPr>
      <w:numPr>
        <w:numId w:val="0"/>
      </w:numPr>
    </w:pPr>
  </w:style>
  <w:style w:type="paragraph" w:customStyle="1" w:styleId="CalloutText">
    <w:name w:val="Callout Text"/>
    <w:rsid w:val="006E1020"/>
    <w:pPr>
      <w:spacing w:after="40" w:line="240" w:lineRule="auto"/>
    </w:pPr>
    <w:rPr>
      <w:rFonts w:ascii="Arial Narrow" w:eastAsia="Times New Roman" w:hAnsi="Arial Narrow" w:cs="Times New Roman"/>
      <w:sz w:val="20"/>
      <w:szCs w:val="24"/>
    </w:rPr>
  </w:style>
  <w:style w:type="table" w:styleId="TableGrid">
    <w:name w:val="Table Grid"/>
    <w:basedOn w:val="TableNormal"/>
    <w:uiPriority w:val="39"/>
    <w:rsid w:val="006E1020"/>
    <w:pPr>
      <w:spacing w:after="24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7A19"/>
    <w:rPr>
      <w:sz w:val="16"/>
      <w:szCs w:val="16"/>
    </w:rPr>
  </w:style>
  <w:style w:type="paragraph" w:styleId="CommentText">
    <w:name w:val="annotation text"/>
    <w:basedOn w:val="Normal"/>
    <w:link w:val="CommentTextChar"/>
    <w:uiPriority w:val="99"/>
    <w:semiHidden/>
    <w:unhideWhenUsed/>
    <w:rsid w:val="00F07A19"/>
    <w:rPr>
      <w:sz w:val="20"/>
      <w:szCs w:val="20"/>
    </w:rPr>
  </w:style>
  <w:style w:type="character" w:customStyle="1" w:styleId="CommentTextChar">
    <w:name w:val="Comment Text Char"/>
    <w:basedOn w:val="DefaultParagraphFont"/>
    <w:link w:val="CommentText"/>
    <w:uiPriority w:val="99"/>
    <w:semiHidden/>
    <w:rsid w:val="00F07A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7A19"/>
    <w:rPr>
      <w:b/>
      <w:bCs/>
    </w:rPr>
  </w:style>
  <w:style w:type="character" w:customStyle="1" w:styleId="CommentSubjectChar">
    <w:name w:val="Comment Subject Char"/>
    <w:basedOn w:val="CommentTextChar"/>
    <w:link w:val="CommentSubject"/>
    <w:uiPriority w:val="99"/>
    <w:semiHidden/>
    <w:rsid w:val="00F07A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7A1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A19"/>
    <w:rPr>
      <w:rFonts w:ascii="Segoe UI" w:eastAsia="Times New Roman" w:hAnsi="Segoe UI" w:cs="Segoe UI"/>
      <w:sz w:val="18"/>
      <w:szCs w:val="18"/>
    </w:rPr>
  </w:style>
  <w:style w:type="paragraph" w:styleId="Revision">
    <w:name w:val="Revision"/>
    <w:hidden/>
    <w:uiPriority w:val="99"/>
    <w:semiHidden/>
    <w:rsid w:val="00E0146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020"/>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1Char">
    <w:name w:val="Bullet1 Char"/>
    <w:link w:val="Bullet1"/>
    <w:locked/>
    <w:rsid w:val="006E1020"/>
    <w:rPr>
      <w:sz w:val="24"/>
    </w:rPr>
  </w:style>
  <w:style w:type="paragraph" w:customStyle="1" w:styleId="Bullet1">
    <w:name w:val="Bullet1"/>
    <w:link w:val="Bullet1Char"/>
    <w:qFormat/>
    <w:rsid w:val="006E1020"/>
    <w:pPr>
      <w:numPr>
        <w:numId w:val="1"/>
      </w:numPr>
      <w:spacing w:after="40" w:line="240" w:lineRule="auto"/>
    </w:pPr>
    <w:rPr>
      <w:sz w:val="24"/>
    </w:rPr>
  </w:style>
  <w:style w:type="paragraph" w:customStyle="1" w:styleId="TableColumnHeadings">
    <w:name w:val="Table Column Headings"/>
    <w:basedOn w:val="Normal"/>
    <w:rsid w:val="006E1020"/>
    <w:pPr>
      <w:keepLines/>
      <w:spacing w:before="40" w:after="40" w:line="200" w:lineRule="exact"/>
      <w:jc w:val="center"/>
    </w:pPr>
    <w:rPr>
      <w:rFonts w:ascii="Arial" w:hAnsi="Arial"/>
      <w:sz w:val="20"/>
    </w:rPr>
  </w:style>
  <w:style w:type="character" w:customStyle="1" w:styleId="TableTextChar">
    <w:name w:val="Table Text Char"/>
    <w:aliases w:val="table Body Text Char,tt Char,table text Char,TableText Char,TT Char Char,TT Char,Table Title Char,table titles Char,Table Titles Char,table title Char,tx Char,t Char,table text Char Char"/>
    <w:basedOn w:val="DefaultParagraphFont"/>
    <w:link w:val="TableText"/>
    <w:locked/>
    <w:rsid w:val="006E1020"/>
    <w:rPr>
      <w:rFonts w:ascii="Arial" w:hAnsi="Arial" w:cs="Arial"/>
      <w:sz w:val="18"/>
    </w:rPr>
  </w:style>
  <w:style w:type="paragraph" w:customStyle="1" w:styleId="TableText">
    <w:name w:val="Table Text"/>
    <w:aliases w:val="tt,table Body Text,table text,TT,TableText,Table Text1,table Body Text1,tt1,t...,tx,table text Char2,table text Char3 Char,Table Title,table titles,Table Titles,table title,t,Table text"/>
    <w:link w:val="TableTextChar"/>
    <w:qFormat/>
    <w:rsid w:val="006E1020"/>
    <w:pPr>
      <w:keepLines/>
      <w:spacing w:before="40" w:after="40" w:line="240" w:lineRule="auto"/>
    </w:pPr>
    <w:rPr>
      <w:rFonts w:ascii="Arial" w:hAnsi="Arial" w:cs="Arial"/>
      <w:sz w:val="18"/>
    </w:rPr>
  </w:style>
  <w:style w:type="paragraph" w:customStyle="1" w:styleId="CaptionFigure">
    <w:name w:val="Caption_Figure"/>
    <w:rsid w:val="006E1020"/>
    <w:pPr>
      <w:spacing w:after="80" w:line="240" w:lineRule="auto"/>
      <w:jc w:val="center"/>
    </w:pPr>
    <w:rPr>
      <w:rFonts w:ascii="Times New Roman" w:eastAsia="Times New Roman" w:hAnsi="Times New Roman" w:cs="Times New Roman"/>
      <w:i/>
      <w:sz w:val="24"/>
      <w:szCs w:val="24"/>
    </w:rPr>
  </w:style>
  <w:style w:type="paragraph" w:customStyle="1" w:styleId="CaptionTable">
    <w:name w:val="Caption_Table"/>
    <w:basedOn w:val="CaptionFigure"/>
    <w:rsid w:val="006E1020"/>
    <w:pPr>
      <w:keepNext/>
    </w:pPr>
  </w:style>
  <w:style w:type="paragraph" w:customStyle="1" w:styleId="Bulletlastline">
    <w:name w:val="Bullet_lastline"/>
    <w:basedOn w:val="Bullet1"/>
    <w:rsid w:val="006E1020"/>
    <w:pPr>
      <w:spacing w:after="120"/>
    </w:pPr>
  </w:style>
  <w:style w:type="paragraph" w:customStyle="1" w:styleId="NormalParaBullet">
    <w:name w:val="Normal Para_Bullet"/>
    <w:basedOn w:val="Bullet1"/>
    <w:rsid w:val="006E1020"/>
    <w:pPr>
      <w:numPr>
        <w:numId w:val="0"/>
      </w:numPr>
    </w:pPr>
  </w:style>
  <w:style w:type="paragraph" w:customStyle="1" w:styleId="CalloutText">
    <w:name w:val="Callout Text"/>
    <w:rsid w:val="006E1020"/>
    <w:pPr>
      <w:spacing w:after="40" w:line="240" w:lineRule="auto"/>
    </w:pPr>
    <w:rPr>
      <w:rFonts w:ascii="Arial Narrow" w:eastAsia="Times New Roman" w:hAnsi="Arial Narrow" w:cs="Times New Roman"/>
      <w:sz w:val="20"/>
      <w:szCs w:val="24"/>
    </w:rPr>
  </w:style>
  <w:style w:type="table" w:styleId="TableGrid">
    <w:name w:val="Table Grid"/>
    <w:basedOn w:val="TableNormal"/>
    <w:uiPriority w:val="39"/>
    <w:rsid w:val="006E1020"/>
    <w:pPr>
      <w:spacing w:after="24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7A19"/>
    <w:rPr>
      <w:sz w:val="16"/>
      <w:szCs w:val="16"/>
    </w:rPr>
  </w:style>
  <w:style w:type="paragraph" w:styleId="CommentText">
    <w:name w:val="annotation text"/>
    <w:basedOn w:val="Normal"/>
    <w:link w:val="CommentTextChar"/>
    <w:uiPriority w:val="99"/>
    <w:semiHidden/>
    <w:unhideWhenUsed/>
    <w:rsid w:val="00F07A19"/>
    <w:rPr>
      <w:sz w:val="20"/>
      <w:szCs w:val="20"/>
    </w:rPr>
  </w:style>
  <w:style w:type="character" w:customStyle="1" w:styleId="CommentTextChar">
    <w:name w:val="Comment Text Char"/>
    <w:basedOn w:val="DefaultParagraphFont"/>
    <w:link w:val="CommentText"/>
    <w:uiPriority w:val="99"/>
    <w:semiHidden/>
    <w:rsid w:val="00F07A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7A19"/>
    <w:rPr>
      <w:b/>
      <w:bCs/>
    </w:rPr>
  </w:style>
  <w:style w:type="character" w:customStyle="1" w:styleId="CommentSubjectChar">
    <w:name w:val="Comment Subject Char"/>
    <w:basedOn w:val="CommentTextChar"/>
    <w:link w:val="CommentSubject"/>
    <w:uiPriority w:val="99"/>
    <w:semiHidden/>
    <w:rsid w:val="00F07A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7A1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A19"/>
    <w:rPr>
      <w:rFonts w:ascii="Segoe UI" w:eastAsia="Times New Roman" w:hAnsi="Segoe UI" w:cs="Segoe UI"/>
      <w:sz w:val="18"/>
      <w:szCs w:val="18"/>
    </w:rPr>
  </w:style>
  <w:style w:type="paragraph" w:styleId="Revision">
    <w:name w:val="Revision"/>
    <w:hidden/>
    <w:uiPriority w:val="99"/>
    <w:semiHidden/>
    <w:rsid w:val="00E0146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67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LMI</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Prabhakaran, Jyothsna</dc:creator>
  <cp:keywords/>
  <dc:description/>
  <cp:lastModifiedBy>SYSTEM</cp:lastModifiedBy>
  <cp:revision>2</cp:revision>
  <dcterms:created xsi:type="dcterms:W3CDTF">2019-04-03T13:35:00Z</dcterms:created>
  <dcterms:modified xsi:type="dcterms:W3CDTF">2019-04-03T13:35:00Z</dcterms:modified>
</cp:coreProperties>
</file>