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77FEA">
        <w:rPr>
          <w:rFonts w:ascii="Courier New" w:eastAsia="Times New Roman" w:hAnsi="Courier New" w:cs="Courier New"/>
          <w:sz w:val="20"/>
          <w:szCs w:val="20"/>
        </w:rPr>
        <w:t>[Federal Register Volume 83, Number 206 (Wednesday, October 24, 2018)]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[Pages 53642-53643]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177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77FEA">
        <w:rPr>
          <w:rFonts w:ascii="Courier New" w:eastAsia="Times New Roman" w:hAnsi="Courier New" w:cs="Courier New"/>
          <w:sz w:val="20"/>
          <w:szCs w:val="20"/>
        </w:rPr>
        <w:t>]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[FR Doc No: 2018-23167]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[Docket No. USCG-2018-0790]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Budget; OMB Control Number: 1625-0006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Information and Regulatory Affairs (OIRA), requesting an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[[Page 53643]]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extension of its approval for the following collection of information: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1625-0006, Shipping Articles; without change. Our ICR describes the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December 24,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2018.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number [USCG-2018-0790] to the Coast Guard using the Federal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177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EA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177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E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[USCG-2018-0790], and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must be received by December 24, 2018.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177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E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177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E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177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77FE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177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7FE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Title: Shipping Articles.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OMB Control Number: 1625-0006.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Summary: Title 46 United States Code Sec.  10302 and 10502 and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Title 46 Code of Federal Regulations (CFR) 14.201 requires applicable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owners, charterers, managing operators, masters, or individuals in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charge to make a shipping agreement in writing with each seaman before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the seaman commences employment. Additionally 46 CFR 14.313 requires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shipping companies to submit to the Coast Guard Shipping Articles three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years after the article was generated; or submitted by shipping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companies that go out of business or merges with another company; or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upon request by the Coast Guard. Upon receipt and acceptance, Shipping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Articles are transferred and archived at the Federal Records Center in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Suitland, Maryland.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Need: This collection provides verification, identification,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location and employment information of U.S. merchant mariners to the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following: (1) Federal, state and local law enforcement agencies for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use in criminal or civil law enforcement purposes, (2) shipping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companies, (3) labor unions, (4) seaman's authorized representatives,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(5) seaman's next of kin, (6) whenever the disclosure of such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information would be in the best interest of the seaman or his/her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family.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Forms: CG-705A; Shipping Articles.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Respondents: Shipping companies.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18,000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hours a year.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 xml:space="preserve">    Dated: October 18, 2018.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[FR Doc. 2018-23167 Filed 10-23-18; 8:45 am]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7FEA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7FEA" w:rsidRPr="00177FEA" w:rsidRDefault="00177FEA" w:rsidP="00177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E7023B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EA"/>
    <w:rsid w:val="00177FEA"/>
    <w:rsid w:val="00512E6A"/>
    <w:rsid w:val="006262BC"/>
    <w:rsid w:val="00E7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2019-04-23T18:30:00Z</dcterms:created>
  <dcterms:modified xsi:type="dcterms:W3CDTF">2019-04-23T18:30:00Z</dcterms:modified>
</cp:coreProperties>
</file>