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D4F3F" w14:textId="77777777" w:rsidR="008B7011" w:rsidRDefault="008B7011" w:rsidP="004D7CDD">
      <w:pPr>
        <w:pStyle w:val="P1-StandPara"/>
        <w:ind w:firstLine="0"/>
        <w:jc w:val="left"/>
        <w:rPr>
          <w:b/>
          <w:sz w:val="24"/>
          <w:szCs w:val="24"/>
        </w:rPr>
      </w:pPr>
      <w:bookmarkStart w:id="0" w:name="_GoBack"/>
      <w:bookmarkEnd w:id="0"/>
    </w:p>
    <w:p w14:paraId="44DBCCA7" w14:textId="77777777" w:rsidR="004D7CDD" w:rsidRPr="00CD0575" w:rsidRDefault="004D7CDD" w:rsidP="004D7CDD">
      <w:pPr>
        <w:pStyle w:val="P1-StandPara"/>
        <w:ind w:firstLine="0"/>
        <w:jc w:val="left"/>
        <w:rPr>
          <w:b/>
          <w:sz w:val="24"/>
          <w:szCs w:val="24"/>
        </w:rPr>
      </w:pPr>
      <w:r w:rsidRPr="00CD0575">
        <w:rPr>
          <w:b/>
          <w:noProof/>
          <w:sz w:val="24"/>
          <w:szCs w:val="24"/>
        </w:rPr>
        <w:drawing>
          <wp:inline distT="0" distB="0" distL="0" distR="0" wp14:anchorId="3A9F5F20" wp14:editId="0F11314F">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3F46F278" w14:textId="77777777" w:rsidR="004D7CDD" w:rsidRPr="00CD0575" w:rsidRDefault="004D7CDD" w:rsidP="004D7CDD">
      <w:pPr>
        <w:pStyle w:val="P1-StandPara"/>
        <w:jc w:val="left"/>
        <w:rPr>
          <w:b/>
          <w:sz w:val="24"/>
          <w:szCs w:val="24"/>
        </w:rPr>
      </w:pPr>
    </w:p>
    <w:p w14:paraId="1FD0AA3B" w14:textId="77777777" w:rsidR="004D7CDD" w:rsidRPr="00CD0575" w:rsidRDefault="004D7CDD" w:rsidP="004D7CDD">
      <w:pPr>
        <w:pStyle w:val="P1-StandPara"/>
        <w:ind w:firstLine="0"/>
        <w:jc w:val="left"/>
        <w:rPr>
          <w:b/>
          <w:sz w:val="24"/>
          <w:szCs w:val="24"/>
        </w:rPr>
      </w:pPr>
    </w:p>
    <w:p w14:paraId="231F5B99" w14:textId="77777777" w:rsidR="004D7CDD" w:rsidRPr="00CD0575" w:rsidRDefault="004D7CDD" w:rsidP="004D7CDD">
      <w:pPr>
        <w:pStyle w:val="P1-StandPara"/>
        <w:ind w:firstLine="0"/>
        <w:jc w:val="left"/>
        <w:rPr>
          <w:b/>
          <w:sz w:val="24"/>
          <w:szCs w:val="24"/>
        </w:rPr>
      </w:pPr>
    </w:p>
    <w:p w14:paraId="0509BEF9" w14:textId="77777777" w:rsidR="004D7CDD" w:rsidRPr="00CD0575" w:rsidRDefault="004D7CDD" w:rsidP="004D7CDD">
      <w:pPr>
        <w:pStyle w:val="P1-StandPara"/>
        <w:ind w:firstLine="0"/>
        <w:jc w:val="left"/>
        <w:rPr>
          <w:b/>
          <w:sz w:val="24"/>
          <w:szCs w:val="24"/>
        </w:rPr>
      </w:pPr>
    </w:p>
    <w:p w14:paraId="61F00762" w14:textId="77777777" w:rsidR="004D7CDD" w:rsidRPr="005B1070" w:rsidRDefault="004D7CDD" w:rsidP="004D7CDD">
      <w:pPr>
        <w:jc w:val="center"/>
        <w:rPr>
          <w:b/>
          <w:sz w:val="48"/>
          <w:szCs w:val="48"/>
        </w:rPr>
      </w:pPr>
      <w:r w:rsidRPr="005B1070">
        <w:rPr>
          <w:b/>
          <w:sz w:val="48"/>
          <w:szCs w:val="48"/>
        </w:rPr>
        <w:t>School Survey on Crime and Safety (SSOCS)</w:t>
      </w:r>
      <w:r>
        <w:rPr>
          <w:b/>
          <w:sz w:val="48"/>
          <w:szCs w:val="48"/>
        </w:rPr>
        <w:t xml:space="preserve"> </w:t>
      </w:r>
      <w:r w:rsidRPr="005B1070">
        <w:rPr>
          <w:b/>
          <w:sz w:val="48"/>
          <w:szCs w:val="48"/>
        </w:rPr>
        <w:t>2018 and 2020 Update</w:t>
      </w:r>
    </w:p>
    <w:p w14:paraId="50582BE4" w14:textId="77777777" w:rsidR="004D7CDD" w:rsidRPr="00CD0575" w:rsidRDefault="004D7CDD" w:rsidP="004D7CDD">
      <w:pPr>
        <w:jc w:val="center"/>
        <w:rPr>
          <w:b/>
        </w:rPr>
      </w:pPr>
    </w:p>
    <w:p w14:paraId="6198BC3E" w14:textId="77777777" w:rsidR="004D7CDD" w:rsidRDefault="004D7CDD" w:rsidP="004D7CDD">
      <w:pPr>
        <w:spacing w:line="360" w:lineRule="auto"/>
        <w:jc w:val="center"/>
        <w:rPr>
          <w:b/>
          <w:sz w:val="36"/>
          <w:szCs w:val="36"/>
        </w:rPr>
      </w:pPr>
    </w:p>
    <w:p w14:paraId="3B7A7E60" w14:textId="77777777" w:rsidR="004D7CDD" w:rsidRPr="00AB1592" w:rsidRDefault="004D7CDD" w:rsidP="004D7CDD">
      <w:pPr>
        <w:spacing w:line="360" w:lineRule="auto"/>
        <w:jc w:val="center"/>
        <w:rPr>
          <w:b/>
          <w:sz w:val="36"/>
          <w:szCs w:val="36"/>
        </w:rPr>
      </w:pPr>
      <w:r w:rsidRPr="00AB1592">
        <w:rPr>
          <w:b/>
          <w:sz w:val="36"/>
          <w:szCs w:val="36"/>
        </w:rPr>
        <w:t>OMB# 1850-0761 v.16</w:t>
      </w:r>
    </w:p>
    <w:p w14:paraId="654EF945" w14:textId="77777777" w:rsidR="004D7CDD" w:rsidRPr="00CD0575" w:rsidRDefault="004D7CDD" w:rsidP="004D7CDD">
      <w:pPr>
        <w:jc w:val="center"/>
        <w:rPr>
          <w:b/>
        </w:rPr>
      </w:pPr>
    </w:p>
    <w:p w14:paraId="21BDC873" w14:textId="77777777" w:rsidR="004D7CDD" w:rsidRPr="00CD0575" w:rsidRDefault="004D7CDD" w:rsidP="004D7CDD">
      <w:pPr>
        <w:jc w:val="center"/>
        <w:rPr>
          <w:b/>
        </w:rPr>
      </w:pPr>
    </w:p>
    <w:p w14:paraId="08BFAB56" w14:textId="77777777" w:rsidR="004D7CDD" w:rsidRPr="00CD0575" w:rsidRDefault="004D7CDD" w:rsidP="004D7CDD">
      <w:pPr>
        <w:jc w:val="center"/>
      </w:pPr>
    </w:p>
    <w:p w14:paraId="3C1CC7A0" w14:textId="5E8D1265" w:rsidR="004D7CDD" w:rsidRPr="00AB1592" w:rsidRDefault="004D7CDD" w:rsidP="004D7CDD">
      <w:pPr>
        <w:spacing w:line="360" w:lineRule="auto"/>
        <w:jc w:val="center"/>
        <w:rPr>
          <w:sz w:val="44"/>
          <w:szCs w:val="44"/>
        </w:rPr>
      </w:pPr>
      <w:r w:rsidRPr="00AB1592">
        <w:rPr>
          <w:sz w:val="44"/>
          <w:szCs w:val="44"/>
        </w:rPr>
        <w:t xml:space="preserve">Supporting Statement Part </w:t>
      </w:r>
      <w:r>
        <w:rPr>
          <w:sz w:val="44"/>
          <w:szCs w:val="44"/>
        </w:rPr>
        <w:t>B</w:t>
      </w:r>
    </w:p>
    <w:p w14:paraId="3723269C" w14:textId="77777777" w:rsidR="004D7CDD" w:rsidRPr="00CD0575" w:rsidRDefault="004D7CDD" w:rsidP="004D7CDD">
      <w:pPr>
        <w:spacing w:line="360" w:lineRule="auto"/>
        <w:jc w:val="center"/>
      </w:pPr>
    </w:p>
    <w:p w14:paraId="5A8CEE36" w14:textId="77777777" w:rsidR="004D7CDD" w:rsidRPr="00CD0575" w:rsidRDefault="004D7CDD" w:rsidP="004D7CDD">
      <w:pPr>
        <w:spacing w:line="360" w:lineRule="auto"/>
        <w:jc w:val="center"/>
      </w:pPr>
    </w:p>
    <w:p w14:paraId="6B9B68A7" w14:textId="77777777" w:rsidR="004D7CDD" w:rsidRPr="00CD0575" w:rsidRDefault="004D7CDD" w:rsidP="004D7CDD">
      <w:pPr>
        <w:spacing w:line="360" w:lineRule="auto"/>
        <w:jc w:val="center"/>
      </w:pPr>
    </w:p>
    <w:p w14:paraId="440AC31B" w14:textId="77777777" w:rsidR="004D7CDD" w:rsidRPr="00CD0575" w:rsidRDefault="004D7CDD" w:rsidP="004D7CDD">
      <w:pPr>
        <w:spacing w:line="360" w:lineRule="auto"/>
        <w:jc w:val="center"/>
      </w:pPr>
    </w:p>
    <w:p w14:paraId="6BEBC6FC" w14:textId="77777777" w:rsidR="004D7CDD" w:rsidRPr="00CD0575" w:rsidRDefault="004D7CDD" w:rsidP="004D7CDD">
      <w:pPr>
        <w:jc w:val="center"/>
      </w:pPr>
      <w:r w:rsidRPr="00CD0575">
        <w:t>National Center for Education Statistics</w:t>
      </w:r>
    </w:p>
    <w:p w14:paraId="4F3DAC21" w14:textId="77777777" w:rsidR="004D7CDD" w:rsidRPr="00CD0575" w:rsidRDefault="004D7CDD" w:rsidP="004D7CDD">
      <w:pPr>
        <w:jc w:val="center"/>
      </w:pPr>
      <w:r w:rsidRPr="00CD0575">
        <w:t>Institute of Education Sciences</w:t>
      </w:r>
    </w:p>
    <w:p w14:paraId="0C014E20" w14:textId="77777777" w:rsidR="004D7CDD" w:rsidRPr="00CD0575" w:rsidRDefault="004D7CDD" w:rsidP="004D7CDD">
      <w:pPr>
        <w:jc w:val="center"/>
      </w:pPr>
      <w:r w:rsidRPr="00CD0575">
        <w:t>U.S. Department of Education</w:t>
      </w:r>
    </w:p>
    <w:p w14:paraId="291ED6D3" w14:textId="77777777" w:rsidR="004D7CDD" w:rsidRPr="00CD0575" w:rsidRDefault="004D7CDD" w:rsidP="004D7CDD">
      <w:pPr>
        <w:spacing w:line="360" w:lineRule="auto"/>
        <w:jc w:val="center"/>
      </w:pPr>
    </w:p>
    <w:p w14:paraId="1F243525" w14:textId="77777777" w:rsidR="004D7CDD" w:rsidRPr="00CD0575" w:rsidRDefault="004D7CDD" w:rsidP="004D7CDD">
      <w:pPr>
        <w:spacing w:line="360" w:lineRule="auto"/>
        <w:jc w:val="center"/>
      </w:pPr>
    </w:p>
    <w:p w14:paraId="4B1793C6" w14:textId="77777777" w:rsidR="004D7CDD" w:rsidRPr="00CD0575" w:rsidRDefault="004D7CDD" w:rsidP="004D7CDD">
      <w:pPr>
        <w:jc w:val="center"/>
      </w:pPr>
    </w:p>
    <w:p w14:paraId="628CE9C5" w14:textId="77777777" w:rsidR="004D7CDD" w:rsidRPr="00CD0575" w:rsidRDefault="004D7CDD" w:rsidP="004D7CDD">
      <w:pPr>
        <w:jc w:val="center"/>
      </w:pPr>
    </w:p>
    <w:p w14:paraId="52F11869" w14:textId="77777777" w:rsidR="004D7CDD" w:rsidRPr="00CD0575" w:rsidRDefault="004D7CDD" w:rsidP="004D7CDD">
      <w:pPr>
        <w:jc w:val="center"/>
      </w:pPr>
      <w:r w:rsidRPr="00CD0575">
        <w:t>March 17, 2017</w:t>
      </w:r>
    </w:p>
    <w:p w14:paraId="064258ED" w14:textId="3BDCBC84" w:rsidR="004D7CDD" w:rsidRPr="00CD0575" w:rsidRDefault="004D7CDD" w:rsidP="004D7CDD">
      <w:pPr>
        <w:jc w:val="center"/>
      </w:pPr>
      <w:r w:rsidRPr="00CD0575">
        <w:t xml:space="preserve">Revised </w:t>
      </w:r>
      <w:r w:rsidR="00446B4C">
        <w:t>April</w:t>
      </w:r>
      <w:r w:rsidRPr="00CD0575">
        <w:t xml:space="preserve"> 2019</w:t>
      </w:r>
    </w:p>
    <w:p w14:paraId="3A5A3B56" w14:textId="77777777" w:rsidR="004D7CDD" w:rsidRPr="00CD0575" w:rsidRDefault="004D7CDD" w:rsidP="004D7CDD"/>
    <w:p w14:paraId="32A337C5" w14:textId="77777777" w:rsidR="004D7CDD" w:rsidRPr="00CD0575" w:rsidRDefault="004D7CDD" w:rsidP="004D7CDD">
      <w:pPr>
        <w:sectPr w:rsidR="004D7CDD" w:rsidRPr="00CD0575" w:rsidSect="008B7011">
          <w:footerReference w:type="even" r:id="rId10"/>
          <w:footerReference w:type="default" r:id="rId11"/>
          <w:pgSz w:w="12240" w:h="15840" w:code="1"/>
          <w:pgMar w:top="864" w:right="864" w:bottom="720" w:left="864" w:header="432" w:footer="288" w:gutter="0"/>
          <w:pgNumType w:fmt="lowerRoman"/>
          <w:cols w:space="720"/>
          <w:titlePg/>
        </w:sectPr>
      </w:pPr>
    </w:p>
    <w:p w14:paraId="3710FE9D" w14:textId="77777777" w:rsidR="00D671F8" w:rsidRPr="00155597" w:rsidRDefault="00D671F8">
      <w:pPr>
        <w:rPr>
          <w:b/>
        </w:rPr>
      </w:pPr>
    </w:p>
    <w:p w14:paraId="7D590CD8" w14:textId="77777777" w:rsidR="00F66798" w:rsidRPr="00155597" w:rsidRDefault="00F66798">
      <w:pPr>
        <w:rPr>
          <w:b/>
        </w:rPr>
      </w:pPr>
    </w:p>
    <w:p w14:paraId="5C4EAD55" w14:textId="77777777" w:rsidR="00F66798" w:rsidRPr="00155597" w:rsidRDefault="00F66798">
      <w:pPr>
        <w:rPr>
          <w:b/>
        </w:rPr>
      </w:pPr>
    </w:p>
    <w:p w14:paraId="495102E5" w14:textId="77777777" w:rsidR="00AF0E3F" w:rsidRDefault="00AF0E3F">
      <w:pPr>
        <w:rPr>
          <w:b/>
        </w:rPr>
      </w:pPr>
    </w:p>
    <w:p w14:paraId="77FEAFC1" w14:textId="77777777" w:rsidR="00AA7A29" w:rsidRPr="00155597" w:rsidRDefault="00AA7A29">
      <w:r w:rsidRPr="00155597">
        <w:rPr>
          <w:b/>
        </w:rPr>
        <w:t>Contents</w:t>
      </w:r>
    </w:p>
    <w:p w14:paraId="00A988FC" w14:textId="77777777" w:rsidR="00D47B25" w:rsidRPr="00155597" w:rsidRDefault="00D47B25"/>
    <w:p w14:paraId="1C32F417" w14:textId="37796F81" w:rsidR="0028485A" w:rsidRDefault="00282F0A" w:rsidP="00AF0E3F">
      <w:pPr>
        <w:pStyle w:val="TOC2"/>
        <w:spacing w:after="240"/>
        <w:rPr>
          <w:rFonts w:asciiTheme="minorHAnsi" w:eastAsiaTheme="minorEastAsia" w:hAnsiTheme="minorHAnsi" w:cstheme="minorBidi"/>
          <w:smallCaps w:val="0"/>
          <w:sz w:val="22"/>
          <w:szCs w:val="22"/>
        </w:rPr>
      </w:pPr>
      <w:r w:rsidRPr="00155597">
        <w:rPr>
          <w:b/>
          <w:caps/>
          <w:szCs w:val="24"/>
        </w:rPr>
        <w:fldChar w:fldCharType="begin"/>
      </w:r>
      <w:r w:rsidR="00D47B25" w:rsidRPr="00155597">
        <w:rPr>
          <w:caps/>
          <w:szCs w:val="24"/>
        </w:rPr>
        <w:instrText xml:space="preserve"> TOC \o "1-2" \h \z \u </w:instrText>
      </w:r>
      <w:r w:rsidRPr="00155597">
        <w:rPr>
          <w:b/>
          <w:caps/>
          <w:szCs w:val="24"/>
        </w:rPr>
        <w:fldChar w:fldCharType="separate"/>
      </w:r>
      <w:hyperlink w:anchor="_Toc3478472" w:history="1">
        <w:r w:rsidR="0028485A" w:rsidRPr="00B77071">
          <w:rPr>
            <w:rStyle w:val="Hyperlink"/>
          </w:rPr>
          <w:t>Section B. Methodology</w:t>
        </w:r>
        <w:r w:rsidR="0028485A">
          <w:rPr>
            <w:webHidden/>
          </w:rPr>
          <w:tab/>
        </w:r>
        <w:r w:rsidR="0028485A">
          <w:rPr>
            <w:webHidden/>
          </w:rPr>
          <w:fldChar w:fldCharType="begin"/>
        </w:r>
        <w:r w:rsidR="0028485A">
          <w:rPr>
            <w:webHidden/>
          </w:rPr>
          <w:instrText xml:space="preserve"> PAGEREF _Toc3478472 \h </w:instrText>
        </w:r>
        <w:r w:rsidR="0028485A">
          <w:rPr>
            <w:webHidden/>
          </w:rPr>
        </w:r>
        <w:r w:rsidR="0028485A">
          <w:rPr>
            <w:webHidden/>
          </w:rPr>
          <w:fldChar w:fldCharType="separate"/>
        </w:r>
        <w:r w:rsidR="00CD2661">
          <w:rPr>
            <w:webHidden/>
          </w:rPr>
          <w:t>1</w:t>
        </w:r>
        <w:r w:rsidR="0028485A">
          <w:rPr>
            <w:webHidden/>
          </w:rPr>
          <w:fldChar w:fldCharType="end"/>
        </w:r>
      </w:hyperlink>
    </w:p>
    <w:p w14:paraId="69CAE0D5" w14:textId="387EFEE2" w:rsidR="0028485A" w:rsidRDefault="000010F4" w:rsidP="00AF0E3F">
      <w:pPr>
        <w:pStyle w:val="TOC2"/>
        <w:spacing w:after="240"/>
        <w:rPr>
          <w:rFonts w:asciiTheme="minorHAnsi" w:eastAsiaTheme="minorEastAsia" w:hAnsiTheme="minorHAnsi" w:cstheme="minorBidi"/>
          <w:smallCaps w:val="0"/>
          <w:sz w:val="22"/>
          <w:szCs w:val="22"/>
        </w:rPr>
      </w:pPr>
      <w:hyperlink w:anchor="_Toc3478473" w:history="1">
        <w:r w:rsidR="0028485A" w:rsidRPr="00B77071">
          <w:rPr>
            <w:rStyle w:val="Hyperlink"/>
          </w:rPr>
          <w:t>B1. Respondent Universe and Sample Design and Estimation</w:t>
        </w:r>
        <w:r w:rsidR="0028485A">
          <w:rPr>
            <w:webHidden/>
          </w:rPr>
          <w:tab/>
        </w:r>
        <w:r w:rsidR="0028485A">
          <w:rPr>
            <w:webHidden/>
          </w:rPr>
          <w:fldChar w:fldCharType="begin"/>
        </w:r>
        <w:r w:rsidR="0028485A">
          <w:rPr>
            <w:webHidden/>
          </w:rPr>
          <w:instrText xml:space="preserve"> PAGEREF _Toc3478473 \h </w:instrText>
        </w:r>
        <w:r w:rsidR="0028485A">
          <w:rPr>
            <w:webHidden/>
          </w:rPr>
        </w:r>
        <w:r w:rsidR="0028485A">
          <w:rPr>
            <w:webHidden/>
          </w:rPr>
          <w:fldChar w:fldCharType="separate"/>
        </w:r>
        <w:r w:rsidR="00CD2661">
          <w:rPr>
            <w:webHidden/>
          </w:rPr>
          <w:t>1</w:t>
        </w:r>
        <w:r w:rsidR="0028485A">
          <w:rPr>
            <w:webHidden/>
          </w:rPr>
          <w:fldChar w:fldCharType="end"/>
        </w:r>
      </w:hyperlink>
    </w:p>
    <w:p w14:paraId="27203A59" w14:textId="47685E92" w:rsidR="0028485A" w:rsidRDefault="000010F4" w:rsidP="00AF0E3F">
      <w:pPr>
        <w:pStyle w:val="TOC2"/>
        <w:spacing w:after="240"/>
        <w:rPr>
          <w:rFonts w:asciiTheme="minorHAnsi" w:eastAsiaTheme="minorEastAsia" w:hAnsiTheme="minorHAnsi" w:cstheme="minorBidi"/>
          <w:smallCaps w:val="0"/>
          <w:sz w:val="22"/>
          <w:szCs w:val="22"/>
        </w:rPr>
      </w:pPr>
      <w:hyperlink w:anchor="_Toc3478474" w:history="1">
        <w:r w:rsidR="0028485A" w:rsidRPr="00B77071">
          <w:rPr>
            <w:rStyle w:val="Hyperlink"/>
          </w:rPr>
          <w:t>B2. Procedures for the Collection of Information</w:t>
        </w:r>
        <w:r w:rsidR="0028485A">
          <w:rPr>
            <w:webHidden/>
          </w:rPr>
          <w:tab/>
        </w:r>
        <w:r w:rsidR="0028485A">
          <w:rPr>
            <w:webHidden/>
          </w:rPr>
          <w:fldChar w:fldCharType="begin"/>
        </w:r>
        <w:r w:rsidR="0028485A">
          <w:rPr>
            <w:webHidden/>
          </w:rPr>
          <w:instrText xml:space="preserve"> PAGEREF _Toc3478474 \h </w:instrText>
        </w:r>
        <w:r w:rsidR="0028485A">
          <w:rPr>
            <w:webHidden/>
          </w:rPr>
        </w:r>
        <w:r w:rsidR="0028485A">
          <w:rPr>
            <w:webHidden/>
          </w:rPr>
          <w:fldChar w:fldCharType="separate"/>
        </w:r>
        <w:r w:rsidR="00CD2661">
          <w:rPr>
            <w:webHidden/>
          </w:rPr>
          <w:t>6</w:t>
        </w:r>
        <w:r w:rsidR="0028485A">
          <w:rPr>
            <w:webHidden/>
          </w:rPr>
          <w:fldChar w:fldCharType="end"/>
        </w:r>
      </w:hyperlink>
    </w:p>
    <w:p w14:paraId="1A6B428C" w14:textId="4B78CFBE" w:rsidR="0028485A" w:rsidRDefault="000010F4" w:rsidP="00AF0E3F">
      <w:pPr>
        <w:pStyle w:val="TOC2"/>
        <w:spacing w:after="240"/>
        <w:rPr>
          <w:rFonts w:asciiTheme="minorHAnsi" w:eastAsiaTheme="minorEastAsia" w:hAnsiTheme="minorHAnsi" w:cstheme="minorBidi"/>
          <w:smallCaps w:val="0"/>
          <w:sz w:val="22"/>
          <w:szCs w:val="22"/>
        </w:rPr>
      </w:pPr>
      <w:hyperlink w:anchor="_Toc3478475" w:history="1">
        <w:r w:rsidR="0028485A" w:rsidRPr="00B77071">
          <w:rPr>
            <w:rStyle w:val="Hyperlink"/>
          </w:rPr>
          <w:t>B3. Methods to Maximize Response Rates</w:t>
        </w:r>
        <w:r w:rsidR="0028485A">
          <w:rPr>
            <w:webHidden/>
          </w:rPr>
          <w:tab/>
        </w:r>
        <w:r w:rsidR="0028485A">
          <w:rPr>
            <w:webHidden/>
          </w:rPr>
          <w:fldChar w:fldCharType="begin"/>
        </w:r>
        <w:r w:rsidR="0028485A">
          <w:rPr>
            <w:webHidden/>
          </w:rPr>
          <w:instrText xml:space="preserve"> PAGEREF _Toc3478475 \h </w:instrText>
        </w:r>
        <w:r w:rsidR="0028485A">
          <w:rPr>
            <w:webHidden/>
          </w:rPr>
        </w:r>
        <w:r w:rsidR="0028485A">
          <w:rPr>
            <w:webHidden/>
          </w:rPr>
          <w:fldChar w:fldCharType="separate"/>
        </w:r>
        <w:r w:rsidR="00CD2661">
          <w:rPr>
            <w:webHidden/>
          </w:rPr>
          <w:t>11</w:t>
        </w:r>
        <w:r w:rsidR="0028485A">
          <w:rPr>
            <w:webHidden/>
          </w:rPr>
          <w:fldChar w:fldCharType="end"/>
        </w:r>
      </w:hyperlink>
    </w:p>
    <w:p w14:paraId="1FE4C303" w14:textId="5FF4BC0A" w:rsidR="0028485A" w:rsidRDefault="000010F4" w:rsidP="00AF0E3F">
      <w:pPr>
        <w:pStyle w:val="TOC2"/>
        <w:spacing w:after="240"/>
        <w:rPr>
          <w:rFonts w:asciiTheme="minorHAnsi" w:eastAsiaTheme="minorEastAsia" w:hAnsiTheme="minorHAnsi" w:cstheme="minorBidi"/>
          <w:smallCaps w:val="0"/>
          <w:sz w:val="22"/>
          <w:szCs w:val="22"/>
        </w:rPr>
      </w:pPr>
      <w:hyperlink w:anchor="_Toc3478476" w:history="1">
        <w:r w:rsidR="0028485A" w:rsidRPr="00B77071">
          <w:rPr>
            <w:rStyle w:val="Hyperlink"/>
          </w:rPr>
          <w:t>B4. Tests of Procedures</w:t>
        </w:r>
        <w:r w:rsidR="0028485A">
          <w:rPr>
            <w:webHidden/>
          </w:rPr>
          <w:tab/>
        </w:r>
        <w:r w:rsidR="0028485A">
          <w:rPr>
            <w:webHidden/>
          </w:rPr>
          <w:fldChar w:fldCharType="begin"/>
        </w:r>
        <w:r w:rsidR="0028485A">
          <w:rPr>
            <w:webHidden/>
          </w:rPr>
          <w:instrText xml:space="preserve"> PAGEREF _Toc3478476 \h </w:instrText>
        </w:r>
        <w:r w:rsidR="0028485A">
          <w:rPr>
            <w:webHidden/>
          </w:rPr>
        </w:r>
        <w:r w:rsidR="0028485A">
          <w:rPr>
            <w:webHidden/>
          </w:rPr>
          <w:fldChar w:fldCharType="separate"/>
        </w:r>
        <w:r w:rsidR="00CD2661">
          <w:rPr>
            <w:webHidden/>
          </w:rPr>
          <w:t>12</w:t>
        </w:r>
        <w:r w:rsidR="0028485A">
          <w:rPr>
            <w:webHidden/>
          </w:rPr>
          <w:fldChar w:fldCharType="end"/>
        </w:r>
      </w:hyperlink>
    </w:p>
    <w:p w14:paraId="261A0EE0" w14:textId="6F0CC5B3" w:rsidR="0028485A" w:rsidRDefault="000010F4" w:rsidP="00AF0E3F">
      <w:pPr>
        <w:pStyle w:val="TOC2"/>
        <w:spacing w:after="240"/>
        <w:rPr>
          <w:rFonts w:asciiTheme="minorHAnsi" w:eastAsiaTheme="minorEastAsia" w:hAnsiTheme="minorHAnsi" w:cstheme="minorBidi"/>
          <w:smallCaps w:val="0"/>
          <w:sz w:val="22"/>
          <w:szCs w:val="22"/>
        </w:rPr>
      </w:pPr>
      <w:hyperlink w:anchor="_Toc3478477" w:history="1">
        <w:r w:rsidR="0028485A" w:rsidRPr="00B77071">
          <w:rPr>
            <w:rStyle w:val="Hyperlink"/>
          </w:rPr>
          <w:t>B5. Individuals Responsible for Study Design and Performance</w:t>
        </w:r>
        <w:r w:rsidR="0028485A">
          <w:rPr>
            <w:webHidden/>
          </w:rPr>
          <w:tab/>
        </w:r>
        <w:r w:rsidR="0028485A">
          <w:rPr>
            <w:webHidden/>
          </w:rPr>
          <w:fldChar w:fldCharType="begin"/>
        </w:r>
        <w:r w:rsidR="0028485A">
          <w:rPr>
            <w:webHidden/>
          </w:rPr>
          <w:instrText xml:space="preserve"> PAGEREF _Toc3478477 \h </w:instrText>
        </w:r>
        <w:r w:rsidR="0028485A">
          <w:rPr>
            <w:webHidden/>
          </w:rPr>
        </w:r>
        <w:r w:rsidR="0028485A">
          <w:rPr>
            <w:webHidden/>
          </w:rPr>
          <w:fldChar w:fldCharType="separate"/>
        </w:r>
        <w:r w:rsidR="00CD2661">
          <w:rPr>
            <w:webHidden/>
          </w:rPr>
          <w:t>16</w:t>
        </w:r>
        <w:r w:rsidR="0028485A">
          <w:rPr>
            <w:webHidden/>
          </w:rPr>
          <w:fldChar w:fldCharType="end"/>
        </w:r>
      </w:hyperlink>
    </w:p>
    <w:p w14:paraId="2F734617" w14:textId="20A605A3" w:rsidR="007C6F40" w:rsidRPr="00155597" w:rsidRDefault="00282F0A" w:rsidP="00AF0E3F">
      <w:pPr>
        <w:spacing w:after="240"/>
        <w:rPr>
          <w:caps/>
        </w:rPr>
      </w:pPr>
      <w:r w:rsidRPr="00155597">
        <w:rPr>
          <w:caps/>
        </w:rPr>
        <w:fldChar w:fldCharType="end"/>
      </w:r>
    </w:p>
    <w:p w14:paraId="74549D32" w14:textId="77777777" w:rsidR="007C6F40" w:rsidRPr="00155597" w:rsidRDefault="007C6F40">
      <w:pPr>
        <w:rPr>
          <w:caps/>
        </w:rPr>
      </w:pPr>
    </w:p>
    <w:p w14:paraId="5AE76E73" w14:textId="77777777" w:rsidR="00AA7A29" w:rsidRPr="00155597" w:rsidRDefault="00AA7A29"/>
    <w:p w14:paraId="7B851128" w14:textId="77777777" w:rsidR="00AA7A29" w:rsidRPr="00155597" w:rsidRDefault="00AA7A29">
      <w:pPr>
        <w:rPr>
          <w:b/>
          <w:bCs/>
        </w:rPr>
      </w:pPr>
    </w:p>
    <w:p w14:paraId="3AF03480" w14:textId="77777777" w:rsidR="00AA7A29" w:rsidRPr="00155597" w:rsidRDefault="00AA7A29">
      <w:pPr>
        <w:sectPr w:rsidR="00AA7A29" w:rsidRPr="00155597" w:rsidSect="008B7011">
          <w:headerReference w:type="default" r:id="rId12"/>
          <w:footerReference w:type="even" r:id="rId13"/>
          <w:footerReference w:type="default" r:id="rId14"/>
          <w:headerReference w:type="first" r:id="rId15"/>
          <w:footerReference w:type="first" r:id="rId16"/>
          <w:pgSz w:w="12240" w:h="15840" w:code="1"/>
          <w:pgMar w:top="864" w:right="864" w:bottom="720" w:left="864" w:header="432" w:footer="288" w:gutter="0"/>
          <w:pgNumType w:fmt="lowerRoman"/>
          <w:cols w:space="720"/>
          <w:titlePg/>
        </w:sectPr>
      </w:pPr>
      <w:bookmarkStart w:id="1" w:name="_Toc45701355"/>
    </w:p>
    <w:p w14:paraId="2C1AEDD7" w14:textId="77777777" w:rsidR="00AA7A29" w:rsidRPr="00155597" w:rsidRDefault="00AA7A29" w:rsidP="00E103F7">
      <w:pPr>
        <w:pStyle w:val="AbtHeadA"/>
        <w:spacing w:after="120" w:line="240" w:lineRule="auto"/>
        <w:outlineLvl w:val="1"/>
        <w:rPr>
          <w:rFonts w:ascii="Times New Roman" w:hAnsi="Times New Roman"/>
          <w:sz w:val="24"/>
          <w:szCs w:val="24"/>
        </w:rPr>
      </w:pPr>
      <w:bookmarkStart w:id="2" w:name="_Toc45676253"/>
      <w:bookmarkStart w:id="3" w:name="_Toc45701380"/>
      <w:bookmarkStart w:id="4" w:name="_Toc411895529"/>
      <w:bookmarkStart w:id="5" w:name="_Toc3478472"/>
      <w:bookmarkEnd w:id="1"/>
      <w:r w:rsidRPr="00155597">
        <w:rPr>
          <w:rFonts w:ascii="Times New Roman" w:hAnsi="Times New Roman"/>
          <w:sz w:val="24"/>
          <w:szCs w:val="24"/>
        </w:rPr>
        <w:t>Section B</w:t>
      </w:r>
      <w:r w:rsidR="002E789F" w:rsidRPr="00155597">
        <w:rPr>
          <w:rFonts w:ascii="Times New Roman" w:hAnsi="Times New Roman"/>
          <w:sz w:val="24"/>
          <w:szCs w:val="24"/>
        </w:rPr>
        <w:t xml:space="preserve">. </w:t>
      </w:r>
      <w:r w:rsidRPr="00155597">
        <w:rPr>
          <w:rFonts w:ascii="Times New Roman" w:hAnsi="Times New Roman"/>
          <w:sz w:val="24"/>
          <w:szCs w:val="24"/>
        </w:rPr>
        <w:t>Method</w:t>
      </w:r>
      <w:bookmarkEnd w:id="2"/>
      <w:bookmarkEnd w:id="3"/>
      <w:r w:rsidRPr="00155597">
        <w:rPr>
          <w:rFonts w:ascii="Times New Roman" w:hAnsi="Times New Roman"/>
          <w:sz w:val="24"/>
          <w:szCs w:val="24"/>
        </w:rPr>
        <w:t>ology</w:t>
      </w:r>
      <w:bookmarkEnd w:id="4"/>
      <w:bookmarkEnd w:id="5"/>
    </w:p>
    <w:p w14:paraId="3CAB0FEC" w14:textId="77777777" w:rsidR="00A4532F" w:rsidRDefault="007C6F40" w:rsidP="00E103F7">
      <w:pPr>
        <w:pStyle w:val="SL-FlLftSgl"/>
        <w:spacing w:after="120" w:line="240" w:lineRule="auto"/>
        <w:jc w:val="left"/>
        <w:rPr>
          <w:sz w:val="24"/>
          <w:szCs w:val="24"/>
        </w:rPr>
      </w:pPr>
      <w:r w:rsidRPr="00155597">
        <w:rPr>
          <w:sz w:val="24"/>
          <w:szCs w:val="24"/>
        </w:rPr>
        <w:t>T</w:t>
      </w:r>
      <w:r w:rsidR="00AA7A29" w:rsidRPr="00155597">
        <w:rPr>
          <w:sz w:val="24"/>
          <w:szCs w:val="24"/>
        </w:rPr>
        <w:t>he</w:t>
      </w:r>
      <w:r w:rsidR="00D80730" w:rsidRPr="00155597">
        <w:rPr>
          <w:sz w:val="24"/>
          <w:szCs w:val="24"/>
        </w:rPr>
        <w:t xml:space="preserve"> 2018</w:t>
      </w:r>
      <w:r w:rsidR="00AA7A29" w:rsidRPr="00155597">
        <w:rPr>
          <w:sz w:val="24"/>
          <w:szCs w:val="24"/>
        </w:rPr>
        <w:t xml:space="preserve"> </w:t>
      </w:r>
      <w:r w:rsidRPr="00155597">
        <w:rPr>
          <w:sz w:val="24"/>
          <w:szCs w:val="24"/>
        </w:rPr>
        <w:t xml:space="preserve">School Survey on Crime and Safety (SSOCS) </w:t>
      </w:r>
      <w:r w:rsidR="00AA7A29" w:rsidRPr="00155597">
        <w:rPr>
          <w:sz w:val="24"/>
          <w:szCs w:val="24"/>
        </w:rPr>
        <w:t>questionnaire</w:t>
      </w:r>
      <w:r w:rsidR="00D80730" w:rsidRPr="00155597">
        <w:rPr>
          <w:sz w:val="24"/>
          <w:szCs w:val="24"/>
        </w:rPr>
        <w:t xml:space="preserve"> has </w:t>
      </w:r>
      <w:r w:rsidR="00644B2C" w:rsidRPr="00155597">
        <w:rPr>
          <w:sz w:val="24"/>
          <w:szCs w:val="24"/>
        </w:rPr>
        <w:t xml:space="preserve">only </w:t>
      </w:r>
      <w:r w:rsidR="00D80730" w:rsidRPr="00155597">
        <w:rPr>
          <w:sz w:val="24"/>
          <w:szCs w:val="24"/>
        </w:rPr>
        <w:t xml:space="preserve">minor </w:t>
      </w:r>
      <w:r w:rsidR="00FE4EE2" w:rsidRPr="00155597">
        <w:rPr>
          <w:sz w:val="24"/>
          <w:szCs w:val="24"/>
        </w:rPr>
        <w:t xml:space="preserve">content </w:t>
      </w:r>
      <w:r w:rsidR="00D80730" w:rsidRPr="00155597">
        <w:rPr>
          <w:sz w:val="24"/>
          <w:szCs w:val="24"/>
        </w:rPr>
        <w:t xml:space="preserve">changes </w:t>
      </w:r>
      <w:r w:rsidR="00E160CE" w:rsidRPr="00155597">
        <w:rPr>
          <w:sz w:val="24"/>
          <w:szCs w:val="24"/>
        </w:rPr>
        <w:t xml:space="preserve">that distinguish it </w:t>
      </w:r>
      <w:r w:rsidR="00D80730" w:rsidRPr="00155597">
        <w:rPr>
          <w:sz w:val="24"/>
          <w:szCs w:val="24"/>
        </w:rPr>
        <w:t>from the 2016 questionnaire.</w:t>
      </w:r>
      <w:r w:rsidR="00AA7A29" w:rsidRPr="00155597">
        <w:rPr>
          <w:sz w:val="24"/>
          <w:szCs w:val="24"/>
        </w:rPr>
        <w:t xml:space="preserve"> </w:t>
      </w:r>
      <w:r w:rsidR="00D80730" w:rsidRPr="00155597">
        <w:rPr>
          <w:sz w:val="24"/>
          <w:szCs w:val="24"/>
        </w:rPr>
        <w:t>However, the 2018 collection involves methodological changes</w:t>
      </w:r>
      <w:r w:rsidR="00644B2C" w:rsidRPr="00155597">
        <w:rPr>
          <w:sz w:val="24"/>
          <w:szCs w:val="24"/>
        </w:rPr>
        <w:t>—</w:t>
      </w:r>
      <w:r w:rsidR="00E160CE" w:rsidRPr="00155597">
        <w:rPr>
          <w:sz w:val="24"/>
          <w:szCs w:val="24"/>
        </w:rPr>
        <w:t>including a test</w:t>
      </w:r>
      <w:r w:rsidR="00D80730" w:rsidRPr="00155597">
        <w:rPr>
          <w:sz w:val="24"/>
          <w:szCs w:val="24"/>
        </w:rPr>
        <w:t xml:space="preserve"> of a web version of the survey</w:t>
      </w:r>
      <w:r w:rsidR="00857348" w:rsidRPr="00155597">
        <w:rPr>
          <w:sz w:val="24"/>
          <w:szCs w:val="24"/>
        </w:rPr>
        <w:t xml:space="preserve"> </w:t>
      </w:r>
      <w:r w:rsidR="0055177C" w:rsidRPr="00155597">
        <w:rPr>
          <w:sz w:val="24"/>
          <w:szCs w:val="24"/>
        </w:rPr>
        <w:t>for</w:t>
      </w:r>
      <w:r w:rsidR="00644B2C" w:rsidRPr="00155597">
        <w:rPr>
          <w:sz w:val="24"/>
          <w:szCs w:val="24"/>
        </w:rPr>
        <w:t xml:space="preserve"> </w:t>
      </w:r>
      <w:r w:rsidR="00857348" w:rsidRPr="00155597">
        <w:rPr>
          <w:sz w:val="24"/>
          <w:szCs w:val="24"/>
        </w:rPr>
        <w:t>a subsample of schools</w:t>
      </w:r>
      <w:r w:rsidR="00644B2C" w:rsidRPr="00155597">
        <w:rPr>
          <w:sz w:val="24"/>
          <w:szCs w:val="24"/>
        </w:rPr>
        <w:t xml:space="preserve"> and </w:t>
      </w:r>
      <w:r w:rsidR="002A25B5" w:rsidRPr="00155597">
        <w:rPr>
          <w:sz w:val="24"/>
          <w:szCs w:val="24"/>
        </w:rPr>
        <w:t xml:space="preserve">an incentive </w:t>
      </w:r>
      <w:r w:rsidR="00FE4EE2" w:rsidRPr="00155597">
        <w:rPr>
          <w:sz w:val="24"/>
          <w:szCs w:val="24"/>
        </w:rPr>
        <w:t xml:space="preserve">experiment </w:t>
      </w:r>
      <w:r w:rsidR="002A25B5" w:rsidRPr="00155597">
        <w:rPr>
          <w:sz w:val="24"/>
          <w:szCs w:val="24"/>
        </w:rPr>
        <w:t>for half of the sample</w:t>
      </w:r>
      <w:r w:rsidR="00D80730" w:rsidRPr="00155597">
        <w:rPr>
          <w:sz w:val="24"/>
          <w:szCs w:val="24"/>
        </w:rPr>
        <w:t>. If th</w:t>
      </w:r>
      <w:r w:rsidR="002A25B5" w:rsidRPr="00155597">
        <w:rPr>
          <w:sz w:val="24"/>
          <w:szCs w:val="24"/>
        </w:rPr>
        <w:t>e</w:t>
      </w:r>
      <w:r w:rsidR="00D80730" w:rsidRPr="00155597">
        <w:rPr>
          <w:sz w:val="24"/>
          <w:szCs w:val="24"/>
        </w:rPr>
        <w:t>s</w:t>
      </w:r>
      <w:r w:rsidR="002A25B5" w:rsidRPr="00155597">
        <w:rPr>
          <w:sz w:val="24"/>
          <w:szCs w:val="24"/>
        </w:rPr>
        <w:t>e</w:t>
      </w:r>
      <w:r w:rsidR="00D80730" w:rsidRPr="00155597">
        <w:rPr>
          <w:sz w:val="24"/>
          <w:szCs w:val="24"/>
        </w:rPr>
        <w:t xml:space="preserve"> </w:t>
      </w:r>
      <w:r w:rsidR="00E160CE" w:rsidRPr="00155597">
        <w:rPr>
          <w:sz w:val="24"/>
          <w:szCs w:val="24"/>
        </w:rPr>
        <w:t xml:space="preserve">tests </w:t>
      </w:r>
      <w:r w:rsidR="00D80730" w:rsidRPr="00155597">
        <w:rPr>
          <w:sz w:val="24"/>
          <w:szCs w:val="24"/>
        </w:rPr>
        <w:t xml:space="preserve">yield positive results in response rates, </w:t>
      </w:r>
      <w:r w:rsidR="00FE4EE2" w:rsidRPr="00155597">
        <w:rPr>
          <w:sz w:val="24"/>
          <w:szCs w:val="24"/>
        </w:rPr>
        <w:t>NCES will look into</w:t>
      </w:r>
      <w:r w:rsidR="00644B2C" w:rsidRPr="00155597">
        <w:rPr>
          <w:sz w:val="24"/>
          <w:szCs w:val="24"/>
        </w:rPr>
        <w:t xml:space="preserve"> us</w:t>
      </w:r>
      <w:r w:rsidR="00FE4EE2" w:rsidRPr="00155597">
        <w:rPr>
          <w:sz w:val="24"/>
          <w:szCs w:val="24"/>
        </w:rPr>
        <w:t>ing</w:t>
      </w:r>
      <w:r w:rsidR="00644B2C" w:rsidRPr="00155597">
        <w:rPr>
          <w:sz w:val="24"/>
          <w:szCs w:val="24"/>
        </w:rPr>
        <w:t xml:space="preserve"> the web-based instrument, as well as an incentive, for all respondents in the 2020 collection</w:t>
      </w:r>
      <w:r w:rsidR="00D80730" w:rsidRPr="00155597">
        <w:rPr>
          <w:sz w:val="24"/>
          <w:szCs w:val="24"/>
        </w:rPr>
        <w:t>.</w:t>
      </w:r>
    </w:p>
    <w:p w14:paraId="3AF07378" w14:textId="07A76A70" w:rsidR="00DA49BB" w:rsidRPr="00155597" w:rsidRDefault="00DA49BB" w:rsidP="00DA49BB">
      <w:pPr>
        <w:pStyle w:val="SL-FlLftSgl"/>
        <w:spacing w:after="120" w:line="240" w:lineRule="auto"/>
        <w:jc w:val="left"/>
        <w:rPr>
          <w:sz w:val="24"/>
          <w:szCs w:val="24"/>
        </w:rPr>
      </w:pPr>
      <w:bookmarkStart w:id="6" w:name="_Hlk3449664"/>
      <w:bookmarkStart w:id="7" w:name="_Toc411895530"/>
      <w:r w:rsidRPr="00155597">
        <w:rPr>
          <w:sz w:val="24"/>
          <w:szCs w:val="24"/>
        </w:rPr>
        <w:t xml:space="preserve">The SSOCS:2020 </w:t>
      </w:r>
      <w:r w:rsidR="00891701" w:rsidRPr="00155597">
        <w:rPr>
          <w:sz w:val="24"/>
          <w:szCs w:val="24"/>
        </w:rPr>
        <w:t xml:space="preserve">questionnaire </w:t>
      </w:r>
      <w:r w:rsidRPr="00155597">
        <w:rPr>
          <w:sz w:val="24"/>
          <w:szCs w:val="24"/>
        </w:rPr>
        <w:t xml:space="preserve">has no new content compared to the 2018 and 2016 questionnaires. </w:t>
      </w:r>
      <w:r w:rsidR="000F4035" w:rsidRPr="00155597">
        <w:rPr>
          <w:sz w:val="24"/>
          <w:szCs w:val="24"/>
        </w:rPr>
        <w:t>However, s</w:t>
      </w:r>
      <w:r w:rsidRPr="00155597">
        <w:rPr>
          <w:sz w:val="24"/>
          <w:szCs w:val="24"/>
        </w:rPr>
        <w:t xml:space="preserve">ome items and subitems were removed from the questionnaire </w:t>
      </w:r>
      <w:r w:rsidR="00EC26EE" w:rsidRPr="00155597">
        <w:rPr>
          <w:sz w:val="24"/>
          <w:szCs w:val="24"/>
        </w:rPr>
        <w:t xml:space="preserve">in order </w:t>
      </w:r>
      <w:r w:rsidRPr="00155597">
        <w:rPr>
          <w:sz w:val="24"/>
          <w:szCs w:val="24"/>
        </w:rPr>
        <w:t>to reduce respondent burden</w:t>
      </w:r>
      <w:r w:rsidR="00EC26EE" w:rsidRPr="00155597">
        <w:rPr>
          <w:sz w:val="24"/>
          <w:szCs w:val="24"/>
        </w:rPr>
        <w:t>, and other</w:t>
      </w:r>
      <w:r w:rsidRPr="00155597">
        <w:rPr>
          <w:sz w:val="24"/>
          <w:szCs w:val="24"/>
        </w:rPr>
        <w:t xml:space="preserve"> formatting revisions were made to improve the </w:t>
      </w:r>
      <w:r w:rsidR="00EC26EE" w:rsidRPr="00155597">
        <w:rPr>
          <w:sz w:val="24"/>
          <w:szCs w:val="24"/>
        </w:rPr>
        <w:t xml:space="preserve">questionnaire’s </w:t>
      </w:r>
      <w:r w:rsidRPr="00155597">
        <w:rPr>
          <w:sz w:val="24"/>
          <w:szCs w:val="24"/>
        </w:rPr>
        <w:t>visual design (e.g., using alternative shading in subitem rows</w:t>
      </w:r>
      <w:r w:rsidR="00891701" w:rsidRPr="00155597">
        <w:rPr>
          <w:sz w:val="24"/>
          <w:szCs w:val="24"/>
        </w:rPr>
        <w:t xml:space="preserve"> and</w:t>
      </w:r>
      <w:r w:rsidRPr="00155597">
        <w:rPr>
          <w:sz w:val="24"/>
          <w:szCs w:val="24"/>
        </w:rPr>
        <w:t xml:space="preserve"> removing grid</w:t>
      </w:r>
      <w:r w:rsidR="00891701" w:rsidRPr="00155597">
        <w:rPr>
          <w:sz w:val="24"/>
          <w:szCs w:val="24"/>
        </w:rPr>
        <w:t xml:space="preserve"> </w:t>
      </w:r>
      <w:r w:rsidRPr="00155597">
        <w:rPr>
          <w:sz w:val="24"/>
          <w:szCs w:val="24"/>
        </w:rPr>
        <w:t xml:space="preserve">lines). </w:t>
      </w:r>
      <w:r w:rsidR="00696649">
        <w:rPr>
          <w:sz w:val="24"/>
          <w:szCs w:val="24"/>
        </w:rPr>
        <w:t>SSOCS:</w:t>
      </w:r>
      <w:r w:rsidRPr="00155597">
        <w:rPr>
          <w:sz w:val="24"/>
          <w:szCs w:val="24"/>
        </w:rPr>
        <w:t xml:space="preserve">2020 also includes methodological changes </w:t>
      </w:r>
      <w:r w:rsidR="00EC26EE" w:rsidRPr="00155597">
        <w:rPr>
          <w:sz w:val="24"/>
          <w:szCs w:val="24"/>
        </w:rPr>
        <w:t xml:space="preserve">that distinguish it </w:t>
      </w:r>
      <w:r w:rsidRPr="00155597">
        <w:rPr>
          <w:sz w:val="24"/>
          <w:szCs w:val="24"/>
        </w:rPr>
        <w:t xml:space="preserve">from </w:t>
      </w:r>
      <w:r w:rsidR="00696649">
        <w:rPr>
          <w:sz w:val="24"/>
          <w:szCs w:val="24"/>
        </w:rPr>
        <w:t>SSOCS:</w:t>
      </w:r>
      <w:r w:rsidRPr="00155597">
        <w:rPr>
          <w:sz w:val="24"/>
          <w:szCs w:val="24"/>
        </w:rPr>
        <w:t xml:space="preserve">2018. </w:t>
      </w:r>
      <w:r w:rsidR="00EC26EE" w:rsidRPr="00155597">
        <w:rPr>
          <w:sz w:val="24"/>
          <w:szCs w:val="24"/>
        </w:rPr>
        <w:t>First, given</w:t>
      </w:r>
      <w:r w:rsidRPr="00155597">
        <w:rPr>
          <w:sz w:val="24"/>
          <w:szCs w:val="24"/>
        </w:rPr>
        <w:t xml:space="preserve"> the favorable results of the </w:t>
      </w:r>
      <w:r w:rsidR="000F4035" w:rsidRPr="00155597">
        <w:rPr>
          <w:sz w:val="24"/>
          <w:szCs w:val="24"/>
        </w:rPr>
        <w:t xml:space="preserve">web </w:t>
      </w:r>
      <w:r w:rsidRPr="00155597">
        <w:rPr>
          <w:sz w:val="24"/>
          <w:szCs w:val="24"/>
        </w:rPr>
        <w:t xml:space="preserve">test included in the 2018 collection in terms of response rates, SSOCS:2020 will be collected primarily by </w:t>
      </w:r>
      <w:r w:rsidR="00891701" w:rsidRPr="00155597">
        <w:rPr>
          <w:sz w:val="24"/>
          <w:szCs w:val="24"/>
        </w:rPr>
        <w:t>I</w:t>
      </w:r>
      <w:r w:rsidRPr="00155597">
        <w:rPr>
          <w:sz w:val="24"/>
          <w:szCs w:val="24"/>
        </w:rPr>
        <w:t xml:space="preserve">nternet, with paper questionnaires offered in follow-up mailings rather than at the onset of collection. </w:t>
      </w:r>
      <w:r w:rsidR="00EC26EE" w:rsidRPr="00155597">
        <w:rPr>
          <w:sz w:val="24"/>
          <w:szCs w:val="24"/>
        </w:rPr>
        <w:t>Second</w:t>
      </w:r>
      <w:r w:rsidRPr="00155597">
        <w:rPr>
          <w:sz w:val="24"/>
          <w:szCs w:val="24"/>
        </w:rPr>
        <w:t xml:space="preserve">, the testing of monetary incentives </w:t>
      </w:r>
      <w:r w:rsidR="00EC26EE" w:rsidRPr="00155597">
        <w:rPr>
          <w:sz w:val="24"/>
          <w:szCs w:val="24"/>
        </w:rPr>
        <w:t xml:space="preserve">will be expanded </w:t>
      </w:r>
      <w:r w:rsidRPr="00155597">
        <w:rPr>
          <w:sz w:val="24"/>
          <w:szCs w:val="24"/>
        </w:rPr>
        <w:t>in the 2020 collection.</w:t>
      </w:r>
    </w:p>
    <w:bookmarkEnd w:id="6"/>
    <w:p w14:paraId="358A8BBA" w14:textId="77777777" w:rsidR="00DA49BB" w:rsidRPr="00155597" w:rsidRDefault="00DA49BB" w:rsidP="00DA49BB">
      <w:pPr>
        <w:pStyle w:val="SL-FlLftSgl"/>
        <w:spacing w:after="120" w:line="240" w:lineRule="auto"/>
        <w:jc w:val="left"/>
        <w:rPr>
          <w:sz w:val="24"/>
          <w:szCs w:val="24"/>
        </w:rPr>
      </w:pPr>
      <w:r w:rsidRPr="00155597">
        <w:rPr>
          <w:sz w:val="24"/>
          <w:szCs w:val="24"/>
        </w:rPr>
        <w:t>The information presented in this document covers both SSOCS:2018 and SSOCS:2020, with differences between the two collections noted explicitly.</w:t>
      </w:r>
    </w:p>
    <w:p w14:paraId="03BF836A" w14:textId="77777777" w:rsidR="0064551D" w:rsidRPr="00155597" w:rsidRDefault="0064551D" w:rsidP="00E103F7">
      <w:pPr>
        <w:pStyle w:val="Heading2"/>
        <w:keepLines/>
        <w:spacing w:after="120"/>
        <w:jc w:val="left"/>
      </w:pPr>
      <w:bookmarkStart w:id="8" w:name="_Toc3478473"/>
      <w:r w:rsidRPr="00155597">
        <w:t>B1. Respondent Universe and Sample Design and Estimation</w:t>
      </w:r>
      <w:bookmarkEnd w:id="8"/>
    </w:p>
    <w:p w14:paraId="507A0BDD" w14:textId="0A7F864C" w:rsidR="00DA49BB" w:rsidRPr="00155597" w:rsidRDefault="00DA49BB" w:rsidP="00DA49BB">
      <w:pPr>
        <w:spacing w:after="120"/>
      </w:pPr>
      <w:bookmarkStart w:id="9" w:name="_Hlk3455724"/>
      <w:r w:rsidRPr="00155597">
        <w:t xml:space="preserve">The sampling frame for SSOCS is constructed from the public school sampling frame for the National Teacher and Principal Survey (NTPS) for the same collection year, but it excludes schools that are considered out-of-scope for SSOCS. </w:t>
      </w:r>
      <w:r w:rsidR="00485B3F">
        <w:t>T</w:t>
      </w:r>
      <w:r w:rsidRPr="00155597">
        <w:t>he NTPS sampling frame</w:t>
      </w:r>
      <w:r w:rsidR="00DD1336" w:rsidRPr="00155597">
        <w:t xml:space="preserve"> is constructed</w:t>
      </w:r>
      <w:r w:rsidRPr="00155597">
        <w:t xml:space="preserve"> from the Common Core of Data (CCD) public school universe file</w:t>
      </w:r>
      <w:r w:rsidR="00DD1336" w:rsidRPr="00155597">
        <w:t>, but it excludes</w:t>
      </w:r>
      <w:r w:rsidRPr="00155597">
        <w:t xml:space="preserve"> schools in the U.S. outlying areas</w:t>
      </w:r>
      <w:r w:rsidRPr="00155597">
        <w:rPr>
          <w:rStyle w:val="FootnoteReference"/>
        </w:rPr>
        <w:footnoteReference w:id="2"/>
      </w:r>
      <w:r w:rsidRPr="00155597">
        <w:t xml:space="preserve"> and Puerto Rico, overseas Department of Defense schools, newly closed schools, home schools, and schools with </w:t>
      </w:r>
      <w:r w:rsidR="006C4B4A">
        <w:t>the</w:t>
      </w:r>
      <w:r w:rsidRPr="00155597">
        <w:t xml:space="preserve"> highest grade of kindergarten or lower. Regular public schools, charter schools, and schools that have partial or total magnet programs with students in any of grades prekindergarten through 12 are included in the </w:t>
      </w:r>
      <w:r w:rsidR="00DD1336" w:rsidRPr="00155597">
        <w:t xml:space="preserve">NTPS sampling </w:t>
      </w:r>
      <w:r w:rsidRPr="00155597">
        <w:t xml:space="preserve">frame. The SSOCS sampling frame starts with the NTPS frame, </w:t>
      </w:r>
      <w:r w:rsidR="00DD1336" w:rsidRPr="00155597">
        <w:t>but</w:t>
      </w:r>
      <w:r w:rsidRPr="00155597">
        <w:t xml:space="preserve"> excludes</w:t>
      </w:r>
      <w:r w:rsidR="00485B3F">
        <w:t xml:space="preserve"> additional schools—</w:t>
      </w:r>
      <w:r w:rsidRPr="00155597">
        <w:t xml:space="preserve"> schools run by the Bureau of Indian Education </w:t>
      </w:r>
      <w:r w:rsidR="00291AF7" w:rsidRPr="00155597">
        <w:t>and</w:t>
      </w:r>
      <w:r w:rsidRPr="00155597">
        <w:t xml:space="preserve"> Department of Defense, schools specializing in special education or alternative education, vocational schools, virtual schools, and ungraded schools.</w:t>
      </w:r>
    </w:p>
    <w:bookmarkEnd w:id="9"/>
    <w:p w14:paraId="652135C0" w14:textId="488C6D08" w:rsidR="0064551D" w:rsidRPr="00155597" w:rsidRDefault="00DA49BB" w:rsidP="00E103F7">
      <w:pPr>
        <w:spacing w:after="120"/>
      </w:pPr>
      <w:r w:rsidRPr="00155597">
        <w:t xml:space="preserve">The sampling frame for SSOCS:2018 is constructed from the sampling frame for the 2017-18 NTPS. </w:t>
      </w:r>
      <w:r w:rsidR="0039138E" w:rsidRPr="00155597">
        <w:t xml:space="preserve">The </w:t>
      </w:r>
      <w:r w:rsidR="0042048B" w:rsidRPr="00155597">
        <w:t xml:space="preserve">2017-18 </w:t>
      </w:r>
      <w:r w:rsidR="0064551D" w:rsidRPr="00155597">
        <w:t xml:space="preserve">NTPS public school sampling frame </w:t>
      </w:r>
      <w:r w:rsidR="00D60D34" w:rsidRPr="00155597">
        <w:t xml:space="preserve">was </w:t>
      </w:r>
      <w:r w:rsidR="0064551D" w:rsidRPr="00155597">
        <w:t>constructed from the Public Elementary/</w:t>
      </w:r>
      <w:r w:rsidR="009474A7" w:rsidRPr="00155597">
        <w:br/>
      </w:r>
      <w:r w:rsidR="0064551D" w:rsidRPr="00155597">
        <w:t xml:space="preserve">Secondary School Universe </w:t>
      </w:r>
      <w:r w:rsidR="009D0310" w:rsidRPr="00155597">
        <w:t xml:space="preserve">data </w:t>
      </w:r>
      <w:r w:rsidR="0064551D" w:rsidRPr="00155597">
        <w:t>file of the 2014</w:t>
      </w:r>
      <w:r w:rsidR="00BA0D39" w:rsidRPr="00155597">
        <w:t>–</w:t>
      </w:r>
      <w:r w:rsidR="0064551D" w:rsidRPr="00155597">
        <w:t>15</w:t>
      </w:r>
      <w:r w:rsidR="0064551D" w:rsidRPr="00155597">
        <w:rPr>
          <w:b/>
          <w:bCs/>
        </w:rPr>
        <w:t xml:space="preserve"> </w:t>
      </w:r>
      <w:r w:rsidR="0064551D" w:rsidRPr="00155597">
        <w:t>Common Core of Data (CCD), which is an NCES annual collection of fiscal and nonfiscal data for all public schools, public school districts, and state education agencies in the United States.</w:t>
      </w:r>
    </w:p>
    <w:p w14:paraId="0B3570A4" w14:textId="76BCA7AE" w:rsidR="004030F4" w:rsidRPr="00155597" w:rsidRDefault="0064551D" w:rsidP="00E103F7">
      <w:pPr>
        <w:spacing w:after="120"/>
      </w:pPr>
      <w:r w:rsidRPr="00155597">
        <w:t>The size of the SSOCS</w:t>
      </w:r>
      <w:r w:rsidR="004C4A93" w:rsidRPr="00155597">
        <w:t xml:space="preserve">:2018 </w:t>
      </w:r>
      <w:r w:rsidRPr="00155597">
        <w:t>population is estimated to be about 84,000 schools. Tables 1 and 2 show the expected distribution of the public school sampling universe for SSOCS</w:t>
      </w:r>
      <w:r w:rsidR="007E4669" w:rsidRPr="00155597">
        <w:t>:2018</w:t>
      </w:r>
      <w:r w:rsidRPr="00155597">
        <w:t>, based on the 201</w:t>
      </w:r>
      <w:r w:rsidR="000A2622" w:rsidRPr="00155597">
        <w:t>4</w:t>
      </w:r>
      <w:r w:rsidR="004A0162" w:rsidRPr="00155597">
        <w:t>–</w:t>
      </w:r>
      <w:r w:rsidRPr="00155597">
        <w:t>1</w:t>
      </w:r>
      <w:r w:rsidR="000A2622" w:rsidRPr="00155597">
        <w:t>5</w:t>
      </w:r>
      <w:r w:rsidRPr="00155597">
        <w:t xml:space="preserve"> CCD.</w:t>
      </w:r>
    </w:p>
    <w:p w14:paraId="7004FEEC" w14:textId="24BD3F63" w:rsidR="0064551D" w:rsidRPr="00155597" w:rsidRDefault="0064551D" w:rsidP="00E40422">
      <w:pPr>
        <w:pStyle w:val="Heading7"/>
        <w:spacing w:before="0" w:after="0"/>
        <w:ind w:left="907" w:hanging="907"/>
        <w:rPr>
          <w:rFonts w:ascii="Times New Roman" w:hAnsi="Times New Roman"/>
          <w:b/>
          <w:bCs/>
        </w:rPr>
      </w:pPr>
      <w:r w:rsidRPr="00155597">
        <w:rPr>
          <w:rFonts w:ascii="Times New Roman" w:hAnsi="Times New Roman"/>
          <w:b/>
          <w:bCs/>
        </w:rPr>
        <w:t xml:space="preserve">Table 1. Expected respondent universe for the </w:t>
      </w:r>
      <w:r w:rsidR="007E4669" w:rsidRPr="00155597">
        <w:rPr>
          <w:rFonts w:ascii="Times New Roman" w:hAnsi="Times New Roman"/>
          <w:b/>
        </w:rPr>
        <w:t>SSOCS:2018</w:t>
      </w:r>
      <w:r w:rsidRPr="00155597">
        <w:rPr>
          <w:rFonts w:ascii="Times New Roman" w:hAnsi="Times New Roman"/>
          <w:b/>
          <w:bCs/>
        </w:rPr>
        <w:t xml:space="preserve"> public school sample, by school level and urbanicity, based on the 201</w:t>
      </w:r>
      <w:r w:rsidR="000A2622" w:rsidRPr="00155597">
        <w:rPr>
          <w:rFonts w:ascii="Times New Roman" w:hAnsi="Times New Roman"/>
          <w:b/>
          <w:bCs/>
        </w:rPr>
        <w:t>4</w:t>
      </w:r>
      <w:r w:rsidR="004A0162" w:rsidRPr="00155597">
        <w:rPr>
          <w:rFonts w:ascii="Times New Roman" w:hAnsi="Times New Roman"/>
          <w:b/>
          <w:bCs/>
        </w:rPr>
        <w:t>–</w:t>
      </w:r>
      <w:r w:rsidRPr="00155597">
        <w:rPr>
          <w:rFonts w:ascii="Times New Roman" w:hAnsi="Times New Roman"/>
          <w:b/>
          <w:bCs/>
        </w:rPr>
        <w:t>1</w:t>
      </w:r>
      <w:r w:rsidR="000A2622" w:rsidRPr="00155597">
        <w:rPr>
          <w:rFonts w:ascii="Times New Roman" w:hAnsi="Times New Roman"/>
          <w:b/>
          <w:bCs/>
        </w:rPr>
        <w:t>5</w:t>
      </w:r>
      <w:r w:rsidRPr="00155597">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9"/>
        <w:gridCol w:w="1708"/>
        <w:gridCol w:w="1708"/>
        <w:gridCol w:w="1701"/>
        <w:gridCol w:w="1708"/>
      </w:tblGrid>
      <w:tr w:rsidR="0064551D" w:rsidRPr="00155597" w14:paraId="585E722E" w14:textId="77777777" w:rsidTr="0064551D">
        <w:tc>
          <w:tcPr>
            <w:tcW w:w="1022" w:type="pct"/>
          </w:tcPr>
          <w:p w14:paraId="0AB4AA16" w14:textId="77777777" w:rsidR="0064551D" w:rsidRPr="00155597" w:rsidRDefault="0064551D" w:rsidP="0064551D">
            <w:r w:rsidRPr="00155597">
              <w:t>Urbanicity</w:t>
            </w:r>
          </w:p>
        </w:tc>
        <w:tc>
          <w:tcPr>
            <w:tcW w:w="796" w:type="pct"/>
          </w:tcPr>
          <w:p w14:paraId="4FEDC3B7" w14:textId="77777777" w:rsidR="0064551D" w:rsidRPr="00155597" w:rsidRDefault="0064551D" w:rsidP="0064551D">
            <w:r w:rsidRPr="00155597">
              <w:t>Primary</w:t>
            </w:r>
          </w:p>
        </w:tc>
        <w:tc>
          <w:tcPr>
            <w:tcW w:w="796" w:type="pct"/>
          </w:tcPr>
          <w:p w14:paraId="6F7A2662" w14:textId="77777777" w:rsidR="0064551D" w:rsidRPr="00155597" w:rsidRDefault="0064551D" w:rsidP="0064551D">
            <w:r w:rsidRPr="00155597">
              <w:t>Middle</w:t>
            </w:r>
          </w:p>
        </w:tc>
        <w:tc>
          <w:tcPr>
            <w:tcW w:w="796" w:type="pct"/>
          </w:tcPr>
          <w:p w14:paraId="3C1F74D0" w14:textId="77777777" w:rsidR="0064551D" w:rsidRPr="00155597" w:rsidRDefault="0064551D" w:rsidP="0064551D">
            <w:r w:rsidRPr="00155597">
              <w:t>High</w:t>
            </w:r>
          </w:p>
        </w:tc>
        <w:tc>
          <w:tcPr>
            <w:tcW w:w="793" w:type="pct"/>
            <w:shd w:val="clear" w:color="auto" w:fill="auto"/>
          </w:tcPr>
          <w:p w14:paraId="1DD1291B" w14:textId="77777777" w:rsidR="0064551D" w:rsidRPr="00155597" w:rsidRDefault="0064551D" w:rsidP="0064551D">
            <w:r w:rsidRPr="00155597">
              <w:t>Combined</w:t>
            </w:r>
          </w:p>
        </w:tc>
        <w:tc>
          <w:tcPr>
            <w:tcW w:w="796" w:type="pct"/>
            <w:shd w:val="pct5" w:color="auto" w:fill="FFFFFF"/>
          </w:tcPr>
          <w:p w14:paraId="7C22A69B" w14:textId="77777777" w:rsidR="0064551D" w:rsidRPr="00155597" w:rsidRDefault="0064551D" w:rsidP="0064551D">
            <w:r w:rsidRPr="00155597">
              <w:t>Total</w:t>
            </w:r>
          </w:p>
        </w:tc>
      </w:tr>
      <w:tr w:rsidR="0064551D" w:rsidRPr="00155597" w14:paraId="1D274239" w14:textId="77777777" w:rsidTr="0064551D">
        <w:tc>
          <w:tcPr>
            <w:tcW w:w="1022" w:type="pct"/>
          </w:tcPr>
          <w:p w14:paraId="3A4F41E0" w14:textId="77777777" w:rsidR="0064551D" w:rsidRPr="00155597" w:rsidRDefault="0064551D" w:rsidP="0064551D">
            <w:r w:rsidRPr="00155597">
              <w:t>City</w:t>
            </w:r>
          </w:p>
        </w:tc>
        <w:tc>
          <w:tcPr>
            <w:tcW w:w="796" w:type="pct"/>
          </w:tcPr>
          <w:p w14:paraId="0D9F0F30" w14:textId="77777777" w:rsidR="0064551D" w:rsidRPr="00155597" w:rsidRDefault="0064551D" w:rsidP="0064551D">
            <w:pPr>
              <w:pStyle w:val="Footer"/>
              <w:rPr>
                <w:rFonts w:ascii="Times New Roman" w:hAnsi="Times New Roman"/>
                <w:b w:val="0"/>
                <w:snapToGrid w:val="0"/>
                <w:sz w:val="24"/>
                <w:szCs w:val="24"/>
              </w:rPr>
            </w:pPr>
            <w:r w:rsidRPr="00155597">
              <w:rPr>
                <w:rFonts w:ascii="Times New Roman" w:hAnsi="Times New Roman"/>
                <w:b w:val="0"/>
                <w:snapToGrid w:val="0"/>
                <w:sz w:val="24"/>
                <w:szCs w:val="24"/>
              </w:rPr>
              <w:t>14,805</w:t>
            </w:r>
          </w:p>
        </w:tc>
        <w:tc>
          <w:tcPr>
            <w:tcW w:w="796" w:type="pct"/>
          </w:tcPr>
          <w:p w14:paraId="2A164BA0" w14:textId="77777777" w:rsidR="0064551D" w:rsidRPr="00155597" w:rsidRDefault="0064551D" w:rsidP="0064551D">
            <w:pPr>
              <w:rPr>
                <w:snapToGrid w:val="0"/>
              </w:rPr>
            </w:pPr>
            <w:r w:rsidRPr="00155597">
              <w:rPr>
                <w:snapToGrid w:val="0"/>
              </w:rPr>
              <w:t>3,838</w:t>
            </w:r>
          </w:p>
        </w:tc>
        <w:tc>
          <w:tcPr>
            <w:tcW w:w="796" w:type="pct"/>
          </w:tcPr>
          <w:p w14:paraId="346012E4" w14:textId="77777777" w:rsidR="0064551D" w:rsidRPr="00155597" w:rsidRDefault="0064551D" w:rsidP="0064551D">
            <w:pPr>
              <w:rPr>
                <w:snapToGrid w:val="0"/>
              </w:rPr>
            </w:pPr>
            <w:r w:rsidRPr="00155597">
              <w:rPr>
                <w:snapToGrid w:val="0"/>
              </w:rPr>
              <w:t>3,402</w:t>
            </w:r>
          </w:p>
        </w:tc>
        <w:tc>
          <w:tcPr>
            <w:tcW w:w="793" w:type="pct"/>
            <w:shd w:val="clear" w:color="auto" w:fill="auto"/>
          </w:tcPr>
          <w:p w14:paraId="64C17F88" w14:textId="77777777" w:rsidR="0064551D" w:rsidRPr="00155597" w:rsidRDefault="0064551D" w:rsidP="0064551D">
            <w:pPr>
              <w:rPr>
                <w:snapToGrid w:val="0"/>
              </w:rPr>
            </w:pPr>
            <w:r w:rsidRPr="00155597">
              <w:rPr>
                <w:snapToGrid w:val="0"/>
              </w:rPr>
              <w:t>984</w:t>
            </w:r>
          </w:p>
        </w:tc>
        <w:tc>
          <w:tcPr>
            <w:tcW w:w="796" w:type="pct"/>
            <w:shd w:val="pct5" w:color="auto" w:fill="FFFFFF"/>
          </w:tcPr>
          <w:p w14:paraId="6E4661EA" w14:textId="77777777" w:rsidR="0064551D" w:rsidRPr="00155597" w:rsidRDefault="0064551D" w:rsidP="0064551D">
            <w:pPr>
              <w:rPr>
                <w:snapToGrid w:val="0"/>
              </w:rPr>
            </w:pPr>
            <w:r w:rsidRPr="00155597">
              <w:rPr>
                <w:snapToGrid w:val="0"/>
              </w:rPr>
              <w:t>23,029</w:t>
            </w:r>
          </w:p>
        </w:tc>
      </w:tr>
      <w:tr w:rsidR="0064551D" w:rsidRPr="00155597" w14:paraId="3194EE4B" w14:textId="77777777" w:rsidTr="0064551D">
        <w:tc>
          <w:tcPr>
            <w:tcW w:w="1022" w:type="pct"/>
          </w:tcPr>
          <w:p w14:paraId="0624540F" w14:textId="77777777" w:rsidR="0064551D" w:rsidRPr="00155597" w:rsidRDefault="0064551D" w:rsidP="0064551D">
            <w:r w:rsidRPr="00155597">
              <w:t>Suburb</w:t>
            </w:r>
          </w:p>
        </w:tc>
        <w:tc>
          <w:tcPr>
            <w:tcW w:w="796" w:type="pct"/>
          </w:tcPr>
          <w:p w14:paraId="3AB984A3" w14:textId="77777777" w:rsidR="0064551D" w:rsidRPr="00155597" w:rsidRDefault="0064551D" w:rsidP="0064551D">
            <w:pPr>
              <w:rPr>
                <w:snapToGrid w:val="0"/>
              </w:rPr>
            </w:pPr>
            <w:r w:rsidRPr="00155597">
              <w:rPr>
                <w:snapToGrid w:val="0"/>
              </w:rPr>
              <w:t>17,339</w:t>
            </w:r>
          </w:p>
        </w:tc>
        <w:tc>
          <w:tcPr>
            <w:tcW w:w="796" w:type="pct"/>
          </w:tcPr>
          <w:p w14:paraId="7A223C1A" w14:textId="77777777" w:rsidR="0064551D" w:rsidRPr="00155597" w:rsidRDefault="0064551D" w:rsidP="0064551D">
            <w:pPr>
              <w:rPr>
                <w:snapToGrid w:val="0"/>
              </w:rPr>
            </w:pPr>
            <w:r w:rsidRPr="00155597">
              <w:rPr>
                <w:snapToGrid w:val="0"/>
              </w:rPr>
              <w:t>5,617</w:t>
            </w:r>
          </w:p>
        </w:tc>
        <w:tc>
          <w:tcPr>
            <w:tcW w:w="796" w:type="pct"/>
          </w:tcPr>
          <w:p w14:paraId="0E6897F3" w14:textId="77777777" w:rsidR="0064551D" w:rsidRPr="00155597" w:rsidRDefault="0064551D" w:rsidP="0064551D">
            <w:pPr>
              <w:rPr>
                <w:snapToGrid w:val="0"/>
              </w:rPr>
            </w:pPr>
            <w:r w:rsidRPr="00155597">
              <w:rPr>
                <w:snapToGrid w:val="0"/>
              </w:rPr>
              <w:t>3,927</w:t>
            </w:r>
          </w:p>
        </w:tc>
        <w:tc>
          <w:tcPr>
            <w:tcW w:w="793" w:type="pct"/>
            <w:shd w:val="clear" w:color="auto" w:fill="auto"/>
          </w:tcPr>
          <w:p w14:paraId="5D9A0B55" w14:textId="77777777" w:rsidR="0064551D" w:rsidRPr="00155597" w:rsidRDefault="0064551D" w:rsidP="0064551D">
            <w:pPr>
              <w:rPr>
                <w:snapToGrid w:val="0"/>
              </w:rPr>
            </w:pPr>
            <w:r w:rsidRPr="00155597">
              <w:rPr>
                <w:snapToGrid w:val="0"/>
              </w:rPr>
              <w:t>661</w:t>
            </w:r>
          </w:p>
        </w:tc>
        <w:tc>
          <w:tcPr>
            <w:tcW w:w="796" w:type="pct"/>
            <w:shd w:val="pct5" w:color="auto" w:fill="FFFFFF"/>
          </w:tcPr>
          <w:p w14:paraId="79B1B5B6" w14:textId="77777777" w:rsidR="0064551D" w:rsidRPr="00155597" w:rsidRDefault="0064551D" w:rsidP="0064551D">
            <w:pPr>
              <w:rPr>
                <w:snapToGrid w:val="0"/>
              </w:rPr>
            </w:pPr>
            <w:r w:rsidRPr="00155597">
              <w:rPr>
                <w:snapToGrid w:val="0"/>
              </w:rPr>
              <w:t>27,544</w:t>
            </w:r>
          </w:p>
        </w:tc>
      </w:tr>
      <w:tr w:rsidR="0064551D" w:rsidRPr="00155597" w14:paraId="4359892C" w14:textId="77777777" w:rsidTr="0064551D">
        <w:tc>
          <w:tcPr>
            <w:tcW w:w="1022" w:type="pct"/>
            <w:tcBorders>
              <w:bottom w:val="nil"/>
            </w:tcBorders>
          </w:tcPr>
          <w:p w14:paraId="398691BB" w14:textId="77777777" w:rsidR="0064551D" w:rsidRPr="00155597" w:rsidRDefault="0064551D" w:rsidP="0064551D">
            <w:r w:rsidRPr="00155597">
              <w:t>Town</w:t>
            </w:r>
          </w:p>
        </w:tc>
        <w:tc>
          <w:tcPr>
            <w:tcW w:w="796" w:type="pct"/>
            <w:tcBorders>
              <w:bottom w:val="nil"/>
            </w:tcBorders>
          </w:tcPr>
          <w:p w14:paraId="7A918EA4" w14:textId="77777777" w:rsidR="0064551D" w:rsidRPr="00155597" w:rsidRDefault="0064551D" w:rsidP="0064551D">
            <w:pPr>
              <w:rPr>
                <w:snapToGrid w:val="0"/>
              </w:rPr>
            </w:pPr>
            <w:r w:rsidRPr="00155597">
              <w:rPr>
                <w:snapToGrid w:val="0"/>
              </w:rPr>
              <w:t xml:space="preserve"> 5,721</w:t>
            </w:r>
          </w:p>
        </w:tc>
        <w:tc>
          <w:tcPr>
            <w:tcW w:w="796" w:type="pct"/>
            <w:tcBorders>
              <w:bottom w:val="nil"/>
            </w:tcBorders>
          </w:tcPr>
          <w:p w14:paraId="3D1A365E" w14:textId="77777777" w:rsidR="0064551D" w:rsidRPr="00155597" w:rsidRDefault="0064551D" w:rsidP="0064551D">
            <w:pPr>
              <w:rPr>
                <w:snapToGrid w:val="0"/>
              </w:rPr>
            </w:pPr>
            <w:r w:rsidRPr="00155597">
              <w:rPr>
                <w:snapToGrid w:val="0"/>
              </w:rPr>
              <w:t>2,680</w:t>
            </w:r>
          </w:p>
        </w:tc>
        <w:tc>
          <w:tcPr>
            <w:tcW w:w="796" w:type="pct"/>
            <w:tcBorders>
              <w:bottom w:val="nil"/>
            </w:tcBorders>
          </w:tcPr>
          <w:p w14:paraId="31A499AD" w14:textId="77777777" w:rsidR="0064551D" w:rsidRPr="00155597" w:rsidRDefault="0064551D" w:rsidP="0064551D">
            <w:pPr>
              <w:rPr>
                <w:snapToGrid w:val="0"/>
              </w:rPr>
            </w:pPr>
            <w:r w:rsidRPr="00155597">
              <w:rPr>
                <w:snapToGrid w:val="0"/>
              </w:rPr>
              <w:t>2,159</w:t>
            </w:r>
          </w:p>
        </w:tc>
        <w:tc>
          <w:tcPr>
            <w:tcW w:w="793" w:type="pct"/>
            <w:shd w:val="clear" w:color="auto" w:fill="auto"/>
          </w:tcPr>
          <w:p w14:paraId="12A86069" w14:textId="77777777" w:rsidR="0064551D" w:rsidRPr="00155597" w:rsidRDefault="0064551D" w:rsidP="0064551D">
            <w:pPr>
              <w:rPr>
                <w:snapToGrid w:val="0"/>
              </w:rPr>
            </w:pPr>
            <w:r w:rsidRPr="00155597">
              <w:rPr>
                <w:snapToGrid w:val="0"/>
              </w:rPr>
              <w:t>524</w:t>
            </w:r>
          </w:p>
        </w:tc>
        <w:tc>
          <w:tcPr>
            <w:tcW w:w="796" w:type="pct"/>
            <w:shd w:val="pct5" w:color="auto" w:fill="FFFFFF"/>
          </w:tcPr>
          <w:p w14:paraId="60875876" w14:textId="77777777" w:rsidR="0064551D" w:rsidRPr="00155597" w:rsidRDefault="0064551D" w:rsidP="0064551D">
            <w:pPr>
              <w:rPr>
                <w:snapToGrid w:val="0"/>
              </w:rPr>
            </w:pPr>
            <w:r w:rsidRPr="00155597">
              <w:rPr>
                <w:snapToGrid w:val="0"/>
              </w:rPr>
              <w:t>11,084</w:t>
            </w:r>
          </w:p>
        </w:tc>
      </w:tr>
      <w:tr w:rsidR="0064551D" w:rsidRPr="00155597" w14:paraId="786DCB6F" w14:textId="77777777" w:rsidTr="0064551D">
        <w:tc>
          <w:tcPr>
            <w:tcW w:w="1022" w:type="pct"/>
            <w:shd w:val="clear" w:color="auto" w:fill="auto"/>
          </w:tcPr>
          <w:p w14:paraId="5CF042CF" w14:textId="77777777" w:rsidR="0064551D" w:rsidRPr="00155597" w:rsidRDefault="0064551D" w:rsidP="0064551D">
            <w:r w:rsidRPr="00155597">
              <w:t>Rural</w:t>
            </w:r>
          </w:p>
        </w:tc>
        <w:tc>
          <w:tcPr>
            <w:tcW w:w="796" w:type="pct"/>
            <w:shd w:val="clear" w:color="auto" w:fill="auto"/>
          </w:tcPr>
          <w:p w14:paraId="083FF9A3" w14:textId="77777777" w:rsidR="0064551D" w:rsidRPr="00155597" w:rsidRDefault="0064551D" w:rsidP="0064551D">
            <w:pPr>
              <w:rPr>
                <w:snapToGrid w:val="0"/>
              </w:rPr>
            </w:pPr>
            <w:r w:rsidRPr="00155597">
              <w:rPr>
                <w:snapToGrid w:val="0"/>
              </w:rPr>
              <w:t>11,701</w:t>
            </w:r>
          </w:p>
        </w:tc>
        <w:tc>
          <w:tcPr>
            <w:tcW w:w="796" w:type="pct"/>
            <w:shd w:val="clear" w:color="auto" w:fill="auto"/>
          </w:tcPr>
          <w:p w14:paraId="19588E0D" w14:textId="77777777" w:rsidR="0064551D" w:rsidRPr="00155597" w:rsidRDefault="0064551D" w:rsidP="0064551D">
            <w:pPr>
              <w:rPr>
                <w:snapToGrid w:val="0"/>
              </w:rPr>
            </w:pPr>
            <w:r w:rsidRPr="00155597">
              <w:rPr>
                <w:snapToGrid w:val="0"/>
              </w:rPr>
              <w:t>3,523</w:t>
            </w:r>
          </w:p>
        </w:tc>
        <w:tc>
          <w:tcPr>
            <w:tcW w:w="796" w:type="pct"/>
            <w:shd w:val="clear" w:color="auto" w:fill="auto"/>
          </w:tcPr>
          <w:p w14:paraId="754E4629" w14:textId="77777777" w:rsidR="0064551D" w:rsidRPr="00155597" w:rsidRDefault="0064551D" w:rsidP="0064551D">
            <w:pPr>
              <w:rPr>
                <w:snapToGrid w:val="0"/>
              </w:rPr>
            </w:pPr>
            <w:r w:rsidRPr="00155597">
              <w:rPr>
                <w:snapToGrid w:val="0"/>
              </w:rPr>
              <w:t>3,388</w:t>
            </w:r>
          </w:p>
        </w:tc>
        <w:tc>
          <w:tcPr>
            <w:tcW w:w="793" w:type="pct"/>
            <w:shd w:val="clear" w:color="auto" w:fill="auto"/>
          </w:tcPr>
          <w:p w14:paraId="56E690FF" w14:textId="77777777" w:rsidR="0064551D" w:rsidRPr="00155597" w:rsidRDefault="0064551D" w:rsidP="0064551D">
            <w:pPr>
              <w:rPr>
                <w:snapToGrid w:val="0"/>
              </w:rPr>
            </w:pPr>
            <w:r w:rsidRPr="00155597">
              <w:rPr>
                <w:snapToGrid w:val="0"/>
              </w:rPr>
              <w:t>4,149</w:t>
            </w:r>
          </w:p>
        </w:tc>
        <w:tc>
          <w:tcPr>
            <w:tcW w:w="796" w:type="pct"/>
            <w:shd w:val="pct5" w:color="auto" w:fill="FFFFFF"/>
          </w:tcPr>
          <w:p w14:paraId="66557B73" w14:textId="77777777" w:rsidR="0064551D" w:rsidRPr="00155597" w:rsidRDefault="0064551D" w:rsidP="0064551D">
            <w:pPr>
              <w:rPr>
                <w:snapToGrid w:val="0"/>
              </w:rPr>
            </w:pPr>
            <w:r w:rsidRPr="00155597">
              <w:rPr>
                <w:snapToGrid w:val="0"/>
              </w:rPr>
              <w:t>22,761</w:t>
            </w:r>
          </w:p>
        </w:tc>
      </w:tr>
      <w:tr w:rsidR="0064551D" w:rsidRPr="00155597" w14:paraId="2E96CB5A" w14:textId="77777777" w:rsidTr="0064551D">
        <w:tc>
          <w:tcPr>
            <w:tcW w:w="1022" w:type="pct"/>
            <w:shd w:val="pct5" w:color="auto" w:fill="FFFFFF"/>
          </w:tcPr>
          <w:p w14:paraId="2722474E" w14:textId="0AF4EB8A" w:rsidR="0064551D" w:rsidRPr="00155597" w:rsidRDefault="004030F4" w:rsidP="0064551D">
            <w:r w:rsidRPr="00155597">
              <w:t xml:space="preserve"> </w:t>
            </w:r>
            <w:r w:rsidR="0064551D" w:rsidRPr="00155597">
              <w:t>Total</w:t>
            </w:r>
          </w:p>
        </w:tc>
        <w:tc>
          <w:tcPr>
            <w:tcW w:w="796" w:type="pct"/>
            <w:shd w:val="pct5" w:color="auto" w:fill="FFFFFF"/>
          </w:tcPr>
          <w:p w14:paraId="6916370D" w14:textId="77777777" w:rsidR="0064551D" w:rsidRPr="00155597" w:rsidRDefault="0064551D" w:rsidP="0064551D">
            <w:pPr>
              <w:rPr>
                <w:snapToGrid w:val="0"/>
              </w:rPr>
            </w:pPr>
            <w:r w:rsidRPr="00155597">
              <w:rPr>
                <w:snapToGrid w:val="0"/>
              </w:rPr>
              <w:t>49,566</w:t>
            </w:r>
          </w:p>
        </w:tc>
        <w:tc>
          <w:tcPr>
            <w:tcW w:w="796" w:type="pct"/>
            <w:shd w:val="pct5" w:color="auto" w:fill="FFFFFF"/>
          </w:tcPr>
          <w:p w14:paraId="144AE503" w14:textId="77777777" w:rsidR="0064551D" w:rsidRPr="00155597" w:rsidRDefault="0064551D" w:rsidP="0064551D">
            <w:pPr>
              <w:rPr>
                <w:snapToGrid w:val="0"/>
              </w:rPr>
            </w:pPr>
            <w:r w:rsidRPr="00155597">
              <w:rPr>
                <w:snapToGrid w:val="0"/>
              </w:rPr>
              <w:t>15,658</w:t>
            </w:r>
          </w:p>
        </w:tc>
        <w:tc>
          <w:tcPr>
            <w:tcW w:w="796" w:type="pct"/>
            <w:shd w:val="pct5" w:color="auto" w:fill="FFFFFF"/>
          </w:tcPr>
          <w:p w14:paraId="18405E29" w14:textId="77777777" w:rsidR="0064551D" w:rsidRPr="00155597" w:rsidRDefault="0064551D" w:rsidP="0064551D">
            <w:pPr>
              <w:rPr>
                <w:snapToGrid w:val="0"/>
              </w:rPr>
            </w:pPr>
            <w:r w:rsidRPr="00155597">
              <w:rPr>
                <w:snapToGrid w:val="0"/>
              </w:rPr>
              <w:t>12,876</w:t>
            </w:r>
          </w:p>
        </w:tc>
        <w:tc>
          <w:tcPr>
            <w:tcW w:w="793" w:type="pct"/>
            <w:shd w:val="pct5" w:color="auto" w:fill="FFFFFF"/>
          </w:tcPr>
          <w:p w14:paraId="78691BF7" w14:textId="77777777" w:rsidR="0064551D" w:rsidRPr="00155597" w:rsidRDefault="0064551D" w:rsidP="0064551D">
            <w:pPr>
              <w:rPr>
                <w:snapToGrid w:val="0"/>
              </w:rPr>
            </w:pPr>
            <w:r w:rsidRPr="00155597">
              <w:rPr>
                <w:snapToGrid w:val="0"/>
              </w:rPr>
              <w:t>6,318</w:t>
            </w:r>
          </w:p>
        </w:tc>
        <w:tc>
          <w:tcPr>
            <w:tcW w:w="796" w:type="pct"/>
            <w:shd w:val="pct5" w:color="auto" w:fill="FFFFFF"/>
          </w:tcPr>
          <w:p w14:paraId="7362C119" w14:textId="77777777" w:rsidR="0064551D" w:rsidRPr="00155597" w:rsidRDefault="0064551D" w:rsidP="0064551D">
            <w:pPr>
              <w:rPr>
                <w:snapToGrid w:val="0"/>
              </w:rPr>
            </w:pPr>
            <w:r w:rsidRPr="00155597">
              <w:rPr>
                <w:snapToGrid w:val="0"/>
              </w:rPr>
              <w:t>84,418</w:t>
            </w:r>
          </w:p>
        </w:tc>
      </w:tr>
    </w:tbl>
    <w:p w14:paraId="6A040B7E" w14:textId="77777777" w:rsidR="0064551D" w:rsidRPr="00155597" w:rsidRDefault="0064551D" w:rsidP="0064551D"/>
    <w:p w14:paraId="3839CBC6" w14:textId="4F86053C" w:rsidR="0064551D" w:rsidRPr="00155597" w:rsidRDefault="0064551D" w:rsidP="003C27CC">
      <w:pPr>
        <w:pStyle w:val="Heading7"/>
        <w:keepNext/>
        <w:spacing w:before="0" w:after="0"/>
        <w:ind w:left="900" w:hanging="900"/>
        <w:rPr>
          <w:rFonts w:ascii="Times New Roman" w:hAnsi="Times New Roman"/>
          <w:b/>
          <w:bCs/>
        </w:rPr>
      </w:pPr>
      <w:r w:rsidRPr="00155597">
        <w:rPr>
          <w:rFonts w:ascii="Times New Roman" w:hAnsi="Times New Roman"/>
          <w:b/>
          <w:bCs/>
        </w:rPr>
        <w:t xml:space="preserve">Table 2. Expected respondent universe for the </w:t>
      </w:r>
      <w:r w:rsidR="007E4669" w:rsidRPr="00155597">
        <w:rPr>
          <w:rFonts w:ascii="Times New Roman" w:hAnsi="Times New Roman"/>
          <w:b/>
        </w:rPr>
        <w:t xml:space="preserve">SSOCS:2018 </w:t>
      </w:r>
      <w:r w:rsidRPr="00155597">
        <w:rPr>
          <w:rFonts w:ascii="Times New Roman" w:hAnsi="Times New Roman"/>
          <w:b/>
          <w:bCs/>
        </w:rPr>
        <w:t>public school sample, by school level and enrollment size, based on the 201</w:t>
      </w:r>
      <w:r w:rsidR="000A2622" w:rsidRPr="00155597">
        <w:rPr>
          <w:rFonts w:ascii="Times New Roman" w:hAnsi="Times New Roman"/>
          <w:b/>
          <w:bCs/>
        </w:rPr>
        <w:t>4</w:t>
      </w:r>
      <w:r w:rsidR="004A0162" w:rsidRPr="00155597">
        <w:rPr>
          <w:rFonts w:ascii="Times New Roman" w:hAnsi="Times New Roman"/>
          <w:b/>
          <w:bCs/>
        </w:rPr>
        <w:t>–</w:t>
      </w:r>
      <w:r w:rsidRPr="00155597">
        <w:rPr>
          <w:rFonts w:ascii="Times New Roman" w:hAnsi="Times New Roman"/>
          <w:b/>
          <w:bCs/>
        </w:rPr>
        <w:t>1</w:t>
      </w:r>
      <w:r w:rsidR="000A2622" w:rsidRPr="00155597">
        <w:rPr>
          <w:rFonts w:ascii="Times New Roman" w:hAnsi="Times New Roman"/>
          <w:b/>
          <w:bCs/>
        </w:rPr>
        <w:t>5</w:t>
      </w:r>
      <w:r w:rsidRPr="00155597">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2"/>
        <w:gridCol w:w="1708"/>
        <w:gridCol w:w="1708"/>
        <w:gridCol w:w="1708"/>
        <w:gridCol w:w="1708"/>
      </w:tblGrid>
      <w:tr w:rsidR="0064551D" w:rsidRPr="00155597" w14:paraId="5FC89EAC" w14:textId="77777777" w:rsidTr="0064551D">
        <w:tc>
          <w:tcPr>
            <w:tcW w:w="1022" w:type="pct"/>
            <w:vAlign w:val="bottom"/>
          </w:tcPr>
          <w:p w14:paraId="1C4B2D18" w14:textId="6C390A15" w:rsidR="0064551D" w:rsidRPr="00155597" w:rsidRDefault="0064551D" w:rsidP="003C27CC">
            <w:pPr>
              <w:keepNext/>
            </w:pPr>
            <w:r w:rsidRPr="00155597">
              <w:t xml:space="preserve">Enrollment </w:t>
            </w:r>
            <w:r w:rsidR="00B71C5A" w:rsidRPr="00155597">
              <w:t>s</w:t>
            </w:r>
            <w:r w:rsidRPr="00155597">
              <w:t>ize</w:t>
            </w:r>
          </w:p>
        </w:tc>
        <w:tc>
          <w:tcPr>
            <w:tcW w:w="793" w:type="pct"/>
            <w:vAlign w:val="bottom"/>
          </w:tcPr>
          <w:p w14:paraId="0B0DB41C" w14:textId="77777777" w:rsidR="0064551D" w:rsidRPr="00155597" w:rsidRDefault="0064551D" w:rsidP="003C27CC">
            <w:pPr>
              <w:keepNext/>
            </w:pPr>
            <w:r w:rsidRPr="00155597">
              <w:t>Primary</w:t>
            </w:r>
          </w:p>
        </w:tc>
        <w:tc>
          <w:tcPr>
            <w:tcW w:w="796" w:type="pct"/>
            <w:vAlign w:val="bottom"/>
          </w:tcPr>
          <w:p w14:paraId="27C3471A" w14:textId="77777777" w:rsidR="0064551D" w:rsidRPr="00155597" w:rsidRDefault="0064551D" w:rsidP="003C27CC">
            <w:pPr>
              <w:keepNext/>
            </w:pPr>
            <w:r w:rsidRPr="00155597">
              <w:t>Middle</w:t>
            </w:r>
          </w:p>
        </w:tc>
        <w:tc>
          <w:tcPr>
            <w:tcW w:w="796" w:type="pct"/>
            <w:vAlign w:val="bottom"/>
          </w:tcPr>
          <w:p w14:paraId="098B7B61" w14:textId="77777777" w:rsidR="0064551D" w:rsidRPr="00155597" w:rsidRDefault="0064551D" w:rsidP="003C27CC">
            <w:pPr>
              <w:keepNext/>
            </w:pPr>
            <w:r w:rsidRPr="00155597">
              <w:t>High</w:t>
            </w:r>
          </w:p>
        </w:tc>
        <w:tc>
          <w:tcPr>
            <w:tcW w:w="796" w:type="pct"/>
            <w:shd w:val="clear" w:color="auto" w:fill="auto"/>
            <w:vAlign w:val="bottom"/>
          </w:tcPr>
          <w:p w14:paraId="4708DDED" w14:textId="77777777" w:rsidR="0064551D" w:rsidRPr="00155597" w:rsidRDefault="0064551D" w:rsidP="003C27CC">
            <w:pPr>
              <w:keepNext/>
            </w:pPr>
            <w:r w:rsidRPr="00155597">
              <w:t>Combined</w:t>
            </w:r>
          </w:p>
        </w:tc>
        <w:tc>
          <w:tcPr>
            <w:tcW w:w="796" w:type="pct"/>
            <w:shd w:val="pct5" w:color="auto" w:fill="FFFFFF"/>
            <w:vAlign w:val="bottom"/>
          </w:tcPr>
          <w:p w14:paraId="3A36B4F3" w14:textId="77777777" w:rsidR="0064551D" w:rsidRPr="00155597" w:rsidRDefault="0064551D" w:rsidP="003C27CC">
            <w:pPr>
              <w:keepNext/>
            </w:pPr>
            <w:r w:rsidRPr="00155597">
              <w:t>Total</w:t>
            </w:r>
          </w:p>
        </w:tc>
      </w:tr>
      <w:tr w:rsidR="0064551D" w:rsidRPr="00155597" w14:paraId="1328BDF7" w14:textId="77777777" w:rsidTr="0064551D">
        <w:tc>
          <w:tcPr>
            <w:tcW w:w="1022" w:type="pct"/>
          </w:tcPr>
          <w:p w14:paraId="2E7C28DE" w14:textId="77777777" w:rsidR="0064551D" w:rsidRPr="00155597" w:rsidRDefault="0064551D" w:rsidP="003C27CC">
            <w:pPr>
              <w:keepNext/>
            </w:pPr>
            <w:r w:rsidRPr="00155597">
              <w:t>Less than 300</w:t>
            </w:r>
          </w:p>
        </w:tc>
        <w:tc>
          <w:tcPr>
            <w:tcW w:w="793" w:type="pct"/>
          </w:tcPr>
          <w:p w14:paraId="6C389434" w14:textId="77777777" w:rsidR="0064551D" w:rsidRPr="00155597" w:rsidRDefault="0064551D" w:rsidP="003C27CC">
            <w:pPr>
              <w:pStyle w:val="Footer"/>
              <w:keepNext/>
              <w:rPr>
                <w:rFonts w:ascii="Times New Roman" w:hAnsi="Times New Roman"/>
                <w:b w:val="0"/>
                <w:snapToGrid w:val="0"/>
                <w:sz w:val="24"/>
                <w:szCs w:val="24"/>
              </w:rPr>
            </w:pPr>
            <w:r w:rsidRPr="00155597">
              <w:rPr>
                <w:rFonts w:ascii="Times New Roman" w:hAnsi="Times New Roman"/>
                <w:b w:val="0"/>
                <w:snapToGrid w:val="0"/>
                <w:sz w:val="24"/>
                <w:szCs w:val="24"/>
              </w:rPr>
              <w:t>10,495</w:t>
            </w:r>
          </w:p>
        </w:tc>
        <w:tc>
          <w:tcPr>
            <w:tcW w:w="796" w:type="pct"/>
          </w:tcPr>
          <w:p w14:paraId="519A7AA3" w14:textId="77777777" w:rsidR="0064551D" w:rsidRPr="00155597" w:rsidRDefault="0064551D" w:rsidP="003C27CC">
            <w:pPr>
              <w:keepNext/>
              <w:rPr>
                <w:snapToGrid w:val="0"/>
              </w:rPr>
            </w:pPr>
            <w:r w:rsidRPr="00155597">
              <w:rPr>
                <w:snapToGrid w:val="0"/>
              </w:rPr>
              <w:t>2,837</w:t>
            </w:r>
          </w:p>
        </w:tc>
        <w:tc>
          <w:tcPr>
            <w:tcW w:w="796" w:type="pct"/>
          </w:tcPr>
          <w:p w14:paraId="2E5FA0D9" w14:textId="77777777" w:rsidR="0064551D" w:rsidRPr="00155597" w:rsidRDefault="0064551D" w:rsidP="003C27CC">
            <w:pPr>
              <w:keepNext/>
              <w:rPr>
                <w:snapToGrid w:val="0"/>
              </w:rPr>
            </w:pPr>
            <w:r w:rsidRPr="00155597">
              <w:rPr>
                <w:snapToGrid w:val="0"/>
              </w:rPr>
              <w:t>2,420</w:t>
            </w:r>
          </w:p>
        </w:tc>
        <w:tc>
          <w:tcPr>
            <w:tcW w:w="796" w:type="pct"/>
            <w:shd w:val="clear" w:color="auto" w:fill="auto"/>
          </w:tcPr>
          <w:p w14:paraId="25AA724F" w14:textId="77777777" w:rsidR="0064551D" w:rsidRPr="00155597" w:rsidRDefault="0064551D" w:rsidP="003C27CC">
            <w:pPr>
              <w:keepNext/>
              <w:rPr>
                <w:snapToGrid w:val="0"/>
              </w:rPr>
            </w:pPr>
            <w:r w:rsidRPr="00155597">
              <w:rPr>
                <w:snapToGrid w:val="0"/>
              </w:rPr>
              <w:t>2,835</w:t>
            </w:r>
          </w:p>
        </w:tc>
        <w:tc>
          <w:tcPr>
            <w:tcW w:w="796" w:type="pct"/>
            <w:shd w:val="pct5" w:color="auto" w:fill="FFFFFF"/>
          </w:tcPr>
          <w:p w14:paraId="16F0137F" w14:textId="77777777" w:rsidR="0064551D" w:rsidRPr="00155597" w:rsidRDefault="0064551D" w:rsidP="003C27CC">
            <w:pPr>
              <w:keepNext/>
              <w:rPr>
                <w:snapToGrid w:val="0"/>
              </w:rPr>
            </w:pPr>
            <w:r w:rsidRPr="00155597">
              <w:rPr>
                <w:snapToGrid w:val="0"/>
              </w:rPr>
              <w:t>18,587</w:t>
            </w:r>
          </w:p>
        </w:tc>
      </w:tr>
      <w:tr w:rsidR="0064551D" w:rsidRPr="00155597" w14:paraId="7299D46B" w14:textId="77777777" w:rsidTr="0064551D">
        <w:tc>
          <w:tcPr>
            <w:tcW w:w="1022" w:type="pct"/>
          </w:tcPr>
          <w:p w14:paraId="1D0C6381" w14:textId="77777777" w:rsidR="0064551D" w:rsidRPr="00155597" w:rsidRDefault="0064551D" w:rsidP="003C27CC">
            <w:pPr>
              <w:keepNext/>
            </w:pPr>
            <w:r w:rsidRPr="00155597">
              <w:t>300–499</w:t>
            </w:r>
          </w:p>
        </w:tc>
        <w:tc>
          <w:tcPr>
            <w:tcW w:w="793" w:type="pct"/>
          </w:tcPr>
          <w:p w14:paraId="7F521D3B" w14:textId="77777777" w:rsidR="0064551D" w:rsidRPr="00155597" w:rsidRDefault="0064551D" w:rsidP="003C27CC">
            <w:pPr>
              <w:keepNext/>
              <w:rPr>
                <w:snapToGrid w:val="0"/>
              </w:rPr>
            </w:pPr>
            <w:r w:rsidRPr="00155597">
              <w:rPr>
                <w:snapToGrid w:val="0"/>
              </w:rPr>
              <w:t>18,122</w:t>
            </w:r>
          </w:p>
        </w:tc>
        <w:tc>
          <w:tcPr>
            <w:tcW w:w="796" w:type="pct"/>
          </w:tcPr>
          <w:p w14:paraId="0C386AAE" w14:textId="77777777" w:rsidR="0064551D" w:rsidRPr="00155597" w:rsidRDefault="0064551D" w:rsidP="003C27CC">
            <w:pPr>
              <w:keepNext/>
              <w:rPr>
                <w:snapToGrid w:val="0"/>
              </w:rPr>
            </w:pPr>
            <w:r w:rsidRPr="00155597">
              <w:rPr>
                <w:snapToGrid w:val="0"/>
              </w:rPr>
              <w:t>3,515</w:t>
            </w:r>
          </w:p>
        </w:tc>
        <w:tc>
          <w:tcPr>
            <w:tcW w:w="796" w:type="pct"/>
          </w:tcPr>
          <w:p w14:paraId="6B614DA1" w14:textId="77777777" w:rsidR="0064551D" w:rsidRPr="00155597" w:rsidRDefault="0064551D" w:rsidP="003C27CC">
            <w:pPr>
              <w:keepNext/>
              <w:rPr>
                <w:snapToGrid w:val="0"/>
              </w:rPr>
            </w:pPr>
            <w:r w:rsidRPr="00155597">
              <w:rPr>
                <w:snapToGrid w:val="0"/>
              </w:rPr>
              <w:t>2,018</w:t>
            </w:r>
          </w:p>
        </w:tc>
        <w:tc>
          <w:tcPr>
            <w:tcW w:w="796" w:type="pct"/>
            <w:shd w:val="clear" w:color="auto" w:fill="auto"/>
          </w:tcPr>
          <w:p w14:paraId="0EEC1114" w14:textId="77777777" w:rsidR="0064551D" w:rsidRPr="00155597" w:rsidRDefault="0064551D" w:rsidP="003C27CC">
            <w:pPr>
              <w:keepNext/>
              <w:rPr>
                <w:snapToGrid w:val="0"/>
              </w:rPr>
            </w:pPr>
            <w:r w:rsidRPr="00155597">
              <w:rPr>
                <w:snapToGrid w:val="0"/>
              </w:rPr>
              <w:t>1,537</w:t>
            </w:r>
          </w:p>
        </w:tc>
        <w:tc>
          <w:tcPr>
            <w:tcW w:w="796" w:type="pct"/>
            <w:shd w:val="pct5" w:color="auto" w:fill="FFFFFF"/>
          </w:tcPr>
          <w:p w14:paraId="1157DBD9" w14:textId="77777777" w:rsidR="0064551D" w:rsidRPr="00155597" w:rsidRDefault="0064551D" w:rsidP="003C27CC">
            <w:pPr>
              <w:keepNext/>
              <w:rPr>
                <w:snapToGrid w:val="0"/>
              </w:rPr>
            </w:pPr>
            <w:r w:rsidRPr="00155597">
              <w:rPr>
                <w:snapToGrid w:val="0"/>
              </w:rPr>
              <w:t>25,192</w:t>
            </w:r>
          </w:p>
        </w:tc>
      </w:tr>
      <w:tr w:rsidR="0064551D" w:rsidRPr="00155597" w14:paraId="09F5AA2D" w14:textId="77777777" w:rsidTr="0064551D">
        <w:tc>
          <w:tcPr>
            <w:tcW w:w="1022" w:type="pct"/>
            <w:tcBorders>
              <w:bottom w:val="nil"/>
            </w:tcBorders>
          </w:tcPr>
          <w:p w14:paraId="1276FCBE" w14:textId="77777777" w:rsidR="0064551D" w:rsidRPr="00155597" w:rsidRDefault="0064551D" w:rsidP="003C27CC">
            <w:pPr>
              <w:keepNext/>
            </w:pPr>
            <w:r w:rsidRPr="00155597">
              <w:t>500–999</w:t>
            </w:r>
          </w:p>
        </w:tc>
        <w:tc>
          <w:tcPr>
            <w:tcW w:w="793" w:type="pct"/>
            <w:tcBorders>
              <w:bottom w:val="nil"/>
            </w:tcBorders>
          </w:tcPr>
          <w:p w14:paraId="79CABFD7" w14:textId="77777777" w:rsidR="0064551D" w:rsidRPr="00155597" w:rsidRDefault="0064551D" w:rsidP="003C27CC">
            <w:pPr>
              <w:keepNext/>
              <w:rPr>
                <w:snapToGrid w:val="0"/>
              </w:rPr>
            </w:pPr>
            <w:r w:rsidRPr="00155597">
              <w:rPr>
                <w:snapToGrid w:val="0"/>
              </w:rPr>
              <w:t>19,911</w:t>
            </w:r>
          </w:p>
        </w:tc>
        <w:tc>
          <w:tcPr>
            <w:tcW w:w="796" w:type="pct"/>
            <w:tcBorders>
              <w:bottom w:val="nil"/>
            </w:tcBorders>
          </w:tcPr>
          <w:p w14:paraId="722E8B7F" w14:textId="77777777" w:rsidR="0064551D" w:rsidRPr="00155597" w:rsidRDefault="0064551D" w:rsidP="003C27CC">
            <w:pPr>
              <w:keepNext/>
              <w:rPr>
                <w:snapToGrid w:val="0"/>
              </w:rPr>
            </w:pPr>
            <w:r w:rsidRPr="00155597">
              <w:rPr>
                <w:snapToGrid w:val="0"/>
              </w:rPr>
              <w:t>7,454</w:t>
            </w:r>
          </w:p>
        </w:tc>
        <w:tc>
          <w:tcPr>
            <w:tcW w:w="796" w:type="pct"/>
            <w:tcBorders>
              <w:bottom w:val="nil"/>
            </w:tcBorders>
          </w:tcPr>
          <w:p w14:paraId="7EAA72A8" w14:textId="77777777" w:rsidR="0064551D" w:rsidRPr="00155597" w:rsidRDefault="0064551D" w:rsidP="003C27CC">
            <w:pPr>
              <w:keepNext/>
              <w:rPr>
                <w:snapToGrid w:val="0"/>
              </w:rPr>
            </w:pPr>
            <w:r w:rsidRPr="00155597">
              <w:rPr>
                <w:snapToGrid w:val="0"/>
              </w:rPr>
              <w:t>3,094</w:t>
            </w:r>
          </w:p>
        </w:tc>
        <w:tc>
          <w:tcPr>
            <w:tcW w:w="796" w:type="pct"/>
            <w:shd w:val="clear" w:color="auto" w:fill="auto"/>
          </w:tcPr>
          <w:p w14:paraId="6BFD8A0B" w14:textId="77777777" w:rsidR="0064551D" w:rsidRPr="00155597" w:rsidRDefault="0064551D" w:rsidP="003C27CC">
            <w:pPr>
              <w:keepNext/>
              <w:rPr>
                <w:snapToGrid w:val="0"/>
              </w:rPr>
            </w:pPr>
            <w:r w:rsidRPr="00155597">
              <w:rPr>
                <w:snapToGrid w:val="0"/>
              </w:rPr>
              <w:t>1,492</w:t>
            </w:r>
          </w:p>
        </w:tc>
        <w:tc>
          <w:tcPr>
            <w:tcW w:w="796" w:type="pct"/>
            <w:shd w:val="pct5" w:color="auto" w:fill="FFFFFF"/>
          </w:tcPr>
          <w:p w14:paraId="78A5C14D" w14:textId="77777777" w:rsidR="0064551D" w:rsidRPr="00155597" w:rsidRDefault="0064551D" w:rsidP="003C27CC">
            <w:pPr>
              <w:keepNext/>
              <w:rPr>
                <w:snapToGrid w:val="0"/>
              </w:rPr>
            </w:pPr>
            <w:r w:rsidRPr="00155597">
              <w:rPr>
                <w:snapToGrid w:val="0"/>
              </w:rPr>
              <w:t>31,951</w:t>
            </w:r>
          </w:p>
        </w:tc>
      </w:tr>
      <w:tr w:rsidR="0064551D" w:rsidRPr="00155597" w14:paraId="7AB58C2C" w14:textId="77777777" w:rsidTr="0064551D">
        <w:tc>
          <w:tcPr>
            <w:tcW w:w="1022" w:type="pct"/>
            <w:shd w:val="clear" w:color="auto" w:fill="auto"/>
          </w:tcPr>
          <w:p w14:paraId="308E35EC" w14:textId="77777777" w:rsidR="0064551D" w:rsidRPr="00155597" w:rsidRDefault="0064551D" w:rsidP="003C27CC">
            <w:pPr>
              <w:keepNext/>
            </w:pPr>
            <w:r w:rsidRPr="00155597">
              <w:t>1,000+</w:t>
            </w:r>
          </w:p>
        </w:tc>
        <w:tc>
          <w:tcPr>
            <w:tcW w:w="793" w:type="pct"/>
            <w:shd w:val="clear" w:color="auto" w:fill="auto"/>
          </w:tcPr>
          <w:p w14:paraId="5AB773B4" w14:textId="77777777" w:rsidR="0064551D" w:rsidRPr="00155597" w:rsidRDefault="0064551D" w:rsidP="003C27CC">
            <w:pPr>
              <w:keepNext/>
              <w:rPr>
                <w:snapToGrid w:val="0"/>
              </w:rPr>
            </w:pPr>
            <w:r w:rsidRPr="00155597">
              <w:rPr>
                <w:snapToGrid w:val="0"/>
              </w:rPr>
              <w:t>1,038</w:t>
            </w:r>
          </w:p>
        </w:tc>
        <w:tc>
          <w:tcPr>
            <w:tcW w:w="796" w:type="pct"/>
            <w:shd w:val="clear" w:color="auto" w:fill="auto"/>
          </w:tcPr>
          <w:p w14:paraId="4ADE997B" w14:textId="77777777" w:rsidR="0064551D" w:rsidRPr="00155597" w:rsidRDefault="0064551D" w:rsidP="003C27CC">
            <w:pPr>
              <w:keepNext/>
              <w:rPr>
                <w:snapToGrid w:val="0"/>
              </w:rPr>
            </w:pPr>
            <w:r w:rsidRPr="00155597">
              <w:rPr>
                <w:snapToGrid w:val="0"/>
              </w:rPr>
              <w:t>1,852</w:t>
            </w:r>
          </w:p>
        </w:tc>
        <w:tc>
          <w:tcPr>
            <w:tcW w:w="796" w:type="pct"/>
            <w:shd w:val="clear" w:color="auto" w:fill="auto"/>
          </w:tcPr>
          <w:p w14:paraId="58B2DC66" w14:textId="77777777" w:rsidR="0064551D" w:rsidRPr="00155597" w:rsidRDefault="0064551D" w:rsidP="003C27CC">
            <w:pPr>
              <w:keepNext/>
              <w:rPr>
                <w:snapToGrid w:val="0"/>
              </w:rPr>
            </w:pPr>
            <w:r w:rsidRPr="00155597">
              <w:rPr>
                <w:snapToGrid w:val="0"/>
              </w:rPr>
              <w:t>5,344</w:t>
            </w:r>
          </w:p>
        </w:tc>
        <w:tc>
          <w:tcPr>
            <w:tcW w:w="796" w:type="pct"/>
            <w:shd w:val="clear" w:color="auto" w:fill="auto"/>
          </w:tcPr>
          <w:p w14:paraId="60BE114A" w14:textId="77777777" w:rsidR="0064551D" w:rsidRPr="00155597" w:rsidRDefault="0064551D" w:rsidP="003C27CC">
            <w:pPr>
              <w:keepNext/>
              <w:rPr>
                <w:snapToGrid w:val="0"/>
              </w:rPr>
            </w:pPr>
            <w:r w:rsidRPr="00155597">
              <w:rPr>
                <w:snapToGrid w:val="0"/>
              </w:rPr>
              <w:t>454</w:t>
            </w:r>
          </w:p>
        </w:tc>
        <w:tc>
          <w:tcPr>
            <w:tcW w:w="796" w:type="pct"/>
            <w:shd w:val="pct5" w:color="auto" w:fill="FFFFFF"/>
          </w:tcPr>
          <w:p w14:paraId="76AA34B9" w14:textId="77777777" w:rsidR="0064551D" w:rsidRPr="00155597" w:rsidRDefault="0064551D" w:rsidP="003C27CC">
            <w:pPr>
              <w:keepNext/>
              <w:rPr>
                <w:snapToGrid w:val="0"/>
              </w:rPr>
            </w:pPr>
            <w:r w:rsidRPr="00155597">
              <w:rPr>
                <w:snapToGrid w:val="0"/>
              </w:rPr>
              <w:t>8,688</w:t>
            </w:r>
          </w:p>
        </w:tc>
      </w:tr>
      <w:tr w:rsidR="0064551D" w:rsidRPr="00155597" w14:paraId="4F4F24D7" w14:textId="77777777" w:rsidTr="0064551D">
        <w:tc>
          <w:tcPr>
            <w:tcW w:w="1022" w:type="pct"/>
            <w:shd w:val="pct5" w:color="auto" w:fill="FFFFFF"/>
          </w:tcPr>
          <w:p w14:paraId="21CF74A3" w14:textId="2BDD6DB1" w:rsidR="0064551D" w:rsidRPr="00155597" w:rsidRDefault="004030F4" w:rsidP="0064551D">
            <w:r w:rsidRPr="00155597">
              <w:t xml:space="preserve"> </w:t>
            </w:r>
            <w:r w:rsidR="0064551D" w:rsidRPr="00155597">
              <w:t>Total</w:t>
            </w:r>
          </w:p>
        </w:tc>
        <w:tc>
          <w:tcPr>
            <w:tcW w:w="793" w:type="pct"/>
            <w:shd w:val="pct5" w:color="auto" w:fill="FFFFFF"/>
          </w:tcPr>
          <w:p w14:paraId="2EBA6669" w14:textId="77777777" w:rsidR="0064551D" w:rsidRPr="00155597" w:rsidRDefault="0064551D" w:rsidP="0064551D">
            <w:pPr>
              <w:rPr>
                <w:snapToGrid w:val="0"/>
              </w:rPr>
            </w:pPr>
            <w:r w:rsidRPr="00155597">
              <w:rPr>
                <w:snapToGrid w:val="0"/>
              </w:rPr>
              <w:t>49,566</w:t>
            </w:r>
          </w:p>
        </w:tc>
        <w:tc>
          <w:tcPr>
            <w:tcW w:w="796" w:type="pct"/>
            <w:shd w:val="pct5" w:color="auto" w:fill="FFFFFF"/>
          </w:tcPr>
          <w:p w14:paraId="3FF791C7" w14:textId="77777777" w:rsidR="0064551D" w:rsidRPr="00155597" w:rsidRDefault="0064551D" w:rsidP="0064551D">
            <w:pPr>
              <w:rPr>
                <w:snapToGrid w:val="0"/>
              </w:rPr>
            </w:pPr>
            <w:r w:rsidRPr="00155597">
              <w:rPr>
                <w:snapToGrid w:val="0"/>
              </w:rPr>
              <w:t>15,658</w:t>
            </w:r>
          </w:p>
        </w:tc>
        <w:tc>
          <w:tcPr>
            <w:tcW w:w="796" w:type="pct"/>
            <w:shd w:val="pct5" w:color="auto" w:fill="FFFFFF"/>
          </w:tcPr>
          <w:p w14:paraId="17A04BA6" w14:textId="77777777" w:rsidR="0064551D" w:rsidRPr="00155597" w:rsidRDefault="0064551D" w:rsidP="0064551D">
            <w:pPr>
              <w:rPr>
                <w:snapToGrid w:val="0"/>
              </w:rPr>
            </w:pPr>
            <w:r w:rsidRPr="00155597">
              <w:rPr>
                <w:snapToGrid w:val="0"/>
              </w:rPr>
              <w:t>12,876</w:t>
            </w:r>
          </w:p>
        </w:tc>
        <w:tc>
          <w:tcPr>
            <w:tcW w:w="796" w:type="pct"/>
            <w:shd w:val="pct5" w:color="auto" w:fill="FFFFFF"/>
          </w:tcPr>
          <w:p w14:paraId="7B82D64C" w14:textId="77777777" w:rsidR="0064551D" w:rsidRPr="00155597" w:rsidRDefault="0064551D" w:rsidP="0064551D">
            <w:pPr>
              <w:rPr>
                <w:snapToGrid w:val="0"/>
              </w:rPr>
            </w:pPr>
            <w:r w:rsidRPr="00155597">
              <w:rPr>
                <w:snapToGrid w:val="0"/>
              </w:rPr>
              <w:t>6,318</w:t>
            </w:r>
          </w:p>
        </w:tc>
        <w:tc>
          <w:tcPr>
            <w:tcW w:w="796" w:type="pct"/>
            <w:shd w:val="pct5" w:color="auto" w:fill="FFFFFF"/>
          </w:tcPr>
          <w:p w14:paraId="65642E3F" w14:textId="77777777" w:rsidR="0064551D" w:rsidRPr="00155597" w:rsidRDefault="0064551D" w:rsidP="0064551D">
            <w:pPr>
              <w:rPr>
                <w:snapToGrid w:val="0"/>
              </w:rPr>
            </w:pPr>
            <w:r w:rsidRPr="00155597">
              <w:rPr>
                <w:snapToGrid w:val="0"/>
              </w:rPr>
              <w:t>84,418</w:t>
            </w:r>
          </w:p>
        </w:tc>
      </w:tr>
    </w:tbl>
    <w:p w14:paraId="2A4532E9" w14:textId="77777777" w:rsidR="0064551D" w:rsidRPr="00155597" w:rsidRDefault="0064551D" w:rsidP="00D671F8">
      <w:pPr>
        <w:pStyle w:val="SL-FlLftSgl"/>
        <w:spacing w:line="240" w:lineRule="auto"/>
        <w:jc w:val="left"/>
        <w:rPr>
          <w:sz w:val="24"/>
          <w:szCs w:val="24"/>
        </w:rPr>
      </w:pPr>
    </w:p>
    <w:p w14:paraId="7F58D6CB" w14:textId="77777777" w:rsidR="00855725" w:rsidRDefault="004C4A93" w:rsidP="004C4A93">
      <w:pPr>
        <w:spacing w:after="120"/>
      </w:pPr>
      <w:r w:rsidRPr="00155597">
        <w:t xml:space="preserve">The sampling frame for SSOCS:2020 </w:t>
      </w:r>
      <w:r w:rsidR="000F69C5">
        <w:t>will be</w:t>
      </w:r>
      <w:r w:rsidR="0060049F">
        <w:t xml:space="preserve"> </w:t>
      </w:r>
      <w:r w:rsidRPr="00155597">
        <w:t xml:space="preserve">constructed from the </w:t>
      </w:r>
      <w:r w:rsidR="008549A6" w:rsidRPr="00155597">
        <w:t xml:space="preserve">public school </w:t>
      </w:r>
      <w:r w:rsidRPr="00155597">
        <w:t xml:space="preserve">sampling frame </w:t>
      </w:r>
      <w:r w:rsidR="00CC1E5B">
        <w:t xml:space="preserve">originally planned </w:t>
      </w:r>
      <w:r w:rsidRPr="00155597">
        <w:t>for the 2019</w:t>
      </w:r>
      <w:r w:rsidR="00485B3F">
        <w:t>–</w:t>
      </w:r>
      <w:r w:rsidRPr="00155597">
        <w:t>20 NTPS</w:t>
      </w:r>
      <w:r w:rsidR="008549A6">
        <w:t>,</w:t>
      </w:r>
      <w:r w:rsidRPr="00155597">
        <w:rPr>
          <w:rStyle w:val="FootnoteReference"/>
        </w:rPr>
        <w:footnoteReference w:id="3"/>
      </w:r>
      <w:r w:rsidRPr="00155597">
        <w:t xml:space="preserve"> </w:t>
      </w:r>
      <w:r w:rsidR="008549A6">
        <w:t>which</w:t>
      </w:r>
      <w:r w:rsidRPr="00155597">
        <w:t xml:space="preserve"> </w:t>
      </w:r>
      <w:r w:rsidR="000F69C5">
        <w:t>will be</w:t>
      </w:r>
      <w:r w:rsidRPr="00155597">
        <w:t xml:space="preserve"> constructed from the Public Elementary/Secondary School Universe data file of the 2017–18 CCD</w:t>
      </w:r>
      <w:r w:rsidR="000F69C5">
        <w:t xml:space="preserve"> (scheduled to be released in </w:t>
      </w:r>
      <w:r w:rsidR="008549A6">
        <w:t>April/May</w:t>
      </w:r>
      <w:r w:rsidR="000F69C5">
        <w:t xml:space="preserve"> </w:t>
      </w:r>
      <w:r w:rsidR="00D34240">
        <w:t xml:space="preserve">of </w:t>
      </w:r>
      <w:r w:rsidR="000F69C5">
        <w:t>2019)</w:t>
      </w:r>
      <w:r w:rsidRPr="00155597">
        <w:t>. The size of the SSOCS:2020 population is estimated to be approximately 84,400 schools.</w:t>
      </w:r>
    </w:p>
    <w:p w14:paraId="6AE2CE30" w14:textId="0160F30C" w:rsidR="00100A67" w:rsidRDefault="00AD65C3" w:rsidP="004C4A93">
      <w:pPr>
        <w:spacing w:after="120"/>
      </w:pPr>
      <w:r w:rsidRPr="00155597">
        <w:t xml:space="preserve">Tables 3 and 4 show </w:t>
      </w:r>
      <w:r w:rsidRPr="00AD65C3">
        <w:t xml:space="preserve">the </w:t>
      </w:r>
      <w:r w:rsidR="00100A67">
        <w:t xml:space="preserve">estimated </w:t>
      </w:r>
      <w:r w:rsidRPr="00AD65C3">
        <w:t xml:space="preserve">expected </w:t>
      </w:r>
      <w:r w:rsidR="00612663" w:rsidRPr="00155597">
        <w:t>distribution of the public school sampling universe for SSOCS:2020</w:t>
      </w:r>
      <w:r w:rsidRPr="00AD65C3">
        <w:t xml:space="preserve">, </w:t>
      </w:r>
      <w:r w:rsidR="005A34AF">
        <w:t xml:space="preserve">by school level and </w:t>
      </w:r>
      <w:r w:rsidR="00B94B01" w:rsidRPr="00B94B01">
        <w:t xml:space="preserve">urbanicity </w:t>
      </w:r>
      <w:r w:rsidR="005A34AF">
        <w:t xml:space="preserve">and by school level and </w:t>
      </w:r>
      <w:r w:rsidR="00B94B01">
        <w:t xml:space="preserve">enrollment size, respectively. Tables 3 and 4 </w:t>
      </w:r>
      <w:r w:rsidR="00100A67">
        <w:t xml:space="preserve">reflect </w:t>
      </w:r>
      <w:r w:rsidR="00100A67" w:rsidRPr="00AD65C3">
        <w:t xml:space="preserve">the expected numbers </w:t>
      </w:r>
      <w:r w:rsidR="00452E39">
        <w:t>as</w:t>
      </w:r>
      <w:r w:rsidR="00100A67" w:rsidRPr="00AD65C3">
        <w:t xml:space="preserve"> estimated using the 2014-15 </w:t>
      </w:r>
      <w:r w:rsidR="00452E39" w:rsidRPr="00155597">
        <w:t>CCD</w:t>
      </w:r>
      <w:r w:rsidR="00452E39" w:rsidRPr="00AD65C3">
        <w:t xml:space="preserve"> </w:t>
      </w:r>
      <w:r w:rsidR="00100A67" w:rsidRPr="00AD65C3">
        <w:t>universe</w:t>
      </w:r>
      <w:r w:rsidR="00452E39">
        <w:t xml:space="preserve">, because the </w:t>
      </w:r>
      <w:r w:rsidR="00452E39" w:rsidRPr="00AD65C3">
        <w:t>2017-18 CCD</w:t>
      </w:r>
      <w:r w:rsidR="00452E39">
        <w:t xml:space="preserve"> file, based on which the </w:t>
      </w:r>
      <w:r w:rsidR="00452E39" w:rsidRPr="00155597">
        <w:t>SSOCS:2020</w:t>
      </w:r>
      <w:r w:rsidR="00452E39">
        <w:t xml:space="preserve"> </w:t>
      </w:r>
      <w:r w:rsidR="00E76AAA">
        <w:t xml:space="preserve">frame </w:t>
      </w:r>
      <w:r w:rsidR="00452E39">
        <w:t>will be built</w:t>
      </w:r>
      <w:r w:rsidR="00E76AAA">
        <w:t>, is</w:t>
      </w:r>
      <w:r w:rsidR="00452E39">
        <w:t xml:space="preserve"> not </w:t>
      </w:r>
      <w:r w:rsidR="00E76AAA">
        <w:t xml:space="preserve">yet </w:t>
      </w:r>
      <w:r w:rsidR="00452E39">
        <w:t>available at the time of this submission.</w:t>
      </w:r>
    </w:p>
    <w:p w14:paraId="0D500574" w14:textId="77777777" w:rsidR="004C4A93" w:rsidRPr="00155597" w:rsidRDefault="004C4A93" w:rsidP="004C4A93">
      <w:pPr>
        <w:pStyle w:val="Heading7"/>
        <w:spacing w:before="0" w:after="0"/>
        <w:ind w:left="907" w:hanging="907"/>
        <w:rPr>
          <w:rFonts w:ascii="Times New Roman" w:hAnsi="Times New Roman"/>
          <w:b/>
          <w:bCs/>
        </w:rPr>
      </w:pPr>
      <w:r w:rsidRPr="00155597">
        <w:rPr>
          <w:rFonts w:ascii="Times New Roman" w:hAnsi="Times New Roman"/>
          <w:b/>
          <w:bCs/>
        </w:rPr>
        <w:t xml:space="preserve">Table 3. Expected respondent universe for the </w:t>
      </w:r>
      <w:r w:rsidRPr="00155597">
        <w:rPr>
          <w:rFonts w:ascii="Times New Roman" w:hAnsi="Times New Roman"/>
          <w:b/>
        </w:rPr>
        <w:t>SSOCS:2020</w:t>
      </w:r>
      <w:r w:rsidRPr="00155597">
        <w:rPr>
          <w:rFonts w:ascii="Times New Roman" w:hAnsi="Times New Roman"/>
          <w:b/>
          <w:bCs/>
        </w:rPr>
        <w:t xml:space="preserve"> public school sample, by school level and urbanicity, based on the 2014-15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1710"/>
        <w:gridCol w:w="1708"/>
        <w:gridCol w:w="1708"/>
        <w:gridCol w:w="1701"/>
        <w:gridCol w:w="1706"/>
      </w:tblGrid>
      <w:tr w:rsidR="004C4A93" w:rsidRPr="00155597" w14:paraId="615A8439" w14:textId="77777777" w:rsidTr="009F74CA">
        <w:tc>
          <w:tcPr>
            <w:tcW w:w="1023" w:type="pct"/>
          </w:tcPr>
          <w:p w14:paraId="51EDF18E" w14:textId="77777777" w:rsidR="004C4A93" w:rsidRPr="00155597" w:rsidRDefault="004C4A93" w:rsidP="009F74CA">
            <w:r w:rsidRPr="00155597">
              <w:t>Urbanicity</w:t>
            </w:r>
          </w:p>
        </w:tc>
        <w:tc>
          <w:tcPr>
            <w:tcW w:w="797" w:type="pct"/>
          </w:tcPr>
          <w:p w14:paraId="3058BA31" w14:textId="77777777" w:rsidR="004C4A93" w:rsidRPr="00155597" w:rsidRDefault="004C4A93" w:rsidP="009F74CA">
            <w:r w:rsidRPr="00155597">
              <w:t>Primary</w:t>
            </w:r>
          </w:p>
        </w:tc>
        <w:tc>
          <w:tcPr>
            <w:tcW w:w="796" w:type="pct"/>
          </w:tcPr>
          <w:p w14:paraId="56EBA8F7" w14:textId="77777777" w:rsidR="004C4A93" w:rsidRPr="00155597" w:rsidRDefault="004C4A93" w:rsidP="009F74CA">
            <w:r w:rsidRPr="00155597">
              <w:t>Middle</w:t>
            </w:r>
          </w:p>
        </w:tc>
        <w:tc>
          <w:tcPr>
            <w:tcW w:w="796" w:type="pct"/>
          </w:tcPr>
          <w:p w14:paraId="29BDEA4B" w14:textId="77777777" w:rsidR="004C4A93" w:rsidRPr="00155597" w:rsidRDefault="004C4A93" w:rsidP="009F74CA">
            <w:r w:rsidRPr="00155597">
              <w:t>High</w:t>
            </w:r>
          </w:p>
        </w:tc>
        <w:tc>
          <w:tcPr>
            <w:tcW w:w="793" w:type="pct"/>
            <w:shd w:val="clear" w:color="auto" w:fill="auto"/>
          </w:tcPr>
          <w:p w14:paraId="75D1FB8F" w14:textId="77777777" w:rsidR="004C4A93" w:rsidRPr="00155597" w:rsidRDefault="004C4A93" w:rsidP="009F74CA">
            <w:r w:rsidRPr="00155597">
              <w:t>Combined</w:t>
            </w:r>
          </w:p>
        </w:tc>
        <w:tc>
          <w:tcPr>
            <w:tcW w:w="796" w:type="pct"/>
            <w:shd w:val="pct5" w:color="auto" w:fill="FFFFFF"/>
          </w:tcPr>
          <w:p w14:paraId="13ACA59F" w14:textId="77777777" w:rsidR="004C4A93" w:rsidRPr="00155597" w:rsidRDefault="004C4A93" w:rsidP="009F74CA">
            <w:r w:rsidRPr="00155597">
              <w:t>Total</w:t>
            </w:r>
          </w:p>
        </w:tc>
      </w:tr>
      <w:tr w:rsidR="004C4A93" w:rsidRPr="00155597" w14:paraId="7D095AFE" w14:textId="77777777" w:rsidTr="009F74CA">
        <w:tc>
          <w:tcPr>
            <w:tcW w:w="1023" w:type="pct"/>
          </w:tcPr>
          <w:p w14:paraId="688F7923" w14:textId="77777777" w:rsidR="004C4A93" w:rsidRPr="00155597" w:rsidRDefault="004C4A93" w:rsidP="009F74CA">
            <w:r w:rsidRPr="00155597">
              <w:t>City</w:t>
            </w:r>
          </w:p>
        </w:tc>
        <w:tc>
          <w:tcPr>
            <w:tcW w:w="797" w:type="pct"/>
          </w:tcPr>
          <w:p w14:paraId="63272C46" w14:textId="77777777" w:rsidR="004C4A93" w:rsidRPr="00155597" w:rsidRDefault="004C4A93" w:rsidP="009F74CA">
            <w:pPr>
              <w:pStyle w:val="Footer"/>
              <w:rPr>
                <w:rFonts w:ascii="Times New Roman" w:hAnsi="Times New Roman"/>
                <w:b w:val="0"/>
                <w:snapToGrid w:val="0"/>
                <w:sz w:val="24"/>
                <w:szCs w:val="24"/>
              </w:rPr>
            </w:pPr>
            <w:r w:rsidRPr="00155597">
              <w:rPr>
                <w:rFonts w:ascii="Times New Roman" w:hAnsi="Times New Roman"/>
                <w:b w:val="0"/>
                <w:snapToGrid w:val="0"/>
                <w:sz w:val="24"/>
                <w:szCs w:val="24"/>
              </w:rPr>
              <w:t>14,938</w:t>
            </w:r>
          </w:p>
        </w:tc>
        <w:tc>
          <w:tcPr>
            <w:tcW w:w="796" w:type="pct"/>
          </w:tcPr>
          <w:p w14:paraId="70DA5D3B" w14:textId="77777777" w:rsidR="004C4A93" w:rsidRPr="00155597" w:rsidRDefault="004C4A93" w:rsidP="009F74CA">
            <w:pPr>
              <w:rPr>
                <w:snapToGrid w:val="0"/>
              </w:rPr>
            </w:pPr>
            <w:r w:rsidRPr="00155597">
              <w:rPr>
                <w:snapToGrid w:val="0"/>
              </w:rPr>
              <w:t>3,800</w:t>
            </w:r>
          </w:p>
        </w:tc>
        <w:tc>
          <w:tcPr>
            <w:tcW w:w="796" w:type="pct"/>
          </w:tcPr>
          <w:p w14:paraId="04379E8B" w14:textId="77777777" w:rsidR="004C4A93" w:rsidRPr="00155597" w:rsidRDefault="004C4A93" w:rsidP="009F74CA">
            <w:pPr>
              <w:rPr>
                <w:snapToGrid w:val="0"/>
              </w:rPr>
            </w:pPr>
            <w:r w:rsidRPr="00155597">
              <w:rPr>
                <w:snapToGrid w:val="0"/>
              </w:rPr>
              <w:t>3,402</w:t>
            </w:r>
          </w:p>
        </w:tc>
        <w:tc>
          <w:tcPr>
            <w:tcW w:w="793" w:type="pct"/>
            <w:shd w:val="clear" w:color="auto" w:fill="auto"/>
          </w:tcPr>
          <w:p w14:paraId="64C9E295" w14:textId="77777777" w:rsidR="004C4A93" w:rsidRPr="00155597" w:rsidRDefault="004C4A93" w:rsidP="009F74CA">
            <w:pPr>
              <w:rPr>
                <w:snapToGrid w:val="0"/>
              </w:rPr>
            </w:pPr>
            <w:r w:rsidRPr="00155597">
              <w:rPr>
                <w:snapToGrid w:val="0"/>
              </w:rPr>
              <w:t>1,109</w:t>
            </w:r>
          </w:p>
        </w:tc>
        <w:tc>
          <w:tcPr>
            <w:tcW w:w="796" w:type="pct"/>
            <w:shd w:val="pct5" w:color="auto" w:fill="FFFFFF"/>
          </w:tcPr>
          <w:p w14:paraId="30064ECA" w14:textId="77777777" w:rsidR="004C4A93" w:rsidRPr="00155597" w:rsidRDefault="004C4A93" w:rsidP="009F74CA">
            <w:pPr>
              <w:rPr>
                <w:snapToGrid w:val="0"/>
              </w:rPr>
            </w:pPr>
            <w:r w:rsidRPr="00155597">
              <w:rPr>
                <w:snapToGrid w:val="0"/>
              </w:rPr>
              <w:t>23,249</w:t>
            </w:r>
          </w:p>
        </w:tc>
      </w:tr>
      <w:tr w:rsidR="004C4A93" w:rsidRPr="00155597" w14:paraId="0822A226" w14:textId="77777777" w:rsidTr="009F74CA">
        <w:tc>
          <w:tcPr>
            <w:tcW w:w="1023" w:type="pct"/>
          </w:tcPr>
          <w:p w14:paraId="6AF4CAA4" w14:textId="77777777" w:rsidR="004C4A93" w:rsidRPr="00155597" w:rsidRDefault="004C4A93" w:rsidP="009F74CA">
            <w:r w:rsidRPr="00155597">
              <w:t>Suburb</w:t>
            </w:r>
          </w:p>
        </w:tc>
        <w:tc>
          <w:tcPr>
            <w:tcW w:w="797" w:type="pct"/>
          </w:tcPr>
          <w:p w14:paraId="4C0EE5E5" w14:textId="77777777" w:rsidR="004C4A93" w:rsidRPr="00155597" w:rsidRDefault="004C4A93" w:rsidP="009F74CA">
            <w:pPr>
              <w:rPr>
                <w:snapToGrid w:val="0"/>
              </w:rPr>
            </w:pPr>
            <w:r w:rsidRPr="00155597">
              <w:rPr>
                <w:snapToGrid w:val="0"/>
              </w:rPr>
              <w:t>17,410</w:t>
            </w:r>
          </w:p>
        </w:tc>
        <w:tc>
          <w:tcPr>
            <w:tcW w:w="796" w:type="pct"/>
          </w:tcPr>
          <w:p w14:paraId="729666D1" w14:textId="77777777" w:rsidR="004C4A93" w:rsidRPr="00155597" w:rsidRDefault="004C4A93" w:rsidP="009F74CA">
            <w:pPr>
              <w:rPr>
                <w:snapToGrid w:val="0"/>
              </w:rPr>
            </w:pPr>
            <w:r w:rsidRPr="00155597">
              <w:rPr>
                <w:snapToGrid w:val="0"/>
              </w:rPr>
              <w:t>5,596</w:t>
            </w:r>
          </w:p>
        </w:tc>
        <w:tc>
          <w:tcPr>
            <w:tcW w:w="796" w:type="pct"/>
          </w:tcPr>
          <w:p w14:paraId="0EF35DF5" w14:textId="77777777" w:rsidR="004C4A93" w:rsidRPr="00155597" w:rsidRDefault="004C4A93" w:rsidP="009F74CA">
            <w:pPr>
              <w:rPr>
                <w:snapToGrid w:val="0"/>
              </w:rPr>
            </w:pPr>
            <w:r w:rsidRPr="00155597">
              <w:rPr>
                <w:snapToGrid w:val="0"/>
              </w:rPr>
              <w:t>3,909</w:t>
            </w:r>
          </w:p>
        </w:tc>
        <w:tc>
          <w:tcPr>
            <w:tcW w:w="793" w:type="pct"/>
            <w:shd w:val="clear" w:color="auto" w:fill="auto"/>
          </w:tcPr>
          <w:p w14:paraId="29684790" w14:textId="77777777" w:rsidR="004C4A93" w:rsidRPr="00155597" w:rsidRDefault="004C4A93" w:rsidP="009F74CA">
            <w:pPr>
              <w:rPr>
                <w:snapToGrid w:val="0"/>
              </w:rPr>
            </w:pPr>
            <w:r w:rsidRPr="00155597">
              <w:rPr>
                <w:snapToGrid w:val="0"/>
              </w:rPr>
              <w:t>720</w:t>
            </w:r>
          </w:p>
        </w:tc>
        <w:tc>
          <w:tcPr>
            <w:tcW w:w="796" w:type="pct"/>
            <w:shd w:val="pct5" w:color="auto" w:fill="FFFFFF"/>
          </w:tcPr>
          <w:p w14:paraId="208E24B3" w14:textId="77777777" w:rsidR="004C4A93" w:rsidRPr="00155597" w:rsidRDefault="004C4A93" w:rsidP="009F74CA">
            <w:pPr>
              <w:rPr>
                <w:snapToGrid w:val="0"/>
              </w:rPr>
            </w:pPr>
            <w:r w:rsidRPr="00155597">
              <w:rPr>
                <w:snapToGrid w:val="0"/>
              </w:rPr>
              <w:t>27,635</w:t>
            </w:r>
          </w:p>
        </w:tc>
      </w:tr>
      <w:tr w:rsidR="004C4A93" w:rsidRPr="00155597" w14:paraId="3902FA3A" w14:textId="77777777" w:rsidTr="009F74CA">
        <w:tc>
          <w:tcPr>
            <w:tcW w:w="1023" w:type="pct"/>
            <w:tcBorders>
              <w:bottom w:val="nil"/>
            </w:tcBorders>
          </w:tcPr>
          <w:p w14:paraId="33B34B58" w14:textId="77777777" w:rsidR="004C4A93" w:rsidRPr="00155597" w:rsidRDefault="004C4A93" w:rsidP="009F74CA">
            <w:r w:rsidRPr="00155597">
              <w:t>Town</w:t>
            </w:r>
          </w:p>
        </w:tc>
        <w:tc>
          <w:tcPr>
            <w:tcW w:w="797" w:type="pct"/>
            <w:tcBorders>
              <w:bottom w:val="nil"/>
            </w:tcBorders>
          </w:tcPr>
          <w:p w14:paraId="005E4A03" w14:textId="77777777" w:rsidR="004C4A93" w:rsidRPr="00155597" w:rsidRDefault="004C4A93" w:rsidP="009F74CA">
            <w:pPr>
              <w:rPr>
                <w:snapToGrid w:val="0"/>
              </w:rPr>
            </w:pPr>
            <w:r w:rsidRPr="00155597">
              <w:rPr>
                <w:snapToGrid w:val="0"/>
              </w:rPr>
              <w:t>5,695</w:t>
            </w:r>
          </w:p>
        </w:tc>
        <w:tc>
          <w:tcPr>
            <w:tcW w:w="796" w:type="pct"/>
            <w:tcBorders>
              <w:bottom w:val="nil"/>
            </w:tcBorders>
          </w:tcPr>
          <w:p w14:paraId="3C49FCCD" w14:textId="77777777" w:rsidR="004C4A93" w:rsidRPr="00155597" w:rsidRDefault="004C4A93" w:rsidP="009F74CA">
            <w:pPr>
              <w:rPr>
                <w:snapToGrid w:val="0"/>
              </w:rPr>
            </w:pPr>
            <w:r w:rsidRPr="00155597">
              <w:rPr>
                <w:snapToGrid w:val="0"/>
              </w:rPr>
              <w:t>2,611</w:t>
            </w:r>
          </w:p>
        </w:tc>
        <w:tc>
          <w:tcPr>
            <w:tcW w:w="796" w:type="pct"/>
            <w:tcBorders>
              <w:bottom w:val="nil"/>
            </w:tcBorders>
          </w:tcPr>
          <w:p w14:paraId="7D7428A6" w14:textId="77777777" w:rsidR="004C4A93" w:rsidRPr="00155597" w:rsidRDefault="004C4A93" w:rsidP="009F74CA">
            <w:pPr>
              <w:rPr>
                <w:snapToGrid w:val="0"/>
              </w:rPr>
            </w:pPr>
            <w:r w:rsidRPr="00155597">
              <w:rPr>
                <w:snapToGrid w:val="0"/>
              </w:rPr>
              <w:t>2,104</w:t>
            </w:r>
          </w:p>
        </w:tc>
        <w:tc>
          <w:tcPr>
            <w:tcW w:w="793" w:type="pct"/>
            <w:shd w:val="clear" w:color="auto" w:fill="auto"/>
          </w:tcPr>
          <w:p w14:paraId="6C487145" w14:textId="77777777" w:rsidR="004C4A93" w:rsidRPr="00155597" w:rsidRDefault="004C4A93" w:rsidP="009F74CA">
            <w:pPr>
              <w:rPr>
                <w:snapToGrid w:val="0"/>
              </w:rPr>
            </w:pPr>
            <w:r w:rsidRPr="00155597">
              <w:rPr>
                <w:snapToGrid w:val="0"/>
              </w:rPr>
              <w:t>593</w:t>
            </w:r>
          </w:p>
        </w:tc>
        <w:tc>
          <w:tcPr>
            <w:tcW w:w="796" w:type="pct"/>
            <w:shd w:val="pct5" w:color="auto" w:fill="FFFFFF"/>
          </w:tcPr>
          <w:p w14:paraId="322E65C5" w14:textId="77777777" w:rsidR="004C4A93" w:rsidRPr="00155597" w:rsidRDefault="004C4A93" w:rsidP="009F74CA">
            <w:pPr>
              <w:rPr>
                <w:snapToGrid w:val="0"/>
              </w:rPr>
            </w:pPr>
            <w:r w:rsidRPr="00155597">
              <w:rPr>
                <w:snapToGrid w:val="0"/>
              </w:rPr>
              <w:t>11,003</w:t>
            </w:r>
          </w:p>
        </w:tc>
      </w:tr>
      <w:tr w:rsidR="004C4A93" w:rsidRPr="00155597" w14:paraId="79671696" w14:textId="77777777" w:rsidTr="009F74CA">
        <w:tc>
          <w:tcPr>
            <w:tcW w:w="1023" w:type="pct"/>
            <w:shd w:val="clear" w:color="auto" w:fill="auto"/>
          </w:tcPr>
          <w:p w14:paraId="42465DBC" w14:textId="77777777" w:rsidR="004C4A93" w:rsidRPr="00155597" w:rsidRDefault="004C4A93" w:rsidP="009F74CA">
            <w:r w:rsidRPr="00155597">
              <w:t>Rural</w:t>
            </w:r>
          </w:p>
        </w:tc>
        <w:tc>
          <w:tcPr>
            <w:tcW w:w="797" w:type="pct"/>
            <w:shd w:val="clear" w:color="auto" w:fill="auto"/>
          </w:tcPr>
          <w:p w14:paraId="2086C6E5" w14:textId="77777777" w:rsidR="004C4A93" w:rsidRPr="00155597" w:rsidRDefault="004C4A93" w:rsidP="009F74CA">
            <w:pPr>
              <w:rPr>
                <w:snapToGrid w:val="0"/>
              </w:rPr>
            </w:pPr>
            <w:r w:rsidRPr="00155597">
              <w:rPr>
                <w:snapToGrid w:val="0"/>
              </w:rPr>
              <w:t>11,537</w:t>
            </w:r>
          </w:p>
        </w:tc>
        <w:tc>
          <w:tcPr>
            <w:tcW w:w="796" w:type="pct"/>
            <w:shd w:val="clear" w:color="auto" w:fill="auto"/>
          </w:tcPr>
          <w:p w14:paraId="6D89119C" w14:textId="77777777" w:rsidR="004C4A93" w:rsidRPr="00155597" w:rsidRDefault="004C4A93" w:rsidP="009F74CA">
            <w:pPr>
              <w:rPr>
                <w:snapToGrid w:val="0"/>
              </w:rPr>
            </w:pPr>
            <w:r w:rsidRPr="00155597">
              <w:rPr>
                <w:snapToGrid w:val="0"/>
              </w:rPr>
              <w:t>3,418</w:t>
            </w:r>
          </w:p>
        </w:tc>
        <w:tc>
          <w:tcPr>
            <w:tcW w:w="796" w:type="pct"/>
            <w:shd w:val="clear" w:color="auto" w:fill="auto"/>
          </w:tcPr>
          <w:p w14:paraId="3E758662" w14:textId="77777777" w:rsidR="004C4A93" w:rsidRPr="00155597" w:rsidRDefault="004C4A93" w:rsidP="009F74CA">
            <w:pPr>
              <w:rPr>
                <w:snapToGrid w:val="0"/>
              </w:rPr>
            </w:pPr>
            <w:r w:rsidRPr="00155597">
              <w:rPr>
                <w:snapToGrid w:val="0"/>
              </w:rPr>
              <w:t>3,289</w:t>
            </w:r>
          </w:p>
        </w:tc>
        <w:tc>
          <w:tcPr>
            <w:tcW w:w="793" w:type="pct"/>
            <w:shd w:val="clear" w:color="auto" w:fill="auto"/>
          </w:tcPr>
          <w:p w14:paraId="3DB1290E" w14:textId="77777777" w:rsidR="004C4A93" w:rsidRPr="00155597" w:rsidRDefault="004C4A93" w:rsidP="009F74CA">
            <w:pPr>
              <w:rPr>
                <w:snapToGrid w:val="0"/>
              </w:rPr>
            </w:pPr>
            <w:r w:rsidRPr="00155597">
              <w:rPr>
                <w:snapToGrid w:val="0"/>
              </w:rPr>
              <w:t>4,292</w:t>
            </w:r>
          </w:p>
        </w:tc>
        <w:tc>
          <w:tcPr>
            <w:tcW w:w="796" w:type="pct"/>
            <w:shd w:val="pct5" w:color="auto" w:fill="FFFFFF"/>
          </w:tcPr>
          <w:p w14:paraId="5080D48D" w14:textId="77777777" w:rsidR="004C4A93" w:rsidRPr="00155597" w:rsidRDefault="004C4A93" w:rsidP="009F74CA">
            <w:pPr>
              <w:rPr>
                <w:snapToGrid w:val="0"/>
              </w:rPr>
            </w:pPr>
            <w:r w:rsidRPr="00155597">
              <w:rPr>
                <w:snapToGrid w:val="0"/>
              </w:rPr>
              <w:t>22,536</w:t>
            </w:r>
          </w:p>
        </w:tc>
      </w:tr>
      <w:tr w:rsidR="004C4A93" w:rsidRPr="00155597" w14:paraId="35D751D3" w14:textId="77777777" w:rsidTr="009F74CA">
        <w:tc>
          <w:tcPr>
            <w:tcW w:w="1023" w:type="pct"/>
            <w:shd w:val="pct5" w:color="auto" w:fill="FFFFFF"/>
          </w:tcPr>
          <w:p w14:paraId="02DA71E1" w14:textId="77777777" w:rsidR="004C4A93" w:rsidRPr="00155597" w:rsidRDefault="004C4A93" w:rsidP="009F74CA">
            <w:r w:rsidRPr="00155597">
              <w:t xml:space="preserve"> Total</w:t>
            </w:r>
          </w:p>
        </w:tc>
        <w:tc>
          <w:tcPr>
            <w:tcW w:w="797" w:type="pct"/>
            <w:shd w:val="pct5" w:color="auto" w:fill="FFFFFF"/>
          </w:tcPr>
          <w:p w14:paraId="114F821C" w14:textId="77777777" w:rsidR="004C4A93" w:rsidRPr="00155597" w:rsidRDefault="004C4A93" w:rsidP="009F74CA">
            <w:pPr>
              <w:rPr>
                <w:snapToGrid w:val="0"/>
              </w:rPr>
            </w:pPr>
            <w:r w:rsidRPr="00155597">
              <w:rPr>
                <w:snapToGrid w:val="0"/>
              </w:rPr>
              <w:t>49,580</w:t>
            </w:r>
          </w:p>
        </w:tc>
        <w:tc>
          <w:tcPr>
            <w:tcW w:w="796" w:type="pct"/>
            <w:shd w:val="pct5" w:color="auto" w:fill="FFFFFF"/>
          </w:tcPr>
          <w:p w14:paraId="323F1696" w14:textId="77777777" w:rsidR="004C4A93" w:rsidRPr="00155597" w:rsidRDefault="004C4A93" w:rsidP="009F74CA">
            <w:pPr>
              <w:rPr>
                <w:snapToGrid w:val="0"/>
              </w:rPr>
            </w:pPr>
            <w:r w:rsidRPr="00155597">
              <w:rPr>
                <w:snapToGrid w:val="0"/>
              </w:rPr>
              <w:t>15,425</w:t>
            </w:r>
          </w:p>
        </w:tc>
        <w:tc>
          <w:tcPr>
            <w:tcW w:w="796" w:type="pct"/>
            <w:shd w:val="pct5" w:color="auto" w:fill="FFFFFF"/>
          </w:tcPr>
          <w:p w14:paraId="39523BA1" w14:textId="77777777" w:rsidR="004C4A93" w:rsidRPr="00155597" w:rsidRDefault="004C4A93" w:rsidP="009F74CA">
            <w:pPr>
              <w:rPr>
                <w:snapToGrid w:val="0"/>
              </w:rPr>
            </w:pPr>
            <w:r w:rsidRPr="00155597">
              <w:rPr>
                <w:snapToGrid w:val="0"/>
              </w:rPr>
              <w:t>12,704</w:t>
            </w:r>
          </w:p>
        </w:tc>
        <w:tc>
          <w:tcPr>
            <w:tcW w:w="793" w:type="pct"/>
            <w:shd w:val="pct5" w:color="auto" w:fill="FFFFFF"/>
          </w:tcPr>
          <w:p w14:paraId="22C65FBD" w14:textId="77777777" w:rsidR="004C4A93" w:rsidRPr="00155597" w:rsidRDefault="004C4A93" w:rsidP="009F74CA">
            <w:pPr>
              <w:rPr>
                <w:snapToGrid w:val="0"/>
              </w:rPr>
            </w:pPr>
            <w:r w:rsidRPr="00155597">
              <w:rPr>
                <w:snapToGrid w:val="0"/>
              </w:rPr>
              <w:t>6,714</w:t>
            </w:r>
          </w:p>
        </w:tc>
        <w:tc>
          <w:tcPr>
            <w:tcW w:w="796" w:type="pct"/>
            <w:shd w:val="pct5" w:color="auto" w:fill="FFFFFF"/>
          </w:tcPr>
          <w:p w14:paraId="2F539DBE" w14:textId="77777777" w:rsidR="004C4A93" w:rsidRPr="00155597" w:rsidRDefault="004C4A93" w:rsidP="009F74CA">
            <w:pPr>
              <w:rPr>
                <w:snapToGrid w:val="0"/>
              </w:rPr>
            </w:pPr>
            <w:r w:rsidRPr="00155597">
              <w:rPr>
                <w:snapToGrid w:val="0"/>
              </w:rPr>
              <w:t>84,423</w:t>
            </w:r>
          </w:p>
        </w:tc>
      </w:tr>
    </w:tbl>
    <w:p w14:paraId="206AD04A" w14:textId="77777777" w:rsidR="004C4A93" w:rsidRPr="00155597" w:rsidRDefault="004C4A93" w:rsidP="004C4A93"/>
    <w:p w14:paraId="3CC5690C" w14:textId="77777777" w:rsidR="004C4A93" w:rsidRPr="00155597" w:rsidRDefault="004C4A93" w:rsidP="004C4A93">
      <w:pPr>
        <w:pStyle w:val="Heading7"/>
        <w:spacing w:before="0" w:after="0"/>
        <w:ind w:left="900" w:hanging="900"/>
        <w:rPr>
          <w:rFonts w:ascii="Times New Roman" w:hAnsi="Times New Roman"/>
          <w:b/>
          <w:bCs/>
        </w:rPr>
      </w:pPr>
      <w:r w:rsidRPr="00155597">
        <w:rPr>
          <w:rFonts w:ascii="Times New Roman" w:hAnsi="Times New Roman"/>
          <w:b/>
          <w:bCs/>
        </w:rPr>
        <w:t xml:space="preserve">Table 4. Expected respondent universe for the </w:t>
      </w:r>
      <w:r w:rsidRPr="00155597">
        <w:rPr>
          <w:rFonts w:ascii="Times New Roman" w:hAnsi="Times New Roman"/>
          <w:b/>
        </w:rPr>
        <w:t xml:space="preserve">SSOCS:2020 </w:t>
      </w:r>
      <w:r w:rsidRPr="00155597">
        <w:rPr>
          <w:rFonts w:ascii="Times New Roman" w:hAnsi="Times New Roman"/>
          <w:b/>
          <w:bCs/>
        </w:rPr>
        <w:t>public school sample, by school level and enrollment size, based on the 2014-15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1701"/>
        <w:gridCol w:w="1708"/>
        <w:gridCol w:w="1708"/>
        <w:gridCol w:w="1708"/>
        <w:gridCol w:w="1708"/>
      </w:tblGrid>
      <w:tr w:rsidR="004C4A93" w:rsidRPr="00155597" w14:paraId="25A43740" w14:textId="77777777" w:rsidTr="009F74CA">
        <w:tc>
          <w:tcPr>
            <w:tcW w:w="1023" w:type="pct"/>
            <w:vAlign w:val="bottom"/>
          </w:tcPr>
          <w:p w14:paraId="7C5BB3BE" w14:textId="77777777" w:rsidR="004C4A93" w:rsidRPr="00155597" w:rsidRDefault="004C4A93" w:rsidP="009F74CA">
            <w:r w:rsidRPr="00155597">
              <w:t>Enrollment size</w:t>
            </w:r>
          </w:p>
        </w:tc>
        <w:tc>
          <w:tcPr>
            <w:tcW w:w="793" w:type="pct"/>
            <w:vAlign w:val="bottom"/>
          </w:tcPr>
          <w:p w14:paraId="650B7DAD" w14:textId="77777777" w:rsidR="004C4A93" w:rsidRPr="00155597" w:rsidRDefault="004C4A93" w:rsidP="009F74CA">
            <w:r w:rsidRPr="00155597">
              <w:t>Primary</w:t>
            </w:r>
          </w:p>
        </w:tc>
        <w:tc>
          <w:tcPr>
            <w:tcW w:w="796" w:type="pct"/>
            <w:vAlign w:val="bottom"/>
          </w:tcPr>
          <w:p w14:paraId="04E14738" w14:textId="77777777" w:rsidR="004C4A93" w:rsidRPr="00155597" w:rsidRDefault="004C4A93" w:rsidP="009F74CA">
            <w:r w:rsidRPr="00155597">
              <w:t>Middle</w:t>
            </w:r>
          </w:p>
        </w:tc>
        <w:tc>
          <w:tcPr>
            <w:tcW w:w="796" w:type="pct"/>
            <w:vAlign w:val="bottom"/>
          </w:tcPr>
          <w:p w14:paraId="5175DC00" w14:textId="77777777" w:rsidR="004C4A93" w:rsidRPr="00155597" w:rsidRDefault="004C4A93" w:rsidP="009F74CA">
            <w:r w:rsidRPr="00155597">
              <w:t>High</w:t>
            </w:r>
          </w:p>
        </w:tc>
        <w:tc>
          <w:tcPr>
            <w:tcW w:w="796" w:type="pct"/>
            <w:shd w:val="clear" w:color="auto" w:fill="auto"/>
            <w:vAlign w:val="bottom"/>
          </w:tcPr>
          <w:p w14:paraId="3185CFBB" w14:textId="77777777" w:rsidR="004C4A93" w:rsidRPr="00155597" w:rsidRDefault="004C4A93" w:rsidP="009F74CA">
            <w:r w:rsidRPr="00155597">
              <w:t>Combined</w:t>
            </w:r>
          </w:p>
        </w:tc>
        <w:tc>
          <w:tcPr>
            <w:tcW w:w="796" w:type="pct"/>
            <w:shd w:val="pct5" w:color="auto" w:fill="FFFFFF"/>
            <w:vAlign w:val="bottom"/>
          </w:tcPr>
          <w:p w14:paraId="757F09B4" w14:textId="77777777" w:rsidR="004C4A93" w:rsidRPr="00155597" w:rsidRDefault="004C4A93" w:rsidP="009F74CA">
            <w:r w:rsidRPr="00155597">
              <w:t>Total</w:t>
            </w:r>
          </w:p>
        </w:tc>
      </w:tr>
      <w:tr w:rsidR="004C4A93" w:rsidRPr="00155597" w14:paraId="02CEC592" w14:textId="77777777" w:rsidTr="009F74CA">
        <w:tc>
          <w:tcPr>
            <w:tcW w:w="1023" w:type="pct"/>
          </w:tcPr>
          <w:p w14:paraId="27E86BA4" w14:textId="77777777" w:rsidR="004C4A93" w:rsidRPr="00155597" w:rsidRDefault="004C4A93" w:rsidP="009F74CA">
            <w:r w:rsidRPr="00155597">
              <w:t>Less than 300</w:t>
            </w:r>
          </w:p>
        </w:tc>
        <w:tc>
          <w:tcPr>
            <w:tcW w:w="793" w:type="pct"/>
          </w:tcPr>
          <w:p w14:paraId="1A7640CE" w14:textId="77777777" w:rsidR="004C4A93" w:rsidRPr="00155597" w:rsidRDefault="004C4A93" w:rsidP="009F74CA">
            <w:pPr>
              <w:pStyle w:val="Footer"/>
              <w:rPr>
                <w:rFonts w:ascii="Times New Roman" w:hAnsi="Times New Roman"/>
                <w:b w:val="0"/>
                <w:snapToGrid w:val="0"/>
                <w:sz w:val="24"/>
                <w:szCs w:val="24"/>
              </w:rPr>
            </w:pPr>
            <w:r w:rsidRPr="00155597">
              <w:rPr>
                <w:rFonts w:ascii="Times New Roman" w:hAnsi="Times New Roman"/>
                <w:b w:val="0"/>
                <w:snapToGrid w:val="0"/>
                <w:sz w:val="24"/>
                <w:szCs w:val="24"/>
              </w:rPr>
              <w:t>10,371</w:t>
            </w:r>
          </w:p>
        </w:tc>
        <w:tc>
          <w:tcPr>
            <w:tcW w:w="796" w:type="pct"/>
          </w:tcPr>
          <w:p w14:paraId="45A0EA97" w14:textId="77777777" w:rsidR="004C4A93" w:rsidRPr="00155597" w:rsidRDefault="004C4A93" w:rsidP="009F74CA">
            <w:pPr>
              <w:rPr>
                <w:snapToGrid w:val="0"/>
              </w:rPr>
            </w:pPr>
            <w:r w:rsidRPr="00155597">
              <w:rPr>
                <w:snapToGrid w:val="0"/>
              </w:rPr>
              <w:t>2,757</w:t>
            </w:r>
          </w:p>
        </w:tc>
        <w:tc>
          <w:tcPr>
            <w:tcW w:w="796" w:type="pct"/>
          </w:tcPr>
          <w:p w14:paraId="49546ED5" w14:textId="77777777" w:rsidR="004C4A93" w:rsidRPr="00155597" w:rsidRDefault="004C4A93" w:rsidP="009F74CA">
            <w:pPr>
              <w:rPr>
                <w:snapToGrid w:val="0"/>
              </w:rPr>
            </w:pPr>
            <w:r w:rsidRPr="00155597">
              <w:rPr>
                <w:snapToGrid w:val="0"/>
              </w:rPr>
              <w:t>2,254</w:t>
            </w:r>
          </w:p>
        </w:tc>
        <w:tc>
          <w:tcPr>
            <w:tcW w:w="796" w:type="pct"/>
            <w:shd w:val="clear" w:color="auto" w:fill="auto"/>
          </w:tcPr>
          <w:p w14:paraId="472CC243" w14:textId="77777777" w:rsidR="004C4A93" w:rsidRPr="00155597" w:rsidRDefault="004C4A93" w:rsidP="009F74CA">
            <w:pPr>
              <w:rPr>
                <w:snapToGrid w:val="0"/>
              </w:rPr>
            </w:pPr>
            <w:r w:rsidRPr="00155597">
              <w:rPr>
                <w:snapToGrid w:val="0"/>
              </w:rPr>
              <w:t>2,871</w:t>
            </w:r>
          </w:p>
        </w:tc>
        <w:tc>
          <w:tcPr>
            <w:tcW w:w="796" w:type="pct"/>
            <w:shd w:val="pct5" w:color="auto" w:fill="FFFFFF"/>
          </w:tcPr>
          <w:p w14:paraId="1B2558DD" w14:textId="77777777" w:rsidR="004C4A93" w:rsidRPr="00155597" w:rsidRDefault="004C4A93" w:rsidP="009F74CA">
            <w:pPr>
              <w:rPr>
                <w:snapToGrid w:val="0"/>
              </w:rPr>
            </w:pPr>
            <w:r w:rsidRPr="00155597">
              <w:rPr>
                <w:snapToGrid w:val="0"/>
              </w:rPr>
              <w:t>18,253</w:t>
            </w:r>
          </w:p>
        </w:tc>
      </w:tr>
      <w:tr w:rsidR="004C4A93" w:rsidRPr="00155597" w14:paraId="0C6AAA32" w14:textId="77777777" w:rsidTr="009F74CA">
        <w:tc>
          <w:tcPr>
            <w:tcW w:w="1023" w:type="pct"/>
          </w:tcPr>
          <w:p w14:paraId="517E16C1" w14:textId="77777777" w:rsidR="004C4A93" w:rsidRPr="00155597" w:rsidRDefault="004C4A93" w:rsidP="009F74CA">
            <w:r w:rsidRPr="00155597">
              <w:t>300–499</w:t>
            </w:r>
          </w:p>
        </w:tc>
        <w:tc>
          <w:tcPr>
            <w:tcW w:w="793" w:type="pct"/>
          </w:tcPr>
          <w:p w14:paraId="6D3BC41A" w14:textId="77777777" w:rsidR="004C4A93" w:rsidRPr="00155597" w:rsidRDefault="004C4A93" w:rsidP="009F74CA">
            <w:pPr>
              <w:rPr>
                <w:snapToGrid w:val="0"/>
              </w:rPr>
            </w:pPr>
            <w:r w:rsidRPr="00155597">
              <w:rPr>
                <w:snapToGrid w:val="0"/>
              </w:rPr>
              <w:t>18,193</w:t>
            </w:r>
          </w:p>
        </w:tc>
        <w:tc>
          <w:tcPr>
            <w:tcW w:w="796" w:type="pct"/>
          </w:tcPr>
          <w:p w14:paraId="28DF100F" w14:textId="77777777" w:rsidR="004C4A93" w:rsidRPr="00155597" w:rsidRDefault="004C4A93" w:rsidP="009F74CA">
            <w:pPr>
              <w:rPr>
                <w:snapToGrid w:val="0"/>
              </w:rPr>
            </w:pPr>
            <w:r w:rsidRPr="00155597">
              <w:rPr>
                <w:snapToGrid w:val="0"/>
              </w:rPr>
              <w:t>3,467</w:t>
            </w:r>
          </w:p>
        </w:tc>
        <w:tc>
          <w:tcPr>
            <w:tcW w:w="796" w:type="pct"/>
          </w:tcPr>
          <w:p w14:paraId="1077D79C" w14:textId="77777777" w:rsidR="004C4A93" w:rsidRPr="00155597" w:rsidRDefault="004C4A93" w:rsidP="009F74CA">
            <w:pPr>
              <w:rPr>
                <w:snapToGrid w:val="0"/>
              </w:rPr>
            </w:pPr>
            <w:r w:rsidRPr="00155597">
              <w:rPr>
                <w:snapToGrid w:val="0"/>
              </w:rPr>
              <w:t>2,029</w:t>
            </w:r>
          </w:p>
        </w:tc>
        <w:tc>
          <w:tcPr>
            <w:tcW w:w="796" w:type="pct"/>
            <w:shd w:val="clear" w:color="auto" w:fill="auto"/>
          </w:tcPr>
          <w:p w14:paraId="60972C13" w14:textId="77777777" w:rsidR="004C4A93" w:rsidRPr="00155597" w:rsidRDefault="004C4A93" w:rsidP="009F74CA">
            <w:pPr>
              <w:rPr>
                <w:snapToGrid w:val="0"/>
              </w:rPr>
            </w:pPr>
            <w:r w:rsidRPr="00155597">
              <w:rPr>
                <w:snapToGrid w:val="0"/>
              </w:rPr>
              <w:t>1,652</w:t>
            </w:r>
          </w:p>
        </w:tc>
        <w:tc>
          <w:tcPr>
            <w:tcW w:w="796" w:type="pct"/>
            <w:shd w:val="pct5" w:color="auto" w:fill="FFFFFF"/>
          </w:tcPr>
          <w:p w14:paraId="2282BBC8" w14:textId="77777777" w:rsidR="004C4A93" w:rsidRPr="00155597" w:rsidRDefault="004C4A93" w:rsidP="009F74CA">
            <w:pPr>
              <w:rPr>
                <w:snapToGrid w:val="0"/>
              </w:rPr>
            </w:pPr>
            <w:r w:rsidRPr="00155597">
              <w:rPr>
                <w:snapToGrid w:val="0"/>
              </w:rPr>
              <w:t>25,341</w:t>
            </w:r>
          </w:p>
        </w:tc>
      </w:tr>
      <w:tr w:rsidR="004C4A93" w:rsidRPr="00155597" w14:paraId="441EE504" w14:textId="77777777" w:rsidTr="009F74CA">
        <w:tc>
          <w:tcPr>
            <w:tcW w:w="1023" w:type="pct"/>
            <w:tcBorders>
              <w:bottom w:val="nil"/>
            </w:tcBorders>
          </w:tcPr>
          <w:p w14:paraId="730FFF07" w14:textId="77777777" w:rsidR="004C4A93" w:rsidRPr="00155597" w:rsidRDefault="004C4A93" w:rsidP="009F74CA">
            <w:r w:rsidRPr="00155597">
              <w:t>500–999</w:t>
            </w:r>
          </w:p>
        </w:tc>
        <w:tc>
          <w:tcPr>
            <w:tcW w:w="793" w:type="pct"/>
            <w:tcBorders>
              <w:bottom w:val="nil"/>
            </w:tcBorders>
          </w:tcPr>
          <w:p w14:paraId="47B79898" w14:textId="77777777" w:rsidR="004C4A93" w:rsidRPr="00155597" w:rsidRDefault="004C4A93" w:rsidP="009F74CA">
            <w:pPr>
              <w:rPr>
                <w:snapToGrid w:val="0"/>
              </w:rPr>
            </w:pPr>
            <w:r w:rsidRPr="00155597">
              <w:rPr>
                <w:snapToGrid w:val="0"/>
              </w:rPr>
              <w:t>19,934</w:t>
            </w:r>
          </w:p>
        </w:tc>
        <w:tc>
          <w:tcPr>
            <w:tcW w:w="796" w:type="pct"/>
            <w:tcBorders>
              <w:bottom w:val="nil"/>
            </w:tcBorders>
          </w:tcPr>
          <w:p w14:paraId="6965CC2B" w14:textId="77777777" w:rsidR="004C4A93" w:rsidRPr="00155597" w:rsidRDefault="004C4A93" w:rsidP="009F74CA">
            <w:pPr>
              <w:rPr>
                <w:snapToGrid w:val="0"/>
              </w:rPr>
            </w:pPr>
            <w:r w:rsidRPr="00155597">
              <w:rPr>
                <w:snapToGrid w:val="0"/>
              </w:rPr>
              <w:t>7,322</w:t>
            </w:r>
          </w:p>
        </w:tc>
        <w:tc>
          <w:tcPr>
            <w:tcW w:w="796" w:type="pct"/>
            <w:tcBorders>
              <w:bottom w:val="nil"/>
            </w:tcBorders>
          </w:tcPr>
          <w:p w14:paraId="01567C5F" w14:textId="77777777" w:rsidR="004C4A93" w:rsidRPr="00155597" w:rsidRDefault="004C4A93" w:rsidP="009F74CA">
            <w:pPr>
              <w:rPr>
                <w:snapToGrid w:val="0"/>
              </w:rPr>
            </w:pPr>
            <w:r w:rsidRPr="00155597">
              <w:rPr>
                <w:snapToGrid w:val="0"/>
              </w:rPr>
              <w:t>3,047</w:t>
            </w:r>
          </w:p>
        </w:tc>
        <w:tc>
          <w:tcPr>
            <w:tcW w:w="796" w:type="pct"/>
            <w:shd w:val="clear" w:color="auto" w:fill="auto"/>
          </w:tcPr>
          <w:p w14:paraId="6DEDE774" w14:textId="77777777" w:rsidR="004C4A93" w:rsidRPr="00155597" w:rsidRDefault="004C4A93" w:rsidP="009F74CA">
            <w:pPr>
              <w:rPr>
                <w:snapToGrid w:val="0"/>
              </w:rPr>
            </w:pPr>
            <w:r w:rsidRPr="00155597">
              <w:rPr>
                <w:snapToGrid w:val="0"/>
              </w:rPr>
              <w:t>1,640</w:t>
            </w:r>
          </w:p>
        </w:tc>
        <w:tc>
          <w:tcPr>
            <w:tcW w:w="796" w:type="pct"/>
            <w:shd w:val="pct5" w:color="auto" w:fill="FFFFFF"/>
          </w:tcPr>
          <w:p w14:paraId="5AD54E04" w14:textId="77777777" w:rsidR="004C4A93" w:rsidRPr="00155597" w:rsidRDefault="004C4A93" w:rsidP="009F74CA">
            <w:pPr>
              <w:rPr>
                <w:snapToGrid w:val="0"/>
              </w:rPr>
            </w:pPr>
            <w:r w:rsidRPr="00155597">
              <w:rPr>
                <w:snapToGrid w:val="0"/>
              </w:rPr>
              <w:t>31,943</w:t>
            </w:r>
          </w:p>
        </w:tc>
      </w:tr>
      <w:tr w:rsidR="004C4A93" w:rsidRPr="00155597" w14:paraId="1C5D9A7A" w14:textId="77777777" w:rsidTr="009F74CA">
        <w:tc>
          <w:tcPr>
            <w:tcW w:w="1023" w:type="pct"/>
            <w:shd w:val="clear" w:color="auto" w:fill="auto"/>
          </w:tcPr>
          <w:p w14:paraId="7044A411" w14:textId="77777777" w:rsidR="004C4A93" w:rsidRPr="00155597" w:rsidRDefault="004C4A93" w:rsidP="009F74CA">
            <w:r w:rsidRPr="00155597">
              <w:t>1,000+</w:t>
            </w:r>
          </w:p>
        </w:tc>
        <w:tc>
          <w:tcPr>
            <w:tcW w:w="793" w:type="pct"/>
            <w:shd w:val="clear" w:color="auto" w:fill="auto"/>
          </w:tcPr>
          <w:p w14:paraId="1457034F" w14:textId="77777777" w:rsidR="004C4A93" w:rsidRPr="00155597" w:rsidRDefault="004C4A93" w:rsidP="009F74CA">
            <w:pPr>
              <w:rPr>
                <w:snapToGrid w:val="0"/>
              </w:rPr>
            </w:pPr>
            <w:r w:rsidRPr="00155597">
              <w:rPr>
                <w:snapToGrid w:val="0"/>
              </w:rPr>
              <w:t>1,082</w:t>
            </w:r>
          </w:p>
        </w:tc>
        <w:tc>
          <w:tcPr>
            <w:tcW w:w="796" w:type="pct"/>
            <w:shd w:val="clear" w:color="auto" w:fill="auto"/>
          </w:tcPr>
          <w:p w14:paraId="6926AD29" w14:textId="77777777" w:rsidR="004C4A93" w:rsidRPr="00155597" w:rsidRDefault="004C4A93" w:rsidP="009F74CA">
            <w:pPr>
              <w:rPr>
                <w:snapToGrid w:val="0"/>
              </w:rPr>
            </w:pPr>
            <w:r w:rsidRPr="00155597">
              <w:rPr>
                <w:snapToGrid w:val="0"/>
              </w:rPr>
              <w:t>1,879</w:t>
            </w:r>
          </w:p>
        </w:tc>
        <w:tc>
          <w:tcPr>
            <w:tcW w:w="796" w:type="pct"/>
            <w:shd w:val="clear" w:color="auto" w:fill="auto"/>
          </w:tcPr>
          <w:p w14:paraId="0BCDF855" w14:textId="77777777" w:rsidR="004C4A93" w:rsidRPr="00155597" w:rsidRDefault="004C4A93" w:rsidP="009F74CA">
            <w:pPr>
              <w:rPr>
                <w:snapToGrid w:val="0"/>
              </w:rPr>
            </w:pPr>
            <w:r w:rsidRPr="00155597">
              <w:rPr>
                <w:snapToGrid w:val="0"/>
              </w:rPr>
              <w:t>5,374</w:t>
            </w:r>
          </w:p>
        </w:tc>
        <w:tc>
          <w:tcPr>
            <w:tcW w:w="796" w:type="pct"/>
            <w:shd w:val="clear" w:color="auto" w:fill="auto"/>
          </w:tcPr>
          <w:p w14:paraId="77BC80B5" w14:textId="77777777" w:rsidR="004C4A93" w:rsidRPr="00155597" w:rsidRDefault="004C4A93" w:rsidP="009F74CA">
            <w:pPr>
              <w:rPr>
                <w:snapToGrid w:val="0"/>
              </w:rPr>
            </w:pPr>
            <w:r w:rsidRPr="00155597">
              <w:rPr>
                <w:snapToGrid w:val="0"/>
              </w:rPr>
              <w:t>551</w:t>
            </w:r>
          </w:p>
        </w:tc>
        <w:tc>
          <w:tcPr>
            <w:tcW w:w="796" w:type="pct"/>
            <w:shd w:val="pct5" w:color="auto" w:fill="FFFFFF"/>
          </w:tcPr>
          <w:p w14:paraId="15A2A9ED" w14:textId="77777777" w:rsidR="004C4A93" w:rsidRPr="00155597" w:rsidRDefault="004C4A93" w:rsidP="009F74CA">
            <w:pPr>
              <w:rPr>
                <w:snapToGrid w:val="0"/>
              </w:rPr>
            </w:pPr>
            <w:r w:rsidRPr="00155597">
              <w:rPr>
                <w:snapToGrid w:val="0"/>
              </w:rPr>
              <w:t>8,886</w:t>
            </w:r>
          </w:p>
        </w:tc>
      </w:tr>
      <w:tr w:rsidR="004C4A93" w:rsidRPr="00155597" w14:paraId="2FB8789E" w14:textId="77777777" w:rsidTr="009F74CA">
        <w:tc>
          <w:tcPr>
            <w:tcW w:w="1023" w:type="pct"/>
            <w:shd w:val="pct5" w:color="auto" w:fill="FFFFFF"/>
          </w:tcPr>
          <w:p w14:paraId="4DFC08B2" w14:textId="77777777" w:rsidR="004C4A93" w:rsidRPr="00155597" w:rsidRDefault="004C4A93" w:rsidP="009F74CA">
            <w:r w:rsidRPr="00155597">
              <w:t xml:space="preserve"> Total</w:t>
            </w:r>
          </w:p>
        </w:tc>
        <w:tc>
          <w:tcPr>
            <w:tcW w:w="793" w:type="pct"/>
            <w:shd w:val="pct5" w:color="auto" w:fill="FFFFFF"/>
          </w:tcPr>
          <w:p w14:paraId="58E66E5A" w14:textId="77777777" w:rsidR="004C4A93" w:rsidRPr="00155597" w:rsidRDefault="004C4A93" w:rsidP="009F74CA">
            <w:pPr>
              <w:rPr>
                <w:snapToGrid w:val="0"/>
              </w:rPr>
            </w:pPr>
            <w:r w:rsidRPr="00155597">
              <w:rPr>
                <w:snapToGrid w:val="0"/>
              </w:rPr>
              <w:t>49,580</w:t>
            </w:r>
          </w:p>
        </w:tc>
        <w:tc>
          <w:tcPr>
            <w:tcW w:w="796" w:type="pct"/>
            <w:shd w:val="pct5" w:color="auto" w:fill="FFFFFF"/>
          </w:tcPr>
          <w:p w14:paraId="1B245CCC" w14:textId="77777777" w:rsidR="004C4A93" w:rsidRPr="00155597" w:rsidRDefault="004C4A93" w:rsidP="009F74CA">
            <w:pPr>
              <w:rPr>
                <w:snapToGrid w:val="0"/>
              </w:rPr>
            </w:pPr>
            <w:r w:rsidRPr="00155597">
              <w:rPr>
                <w:snapToGrid w:val="0"/>
              </w:rPr>
              <w:t>15,425</w:t>
            </w:r>
          </w:p>
        </w:tc>
        <w:tc>
          <w:tcPr>
            <w:tcW w:w="796" w:type="pct"/>
            <w:shd w:val="pct5" w:color="auto" w:fill="FFFFFF"/>
          </w:tcPr>
          <w:p w14:paraId="5D08B960" w14:textId="77777777" w:rsidR="004C4A93" w:rsidRPr="00155597" w:rsidRDefault="004C4A93" w:rsidP="009F74CA">
            <w:pPr>
              <w:rPr>
                <w:snapToGrid w:val="0"/>
              </w:rPr>
            </w:pPr>
            <w:r w:rsidRPr="00155597">
              <w:rPr>
                <w:snapToGrid w:val="0"/>
              </w:rPr>
              <w:t>12,704</w:t>
            </w:r>
          </w:p>
        </w:tc>
        <w:tc>
          <w:tcPr>
            <w:tcW w:w="796" w:type="pct"/>
            <w:shd w:val="pct5" w:color="auto" w:fill="FFFFFF"/>
          </w:tcPr>
          <w:p w14:paraId="32BC8BB7" w14:textId="77777777" w:rsidR="004C4A93" w:rsidRPr="00155597" w:rsidRDefault="004C4A93" w:rsidP="009F74CA">
            <w:pPr>
              <w:rPr>
                <w:snapToGrid w:val="0"/>
              </w:rPr>
            </w:pPr>
            <w:r w:rsidRPr="00155597">
              <w:rPr>
                <w:snapToGrid w:val="0"/>
              </w:rPr>
              <w:t>6,714</w:t>
            </w:r>
          </w:p>
        </w:tc>
        <w:tc>
          <w:tcPr>
            <w:tcW w:w="796" w:type="pct"/>
            <w:shd w:val="pct5" w:color="auto" w:fill="FFFFFF"/>
          </w:tcPr>
          <w:p w14:paraId="0648BE48" w14:textId="77777777" w:rsidR="004C4A93" w:rsidRPr="00155597" w:rsidRDefault="004C4A93" w:rsidP="009F74CA">
            <w:pPr>
              <w:rPr>
                <w:snapToGrid w:val="0"/>
              </w:rPr>
            </w:pPr>
            <w:r w:rsidRPr="00155597">
              <w:rPr>
                <w:snapToGrid w:val="0"/>
              </w:rPr>
              <w:t>84,423</w:t>
            </w:r>
          </w:p>
        </w:tc>
      </w:tr>
    </w:tbl>
    <w:p w14:paraId="2531509D" w14:textId="5683642C" w:rsidR="0042048B" w:rsidRPr="00155597" w:rsidRDefault="0042048B" w:rsidP="0042048B">
      <w:pPr>
        <w:spacing w:after="120"/>
      </w:pPr>
    </w:p>
    <w:p w14:paraId="3BBED037" w14:textId="6F0AA39C" w:rsidR="0064551D" w:rsidRPr="00155597" w:rsidRDefault="0064551D" w:rsidP="00E103F7">
      <w:pPr>
        <w:keepNext/>
        <w:spacing w:after="120"/>
      </w:pPr>
      <w:r w:rsidRPr="00155597">
        <w:rPr>
          <w:b/>
        </w:rPr>
        <w:t>Sample Selection and Response Rates</w:t>
      </w:r>
    </w:p>
    <w:p w14:paraId="3948BF03" w14:textId="16064018" w:rsidR="00EF2F18" w:rsidRPr="00155597" w:rsidRDefault="00EF2F18" w:rsidP="00EF2F18">
      <w:pPr>
        <w:spacing w:after="120"/>
      </w:pPr>
      <w:r w:rsidRPr="00155597">
        <w:t>SSOCS:2016 yielded an unweighted response rate of approximately 59 percent. When the responding schools were weighted to account for their original sampling probabilities, the response rate increased to approximately 63 percent. Both the unweighted and weighted response rates were a significant drop from those obtained in the prior</w:t>
      </w:r>
      <w:r w:rsidR="00CB05C8" w:rsidRPr="00155597">
        <w:t xml:space="preserve"> </w:t>
      </w:r>
      <w:r w:rsidRPr="00155597">
        <w:t>collection</w:t>
      </w:r>
      <w:r w:rsidR="00CB05C8" w:rsidRPr="00155597">
        <w:t xml:space="preserve"> (conducted for SSOCS:2010)</w:t>
      </w:r>
      <w:r w:rsidRPr="00155597">
        <w:t>, which yielded unweighted and weighted response rates of 77 and 81 percent, respectively.</w:t>
      </w:r>
    </w:p>
    <w:p w14:paraId="2CABD045" w14:textId="1746A029" w:rsidR="002E78A1" w:rsidRPr="00155597" w:rsidRDefault="00EF2F18" w:rsidP="002E78A1">
      <w:pPr>
        <w:spacing w:after="120"/>
      </w:pPr>
      <w:r w:rsidRPr="00155597">
        <w:t xml:space="preserve">SSOCS:2018 yielded an unweighted response rate of approximately 58 percent. When the responding schools were weighted to account for their original sampling probabilities, the response rate increased to approximately 62 percent. Given the inclusion of planned experiments aimed at increasing the overall response, we anticipate at least maintaining the SSOCS:2016 and SSOCS:2018 response rates </w:t>
      </w:r>
      <w:r w:rsidR="008A6C0F" w:rsidRPr="00155597">
        <w:t>in</w:t>
      </w:r>
      <w:r w:rsidRPr="00155597">
        <w:t xml:space="preserve"> SSOCS:2020, which will yield more completed surveys than needed to meet the </w:t>
      </w:r>
      <w:r w:rsidR="00365FBF">
        <w:t xml:space="preserve">study’s </w:t>
      </w:r>
      <w:r w:rsidRPr="00155597">
        <w:t>objective.</w:t>
      </w:r>
    </w:p>
    <w:p w14:paraId="74FF3CC0" w14:textId="3C0A8886" w:rsidR="00BB5CD1" w:rsidRPr="00155597" w:rsidRDefault="00BB5CD1" w:rsidP="009E1EED">
      <w:pPr>
        <w:widowControl w:val="0"/>
        <w:spacing w:after="120"/>
      </w:pPr>
      <w:bookmarkStart w:id="10" w:name="_Hlk3294408"/>
      <w:r w:rsidRPr="00155597">
        <w:t xml:space="preserve">A stratified sample design will be used to select approximately 4,800 public schools for SSOCS:2018 and SSOCS:2020 (compared to 3,553 public schools </w:t>
      </w:r>
      <w:r w:rsidR="000C021F" w:rsidRPr="00155597">
        <w:t>for</w:t>
      </w:r>
      <w:r w:rsidRPr="00155597">
        <w:t xml:space="preserve"> SSOCS:2016) in order to obtain the 2,550 completed interviews needed to ensure precision in the estimates. For sample allocation purposes, strata will be defined by instructional level, locale, and enrollment size. Minority enrollment, region, and state will be used as sorting variables in the sample selection process to induce implicit stratification.</w:t>
      </w:r>
    </w:p>
    <w:bookmarkEnd w:id="10"/>
    <w:p w14:paraId="70D504DB" w14:textId="30C52D2A" w:rsidR="0064551D" w:rsidRPr="00155597" w:rsidRDefault="0064551D" w:rsidP="00E103F7">
      <w:pPr>
        <w:spacing w:after="120"/>
        <w:rPr>
          <w:b/>
        </w:rPr>
      </w:pPr>
      <w:r w:rsidRPr="00155597">
        <w:rPr>
          <w:b/>
        </w:rPr>
        <w:t>Sample Design for SSOCS:2016</w:t>
      </w:r>
    </w:p>
    <w:p w14:paraId="1CE9D41B" w14:textId="4400283C" w:rsidR="0064551D" w:rsidRPr="00155597" w:rsidRDefault="0064551D" w:rsidP="00E103F7">
      <w:pPr>
        <w:spacing w:after="120"/>
      </w:pPr>
      <w:r w:rsidRPr="00155597">
        <w:t>A stratified sampl</w:t>
      </w:r>
      <w:r w:rsidR="00E40422" w:rsidRPr="00155597">
        <w:t>e</w:t>
      </w:r>
      <w:r w:rsidRPr="00155597">
        <w:t xml:space="preserve"> design was used to select schools for SSOCS:2016. For sample allocation and sample selection, strata were defined by instructional level, locale, and enrollment size. Within each of four instructional level categories, the sample was allocated to each of 16 subgroups formed by the cross-classification of locale (four levels) and enrollment size (four levels) in proportion to an aggregate measure of size derived for each subgroup. The aggregate measure of size for a specific locale by </w:t>
      </w:r>
      <w:r w:rsidR="00537558" w:rsidRPr="00155597">
        <w:t>enrollment</w:t>
      </w:r>
      <w:r w:rsidRPr="00155597">
        <w:t xml:space="preserve"> cell within an instructional level is equal to the sum of the square root of school enrollment.</w:t>
      </w:r>
    </w:p>
    <w:p w14:paraId="71658DDD" w14:textId="3F672FE2" w:rsidR="0064551D" w:rsidRPr="00155597" w:rsidRDefault="0064551D" w:rsidP="00E103F7">
      <w:pPr>
        <w:spacing w:after="120"/>
      </w:pPr>
      <w:r w:rsidRPr="00155597">
        <w:t xml:space="preserve">The initial goal of SSOCS:2016 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 with the allocation as follows: 640 primary schools, 895 middle schools, 915 high schools, and 100 combined schools. After inflating </w:t>
      </w:r>
      <w:r w:rsidR="00D65653" w:rsidRPr="00155597">
        <w:t xml:space="preserve">the sample size to allow </w:t>
      </w:r>
      <w:r w:rsidRPr="00155597">
        <w:t>for nonresponse, the resulting sample allocation by school level was 849 primary schools, 1,230 middle schools, 1,347 high schools, and 127 combined schools. The total sample size was 3,553 schools. Schools in SSOCS:2000, SSOCS:2004, SSOCS:2006, SSOCS:2008 and SSOCS:2010 were allocated to instructional levels in a similar manner.</w:t>
      </w:r>
    </w:p>
    <w:p w14:paraId="082C07F5" w14:textId="652E31BB" w:rsidR="0064551D" w:rsidRPr="00155597" w:rsidRDefault="0064551D" w:rsidP="00E103F7">
      <w:pPr>
        <w:spacing w:after="120"/>
      </w:pPr>
      <w:r w:rsidRPr="00155597">
        <w:t>After the allocation for each stratum was determined, percent minority, region, and state were used as implicit stratification variables by sorting the school lists in each stratum by these variables before sample selection. The formula used to calculate measure of size is given as</w:t>
      </w:r>
    </w:p>
    <w:p w14:paraId="75DBE93E" w14:textId="77777777" w:rsidR="0064551D" w:rsidRPr="00155597" w:rsidRDefault="0064551D" w:rsidP="00E103F7">
      <w:pPr>
        <w:spacing w:after="120"/>
        <w:ind w:left="720"/>
      </w:pPr>
      <w:r w:rsidRPr="00155597">
        <w:rPr>
          <w:i/>
        </w:rPr>
        <w:t>MOS(h)</w:t>
      </w:r>
      <w:r w:rsidRPr="00155597">
        <w:t xml:space="preserve"> = </w:t>
      </w:r>
      <w:r w:rsidRPr="00155597">
        <w:fldChar w:fldCharType="begin"/>
      </w:r>
      <w:r w:rsidRPr="00155597">
        <w:instrText xml:space="preserve"> EQ \i\su(i=1,N</w:instrText>
      </w:r>
      <w:r w:rsidRPr="00155597">
        <w:rPr>
          <w:position w:val="-6"/>
        </w:rPr>
        <w:instrText>h</w:instrText>
      </w:r>
      <w:r w:rsidRPr="00155597">
        <w:instrText>, )\r(,E</w:instrText>
      </w:r>
      <w:r w:rsidRPr="00155597">
        <w:rPr>
          <w:position w:val="-6"/>
        </w:rPr>
        <w:instrText>hi</w:instrText>
      </w:r>
      <w:r w:rsidRPr="00155597">
        <w:instrText xml:space="preserve">) </w:instrText>
      </w:r>
      <w:r w:rsidRPr="00155597">
        <w:fldChar w:fldCharType="end"/>
      </w:r>
    </w:p>
    <w:p w14:paraId="7A4902A1" w14:textId="77777777" w:rsidR="0064551D" w:rsidRPr="00155597" w:rsidRDefault="0064551D" w:rsidP="00E103F7">
      <w:pPr>
        <w:spacing w:after="120"/>
        <w:ind w:right="-126"/>
      </w:pPr>
      <w:r w:rsidRPr="00155597">
        <w:t xml:space="preserve">where </w:t>
      </w:r>
      <w:r w:rsidRPr="00155597">
        <w:rPr>
          <w:i/>
        </w:rPr>
        <w:t>E</w:t>
      </w:r>
      <w:r w:rsidRPr="00155597">
        <w:rPr>
          <w:i/>
          <w:position w:val="-6"/>
        </w:rPr>
        <w:t>hi</w:t>
      </w:r>
      <w:r w:rsidRPr="00155597">
        <w:t xml:space="preserve"> = the enrollment of the </w:t>
      </w:r>
      <w:r w:rsidRPr="00155597">
        <w:rPr>
          <w:i/>
        </w:rPr>
        <w:t>i</w:t>
      </w:r>
      <w:r w:rsidRPr="00155597">
        <w:rPr>
          <w:vertAlign w:val="superscript"/>
        </w:rPr>
        <w:t xml:space="preserve"> th</w:t>
      </w:r>
      <w:r w:rsidRPr="00155597">
        <w:t xml:space="preserve"> school in stratum </w:t>
      </w:r>
      <w:r w:rsidRPr="00155597">
        <w:rPr>
          <w:i/>
        </w:rPr>
        <w:t>h</w:t>
      </w:r>
      <w:r w:rsidRPr="00155597">
        <w:t xml:space="preserve"> and </w:t>
      </w:r>
      <w:r w:rsidRPr="00155597">
        <w:rPr>
          <w:i/>
        </w:rPr>
        <w:t>N</w:t>
      </w:r>
      <w:r w:rsidRPr="00155597">
        <w:rPr>
          <w:i/>
          <w:position w:val="-6"/>
        </w:rPr>
        <w:t>h</w:t>
      </w:r>
      <w:r w:rsidRPr="00155597">
        <w:t xml:space="preserve"> = the total number of schools in stratum </w:t>
      </w:r>
      <w:r w:rsidRPr="00155597">
        <w:rPr>
          <w:i/>
        </w:rPr>
        <w:t>h</w:t>
      </w:r>
      <w:r w:rsidRPr="00155597">
        <w:t>.</w:t>
      </w:r>
    </w:p>
    <w:p w14:paraId="63869ABB" w14:textId="4C2D839E" w:rsidR="0064551D" w:rsidRPr="00155597" w:rsidRDefault="0064551D" w:rsidP="00E103F7">
      <w:pPr>
        <w:spacing w:after="120"/>
      </w:pPr>
      <w:r w:rsidRPr="00155597">
        <w:t xml:space="preserve">The measure of size for the instructional level, </w:t>
      </w:r>
      <w:r w:rsidRPr="00155597">
        <w:rPr>
          <w:i/>
        </w:rPr>
        <w:t>MOS(l)</w:t>
      </w:r>
      <w:r w:rsidRPr="00155597">
        <w:t xml:space="preserve">, is found by summing across the 16 measure-of-size values, </w:t>
      </w:r>
      <w:r w:rsidRPr="00155597">
        <w:rPr>
          <w:i/>
        </w:rPr>
        <w:t>MOS(h)</w:t>
      </w:r>
      <w:r w:rsidRPr="00155597">
        <w:t xml:space="preserve">, that comprise the instructional level. The ratio of the stratum’s measure of size to the overall measure of size for the instructional level determines the number of cases to be allocated to that stratum. This is found by dividing the stratum measure of size, </w:t>
      </w:r>
      <w:r w:rsidRPr="00155597">
        <w:rPr>
          <w:i/>
        </w:rPr>
        <w:t>MOS(h),</w:t>
      </w:r>
      <w:r w:rsidRPr="00155597">
        <w:t xml:space="preserve"> by the total measure of size for the instructional level, </w:t>
      </w:r>
      <w:r w:rsidRPr="00155597">
        <w:rPr>
          <w:i/>
        </w:rPr>
        <w:t>MOS(l)</w:t>
      </w:r>
      <w:r w:rsidRPr="00155597">
        <w:t>. The result provides the proportion of the sample that should be allocated to this stratum.</w:t>
      </w:r>
    </w:p>
    <w:p w14:paraId="77C2E4F7" w14:textId="77777777" w:rsidR="0064551D" w:rsidRPr="00155597" w:rsidRDefault="0064551D" w:rsidP="00E103F7">
      <w:pPr>
        <w:spacing w:after="120"/>
        <w:rPr>
          <w:b/>
          <w:bCs/>
        </w:rPr>
      </w:pPr>
      <w:r w:rsidRPr="00155597">
        <w:rPr>
          <w:b/>
        </w:rPr>
        <w:t>Sample Design for SSOCS:2018 and SSOCS:2020</w:t>
      </w:r>
    </w:p>
    <w:p w14:paraId="6D972F78" w14:textId="5F4E82BA" w:rsidR="0064551D" w:rsidRPr="00155597" w:rsidRDefault="0064551D" w:rsidP="00E103F7">
      <w:pPr>
        <w:spacing w:after="120"/>
      </w:pPr>
      <w:r w:rsidRPr="00155597">
        <w:t>The same general sampl</w:t>
      </w:r>
      <w:r w:rsidR="00787310" w:rsidRPr="00155597">
        <w:t>e</w:t>
      </w:r>
      <w:r w:rsidRPr="00155597">
        <w:t xml:space="preserve"> design used for SSOCS:2016 will be adopted for the selection of schools in SSOCS:2018 and SSOCS:2020 with regard to stratification variables, the number of strata, the method of sample allocation, and the sorting of variables before selection.</w:t>
      </w:r>
    </w:p>
    <w:p w14:paraId="489F9F3C" w14:textId="06A58CA0" w:rsidR="0064551D" w:rsidRPr="00155597" w:rsidRDefault="0064551D" w:rsidP="00E103F7">
      <w:pPr>
        <w:spacing w:after="120"/>
      </w:pPr>
      <w:r w:rsidRPr="00155597">
        <w:t>The two main objectives of the SSOCS:2018 and SSOCS:2020 sampling design are identical to those of SSOCS:2016: (1) to obtain overall cross-sectional and subgroup estimates of important indicators of school crime and safety</w:t>
      </w:r>
      <w:r w:rsidR="00A1300F" w:rsidRPr="00155597">
        <w:t>;</w:t>
      </w:r>
      <w:r w:rsidRPr="00155597">
        <w:t xml:space="preserve"> and (2) to maintain precise estimates of change in various characteristics relating to crime between the </w:t>
      </w:r>
      <w:r w:rsidR="00787310" w:rsidRPr="00155597">
        <w:t>earliest and most recent</w:t>
      </w:r>
      <w:r w:rsidRPr="00155597">
        <w:t xml:space="preserve"> SSOCS administrations. Adopting the same general design increases the precision of the estimate of change. For sample allocation and sample selection purposes, strata were defined in prior administrations of SSOCS by crossing instructional level, locale, and enrollment size. In addition, </w:t>
      </w:r>
      <w:r w:rsidR="001404D4" w:rsidRPr="00155597">
        <w:t>percent minority</w:t>
      </w:r>
      <w:r w:rsidRPr="00155597">
        <w:t>, region, and state were used as implicit stratification variables by sorting schools by these variables within each stratum before sample selection. The three explicit and three implicit stratification variables have been shown to be related to school crime and thus create meaningful strata for this survey.</w:t>
      </w:r>
    </w:p>
    <w:p w14:paraId="4FC01713" w14:textId="77777777" w:rsidR="00EF2F18" w:rsidRPr="00155597" w:rsidRDefault="00EF2F18" w:rsidP="00EF2F18">
      <w:pPr>
        <w:spacing w:after="120"/>
        <w:rPr>
          <w:u w:val="single"/>
        </w:rPr>
      </w:pPr>
      <w:r w:rsidRPr="00155597">
        <w:rPr>
          <w:u w:val="single"/>
        </w:rPr>
        <w:t>SSOCS:2018</w:t>
      </w:r>
    </w:p>
    <w:p w14:paraId="7B6577ED" w14:textId="1AC91011" w:rsidR="004030F4" w:rsidRPr="00155597" w:rsidRDefault="0064551D" w:rsidP="002D358A">
      <w:pPr>
        <w:spacing w:after="120"/>
      </w:pPr>
      <w:r w:rsidRPr="00155597">
        <w:t xml:space="preserve">While the general sampling design for SSOCS:2018 remains the same as in prior collections, there are three notable differences. First, in an attempt to be proactive in reducing </w:t>
      </w:r>
      <w:r w:rsidR="00197A37" w:rsidRPr="00155597">
        <w:t xml:space="preserve">the </w:t>
      </w:r>
      <w:r w:rsidRPr="00155597">
        <w:t xml:space="preserve">burden </w:t>
      </w:r>
      <w:r w:rsidR="00197A37" w:rsidRPr="00155597">
        <w:t xml:space="preserve">on </w:t>
      </w:r>
      <w:r w:rsidRPr="00155597">
        <w:t xml:space="preserve">districts and their respective schools, the SSOCS team and </w:t>
      </w:r>
      <w:r w:rsidR="00A2110D" w:rsidRPr="00155597">
        <w:t xml:space="preserve">the </w:t>
      </w:r>
      <w:r w:rsidRPr="00155597">
        <w:t xml:space="preserve">NTPS team are coordinating on the special district recruitment efforts (approved </w:t>
      </w:r>
      <w:r w:rsidR="00787310" w:rsidRPr="00155597">
        <w:t>in March</w:t>
      </w:r>
      <w:r w:rsidRPr="00155597">
        <w:t>, 2017</w:t>
      </w:r>
      <w:r w:rsidR="006D6E09" w:rsidRPr="00155597">
        <w:t>; OMB# 1850-0761 v.11</w:t>
      </w:r>
      <w:r w:rsidRPr="00155597">
        <w:t xml:space="preserve">), </w:t>
      </w:r>
      <w:r w:rsidR="006D6E09" w:rsidRPr="00155597">
        <w:t>and</w:t>
      </w:r>
      <w:r w:rsidRPr="00155597">
        <w:t xml:space="preserve"> drawing each sample in tandem to minimize overlap in </w:t>
      </w:r>
      <w:r w:rsidR="005B5030" w:rsidRPr="00155597">
        <w:t xml:space="preserve">the </w:t>
      </w:r>
      <w:r w:rsidRPr="00155597">
        <w:t>schools sampled for both surveys. Second, a web experiment will be conducted during the SSOCS:2018 collection</w:t>
      </w:r>
      <w:r w:rsidR="00DD688C" w:rsidRPr="00155597">
        <w:t xml:space="preserve"> only</w:t>
      </w:r>
      <w:r w:rsidRPr="00155597">
        <w:t>. Approximately 1,150 cases from the sample will be randomly selected to receive the web-based instrument. This experimental group will be selected in a manner that reflects the overall sampling design, providing the ability to use responses from this group when calculating estimates. Lastly, an incentive experiment will be conducted during the SSOCS:2018 collection</w:t>
      </w:r>
      <w:r w:rsidR="00DD688C" w:rsidRPr="00155597">
        <w:t xml:space="preserve"> only</w:t>
      </w:r>
      <w:r w:rsidRPr="00155597">
        <w:t xml:space="preserve">. Approximately half of the entire sample will be randomly selected to receive $10 </w:t>
      </w:r>
      <w:r w:rsidR="00E6591F" w:rsidRPr="00155597">
        <w:t>cash</w:t>
      </w:r>
      <w:r w:rsidRPr="00155597">
        <w:t xml:space="preserve"> as part of the initial mailout. This incentive is </w:t>
      </w:r>
      <w:r w:rsidRPr="00155597">
        <w:rPr>
          <w:i/>
        </w:rPr>
        <w:t>not</w:t>
      </w:r>
      <w:r w:rsidRPr="00155597">
        <w:rPr>
          <w:b/>
        </w:rPr>
        <w:t xml:space="preserve"> </w:t>
      </w:r>
      <w:r w:rsidRPr="00155597">
        <w:t>contingent on the respondent’s completion of the survey.</w:t>
      </w:r>
    </w:p>
    <w:p w14:paraId="14716F71" w14:textId="79E85669" w:rsidR="0064551D" w:rsidRPr="00155597" w:rsidRDefault="0064551D" w:rsidP="002D358A">
      <w:pPr>
        <w:spacing w:after="120"/>
      </w:pPr>
      <w:r w:rsidRPr="00155597">
        <w:t xml:space="preserve">SSOCS:2018 will take advantage of the lessons learned from the 2016 data collection. </w:t>
      </w:r>
      <w:r w:rsidR="00D935DD" w:rsidRPr="00155597">
        <w:t>The r</w:t>
      </w:r>
      <w:r w:rsidRPr="00155597">
        <w:t xml:space="preserve">esponse rates achieved for various strata and substrata in SSOCS:2016 have been examined in order to determine the proper size of the initial sample selection for 2018. Table </w:t>
      </w:r>
      <w:r w:rsidR="000B27FC" w:rsidRPr="00155597">
        <w:t>5</w:t>
      </w:r>
      <w:r w:rsidRPr="00155597">
        <w:t xml:space="preserve"> </w:t>
      </w:r>
      <w:r w:rsidR="00D935DD" w:rsidRPr="00155597">
        <w:t xml:space="preserve">displays the </w:t>
      </w:r>
      <w:r w:rsidRPr="00155597">
        <w:t xml:space="preserve">SSOCS:2016 response rates by school level, enrollment size, urbanicity, percent White enrollment, and region. The 2016 response rates </w:t>
      </w:r>
      <w:r w:rsidR="00D935DD" w:rsidRPr="00155597">
        <w:t xml:space="preserve">were used </w:t>
      </w:r>
      <w:r w:rsidRPr="00155597">
        <w:t xml:space="preserve">to estimate </w:t>
      </w:r>
      <w:r w:rsidR="00D935DD" w:rsidRPr="00155597">
        <w:t xml:space="preserve">the </w:t>
      </w:r>
      <w:r w:rsidRPr="00155597">
        <w:t>2018 response rates to ensure a sufficient number of completed cases for analysis.</w:t>
      </w:r>
    </w:p>
    <w:p w14:paraId="111AF9E3" w14:textId="77777777" w:rsidR="00EF2F18" w:rsidRPr="00155597" w:rsidRDefault="00EF2F18" w:rsidP="00EF2F18">
      <w:pPr>
        <w:spacing w:after="120"/>
        <w:rPr>
          <w:u w:val="single"/>
        </w:rPr>
      </w:pPr>
      <w:r w:rsidRPr="00155597">
        <w:rPr>
          <w:u w:val="single"/>
        </w:rPr>
        <w:t>SSOCS:2020</w:t>
      </w:r>
    </w:p>
    <w:p w14:paraId="404125F0" w14:textId="2B82AF18" w:rsidR="00A4532F" w:rsidRDefault="00EF2F18" w:rsidP="002D358A">
      <w:pPr>
        <w:spacing w:after="120"/>
      </w:pPr>
      <w:bookmarkStart w:id="11" w:name="_Hlk3450096"/>
      <w:r w:rsidRPr="00155597">
        <w:t xml:space="preserve">While the general sampling design for SSOCS:2020 remains the same as in prior collections, there are three notable differences from SSOCS:2018. First, SSOCS:2020 will not coordinate with NTPS in the ways SSOCS:2018 did, because the planned collection for the 2019-20 NTPS </w:t>
      </w:r>
      <w:r w:rsidR="00426C37" w:rsidRPr="00155597">
        <w:t>has been</w:t>
      </w:r>
      <w:r w:rsidRPr="00155597">
        <w:t xml:space="preserve"> delayed </w:t>
      </w:r>
      <w:r w:rsidR="00285BBC">
        <w:t xml:space="preserve">by </w:t>
      </w:r>
      <w:r w:rsidRPr="00155597">
        <w:t xml:space="preserve">one year. The special district recruitment efforts (approved in March 2017; OMB# 1850-0761 v.11) will not run in tandem with similar NTPS efforts, and the SSOCS sampling probabilities will not be adjusted based on the NTPS sample to minimize the overlap of sampled schools Second, an incentive experiment will be included in the SSOCS:2020 collection, </w:t>
      </w:r>
      <w:r w:rsidR="0036500B" w:rsidRPr="00155597">
        <w:t>with</w:t>
      </w:r>
      <w:r w:rsidRPr="00155597">
        <w:t xml:space="preserve"> approximately 2,340 schools assigned to the “early incentive” treatment</w:t>
      </w:r>
      <w:r w:rsidR="003B6F23">
        <w:t>;</w:t>
      </w:r>
      <w:r w:rsidRPr="00155597">
        <w:t xml:space="preserve"> 1,230 schools assigned to the “delayed incentive” treatment</w:t>
      </w:r>
      <w:r w:rsidR="003B6F23">
        <w:t>;</w:t>
      </w:r>
      <w:r w:rsidRPr="00155597">
        <w:t xml:space="preserve"> and 1,230 schools assigned to the “no incentive” (control) treatment. </w:t>
      </w:r>
      <w:r w:rsidR="00B21424" w:rsidRPr="00155597">
        <w:t xml:space="preserve">The schools in these </w:t>
      </w:r>
      <w:r w:rsidRPr="00155597">
        <w:t>experimental groups will be selected in a manner that reflects the overall sampling design, providing the ability to use</w:t>
      </w:r>
      <w:r w:rsidR="00B21424" w:rsidRPr="00155597">
        <w:t xml:space="preserve"> their</w:t>
      </w:r>
      <w:r w:rsidRPr="00155597">
        <w:t xml:space="preserve"> responses when calculating estimates. Lastly, a split-panel experiment will be conducted within the web instrument</w:t>
      </w:r>
      <w:r w:rsidR="00F843B0" w:rsidRPr="00155597">
        <w:t>,</w:t>
      </w:r>
      <w:r w:rsidRPr="00155597">
        <w:t xml:space="preserve"> </w:t>
      </w:r>
      <w:r w:rsidR="002A4A1F" w:rsidRPr="00155597">
        <w:t>designed to test a navigation menu</w:t>
      </w:r>
      <w:r w:rsidR="00371012">
        <w:t>,</w:t>
      </w:r>
      <w:r w:rsidR="002A4A1F" w:rsidRPr="00155597">
        <w:t xml:space="preserve"> </w:t>
      </w:r>
      <w:r w:rsidR="00F843B0" w:rsidRPr="00155597">
        <w:t>with a</w:t>
      </w:r>
      <w:r w:rsidRPr="00155597">
        <w:t xml:space="preserve">pproximately half of the entire sample randomly selected to receive a different </w:t>
      </w:r>
      <w:r w:rsidR="00371012">
        <w:t>version of the web instrument</w:t>
      </w:r>
      <w:r w:rsidRPr="00155597">
        <w:t>.</w:t>
      </w:r>
    </w:p>
    <w:bookmarkEnd w:id="11"/>
    <w:p w14:paraId="61581770" w14:textId="77777777" w:rsidR="00A4532F" w:rsidRDefault="00EF2F18" w:rsidP="00811EFA">
      <w:pPr>
        <w:spacing w:after="120"/>
      </w:pPr>
      <w:r w:rsidRPr="00155597">
        <w:t xml:space="preserve">SSOCS:2020 will take advantage of the lessons learned from </w:t>
      </w:r>
      <w:r w:rsidR="00811EFA">
        <w:t>SSOCS:</w:t>
      </w:r>
      <w:r w:rsidRPr="00155597">
        <w:t xml:space="preserve">2018. </w:t>
      </w:r>
      <w:r w:rsidRPr="00485B3F">
        <w:t xml:space="preserve">The response rates achieved for </w:t>
      </w:r>
      <w:r w:rsidR="009C25B9" w:rsidRPr="00485B3F">
        <w:t xml:space="preserve">the </w:t>
      </w:r>
      <w:r w:rsidRPr="00485B3F">
        <w:t xml:space="preserve">various strata and substrata in SSOCS:2018 have been examined in order to determine the proper size of the initial sample </w:t>
      </w:r>
      <w:r w:rsidR="009C25B9" w:rsidRPr="00485B3F">
        <w:t>selected</w:t>
      </w:r>
      <w:r w:rsidRPr="00485B3F">
        <w:t xml:space="preserve"> for 2020</w:t>
      </w:r>
      <w:r w:rsidR="00485B3F">
        <w:t xml:space="preserve"> </w:t>
      </w:r>
      <w:r w:rsidR="00485B3F" w:rsidRPr="00485B3F">
        <w:t>to ensure a sufficient number of completed cases for analysis</w:t>
      </w:r>
      <w:r w:rsidRPr="00485B3F">
        <w:t>.</w:t>
      </w:r>
      <w:r w:rsidRPr="00155597">
        <w:t xml:space="preserve"> Table 6 displays the SSOCS:2018 response rates by school level, enrollment size, urbanicity, percent White enrollment, and region.</w:t>
      </w:r>
    </w:p>
    <w:p w14:paraId="78922699" w14:textId="1E59427A" w:rsidR="0064551D" w:rsidRPr="00155597" w:rsidRDefault="0064551D" w:rsidP="00E103F7">
      <w:pPr>
        <w:pStyle w:val="Heading4"/>
        <w:spacing w:after="120" w:line="240" w:lineRule="auto"/>
        <w:jc w:val="left"/>
        <w:rPr>
          <w:sz w:val="24"/>
          <w:szCs w:val="24"/>
        </w:rPr>
      </w:pPr>
      <w:r w:rsidRPr="00155597">
        <w:rPr>
          <w:sz w:val="24"/>
          <w:szCs w:val="24"/>
        </w:rPr>
        <w:t>Calculation of Weights</w:t>
      </w:r>
    </w:p>
    <w:p w14:paraId="19DFBEDC" w14:textId="717DAF5B" w:rsidR="0064551D" w:rsidRPr="00155597" w:rsidRDefault="0064551D" w:rsidP="00E103F7">
      <w:pPr>
        <w:pStyle w:val="P1-StandPara"/>
        <w:widowControl w:val="0"/>
        <w:spacing w:after="120" w:line="240" w:lineRule="auto"/>
        <w:ind w:firstLine="0"/>
        <w:jc w:val="left"/>
        <w:rPr>
          <w:sz w:val="24"/>
          <w:szCs w:val="24"/>
        </w:rPr>
      </w:pPr>
      <w:r w:rsidRPr="00155597">
        <w:rPr>
          <w:sz w:val="24"/>
          <w:szCs w:val="24"/>
        </w:rPr>
        <w:t xml:space="preserve">Weights will be attached to each surveyed school so that the weighted data will represent population levels. The final weight for completed cases will be composed of a sampling base weight and an adjustment for nonresponse. As with SSOCS:2016, nonresponse weighting adjustment cells for the SSOCS:2018 </w:t>
      </w:r>
      <w:r w:rsidR="00EF2F18" w:rsidRPr="00155597">
        <w:rPr>
          <w:sz w:val="24"/>
          <w:szCs w:val="24"/>
        </w:rPr>
        <w:t xml:space="preserve">and SSOCS:2020 </w:t>
      </w:r>
      <w:r w:rsidRPr="00155597">
        <w:rPr>
          <w:sz w:val="24"/>
          <w:szCs w:val="24"/>
        </w:rPr>
        <w:t>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SSOCS, will be available through the CCD sampling frame. Weighting adjustment cells for SSOCS</w:t>
      </w:r>
      <w:r w:rsidR="007E4669" w:rsidRPr="00155597">
        <w:rPr>
          <w:sz w:val="24"/>
          <w:szCs w:val="24"/>
        </w:rPr>
        <w:t xml:space="preserve">:2018 </w:t>
      </w:r>
      <w:r w:rsidRPr="00155597">
        <w:rPr>
          <w:sz w:val="24"/>
          <w:szCs w:val="24"/>
        </w:rPr>
        <w:t>data</w:t>
      </w:r>
      <w:r w:rsidR="002D2444" w:rsidRPr="00155597">
        <w:rPr>
          <w:sz w:val="24"/>
          <w:szCs w:val="24"/>
        </w:rPr>
        <w:t xml:space="preserve"> </w:t>
      </w:r>
      <w:r w:rsidR="00EF2F18" w:rsidRPr="00155597">
        <w:rPr>
          <w:sz w:val="24"/>
          <w:szCs w:val="24"/>
        </w:rPr>
        <w:t xml:space="preserve">and SSOCS:2020 </w:t>
      </w:r>
      <w:r w:rsidRPr="00155597">
        <w:rPr>
          <w:sz w:val="24"/>
          <w:szCs w:val="24"/>
        </w:rPr>
        <w:t xml:space="preserve">will be determined based on bias analysis results from </w:t>
      </w:r>
      <w:r w:rsidR="00513C9A" w:rsidRPr="00155597">
        <w:rPr>
          <w:sz w:val="24"/>
          <w:szCs w:val="24"/>
        </w:rPr>
        <w:t>the</w:t>
      </w:r>
      <w:r w:rsidRPr="00155597">
        <w:rPr>
          <w:sz w:val="24"/>
          <w:szCs w:val="24"/>
        </w:rPr>
        <w:t xml:space="preserve"> SSOCS</w:t>
      </w:r>
      <w:r w:rsidR="007E4669" w:rsidRPr="00155597">
        <w:rPr>
          <w:sz w:val="24"/>
          <w:szCs w:val="24"/>
        </w:rPr>
        <w:t xml:space="preserve">:2016 </w:t>
      </w:r>
      <w:r w:rsidRPr="00155597">
        <w:rPr>
          <w:sz w:val="24"/>
          <w:szCs w:val="24"/>
        </w:rPr>
        <w:t>data</w:t>
      </w:r>
      <w:r w:rsidR="002D2444" w:rsidRPr="00155597">
        <w:rPr>
          <w:sz w:val="24"/>
          <w:szCs w:val="24"/>
        </w:rPr>
        <w:t xml:space="preserve"> </w:t>
      </w:r>
      <w:r w:rsidR="00EF2F18" w:rsidRPr="00155597">
        <w:rPr>
          <w:sz w:val="24"/>
          <w:szCs w:val="24"/>
        </w:rPr>
        <w:t xml:space="preserve">and SSOCS:2018, </w:t>
      </w:r>
      <w:r w:rsidR="00F71CA1" w:rsidRPr="00155597">
        <w:rPr>
          <w:sz w:val="24"/>
          <w:szCs w:val="24"/>
        </w:rPr>
        <w:t>respectively</w:t>
      </w:r>
      <w:r w:rsidR="00EF2F18" w:rsidRPr="00155597">
        <w:rPr>
          <w:sz w:val="24"/>
          <w:szCs w:val="24"/>
        </w:rPr>
        <w:t xml:space="preserve">, </w:t>
      </w:r>
      <w:r w:rsidRPr="00155597">
        <w:rPr>
          <w:sz w:val="24"/>
          <w:szCs w:val="24"/>
        </w:rPr>
        <w:t>in order to create the adjustment for nonresponse. The final, adjusted weights will be raked so that the sum of the weights matches the number of schools derived from the latest CCD public school universe file.</w:t>
      </w:r>
    </w:p>
    <w:p w14:paraId="3753CD6C" w14:textId="77777777" w:rsidR="00D671F8" w:rsidRPr="00155597" w:rsidRDefault="00D671F8" w:rsidP="00D671F8">
      <w:pPr>
        <w:pStyle w:val="Heading4"/>
        <w:spacing w:after="120" w:line="240" w:lineRule="auto"/>
        <w:jc w:val="left"/>
        <w:rPr>
          <w:sz w:val="24"/>
          <w:szCs w:val="24"/>
        </w:rPr>
      </w:pPr>
      <w:r w:rsidRPr="00155597">
        <w:rPr>
          <w:sz w:val="24"/>
          <w:szCs w:val="24"/>
        </w:rPr>
        <w:t>Methods for Variance Estimation</w:t>
      </w:r>
    </w:p>
    <w:p w14:paraId="609E6349" w14:textId="5B562E92" w:rsidR="00D671F8" w:rsidRPr="00155597" w:rsidRDefault="00D671F8" w:rsidP="00D671F8">
      <w:pPr>
        <w:pStyle w:val="P1-StandPara"/>
        <w:spacing w:after="120" w:line="240" w:lineRule="auto"/>
        <w:ind w:firstLine="0"/>
        <w:jc w:val="left"/>
        <w:rPr>
          <w:sz w:val="24"/>
          <w:szCs w:val="24"/>
        </w:rPr>
      </w:pPr>
      <w:r w:rsidRPr="00155597">
        <w:rPr>
          <w:sz w:val="24"/>
          <w:szCs w:val="24"/>
        </w:rPr>
        <w:t>Standard errors of the estimates will be estimated using jackknife repeated replication (JRR). Replicate codes that indicate the computing strata and the half-sample to which each sample unit belongs will be provided, as will the weights for all replicates that were formed in order to calculate variances.</w:t>
      </w:r>
    </w:p>
    <w:p w14:paraId="37A9BA64" w14:textId="08531A67" w:rsidR="0064551D" w:rsidRPr="00155597" w:rsidRDefault="0064551D" w:rsidP="00D671F8">
      <w:pPr>
        <w:keepNext/>
        <w:rPr>
          <w:rFonts w:eastAsia="Arial"/>
          <w:b/>
          <w:spacing w:val="-6"/>
        </w:rPr>
      </w:pPr>
      <w:r w:rsidRPr="00155597">
        <w:rPr>
          <w:rFonts w:eastAsia="Arial"/>
          <w:b/>
          <w:spacing w:val="-1"/>
        </w:rPr>
        <w:t>Table</w:t>
      </w:r>
      <w:r w:rsidRPr="00155597">
        <w:rPr>
          <w:rFonts w:eastAsia="Arial"/>
          <w:b/>
          <w:spacing w:val="-10"/>
        </w:rPr>
        <w:t xml:space="preserve"> </w:t>
      </w:r>
      <w:r w:rsidR="000B27FC" w:rsidRPr="00155597">
        <w:rPr>
          <w:rFonts w:eastAsia="Arial"/>
          <w:b/>
          <w:spacing w:val="-1"/>
        </w:rPr>
        <w:t>5</w:t>
      </w:r>
      <w:r w:rsidRPr="00155597">
        <w:rPr>
          <w:rFonts w:eastAsia="Arial"/>
          <w:b/>
          <w:spacing w:val="-1"/>
        </w:rPr>
        <w:t xml:space="preserve">. </w:t>
      </w:r>
      <w:r w:rsidRPr="00155597">
        <w:rPr>
          <w:rFonts w:eastAsia="Arial"/>
          <w:b/>
          <w:spacing w:val="-2"/>
        </w:rPr>
        <w:t>Unweighted</w:t>
      </w:r>
      <w:r w:rsidRPr="00155597">
        <w:rPr>
          <w:rFonts w:eastAsia="Arial"/>
          <w:b/>
          <w:spacing w:val="-8"/>
        </w:rPr>
        <w:t xml:space="preserve"> </w:t>
      </w:r>
      <w:r w:rsidRPr="00155597">
        <w:rPr>
          <w:rFonts w:eastAsia="Arial"/>
          <w:b/>
          <w:spacing w:val="-2"/>
        </w:rPr>
        <w:t>and</w:t>
      </w:r>
      <w:r w:rsidRPr="00155597">
        <w:rPr>
          <w:rFonts w:eastAsia="Arial"/>
          <w:b/>
          <w:spacing w:val="-8"/>
        </w:rPr>
        <w:t xml:space="preserve"> </w:t>
      </w:r>
      <w:r w:rsidRPr="00155597">
        <w:rPr>
          <w:rFonts w:eastAsia="Arial"/>
          <w:b/>
          <w:spacing w:val="-2"/>
        </w:rPr>
        <w:t>weighted</w:t>
      </w:r>
      <w:r w:rsidRPr="00155597">
        <w:rPr>
          <w:rFonts w:eastAsia="Arial"/>
          <w:b/>
          <w:spacing w:val="-9"/>
        </w:rPr>
        <w:t xml:space="preserve"> </w:t>
      </w:r>
      <w:r w:rsidR="00D935DD" w:rsidRPr="00155597">
        <w:rPr>
          <w:rFonts w:eastAsia="Arial"/>
          <w:b/>
          <w:spacing w:val="-9"/>
        </w:rPr>
        <w:t xml:space="preserve">SSOCS </w:t>
      </w:r>
      <w:r w:rsidRPr="00155597">
        <w:rPr>
          <w:rFonts w:eastAsia="Arial"/>
          <w:b/>
          <w:spacing w:val="-1"/>
        </w:rPr>
        <w:t>unit</w:t>
      </w:r>
      <w:r w:rsidRPr="00155597">
        <w:rPr>
          <w:rFonts w:eastAsia="Arial"/>
          <w:b/>
          <w:spacing w:val="-7"/>
        </w:rPr>
        <w:t xml:space="preserve"> </w:t>
      </w:r>
      <w:r w:rsidRPr="00155597">
        <w:rPr>
          <w:rFonts w:eastAsia="Arial"/>
          <w:b/>
          <w:spacing w:val="-2"/>
        </w:rPr>
        <w:t>response</w:t>
      </w:r>
      <w:r w:rsidRPr="00155597">
        <w:rPr>
          <w:rFonts w:eastAsia="Arial"/>
          <w:b/>
          <w:spacing w:val="-6"/>
        </w:rPr>
        <w:t xml:space="preserve"> </w:t>
      </w:r>
      <w:r w:rsidRPr="00155597">
        <w:rPr>
          <w:rFonts w:eastAsia="Arial"/>
          <w:b/>
          <w:spacing w:val="-2"/>
        </w:rPr>
        <w:t>rates,</w:t>
      </w:r>
      <w:r w:rsidRPr="00155597">
        <w:rPr>
          <w:rFonts w:eastAsia="Arial"/>
          <w:b/>
          <w:spacing w:val="-7"/>
        </w:rPr>
        <w:t xml:space="preserve"> </w:t>
      </w:r>
      <w:r w:rsidRPr="00155597">
        <w:rPr>
          <w:rFonts w:eastAsia="Arial"/>
          <w:b/>
          <w:spacing w:val="-1"/>
        </w:rPr>
        <w:t>by</w:t>
      </w:r>
      <w:r w:rsidRPr="00155597">
        <w:rPr>
          <w:rFonts w:eastAsia="Arial"/>
          <w:b/>
          <w:spacing w:val="-10"/>
        </w:rPr>
        <w:t xml:space="preserve"> </w:t>
      </w:r>
      <w:r w:rsidRPr="00155597">
        <w:rPr>
          <w:rFonts w:eastAsia="Arial"/>
          <w:b/>
          <w:spacing w:val="-2"/>
        </w:rPr>
        <w:t>selected</w:t>
      </w:r>
      <w:r w:rsidRPr="00155597">
        <w:rPr>
          <w:rFonts w:eastAsia="Arial"/>
          <w:b/>
          <w:spacing w:val="-9"/>
        </w:rPr>
        <w:t xml:space="preserve"> </w:t>
      </w:r>
      <w:r w:rsidRPr="00155597">
        <w:rPr>
          <w:rFonts w:eastAsia="Arial"/>
          <w:b/>
          <w:spacing w:val="-2"/>
        </w:rPr>
        <w:t>school</w:t>
      </w:r>
      <w:r w:rsidRPr="00155597">
        <w:rPr>
          <w:rFonts w:eastAsia="Arial"/>
          <w:b/>
          <w:spacing w:val="-6"/>
        </w:rPr>
        <w:t xml:space="preserve"> </w:t>
      </w:r>
      <w:r w:rsidRPr="00155597">
        <w:rPr>
          <w:rFonts w:eastAsia="Arial"/>
          <w:b/>
          <w:spacing w:val="-2"/>
        </w:rPr>
        <w:t>characteristics:</w:t>
      </w:r>
    </w:p>
    <w:p w14:paraId="44D550A3" w14:textId="16C9E12C" w:rsidR="000B2A27" w:rsidRPr="00155597" w:rsidRDefault="0064551D" w:rsidP="00D671F8">
      <w:pPr>
        <w:keepNext/>
      </w:pPr>
      <w:r w:rsidRPr="00155597">
        <w:rPr>
          <w:rFonts w:eastAsia="Arial"/>
          <w:b/>
          <w:spacing w:val="-2"/>
        </w:rPr>
        <w:t>School</w:t>
      </w:r>
      <w:r w:rsidRPr="00155597">
        <w:rPr>
          <w:rFonts w:eastAsia="Arial"/>
          <w:b/>
          <w:spacing w:val="-6"/>
        </w:rPr>
        <w:t xml:space="preserve"> </w:t>
      </w:r>
      <w:r w:rsidRPr="00155597">
        <w:rPr>
          <w:rFonts w:eastAsia="Arial"/>
          <w:b/>
          <w:spacing w:val="-3"/>
        </w:rPr>
        <w:t>year</w:t>
      </w:r>
      <w:r w:rsidRPr="00155597">
        <w:rPr>
          <w:rFonts w:eastAsia="Arial"/>
          <w:b/>
          <w:spacing w:val="-7"/>
        </w:rPr>
        <w:t xml:space="preserve"> </w:t>
      </w:r>
      <w:r w:rsidRPr="00155597">
        <w:rPr>
          <w:rFonts w:eastAsia="Arial"/>
          <w:b/>
          <w:spacing w:val="-2"/>
        </w:rPr>
        <w:t>2015–16</w:t>
      </w:r>
    </w:p>
    <w:tbl>
      <w:tblPr>
        <w:tblW w:w="5000" w:type="pct"/>
        <w:tblCellMar>
          <w:left w:w="0" w:type="dxa"/>
          <w:right w:w="0" w:type="dxa"/>
        </w:tblCellMar>
        <w:tblLook w:val="01E0" w:firstRow="1" w:lastRow="1" w:firstColumn="1" w:lastColumn="1" w:noHBand="0" w:noVBand="0"/>
      </w:tblPr>
      <w:tblGrid>
        <w:gridCol w:w="2157"/>
        <w:gridCol w:w="1171"/>
        <w:gridCol w:w="1171"/>
        <w:gridCol w:w="1352"/>
        <w:gridCol w:w="1350"/>
        <w:gridCol w:w="1877"/>
        <w:gridCol w:w="1434"/>
      </w:tblGrid>
      <w:tr w:rsidR="003C6085" w:rsidRPr="00155597" w14:paraId="0BBB88A7" w14:textId="77777777" w:rsidTr="003C6085">
        <w:trPr>
          <w:trHeight w:val="144"/>
        </w:trPr>
        <w:tc>
          <w:tcPr>
            <w:tcW w:w="1026" w:type="pct"/>
            <w:tcBorders>
              <w:top w:val="single" w:sz="8" w:space="0" w:color="000000"/>
              <w:left w:val="nil"/>
              <w:bottom w:val="single" w:sz="8" w:space="0" w:color="000000"/>
              <w:right w:val="nil"/>
            </w:tcBorders>
            <w:vAlign w:val="bottom"/>
          </w:tcPr>
          <w:p w14:paraId="6CFF7534" w14:textId="77777777" w:rsidR="0064551D" w:rsidRPr="00155597" w:rsidRDefault="0064551D" w:rsidP="003455E2">
            <w:pPr>
              <w:pStyle w:val="TableParagraph"/>
              <w:keepNext/>
              <w:ind w:left="31"/>
              <w:jc w:val="right"/>
              <w:rPr>
                <w:rFonts w:ascii="Times New Roman" w:eastAsia="Arial" w:hAnsi="Times New Roman" w:cs="Times New Roman"/>
                <w:sz w:val="16"/>
                <w:szCs w:val="16"/>
              </w:rPr>
            </w:pPr>
            <w:r w:rsidRPr="00155597">
              <w:rPr>
                <w:rFonts w:ascii="Times New Roman" w:hAnsi="Times New Roman" w:cs="Times New Roman"/>
                <w:spacing w:val="-2"/>
                <w:sz w:val="16"/>
                <w:szCs w:val="16"/>
              </w:rPr>
              <w:t>School</w:t>
            </w:r>
            <w:r w:rsidRPr="00155597">
              <w:rPr>
                <w:rFonts w:ascii="Times New Roman" w:hAnsi="Times New Roman" w:cs="Times New Roman"/>
                <w:spacing w:val="-15"/>
                <w:sz w:val="16"/>
                <w:szCs w:val="16"/>
              </w:rPr>
              <w:t xml:space="preserve"> </w:t>
            </w:r>
            <w:r w:rsidRPr="00155597">
              <w:rPr>
                <w:rFonts w:ascii="Times New Roman" w:hAnsi="Times New Roman" w:cs="Times New Roman"/>
                <w:spacing w:val="-1"/>
                <w:sz w:val="16"/>
                <w:szCs w:val="16"/>
              </w:rPr>
              <w:t>characteristic</w:t>
            </w:r>
          </w:p>
        </w:tc>
        <w:tc>
          <w:tcPr>
            <w:tcW w:w="557" w:type="pct"/>
            <w:tcBorders>
              <w:top w:val="single" w:sz="8" w:space="0" w:color="000000"/>
              <w:left w:val="nil"/>
              <w:bottom w:val="single" w:sz="8" w:space="0" w:color="000000"/>
              <w:right w:val="nil"/>
            </w:tcBorders>
            <w:vAlign w:val="bottom"/>
          </w:tcPr>
          <w:p w14:paraId="00F343A0" w14:textId="77777777" w:rsidR="0064551D" w:rsidRPr="00155597" w:rsidRDefault="0064551D" w:rsidP="003455E2">
            <w:pPr>
              <w:pStyle w:val="TableParagraph"/>
              <w:keepNext/>
              <w:ind w:left="395" w:right="126" w:firstLine="132"/>
              <w:jc w:val="right"/>
              <w:rPr>
                <w:rFonts w:ascii="Times New Roman" w:eastAsia="Arial" w:hAnsi="Times New Roman" w:cs="Times New Roman"/>
                <w:sz w:val="16"/>
                <w:szCs w:val="16"/>
              </w:rPr>
            </w:pPr>
            <w:r w:rsidRPr="00155597">
              <w:rPr>
                <w:rFonts w:ascii="Times New Roman" w:hAnsi="Times New Roman" w:cs="Times New Roman"/>
                <w:spacing w:val="-2"/>
                <w:sz w:val="16"/>
                <w:szCs w:val="16"/>
              </w:rPr>
              <w:t>Initial</w:t>
            </w:r>
            <w:r w:rsidRPr="00155597">
              <w:rPr>
                <w:rFonts w:ascii="Times New Roman" w:hAnsi="Times New Roman" w:cs="Times New Roman"/>
                <w:spacing w:val="25"/>
                <w:w w:val="99"/>
                <w:sz w:val="16"/>
                <w:szCs w:val="16"/>
              </w:rPr>
              <w:t xml:space="preserve"> </w:t>
            </w:r>
            <w:r w:rsidRPr="00155597">
              <w:rPr>
                <w:rFonts w:ascii="Times New Roman" w:hAnsi="Times New Roman" w:cs="Times New Roman"/>
                <w:spacing w:val="-1"/>
                <w:sz w:val="16"/>
                <w:szCs w:val="16"/>
              </w:rPr>
              <w:t>sample</w:t>
            </w:r>
          </w:p>
        </w:tc>
        <w:tc>
          <w:tcPr>
            <w:tcW w:w="557" w:type="pct"/>
            <w:tcBorders>
              <w:top w:val="single" w:sz="8" w:space="0" w:color="000000"/>
              <w:left w:val="nil"/>
              <w:bottom w:val="single" w:sz="8" w:space="0" w:color="000000"/>
              <w:right w:val="nil"/>
            </w:tcBorders>
            <w:vAlign w:val="bottom"/>
          </w:tcPr>
          <w:p w14:paraId="668EF41D" w14:textId="61577870" w:rsidR="0064551D" w:rsidRPr="00155597" w:rsidRDefault="0064551D" w:rsidP="003455E2">
            <w:pPr>
              <w:pStyle w:val="TableParagraph"/>
              <w:keepNext/>
              <w:ind w:left="122"/>
              <w:jc w:val="right"/>
              <w:rPr>
                <w:rFonts w:ascii="Times New Roman" w:eastAsia="Arial" w:hAnsi="Times New Roman" w:cs="Times New Roman"/>
                <w:sz w:val="16"/>
                <w:szCs w:val="16"/>
              </w:rPr>
            </w:pPr>
            <w:r w:rsidRPr="00155597">
              <w:rPr>
                <w:rFonts w:ascii="Times New Roman" w:hAnsi="Times New Roman" w:cs="Times New Roman"/>
                <w:spacing w:val="-2"/>
                <w:sz w:val="16"/>
                <w:szCs w:val="16"/>
              </w:rPr>
              <w:t>Completed</w:t>
            </w:r>
            <w:r w:rsidR="00817C1C">
              <w:rPr>
                <w:rFonts w:ascii="Times New Roman" w:hAnsi="Times New Roman" w:cs="Times New Roman"/>
                <w:spacing w:val="-2"/>
                <w:sz w:val="16"/>
                <w:szCs w:val="16"/>
              </w:rPr>
              <w:t xml:space="preserve"> </w:t>
            </w:r>
            <w:r w:rsidR="005136DE" w:rsidRPr="00155597">
              <w:rPr>
                <w:rFonts w:ascii="Times New Roman" w:hAnsi="Times New Roman" w:cs="Times New Roman"/>
                <w:spacing w:val="-2"/>
                <w:sz w:val="16"/>
                <w:szCs w:val="16"/>
              </w:rPr>
              <w:t>S</w:t>
            </w:r>
            <w:r w:rsidRPr="00155597">
              <w:rPr>
                <w:rFonts w:ascii="Times New Roman" w:hAnsi="Times New Roman" w:cs="Times New Roman"/>
                <w:spacing w:val="-2"/>
                <w:sz w:val="16"/>
                <w:szCs w:val="16"/>
              </w:rPr>
              <w:t>urvey</w:t>
            </w:r>
            <w:r w:rsidR="005136DE" w:rsidRPr="00155597">
              <w:rPr>
                <w:rFonts w:ascii="Times New Roman" w:hAnsi="Times New Roman" w:cs="Times New Roman"/>
                <w:spacing w:val="-2"/>
                <w:sz w:val="16"/>
                <w:szCs w:val="16"/>
                <w:vertAlign w:val="superscript"/>
              </w:rPr>
              <w:t>1</w:t>
            </w:r>
          </w:p>
        </w:tc>
        <w:tc>
          <w:tcPr>
            <w:tcW w:w="643" w:type="pct"/>
            <w:tcBorders>
              <w:top w:val="single" w:sz="8" w:space="0" w:color="000000"/>
              <w:left w:val="nil"/>
              <w:bottom w:val="single" w:sz="8" w:space="0" w:color="000000"/>
              <w:right w:val="nil"/>
            </w:tcBorders>
            <w:vAlign w:val="bottom"/>
          </w:tcPr>
          <w:p w14:paraId="1ACBCB2E" w14:textId="17AC1791" w:rsidR="0064551D" w:rsidRPr="00155597" w:rsidRDefault="0064551D" w:rsidP="003455E2">
            <w:pPr>
              <w:pStyle w:val="TableParagraph"/>
              <w:keepNext/>
              <w:ind w:left="86" w:right="173" w:firstLine="547"/>
              <w:jc w:val="right"/>
              <w:rPr>
                <w:rFonts w:ascii="Times New Roman" w:eastAsia="Arial" w:hAnsi="Times New Roman" w:cs="Times New Roman"/>
                <w:sz w:val="16"/>
                <w:szCs w:val="16"/>
              </w:rPr>
            </w:pPr>
            <w:r w:rsidRPr="00155597">
              <w:rPr>
                <w:rFonts w:ascii="Times New Roman" w:hAnsi="Times New Roman" w:cs="Times New Roman"/>
                <w:spacing w:val="-2"/>
                <w:sz w:val="16"/>
                <w:szCs w:val="16"/>
              </w:rPr>
              <w:t>Non-</w:t>
            </w:r>
            <w:r w:rsidRPr="00155597">
              <w:rPr>
                <w:rFonts w:ascii="Times New Roman" w:hAnsi="Times New Roman" w:cs="Times New Roman"/>
                <w:spacing w:val="21"/>
                <w:w w:val="99"/>
                <w:sz w:val="16"/>
                <w:szCs w:val="16"/>
              </w:rPr>
              <w:t xml:space="preserve"> </w:t>
            </w:r>
            <w:r w:rsidRPr="00155597">
              <w:rPr>
                <w:rFonts w:ascii="Times New Roman" w:hAnsi="Times New Roman" w:cs="Times New Roman"/>
                <w:spacing w:val="-2"/>
                <w:sz w:val="16"/>
                <w:szCs w:val="16"/>
              </w:rPr>
              <w:t>respondents</w:t>
            </w:r>
            <w:r w:rsidR="005136DE" w:rsidRPr="00155597">
              <w:rPr>
                <w:rFonts w:ascii="Times New Roman" w:hAnsi="Times New Roman" w:cs="Times New Roman"/>
                <w:spacing w:val="-2"/>
                <w:sz w:val="16"/>
                <w:szCs w:val="16"/>
                <w:vertAlign w:val="superscript"/>
              </w:rPr>
              <w:t>2</w:t>
            </w:r>
          </w:p>
        </w:tc>
        <w:tc>
          <w:tcPr>
            <w:tcW w:w="642" w:type="pct"/>
            <w:tcBorders>
              <w:top w:val="single" w:sz="8" w:space="0" w:color="000000"/>
              <w:left w:val="nil"/>
              <w:bottom w:val="single" w:sz="8" w:space="0" w:color="000000"/>
              <w:right w:val="nil"/>
            </w:tcBorders>
            <w:vAlign w:val="bottom"/>
          </w:tcPr>
          <w:p w14:paraId="5FFAE71B" w14:textId="4010D8D0" w:rsidR="0064551D" w:rsidRPr="00155597" w:rsidRDefault="0064551D" w:rsidP="003455E2">
            <w:pPr>
              <w:pStyle w:val="TableParagraph"/>
              <w:keepNext/>
              <w:ind w:left="158"/>
              <w:jc w:val="right"/>
              <w:rPr>
                <w:rFonts w:ascii="Times New Roman" w:eastAsia="Arial" w:hAnsi="Times New Roman" w:cs="Times New Roman"/>
                <w:sz w:val="16"/>
                <w:szCs w:val="16"/>
              </w:rPr>
            </w:pPr>
            <w:r w:rsidRPr="00155597">
              <w:rPr>
                <w:rFonts w:ascii="Times New Roman" w:hAnsi="Times New Roman" w:cs="Times New Roman"/>
                <w:spacing w:val="-1"/>
                <w:sz w:val="16"/>
                <w:szCs w:val="16"/>
              </w:rPr>
              <w:t>Ineligible</w:t>
            </w:r>
            <w:r w:rsidR="005136DE" w:rsidRPr="00155597">
              <w:rPr>
                <w:rFonts w:ascii="Times New Roman" w:hAnsi="Times New Roman" w:cs="Times New Roman"/>
                <w:spacing w:val="-1"/>
                <w:sz w:val="16"/>
                <w:szCs w:val="16"/>
                <w:vertAlign w:val="superscript"/>
              </w:rPr>
              <w:t>3</w:t>
            </w:r>
          </w:p>
        </w:tc>
        <w:tc>
          <w:tcPr>
            <w:tcW w:w="893" w:type="pct"/>
            <w:tcBorders>
              <w:top w:val="single" w:sz="8" w:space="0" w:color="000000"/>
              <w:left w:val="nil"/>
              <w:bottom w:val="single" w:sz="8" w:space="0" w:color="000000"/>
              <w:right w:val="nil"/>
            </w:tcBorders>
            <w:vAlign w:val="bottom"/>
          </w:tcPr>
          <w:p w14:paraId="63F3C06C" w14:textId="7F5EAFCB" w:rsidR="0064551D" w:rsidRPr="00155597" w:rsidRDefault="0064551D" w:rsidP="003455E2">
            <w:pPr>
              <w:pStyle w:val="TableParagraph"/>
              <w:keepNext/>
              <w:spacing w:before="12"/>
              <w:ind w:left="99" w:right="108" w:hanging="60"/>
              <w:jc w:val="right"/>
              <w:rPr>
                <w:rFonts w:ascii="Times New Roman" w:eastAsia="Arial" w:hAnsi="Times New Roman" w:cs="Times New Roman"/>
                <w:sz w:val="16"/>
                <w:szCs w:val="16"/>
              </w:rPr>
            </w:pPr>
            <w:r w:rsidRPr="00155597">
              <w:rPr>
                <w:rFonts w:ascii="Times New Roman" w:hAnsi="Times New Roman" w:cs="Times New Roman"/>
                <w:spacing w:val="-2"/>
                <w:sz w:val="16"/>
                <w:szCs w:val="16"/>
              </w:rPr>
              <w:t>Unweighted</w:t>
            </w:r>
            <w:r w:rsidRPr="00155597">
              <w:rPr>
                <w:rFonts w:ascii="Times New Roman" w:hAnsi="Times New Roman" w:cs="Times New Roman"/>
                <w:spacing w:val="21"/>
                <w:w w:val="99"/>
                <w:sz w:val="16"/>
                <w:szCs w:val="16"/>
              </w:rPr>
              <w:t xml:space="preserve"> </w:t>
            </w:r>
            <w:r w:rsidRPr="00155597">
              <w:rPr>
                <w:rFonts w:ascii="Times New Roman" w:hAnsi="Times New Roman" w:cs="Times New Roman"/>
                <w:spacing w:val="-2"/>
                <w:sz w:val="16"/>
                <w:szCs w:val="16"/>
              </w:rPr>
              <w:t>response</w:t>
            </w:r>
            <w:r w:rsidR="00817C1C">
              <w:rPr>
                <w:rFonts w:ascii="Times New Roman" w:hAnsi="Times New Roman" w:cs="Times New Roman"/>
                <w:spacing w:val="-2"/>
                <w:sz w:val="16"/>
                <w:szCs w:val="16"/>
              </w:rPr>
              <w:t xml:space="preserve"> </w:t>
            </w:r>
            <w:r w:rsidRPr="00155597">
              <w:rPr>
                <w:rFonts w:ascii="Times New Roman" w:hAnsi="Times New Roman" w:cs="Times New Roman"/>
                <w:spacing w:val="-1"/>
                <w:sz w:val="16"/>
                <w:szCs w:val="16"/>
              </w:rPr>
              <w:t>rate</w:t>
            </w:r>
            <w:r w:rsidRPr="00155597">
              <w:rPr>
                <w:rFonts w:ascii="Times New Roman" w:hAnsi="Times New Roman" w:cs="Times New Roman"/>
                <w:spacing w:val="-13"/>
                <w:sz w:val="16"/>
                <w:szCs w:val="16"/>
              </w:rPr>
              <w:t xml:space="preserve"> </w:t>
            </w:r>
            <w:r w:rsidRPr="00155597">
              <w:rPr>
                <w:rFonts w:ascii="Times New Roman" w:hAnsi="Times New Roman" w:cs="Times New Roman"/>
                <w:spacing w:val="-1"/>
                <w:sz w:val="16"/>
                <w:szCs w:val="16"/>
              </w:rPr>
              <w:t>(percent)</w:t>
            </w:r>
            <w:r w:rsidR="005136DE" w:rsidRPr="00155597">
              <w:rPr>
                <w:rFonts w:ascii="Times New Roman" w:hAnsi="Times New Roman" w:cs="Times New Roman"/>
                <w:spacing w:val="-1"/>
                <w:sz w:val="16"/>
                <w:szCs w:val="16"/>
                <w:vertAlign w:val="superscript"/>
              </w:rPr>
              <w:t>4</w:t>
            </w:r>
          </w:p>
        </w:tc>
        <w:tc>
          <w:tcPr>
            <w:tcW w:w="682" w:type="pct"/>
            <w:tcBorders>
              <w:top w:val="single" w:sz="8" w:space="0" w:color="000000"/>
              <w:left w:val="nil"/>
              <w:bottom w:val="single" w:sz="8" w:space="0" w:color="000000"/>
              <w:right w:val="nil"/>
            </w:tcBorders>
            <w:vAlign w:val="bottom"/>
          </w:tcPr>
          <w:p w14:paraId="7718C146" w14:textId="4DB380F4" w:rsidR="0064551D" w:rsidRPr="00155597" w:rsidRDefault="0064551D" w:rsidP="003455E2">
            <w:pPr>
              <w:pStyle w:val="TableParagraph"/>
              <w:keepNext/>
              <w:spacing w:before="12"/>
              <w:ind w:left="90" w:right="31" w:hanging="24"/>
              <w:jc w:val="right"/>
              <w:rPr>
                <w:rFonts w:ascii="Times New Roman" w:eastAsia="Arial" w:hAnsi="Times New Roman" w:cs="Times New Roman"/>
                <w:sz w:val="16"/>
                <w:szCs w:val="16"/>
              </w:rPr>
            </w:pPr>
            <w:r w:rsidRPr="00155597">
              <w:rPr>
                <w:rFonts w:ascii="Times New Roman" w:hAnsi="Times New Roman" w:cs="Times New Roman"/>
                <w:spacing w:val="-1"/>
                <w:sz w:val="16"/>
                <w:szCs w:val="16"/>
              </w:rPr>
              <w:t>Weighted</w:t>
            </w:r>
            <w:r w:rsidRPr="00155597">
              <w:rPr>
                <w:rFonts w:ascii="Times New Roman" w:hAnsi="Times New Roman" w:cs="Times New Roman"/>
                <w:spacing w:val="24"/>
                <w:w w:val="99"/>
                <w:sz w:val="16"/>
                <w:szCs w:val="16"/>
              </w:rPr>
              <w:t xml:space="preserve"> </w:t>
            </w:r>
            <w:r w:rsidRPr="00155597">
              <w:rPr>
                <w:rFonts w:ascii="Times New Roman" w:hAnsi="Times New Roman" w:cs="Times New Roman"/>
                <w:spacing w:val="-2"/>
                <w:sz w:val="16"/>
                <w:szCs w:val="16"/>
              </w:rPr>
              <w:t>response</w:t>
            </w:r>
            <w:r w:rsidR="00817C1C">
              <w:rPr>
                <w:rFonts w:ascii="Times New Roman" w:hAnsi="Times New Roman" w:cs="Times New Roman"/>
                <w:spacing w:val="-2"/>
                <w:sz w:val="16"/>
                <w:szCs w:val="16"/>
              </w:rPr>
              <w:t xml:space="preserve"> </w:t>
            </w:r>
            <w:r w:rsidRPr="00155597">
              <w:rPr>
                <w:rFonts w:ascii="Times New Roman" w:hAnsi="Times New Roman" w:cs="Times New Roman"/>
                <w:spacing w:val="-1"/>
                <w:sz w:val="16"/>
                <w:szCs w:val="16"/>
              </w:rPr>
              <w:t>rate</w:t>
            </w:r>
            <w:r w:rsidRPr="00155597">
              <w:rPr>
                <w:rFonts w:ascii="Times New Roman" w:hAnsi="Times New Roman" w:cs="Times New Roman"/>
                <w:spacing w:val="-13"/>
                <w:sz w:val="16"/>
                <w:szCs w:val="16"/>
              </w:rPr>
              <w:t xml:space="preserve"> </w:t>
            </w:r>
            <w:r w:rsidRPr="00155597">
              <w:rPr>
                <w:rFonts w:ascii="Times New Roman" w:hAnsi="Times New Roman" w:cs="Times New Roman"/>
                <w:spacing w:val="-1"/>
                <w:sz w:val="16"/>
                <w:szCs w:val="16"/>
              </w:rPr>
              <w:t>(percent)</w:t>
            </w:r>
            <w:r w:rsidR="005136DE" w:rsidRPr="00155597">
              <w:rPr>
                <w:rFonts w:ascii="Times New Roman" w:hAnsi="Times New Roman" w:cs="Times New Roman"/>
                <w:spacing w:val="-1"/>
                <w:sz w:val="16"/>
                <w:szCs w:val="16"/>
                <w:vertAlign w:val="superscript"/>
              </w:rPr>
              <w:t>5</w:t>
            </w:r>
          </w:p>
        </w:tc>
      </w:tr>
      <w:tr w:rsidR="003C6085" w:rsidRPr="00155597" w14:paraId="6DC9F1C0" w14:textId="77777777" w:rsidTr="003C6085">
        <w:trPr>
          <w:trHeight w:val="144"/>
        </w:trPr>
        <w:tc>
          <w:tcPr>
            <w:tcW w:w="1026" w:type="pct"/>
            <w:tcBorders>
              <w:top w:val="single" w:sz="8" w:space="0" w:color="000000"/>
              <w:left w:val="nil"/>
              <w:bottom w:val="nil"/>
              <w:right w:val="nil"/>
            </w:tcBorders>
          </w:tcPr>
          <w:p w14:paraId="347629A3" w14:textId="77777777" w:rsidR="0064551D" w:rsidRPr="00155597" w:rsidRDefault="0064551D" w:rsidP="00D671F8">
            <w:pPr>
              <w:pStyle w:val="TableParagraph"/>
              <w:keepNext/>
              <w:spacing w:before="7"/>
              <w:ind w:left="275"/>
              <w:rPr>
                <w:rFonts w:ascii="Times New Roman" w:eastAsia="Arial" w:hAnsi="Times New Roman" w:cs="Times New Roman"/>
                <w:sz w:val="16"/>
                <w:szCs w:val="16"/>
              </w:rPr>
            </w:pPr>
            <w:r w:rsidRPr="00155597">
              <w:rPr>
                <w:rFonts w:ascii="Times New Roman" w:hAnsi="Times New Roman" w:cs="Times New Roman"/>
                <w:spacing w:val="-2"/>
                <w:sz w:val="16"/>
                <w:szCs w:val="16"/>
              </w:rPr>
              <w:t>Total</w:t>
            </w:r>
          </w:p>
        </w:tc>
        <w:tc>
          <w:tcPr>
            <w:tcW w:w="557" w:type="pct"/>
            <w:tcBorders>
              <w:top w:val="single" w:sz="8" w:space="0" w:color="000000"/>
              <w:left w:val="nil"/>
              <w:bottom w:val="nil"/>
              <w:right w:val="nil"/>
            </w:tcBorders>
            <w:vAlign w:val="bottom"/>
          </w:tcPr>
          <w:p w14:paraId="34282A2F" w14:textId="77777777" w:rsidR="0064551D" w:rsidRPr="00155597" w:rsidRDefault="0064551D" w:rsidP="00D671F8">
            <w:pPr>
              <w:pStyle w:val="TableParagraph"/>
              <w:keepNext/>
              <w:spacing w:before="7"/>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3,553</w:t>
            </w:r>
          </w:p>
        </w:tc>
        <w:tc>
          <w:tcPr>
            <w:tcW w:w="557" w:type="pct"/>
            <w:tcBorders>
              <w:top w:val="single" w:sz="8" w:space="0" w:color="000000"/>
              <w:left w:val="nil"/>
              <w:bottom w:val="nil"/>
              <w:right w:val="nil"/>
            </w:tcBorders>
            <w:vAlign w:val="bottom"/>
          </w:tcPr>
          <w:p w14:paraId="03E709FF" w14:textId="77777777" w:rsidR="0064551D" w:rsidRPr="00155597" w:rsidRDefault="0064551D" w:rsidP="00D671F8">
            <w:pPr>
              <w:pStyle w:val="TableParagraph"/>
              <w:keepNext/>
              <w:spacing w:before="7"/>
              <w:ind w:left="477"/>
              <w:jc w:val="right"/>
              <w:rPr>
                <w:rFonts w:ascii="Times New Roman" w:eastAsia="Arial" w:hAnsi="Times New Roman" w:cs="Times New Roman"/>
                <w:sz w:val="16"/>
                <w:szCs w:val="16"/>
              </w:rPr>
            </w:pPr>
            <w:r w:rsidRPr="00155597">
              <w:rPr>
                <w:rFonts w:ascii="Times New Roman" w:hAnsi="Times New Roman" w:cs="Times New Roman"/>
                <w:sz w:val="18"/>
                <w:szCs w:val="18"/>
              </w:rPr>
              <w:t>2,092</w:t>
            </w:r>
          </w:p>
        </w:tc>
        <w:tc>
          <w:tcPr>
            <w:tcW w:w="643" w:type="pct"/>
            <w:tcBorders>
              <w:top w:val="single" w:sz="8" w:space="0" w:color="000000"/>
              <w:left w:val="nil"/>
              <w:bottom w:val="nil"/>
              <w:right w:val="nil"/>
            </w:tcBorders>
            <w:vAlign w:val="bottom"/>
          </w:tcPr>
          <w:p w14:paraId="51772299" w14:textId="2E5CF042" w:rsidR="0064551D" w:rsidRPr="00155597" w:rsidRDefault="0064551D" w:rsidP="00D671F8">
            <w:pPr>
              <w:pStyle w:val="TableParagraph"/>
              <w:keepNext/>
              <w:spacing w:before="7"/>
              <w:jc w:val="right"/>
              <w:rPr>
                <w:rFonts w:ascii="Times New Roman" w:eastAsia="Arial" w:hAnsi="Times New Roman" w:cs="Times New Roman"/>
                <w:sz w:val="16"/>
                <w:szCs w:val="16"/>
              </w:rPr>
            </w:pPr>
            <w:r w:rsidRPr="00155597">
              <w:rPr>
                <w:rFonts w:ascii="Times New Roman" w:hAnsi="Times New Roman" w:cs="Times New Roman"/>
                <w:sz w:val="18"/>
                <w:szCs w:val="18"/>
              </w:rPr>
              <w:t>1,442</w:t>
            </w:r>
          </w:p>
        </w:tc>
        <w:tc>
          <w:tcPr>
            <w:tcW w:w="642" w:type="pct"/>
            <w:tcBorders>
              <w:top w:val="single" w:sz="8" w:space="0" w:color="000000"/>
              <w:left w:val="nil"/>
              <w:bottom w:val="nil"/>
              <w:right w:val="nil"/>
            </w:tcBorders>
            <w:vAlign w:val="bottom"/>
          </w:tcPr>
          <w:p w14:paraId="627732CD" w14:textId="77777777" w:rsidR="0064551D" w:rsidRPr="00155597" w:rsidRDefault="0064551D" w:rsidP="00D671F8">
            <w:pPr>
              <w:pStyle w:val="TableParagraph"/>
              <w:keepNext/>
              <w:spacing w:before="7"/>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19</w:t>
            </w:r>
          </w:p>
        </w:tc>
        <w:tc>
          <w:tcPr>
            <w:tcW w:w="893" w:type="pct"/>
            <w:tcBorders>
              <w:top w:val="single" w:sz="8" w:space="0" w:color="000000"/>
              <w:left w:val="nil"/>
              <w:bottom w:val="nil"/>
              <w:right w:val="nil"/>
            </w:tcBorders>
            <w:vAlign w:val="bottom"/>
          </w:tcPr>
          <w:p w14:paraId="11E4DFE8" w14:textId="77777777" w:rsidR="0064551D" w:rsidRPr="00155597" w:rsidRDefault="0064551D" w:rsidP="00D671F8">
            <w:pPr>
              <w:pStyle w:val="TableParagraph"/>
              <w:keepNext/>
              <w:spacing w:before="7"/>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59.2</w:t>
            </w:r>
          </w:p>
        </w:tc>
        <w:tc>
          <w:tcPr>
            <w:tcW w:w="682" w:type="pct"/>
            <w:tcBorders>
              <w:top w:val="single" w:sz="8" w:space="0" w:color="000000"/>
              <w:left w:val="nil"/>
              <w:bottom w:val="nil"/>
              <w:right w:val="nil"/>
            </w:tcBorders>
            <w:vAlign w:val="bottom"/>
          </w:tcPr>
          <w:p w14:paraId="146E7D4F" w14:textId="77777777" w:rsidR="0064551D" w:rsidRPr="00155597" w:rsidRDefault="0064551D" w:rsidP="00D671F8">
            <w:pPr>
              <w:pStyle w:val="TableParagraph"/>
              <w:keepNext/>
              <w:spacing w:before="7"/>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63.0</w:t>
            </w:r>
          </w:p>
        </w:tc>
      </w:tr>
      <w:tr w:rsidR="0064551D" w:rsidRPr="00155597" w14:paraId="4245D85C" w14:textId="77777777" w:rsidTr="00A00FDB">
        <w:trPr>
          <w:trHeight w:val="144"/>
        </w:trPr>
        <w:tc>
          <w:tcPr>
            <w:tcW w:w="5000" w:type="pct"/>
            <w:gridSpan w:val="7"/>
            <w:tcBorders>
              <w:top w:val="nil"/>
              <w:left w:val="nil"/>
              <w:bottom w:val="nil"/>
              <w:right w:val="nil"/>
            </w:tcBorders>
          </w:tcPr>
          <w:p w14:paraId="774C3979" w14:textId="041A1BBE" w:rsidR="0064551D" w:rsidRPr="00155597" w:rsidRDefault="0064551D" w:rsidP="00D671F8">
            <w:pPr>
              <w:pStyle w:val="TableParagraph"/>
              <w:keepNext/>
              <w:spacing w:before="43"/>
              <w:ind w:left="31"/>
              <w:rPr>
                <w:rFonts w:ascii="Times New Roman" w:eastAsia="Arial" w:hAnsi="Times New Roman" w:cs="Times New Roman"/>
                <w:sz w:val="16"/>
                <w:szCs w:val="16"/>
              </w:rPr>
            </w:pPr>
            <w:r w:rsidRPr="00155597">
              <w:rPr>
                <w:rFonts w:ascii="Times New Roman" w:hAnsi="Times New Roman" w:cs="Times New Roman"/>
                <w:spacing w:val="-1"/>
                <w:sz w:val="16"/>
                <w:szCs w:val="16"/>
              </w:rPr>
              <w:t>Level</w:t>
            </w:r>
            <w:r w:rsidR="0097235F" w:rsidRPr="00155597">
              <w:rPr>
                <w:rFonts w:ascii="Times New Roman" w:hAnsi="Times New Roman" w:cs="Times New Roman"/>
                <w:spacing w:val="-1"/>
                <w:sz w:val="16"/>
                <w:szCs w:val="16"/>
                <w:vertAlign w:val="superscript"/>
              </w:rPr>
              <w:t>6</w:t>
            </w:r>
          </w:p>
        </w:tc>
      </w:tr>
      <w:tr w:rsidR="003C6085" w:rsidRPr="00155597" w14:paraId="1EA0B6E6" w14:textId="77777777" w:rsidTr="003C6085">
        <w:trPr>
          <w:trHeight w:val="144"/>
        </w:trPr>
        <w:tc>
          <w:tcPr>
            <w:tcW w:w="1026" w:type="pct"/>
            <w:tcBorders>
              <w:top w:val="nil"/>
              <w:left w:val="nil"/>
              <w:bottom w:val="nil"/>
              <w:right w:val="nil"/>
            </w:tcBorders>
          </w:tcPr>
          <w:p w14:paraId="0C8A0F93" w14:textId="77777777" w:rsidR="0064551D" w:rsidRPr="00155597" w:rsidRDefault="0064551D" w:rsidP="00D671F8">
            <w:pPr>
              <w:pStyle w:val="TableParagraph"/>
              <w:keepNext/>
              <w:spacing w:before="4"/>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Primary</w:t>
            </w:r>
          </w:p>
        </w:tc>
        <w:tc>
          <w:tcPr>
            <w:tcW w:w="557" w:type="pct"/>
            <w:tcBorders>
              <w:top w:val="nil"/>
              <w:left w:val="nil"/>
              <w:bottom w:val="nil"/>
              <w:right w:val="nil"/>
            </w:tcBorders>
            <w:vAlign w:val="bottom"/>
          </w:tcPr>
          <w:p w14:paraId="27843F30" w14:textId="77777777" w:rsidR="0064551D" w:rsidRPr="00155597" w:rsidRDefault="0064551D" w:rsidP="00D671F8">
            <w:pPr>
              <w:pStyle w:val="TableParagraph"/>
              <w:keepNext/>
              <w:spacing w:before="4"/>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849</w:t>
            </w:r>
          </w:p>
        </w:tc>
        <w:tc>
          <w:tcPr>
            <w:tcW w:w="557" w:type="pct"/>
            <w:tcBorders>
              <w:top w:val="nil"/>
              <w:left w:val="nil"/>
              <w:bottom w:val="nil"/>
              <w:right w:val="nil"/>
            </w:tcBorders>
            <w:vAlign w:val="bottom"/>
          </w:tcPr>
          <w:p w14:paraId="1778E48A" w14:textId="77777777" w:rsidR="0064551D" w:rsidRPr="00155597" w:rsidRDefault="0064551D" w:rsidP="00D671F8">
            <w:pPr>
              <w:pStyle w:val="TableParagraph"/>
              <w:keepNext/>
              <w:spacing w:before="4"/>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516</w:t>
            </w:r>
          </w:p>
        </w:tc>
        <w:tc>
          <w:tcPr>
            <w:tcW w:w="643" w:type="pct"/>
            <w:tcBorders>
              <w:top w:val="nil"/>
              <w:left w:val="nil"/>
              <w:bottom w:val="nil"/>
              <w:right w:val="nil"/>
            </w:tcBorders>
            <w:vAlign w:val="bottom"/>
          </w:tcPr>
          <w:p w14:paraId="13E43C48" w14:textId="77777777" w:rsidR="0064551D" w:rsidRPr="00155597" w:rsidRDefault="0064551D" w:rsidP="00D671F8">
            <w:pPr>
              <w:pStyle w:val="TableParagraph"/>
              <w:keepNext/>
              <w:spacing w:before="4"/>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325</w:t>
            </w:r>
          </w:p>
        </w:tc>
        <w:tc>
          <w:tcPr>
            <w:tcW w:w="642" w:type="pct"/>
            <w:tcBorders>
              <w:top w:val="nil"/>
              <w:left w:val="nil"/>
              <w:bottom w:val="nil"/>
              <w:right w:val="nil"/>
            </w:tcBorders>
            <w:vAlign w:val="bottom"/>
          </w:tcPr>
          <w:p w14:paraId="35E947D6" w14:textId="77777777" w:rsidR="0064551D" w:rsidRPr="00155597" w:rsidRDefault="0064551D" w:rsidP="00D671F8">
            <w:pPr>
              <w:pStyle w:val="TableParagraph"/>
              <w:keepNext/>
              <w:spacing w:before="4"/>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8</w:t>
            </w:r>
          </w:p>
        </w:tc>
        <w:tc>
          <w:tcPr>
            <w:tcW w:w="893" w:type="pct"/>
            <w:tcBorders>
              <w:top w:val="nil"/>
              <w:left w:val="nil"/>
              <w:bottom w:val="nil"/>
              <w:right w:val="nil"/>
            </w:tcBorders>
            <w:vAlign w:val="bottom"/>
          </w:tcPr>
          <w:p w14:paraId="5175A0A0" w14:textId="77777777" w:rsidR="0064551D" w:rsidRPr="00155597" w:rsidRDefault="0064551D" w:rsidP="00D671F8">
            <w:pPr>
              <w:pStyle w:val="TableParagraph"/>
              <w:keepNext/>
              <w:spacing w:before="4"/>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61.4</w:t>
            </w:r>
          </w:p>
        </w:tc>
        <w:tc>
          <w:tcPr>
            <w:tcW w:w="682" w:type="pct"/>
            <w:tcBorders>
              <w:top w:val="nil"/>
              <w:left w:val="nil"/>
              <w:bottom w:val="nil"/>
              <w:right w:val="nil"/>
            </w:tcBorders>
            <w:vAlign w:val="bottom"/>
          </w:tcPr>
          <w:p w14:paraId="28A009B2" w14:textId="77777777" w:rsidR="0064551D" w:rsidRPr="00155597" w:rsidRDefault="0064551D" w:rsidP="00D671F8">
            <w:pPr>
              <w:pStyle w:val="TableParagraph"/>
              <w:keepNext/>
              <w:spacing w:before="4"/>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63.6</w:t>
            </w:r>
          </w:p>
        </w:tc>
      </w:tr>
      <w:tr w:rsidR="003C6085" w:rsidRPr="00155597" w14:paraId="168E9586" w14:textId="77777777" w:rsidTr="003C6085">
        <w:trPr>
          <w:trHeight w:val="144"/>
        </w:trPr>
        <w:tc>
          <w:tcPr>
            <w:tcW w:w="1026" w:type="pct"/>
            <w:tcBorders>
              <w:top w:val="nil"/>
              <w:left w:val="nil"/>
              <w:bottom w:val="nil"/>
              <w:right w:val="nil"/>
            </w:tcBorders>
          </w:tcPr>
          <w:p w14:paraId="1695691A"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Middle</w:t>
            </w:r>
          </w:p>
        </w:tc>
        <w:tc>
          <w:tcPr>
            <w:tcW w:w="557" w:type="pct"/>
            <w:tcBorders>
              <w:top w:val="nil"/>
              <w:left w:val="nil"/>
              <w:bottom w:val="nil"/>
              <w:right w:val="nil"/>
            </w:tcBorders>
            <w:vAlign w:val="bottom"/>
          </w:tcPr>
          <w:p w14:paraId="7CEDD239"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1,230</w:t>
            </w:r>
          </w:p>
        </w:tc>
        <w:tc>
          <w:tcPr>
            <w:tcW w:w="557" w:type="pct"/>
            <w:tcBorders>
              <w:top w:val="nil"/>
              <w:left w:val="nil"/>
              <w:bottom w:val="nil"/>
              <w:right w:val="nil"/>
            </w:tcBorders>
            <w:vAlign w:val="bottom"/>
          </w:tcPr>
          <w:p w14:paraId="4AA6D55C"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719</w:t>
            </w:r>
          </w:p>
        </w:tc>
        <w:tc>
          <w:tcPr>
            <w:tcW w:w="643" w:type="pct"/>
            <w:tcBorders>
              <w:top w:val="nil"/>
              <w:left w:val="nil"/>
              <w:bottom w:val="nil"/>
              <w:right w:val="nil"/>
            </w:tcBorders>
            <w:vAlign w:val="bottom"/>
          </w:tcPr>
          <w:p w14:paraId="7D53FF9D"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508</w:t>
            </w:r>
          </w:p>
        </w:tc>
        <w:tc>
          <w:tcPr>
            <w:tcW w:w="642" w:type="pct"/>
            <w:tcBorders>
              <w:top w:val="nil"/>
              <w:left w:val="nil"/>
              <w:bottom w:val="nil"/>
              <w:right w:val="nil"/>
            </w:tcBorders>
            <w:vAlign w:val="bottom"/>
          </w:tcPr>
          <w:p w14:paraId="1A821808"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893" w:type="pct"/>
            <w:tcBorders>
              <w:top w:val="nil"/>
              <w:left w:val="nil"/>
              <w:bottom w:val="nil"/>
              <w:right w:val="nil"/>
            </w:tcBorders>
            <w:vAlign w:val="bottom"/>
          </w:tcPr>
          <w:p w14:paraId="0BE0B743"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58.6</w:t>
            </w:r>
          </w:p>
        </w:tc>
        <w:tc>
          <w:tcPr>
            <w:tcW w:w="682" w:type="pct"/>
            <w:tcBorders>
              <w:top w:val="nil"/>
              <w:left w:val="nil"/>
              <w:bottom w:val="nil"/>
              <w:right w:val="nil"/>
            </w:tcBorders>
            <w:vAlign w:val="bottom"/>
          </w:tcPr>
          <w:p w14:paraId="46E33C56"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60.4</w:t>
            </w:r>
          </w:p>
        </w:tc>
      </w:tr>
      <w:tr w:rsidR="003C6085" w:rsidRPr="00155597" w14:paraId="2FE9CF59" w14:textId="77777777" w:rsidTr="003C6085">
        <w:trPr>
          <w:trHeight w:val="144"/>
        </w:trPr>
        <w:tc>
          <w:tcPr>
            <w:tcW w:w="1026" w:type="pct"/>
            <w:tcBorders>
              <w:top w:val="nil"/>
              <w:left w:val="nil"/>
              <w:bottom w:val="nil"/>
              <w:right w:val="nil"/>
            </w:tcBorders>
          </w:tcPr>
          <w:p w14:paraId="770AE6D4"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High</w:t>
            </w:r>
            <w:r w:rsidRPr="00155597">
              <w:rPr>
                <w:rFonts w:ascii="Times New Roman" w:hAnsi="Times New Roman" w:cs="Times New Roman"/>
                <w:spacing w:val="-11"/>
                <w:sz w:val="16"/>
                <w:szCs w:val="16"/>
              </w:rPr>
              <w:t xml:space="preserve"> </w:t>
            </w:r>
            <w:r w:rsidRPr="00155597">
              <w:rPr>
                <w:rFonts w:ascii="Times New Roman" w:hAnsi="Times New Roman" w:cs="Times New Roman"/>
                <w:spacing w:val="-2"/>
                <w:sz w:val="16"/>
                <w:szCs w:val="16"/>
              </w:rPr>
              <w:t>school</w:t>
            </w:r>
          </w:p>
        </w:tc>
        <w:tc>
          <w:tcPr>
            <w:tcW w:w="557" w:type="pct"/>
            <w:tcBorders>
              <w:top w:val="nil"/>
              <w:left w:val="nil"/>
              <w:bottom w:val="nil"/>
              <w:right w:val="nil"/>
            </w:tcBorders>
            <w:vAlign w:val="bottom"/>
          </w:tcPr>
          <w:p w14:paraId="78465936"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1,347</w:t>
            </w:r>
          </w:p>
        </w:tc>
        <w:tc>
          <w:tcPr>
            <w:tcW w:w="557" w:type="pct"/>
            <w:tcBorders>
              <w:top w:val="nil"/>
              <w:left w:val="nil"/>
              <w:bottom w:val="nil"/>
              <w:right w:val="nil"/>
            </w:tcBorders>
            <w:vAlign w:val="bottom"/>
          </w:tcPr>
          <w:p w14:paraId="3DD952BF"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774</w:t>
            </w:r>
          </w:p>
        </w:tc>
        <w:tc>
          <w:tcPr>
            <w:tcW w:w="643" w:type="pct"/>
            <w:tcBorders>
              <w:top w:val="nil"/>
              <w:left w:val="nil"/>
              <w:bottom w:val="nil"/>
              <w:right w:val="nil"/>
            </w:tcBorders>
            <w:vAlign w:val="bottom"/>
          </w:tcPr>
          <w:p w14:paraId="5548330A"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567</w:t>
            </w:r>
          </w:p>
        </w:tc>
        <w:tc>
          <w:tcPr>
            <w:tcW w:w="642" w:type="pct"/>
            <w:tcBorders>
              <w:top w:val="nil"/>
              <w:left w:val="nil"/>
              <w:bottom w:val="nil"/>
              <w:right w:val="nil"/>
            </w:tcBorders>
            <w:vAlign w:val="bottom"/>
          </w:tcPr>
          <w:p w14:paraId="4DDAF5AD"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6</w:t>
            </w:r>
          </w:p>
        </w:tc>
        <w:tc>
          <w:tcPr>
            <w:tcW w:w="893" w:type="pct"/>
            <w:tcBorders>
              <w:top w:val="nil"/>
              <w:left w:val="nil"/>
              <w:bottom w:val="nil"/>
              <w:right w:val="nil"/>
            </w:tcBorders>
            <w:vAlign w:val="bottom"/>
          </w:tcPr>
          <w:p w14:paraId="640FCF07"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57.7</w:t>
            </w:r>
          </w:p>
        </w:tc>
        <w:tc>
          <w:tcPr>
            <w:tcW w:w="682" w:type="pct"/>
            <w:tcBorders>
              <w:top w:val="nil"/>
              <w:left w:val="nil"/>
              <w:bottom w:val="nil"/>
              <w:right w:val="nil"/>
            </w:tcBorders>
            <w:vAlign w:val="bottom"/>
          </w:tcPr>
          <w:p w14:paraId="4D862FEF"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60.2</w:t>
            </w:r>
          </w:p>
        </w:tc>
      </w:tr>
      <w:tr w:rsidR="003C6085" w:rsidRPr="00155597" w14:paraId="385482E0" w14:textId="77777777" w:rsidTr="003C6085">
        <w:trPr>
          <w:trHeight w:val="144"/>
        </w:trPr>
        <w:tc>
          <w:tcPr>
            <w:tcW w:w="1026" w:type="pct"/>
            <w:tcBorders>
              <w:top w:val="nil"/>
              <w:left w:val="nil"/>
              <w:bottom w:val="nil"/>
              <w:right w:val="nil"/>
            </w:tcBorders>
          </w:tcPr>
          <w:p w14:paraId="37C455E9"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Combined</w:t>
            </w:r>
          </w:p>
        </w:tc>
        <w:tc>
          <w:tcPr>
            <w:tcW w:w="557" w:type="pct"/>
            <w:tcBorders>
              <w:top w:val="nil"/>
              <w:left w:val="nil"/>
              <w:bottom w:val="nil"/>
              <w:right w:val="nil"/>
            </w:tcBorders>
            <w:vAlign w:val="bottom"/>
          </w:tcPr>
          <w:p w14:paraId="0220978D" w14:textId="77777777" w:rsidR="0064551D" w:rsidRPr="00155597" w:rsidRDefault="0064551D" w:rsidP="00D671F8">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127</w:t>
            </w:r>
          </w:p>
        </w:tc>
        <w:tc>
          <w:tcPr>
            <w:tcW w:w="557" w:type="pct"/>
            <w:tcBorders>
              <w:top w:val="nil"/>
              <w:left w:val="nil"/>
              <w:bottom w:val="nil"/>
              <w:right w:val="nil"/>
            </w:tcBorders>
            <w:vAlign w:val="bottom"/>
          </w:tcPr>
          <w:p w14:paraId="3762AFC6"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83</w:t>
            </w:r>
          </w:p>
        </w:tc>
        <w:tc>
          <w:tcPr>
            <w:tcW w:w="643" w:type="pct"/>
            <w:tcBorders>
              <w:top w:val="nil"/>
              <w:left w:val="nil"/>
              <w:bottom w:val="nil"/>
              <w:right w:val="nil"/>
            </w:tcBorders>
            <w:vAlign w:val="bottom"/>
          </w:tcPr>
          <w:p w14:paraId="5FFE1792" w14:textId="3E79EB91" w:rsidR="0064551D" w:rsidRPr="00155597" w:rsidRDefault="0064551D" w:rsidP="00A45DFB">
            <w:pPr>
              <w:pStyle w:val="TableParagraph"/>
              <w:keepNext/>
              <w:spacing w:before="12"/>
              <w:jc w:val="right"/>
              <w:rPr>
                <w:rFonts w:ascii="Times New Roman" w:eastAsia="Arial" w:hAnsi="Times New Roman" w:cs="Times New Roman"/>
                <w:sz w:val="16"/>
                <w:szCs w:val="16"/>
              </w:rPr>
            </w:pPr>
            <w:r w:rsidRPr="00155597">
              <w:rPr>
                <w:rFonts w:ascii="Times New Roman" w:hAnsi="Times New Roman" w:cs="Times New Roman"/>
                <w:sz w:val="18"/>
                <w:szCs w:val="18"/>
              </w:rPr>
              <w:t>42</w:t>
            </w:r>
          </w:p>
        </w:tc>
        <w:tc>
          <w:tcPr>
            <w:tcW w:w="642" w:type="pct"/>
            <w:tcBorders>
              <w:top w:val="nil"/>
              <w:left w:val="nil"/>
              <w:bottom w:val="nil"/>
              <w:right w:val="nil"/>
            </w:tcBorders>
            <w:vAlign w:val="bottom"/>
          </w:tcPr>
          <w:p w14:paraId="31DB2850" w14:textId="77777777" w:rsidR="0064551D" w:rsidRPr="00155597" w:rsidRDefault="0064551D" w:rsidP="00D671F8">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2</w:t>
            </w:r>
          </w:p>
        </w:tc>
        <w:tc>
          <w:tcPr>
            <w:tcW w:w="893" w:type="pct"/>
            <w:tcBorders>
              <w:top w:val="nil"/>
              <w:left w:val="nil"/>
              <w:bottom w:val="nil"/>
              <w:right w:val="nil"/>
            </w:tcBorders>
            <w:vAlign w:val="bottom"/>
          </w:tcPr>
          <w:p w14:paraId="3FA64A99"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66.4</w:t>
            </w:r>
          </w:p>
        </w:tc>
        <w:tc>
          <w:tcPr>
            <w:tcW w:w="682" w:type="pct"/>
            <w:tcBorders>
              <w:top w:val="nil"/>
              <w:left w:val="nil"/>
              <w:bottom w:val="nil"/>
              <w:right w:val="nil"/>
            </w:tcBorders>
            <w:vAlign w:val="bottom"/>
          </w:tcPr>
          <w:p w14:paraId="698898A3"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70.1</w:t>
            </w:r>
          </w:p>
        </w:tc>
      </w:tr>
      <w:tr w:rsidR="0064551D" w:rsidRPr="00155597" w14:paraId="7B72BD49" w14:textId="77777777" w:rsidTr="00A00FDB">
        <w:trPr>
          <w:trHeight w:val="144"/>
        </w:trPr>
        <w:tc>
          <w:tcPr>
            <w:tcW w:w="5000" w:type="pct"/>
            <w:gridSpan w:val="7"/>
            <w:tcBorders>
              <w:top w:val="nil"/>
              <w:left w:val="nil"/>
              <w:bottom w:val="nil"/>
              <w:right w:val="nil"/>
            </w:tcBorders>
          </w:tcPr>
          <w:p w14:paraId="1D2DA72A" w14:textId="77777777" w:rsidR="0064551D" w:rsidRPr="00155597" w:rsidRDefault="0064551D" w:rsidP="00D671F8">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1"/>
                <w:sz w:val="16"/>
                <w:szCs w:val="16"/>
              </w:rPr>
              <w:t>Enrollment</w:t>
            </w:r>
            <w:r w:rsidRPr="00155597">
              <w:rPr>
                <w:rFonts w:ascii="Times New Roman" w:hAnsi="Times New Roman" w:cs="Times New Roman"/>
                <w:spacing w:val="-12"/>
                <w:sz w:val="16"/>
                <w:szCs w:val="16"/>
              </w:rPr>
              <w:t xml:space="preserve"> </w:t>
            </w:r>
            <w:r w:rsidRPr="00155597">
              <w:rPr>
                <w:rFonts w:ascii="Times New Roman" w:hAnsi="Times New Roman" w:cs="Times New Roman"/>
                <w:spacing w:val="-1"/>
                <w:sz w:val="16"/>
                <w:szCs w:val="16"/>
              </w:rPr>
              <w:t>size</w:t>
            </w:r>
          </w:p>
        </w:tc>
      </w:tr>
      <w:tr w:rsidR="003C6085" w:rsidRPr="00155597" w14:paraId="1F31D9D9" w14:textId="77777777" w:rsidTr="003C6085">
        <w:trPr>
          <w:trHeight w:val="144"/>
        </w:trPr>
        <w:tc>
          <w:tcPr>
            <w:tcW w:w="1026" w:type="pct"/>
            <w:tcBorders>
              <w:top w:val="nil"/>
              <w:left w:val="nil"/>
              <w:bottom w:val="nil"/>
              <w:right w:val="nil"/>
            </w:tcBorders>
          </w:tcPr>
          <w:p w14:paraId="7BD4A136" w14:textId="77777777" w:rsidR="0064551D" w:rsidRPr="00155597" w:rsidRDefault="0064551D" w:rsidP="00D671F8">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Less</w:t>
            </w:r>
            <w:r w:rsidRPr="00155597">
              <w:rPr>
                <w:rFonts w:ascii="Times New Roman" w:hAnsi="Times New Roman" w:cs="Times New Roman"/>
                <w:spacing w:val="-5"/>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300</w:t>
            </w:r>
          </w:p>
        </w:tc>
        <w:tc>
          <w:tcPr>
            <w:tcW w:w="557" w:type="pct"/>
            <w:tcBorders>
              <w:top w:val="nil"/>
              <w:left w:val="nil"/>
              <w:bottom w:val="nil"/>
              <w:right w:val="nil"/>
            </w:tcBorders>
            <w:vAlign w:val="bottom"/>
          </w:tcPr>
          <w:p w14:paraId="27399306" w14:textId="77777777" w:rsidR="0064551D" w:rsidRPr="00155597" w:rsidRDefault="0064551D" w:rsidP="00D671F8">
            <w:pPr>
              <w:pStyle w:val="TableParagraph"/>
              <w:keepNext/>
              <w:spacing w:before="11"/>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349</w:t>
            </w:r>
          </w:p>
        </w:tc>
        <w:tc>
          <w:tcPr>
            <w:tcW w:w="557" w:type="pct"/>
            <w:tcBorders>
              <w:top w:val="nil"/>
              <w:left w:val="nil"/>
              <w:bottom w:val="nil"/>
              <w:right w:val="nil"/>
            </w:tcBorders>
            <w:vAlign w:val="bottom"/>
          </w:tcPr>
          <w:p w14:paraId="66CA1123" w14:textId="77777777" w:rsidR="0064551D" w:rsidRPr="00155597" w:rsidRDefault="0064551D" w:rsidP="00D671F8">
            <w:pPr>
              <w:pStyle w:val="TableParagraph"/>
              <w:keepNext/>
              <w:spacing w:before="11"/>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234</w:t>
            </w:r>
          </w:p>
        </w:tc>
        <w:tc>
          <w:tcPr>
            <w:tcW w:w="643" w:type="pct"/>
            <w:tcBorders>
              <w:top w:val="nil"/>
              <w:left w:val="nil"/>
              <w:bottom w:val="nil"/>
              <w:right w:val="nil"/>
            </w:tcBorders>
            <w:vAlign w:val="bottom"/>
          </w:tcPr>
          <w:p w14:paraId="71006240" w14:textId="7B31F55C" w:rsidR="0064551D" w:rsidRPr="00155597" w:rsidRDefault="0064551D" w:rsidP="00A45DFB">
            <w:pPr>
              <w:pStyle w:val="TableParagraph"/>
              <w:keepNext/>
              <w:spacing w:before="11"/>
              <w:jc w:val="right"/>
              <w:rPr>
                <w:rFonts w:ascii="Times New Roman" w:eastAsia="Arial" w:hAnsi="Times New Roman" w:cs="Times New Roman"/>
                <w:sz w:val="16"/>
                <w:szCs w:val="16"/>
              </w:rPr>
            </w:pPr>
            <w:r w:rsidRPr="00155597">
              <w:rPr>
                <w:rFonts w:ascii="Times New Roman" w:hAnsi="Times New Roman" w:cs="Times New Roman"/>
                <w:sz w:val="18"/>
                <w:szCs w:val="18"/>
              </w:rPr>
              <w:t>107</w:t>
            </w:r>
          </w:p>
        </w:tc>
        <w:tc>
          <w:tcPr>
            <w:tcW w:w="642" w:type="pct"/>
            <w:tcBorders>
              <w:top w:val="nil"/>
              <w:left w:val="nil"/>
              <w:bottom w:val="nil"/>
              <w:right w:val="nil"/>
            </w:tcBorders>
            <w:vAlign w:val="bottom"/>
          </w:tcPr>
          <w:p w14:paraId="36C618BA" w14:textId="77777777" w:rsidR="0064551D" w:rsidRPr="00155597" w:rsidRDefault="0064551D" w:rsidP="00D671F8">
            <w:pPr>
              <w:pStyle w:val="TableParagraph"/>
              <w:keepNext/>
              <w:spacing w:before="11"/>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8</w:t>
            </w:r>
          </w:p>
        </w:tc>
        <w:tc>
          <w:tcPr>
            <w:tcW w:w="893" w:type="pct"/>
            <w:tcBorders>
              <w:top w:val="nil"/>
              <w:left w:val="nil"/>
              <w:bottom w:val="nil"/>
              <w:right w:val="nil"/>
            </w:tcBorders>
            <w:vAlign w:val="bottom"/>
          </w:tcPr>
          <w:p w14:paraId="68AF6B90" w14:textId="77777777" w:rsidR="0064551D" w:rsidRPr="00155597" w:rsidRDefault="0064551D" w:rsidP="00D671F8">
            <w:pPr>
              <w:pStyle w:val="TableParagraph"/>
              <w:keepNext/>
              <w:spacing w:before="11"/>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68.6</w:t>
            </w:r>
          </w:p>
        </w:tc>
        <w:tc>
          <w:tcPr>
            <w:tcW w:w="682" w:type="pct"/>
            <w:tcBorders>
              <w:top w:val="nil"/>
              <w:left w:val="nil"/>
              <w:bottom w:val="nil"/>
              <w:right w:val="nil"/>
            </w:tcBorders>
            <w:vAlign w:val="bottom"/>
          </w:tcPr>
          <w:p w14:paraId="2CBE64E8" w14:textId="77777777" w:rsidR="0064551D" w:rsidRPr="00155597" w:rsidRDefault="0064551D" w:rsidP="00D671F8">
            <w:pPr>
              <w:pStyle w:val="TableParagraph"/>
              <w:keepNext/>
              <w:spacing w:before="11"/>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73.0</w:t>
            </w:r>
          </w:p>
        </w:tc>
      </w:tr>
      <w:tr w:rsidR="003C6085" w:rsidRPr="00155597" w14:paraId="48F25B6C" w14:textId="77777777" w:rsidTr="003C6085">
        <w:trPr>
          <w:trHeight w:val="144"/>
        </w:trPr>
        <w:tc>
          <w:tcPr>
            <w:tcW w:w="1026" w:type="pct"/>
            <w:tcBorders>
              <w:top w:val="nil"/>
              <w:left w:val="nil"/>
              <w:bottom w:val="nil"/>
              <w:right w:val="nil"/>
            </w:tcBorders>
          </w:tcPr>
          <w:p w14:paraId="567F0AD6"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eastAsia="Arial" w:hAnsi="Times New Roman" w:cs="Times New Roman"/>
                <w:spacing w:val="-2"/>
                <w:sz w:val="16"/>
                <w:szCs w:val="16"/>
              </w:rPr>
              <w:t>300–499</w:t>
            </w:r>
          </w:p>
        </w:tc>
        <w:tc>
          <w:tcPr>
            <w:tcW w:w="557" w:type="pct"/>
            <w:tcBorders>
              <w:top w:val="nil"/>
              <w:left w:val="nil"/>
              <w:bottom w:val="nil"/>
              <w:right w:val="nil"/>
            </w:tcBorders>
            <w:vAlign w:val="bottom"/>
          </w:tcPr>
          <w:p w14:paraId="62CF85A3" w14:textId="77777777" w:rsidR="0064551D" w:rsidRPr="00155597" w:rsidRDefault="0064551D" w:rsidP="00D671F8">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702</w:t>
            </w:r>
          </w:p>
        </w:tc>
        <w:tc>
          <w:tcPr>
            <w:tcW w:w="557" w:type="pct"/>
            <w:tcBorders>
              <w:top w:val="nil"/>
              <w:left w:val="nil"/>
              <w:bottom w:val="nil"/>
              <w:right w:val="nil"/>
            </w:tcBorders>
            <w:vAlign w:val="bottom"/>
          </w:tcPr>
          <w:p w14:paraId="4E46AC82"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426</w:t>
            </w:r>
          </w:p>
        </w:tc>
        <w:tc>
          <w:tcPr>
            <w:tcW w:w="643" w:type="pct"/>
            <w:tcBorders>
              <w:top w:val="nil"/>
              <w:left w:val="nil"/>
              <w:bottom w:val="nil"/>
              <w:right w:val="nil"/>
            </w:tcBorders>
            <w:vAlign w:val="bottom"/>
          </w:tcPr>
          <w:p w14:paraId="0854DF75"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273</w:t>
            </w:r>
          </w:p>
        </w:tc>
        <w:tc>
          <w:tcPr>
            <w:tcW w:w="642" w:type="pct"/>
            <w:tcBorders>
              <w:top w:val="nil"/>
              <w:left w:val="nil"/>
              <w:bottom w:val="nil"/>
              <w:right w:val="nil"/>
            </w:tcBorders>
            <w:vAlign w:val="bottom"/>
          </w:tcPr>
          <w:p w14:paraId="3B0D3205"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893" w:type="pct"/>
            <w:tcBorders>
              <w:top w:val="nil"/>
              <w:left w:val="nil"/>
              <w:bottom w:val="nil"/>
              <w:right w:val="nil"/>
            </w:tcBorders>
            <w:vAlign w:val="bottom"/>
          </w:tcPr>
          <w:p w14:paraId="0444AB3C"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60.9</w:t>
            </w:r>
          </w:p>
        </w:tc>
        <w:tc>
          <w:tcPr>
            <w:tcW w:w="682" w:type="pct"/>
            <w:tcBorders>
              <w:top w:val="nil"/>
              <w:left w:val="nil"/>
              <w:bottom w:val="nil"/>
              <w:right w:val="nil"/>
            </w:tcBorders>
            <w:vAlign w:val="bottom"/>
          </w:tcPr>
          <w:p w14:paraId="5969BFDD"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62.3</w:t>
            </w:r>
          </w:p>
        </w:tc>
      </w:tr>
      <w:tr w:rsidR="003C6085" w:rsidRPr="00155597" w14:paraId="3AECAABE" w14:textId="77777777" w:rsidTr="003C6085">
        <w:trPr>
          <w:trHeight w:val="144"/>
        </w:trPr>
        <w:tc>
          <w:tcPr>
            <w:tcW w:w="1026" w:type="pct"/>
            <w:tcBorders>
              <w:top w:val="nil"/>
              <w:left w:val="nil"/>
              <w:bottom w:val="nil"/>
              <w:right w:val="nil"/>
            </w:tcBorders>
          </w:tcPr>
          <w:p w14:paraId="14AA2BC8"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eastAsia="Arial" w:hAnsi="Times New Roman" w:cs="Times New Roman"/>
                <w:spacing w:val="-2"/>
                <w:sz w:val="16"/>
                <w:szCs w:val="16"/>
              </w:rPr>
              <w:t>500–999</w:t>
            </w:r>
          </w:p>
        </w:tc>
        <w:tc>
          <w:tcPr>
            <w:tcW w:w="557" w:type="pct"/>
            <w:tcBorders>
              <w:top w:val="nil"/>
              <w:left w:val="nil"/>
              <w:bottom w:val="nil"/>
              <w:right w:val="nil"/>
            </w:tcBorders>
            <w:vAlign w:val="bottom"/>
          </w:tcPr>
          <w:p w14:paraId="5F5E608F"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1,384</w:t>
            </w:r>
          </w:p>
        </w:tc>
        <w:tc>
          <w:tcPr>
            <w:tcW w:w="557" w:type="pct"/>
            <w:tcBorders>
              <w:top w:val="nil"/>
              <w:left w:val="nil"/>
              <w:bottom w:val="nil"/>
              <w:right w:val="nil"/>
            </w:tcBorders>
            <w:vAlign w:val="bottom"/>
          </w:tcPr>
          <w:p w14:paraId="42AB4409" w14:textId="664F007A" w:rsidR="0064551D" w:rsidRPr="00155597" w:rsidRDefault="0064551D" w:rsidP="00D671F8">
            <w:pPr>
              <w:pStyle w:val="TableParagraph"/>
              <w:keepNext/>
              <w:spacing w:before="12"/>
              <w:ind w:left="477"/>
              <w:jc w:val="right"/>
              <w:rPr>
                <w:rFonts w:ascii="Times New Roman" w:eastAsia="Arial" w:hAnsi="Times New Roman" w:cs="Times New Roman"/>
                <w:sz w:val="16"/>
                <w:szCs w:val="16"/>
              </w:rPr>
            </w:pPr>
            <w:r w:rsidRPr="00155597">
              <w:rPr>
                <w:rFonts w:ascii="Times New Roman" w:hAnsi="Times New Roman" w:cs="Times New Roman"/>
                <w:sz w:val="18"/>
                <w:szCs w:val="18"/>
              </w:rPr>
              <w:t>831</w:t>
            </w:r>
          </w:p>
        </w:tc>
        <w:tc>
          <w:tcPr>
            <w:tcW w:w="643" w:type="pct"/>
            <w:tcBorders>
              <w:top w:val="nil"/>
              <w:left w:val="nil"/>
              <w:bottom w:val="nil"/>
              <w:right w:val="nil"/>
            </w:tcBorders>
            <w:vAlign w:val="bottom"/>
          </w:tcPr>
          <w:p w14:paraId="3F5DF14D" w14:textId="77777777" w:rsidR="0064551D" w:rsidRPr="00155597" w:rsidRDefault="0064551D" w:rsidP="00D671F8">
            <w:pPr>
              <w:pStyle w:val="TableParagraph"/>
              <w:keepNext/>
              <w:spacing w:before="12"/>
              <w:ind w:left="708"/>
              <w:jc w:val="right"/>
              <w:rPr>
                <w:rFonts w:ascii="Times New Roman" w:eastAsia="Arial" w:hAnsi="Times New Roman" w:cs="Times New Roman"/>
                <w:sz w:val="16"/>
                <w:szCs w:val="16"/>
              </w:rPr>
            </w:pPr>
            <w:r w:rsidRPr="00155597">
              <w:rPr>
                <w:rFonts w:ascii="Times New Roman" w:hAnsi="Times New Roman" w:cs="Times New Roman"/>
                <w:sz w:val="18"/>
                <w:szCs w:val="18"/>
              </w:rPr>
              <w:t>546</w:t>
            </w:r>
          </w:p>
        </w:tc>
        <w:tc>
          <w:tcPr>
            <w:tcW w:w="642" w:type="pct"/>
            <w:tcBorders>
              <w:top w:val="nil"/>
              <w:left w:val="nil"/>
              <w:bottom w:val="nil"/>
              <w:right w:val="nil"/>
            </w:tcBorders>
            <w:vAlign w:val="bottom"/>
          </w:tcPr>
          <w:p w14:paraId="11FEDD42" w14:textId="77777777" w:rsidR="0064551D" w:rsidRPr="00155597" w:rsidRDefault="0064551D" w:rsidP="00D671F8">
            <w:pPr>
              <w:pStyle w:val="TableParagraph"/>
              <w:keepNext/>
              <w:spacing w:before="12"/>
              <w:ind w:right="101"/>
              <w:jc w:val="right"/>
              <w:rPr>
                <w:rFonts w:ascii="Times New Roman" w:eastAsia="Arial" w:hAnsi="Times New Roman" w:cs="Times New Roman"/>
                <w:sz w:val="16"/>
                <w:szCs w:val="16"/>
              </w:rPr>
            </w:pPr>
            <w:r w:rsidRPr="00155597">
              <w:rPr>
                <w:rFonts w:ascii="Times New Roman" w:hAnsi="Times New Roman" w:cs="Times New Roman"/>
                <w:sz w:val="18"/>
                <w:szCs w:val="18"/>
              </w:rPr>
              <w:t>7</w:t>
            </w:r>
          </w:p>
        </w:tc>
        <w:tc>
          <w:tcPr>
            <w:tcW w:w="893" w:type="pct"/>
            <w:tcBorders>
              <w:top w:val="nil"/>
              <w:left w:val="nil"/>
              <w:bottom w:val="nil"/>
              <w:right w:val="nil"/>
            </w:tcBorders>
            <w:vAlign w:val="bottom"/>
          </w:tcPr>
          <w:p w14:paraId="797AEEFC"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60.3</w:t>
            </w:r>
          </w:p>
        </w:tc>
        <w:tc>
          <w:tcPr>
            <w:tcW w:w="682" w:type="pct"/>
            <w:tcBorders>
              <w:top w:val="nil"/>
              <w:left w:val="nil"/>
              <w:bottom w:val="nil"/>
              <w:right w:val="nil"/>
            </w:tcBorders>
            <w:vAlign w:val="bottom"/>
          </w:tcPr>
          <w:p w14:paraId="7C2F3AB8"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60.2</w:t>
            </w:r>
          </w:p>
        </w:tc>
      </w:tr>
      <w:tr w:rsidR="003C6085" w:rsidRPr="00155597" w14:paraId="0A944DC6" w14:textId="77777777" w:rsidTr="003C6085">
        <w:trPr>
          <w:trHeight w:val="144"/>
        </w:trPr>
        <w:tc>
          <w:tcPr>
            <w:tcW w:w="1026" w:type="pct"/>
            <w:tcBorders>
              <w:top w:val="nil"/>
              <w:left w:val="nil"/>
              <w:bottom w:val="nil"/>
              <w:right w:val="nil"/>
            </w:tcBorders>
          </w:tcPr>
          <w:p w14:paraId="245F0548"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1,000</w:t>
            </w:r>
            <w:r w:rsidRPr="00155597">
              <w:rPr>
                <w:rFonts w:ascii="Times New Roman" w:hAnsi="Times New Roman" w:cs="Times New Roman"/>
                <w:spacing w:val="-8"/>
                <w:sz w:val="16"/>
                <w:szCs w:val="16"/>
              </w:rPr>
              <w:t xml:space="preserve"> </w:t>
            </w:r>
            <w:r w:rsidRPr="00155597">
              <w:rPr>
                <w:rFonts w:ascii="Times New Roman" w:hAnsi="Times New Roman" w:cs="Times New Roman"/>
                <w:spacing w:val="-1"/>
                <w:sz w:val="16"/>
                <w:szCs w:val="16"/>
              </w:rPr>
              <w:t>or</w:t>
            </w:r>
            <w:r w:rsidRPr="00155597">
              <w:rPr>
                <w:rFonts w:ascii="Times New Roman" w:hAnsi="Times New Roman" w:cs="Times New Roman"/>
                <w:spacing w:val="-5"/>
                <w:sz w:val="16"/>
                <w:szCs w:val="16"/>
              </w:rPr>
              <w:t xml:space="preserve"> </w:t>
            </w:r>
            <w:r w:rsidRPr="00155597">
              <w:rPr>
                <w:rFonts w:ascii="Times New Roman" w:hAnsi="Times New Roman" w:cs="Times New Roman"/>
                <w:spacing w:val="-1"/>
                <w:sz w:val="16"/>
                <w:szCs w:val="16"/>
              </w:rPr>
              <w:t>more</w:t>
            </w:r>
          </w:p>
        </w:tc>
        <w:tc>
          <w:tcPr>
            <w:tcW w:w="557" w:type="pct"/>
            <w:tcBorders>
              <w:top w:val="nil"/>
              <w:left w:val="nil"/>
              <w:bottom w:val="nil"/>
              <w:right w:val="nil"/>
            </w:tcBorders>
            <w:vAlign w:val="bottom"/>
          </w:tcPr>
          <w:p w14:paraId="6C5A4EDB"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1,118</w:t>
            </w:r>
          </w:p>
        </w:tc>
        <w:tc>
          <w:tcPr>
            <w:tcW w:w="557" w:type="pct"/>
            <w:tcBorders>
              <w:top w:val="nil"/>
              <w:left w:val="nil"/>
              <w:bottom w:val="nil"/>
              <w:right w:val="nil"/>
            </w:tcBorders>
            <w:vAlign w:val="bottom"/>
          </w:tcPr>
          <w:p w14:paraId="5F900E22"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601</w:t>
            </w:r>
          </w:p>
        </w:tc>
        <w:tc>
          <w:tcPr>
            <w:tcW w:w="643" w:type="pct"/>
            <w:tcBorders>
              <w:top w:val="nil"/>
              <w:left w:val="nil"/>
              <w:bottom w:val="nil"/>
              <w:right w:val="nil"/>
            </w:tcBorders>
            <w:vAlign w:val="bottom"/>
          </w:tcPr>
          <w:p w14:paraId="347B21D1"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516</w:t>
            </w:r>
          </w:p>
        </w:tc>
        <w:tc>
          <w:tcPr>
            <w:tcW w:w="642" w:type="pct"/>
            <w:tcBorders>
              <w:top w:val="nil"/>
              <w:left w:val="nil"/>
              <w:bottom w:val="nil"/>
              <w:right w:val="nil"/>
            </w:tcBorders>
            <w:vAlign w:val="bottom"/>
          </w:tcPr>
          <w:p w14:paraId="72CD253E" w14:textId="77777777" w:rsidR="0064551D" w:rsidRPr="00155597" w:rsidRDefault="0064551D" w:rsidP="00D671F8">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1</w:t>
            </w:r>
          </w:p>
        </w:tc>
        <w:tc>
          <w:tcPr>
            <w:tcW w:w="893" w:type="pct"/>
            <w:tcBorders>
              <w:top w:val="nil"/>
              <w:left w:val="nil"/>
              <w:bottom w:val="nil"/>
              <w:right w:val="nil"/>
            </w:tcBorders>
            <w:vAlign w:val="bottom"/>
          </w:tcPr>
          <w:p w14:paraId="431A9EF4" w14:textId="77777777" w:rsidR="0064551D" w:rsidRPr="00155597" w:rsidRDefault="0064551D" w:rsidP="00D671F8">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53.8</w:t>
            </w:r>
          </w:p>
        </w:tc>
        <w:tc>
          <w:tcPr>
            <w:tcW w:w="682" w:type="pct"/>
            <w:tcBorders>
              <w:top w:val="nil"/>
              <w:left w:val="nil"/>
              <w:bottom w:val="nil"/>
              <w:right w:val="nil"/>
            </w:tcBorders>
            <w:vAlign w:val="bottom"/>
          </w:tcPr>
          <w:p w14:paraId="6F50D1FA"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54.0</w:t>
            </w:r>
          </w:p>
        </w:tc>
      </w:tr>
      <w:tr w:rsidR="0064551D" w:rsidRPr="00155597" w14:paraId="00FE69CE" w14:textId="77777777" w:rsidTr="00A00FDB">
        <w:trPr>
          <w:trHeight w:val="144"/>
        </w:trPr>
        <w:tc>
          <w:tcPr>
            <w:tcW w:w="5000" w:type="pct"/>
            <w:gridSpan w:val="7"/>
            <w:tcBorders>
              <w:top w:val="nil"/>
              <w:left w:val="nil"/>
              <w:bottom w:val="nil"/>
              <w:right w:val="nil"/>
            </w:tcBorders>
          </w:tcPr>
          <w:p w14:paraId="76785268" w14:textId="77777777" w:rsidR="0064551D" w:rsidRPr="00155597" w:rsidRDefault="0064551D" w:rsidP="00D671F8">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1"/>
                <w:sz w:val="16"/>
                <w:szCs w:val="16"/>
              </w:rPr>
              <w:t>Urbanicity</w:t>
            </w:r>
          </w:p>
        </w:tc>
      </w:tr>
      <w:tr w:rsidR="003C6085" w:rsidRPr="00155597" w14:paraId="6464AFF4" w14:textId="77777777" w:rsidTr="003C6085">
        <w:trPr>
          <w:trHeight w:val="144"/>
        </w:trPr>
        <w:tc>
          <w:tcPr>
            <w:tcW w:w="1026" w:type="pct"/>
            <w:tcBorders>
              <w:top w:val="nil"/>
              <w:left w:val="nil"/>
              <w:bottom w:val="nil"/>
              <w:right w:val="nil"/>
            </w:tcBorders>
          </w:tcPr>
          <w:p w14:paraId="3B2DA76D" w14:textId="77777777" w:rsidR="0064551D" w:rsidRPr="00155597" w:rsidRDefault="0064551D" w:rsidP="00D671F8">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City</w:t>
            </w:r>
          </w:p>
        </w:tc>
        <w:tc>
          <w:tcPr>
            <w:tcW w:w="557" w:type="pct"/>
            <w:tcBorders>
              <w:top w:val="nil"/>
              <w:left w:val="nil"/>
              <w:bottom w:val="nil"/>
              <w:right w:val="nil"/>
            </w:tcBorders>
            <w:vAlign w:val="bottom"/>
          </w:tcPr>
          <w:p w14:paraId="617CE527" w14:textId="77777777" w:rsidR="0064551D" w:rsidRPr="00155597" w:rsidRDefault="0064551D" w:rsidP="00D671F8">
            <w:pPr>
              <w:pStyle w:val="TableParagraph"/>
              <w:keepNext/>
              <w:spacing w:before="11"/>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1,083</w:t>
            </w:r>
          </w:p>
        </w:tc>
        <w:tc>
          <w:tcPr>
            <w:tcW w:w="557" w:type="pct"/>
            <w:tcBorders>
              <w:top w:val="nil"/>
              <w:left w:val="nil"/>
              <w:bottom w:val="nil"/>
              <w:right w:val="nil"/>
            </w:tcBorders>
            <w:vAlign w:val="bottom"/>
          </w:tcPr>
          <w:p w14:paraId="0F6FE555" w14:textId="77777777" w:rsidR="0064551D" w:rsidRPr="00155597" w:rsidRDefault="0064551D" w:rsidP="00D671F8">
            <w:pPr>
              <w:pStyle w:val="TableParagraph"/>
              <w:keepNext/>
              <w:spacing w:before="11"/>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558</w:t>
            </w:r>
          </w:p>
        </w:tc>
        <w:tc>
          <w:tcPr>
            <w:tcW w:w="643" w:type="pct"/>
            <w:tcBorders>
              <w:top w:val="nil"/>
              <w:left w:val="nil"/>
              <w:bottom w:val="nil"/>
              <w:right w:val="nil"/>
            </w:tcBorders>
            <w:vAlign w:val="bottom"/>
          </w:tcPr>
          <w:p w14:paraId="52BDB163" w14:textId="77777777" w:rsidR="0064551D" w:rsidRPr="00155597" w:rsidRDefault="0064551D" w:rsidP="00D671F8">
            <w:pPr>
              <w:pStyle w:val="TableParagraph"/>
              <w:keepNext/>
              <w:spacing w:before="11"/>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517</w:t>
            </w:r>
          </w:p>
        </w:tc>
        <w:tc>
          <w:tcPr>
            <w:tcW w:w="642" w:type="pct"/>
            <w:tcBorders>
              <w:top w:val="nil"/>
              <w:left w:val="nil"/>
              <w:bottom w:val="nil"/>
              <w:right w:val="nil"/>
            </w:tcBorders>
            <w:vAlign w:val="bottom"/>
          </w:tcPr>
          <w:p w14:paraId="524B160E" w14:textId="77777777" w:rsidR="0064551D" w:rsidRPr="00155597" w:rsidRDefault="0064551D" w:rsidP="00D671F8">
            <w:pPr>
              <w:pStyle w:val="TableParagraph"/>
              <w:keepNext/>
              <w:spacing w:before="11"/>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8</w:t>
            </w:r>
          </w:p>
        </w:tc>
        <w:tc>
          <w:tcPr>
            <w:tcW w:w="893" w:type="pct"/>
            <w:tcBorders>
              <w:top w:val="nil"/>
              <w:left w:val="nil"/>
              <w:bottom w:val="nil"/>
              <w:right w:val="nil"/>
            </w:tcBorders>
            <w:vAlign w:val="bottom"/>
          </w:tcPr>
          <w:p w14:paraId="2599F0ED" w14:textId="77777777" w:rsidR="0064551D" w:rsidRPr="00155597" w:rsidRDefault="0064551D" w:rsidP="00D671F8">
            <w:pPr>
              <w:pStyle w:val="TableParagraph"/>
              <w:keepNext/>
              <w:spacing w:before="11"/>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51.9</w:t>
            </w:r>
          </w:p>
        </w:tc>
        <w:tc>
          <w:tcPr>
            <w:tcW w:w="682" w:type="pct"/>
            <w:tcBorders>
              <w:top w:val="nil"/>
              <w:left w:val="nil"/>
              <w:bottom w:val="nil"/>
              <w:right w:val="nil"/>
            </w:tcBorders>
            <w:vAlign w:val="bottom"/>
          </w:tcPr>
          <w:p w14:paraId="1DBC85C6" w14:textId="77777777" w:rsidR="0064551D" w:rsidRPr="00155597" w:rsidRDefault="0064551D" w:rsidP="00D671F8">
            <w:pPr>
              <w:pStyle w:val="TableParagraph"/>
              <w:keepNext/>
              <w:spacing w:before="11"/>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52.2</w:t>
            </w:r>
          </w:p>
        </w:tc>
      </w:tr>
      <w:tr w:rsidR="003C6085" w:rsidRPr="00155597" w14:paraId="60301331" w14:textId="77777777" w:rsidTr="003C6085">
        <w:trPr>
          <w:trHeight w:val="144"/>
        </w:trPr>
        <w:tc>
          <w:tcPr>
            <w:tcW w:w="1026" w:type="pct"/>
            <w:tcBorders>
              <w:top w:val="nil"/>
              <w:left w:val="nil"/>
              <w:bottom w:val="nil"/>
              <w:right w:val="nil"/>
            </w:tcBorders>
          </w:tcPr>
          <w:p w14:paraId="05BF183C"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Suburb</w:t>
            </w:r>
          </w:p>
        </w:tc>
        <w:tc>
          <w:tcPr>
            <w:tcW w:w="557" w:type="pct"/>
            <w:tcBorders>
              <w:top w:val="nil"/>
              <w:left w:val="nil"/>
              <w:bottom w:val="nil"/>
              <w:right w:val="nil"/>
            </w:tcBorders>
            <w:vAlign w:val="bottom"/>
          </w:tcPr>
          <w:p w14:paraId="0F115B30"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1,362</w:t>
            </w:r>
          </w:p>
        </w:tc>
        <w:tc>
          <w:tcPr>
            <w:tcW w:w="557" w:type="pct"/>
            <w:tcBorders>
              <w:top w:val="nil"/>
              <w:left w:val="nil"/>
              <w:bottom w:val="nil"/>
              <w:right w:val="nil"/>
            </w:tcBorders>
            <w:vAlign w:val="bottom"/>
          </w:tcPr>
          <w:p w14:paraId="27E40C6B" w14:textId="77777777" w:rsidR="0064551D" w:rsidRPr="00155597" w:rsidRDefault="0064551D" w:rsidP="00D671F8">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781</w:t>
            </w:r>
          </w:p>
        </w:tc>
        <w:tc>
          <w:tcPr>
            <w:tcW w:w="643" w:type="pct"/>
            <w:tcBorders>
              <w:top w:val="nil"/>
              <w:left w:val="nil"/>
              <w:bottom w:val="nil"/>
              <w:right w:val="nil"/>
            </w:tcBorders>
            <w:vAlign w:val="bottom"/>
          </w:tcPr>
          <w:p w14:paraId="72BD1F63"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576</w:t>
            </w:r>
          </w:p>
        </w:tc>
        <w:tc>
          <w:tcPr>
            <w:tcW w:w="642" w:type="pct"/>
            <w:tcBorders>
              <w:top w:val="nil"/>
              <w:left w:val="nil"/>
              <w:bottom w:val="nil"/>
              <w:right w:val="nil"/>
            </w:tcBorders>
            <w:vAlign w:val="bottom"/>
          </w:tcPr>
          <w:p w14:paraId="5C6A13D9"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5</w:t>
            </w:r>
          </w:p>
        </w:tc>
        <w:tc>
          <w:tcPr>
            <w:tcW w:w="893" w:type="pct"/>
            <w:tcBorders>
              <w:top w:val="nil"/>
              <w:left w:val="nil"/>
              <w:bottom w:val="nil"/>
              <w:right w:val="nil"/>
            </w:tcBorders>
            <w:vAlign w:val="bottom"/>
          </w:tcPr>
          <w:p w14:paraId="6C884179" w14:textId="77777777" w:rsidR="0064551D" w:rsidRPr="00155597" w:rsidRDefault="0064551D" w:rsidP="00D671F8">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57.6</w:t>
            </w:r>
          </w:p>
        </w:tc>
        <w:tc>
          <w:tcPr>
            <w:tcW w:w="682" w:type="pct"/>
            <w:tcBorders>
              <w:top w:val="nil"/>
              <w:left w:val="nil"/>
              <w:bottom w:val="nil"/>
              <w:right w:val="nil"/>
            </w:tcBorders>
            <w:vAlign w:val="bottom"/>
          </w:tcPr>
          <w:p w14:paraId="4244B066" w14:textId="77777777" w:rsidR="0064551D" w:rsidRPr="00155597" w:rsidRDefault="0064551D" w:rsidP="00D671F8">
            <w:pPr>
              <w:pStyle w:val="TableParagraph"/>
              <w:keepNext/>
              <w:spacing w:before="12"/>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60.7</w:t>
            </w:r>
          </w:p>
        </w:tc>
      </w:tr>
      <w:tr w:rsidR="003C6085" w:rsidRPr="00155597" w14:paraId="2A4875A3" w14:textId="77777777" w:rsidTr="003C6085">
        <w:trPr>
          <w:trHeight w:val="144"/>
        </w:trPr>
        <w:tc>
          <w:tcPr>
            <w:tcW w:w="1026" w:type="pct"/>
            <w:tcBorders>
              <w:top w:val="nil"/>
              <w:left w:val="nil"/>
              <w:bottom w:val="nil"/>
              <w:right w:val="nil"/>
            </w:tcBorders>
          </w:tcPr>
          <w:p w14:paraId="2F5D2C59"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Town</w:t>
            </w:r>
          </w:p>
        </w:tc>
        <w:tc>
          <w:tcPr>
            <w:tcW w:w="557" w:type="pct"/>
            <w:tcBorders>
              <w:top w:val="nil"/>
              <w:left w:val="nil"/>
              <w:bottom w:val="nil"/>
              <w:right w:val="nil"/>
            </w:tcBorders>
            <w:vAlign w:val="bottom"/>
          </w:tcPr>
          <w:p w14:paraId="247B1B3D" w14:textId="77777777" w:rsidR="0064551D" w:rsidRPr="00155597" w:rsidRDefault="0064551D" w:rsidP="00D671F8">
            <w:pPr>
              <w:pStyle w:val="TableParagraph"/>
              <w:keepNext/>
              <w:spacing w:before="12"/>
              <w:ind w:left="636"/>
              <w:jc w:val="right"/>
              <w:rPr>
                <w:rFonts w:ascii="Times New Roman" w:eastAsia="Arial" w:hAnsi="Times New Roman" w:cs="Times New Roman"/>
                <w:sz w:val="16"/>
                <w:szCs w:val="16"/>
              </w:rPr>
            </w:pPr>
            <w:r w:rsidRPr="00155597">
              <w:rPr>
                <w:rFonts w:ascii="Times New Roman" w:hAnsi="Times New Roman" w:cs="Times New Roman"/>
                <w:sz w:val="18"/>
                <w:szCs w:val="18"/>
              </w:rPr>
              <w:t>428</w:t>
            </w:r>
          </w:p>
        </w:tc>
        <w:tc>
          <w:tcPr>
            <w:tcW w:w="557" w:type="pct"/>
            <w:tcBorders>
              <w:top w:val="nil"/>
              <w:left w:val="nil"/>
              <w:bottom w:val="nil"/>
              <w:right w:val="nil"/>
            </w:tcBorders>
            <w:vAlign w:val="bottom"/>
          </w:tcPr>
          <w:p w14:paraId="21D0C2E3" w14:textId="77777777" w:rsidR="0064551D" w:rsidRPr="00155597" w:rsidRDefault="0064551D" w:rsidP="00D671F8">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295</w:t>
            </w:r>
          </w:p>
        </w:tc>
        <w:tc>
          <w:tcPr>
            <w:tcW w:w="643" w:type="pct"/>
            <w:tcBorders>
              <w:top w:val="nil"/>
              <w:left w:val="nil"/>
              <w:bottom w:val="nil"/>
              <w:right w:val="nil"/>
            </w:tcBorders>
            <w:vAlign w:val="bottom"/>
          </w:tcPr>
          <w:p w14:paraId="60D13C21" w14:textId="7FD22A3F" w:rsidR="0064551D" w:rsidRPr="00155597" w:rsidRDefault="0064551D" w:rsidP="00A45DFB">
            <w:pPr>
              <w:pStyle w:val="TableParagraph"/>
              <w:keepNext/>
              <w:spacing w:before="12"/>
              <w:jc w:val="right"/>
              <w:rPr>
                <w:rFonts w:ascii="Times New Roman" w:eastAsia="Arial" w:hAnsi="Times New Roman" w:cs="Times New Roman"/>
                <w:sz w:val="16"/>
                <w:szCs w:val="16"/>
              </w:rPr>
            </w:pPr>
            <w:r w:rsidRPr="00155597">
              <w:rPr>
                <w:rFonts w:ascii="Times New Roman" w:hAnsi="Times New Roman" w:cs="Times New Roman"/>
                <w:sz w:val="18"/>
                <w:szCs w:val="18"/>
              </w:rPr>
              <w:t>130</w:t>
            </w:r>
          </w:p>
        </w:tc>
        <w:tc>
          <w:tcPr>
            <w:tcW w:w="642" w:type="pct"/>
            <w:tcBorders>
              <w:top w:val="nil"/>
              <w:left w:val="nil"/>
              <w:bottom w:val="nil"/>
              <w:right w:val="nil"/>
            </w:tcBorders>
            <w:vAlign w:val="bottom"/>
          </w:tcPr>
          <w:p w14:paraId="55FCAAA2" w14:textId="77777777" w:rsidR="0064551D" w:rsidRPr="00155597" w:rsidRDefault="0064551D" w:rsidP="00D671F8">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893" w:type="pct"/>
            <w:tcBorders>
              <w:top w:val="nil"/>
              <w:left w:val="nil"/>
              <w:bottom w:val="nil"/>
              <w:right w:val="nil"/>
            </w:tcBorders>
            <w:vAlign w:val="bottom"/>
          </w:tcPr>
          <w:p w14:paraId="592AF13A" w14:textId="77777777" w:rsidR="0064551D" w:rsidRPr="00155597" w:rsidRDefault="0064551D" w:rsidP="00D671F8">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69.4</w:t>
            </w:r>
          </w:p>
        </w:tc>
        <w:tc>
          <w:tcPr>
            <w:tcW w:w="682" w:type="pct"/>
            <w:tcBorders>
              <w:top w:val="nil"/>
              <w:left w:val="nil"/>
              <w:bottom w:val="nil"/>
              <w:right w:val="nil"/>
            </w:tcBorders>
            <w:vAlign w:val="bottom"/>
          </w:tcPr>
          <w:p w14:paraId="5F7518E2" w14:textId="77777777" w:rsidR="0064551D" w:rsidRPr="00155597" w:rsidRDefault="0064551D" w:rsidP="00D671F8">
            <w:pPr>
              <w:pStyle w:val="TableParagraph"/>
              <w:keepNext/>
              <w:spacing w:before="12"/>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68.8</w:t>
            </w:r>
          </w:p>
        </w:tc>
      </w:tr>
      <w:tr w:rsidR="003C6085" w:rsidRPr="00155597" w14:paraId="796C9B7E" w14:textId="77777777" w:rsidTr="003C6085">
        <w:trPr>
          <w:trHeight w:val="144"/>
        </w:trPr>
        <w:tc>
          <w:tcPr>
            <w:tcW w:w="1026" w:type="pct"/>
            <w:tcBorders>
              <w:top w:val="nil"/>
              <w:left w:val="nil"/>
              <w:bottom w:val="nil"/>
              <w:right w:val="nil"/>
            </w:tcBorders>
          </w:tcPr>
          <w:p w14:paraId="38D5B865"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Rural</w:t>
            </w:r>
          </w:p>
        </w:tc>
        <w:tc>
          <w:tcPr>
            <w:tcW w:w="557" w:type="pct"/>
            <w:tcBorders>
              <w:top w:val="nil"/>
              <w:left w:val="nil"/>
              <w:bottom w:val="nil"/>
              <w:right w:val="nil"/>
            </w:tcBorders>
            <w:vAlign w:val="bottom"/>
          </w:tcPr>
          <w:p w14:paraId="7A0FCDC9" w14:textId="77777777" w:rsidR="0064551D" w:rsidRPr="00155597" w:rsidRDefault="0064551D" w:rsidP="00D671F8">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680</w:t>
            </w:r>
          </w:p>
        </w:tc>
        <w:tc>
          <w:tcPr>
            <w:tcW w:w="557" w:type="pct"/>
            <w:tcBorders>
              <w:top w:val="nil"/>
              <w:left w:val="nil"/>
              <w:bottom w:val="nil"/>
              <w:right w:val="nil"/>
            </w:tcBorders>
            <w:vAlign w:val="bottom"/>
          </w:tcPr>
          <w:p w14:paraId="4B5682B8"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458</w:t>
            </w:r>
          </w:p>
        </w:tc>
        <w:tc>
          <w:tcPr>
            <w:tcW w:w="643" w:type="pct"/>
            <w:tcBorders>
              <w:top w:val="nil"/>
              <w:left w:val="nil"/>
              <w:bottom w:val="nil"/>
              <w:right w:val="nil"/>
            </w:tcBorders>
            <w:vAlign w:val="bottom"/>
          </w:tcPr>
          <w:p w14:paraId="50E1997F"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219</w:t>
            </w:r>
          </w:p>
        </w:tc>
        <w:tc>
          <w:tcPr>
            <w:tcW w:w="642" w:type="pct"/>
            <w:tcBorders>
              <w:top w:val="nil"/>
              <w:left w:val="nil"/>
              <w:bottom w:val="nil"/>
              <w:right w:val="nil"/>
            </w:tcBorders>
            <w:vAlign w:val="bottom"/>
          </w:tcPr>
          <w:p w14:paraId="79CA7001" w14:textId="77777777" w:rsidR="0064551D" w:rsidRPr="00155597" w:rsidRDefault="0064551D" w:rsidP="00D671F8">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893" w:type="pct"/>
            <w:tcBorders>
              <w:top w:val="nil"/>
              <w:left w:val="nil"/>
              <w:bottom w:val="nil"/>
              <w:right w:val="nil"/>
            </w:tcBorders>
            <w:vAlign w:val="bottom"/>
          </w:tcPr>
          <w:p w14:paraId="6637D284"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67.7</w:t>
            </w:r>
          </w:p>
        </w:tc>
        <w:tc>
          <w:tcPr>
            <w:tcW w:w="682" w:type="pct"/>
            <w:tcBorders>
              <w:top w:val="nil"/>
              <w:left w:val="nil"/>
              <w:bottom w:val="nil"/>
              <w:right w:val="nil"/>
            </w:tcBorders>
            <w:vAlign w:val="bottom"/>
          </w:tcPr>
          <w:p w14:paraId="06941169"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73.9</w:t>
            </w:r>
          </w:p>
        </w:tc>
      </w:tr>
      <w:tr w:rsidR="0064551D" w:rsidRPr="00155597" w14:paraId="5B3DB46D" w14:textId="77777777" w:rsidTr="00A00FDB">
        <w:trPr>
          <w:trHeight w:val="144"/>
        </w:trPr>
        <w:tc>
          <w:tcPr>
            <w:tcW w:w="5000" w:type="pct"/>
            <w:gridSpan w:val="7"/>
            <w:tcBorders>
              <w:top w:val="nil"/>
              <w:left w:val="nil"/>
              <w:bottom w:val="nil"/>
              <w:right w:val="nil"/>
            </w:tcBorders>
          </w:tcPr>
          <w:p w14:paraId="5696335F" w14:textId="77777777" w:rsidR="0064551D" w:rsidRPr="00155597" w:rsidRDefault="0064551D" w:rsidP="00D671F8">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2"/>
                <w:sz w:val="16"/>
                <w:szCs w:val="16"/>
              </w:rPr>
              <w:t>Percent</w:t>
            </w:r>
            <w:r w:rsidRPr="00155597">
              <w:rPr>
                <w:rFonts w:ascii="Times New Roman" w:hAnsi="Times New Roman" w:cs="Times New Roman"/>
                <w:spacing w:val="-11"/>
                <w:sz w:val="16"/>
                <w:szCs w:val="16"/>
              </w:rPr>
              <w:t xml:space="preserve"> </w:t>
            </w:r>
            <w:r w:rsidRPr="00155597">
              <w:rPr>
                <w:rFonts w:ascii="Times New Roman" w:hAnsi="Times New Roman" w:cs="Times New Roman"/>
                <w:spacing w:val="1"/>
                <w:sz w:val="16"/>
                <w:szCs w:val="16"/>
              </w:rPr>
              <w:t>White</w:t>
            </w:r>
            <w:r w:rsidRPr="00155597">
              <w:rPr>
                <w:rFonts w:ascii="Times New Roman" w:hAnsi="Times New Roman" w:cs="Times New Roman"/>
                <w:spacing w:val="-10"/>
                <w:sz w:val="16"/>
                <w:szCs w:val="16"/>
              </w:rPr>
              <w:t xml:space="preserve"> </w:t>
            </w:r>
            <w:r w:rsidRPr="00155597">
              <w:rPr>
                <w:rFonts w:ascii="Times New Roman" w:hAnsi="Times New Roman" w:cs="Times New Roman"/>
                <w:spacing w:val="-2"/>
                <w:sz w:val="16"/>
                <w:szCs w:val="16"/>
              </w:rPr>
              <w:t>enrollment</w:t>
            </w:r>
          </w:p>
        </w:tc>
      </w:tr>
      <w:tr w:rsidR="003C6085" w:rsidRPr="00155597" w14:paraId="36A003A1" w14:textId="77777777" w:rsidTr="003C6085">
        <w:trPr>
          <w:trHeight w:val="144"/>
        </w:trPr>
        <w:tc>
          <w:tcPr>
            <w:tcW w:w="1026" w:type="pct"/>
            <w:tcBorders>
              <w:top w:val="nil"/>
              <w:left w:val="nil"/>
              <w:bottom w:val="nil"/>
              <w:right w:val="nil"/>
            </w:tcBorders>
          </w:tcPr>
          <w:p w14:paraId="693FAF88" w14:textId="77777777" w:rsidR="0064551D" w:rsidRPr="00155597" w:rsidRDefault="0064551D" w:rsidP="00D671F8">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More</w:t>
            </w:r>
            <w:r w:rsidRPr="00155597">
              <w:rPr>
                <w:rFonts w:ascii="Times New Roman" w:hAnsi="Times New Roman" w:cs="Times New Roman"/>
                <w:spacing w:val="-8"/>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1"/>
                <w:sz w:val="16"/>
                <w:szCs w:val="16"/>
              </w:rPr>
              <w:t>95</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percent</w:t>
            </w:r>
          </w:p>
        </w:tc>
        <w:tc>
          <w:tcPr>
            <w:tcW w:w="557" w:type="pct"/>
            <w:tcBorders>
              <w:top w:val="nil"/>
              <w:left w:val="nil"/>
              <w:bottom w:val="nil"/>
              <w:right w:val="nil"/>
            </w:tcBorders>
            <w:vAlign w:val="bottom"/>
          </w:tcPr>
          <w:p w14:paraId="4B3DF0DD" w14:textId="77777777" w:rsidR="0064551D" w:rsidRPr="00155597" w:rsidRDefault="0064551D" w:rsidP="00D671F8">
            <w:pPr>
              <w:pStyle w:val="TableParagraph"/>
              <w:keepNext/>
              <w:spacing w:before="11"/>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147</w:t>
            </w:r>
          </w:p>
        </w:tc>
        <w:tc>
          <w:tcPr>
            <w:tcW w:w="557" w:type="pct"/>
            <w:tcBorders>
              <w:top w:val="nil"/>
              <w:left w:val="nil"/>
              <w:bottom w:val="nil"/>
              <w:right w:val="nil"/>
            </w:tcBorders>
            <w:vAlign w:val="bottom"/>
          </w:tcPr>
          <w:p w14:paraId="224E1CD0" w14:textId="77777777" w:rsidR="0064551D" w:rsidRPr="00155597" w:rsidRDefault="0064551D" w:rsidP="00D671F8">
            <w:pPr>
              <w:pStyle w:val="TableParagraph"/>
              <w:keepNext/>
              <w:spacing w:before="11"/>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108</w:t>
            </w:r>
          </w:p>
        </w:tc>
        <w:tc>
          <w:tcPr>
            <w:tcW w:w="643" w:type="pct"/>
            <w:tcBorders>
              <w:top w:val="nil"/>
              <w:left w:val="nil"/>
              <w:bottom w:val="nil"/>
              <w:right w:val="nil"/>
            </w:tcBorders>
            <w:vAlign w:val="bottom"/>
          </w:tcPr>
          <w:p w14:paraId="29B418D4" w14:textId="4088E078" w:rsidR="0064551D" w:rsidRPr="00155597" w:rsidRDefault="0064551D" w:rsidP="00D671F8">
            <w:pPr>
              <w:pStyle w:val="TableParagraph"/>
              <w:keepNext/>
              <w:spacing w:before="12"/>
              <w:ind w:left="709"/>
              <w:jc w:val="right"/>
              <w:rPr>
                <w:rFonts w:ascii="Times New Roman" w:hAnsi="Times New Roman" w:cs="Times New Roman"/>
                <w:sz w:val="18"/>
                <w:szCs w:val="18"/>
              </w:rPr>
            </w:pPr>
            <w:r w:rsidRPr="00155597">
              <w:rPr>
                <w:rFonts w:ascii="Times New Roman" w:hAnsi="Times New Roman" w:cs="Times New Roman"/>
                <w:sz w:val="18"/>
                <w:szCs w:val="18"/>
              </w:rPr>
              <w:t>39</w:t>
            </w:r>
          </w:p>
        </w:tc>
        <w:tc>
          <w:tcPr>
            <w:tcW w:w="642" w:type="pct"/>
            <w:tcBorders>
              <w:top w:val="nil"/>
              <w:left w:val="nil"/>
              <w:bottom w:val="nil"/>
              <w:right w:val="nil"/>
            </w:tcBorders>
            <w:vAlign w:val="bottom"/>
          </w:tcPr>
          <w:p w14:paraId="7D293881" w14:textId="77777777" w:rsidR="0064551D" w:rsidRPr="00155597" w:rsidRDefault="0064551D" w:rsidP="00D671F8">
            <w:pPr>
              <w:pStyle w:val="TableParagraph"/>
              <w:keepNext/>
              <w:spacing w:before="11"/>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0</w:t>
            </w:r>
          </w:p>
        </w:tc>
        <w:tc>
          <w:tcPr>
            <w:tcW w:w="893" w:type="pct"/>
            <w:tcBorders>
              <w:top w:val="nil"/>
              <w:left w:val="nil"/>
              <w:bottom w:val="nil"/>
              <w:right w:val="nil"/>
            </w:tcBorders>
            <w:vAlign w:val="bottom"/>
          </w:tcPr>
          <w:p w14:paraId="3169B59C" w14:textId="77777777" w:rsidR="0064551D" w:rsidRPr="00155597" w:rsidRDefault="0064551D" w:rsidP="00D671F8">
            <w:pPr>
              <w:pStyle w:val="TableParagraph"/>
              <w:keepNext/>
              <w:spacing w:before="11"/>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73.5</w:t>
            </w:r>
          </w:p>
        </w:tc>
        <w:tc>
          <w:tcPr>
            <w:tcW w:w="682" w:type="pct"/>
            <w:tcBorders>
              <w:top w:val="nil"/>
              <w:left w:val="nil"/>
              <w:bottom w:val="nil"/>
              <w:right w:val="nil"/>
            </w:tcBorders>
            <w:vAlign w:val="bottom"/>
          </w:tcPr>
          <w:p w14:paraId="3F68E82E" w14:textId="77777777" w:rsidR="0064551D" w:rsidRPr="00155597" w:rsidRDefault="0064551D" w:rsidP="00D671F8">
            <w:pPr>
              <w:pStyle w:val="TableParagraph"/>
              <w:keepNext/>
              <w:spacing w:before="11"/>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74.1</w:t>
            </w:r>
          </w:p>
        </w:tc>
      </w:tr>
      <w:tr w:rsidR="003C6085" w:rsidRPr="00155597" w14:paraId="7213D8FB" w14:textId="77777777" w:rsidTr="003C6085">
        <w:trPr>
          <w:trHeight w:val="144"/>
        </w:trPr>
        <w:tc>
          <w:tcPr>
            <w:tcW w:w="1026" w:type="pct"/>
            <w:tcBorders>
              <w:top w:val="nil"/>
              <w:left w:val="nil"/>
              <w:bottom w:val="nil"/>
              <w:right w:val="nil"/>
            </w:tcBorders>
          </w:tcPr>
          <w:p w14:paraId="33B805F0"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More</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80</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to</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95</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2"/>
                <w:sz w:val="16"/>
                <w:szCs w:val="16"/>
              </w:rPr>
              <w:t>percent</w:t>
            </w:r>
          </w:p>
        </w:tc>
        <w:tc>
          <w:tcPr>
            <w:tcW w:w="557" w:type="pct"/>
            <w:tcBorders>
              <w:top w:val="nil"/>
              <w:left w:val="nil"/>
              <w:bottom w:val="nil"/>
              <w:right w:val="nil"/>
            </w:tcBorders>
            <w:vAlign w:val="bottom"/>
          </w:tcPr>
          <w:p w14:paraId="35C8A8D9" w14:textId="77777777" w:rsidR="0064551D" w:rsidRPr="00155597" w:rsidRDefault="0064551D" w:rsidP="00D671F8">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801</w:t>
            </w:r>
          </w:p>
        </w:tc>
        <w:tc>
          <w:tcPr>
            <w:tcW w:w="557" w:type="pct"/>
            <w:tcBorders>
              <w:top w:val="nil"/>
              <w:left w:val="nil"/>
              <w:bottom w:val="nil"/>
              <w:right w:val="nil"/>
            </w:tcBorders>
            <w:vAlign w:val="bottom"/>
          </w:tcPr>
          <w:p w14:paraId="6E024C72"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543</w:t>
            </w:r>
          </w:p>
        </w:tc>
        <w:tc>
          <w:tcPr>
            <w:tcW w:w="643" w:type="pct"/>
            <w:tcBorders>
              <w:top w:val="nil"/>
              <w:left w:val="nil"/>
              <w:bottom w:val="nil"/>
              <w:right w:val="nil"/>
            </w:tcBorders>
            <w:vAlign w:val="bottom"/>
          </w:tcPr>
          <w:p w14:paraId="693B936B"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255</w:t>
            </w:r>
          </w:p>
        </w:tc>
        <w:tc>
          <w:tcPr>
            <w:tcW w:w="642" w:type="pct"/>
            <w:tcBorders>
              <w:top w:val="nil"/>
              <w:left w:val="nil"/>
              <w:bottom w:val="nil"/>
              <w:right w:val="nil"/>
            </w:tcBorders>
            <w:vAlign w:val="bottom"/>
          </w:tcPr>
          <w:p w14:paraId="2D936031" w14:textId="77777777" w:rsidR="0064551D" w:rsidRPr="00155597" w:rsidRDefault="0064551D" w:rsidP="00D671F8">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893" w:type="pct"/>
            <w:tcBorders>
              <w:top w:val="nil"/>
              <w:left w:val="nil"/>
              <w:bottom w:val="nil"/>
              <w:right w:val="nil"/>
            </w:tcBorders>
            <w:vAlign w:val="bottom"/>
          </w:tcPr>
          <w:p w14:paraId="09DDF5FF"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68.0</w:t>
            </w:r>
          </w:p>
        </w:tc>
        <w:tc>
          <w:tcPr>
            <w:tcW w:w="682" w:type="pct"/>
            <w:tcBorders>
              <w:top w:val="nil"/>
              <w:left w:val="nil"/>
              <w:bottom w:val="nil"/>
              <w:right w:val="nil"/>
            </w:tcBorders>
            <w:vAlign w:val="bottom"/>
          </w:tcPr>
          <w:p w14:paraId="2332E1F9"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71.6</w:t>
            </w:r>
          </w:p>
        </w:tc>
      </w:tr>
      <w:tr w:rsidR="003C6085" w:rsidRPr="00155597" w14:paraId="199554CA" w14:textId="77777777" w:rsidTr="003C6085">
        <w:trPr>
          <w:trHeight w:val="144"/>
        </w:trPr>
        <w:tc>
          <w:tcPr>
            <w:tcW w:w="1026" w:type="pct"/>
            <w:tcBorders>
              <w:top w:val="nil"/>
              <w:left w:val="nil"/>
              <w:bottom w:val="nil"/>
              <w:right w:val="nil"/>
            </w:tcBorders>
          </w:tcPr>
          <w:p w14:paraId="7E7818FB"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More</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50</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to</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80</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2"/>
                <w:sz w:val="16"/>
                <w:szCs w:val="16"/>
              </w:rPr>
              <w:t>percent</w:t>
            </w:r>
          </w:p>
        </w:tc>
        <w:tc>
          <w:tcPr>
            <w:tcW w:w="557" w:type="pct"/>
            <w:tcBorders>
              <w:top w:val="nil"/>
              <w:left w:val="nil"/>
              <w:bottom w:val="nil"/>
              <w:right w:val="nil"/>
            </w:tcBorders>
            <w:vAlign w:val="bottom"/>
          </w:tcPr>
          <w:p w14:paraId="60634281" w14:textId="77777777" w:rsidR="0064551D" w:rsidRPr="00155597" w:rsidRDefault="0064551D" w:rsidP="00D671F8">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1,025</w:t>
            </w:r>
          </w:p>
        </w:tc>
        <w:tc>
          <w:tcPr>
            <w:tcW w:w="557" w:type="pct"/>
            <w:tcBorders>
              <w:top w:val="nil"/>
              <w:left w:val="nil"/>
              <w:bottom w:val="nil"/>
              <w:right w:val="nil"/>
            </w:tcBorders>
            <w:vAlign w:val="bottom"/>
          </w:tcPr>
          <w:p w14:paraId="5AFB294D"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606</w:t>
            </w:r>
          </w:p>
        </w:tc>
        <w:tc>
          <w:tcPr>
            <w:tcW w:w="643" w:type="pct"/>
            <w:tcBorders>
              <w:top w:val="nil"/>
              <w:left w:val="nil"/>
              <w:bottom w:val="nil"/>
              <w:right w:val="nil"/>
            </w:tcBorders>
            <w:vAlign w:val="bottom"/>
          </w:tcPr>
          <w:p w14:paraId="706C5206"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414</w:t>
            </w:r>
          </w:p>
        </w:tc>
        <w:tc>
          <w:tcPr>
            <w:tcW w:w="642" w:type="pct"/>
            <w:tcBorders>
              <w:top w:val="nil"/>
              <w:left w:val="nil"/>
              <w:bottom w:val="nil"/>
              <w:right w:val="nil"/>
            </w:tcBorders>
            <w:vAlign w:val="bottom"/>
          </w:tcPr>
          <w:p w14:paraId="0693B555"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5</w:t>
            </w:r>
          </w:p>
        </w:tc>
        <w:tc>
          <w:tcPr>
            <w:tcW w:w="893" w:type="pct"/>
            <w:tcBorders>
              <w:top w:val="nil"/>
              <w:left w:val="nil"/>
              <w:bottom w:val="nil"/>
              <w:right w:val="nil"/>
            </w:tcBorders>
            <w:vAlign w:val="bottom"/>
          </w:tcPr>
          <w:p w14:paraId="6BA028CF"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59.4</w:t>
            </w:r>
          </w:p>
        </w:tc>
        <w:tc>
          <w:tcPr>
            <w:tcW w:w="682" w:type="pct"/>
            <w:tcBorders>
              <w:top w:val="nil"/>
              <w:left w:val="nil"/>
              <w:bottom w:val="nil"/>
              <w:right w:val="nil"/>
            </w:tcBorders>
            <w:vAlign w:val="bottom"/>
          </w:tcPr>
          <w:p w14:paraId="7A4A9078"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63.0</w:t>
            </w:r>
          </w:p>
        </w:tc>
      </w:tr>
      <w:tr w:rsidR="003C6085" w:rsidRPr="00155597" w14:paraId="4170B420" w14:textId="77777777" w:rsidTr="003C6085">
        <w:trPr>
          <w:trHeight w:val="144"/>
        </w:trPr>
        <w:tc>
          <w:tcPr>
            <w:tcW w:w="1026" w:type="pct"/>
            <w:tcBorders>
              <w:top w:val="nil"/>
              <w:left w:val="nil"/>
              <w:bottom w:val="nil"/>
              <w:right w:val="nil"/>
            </w:tcBorders>
          </w:tcPr>
          <w:p w14:paraId="10E29357"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50</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percent</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or</w:t>
            </w:r>
            <w:r w:rsidRPr="00155597">
              <w:rPr>
                <w:rFonts w:ascii="Times New Roman" w:hAnsi="Times New Roman" w:cs="Times New Roman"/>
                <w:spacing w:val="-4"/>
                <w:sz w:val="16"/>
                <w:szCs w:val="16"/>
              </w:rPr>
              <w:t xml:space="preserve"> </w:t>
            </w:r>
            <w:r w:rsidRPr="00155597">
              <w:rPr>
                <w:rFonts w:ascii="Times New Roman" w:hAnsi="Times New Roman" w:cs="Times New Roman"/>
                <w:spacing w:val="-2"/>
                <w:sz w:val="16"/>
                <w:szCs w:val="16"/>
              </w:rPr>
              <w:t>less</w:t>
            </w:r>
          </w:p>
        </w:tc>
        <w:tc>
          <w:tcPr>
            <w:tcW w:w="557" w:type="pct"/>
            <w:tcBorders>
              <w:top w:val="nil"/>
              <w:left w:val="nil"/>
              <w:bottom w:val="nil"/>
              <w:right w:val="nil"/>
            </w:tcBorders>
            <w:vAlign w:val="bottom"/>
          </w:tcPr>
          <w:p w14:paraId="5F3B2ECB"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1,580</w:t>
            </w:r>
          </w:p>
        </w:tc>
        <w:tc>
          <w:tcPr>
            <w:tcW w:w="557" w:type="pct"/>
            <w:tcBorders>
              <w:top w:val="nil"/>
              <w:left w:val="nil"/>
              <w:bottom w:val="nil"/>
              <w:right w:val="nil"/>
            </w:tcBorders>
            <w:vAlign w:val="bottom"/>
          </w:tcPr>
          <w:p w14:paraId="7C7F18CE" w14:textId="77777777" w:rsidR="0064551D" w:rsidRPr="00155597" w:rsidRDefault="0064551D" w:rsidP="00D671F8">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835</w:t>
            </w:r>
          </w:p>
        </w:tc>
        <w:tc>
          <w:tcPr>
            <w:tcW w:w="643" w:type="pct"/>
            <w:tcBorders>
              <w:top w:val="nil"/>
              <w:left w:val="nil"/>
              <w:bottom w:val="nil"/>
              <w:right w:val="nil"/>
            </w:tcBorders>
            <w:vAlign w:val="bottom"/>
          </w:tcPr>
          <w:p w14:paraId="32E788BA"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734</w:t>
            </w:r>
          </w:p>
        </w:tc>
        <w:tc>
          <w:tcPr>
            <w:tcW w:w="642" w:type="pct"/>
            <w:tcBorders>
              <w:top w:val="nil"/>
              <w:left w:val="nil"/>
              <w:bottom w:val="nil"/>
              <w:right w:val="nil"/>
            </w:tcBorders>
            <w:vAlign w:val="bottom"/>
          </w:tcPr>
          <w:p w14:paraId="77752501"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11</w:t>
            </w:r>
          </w:p>
        </w:tc>
        <w:tc>
          <w:tcPr>
            <w:tcW w:w="893" w:type="pct"/>
            <w:tcBorders>
              <w:top w:val="nil"/>
              <w:left w:val="nil"/>
              <w:bottom w:val="nil"/>
              <w:right w:val="nil"/>
            </w:tcBorders>
            <w:vAlign w:val="bottom"/>
          </w:tcPr>
          <w:p w14:paraId="6419849B" w14:textId="77777777" w:rsidR="0064551D" w:rsidRPr="00155597" w:rsidRDefault="0064551D" w:rsidP="00D671F8">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53.2</w:t>
            </w:r>
          </w:p>
        </w:tc>
        <w:tc>
          <w:tcPr>
            <w:tcW w:w="682" w:type="pct"/>
            <w:tcBorders>
              <w:top w:val="nil"/>
              <w:left w:val="nil"/>
              <w:bottom w:val="nil"/>
              <w:right w:val="nil"/>
            </w:tcBorders>
            <w:vAlign w:val="bottom"/>
          </w:tcPr>
          <w:p w14:paraId="42012838"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56.2</w:t>
            </w:r>
          </w:p>
        </w:tc>
      </w:tr>
      <w:tr w:rsidR="0064551D" w:rsidRPr="00155597" w14:paraId="71782B20" w14:textId="77777777" w:rsidTr="00A00FDB">
        <w:trPr>
          <w:trHeight w:val="144"/>
        </w:trPr>
        <w:tc>
          <w:tcPr>
            <w:tcW w:w="5000" w:type="pct"/>
            <w:gridSpan w:val="7"/>
            <w:tcBorders>
              <w:top w:val="nil"/>
              <w:left w:val="nil"/>
              <w:bottom w:val="nil"/>
              <w:right w:val="nil"/>
            </w:tcBorders>
          </w:tcPr>
          <w:p w14:paraId="1BBB09EB" w14:textId="77777777" w:rsidR="0064551D" w:rsidRPr="00155597" w:rsidRDefault="0064551D" w:rsidP="00D671F8">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2"/>
                <w:sz w:val="16"/>
                <w:szCs w:val="16"/>
              </w:rPr>
              <w:t>Region</w:t>
            </w:r>
          </w:p>
        </w:tc>
      </w:tr>
      <w:tr w:rsidR="003C6085" w:rsidRPr="00155597" w14:paraId="25EDB566" w14:textId="77777777" w:rsidTr="003C6085">
        <w:trPr>
          <w:trHeight w:val="144"/>
        </w:trPr>
        <w:tc>
          <w:tcPr>
            <w:tcW w:w="1026" w:type="pct"/>
            <w:tcBorders>
              <w:top w:val="nil"/>
              <w:left w:val="nil"/>
              <w:bottom w:val="nil"/>
              <w:right w:val="nil"/>
            </w:tcBorders>
          </w:tcPr>
          <w:p w14:paraId="2A1B51A7" w14:textId="77777777" w:rsidR="0064551D" w:rsidRPr="00155597" w:rsidRDefault="0064551D" w:rsidP="00D671F8">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Northeast</w:t>
            </w:r>
          </w:p>
        </w:tc>
        <w:tc>
          <w:tcPr>
            <w:tcW w:w="557" w:type="pct"/>
            <w:tcBorders>
              <w:top w:val="nil"/>
              <w:left w:val="nil"/>
              <w:bottom w:val="nil"/>
              <w:right w:val="nil"/>
            </w:tcBorders>
            <w:vAlign w:val="bottom"/>
          </w:tcPr>
          <w:p w14:paraId="75184437" w14:textId="77777777" w:rsidR="0064551D" w:rsidRPr="00155597" w:rsidRDefault="0064551D" w:rsidP="00D671F8">
            <w:pPr>
              <w:pStyle w:val="TableParagraph"/>
              <w:keepNext/>
              <w:spacing w:before="11"/>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602</w:t>
            </w:r>
          </w:p>
        </w:tc>
        <w:tc>
          <w:tcPr>
            <w:tcW w:w="557" w:type="pct"/>
            <w:tcBorders>
              <w:top w:val="nil"/>
              <w:left w:val="nil"/>
              <w:bottom w:val="nil"/>
              <w:right w:val="nil"/>
            </w:tcBorders>
            <w:vAlign w:val="bottom"/>
          </w:tcPr>
          <w:p w14:paraId="3EFDD5EF" w14:textId="77777777" w:rsidR="0064551D" w:rsidRPr="00155597" w:rsidRDefault="0064551D" w:rsidP="00D671F8">
            <w:pPr>
              <w:pStyle w:val="TableParagraph"/>
              <w:keepNext/>
              <w:spacing w:before="11"/>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338</w:t>
            </w:r>
          </w:p>
        </w:tc>
        <w:tc>
          <w:tcPr>
            <w:tcW w:w="643" w:type="pct"/>
            <w:tcBorders>
              <w:top w:val="nil"/>
              <w:left w:val="nil"/>
              <w:bottom w:val="nil"/>
              <w:right w:val="nil"/>
            </w:tcBorders>
            <w:vAlign w:val="bottom"/>
          </w:tcPr>
          <w:p w14:paraId="2B0517A7" w14:textId="77777777" w:rsidR="0064551D" w:rsidRPr="00155597" w:rsidRDefault="0064551D" w:rsidP="00D671F8">
            <w:pPr>
              <w:pStyle w:val="TableParagraph"/>
              <w:keepNext/>
              <w:spacing w:before="11"/>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262</w:t>
            </w:r>
          </w:p>
        </w:tc>
        <w:tc>
          <w:tcPr>
            <w:tcW w:w="642" w:type="pct"/>
            <w:tcBorders>
              <w:top w:val="nil"/>
              <w:left w:val="nil"/>
              <w:bottom w:val="nil"/>
              <w:right w:val="nil"/>
            </w:tcBorders>
            <w:vAlign w:val="bottom"/>
          </w:tcPr>
          <w:p w14:paraId="7D6935BC" w14:textId="77777777" w:rsidR="0064551D" w:rsidRPr="00155597" w:rsidRDefault="0064551D" w:rsidP="00D671F8">
            <w:pPr>
              <w:pStyle w:val="TableParagraph"/>
              <w:keepNext/>
              <w:spacing w:before="11"/>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2</w:t>
            </w:r>
          </w:p>
        </w:tc>
        <w:tc>
          <w:tcPr>
            <w:tcW w:w="893" w:type="pct"/>
            <w:tcBorders>
              <w:top w:val="nil"/>
              <w:left w:val="nil"/>
              <w:bottom w:val="nil"/>
              <w:right w:val="nil"/>
            </w:tcBorders>
            <w:vAlign w:val="bottom"/>
          </w:tcPr>
          <w:p w14:paraId="483F65DB" w14:textId="77777777" w:rsidR="0064551D" w:rsidRPr="00155597" w:rsidRDefault="0064551D" w:rsidP="00D671F8">
            <w:pPr>
              <w:pStyle w:val="TableParagraph"/>
              <w:keepNext/>
              <w:spacing w:before="11"/>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56.3</w:t>
            </w:r>
          </w:p>
        </w:tc>
        <w:tc>
          <w:tcPr>
            <w:tcW w:w="682" w:type="pct"/>
            <w:tcBorders>
              <w:top w:val="nil"/>
              <w:left w:val="nil"/>
              <w:bottom w:val="nil"/>
              <w:right w:val="nil"/>
            </w:tcBorders>
            <w:vAlign w:val="bottom"/>
          </w:tcPr>
          <w:p w14:paraId="43336670" w14:textId="77777777" w:rsidR="0064551D" w:rsidRPr="00155597" w:rsidRDefault="0064551D" w:rsidP="00D671F8">
            <w:pPr>
              <w:pStyle w:val="TableParagraph"/>
              <w:keepNext/>
              <w:spacing w:before="11"/>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61.6</w:t>
            </w:r>
          </w:p>
        </w:tc>
      </w:tr>
      <w:tr w:rsidR="003C6085" w:rsidRPr="00155597" w14:paraId="46EB31D5" w14:textId="77777777" w:rsidTr="003C6085">
        <w:trPr>
          <w:trHeight w:val="144"/>
        </w:trPr>
        <w:tc>
          <w:tcPr>
            <w:tcW w:w="1026" w:type="pct"/>
            <w:tcBorders>
              <w:top w:val="nil"/>
              <w:left w:val="nil"/>
              <w:bottom w:val="nil"/>
              <w:right w:val="nil"/>
            </w:tcBorders>
          </w:tcPr>
          <w:p w14:paraId="2B54D44F"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3"/>
                <w:sz w:val="16"/>
                <w:szCs w:val="16"/>
              </w:rPr>
              <w:t>Midwest</w:t>
            </w:r>
          </w:p>
        </w:tc>
        <w:tc>
          <w:tcPr>
            <w:tcW w:w="557" w:type="pct"/>
            <w:tcBorders>
              <w:top w:val="nil"/>
              <w:left w:val="nil"/>
              <w:bottom w:val="nil"/>
              <w:right w:val="nil"/>
            </w:tcBorders>
            <w:vAlign w:val="bottom"/>
          </w:tcPr>
          <w:p w14:paraId="7061B4C3" w14:textId="77777777" w:rsidR="0064551D" w:rsidRPr="00155597" w:rsidRDefault="0064551D" w:rsidP="00D671F8">
            <w:pPr>
              <w:pStyle w:val="TableParagraph"/>
              <w:keepNext/>
              <w:spacing w:before="12"/>
              <w:ind w:left="636"/>
              <w:jc w:val="right"/>
              <w:rPr>
                <w:rFonts w:ascii="Times New Roman" w:eastAsia="Arial" w:hAnsi="Times New Roman" w:cs="Times New Roman"/>
                <w:sz w:val="16"/>
                <w:szCs w:val="16"/>
              </w:rPr>
            </w:pPr>
            <w:r w:rsidRPr="00155597">
              <w:rPr>
                <w:rFonts w:ascii="Times New Roman" w:hAnsi="Times New Roman" w:cs="Times New Roman"/>
                <w:sz w:val="18"/>
                <w:szCs w:val="18"/>
              </w:rPr>
              <w:t>788</w:t>
            </w:r>
          </w:p>
        </w:tc>
        <w:tc>
          <w:tcPr>
            <w:tcW w:w="557" w:type="pct"/>
            <w:tcBorders>
              <w:top w:val="nil"/>
              <w:left w:val="nil"/>
              <w:bottom w:val="nil"/>
              <w:right w:val="nil"/>
            </w:tcBorders>
            <w:vAlign w:val="bottom"/>
          </w:tcPr>
          <w:p w14:paraId="6F60836A" w14:textId="77777777" w:rsidR="0064551D" w:rsidRPr="00155597" w:rsidRDefault="0064551D" w:rsidP="00D671F8">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501</w:t>
            </w:r>
          </w:p>
        </w:tc>
        <w:tc>
          <w:tcPr>
            <w:tcW w:w="643" w:type="pct"/>
            <w:tcBorders>
              <w:top w:val="nil"/>
              <w:left w:val="nil"/>
              <w:bottom w:val="nil"/>
              <w:right w:val="nil"/>
            </w:tcBorders>
            <w:vAlign w:val="bottom"/>
          </w:tcPr>
          <w:p w14:paraId="649E6CF8"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283</w:t>
            </w:r>
          </w:p>
        </w:tc>
        <w:tc>
          <w:tcPr>
            <w:tcW w:w="642" w:type="pct"/>
            <w:tcBorders>
              <w:top w:val="nil"/>
              <w:left w:val="nil"/>
              <w:bottom w:val="nil"/>
              <w:right w:val="nil"/>
            </w:tcBorders>
            <w:vAlign w:val="bottom"/>
          </w:tcPr>
          <w:p w14:paraId="2CC762DA"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4</w:t>
            </w:r>
          </w:p>
        </w:tc>
        <w:tc>
          <w:tcPr>
            <w:tcW w:w="893" w:type="pct"/>
            <w:tcBorders>
              <w:top w:val="nil"/>
              <w:left w:val="nil"/>
              <w:bottom w:val="nil"/>
              <w:right w:val="nil"/>
            </w:tcBorders>
            <w:vAlign w:val="bottom"/>
          </w:tcPr>
          <w:p w14:paraId="7828093A" w14:textId="77777777" w:rsidR="0064551D" w:rsidRPr="00155597" w:rsidRDefault="0064551D" w:rsidP="00D671F8">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63.9</w:t>
            </w:r>
          </w:p>
        </w:tc>
        <w:tc>
          <w:tcPr>
            <w:tcW w:w="682" w:type="pct"/>
            <w:tcBorders>
              <w:top w:val="nil"/>
              <w:left w:val="nil"/>
              <w:bottom w:val="nil"/>
              <w:right w:val="nil"/>
            </w:tcBorders>
            <w:vAlign w:val="bottom"/>
          </w:tcPr>
          <w:p w14:paraId="32F6F394" w14:textId="77777777" w:rsidR="0064551D" w:rsidRPr="00155597" w:rsidRDefault="0064551D" w:rsidP="00D671F8">
            <w:pPr>
              <w:pStyle w:val="TableParagraph"/>
              <w:keepNext/>
              <w:spacing w:before="12"/>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66.4</w:t>
            </w:r>
          </w:p>
        </w:tc>
      </w:tr>
      <w:tr w:rsidR="003C6085" w:rsidRPr="00155597" w14:paraId="230342B7" w14:textId="77777777" w:rsidTr="003C6085">
        <w:trPr>
          <w:trHeight w:val="144"/>
        </w:trPr>
        <w:tc>
          <w:tcPr>
            <w:tcW w:w="1026" w:type="pct"/>
            <w:tcBorders>
              <w:top w:val="nil"/>
              <w:left w:val="nil"/>
              <w:bottom w:val="nil"/>
              <w:right w:val="nil"/>
            </w:tcBorders>
          </w:tcPr>
          <w:p w14:paraId="47E393A4"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South</w:t>
            </w:r>
          </w:p>
        </w:tc>
        <w:tc>
          <w:tcPr>
            <w:tcW w:w="557" w:type="pct"/>
            <w:tcBorders>
              <w:top w:val="nil"/>
              <w:left w:val="nil"/>
              <w:bottom w:val="nil"/>
              <w:right w:val="nil"/>
            </w:tcBorders>
            <w:vAlign w:val="bottom"/>
          </w:tcPr>
          <w:p w14:paraId="00A3DD90" w14:textId="77777777" w:rsidR="0064551D" w:rsidRPr="00155597" w:rsidRDefault="0064551D" w:rsidP="00D671F8">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1,346</w:t>
            </w:r>
          </w:p>
        </w:tc>
        <w:tc>
          <w:tcPr>
            <w:tcW w:w="557" w:type="pct"/>
            <w:tcBorders>
              <w:top w:val="nil"/>
              <w:left w:val="nil"/>
              <w:bottom w:val="nil"/>
              <w:right w:val="nil"/>
            </w:tcBorders>
            <w:vAlign w:val="bottom"/>
          </w:tcPr>
          <w:p w14:paraId="29778EC4"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765</w:t>
            </w:r>
          </w:p>
        </w:tc>
        <w:tc>
          <w:tcPr>
            <w:tcW w:w="643" w:type="pct"/>
            <w:tcBorders>
              <w:top w:val="nil"/>
              <w:left w:val="nil"/>
              <w:bottom w:val="nil"/>
              <w:right w:val="nil"/>
            </w:tcBorders>
            <w:vAlign w:val="bottom"/>
          </w:tcPr>
          <w:p w14:paraId="6AACCA8C"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575</w:t>
            </w:r>
          </w:p>
        </w:tc>
        <w:tc>
          <w:tcPr>
            <w:tcW w:w="642" w:type="pct"/>
            <w:tcBorders>
              <w:top w:val="nil"/>
              <w:left w:val="nil"/>
              <w:bottom w:val="nil"/>
              <w:right w:val="nil"/>
            </w:tcBorders>
            <w:vAlign w:val="bottom"/>
          </w:tcPr>
          <w:p w14:paraId="01E33DEF"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6</w:t>
            </w:r>
          </w:p>
        </w:tc>
        <w:tc>
          <w:tcPr>
            <w:tcW w:w="893" w:type="pct"/>
            <w:tcBorders>
              <w:top w:val="nil"/>
              <w:left w:val="nil"/>
              <w:bottom w:val="nil"/>
              <w:right w:val="nil"/>
            </w:tcBorders>
            <w:vAlign w:val="bottom"/>
          </w:tcPr>
          <w:p w14:paraId="05CBA630"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57.1</w:t>
            </w:r>
          </w:p>
        </w:tc>
        <w:tc>
          <w:tcPr>
            <w:tcW w:w="682" w:type="pct"/>
            <w:tcBorders>
              <w:top w:val="nil"/>
              <w:left w:val="nil"/>
              <w:bottom w:val="nil"/>
              <w:right w:val="nil"/>
            </w:tcBorders>
            <w:vAlign w:val="bottom"/>
          </w:tcPr>
          <w:p w14:paraId="70B320EE"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61.6</w:t>
            </w:r>
          </w:p>
        </w:tc>
      </w:tr>
      <w:tr w:rsidR="003C6085" w:rsidRPr="00155597" w14:paraId="6A9D321E" w14:textId="77777777" w:rsidTr="003C6085">
        <w:trPr>
          <w:trHeight w:val="144"/>
        </w:trPr>
        <w:tc>
          <w:tcPr>
            <w:tcW w:w="1026" w:type="pct"/>
            <w:tcBorders>
              <w:top w:val="nil"/>
              <w:left w:val="nil"/>
              <w:bottom w:val="single" w:sz="8" w:space="0" w:color="000000"/>
              <w:right w:val="nil"/>
            </w:tcBorders>
          </w:tcPr>
          <w:p w14:paraId="4F231F33" w14:textId="77777777" w:rsidR="0064551D" w:rsidRPr="00155597" w:rsidRDefault="0064551D" w:rsidP="00D671F8">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z w:val="16"/>
                <w:szCs w:val="16"/>
              </w:rPr>
              <w:t>West</w:t>
            </w:r>
          </w:p>
        </w:tc>
        <w:tc>
          <w:tcPr>
            <w:tcW w:w="557" w:type="pct"/>
            <w:tcBorders>
              <w:top w:val="nil"/>
              <w:left w:val="nil"/>
              <w:bottom w:val="single" w:sz="8" w:space="0" w:color="000000"/>
              <w:right w:val="nil"/>
            </w:tcBorders>
          </w:tcPr>
          <w:p w14:paraId="1170D4A0" w14:textId="77777777" w:rsidR="0064551D" w:rsidRPr="00155597" w:rsidRDefault="0064551D" w:rsidP="00D671F8">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817</w:t>
            </w:r>
          </w:p>
        </w:tc>
        <w:tc>
          <w:tcPr>
            <w:tcW w:w="557" w:type="pct"/>
            <w:tcBorders>
              <w:top w:val="nil"/>
              <w:left w:val="nil"/>
              <w:bottom w:val="single" w:sz="8" w:space="0" w:color="000000"/>
              <w:right w:val="nil"/>
            </w:tcBorders>
          </w:tcPr>
          <w:p w14:paraId="3099C396" w14:textId="77777777" w:rsidR="0064551D" w:rsidRPr="00155597" w:rsidRDefault="0064551D" w:rsidP="00D671F8">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488</w:t>
            </w:r>
          </w:p>
        </w:tc>
        <w:tc>
          <w:tcPr>
            <w:tcW w:w="643" w:type="pct"/>
            <w:tcBorders>
              <w:top w:val="nil"/>
              <w:left w:val="nil"/>
              <w:bottom w:val="single" w:sz="8" w:space="0" w:color="000000"/>
              <w:right w:val="nil"/>
            </w:tcBorders>
          </w:tcPr>
          <w:p w14:paraId="15F11395" w14:textId="77777777" w:rsidR="0064551D" w:rsidRPr="00155597" w:rsidRDefault="0064551D" w:rsidP="00D671F8">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322</w:t>
            </w:r>
          </w:p>
        </w:tc>
        <w:tc>
          <w:tcPr>
            <w:tcW w:w="642" w:type="pct"/>
            <w:tcBorders>
              <w:top w:val="nil"/>
              <w:left w:val="nil"/>
              <w:bottom w:val="single" w:sz="8" w:space="0" w:color="000000"/>
              <w:right w:val="nil"/>
            </w:tcBorders>
          </w:tcPr>
          <w:p w14:paraId="5C88F68C" w14:textId="77777777" w:rsidR="0064551D" w:rsidRPr="00155597" w:rsidRDefault="0064551D" w:rsidP="00D671F8">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7</w:t>
            </w:r>
          </w:p>
        </w:tc>
        <w:tc>
          <w:tcPr>
            <w:tcW w:w="893" w:type="pct"/>
            <w:tcBorders>
              <w:top w:val="nil"/>
              <w:left w:val="nil"/>
              <w:bottom w:val="single" w:sz="8" w:space="0" w:color="000000"/>
              <w:right w:val="nil"/>
            </w:tcBorders>
          </w:tcPr>
          <w:p w14:paraId="0D673446" w14:textId="77777777" w:rsidR="0064551D" w:rsidRPr="00155597" w:rsidRDefault="0064551D" w:rsidP="00D671F8">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60.2</w:t>
            </w:r>
          </w:p>
        </w:tc>
        <w:tc>
          <w:tcPr>
            <w:tcW w:w="682" w:type="pct"/>
            <w:tcBorders>
              <w:top w:val="nil"/>
              <w:left w:val="nil"/>
              <w:bottom w:val="single" w:sz="8" w:space="0" w:color="000000"/>
              <w:right w:val="nil"/>
            </w:tcBorders>
          </w:tcPr>
          <w:p w14:paraId="4B4D2BFC" w14:textId="77777777" w:rsidR="0064551D" w:rsidRPr="00155597" w:rsidRDefault="0064551D" w:rsidP="00D671F8">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62.5</w:t>
            </w:r>
          </w:p>
        </w:tc>
      </w:tr>
    </w:tbl>
    <w:p w14:paraId="2B98A55B" w14:textId="6CD71B22" w:rsidR="0064551D" w:rsidRPr="00155597" w:rsidRDefault="0064551D" w:rsidP="00D671F8">
      <w:pPr>
        <w:keepNext/>
        <w:spacing w:line="187" w:lineRule="exact"/>
        <w:ind w:left="141" w:right="684" w:hanging="8"/>
        <w:rPr>
          <w:rFonts w:eastAsia="Arial"/>
          <w:sz w:val="16"/>
        </w:rPr>
      </w:pPr>
      <w:r w:rsidRPr="00155597">
        <w:rPr>
          <w:spacing w:val="-2"/>
          <w:sz w:val="20"/>
          <w:szCs w:val="20"/>
          <w:vertAlign w:val="superscript"/>
        </w:rPr>
        <w:t>1</w:t>
      </w:r>
      <w:r w:rsidRPr="00155597">
        <w:rPr>
          <w:spacing w:val="-1"/>
          <w:sz w:val="16"/>
        </w:rPr>
        <w:t>In</w:t>
      </w:r>
      <w:r w:rsidRPr="00155597">
        <w:rPr>
          <w:spacing w:val="-7"/>
          <w:sz w:val="16"/>
        </w:rPr>
        <w:t xml:space="preserve"> </w:t>
      </w:r>
      <w:r w:rsidRPr="00155597">
        <w:rPr>
          <w:spacing w:val="-2"/>
          <w:sz w:val="16"/>
        </w:rPr>
        <w:t>SSOCS:2016,</w:t>
      </w:r>
      <w:r w:rsidRPr="00155597">
        <w:rPr>
          <w:spacing w:val="-6"/>
          <w:sz w:val="16"/>
        </w:rPr>
        <w:t xml:space="preserve"> </w:t>
      </w:r>
      <w:r w:rsidRPr="00155597">
        <w:rPr>
          <w:sz w:val="16"/>
        </w:rPr>
        <w:t>a</w:t>
      </w:r>
      <w:r w:rsidRPr="00155597">
        <w:rPr>
          <w:spacing w:val="-7"/>
          <w:sz w:val="16"/>
        </w:rPr>
        <w:t xml:space="preserve"> </w:t>
      </w:r>
      <w:r w:rsidRPr="00155597">
        <w:rPr>
          <w:spacing w:val="-1"/>
          <w:sz w:val="16"/>
        </w:rPr>
        <w:t>minimum</w:t>
      </w:r>
      <w:r w:rsidRPr="00155597">
        <w:rPr>
          <w:spacing w:val="-5"/>
          <w:sz w:val="16"/>
        </w:rPr>
        <w:t xml:space="preserve"> </w:t>
      </w:r>
      <w:r w:rsidRPr="00155597">
        <w:rPr>
          <w:spacing w:val="-1"/>
          <w:sz w:val="16"/>
        </w:rPr>
        <w:t>of</w:t>
      </w:r>
      <w:r w:rsidRPr="00155597">
        <w:rPr>
          <w:spacing w:val="-4"/>
          <w:sz w:val="16"/>
        </w:rPr>
        <w:t xml:space="preserve"> </w:t>
      </w:r>
      <w:r w:rsidRPr="00155597">
        <w:rPr>
          <w:spacing w:val="-1"/>
          <w:sz w:val="16"/>
        </w:rPr>
        <w:t>162 of</w:t>
      </w:r>
      <w:r w:rsidRPr="00155597">
        <w:rPr>
          <w:spacing w:val="-4"/>
          <w:sz w:val="16"/>
        </w:rPr>
        <w:t xml:space="preserve"> </w:t>
      </w:r>
      <w:r w:rsidRPr="00155597">
        <w:rPr>
          <w:spacing w:val="-1"/>
          <w:sz w:val="16"/>
        </w:rPr>
        <w:t>the</w:t>
      </w:r>
      <w:r w:rsidRPr="00155597">
        <w:rPr>
          <w:spacing w:val="-6"/>
          <w:sz w:val="16"/>
        </w:rPr>
        <w:t xml:space="preserve"> </w:t>
      </w:r>
      <w:r w:rsidRPr="00155597">
        <w:rPr>
          <w:spacing w:val="-2"/>
          <w:sz w:val="16"/>
        </w:rPr>
        <w:t>296</w:t>
      </w:r>
      <w:r w:rsidRPr="00155597">
        <w:rPr>
          <w:spacing w:val="-7"/>
          <w:sz w:val="16"/>
        </w:rPr>
        <w:t xml:space="preserve"> </w:t>
      </w:r>
      <w:r w:rsidRPr="00155597">
        <w:rPr>
          <w:spacing w:val="-1"/>
          <w:sz w:val="16"/>
        </w:rPr>
        <w:t>subitems</w:t>
      </w:r>
      <w:r w:rsidRPr="00155597">
        <w:rPr>
          <w:spacing w:val="-5"/>
          <w:sz w:val="16"/>
        </w:rPr>
        <w:t xml:space="preserve"> </w:t>
      </w:r>
      <w:r w:rsidRPr="00155597">
        <w:rPr>
          <w:spacing w:val="-1"/>
          <w:sz w:val="16"/>
        </w:rPr>
        <w:t>eligible</w:t>
      </w:r>
      <w:r w:rsidRPr="00155597">
        <w:rPr>
          <w:spacing w:val="-7"/>
          <w:sz w:val="16"/>
        </w:rPr>
        <w:t xml:space="preserve"> </w:t>
      </w:r>
      <w:r w:rsidRPr="00155597">
        <w:rPr>
          <w:spacing w:val="-1"/>
          <w:sz w:val="16"/>
        </w:rPr>
        <w:t>for</w:t>
      </w:r>
      <w:r w:rsidRPr="00155597">
        <w:rPr>
          <w:spacing w:val="-5"/>
          <w:sz w:val="16"/>
        </w:rPr>
        <w:t xml:space="preserve"> </w:t>
      </w:r>
      <w:r w:rsidRPr="00155597">
        <w:rPr>
          <w:spacing w:val="-2"/>
          <w:sz w:val="16"/>
        </w:rPr>
        <w:t>recontact</w:t>
      </w:r>
      <w:r w:rsidRPr="00155597">
        <w:rPr>
          <w:spacing w:val="-5"/>
          <w:sz w:val="16"/>
        </w:rPr>
        <w:t xml:space="preserve"> </w:t>
      </w:r>
      <w:r w:rsidRPr="00155597">
        <w:rPr>
          <w:spacing w:val="-1"/>
          <w:sz w:val="16"/>
        </w:rPr>
        <w:t>(i.e.,</w:t>
      </w:r>
      <w:r w:rsidRPr="00155597">
        <w:rPr>
          <w:spacing w:val="-6"/>
          <w:sz w:val="16"/>
        </w:rPr>
        <w:t xml:space="preserve"> </w:t>
      </w:r>
      <w:r w:rsidRPr="00155597">
        <w:rPr>
          <w:spacing w:val="-1"/>
          <w:sz w:val="16"/>
        </w:rPr>
        <w:t>all</w:t>
      </w:r>
      <w:r w:rsidRPr="00155597">
        <w:rPr>
          <w:spacing w:val="-5"/>
          <w:sz w:val="16"/>
        </w:rPr>
        <w:t xml:space="preserve"> </w:t>
      </w:r>
      <w:r w:rsidRPr="00155597">
        <w:rPr>
          <w:spacing w:val="-1"/>
          <w:sz w:val="16"/>
        </w:rPr>
        <w:t>subitems</w:t>
      </w:r>
      <w:r w:rsidRPr="00155597">
        <w:rPr>
          <w:spacing w:val="-5"/>
          <w:sz w:val="16"/>
        </w:rPr>
        <w:t xml:space="preserve"> </w:t>
      </w:r>
      <w:r w:rsidRPr="00155597">
        <w:rPr>
          <w:sz w:val="16"/>
        </w:rPr>
        <w:t>in</w:t>
      </w:r>
      <w:r w:rsidRPr="00155597">
        <w:rPr>
          <w:spacing w:val="-6"/>
          <w:sz w:val="16"/>
        </w:rPr>
        <w:t xml:space="preserve"> </w:t>
      </w:r>
      <w:r w:rsidRPr="00155597">
        <w:rPr>
          <w:spacing w:val="-1"/>
          <w:sz w:val="16"/>
        </w:rPr>
        <w:t>the</w:t>
      </w:r>
      <w:r w:rsidRPr="00155597">
        <w:rPr>
          <w:spacing w:val="-7"/>
          <w:sz w:val="16"/>
        </w:rPr>
        <w:t xml:space="preserve"> </w:t>
      </w:r>
      <w:r w:rsidRPr="00155597">
        <w:rPr>
          <w:spacing w:val="-2"/>
          <w:sz w:val="16"/>
        </w:rPr>
        <w:t>questionnaire except</w:t>
      </w:r>
      <w:r w:rsidRPr="00155597">
        <w:rPr>
          <w:spacing w:val="-7"/>
          <w:sz w:val="16"/>
        </w:rPr>
        <w:t xml:space="preserve"> </w:t>
      </w:r>
      <w:r w:rsidRPr="00155597">
        <w:rPr>
          <w:spacing w:val="-2"/>
          <w:sz w:val="16"/>
        </w:rPr>
        <w:t>those</w:t>
      </w:r>
      <w:r w:rsidRPr="00155597">
        <w:rPr>
          <w:spacing w:val="-5"/>
          <w:sz w:val="16"/>
        </w:rPr>
        <w:t xml:space="preserve"> </w:t>
      </w:r>
      <w:r w:rsidRPr="00155597">
        <w:rPr>
          <w:spacing w:val="-2"/>
          <w:sz w:val="16"/>
        </w:rPr>
        <w:t>associated</w:t>
      </w:r>
      <w:r w:rsidRPr="00155597">
        <w:rPr>
          <w:spacing w:val="-7"/>
          <w:sz w:val="16"/>
        </w:rPr>
        <w:t xml:space="preserve"> </w:t>
      </w:r>
      <w:r w:rsidRPr="00155597">
        <w:rPr>
          <w:spacing w:val="-2"/>
          <w:sz w:val="16"/>
        </w:rPr>
        <w:t>with</w:t>
      </w:r>
      <w:r w:rsidRPr="00155597">
        <w:rPr>
          <w:spacing w:val="-7"/>
          <w:sz w:val="16"/>
        </w:rPr>
        <w:t xml:space="preserve"> </w:t>
      </w:r>
      <w:r w:rsidRPr="00155597">
        <w:rPr>
          <w:spacing w:val="-1"/>
          <w:sz w:val="16"/>
        </w:rPr>
        <w:t>the</w:t>
      </w:r>
      <w:r w:rsidRPr="00155597">
        <w:rPr>
          <w:spacing w:val="-8"/>
          <w:sz w:val="16"/>
        </w:rPr>
        <w:t xml:space="preserve"> </w:t>
      </w:r>
      <w:r w:rsidRPr="00155597">
        <w:rPr>
          <w:spacing w:val="-2"/>
          <w:sz w:val="16"/>
        </w:rPr>
        <w:t>introductory</w:t>
      </w:r>
      <w:r w:rsidRPr="00155597">
        <w:rPr>
          <w:spacing w:val="-9"/>
          <w:sz w:val="16"/>
        </w:rPr>
        <w:t xml:space="preserve"> </w:t>
      </w:r>
      <w:r w:rsidRPr="00155597">
        <w:rPr>
          <w:spacing w:val="-1"/>
          <w:sz w:val="16"/>
        </w:rPr>
        <w:t>items)</w:t>
      </w:r>
      <w:r w:rsidRPr="00155597">
        <w:rPr>
          <w:spacing w:val="-4"/>
          <w:sz w:val="16"/>
        </w:rPr>
        <w:t xml:space="preserve"> </w:t>
      </w:r>
      <w:r w:rsidRPr="00155597">
        <w:rPr>
          <w:spacing w:val="-2"/>
          <w:sz w:val="16"/>
        </w:rPr>
        <w:t>were</w:t>
      </w:r>
      <w:r w:rsidRPr="00155597">
        <w:rPr>
          <w:spacing w:val="-7"/>
          <w:sz w:val="16"/>
        </w:rPr>
        <w:t xml:space="preserve"> </w:t>
      </w:r>
      <w:r w:rsidRPr="00155597">
        <w:rPr>
          <w:spacing w:val="-1"/>
          <w:sz w:val="16"/>
        </w:rPr>
        <w:t>required</w:t>
      </w:r>
      <w:r w:rsidRPr="00155597">
        <w:rPr>
          <w:spacing w:val="-7"/>
          <w:sz w:val="16"/>
        </w:rPr>
        <w:t xml:space="preserve"> </w:t>
      </w:r>
      <w:r w:rsidRPr="00155597">
        <w:rPr>
          <w:spacing w:val="-1"/>
          <w:sz w:val="16"/>
        </w:rPr>
        <w:t>to</w:t>
      </w:r>
      <w:r w:rsidRPr="00155597">
        <w:rPr>
          <w:spacing w:val="-7"/>
          <w:sz w:val="16"/>
        </w:rPr>
        <w:t xml:space="preserve"> </w:t>
      </w:r>
      <w:r w:rsidRPr="00155597">
        <w:rPr>
          <w:spacing w:val="-1"/>
          <w:sz w:val="16"/>
        </w:rPr>
        <w:t>be</w:t>
      </w:r>
      <w:r w:rsidRPr="00155597">
        <w:rPr>
          <w:spacing w:val="-8"/>
          <w:sz w:val="16"/>
        </w:rPr>
        <w:t xml:space="preserve"> </w:t>
      </w:r>
      <w:r w:rsidRPr="00155597">
        <w:rPr>
          <w:spacing w:val="-2"/>
          <w:sz w:val="16"/>
        </w:rPr>
        <w:t>answered</w:t>
      </w:r>
      <w:r w:rsidRPr="00155597">
        <w:rPr>
          <w:spacing w:val="-7"/>
          <w:sz w:val="16"/>
        </w:rPr>
        <w:t xml:space="preserve"> </w:t>
      </w:r>
      <w:r w:rsidRPr="00155597">
        <w:rPr>
          <w:spacing w:val="-1"/>
          <w:sz w:val="16"/>
        </w:rPr>
        <w:t>for</w:t>
      </w:r>
      <w:r w:rsidRPr="00155597">
        <w:rPr>
          <w:spacing w:val="-5"/>
          <w:sz w:val="16"/>
        </w:rPr>
        <w:t xml:space="preserve"> </w:t>
      </w:r>
      <w:r w:rsidRPr="00155597">
        <w:rPr>
          <w:spacing w:val="-1"/>
          <w:sz w:val="16"/>
        </w:rPr>
        <w:t>the</w:t>
      </w:r>
      <w:r w:rsidRPr="00155597">
        <w:rPr>
          <w:spacing w:val="-7"/>
          <w:sz w:val="16"/>
        </w:rPr>
        <w:t xml:space="preserve"> </w:t>
      </w:r>
      <w:r w:rsidRPr="00155597">
        <w:rPr>
          <w:spacing w:val="-1"/>
          <w:sz w:val="16"/>
        </w:rPr>
        <w:t>survey</w:t>
      </w:r>
      <w:r w:rsidRPr="00155597">
        <w:rPr>
          <w:spacing w:val="-10"/>
          <w:sz w:val="16"/>
        </w:rPr>
        <w:t xml:space="preserve"> </w:t>
      </w:r>
      <w:r w:rsidRPr="00155597">
        <w:rPr>
          <w:spacing w:val="-1"/>
          <w:sz w:val="16"/>
        </w:rPr>
        <w:t>to</w:t>
      </w:r>
      <w:r w:rsidRPr="00155597">
        <w:rPr>
          <w:spacing w:val="-7"/>
          <w:sz w:val="16"/>
        </w:rPr>
        <w:t xml:space="preserve"> </w:t>
      </w:r>
      <w:r w:rsidRPr="00155597">
        <w:rPr>
          <w:spacing w:val="-1"/>
          <w:sz w:val="16"/>
        </w:rPr>
        <w:t>be</w:t>
      </w:r>
      <w:r w:rsidRPr="00155597">
        <w:rPr>
          <w:spacing w:val="-7"/>
          <w:sz w:val="16"/>
        </w:rPr>
        <w:t xml:space="preserve"> </w:t>
      </w:r>
      <w:r w:rsidRPr="00155597">
        <w:rPr>
          <w:spacing w:val="-2"/>
          <w:sz w:val="16"/>
        </w:rPr>
        <w:t>considered</w:t>
      </w:r>
      <w:r w:rsidRPr="00155597">
        <w:rPr>
          <w:spacing w:val="-8"/>
          <w:sz w:val="16"/>
        </w:rPr>
        <w:t xml:space="preserve"> </w:t>
      </w:r>
      <w:r w:rsidRPr="00155597">
        <w:rPr>
          <w:spacing w:val="-2"/>
          <w:sz w:val="16"/>
        </w:rPr>
        <w:t>complete.</w:t>
      </w:r>
      <w:r w:rsidRPr="00155597">
        <w:rPr>
          <w:spacing w:val="-2"/>
          <w:w w:val="99"/>
          <w:sz w:val="16"/>
        </w:rPr>
        <w:t xml:space="preserve"> </w:t>
      </w:r>
      <w:r w:rsidR="0034069B" w:rsidRPr="00155597">
        <w:rPr>
          <w:spacing w:val="-1"/>
          <w:sz w:val="16"/>
        </w:rPr>
        <w:t>This</w:t>
      </w:r>
      <w:r w:rsidRPr="00155597">
        <w:rPr>
          <w:spacing w:val="-4"/>
          <w:sz w:val="16"/>
        </w:rPr>
        <w:t xml:space="preserve"> </w:t>
      </w:r>
      <w:r w:rsidRPr="00155597">
        <w:rPr>
          <w:spacing w:val="-2"/>
          <w:sz w:val="16"/>
        </w:rPr>
        <w:t>includes</w:t>
      </w:r>
      <w:r w:rsidRPr="00155597">
        <w:rPr>
          <w:spacing w:val="-5"/>
          <w:sz w:val="16"/>
        </w:rPr>
        <w:t xml:space="preserve"> </w:t>
      </w:r>
      <w:r w:rsidRPr="00155597">
        <w:rPr>
          <w:sz w:val="16"/>
        </w:rPr>
        <w:t>a</w:t>
      </w:r>
      <w:r w:rsidRPr="00155597">
        <w:rPr>
          <w:spacing w:val="-6"/>
          <w:sz w:val="16"/>
        </w:rPr>
        <w:t xml:space="preserve"> </w:t>
      </w:r>
      <w:r w:rsidRPr="00155597">
        <w:rPr>
          <w:spacing w:val="-1"/>
          <w:sz w:val="16"/>
        </w:rPr>
        <w:t>minimum</w:t>
      </w:r>
      <w:r w:rsidRPr="00155597">
        <w:rPr>
          <w:spacing w:val="-4"/>
          <w:sz w:val="16"/>
        </w:rPr>
        <w:t xml:space="preserve"> </w:t>
      </w:r>
      <w:r w:rsidRPr="00155597">
        <w:rPr>
          <w:spacing w:val="-1"/>
          <w:sz w:val="16"/>
        </w:rPr>
        <w:t>of</w:t>
      </w:r>
      <w:r w:rsidRPr="00155597">
        <w:rPr>
          <w:spacing w:val="-3"/>
          <w:sz w:val="16"/>
        </w:rPr>
        <w:t xml:space="preserve"> </w:t>
      </w:r>
      <w:r w:rsidRPr="00155597">
        <w:rPr>
          <w:spacing w:val="-1"/>
          <w:sz w:val="16"/>
        </w:rPr>
        <w:t>75 of</w:t>
      </w:r>
      <w:r w:rsidRPr="00155597">
        <w:rPr>
          <w:spacing w:val="-3"/>
          <w:sz w:val="16"/>
        </w:rPr>
        <w:t xml:space="preserve"> </w:t>
      </w:r>
      <w:r w:rsidRPr="00155597">
        <w:rPr>
          <w:spacing w:val="-1"/>
          <w:sz w:val="16"/>
        </w:rPr>
        <w:t>the</w:t>
      </w:r>
      <w:r w:rsidRPr="00155597">
        <w:rPr>
          <w:spacing w:val="-6"/>
          <w:sz w:val="16"/>
        </w:rPr>
        <w:t xml:space="preserve"> </w:t>
      </w:r>
      <w:r w:rsidRPr="00155597">
        <w:rPr>
          <w:spacing w:val="-1"/>
          <w:sz w:val="16"/>
        </w:rPr>
        <w:t>92</w:t>
      </w:r>
      <w:r w:rsidRPr="00155597">
        <w:rPr>
          <w:spacing w:val="-6"/>
          <w:sz w:val="16"/>
        </w:rPr>
        <w:t xml:space="preserve"> </w:t>
      </w:r>
      <w:r w:rsidRPr="00155597">
        <w:rPr>
          <w:spacing w:val="-1"/>
          <w:sz w:val="16"/>
        </w:rPr>
        <w:t>critical</w:t>
      </w:r>
      <w:r w:rsidRPr="00155597">
        <w:rPr>
          <w:spacing w:val="-4"/>
          <w:sz w:val="16"/>
        </w:rPr>
        <w:t xml:space="preserve"> </w:t>
      </w:r>
      <w:r w:rsidRPr="00155597">
        <w:rPr>
          <w:spacing w:val="-1"/>
          <w:sz w:val="16"/>
        </w:rPr>
        <w:t>subitems,</w:t>
      </w:r>
      <w:r w:rsidRPr="00155597">
        <w:rPr>
          <w:spacing w:val="-7"/>
          <w:sz w:val="16"/>
        </w:rPr>
        <w:t xml:space="preserve"> </w:t>
      </w:r>
      <w:r w:rsidRPr="00155597">
        <w:rPr>
          <w:spacing w:val="-1"/>
          <w:sz w:val="16"/>
        </w:rPr>
        <w:t xml:space="preserve">18 of </w:t>
      </w:r>
      <w:r w:rsidR="0034069B" w:rsidRPr="00155597">
        <w:rPr>
          <w:spacing w:val="-1"/>
          <w:sz w:val="16"/>
        </w:rPr>
        <w:t xml:space="preserve">the </w:t>
      </w:r>
      <w:r w:rsidRPr="00155597">
        <w:rPr>
          <w:spacing w:val="-1"/>
          <w:sz w:val="16"/>
        </w:rPr>
        <w:t>30 subitems within</w:t>
      </w:r>
      <w:r w:rsidRPr="00155597">
        <w:rPr>
          <w:spacing w:val="-2"/>
          <w:sz w:val="16"/>
        </w:rPr>
        <w:t xml:space="preserve"> </w:t>
      </w:r>
      <w:r w:rsidRPr="00155597">
        <w:rPr>
          <w:spacing w:val="-1"/>
          <w:sz w:val="16"/>
        </w:rPr>
        <w:t>item</w:t>
      </w:r>
      <w:r w:rsidRPr="00155597">
        <w:rPr>
          <w:spacing w:val="-4"/>
          <w:sz w:val="16"/>
        </w:rPr>
        <w:t xml:space="preserve"> </w:t>
      </w:r>
      <w:r w:rsidRPr="00155597">
        <w:rPr>
          <w:spacing w:val="-1"/>
          <w:sz w:val="16"/>
        </w:rPr>
        <w:t>26,</w:t>
      </w:r>
      <w:r w:rsidRPr="00155597">
        <w:rPr>
          <w:spacing w:val="-5"/>
          <w:sz w:val="16"/>
        </w:rPr>
        <w:t xml:space="preserve"> </w:t>
      </w:r>
      <w:r w:rsidRPr="00155597">
        <w:rPr>
          <w:spacing w:val="-1"/>
          <w:sz w:val="16"/>
        </w:rPr>
        <w:t xml:space="preserve">and 6 </w:t>
      </w:r>
      <w:r w:rsidR="0034069B" w:rsidRPr="00155597">
        <w:rPr>
          <w:spacing w:val="-1"/>
          <w:sz w:val="16"/>
        </w:rPr>
        <w:t>of the</w:t>
      </w:r>
      <w:r w:rsidRPr="00155597">
        <w:rPr>
          <w:spacing w:val="-1"/>
          <w:sz w:val="16"/>
        </w:rPr>
        <w:t xml:space="preserve"> 25 subitems within item 35.</w:t>
      </w:r>
    </w:p>
    <w:p w14:paraId="1A0C6296" w14:textId="466E142F" w:rsidR="0064551D" w:rsidRPr="00155597" w:rsidRDefault="0064551D" w:rsidP="00D671F8">
      <w:pPr>
        <w:keepNext/>
        <w:spacing w:line="187" w:lineRule="exact"/>
        <w:ind w:left="141" w:right="684" w:hanging="8"/>
        <w:rPr>
          <w:rFonts w:eastAsia="Arial"/>
          <w:sz w:val="16"/>
        </w:rPr>
      </w:pPr>
      <w:r w:rsidRPr="00155597">
        <w:rPr>
          <w:spacing w:val="-2"/>
          <w:sz w:val="20"/>
          <w:szCs w:val="20"/>
          <w:vertAlign w:val="superscript"/>
        </w:rPr>
        <w:t>2</w:t>
      </w:r>
      <w:r w:rsidRPr="00155597">
        <w:rPr>
          <w:spacing w:val="-2"/>
          <w:sz w:val="16"/>
        </w:rPr>
        <w:t>Nonrespondents</w:t>
      </w:r>
      <w:r w:rsidRPr="00155597">
        <w:rPr>
          <w:spacing w:val="-6"/>
          <w:sz w:val="16"/>
        </w:rPr>
        <w:t xml:space="preserve"> </w:t>
      </w:r>
      <w:r w:rsidRPr="00155597">
        <w:rPr>
          <w:spacing w:val="-1"/>
          <w:sz w:val="16"/>
        </w:rPr>
        <w:t>include</w:t>
      </w:r>
      <w:r w:rsidRPr="00155597">
        <w:rPr>
          <w:spacing w:val="-7"/>
          <w:sz w:val="16"/>
        </w:rPr>
        <w:t xml:space="preserve"> </w:t>
      </w:r>
      <w:r w:rsidRPr="00155597">
        <w:rPr>
          <w:spacing w:val="-1"/>
          <w:sz w:val="16"/>
        </w:rPr>
        <w:t>schools</w:t>
      </w:r>
      <w:r w:rsidRPr="00155597">
        <w:rPr>
          <w:spacing w:val="-6"/>
          <w:sz w:val="16"/>
        </w:rPr>
        <w:t xml:space="preserve"> </w:t>
      </w:r>
      <w:r w:rsidRPr="00155597">
        <w:rPr>
          <w:spacing w:val="-3"/>
          <w:sz w:val="16"/>
        </w:rPr>
        <w:t>whose</w:t>
      </w:r>
      <w:r w:rsidRPr="00155597">
        <w:rPr>
          <w:spacing w:val="-6"/>
          <w:sz w:val="16"/>
        </w:rPr>
        <w:t xml:space="preserve"> </w:t>
      </w:r>
      <w:r w:rsidRPr="00155597">
        <w:rPr>
          <w:spacing w:val="-1"/>
          <w:sz w:val="16"/>
        </w:rPr>
        <w:t>districts</w:t>
      </w:r>
      <w:r w:rsidRPr="00155597">
        <w:rPr>
          <w:spacing w:val="-5"/>
          <w:sz w:val="16"/>
        </w:rPr>
        <w:t xml:space="preserve"> </w:t>
      </w:r>
      <w:r w:rsidRPr="00155597">
        <w:rPr>
          <w:spacing w:val="-2"/>
          <w:sz w:val="16"/>
        </w:rPr>
        <w:t>denied</w:t>
      </w:r>
      <w:r w:rsidRPr="00155597">
        <w:rPr>
          <w:spacing w:val="-8"/>
          <w:sz w:val="16"/>
        </w:rPr>
        <w:t xml:space="preserve"> </w:t>
      </w:r>
      <w:r w:rsidRPr="00155597">
        <w:rPr>
          <w:spacing w:val="-1"/>
          <w:sz w:val="16"/>
        </w:rPr>
        <w:t>permission</w:t>
      </w:r>
      <w:r w:rsidRPr="00155597">
        <w:rPr>
          <w:spacing w:val="-7"/>
          <w:sz w:val="16"/>
        </w:rPr>
        <w:t xml:space="preserve"> </w:t>
      </w:r>
      <w:r w:rsidRPr="00155597">
        <w:rPr>
          <w:spacing w:val="-1"/>
          <w:sz w:val="16"/>
        </w:rPr>
        <w:t>to</w:t>
      </w:r>
      <w:r w:rsidRPr="00155597">
        <w:rPr>
          <w:spacing w:val="-8"/>
          <w:sz w:val="16"/>
        </w:rPr>
        <w:t xml:space="preserve"> </w:t>
      </w:r>
      <w:r w:rsidRPr="00155597">
        <w:rPr>
          <w:spacing w:val="-1"/>
          <w:sz w:val="16"/>
        </w:rPr>
        <w:t>NCES</w:t>
      </w:r>
      <w:r w:rsidR="000B2A27" w:rsidRPr="00155597">
        <w:rPr>
          <w:spacing w:val="-1"/>
          <w:sz w:val="16"/>
        </w:rPr>
        <w:t xml:space="preserve"> to conduct the survey</w:t>
      </w:r>
      <w:r w:rsidRPr="00155597">
        <w:rPr>
          <w:spacing w:val="-6"/>
          <w:sz w:val="16"/>
        </w:rPr>
        <w:t xml:space="preserve"> </w:t>
      </w:r>
      <w:r w:rsidRPr="00155597">
        <w:rPr>
          <w:spacing w:val="-2"/>
          <w:sz w:val="16"/>
        </w:rPr>
        <w:t>and</w:t>
      </w:r>
      <w:r w:rsidRPr="00155597">
        <w:rPr>
          <w:spacing w:val="-8"/>
          <w:sz w:val="16"/>
        </w:rPr>
        <w:t xml:space="preserve"> </w:t>
      </w:r>
      <w:r w:rsidRPr="00155597">
        <w:rPr>
          <w:spacing w:val="-2"/>
          <w:sz w:val="16"/>
        </w:rPr>
        <w:t>those</w:t>
      </w:r>
      <w:r w:rsidRPr="00155597">
        <w:rPr>
          <w:spacing w:val="-5"/>
          <w:sz w:val="16"/>
        </w:rPr>
        <w:t xml:space="preserve"> </w:t>
      </w:r>
      <w:r w:rsidRPr="00155597">
        <w:rPr>
          <w:spacing w:val="-1"/>
          <w:sz w:val="16"/>
        </w:rPr>
        <w:t>eligible</w:t>
      </w:r>
      <w:r w:rsidRPr="00155597">
        <w:rPr>
          <w:spacing w:val="-8"/>
          <w:sz w:val="16"/>
        </w:rPr>
        <w:t xml:space="preserve"> </w:t>
      </w:r>
      <w:r w:rsidRPr="00155597">
        <w:rPr>
          <w:spacing w:val="-1"/>
          <w:sz w:val="16"/>
        </w:rPr>
        <w:t>schools</w:t>
      </w:r>
      <w:r w:rsidRPr="00155597">
        <w:rPr>
          <w:spacing w:val="-6"/>
          <w:sz w:val="16"/>
        </w:rPr>
        <w:t xml:space="preserve"> </w:t>
      </w:r>
      <w:r w:rsidRPr="00155597">
        <w:rPr>
          <w:spacing w:val="-2"/>
          <w:sz w:val="16"/>
        </w:rPr>
        <w:t>that</w:t>
      </w:r>
      <w:r w:rsidRPr="00155597">
        <w:rPr>
          <w:spacing w:val="-6"/>
          <w:sz w:val="16"/>
        </w:rPr>
        <w:t xml:space="preserve"> </w:t>
      </w:r>
      <w:r w:rsidRPr="00155597">
        <w:rPr>
          <w:spacing w:val="-2"/>
          <w:sz w:val="16"/>
        </w:rPr>
        <w:t>either</w:t>
      </w:r>
      <w:r w:rsidRPr="00155597">
        <w:rPr>
          <w:spacing w:val="-6"/>
          <w:sz w:val="16"/>
        </w:rPr>
        <w:t xml:space="preserve"> </w:t>
      </w:r>
      <w:r w:rsidRPr="00155597">
        <w:rPr>
          <w:spacing w:val="-1"/>
          <w:sz w:val="16"/>
        </w:rPr>
        <w:t>did</w:t>
      </w:r>
      <w:r w:rsidRPr="00155597">
        <w:rPr>
          <w:spacing w:val="-7"/>
          <w:sz w:val="16"/>
        </w:rPr>
        <w:t xml:space="preserve"> </w:t>
      </w:r>
      <w:r w:rsidRPr="00155597">
        <w:rPr>
          <w:spacing w:val="-2"/>
          <w:sz w:val="16"/>
        </w:rPr>
        <w:t>not</w:t>
      </w:r>
      <w:r w:rsidRPr="00155597">
        <w:rPr>
          <w:spacing w:val="-6"/>
          <w:sz w:val="16"/>
        </w:rPr>
        <w:t xml:space="preserve"> </w:t>
      </w:r>
      <w:r w:rsidRPr="00155597">
        <w:rPr>
          <w:spacing w:val="-2"/>
          <w:sz w:val="16"/>
        </w:rPr>
        <w:t>respond</w:t>
      </w:r>
      <w:r w:rsidRPr="00155597">
        <w:rPr>
          <w:spacing w:val="-7"/>
          <w:sz w:val="16"/>
        </w:rPr>
        <w:t xml:space="preserve"> </w:t>
      </w:r>
      <w:r w:rsidRPr="00155597">
        <w:rPr>
          <w:spacing w:val="-1"/>
          <w:sz w:val="16"/>
        </w:rPr>
        <w:t>or</w:t>
      </w:r>
      <w:r w:rsidRPr="00155597">
        <w:rPr>
          <w:spacing w:val="-4"/>
          <w:sz w:val="16"/>
        </w:rPr>
        <w:t xml:space="preserve"> </w:t>
      </w:r>
      <w:r w:rsidRPr="00155597">
        <w:rPr>
          <w:spacing w:val="-2"/>
          <w:sz w:val="16"/>
        </w:rPr>
        <w:t>responded</w:t>
      </w:r>
      <w:r w:rsidRPr="00155597">
        <w:rPr>
          <w:spacing w:val="-7"/>
          <w:sz w:val="16"/>
        </w:rPr>
        <w:t xml:space="preserve"> </w:t>
      </w:r>
      <w:r w:rsidRPr="00155597">
        <w:rPr>
          <w:spacing w:val="-2"/>
          <w:sz w:val="16"/>
        </w:rPr>
        <w:t>but</w:t>
      </w:r>
      <w:r w:rsidRPr="00155597">
        <w:rPr>
          <w:spacing w:val="-6"/>
          <w:sz w:val="16"/>
        </w:rPr>
        <w:t xml:space="preserve"> </w:t>
      </w:r>
      <w:r w:rsidRPr="00155597">
        <w:rPr>
          <w:spacing w:val="-1"/>
          <w:sz w:val="16"/>
        </w:rPr>
        <w:t>did</w:t>
      </w:r>
      <w:r w:rsidRPr="00155597">
        <w:rPr>
          <w:spacing w:val="-6"/>
          <w:sz w:val="16"/>
        </w:rPr>
        <w:t xml:space="preserve"> </w:t>
      </w:r>
      <w:r w:rsidRPr="00155597">
        <w:rPr>
          <w:spacing w:val="-2"/>
          <w:sz w:val="16"/>
        </w:rPr>
        <w:t>not</w:t>
      </w:r>
      <w:r w:rsidRPr="00155597">
        <w:rPr>
          <w:spacing w:val="-6"/>
          <w:sz w:val="16"/>
        </w:rPr>
        <w:t xml:space="preserve"> </w:t>
      </w:r>
      <w:r w:rsidRPr="00155597">
        <w:rPr>
          <w:spacing w:val="-2"/>
          <w:sz w:val="16"/>
        </w:rPr>
        <w:t>answer</w:t>
      </w:r>
      <w:r w:rsidRPr="00155597">
        <w:rPr>
          <w:spacing w:val="-5"/>
          <w:sz w:val="16"/>
        </w:rPr>
        <w:t xml:space="preserve"> </w:t>
      </w:r>
      <w:r w:rsidRPr="00155597">
        <w:rPr>
          <w:spacing w:val="-1"/>
          <w:sz w:val="16"/>
        </w:rPr>
        <w:t>the</w:t>
      </w:r>
      <w:r w:rsidRPr="00155597">
        <w:rPr>
          <w:spacing w:val="-6"/>
          <w:sz w:val="16"/>
        </w:rPr>
        <w:t xml:space="preserve"> </w:t>
      </w:r>
      <w:r w:rsidRPr="00155597">
        <w:rPr>
          <w:spacing w:val="-1"/>
          <w:sz w:val="16"/>
        </w:rPr>
        <w:t>minimum</w:t>
      </w:r>
      <w:r w:rsidRPr="00155597">
        <w:rPr>
          <w:spacing w:val="-5"/>
          <w:sz w:val="16"/>
        </w:rPr>
        <w:t xml:space="preserve"> </w:t>
      </w:r>
      <w:r w:rsidRPr="00155597">
        <w:rPr>
          <w:spacing w:val="-2"/>
          <w:sz w:val="16"/>
        </w:rPr>
        <w:t>number</w:t>
      </w:r>
      <w:r w:rsidRPr="00155597">
        <w:rPr>
          <w:spacing w:val="-5"/>
          <w:sz w:val="16"/>
        </w:rPr>
        <w:t xml:space="preserve"> </w:t>
      </w:r>
      <w:r w:rsidRPr="00155597">
        <w:rPr>
          <w:spacing w:val="-1"/>
          <w:sz w:val="16"/>
        </w:rPr>
        <w:t>of</w:t>
      </w:r>
      <w:r w:rsidRPr="00155597">
        <w:rPr>
          <w:spacing w:val="-3"/>
          <w:sz w:val="16"/>
        </w:rPr>
        <w:t xml:space="preserve"> </w:t>
      </w:r>
      <w:r w:rsidRPr="00155597">
        <w:rPr>
          <w:spacing w:val="-1"/>
          <w:sz w:val="16"/>
        </w:rPr>
        <w:t>items</w:t>
      </w:r>
      <w:r w:rsidRPr="00155597">
        <w:rPr>
          <w:spacing w:val="-5"/>
          <w:sz w:val="16"/>
        </w:rPr>
        <w:t xml:space="preserve"> </w:t>
      </w:r>
      <w:r w:rsidRPr="00155597">
        <w:rPr>
          <w:spacing w:val="-1"/>
          <w:sz w:val="16"/>
        </w:rPr>
        <w:t>required</w:t>
      </w:r>
      <w:r w:rsidRPr="00155597">
        <w:rPr>
          <w:spacing w:val="-7"/>
          <w:sz w:val="16"/>
        </w:rPr>
        <w:t xml:space="preserve"> </w:t>
      </w:r>
      <w:r w:rsidRPr="00155597">
        <w:rPr>
          <w:spacing w:val="-1"/>
          <w:sz w:val="16"/>
        </w:rPr>
        <w:t>for</w:t>
      </w:r>
      <w:r w:rsidRPr="00155597">
        <w:rPr>
          <w:spacing w:val="-5"/>
          <w:sz w:val="16"/>
        </w:rPr>
        <w:t xml:space="preserve"> </w:t>
      </w:r>
      <w:r w:rsidRPr="00155597">
        <w:rPr>
          <w:spacing w:val="-1"/>
          <w:sz w:val="16"/>
        </w:rPr>
        <w:t>the</w:t>
      </w:r>
      <w:r w:rsidRPr="00155597">
        <w:rPr>
          <w:spacing w:val="-6"/>
          <w:sz w:val="16"/>
        </w:rPr>
        <w:t xml:space="preserve"> </w:t>
      </w:r>
      <w:r w:rsidRPr="00155597">
        <w:rPr>
          <w:spacing w:val="-1"/>
          <w:sz w:val="16"/>
        </w:rPr>
        <w:t>survey</w:t>
      </w:r>
      <w:r w:rsidRPr="00155597">
        <w:rPr>
          <w:spacing w:val="-9"/>
          <w:sz w:val="16"/>
        </w:rPr>
        <w:t xml:space="preserve"> </w:t>
      </w:r>
      <w:r w:rsidRPr="00155597">
        <w:rPr>
          <w:spacing w:val="-1"/>
          <w:sz w:val="16"/>
        </w:rPr>
        <w:t>to</w:t>
      </w:r>
      <w:r w:rsidRPr="00155597">
        <w:rPr>
          <w:spacing w:val="-7"/>
          <w:sz w:val="16"/>
        </w:rPr>
        <w:t xml:space="preserve"> </w:t>
      </w:r>
      <w:r w:rsidRPr="00155597">
        <w:rPr>
          <w:spacing w:val="-1"/>
          <w:sz w:val="16"/>
        </w:rPr>
        <w:t>be</w:t>
      </w:r>
      <w:r w:rsidRPr="00155597">
        <w:rPr>
          <w:spacing w:val="-7"/>
          <w:sz w:val="16"/>
        </w:rPr>
        <w:t xml:space="preserve"> </w:t>
      </w:r>
      <w:r w:rsidRPr="00155597">
        <w:rPr>
          <w:spacing w:val="-2"/>
          <w:sz w:val="16"/>
        </w:rPr>
        <w:t>considered</w:t>
      </w:r>
      <w:r w:rsidRPr="00155597">
        <w:rPr>
          <w:spacing w:val="-7"/>
          <w:sz w:val="16"/>
        </w:rPr>
        <w:t xml:space="preserve"> </w:t>
      </w:r>
      <w:r w:rsidRPr="00155597">
        <w:rPr>
          <w:spacing w:val="-2"/>
          <w:sz w:val="16"/>
        </w:rPr>
        <w:t>complete.</w:t>
      </w:r>
    </w:p>
    <w:p w14:paraId="682ED5C1" w14:textId="77777777" w:rsidR="0064551D" w:rsidRPr="00155597" w:rsidRDefault="0064551D" w:rsidP="00D671F8">
      <w:pPr>
        <w:keepNext/>
        <w:spacing w:line="187" w:lineRule="exact"/>
        <w:ind w:left="141" w:right="684" w:hanging="8"/>
        <w:rPr>
          <w:rFonts w:eastAsia="Arial"/>
          <w:sz w:val="16"/>
        </w:rPr>
      </w:pPr>
      <w:r w:rsidRPr="00155597">
        <w:rPr>
          <w:spacing w:val="-2"/>
          <w:sz w:val="20"/>
          <w:szCs w:val="20"/>
          <w:vertAlign w:val="superscript"/>
        </w:rPr>
        <w:t>3</w:t>
      </w:r>
      <w:r w:rsidRPr="00155597">
        <w:rPr>
          <w:spacing w:val="-1"/>
          <w:sz w:val="16"/>
        </w:rPr>
        <w:t>Ineligible</w:t>
      </w:r>
      <w:r w:rsidRPr="00155597">
        <w:rPr>
          <w:spacing w:val="-7"/>
          <w:sz w:val="16"/>
        </w:rPr>
        <w:t xml:space="preserve"> </w:t>
      </w:r>
      <w:r w:rsidRPr="00155597">
        <w:rPr>
          <w:spacing w:val="-1"/>
          <w:sz w:val="16"/>
        </w:rPr>
        <w:t>schools</w:t>
      </w:r>
      <w:r w:rsidRPr="00155597">
        <w:rPr>
          <w:spacing w:val="-6"/>
          <w:sz w:val="16"/>
        </w:rPr>
        <w:t xml:space="preserve"> </w:t>
      </w:r>
      <w:r w:rsidRPr="00155597">
        <w:rPr>
          <w:spacing w:val="-1"/>
          <w:sz w:val="16"/>
        </w:rPr>
        <w:t>include</w:t>
      </w:r>
      <w:r w:rsidRPr="00155597">
        <w:rPr>
          <w:spacing w:val="-7"/>
          <w:sz w:val="16"/>
        </w:rPr>
        <w:t xml:space="preserve"> </w:t>
      </w:r>
      <w:r w:rsidRPr="00155597">
        <w:rPr>
          <w:spacing w:val="-2"/>
          <w:sz w:val="16"/>
        </w:rPr>
        <w:t>those</w:t>
      </w:r>
      <w:r w:rsidRPr="00155597">
        <w:rPr>
          <w:spacing w:val="-5"/>
          <w:sz w:val="16"/>
        </w:rPr>
        <w:t xml:space="preserve"> </w:t>
      </w:r>
      <w:r w:rsidRPr="00155597">
        <w:rPr>
          <w:spacing w:val="-2"/>
          <w:sz w:val="16"/>
        </w:rPr>
        <w:t>that</w:t>
      </w:r>
      <w:r w:rsidRPr="00155597">
        <w:rPr>
          <w:spacing w:val="-6"/>
          <w:sz w:val="16"/>
        </w:rPr>
        <w:t xml:space="preserve"> </w:t>
      </w:r>
      <w:r w:rsidRPr="00155597">
        <w:rPr>
          <w:spacing w:val="-2"/>
          <w:sz w:val="16"/>
        </w:rPr>
        <w:t>had</w:t>
      </w:r>
      <w:r w:rsidRPr="00155597">
        <w:rPr>
          <w:spacing w:val="-7"/>
          <w:sz w:val="16"/>
        </w:rPr>
        <w:t xml:space="preserve"> </w:t>
      </w:r>
      <w:r w:rsidRPr="00155597">
        <w:rPr>
          <w:spacing w:val="-1"/>
          <w:sz w:val="16"/>
        </w:rPr>
        <w:t>closed,</w:t>
      </w:r>
      <w:r w:rsidRPr="00155597">
        <w:rPr>
          <w:spacing w:val="-6"/>
          <w:sz w:val="16"/>
        </w:rPr>
        <w:t xml:space="preserve"> </w:t>
      </w:r>
      <w:r w:rsidRPr="00155597">
        <w:rPr>
          <w:spacing w:val="-1"/>
          <w:sz w:val="16"/>
        </w:rPr>
        <w:t>merged</w:t>
      </w:r>
      <w:r w:rsidRPr="00155597">
        <w:rPr>
          <w:spacing w:val="-7"/>
          <w:sz w:val="16"/>
        </w:rPr>
        <w:t xml:space="preserve"> </w:t>
      </w:r>
      <w:r w:rsidRPr="00155597">
        <w:rPr>
          <w:spacing w:val="-2"/>
          <w:sz w:val="16"/>
        </w:rPr>
        <w:t>with</w:t>
      </w:r>
      <w:r w:rsidRPr="00155597">
        <w:rPr>
          <w:spacing w:val="-7"/>
          <w:sz w:val="16"/>
        </w:rPr>
        <w:t xml:space="preserve"> </w:t>
      </w:r>
      <w:r w:rsidRPr="00155597">
        <w:rPr>
          <w:spacing w:val="-2"/>
          <w:sz w:val="16"/>
        </w:rPr>
        <w:t>another</w:t>
      </w:r>
      <w:r w:rsidRPr="00155597">
        <w:rPr>
          <w:spacing w:val="-5"/>
          <w:sz w:val="16"/>
        </w:rPr>
        <w:t xml:space="preserve"> </w:t>
      </w:r>
      <w:r w:rsidRPr="00155597">
        <w:rPr>
          <w:spacing w:val="-2"/>
          <w:sz w:val="16"/>
        </w:rPr>
        <w:t>school</w:t>
      </w:r>
      <w:r w:rsidRPr="00155597">
        <w:rPr>
          <w:spacing w:val="-5"/>
          <w:sz w:val="16"/>
        </w:rPr>
        <w:t xml:space="preserve"> </w:t>
      </w:r>
      <w:r w:rsidRPr="00155597">
        <w:rPr>
          <w:spacing w:val="-1"/>
          <w:sz w:val="16"/>
        </w:rPr>
        <w:t>at</w:t>
      </w:r>
      <w:r w:rsidRPr="00155597">
        <w:rPr>
          <w:spacing w:val="-6"/>
          <w:sz w:val="16"/>
        </w:rPr>
        <w:t xml:space="preserve"> </w:t>
      </w:r>
      <w:r w:rsidRPr="00155597">
        <w:rPr>
          <w:sz w:val="16"/>
        </w:rPr>
        <w:t>a</w:t>
      </w:r>
      <w:r w:rsidRPr="00155597">
        <w:rPr>
          <w:spacing w:val="-7"/>
          <w:sz w:val="16"/>
        </w:rPr>
        <w:t xml:space="preserve"> </w:t>
      </w:r>
      <w:r w:rsidRPr="00155597">
        <w:rPr>
          <w:spacing w:val="-2"/>
          <w:sz w:val="16"/>
        </w:rPr>
        <w:t>new</w:t>
      </w:r>
      <w:r w:rsidRPr="00155597">
        <w:rPr>
          <w:spacing w:val="-10"/>
          <w:sz w:val="16"/>
        </w:rPr>
        <w:t xml:space="preserve"> </w:t>
      </w:r>
      <w:r w:rsidRPr="00155597">
        <w:rPr>
          <w:spacing w:val="-1"/>
          <w:sz w:val="16"/>
        </w:rPr>
        <w:t>location,</w:t>
      </w:r>
      <w:r w:rsidRPr="00155597">
        <w:rPr>
          <w:spacing w:val="-6"/>
          <w:sz w:val="16"/>
        </w:rPr>
        <w:t xml:space="preserve"> </w:t>
      </w:r>
      <w:r w:rsidRPr="00155597">
        <w:rPr>
          <w:spacing w:val="-2"/>
          <w:sz w:val="16"/>
        </w:rPr>
        <w:t>changed</w:t>
      </w:r>
      <w:r w:rsidRPr="00155597">
        <w:rPr>
          <w:spacing w:val="-7"/>
          <w:sz w:val="16"/>
        </w:rPr>
        <w:t xml:space="preserve"> </w:t>
      </w:r>
      <w:r w:rsidRPr="00155597">
        <w:rPr>
          <w:spacing w:val="-1"/>
          <w:sz w:val="16"/>
        </w:rPr>
        <w:t>from</w:t>
      </w:r>
      <w:r w:rsidRPr="00155597">
        <w:rPr>
          <w:spacing w:val="-5"/>
          <w:sz w:val="16"/>
        </w:rPr>
        <w:t xml:space="preserve"> </w:t>
      </w:r>
      <w:r w:rsidRPr="00155597">
        <w:rPr>
          <w:sz w:val="16"/>
        </w:rPr>
        <w:t>a</w:t>
      </w:r>
      <w:r w:rsidRPr="00155597">
        <w:rPr>
          <w:spacing w:val="-7"/>
          <w:sz w:val="16"/>
        </w:rPr>
        <w:t xml:space="preserve"> </w:t>
      </w:r>
      <w:r w:rsidRPr="00155597">
        <w:rPr>
          <w:spacing w:val="-2"/>
          <w:sz w:val="16"/>
        </w:rPr>
        <w:t>regular</w:t>
      </w:r>
      <w:r w:rsidRPr="00155597">
        <w:rPr>
          <w:spacing w:val="-7"/>
          <w:sz w:val="16"/>
        </w:rPr>
        <w:t xml:space="preserve"> </w:t>
      </w:r>
      <w:r w:rsidRPr="00155597">
        <w:rPr>
          <w:spacing w:val="-1"/>
          <w:sz w:val="16"/>
        </w:rPr>
        <w:t>public</w:t>
      </w:r>
      <w:r w:rsidRPr="00155597">
        <w:rPr>
          <w:spacing w:val="-5"/>
          <w:sz w:val="16"/>
        </w:rPr>
        <w:t xml:space="preserve"> </w:t>
      </w:r>
      <w:r w:rsidRPr="00155597">
        <w:rPr>
          <w:spacing w:val="-2"/>
          <w:sz w:val="16"/>
        </w:rPr>
        <w:t>school</w:t>
      </w:r>
      <w:r w:rsidRPr="00155597">
        <w:rPr>
          <w:spacing w:val="-4"/>
          <w:sz w:val="16"/>
        </w:rPr>
        <w:t xml:space="preserve"> </w:t>
      </w:r>
      <w:r w:rsidRPr="00155597">
        <w:rPr>
          <w:spacing w:val="-1"/>
          <w:sz w:val="16"/>
        </w:rPr>
        <w:t>to</w:t>
      </w:r>
      <w:r w:rsidRPr="00155597">
        <w:rPr>
          <w:spacing w:val="-6"/>
          <w:sz w:val="16"/>
        </w:rPr>
        <w:t xml:space="preserve"> </w:t>
      </w:r>
      <w:r w:rsidRPr="00155597">
        <w:rPr>
          <w:spacing w:val="-1"/>
          <w:sz w:val="16"/>
        </w:rPr>
        <w:t>an</w:t>
      </w:r>
      <w:r w:rsidRPr="00155597">
        <w:rPr>
          <w:spacing w:val="-6"/>
          <w:sz w:val="16"/>
        </w:rPr>
        <w:t xml:space="preserve"> </w:t>
      </w:r>
      <w:r w:rsidRPr="00155597">
        <w:rPr>
          <w:spacing w:val="-2"/>
          <w:sz w:val="16"/>
        </w:rPr>
        <w:t>alternative</w:t>
      </w:r>
      <w:r w:rsidRPr="00155597">
        <w:rPr>
          <w:spacing w:val="-5"/>
          <w:sz w:val="16"/>
        </w:rPr>
        <w:t xml:space="preserve"> </w:t>
      </w:r>
      <w:r w:rsidRPr="00155597">
        <w:rPr>
          <w:spacing w:val="-1"/>
          <w:sz w:val="16"/>
        </w:rPr>
        <w:t>school,</w:t>
      </w:r>
      <w:r w:rsidRPr="00155597">
        <w:rPr>
          <w:spacing w:val="-5"/>
          <w:sz w:val="16"/>
        </w:rPr>
        <w:t xml:space="preserve"> </w:t>
      </w:r>
      <w:r w:rsidRPr="00155597">
        <w:rPr>
          <w:spacing w:val="-1"/>
          <w:sz w:val="16"/>
        </w:rPr>
        <w:t>or</w:t>
      </w:r>
      <w:r w:rsidRPr="00155597">
        <w:rPr>
          <w:spacing w:val="-4"/>
          <w:sz w:val="16"/>
        </w:rPr>
        <w:t xml:space="preserve"> </w:t>
      </w:r>
      <w:r w:rsidRPr="00155597">
        <w:rPr>
          <w:spacing w:val="-1"/>
          <w:sz w:val="16"/>
        </w:rPr>
        <w:t>are</w:t>
      </w:r>
      <w:r w:rsidRPr="00155597">
        <w:rPr>
          <w:spacing w:val="-6"/>
          <w:sz w:val="16"/>
        </w:rPr>
        <w:t xml:space="preserve"> </w:t>
      </w:r>
      <w:r w:rsidRPr="00155597">
        <w:rPr>
          <w:spacing w:val="-2"/>
          <w:sz w:val="16"/>
        </w:rPr>
        <w:t>not</w:t>
      </w:r>
      <w:r w:rsidRPr="00155597">
        <w:rPr>
          <w:spacing w:val="-6"/>
          <w:sz w:val="16"/>
        </w:rPr>
        <w:t xml:space="preserve"> </w:t>
      </w:r>
      <w:r w:rsidRPr="00155597">
        <w:rPr>
          <w:sz w:val="16"/>
        </w:rPr>
        <w:t>a</w:t>
      </w:r>
      <w:r w:rsidRPr="00155597">
        <w:rPr>
          <w:spacing w:val="-6"/>
          <w:sz w:val="16"/>
        </w:rPr>
        <w:t xml:space="preserve"> </w:t>
      </w:r>
      <w:r w:rsidRPr="00155597">
        <w:rPr>
          <w:spacing w:val="-2"/>
          <w:sz w:val="16"/>
        </w:rPr>
        <w:t>school</w:t>
      </w:r>
      <w:r w:rsidRPr="00155597">
        <w:rPr>
          <w:spacing w:val="-4"/>
          <w:sz w:val="16"/>
        </w:rPr>
        <w:t xml:space="preserve"> </w:t>
      </w:r>
      <w:r w:rsidRPr="00155597">
        <w:rPr>
          <w:spacing w:val="-1"/>
          <w:sz w:val="16"/>
        </w:rPr>
        <w:t>("not</w:t>
      </w:r>
      <w:r w:rsidRPr="00155597">
        <w:rPr>
          <w:spacing w:val="-5"/>
          <w:sz w:val="16"/>
        </w:rPr>
        <w:t xml:space="preserve"> </w:t>
      </w:r>
      <w:r w:rsidRPr="00155597">
        <w:rPr>
          <w:sz w:val="16"/>
        </w:rPr>
        <w:t>a</w:t>
      </w:r>
      <w:r w:rsidRPr="00155597">
        <w:rPr>
          <w:spacing w:val="-7"/>
          <w:sz w:val="16"/>
        </w:rPr>
        <w:t xml:space="preserve"> </w:t>
      </w:r>
      <w:r w:rsidRPr="00155597">
        <w:rPr>
          <w:spacing w:val="-1"/>
          <w:sz w:val="16"/>
        </w:rPr>
        <w:t>school"</w:t>
      </w:r>
      <w:r w:rsidRPr="00155597">
        <w:rPr>
          <w:spacing w:val="-4"/>
          <w:sz w:val="16"/>
        </w:rPr>
        <w:t xml:space="preserve"> </w:t>
      </w:r>
      <w:r w:rsidRPr="00155597">
        <w:rPr>
          <w:spacing w:val="-2"/>
          <w:sz w:val="16"/>
        </w:rPr>
        <w:t>generally</w:t>
      </w:r>
      <w:r w:rsidRPr="00155597">
        <w:rPr>
          <w:spacing w:val="-9"/>
          <w:sz w:val="16"/>
        </w:rPr>
        <w:t xml:space="preserve"> </w:t>
      </w:r>
      <w:r w:rsidRPr="00155597">
        <w:rPr>
          <w:spacing w:val="-1"/>
          <w:sz w:val="16"/>
        </w:rPr>
        <w:t>refers</w:t>
      </w:r>
      <w:r w:rsidRPr="00155597">
        <w:rPr>
          <w:spacing w:val="-4"/>
          <w:sz w:val="16"/>
        </w:rPr>
        <w:t xml:space="preserve"> </w:t>
      </w:r>
      <w:r w:rsidRPr="00155597">
        <w:rPr>
          <w:spacing w:val="-1"/>
          <w:sz w:val="16"/>
        </w:rPr>
        <w:t>to</w:t>
      </w:r>
      <w:r w:rsidRPr="00155597">
        <w:rPr>
          <w:spacing w:val="-6"/>
          <w:sz w:val="16"/>
        </w:rPr>
        <w:t xml:space="preserve"> </w:t>
      </w:r>
      <w:r w:rsidRPr="00155597">
        <w:rPr>
          <w:sz w:val="16"/>
        </w:rPr>
        <w:t>a</w:t>
      </w:r>
      <w:r w:rsidRPr="00155597">
        <w:rPr>
          <w:spacing w:val="-6"/>
          <w:sz w:val="16"/>
        </w:rPr>
        <w:t xml:space="preserve"> </w:t>
      </w:r>
      <w:r w:rsidRPr="00155597">
        <w:rPr>
          <w:spacing w:val="-2"/>
          <w:sz w:val="16"/>
        </w:rPr>
        <w:t>school</w:t>
      </w:r>
      <w:r w:rsidRPr="00155597">
        <w:rPr>
          <w:spacing w:val="-5"/>
          <w:sz w:val="16"/>
        </w:rPr>
        <w:t xml:space="preserve"> </w:t>
      </w:r>
      <w:r w:rsidRPr="00155597">
        <w:rPr>
          <w:spacing w:val="-1"/>
          <w:sz w:val="16"/>
        </w:rPr>
        <w:t>record</w:t>
      </w:r>
      <w:r w:rsidRPr="00155597">
        <w:rPr>
          <w:spacing w:val="-6"/>
          <w:sz w:val="16"/>
        </w:rPr>
        <w:t xml:space="preserve"> </w:t>
      </w:r>
      <w:r w:rsidRPr="00155597">
        <w:rPr>
          <w:spacing w:val="-1"/>
          <w:sz w:val="16"/>
        </w:rPr>
        <w:t>for</w:t>
      </w:r>
      <w:r w:rsidRPr="00155597">
        <w:rPr>
          <w:spacing w:val="-4"/>
          <w:sz w:val="16"/>
        </w:rPr>
        <w:t xml:space="preserve"> </w:t>
      </w:r>
      <w:r w:rsidRPr="00155597">
        <w:rPr>
          <w:spacing w:val="-2"/>
          <w:sz w:val="16"/>
        </w:rPr>
        <w:t>an</w:t>
      </w:r>
      <w:r w:rsidRPr="00155597">
        <w:rPr>
          <w:spacing w:val="-7"/>
          <w:sz w:val="16"/>
        </w:rPr>
        <w:t xml:space="preserve"> </w:t>
      </w:r>
      <w:r w:rsidRPr="00155597">
        <w:rPr>
          <w:spacing w:val="-2"/>
          <w:sz w:val="16"/>
        </w:rPr>
        <w:t>organization</w:t>
      </w:r>
      <w:r w:rsidRPr="00155597">
        <w:rPr>
          <w:spacing w:val="-8"/>
          <w:sz w:val="16"/>
        </w:rPr>
        <w:t xml:space="preserve"> </w:t>
      </w:r>
      <w:r w:rsidRPr="00155597">
        <w:rPr>
          <w:spacing w:val="-2"/>
          <w:sz w:val="16"/>
        </w:rPr>
        <w:t>that</w:t>
      </w:r>
      <w:r w:rsidRPr="00155597">
        <w:rPr>
          <w:spacing w:val="-6"/>
          <w:sz w:val="16"/>
        </w:rPr>
        <w:t xml:space="preserve"> </w:t>
      </w:r>
      <w:r w:rsidRPr="00155597">
        <w:rPr>
          <w:spacing w:val="-2"/>
          <w:sz w:val="16"/>
        </w:rPr>
        <w:t>does</w:t>
      </w:r>
      <w:r w:rsidRPr="00155597">
        <w:rPr>
          <w:spacing w:val="-5"/>
          <w:sz w:val="16"/>
        </w:rPr>
        <w:t xml:space="preserve"> </w:t>
      </w:r>
      <w:r w:rsidRPr="00155597">
        <w:rPr>
          <w:spacing w:val="-2"/>
          <w:sz w:val="16"/>
        </w:rPr>
        <w:t>not</w:t>
      </w:r>
      <w:r w:rsidRPr="00155597">
        <w:rPr>
          <w:spacing w:val="-6"/>
          <w:sz w:val="16"/>
        </w:rPr>
        <w:t xml:space="preserve"> </w:t>
      </w:r>
      <w:r w:rsidRPr="00155597">
        <w:rPr>
          <w:spacing w:val="-1"/>
          <w:sz w:val="16"/>
        </w:rPr>
        <w:t>provide</w:t>
      </w:r>
      <w:r w:rsidRPr="00155597">
        <w:rPr>
          <w:spacing w:val="-7"/>
          <w:sz w:val="16"/>
        </w:rPr>
        <w:t xml:space="preserve"> </w:t>
      </w:r>
      <w:r w:rsidRPr="00155597">
        <w:rPr>
          <w:spacing w:val="-2"/>
          <w:sz w:val="16"/>
        </w:rPr>
        <w:t>any</w:t>
      </w:r>
      <w:r w:rsidRPr="00155597">
        <w:rPr>
          <w:spacing w:val="-10"/>
          <w:sz w:val="16"/>
        </w:rPr>
        <w:t xml:space="preserve"> </w:t>
      </w:r>
      <w:r w:rsidRPr="00155597">
        <w:rPr>
          <w:spacing w:val="-1"/>
          <w:sz w:val="16"/>
        </w:rPr>
        <w:t>classroom</w:t>
      </w:r>
      <w:r w:rsidRPr="00155597">
        <w:rPr>
          <w:spacing w:val="-5"/>
          <w:sz w:val="16"/>
        </w:rPr>
        <w:t xml:space="preserve"> </w:t>
      </w:r>
      <w:r w:rsidRPr="00155597">
        <w:rPr>
          <w:spacing w:val="-1"/>
          <w:sz w:val="16"/>
        </w:rPr>
        <w:t>instruction</w:t>
      </w:r>
      <w:r w:rsidRPr="00155597">
        <w:rPr>
          <w:spacing w:val="-7"/>
          <w:sz w:val="16"/>
        </w:rPr>
        <w:t xml:space="preserve"> </w:t>
      </w:r>
      <w:r w:rsidRPr="00155597">
        <w:rPr>
          <w:spacing w:val="-1"/>
          <w:sz w:val="16"/>
        </w:rPr>
        <w:t>(e.g.,</w:t>
      </w:r>
      <w:r w:rsidRPr="00155597">
        <w:rPr>
          <w:spacing w:val="-6"/>
          <w:sz w:val="16"/>
        </w:rPr>
        <w:t xml:space="preserve"> </w:t>
      </w:r>
      <w:r w:rsidRPr="00155597">
        <w:rPr>
          <w:spacing w:val="-1"/>
          <w:sz w:val="16"/>
        </w:rPr>
        <w:t>an</w:t>
      </w:r>
      <w:r w:rsidRPr="00155597">
        <w:rPr>
          <w:spacing w:val="-7"/>
          <w:sz w:val="16"/>
        </w:rPr>
        <w:t xml:space="preserve"> </w:t>
      </w:r>
      <w:r w:rsidRPr="00155597">
        <w:rPr>
          <w:spacing w:val="-1"/>
          <w:sz w:val="16"/>
        </w:rPr>
        <w:t>office</w:t>
      </w:r>
      <w:r w:rsidRPr="00155597">
        <w:rPr>
          <w:spacing w:val="-5"/>
          <w:sz w:val="16"/>
        </w:rPr>
        <w:t xml:space="preserve"> </w:t>
      </w:r>
      <w:r w:rsidRPr="00155597">
        <w:rPr>
          <w:spacing w:val="-2"/>
          <w:sz w:val="16"/>
        </w:rPr>
        <w:t>overseeing</w:t>
      </w:r>
      <w:r w:rsidRPr="00155597">
        <w:rPr>
          <w:spacing w:val="-8"/>
          <w:sz w:val="16"/>
        </w:rPr>
        <w:t xml:space="preserve"> </w:t>
      </w:r>
      <w:r w:rsidRPr="00155597">
        <w:rPr>
          <w:sz w:val="16"/>
        </w:rPr>
        <w:t>a</w:t>
      </w:r>
      <w:r w:rsidRPr="00155597">
        <w:rPr>
          <w:spacing w:val="-7"/>
          <w:sz w:val="16"/>
        </w:rPr>
        <w:t xml:space="preserve"> </w:t>
      </w:r>
      <w:r w:rsidRPr="00155597">
        <w:rPr>
          <w:spacing w:val="-1"/>
          <w:sz w:val="16"/>
        </w:rPr>
        <w:t>certain</w:t>
      </w:r>
      <w:r w:rsidRPr="00155597">
        <w:rPr>
          <w:spacing w:val="-7"/>
          <w:sz w:val="16"/>
        </w:rPr>
        <w:t xml:space="preserve"> </w:t>
      </w:r>
      <w:r w:rsidRPr="00155597">
        <w:rPr>
          <w:spacing w:val="-2"/>
          <w:sz w:val="16"/>
        </w:rPr>
        <w:t>type</w:t>
      </w:r>
      <w:r w:rsidRPr="00155597">
        <w:rPr>
          <w:spacing w:val="-7"/>
          <w:sz w:val="16"/>
        </w:rPr>
        <w:t xml:space="preserve"> </w:t>
      </w:r>
      <w:r w:rsidRPr="00155597">
        <w:rPr>
          <w:spacing w:val="-1"/>
          <w:sz w:val="16"/>
        </w:rPr>
        <w:t>of</w:t>
      </w:r>
      <w:r w:rsidRPr="00155597">
        <w:rPr>
          <w:spacing w:val="-4"/>
          <w:sz w:val="16"/>
        </w:rPr>
        <w:t xml:space="preserve"> </w:t>
      </w:r>
      <w:r w:rsidRPr="00155597">
        <w:rPr>
          <w:spacing w:val="-2"/>
          <w:sz w:val="16"/>
        </w:rPr>
        <w:t>program</w:t>
      </w:r>
      <w:r w:rsidRPr="00155597">
        <w:rPr>
          <w:spacing w:val="-5"/>
          <w:sz w:val="16"/>
        </w:rPr>
        <w:t xml:space="preserve"> </w:t>
      </w:r>
      <w:r w:rsidRPr="00155597">
        <w:rPr>
          <w:spacing w:val="-1"/>
          <w:sz w:val="16"/>
        </w:rPr>
        <w:t>or</w:t>
      </w:r>
      <w:r w:rsidRPr="00155597">
        <w:rPr>
          <w:spacing w:val="-5"/>
          <w:sz w:val="16"/>
        </w:rPr>
        <w:t xml:space="preserve"> </w:t>
      </w:r>
      <w:r w:rsidRPr="00155597">
        <w:rPr>
          <w:spacing w:val="-1"/>
          <w:sz w:val="16"/>
        </w:rPr>
        <w:t>offering</w:t>
      </w:r>
      <w:r w:rsidRPr="00155597">
        <w:rPr>
          <w:spacing w:val="-7"/>
          <w:sz w:val="16"/>
        </w:rPr>
        <w:t xml:space="preserve"> </w:t>
      </w:r>
      <w:r w:rsidRPr="00155597">
        <w:rPr>
          <w:spacing w:val="-1"/>
          <w:sz w:val="16"/>
        </w:rPr>
        <w:t>tutoring</w:t>
      </w:r>
      <w:r w:rsidRPr="00155597">
        <w:rPr>
          <w:spacing w:val="-11"/>
          <w:sz w:val="16"/>
        </w:rPr>
        <w:t xml:space="preserve"> </w:t>
      </w:r>
      <w:r w:rsidRPr="00155597">
        <w:rPr>
          <w:spacing w:val="-1"/>
          <w:sz w:val="16"/>
        </w:rPr>
        <w:t>services</w:t>
      </w:r>
      <w:r w:rsidRPr="00155597">
        <w:rPr>
          <w:spacing w:val="-8"/>
          <w:sz w:val="16"/>
        </w:rPr>
        <w:t xml:space="preserve"> </w:t>
      </w:r>
      <w:r w:rsidRPr="00155597">
        <w:rPr>
          <w:spacing w:val="-2"/>
          <w:sz w:val="16"/>
        </w:rPr>
        <w:t>only)).</w:t>
      </w:r>
    </w:p>
    <w:p w14:paraId="67CB2EF8" w14:textId="1338D87F" w:rsidR="0064551D" w:rsidRPr="00155597" w:rsidRDefault="0064551D" w:rsidP="00D671F8">
      <w:pPr>
        <w:keepNext/>
        <w:spacing w:line="187" w:lineRule="exact"/>
        <w:ind w:left="141" w:right="684" w:hanging="8"/>
        <w:rPr>
          <w:spacing w:val="97"/>
          <w:w w:val="99"/>
          <w:sz w:val="16"/>
        </w:rPr>
      </w:pPr>
      <w:r w:rsidRPr="00155597">
        <w:rPr>
          <w:spacing w:val="-2"/>
          <w:sz w:val="20"/>
          <w:szCs w:val="20"/>
          <w:vertAlign w:val="superscript"/>
        </w:rPr>
        <w:t>4</w:t>
      </w:r>
      <w:r w:rsidRPr="00155597">
        <w:rPr>
          <w:spacing w:val="-1"/>
          <w:sz w:val="16"/>
        </w:rPr>
        <w:t>The</w:t>
      </w:r>
      <w:r w:rsidRPr="00155597">
        <w:rPr>
          <w:spacing w:val="-7"/>
          <w:sz w:val="16"/>
        </w:rPr>
        <w:t xml:space="preserve"> </w:t>
      </w:r>
      <w:r w:rsidRPr="00155597">
        <w:rPr>
          <w:spacing w:val="-2"/>
          <w:sz w:val="16"/>
        </w:rPr>
        <w:t>unweighted</w:t>
      </w:r>
      <w:r w:rsidRPr="00155597">
        <w:rPr>
          <w:spacing w:val="-6"/>
          <w:sz w:val="16"/>
        </w:rPr>
        <w:t xml:space="preserve"> </w:t>
      </w:r>
      <w:r w:rsidRPr="00155597">
        <w:rPr>
          <w:spacing w:val="-2"/>
          <w:sz w:val="16"/>
        </w:rPr>
        <w:t>response</w:t>
      </w:r>
      <w:r w:rsidRPr="00155597">
        <w:rPr>
          <w:spacing w:val="-5"/>
          <w:sz w:val="16"/>
        </w:rPr>
        <w:t xml:space="preserve"> </w:t>
      </w:r>
      <w:r w:rsidRPr="00155597">
        <w:rPr>
          <w:spacing w:val="-1"/>
          <w:sz w:val="16"/>
        </w:rPr>
        <w:t>rate</w:t>
      </w:r>
      <w:r w:rsidRPr="00155597">
        <w:rPr>
          <w:spacing w:val="-7"/>
          <w:sz w:val="16"/>
        </w:rPr>
        <w:t xml:space="preserve"> </w:t>
      </w:r>
      <w:r w:rsidRPr="00155597">
        <w:rPr>
          <w:sz w:val="16"/>
        </w:rPr>
        <w:t>is</w:t>
      </w:r>
      <w:r w:rsidRPr="00155597">
        <w:rPr>
          <w:spacing w:val="-4"/>
          <w:sz w:val="16"/>
        </w:rPr>
        <w:t xml:space="preserve"> </w:t>
      </w:r>
      <w:r w:rsidRPr="00155597">
        <w:rPr>
          <w:spacing w:val="-2"/>
          <w:sz w:val="16"/>
        </w:rPr>
        <w:t>calculated</w:t>
      </w:r>
      <w:r w:rsidRPr="00155597">
        <w:rPr>
          <w:spacing w:val="-7"/>
          <w:sz w:val="16"/>
        </w:rPr>
        <w:t xml:space="preserve"> </w:t>
      </w:r>
      <w:r w:rsidRPr="00155597">
        <w:rPr>
          <w:spacing w:val="-1"/>
          <w:sz w:val="16"/>
        </w:rPr>
        <w:t>as</w:t>
      </w:r>
      <w:r w:rsidRPr="00155597">
        <w:rPr>
          <w:spacing w:val="-4"/>
          <w:sz w:val="16"/>
        </w:rPr>
        <w:t xml:space="preserve"> </w:t>
      </w:r>
      <w:r w:rsidRPr="00155597">
        <w:rPr>
          <w:spacing w:val="-1"/>
          <w:sz w:val="16"/>
        </w:rPr>
        <w:t>the</w:t>
      </w:r>
      <w:r w:rsidRPr="00155597">
        <w:rPr>
          <w:spacing w:val="-7"/>
          <w:sz w:val="16"/>
        </w:rPr>
        <w:t xml:space="preserve"> </w:t>
      </w:r>
      <w:r w:rsidRPr="00155597">
        <w:rPr>
          <w:spacing w:val="-2"/>
          <w:sz w:val="16"/>
        </w:rPr>
        <w:t>following</w:t>
      </w:r>
      <w:r w:rsidRPr="00155597">
        <w:rPr>
          <w:spacing w:val="-6"/>
          <w:sz w:val="16"/>
        </w:rPr>
        <w:t xml:space="preserve"> </w:t>
      </w:r>
      <w:r w:rsidRPr="00155597">
        <w:rPr>
          <w:spacing w:val="-1"/>
          <w:sz w:val="16"/>
        </w:rPr>
        <w:t>ratio:</w:t>
      </w:r>
      <w:r w:rsidRPr="00155597">
        <w:rPr>
          <w:spacing w:val="-6"/>
          <w:sz w:val="16"/>
        </w:rPr>
        <w:t xml:space="preserve"> </w:t>
      </w:r>
      <w:r w:rsidRPr="00155597">
        <w:rPr>
          <w:spacing w:val="-2"/>
          <w:sz w:val="16"/>
        </w:rPr>
        <w:t>completed</w:t>
      </w:r>
      <w:r w:rsidRPr="00155597">
        <w:rPr>
          <w:spacing w:val="-6"/>
          <w:sz w:val="16"/>
        </w:rPr>
        <w:t xml:space="preserve"> </w:t>
      </w:r>
      <w:r w:rsidRPr="00155597">
        <w:rPr>
          <w:spacing w:val="-2"/>
          <w:sz w:val="16"/>
        </w:rPr>
        <w:t>cases</w:t>
      </w:r>
      <w:r w:rsidRPr="00155597">
        <w:rPr>
          <w:spacing w:val="-5"/>
          <w:sz w:val="16"/>
        </w:rPr>
        <w:t xml:space="preserve"> </w:t>
      </w:r>
      <w:r w:rsidRPr="00155597">
        <w:rPr>
          <w:sz w:val="16"/>
        </w:rPr>
        <w:t>/</w:t>
      </w:r>
      <w:r w:rsidRPr="00155597">
        <w:rPr>
          <w:spacing w:val="-6"/>
          <w:sz w:val="16"/>
        </w:rPr>
        <w:t xml:space="preserve"> </w:t>
      </w:r>
      <w:r w:rsidRPr="00155597">
        <w:rPr>
          <w:spacing w:val="-1"/>
          <w:sz w:val="16"/>
        </w:rPr>
        <w:t>(total</w:t>
      </w:r>
      <w:r w:rsidRPr="00155597">
        <w:rPr>
          <w:spacing w:val="-4"/>
          <w:sz w:val="16"/>
        </w:rPr>
        <w:t xml:space="preserve"> </w:t>
      </w:r>
      <w:r w:rsidRPr="00155597">
        <w:rPr>
          <w:spacing w:val="-1"/>
          <w:sz w:val="16"/>
        </w:rPr>
        <w:t>sample</w:t>
      </w:r>
      <w:r w:rsidRPr="00155597">
        <w:rPr>
          <w:spacing w:val="-7"/>
          <w:sz w:val="16"/>
        </w:rPr>
        <w:t xml:space="preserve"> </w:t>
      </w:r>
      <w:r w:rsidR="000B2A27" w:rsidRPr="00155597">
        <w:rPr>
          <w:rFonts w:eastAsia="Arial"/>
          <w:spacing w:val="-2"/>
          <w:sz w:val="16"/>
        </w:rPr>
        <w:t>–</w:t>
      </w:r>
      <w:r w:rsidRPr="00155597">
        <w:rPr>
          <w:spacing w:val="-4"/>
          <w:sz w:val="16"/>
        </w:rPr>
        <w:t xml:space="preserve"> </w:t>
      </w:r>
      <w:r w:rsidRPr="00155597">
        <w:rPr>
          <w:spacing w:val="-2"/>
          <w:sz w:val="16"/>
        </w:rPr>
        <w:t>known</w:t>
      </w:r>
      <w:r w:rsidRPr="00155597">
        <w:rPr>
          <w:spacing w:val="-7"/>
          <w:sz w:val="16"/>
        </w:rPr>
        <w:t xml:space="preserve"> </w:t>
      </w:r>
      <w:r w:rsidRPr="00155597">
        <w:rPr>
          <w:spacing w:val="-1"/>
          <w:sz w:val="16"/>
        </w:rPr>
        <w:t>ineligibles).</w:t>
      </w:r>
    </w:p>
    <w:p w14:paraId="1F0BB1CA" w14:textId="77777777" w:rsidR="004030F4" w:rsidRPr="00155597" w:rsidRDefault="0064551D" w:rsidP="00D671F8">
      <w:pPr>
        <w:keepNext/>
        <w:spacing w:line="187" w:lineRule="exact"/>
        <w:ind w:left="141" w:right="684" w:hanging="8"/>
        <w:rPr>
          <w:spacing w:val="-1"/>
          <w:sz w:val="16"/>
        </w:rPr>
      </w:pPr>
      <w:r w:rsidRPr="00155597">
        <w:rPr>
          <w:spacing w:val="-2"/>
          <w:sz w:val="20"/>
          <w:szCs w:val="20"/>
          <w:vertAlign w:val="superscript"/>
        </w:rPr>
        <w:t>5</w:t>
      </w:r>
      <w:r w:rsidRPr="00155597">
        <w:rPr>
          <w:spacing w:val="-1"/>
          <w:sz w:val="16"/>
        </w:rPr>
        <w:t>The</w:t>
      </w:r>
      <w:r w:rsidRPr="00155597">
        <w:rPr>
          <w:spacing w:val="-7"/>
          <w:sz w:val="16"/>
        </w:rPr>
        <w:t xml:space="preserve"> </w:t>
      </w:r>
      <w:r w:rsidRPr="00155597">
        <w:rPr>
          <w:spacing w:val="-2"/>
          <w:sz w:val="16"/>
        </w:rPr>
        <w:t>weighted</w:t>
      </w:r>
      <w:r w:rsidR="00F37B44" w:rsidRPr="00155597">
        <w:rPr>
          <w:spacing w:val="-2"/>
          <w:sz w:val="16"/>
        </w:rPr>
        <w:t xml:space="preserve"> </w:t>
      </w:r>
      <w:r w:rsidRPr="00155597">
        <w:rPr>
          <w:spacing w:val="-2"/>
          <w:sz w:val="16"/>
        </w:rPr>
        <w:t>response</w:t>
      </w:r>
      <w:r w:rsidRPr="00155597">
        <w:rPr>
          <w:spacing w:val="-4"/>
          <w:sz w:val="16"/>
        </w:rPr>
        <w:t xml:space="preserve"> </w:t>
      </w:r>
      <w:r w:rsidRPr="00155597">
        <w:rPr>
          <w:spacing w:val="-1"/>
          <w:sz w:val="16"/>
        </w:rPr>
        <w:t>rate</w:t>
      </w:r>
      <w:r w:rsidRPr="00155597">
        <w:rPr>
          <w:spacing w:val="-6"/>
          <w:sz w:val="16"/>
        </w:rPr>
        <w:t xml:space="preserve"> </w:t>
      </w:r>
      <w:r w:rsidRPr="00155597">
        <w:rPr>
          <w:sz w:val="16"/>
        </w:rPr>
        <w:t>is</w:t>
      </w:r>
      <w:r w:rsidRPr="00155597">
        <w:rPr>
          <w:spacing w:val="-5"/>
          <w:sz w:val="16"/>
        </w:rPr>
        <w:t xml:space="preserve"> </w:t>
      </w:r>
      <w:r w:rsidRPr="00155597">
        <w:rPr>
          <w:spacing w:val="-2"/>
          <w:sz w:val="16"/>
        </w:rPr>
        <w:t>calculated</w:t>
      </w:r>
      <w:r w:rsidRPr="00155597">
        <w:rPr>
          <w:spacing w:val="-6"/>
          <w:sz w:val="16"/>
        </w:rPr>
        <w:t xml:space="preserve"> </w:t>
      </w:r>
      <w:r w:rsidRPr="00155597">
        <w:rPr>
          <w:spacing w:val="-1"/>
          <w:sz w:val="16"/>
        </w:rPr>
        <w:t>by</w:t>
      </w:r>
      <w:r w:rsidRPr="00155597">
        <w:rPr>
          <w:spacing w:val="-9"/>
          <w:sz w:val="16"/>
        </w:rPr>
        <w:t xml:space="preserve"> </w:t>
      </w:r>
      <w:r w:rsidRPr="00155597">
        <w:rPr>
          <w:spacing w:val="-2"/>
          <w:sz w:val="16"/>
        </w:rPr>
        <w:t>applying</w:t>
      </w:r>
      <w:r w:rsidRPr="00155597">
        <w:rPr>
          <w:spacing w:val="-6"/>
          <w:sz w:val="16"/>
        </w:rPr>
        <w:t xml:space="preserve"> </w:t>
      </w:r>
      <w:r w:rsidRPr="00155597">
        <w:rPr>
          <w:spacing w:val="-1"/>
          <w:sz w:val="16"/>
        </w:rPr>
        <w:t>the</w:t>
      </w:r>
      <w:r w:rsidRPr="00155597">
        <w:rPr>
          <w:spacing w:val="-6"/>
          <w:sz w:val="16"/>
        </w:rPr>
        <w:t xml:space="preserve"> </w:t>
      </w:r>
      <w:r w:rsidRPr="00155597">
        <w:rPr>
          <w:spacing w:val="-2"/>
          <w:sz w:val="16"/>
        </w:rPr>
        <w:t>base</w:t>
      </w:r>
      <w:r w:rsidRPr="00155597">
        <w:rPr>
          <w:spacing w:val="-4"/>
          <w:sz w:val="16"/>
        </w:rPr>
        <w:t xml:space="preserve"> </w:t>
      </w:r>
      <w:r w:rsidRPr="00155597">
        <w:rPr>
          <w:spacing w:val="-1"/>
          <w:sz w:val="16"/>
        </w:rPr>
        <w:t>sampling</w:t>
      </w:r>
      <w:r w:rsidRPr="00155597">
        <w:rPr>
          <w:spacing w:val="-7"/>
          <w:sz w:val="16"/>
        </w:rPr>
        <w:t xml:space="preserve"> </w:t>
      </w:r>
      <w:r w:rsidRPr="00155597">
        <w:rPr>
          <w:spacing w:val="-1"/>
          <w:sz w:val="16"/>
        </w:rPr>
        <w:t>rates</w:t>
      </w:r>
      <w:r w:rsidRPr="00155597">
        <w:rPr>
          <w:spacing w:val="-4"/>
          <w:sz w:val="16"/>
        </w:rPr>
        <w:t xml:space="preserve"> </w:t>
      </w:r>
      <w:r w:rsidRPr="00155597">
        <w:rPr>
          <w:spacing w:val="-1"/>
          <w:sz w:val="16"/>
        </w:rPr>
        <w:t>to</w:t>
      </w:r>
      <w:r w:rsidRPr="00155597">
        <w:rPr>
          <w:spacing w:val="-6"/>
          <w:sz w:val="16"/>
        </w:rPr>
        <w:t xml:space="preserve"> </w:t>
      </w:r>
      <w:r w:rsidRPr="00155597">
        <w:rPr>
          <w:spacing w:val="-1"/>
          <w:sz w:val="16"/>
        </w:rPr>
        <w:t>the</w:t>
      </w:r>
      <w:r w:rsidRPr="00155597">
        <w:rPr>
          <w:spacing w:val="-6"/>
          <w:sz w:val="16"/>
        </w:rPr>
        <w:t xml:space="preserve"> </w:t>
      </w:r>
      <w:r w:rsidRPr="00155597">
        <w:rPr>
          <w:spacing w:val="-2"/>
          <w:sz w:val="16"/>
        </w:rPr>
        <w:t>following</w:t>
      </w:r>
      <w:r w:rsidRPr="00155597">
        <w:rPr>
          <w:spacing w:val="-6"/>
          <w:sz w:val="16"/>
        </w:rPr>
        <w:t xml:space="preserve"> </w:t>
      </w:r>
      <w:r w:rsidRPr="00155597">
        <w:rPr>
          <w:spacing w:val="-1"/>
          <w:sz w:val="16"/>
        </w:rPr>
        <w:t>ratio:</w:t>
      </w:r>
      <w:r w:rsidRPr="00155597">
        <w:rPr>
          <w:spacing w:val="-6"/>
          <w:sz w:val="16"/>
        </w:rPr>
        <w:t xml:space="preserve"> </w:t>
      </w:r>
      <w:r w:rsidRPr="00155597">
        <w:rPr>
          <w:spacing w:val="-2"/>
          <w:sz w:val="16"/>
        </w:rPr>
        <w:t>completed</w:t>
      </w:r>
      <w:r w:rsidRPr="00155597">
        <w:rPr>
          <w:spacing w:val="-6"/>
          <w:sz w:val="16"/>
        </w:rPr>
        <w:t xml:space="preserve"> </w:t>
      </w:r>
      <w:r w:rsidRPr="00155597">
        <w:rPr>
          <w:spacing w:val="-2"/>
          <w:sz w:val="16"/>
        </w:rPr>
        <w:t>cases</w:t>
      </w:r>
      <w:r w:rsidRPr="00155597">
        <w:rPr>
          <w:spacing w:val="-4"/>
          <w:sz w:val="16"/>
        </w:rPr>
        <w:t xml:space="preserve"> </w:t>
      </w:r>
      <w:r w:rsidRPr="00155597">
        <w:rPr>
          <w:sz w:val="16"/>
        </w:rPr>
        <w:t>/</w:t>
      </w:r>
      <w:r w:rsidRPr="00155597">
        <w:rPr>
          <w:spacing w:val="-6"/>
          <w:sz w:val="16"/>
        </w:rPr>
        <w:t xml:space="preserve"> </w:t>
      </w:r>
      <w:r w:rsidRPr="00155597">
        <w:rPr>
          <w:spacing w:val="-1"/>
          <w:sz w:val="16"/>
        </w:rPr>
        <w:t>(total</w:t>
      </w:r>
      <w:r w:rsidRPr="00155597">
        <w:rPr>
          <w:spacing w:val="-7"/>
          <w:sz w:val="16"/>
        </w:rPr>
        <w:t xml:space="preserve"> </w:t>
      </w:r>
      <w:r w:rsidRPr="00155597">
        <w:rPr>
          <w:spacing w:val="-1"/>
          <w:sz w:val="16"/>
        </w:rPr>
        <w:t>sample</w:t>
      </w:r>
      <w:r w:rsidRPr="00155597">
        <w:rPr>
          <w:spacing w:val="-8"/>
          <w:sz w:val="16"/>
        </w:rPr>
        <w:t xml:space="preserve"> </w:t>
      </w:r>
      <w:r w:rsidR="000B2A27" w:rsidRPr="00155597">
        <w:rPr>
          <w:rFonts w:eastAsia="Arial"/>
          <w:spacing w:val="-2"/>
          <w:sz w:val="16"/>
        </w:rPr>
        <w:t>–</w:t>
      </w:r>
      <w:r w:rsidRPr="00155597">
        <w:rPr>
          <w:spacing w:val="-6"/>
          <w:sz w:val="16"/>
        </w:rPr>
        <w:t xml:space="preserve"> </w:t>
      </w:r>
      <w:r w:rsidRPr="00155597">
        <w:rPr>
          <w:spacing w:val="-2"/>
          <w:sz w:val="16"/>
        </w:rPr>
        <w:t>known</w:t>
      </w:r>
      <w:r w:rsidRPr="00155597">
        <w:rPr>
          <w:spacing w:val="-8"/>
          <w:sz w:val="16"/>
        </w:rPr>
        <w:t xml:space="preserve"> </w:t>
      </w:r>
      <w:r w:rsidRPr="00155597">
        <w:rPr>
          <w:spacing w:val="-1"/>
          <w:sz w:val="16"/>
        </w:rPr>
        <w:t>ineligibles).</w:t>
      </w:r>
    </w:p>
    <w:p w14:paraId="3B9288C1" w14:textId="338F6468" w:rsidR="0064551D" w:rsidRPr="00155597" w:rsidRDefault="0064551D" w:rsidP="00D671F8">
      <w:pPr>
        <w:keepNext/>
        <w:spacing w:line="187" w:lineRule="exact"/>
        <w:ind w:left="141" w:right="684" w:hanging="8"/>
        <w:rPr>
          <w:rFonts w:eastAsia="Arial"/>
          <w:sz w:val="16"/>
        </w:rPr>
      </w:pPr>
      <w:r w:rsidRPr="00155597">
        <w:rPr>
          <w:spacing w:val="-2"/>
          <w:sz w:val="20"/>
          <w:szCs w:val="20"/>
          <w:vertAlign w:val="superscript"/>
        </w:rPr>
        <w:t>6</w:t>
      </w:r>
      <w:r w:rsidRPr="00155597">
        <w:rPr>
          <w:rFonts w:eastAsia="Arial"/>
          <w:spacing w:val="-1"/>
          <w:sz w:val="16"/>
        </w:rPr>
        <w:t>Primary</w:t>
      </w:r>
      <w:r w:rsidRPr="00155597">
        <w:rPr>
          <w:rFonts w:eastAsia="Arial"/>
          <w:spacing w:val="-9"/>
          <w:sz w:val="16"/>
        </w:rPr>
        <w:t xml:space="preserve"> </w:t>
      </w:r>
      <w:r w:rsidRPr="00155597">
        <w:rPr>
          <w:spacing w:val="-1"/>
          <w:sz w:val="16"/>
        </w:rPr>
        <w:t>schools</w:t>
      </w:r>
      <w:r w:rsidRPr="00155597">
        <w:rPr>
          <w:rFonts w:eastAsia="Arial"/>
          <w:spacing w:val="-5"/>
          <w:sz w:val="16"/>
        </w:rPr>
        <w:t xml:space="preserve"> </w:t>
      </w:r>
      <w:r w:rsidRPr="00155597">
        <w:rPr>
          <w:rFonts w:eastAsia="Arial"/>
          <w:spacing w:val="-1"/>
          <w:sz w:val="16"/>
        </w:rPr>
        <w:t>are</w:t>
      </w:r>
      <w:r w:rsidRPr="00155597">
        <w:rPr>
          <w:rFonts w:eastAsia="Arial"/>
          <w:spacing w:val="-6"/>
          <w:sz w:val="16"/>
        </w:rPr>
        <w:t xml:space="preserve"> </w:t>
      </w:r>
      <w:r w:rsidRPr="00155597">
        <w:rPr>
          <w:rFonts w:eastAsia="Arial"/>
          <w:spacing w:val="-1"/>
          <w:sz w:val="16"/>
        </w:rPr>
        <w:t>defined</w:t>
      </w:r>
      <w:r w:rsidRPr="00155597">
        <w:rPr>
          <w:rFonts w:eastAsia="Arial"/>
          <w:spacing w:val="-6"/>
          <w:sz w:val="16"/>
        </w:rPr>
        <w:t xml:space="preserve"> </w:t>
      </w:r>
      <w:r w:rsidRPr="00155597">
        <w:rPr>
          <w:rFonts w:eastAsia="Arial"/>
          <w:spacing w:val="-1"/>
          <w:sz w:val="16"/>
        </w:rPr>
        <w:t>as</w:t>
      </w:r>
      <w:r w:rsidRPr="00155597">
        <w:rPr>
          <w:rFonts w:eastAsia="Arial"/>
          <w:spacing w:val="-5"/>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z w:val="16"/>
        </w:rPr>
        <w:t>in</w:t>
      </w:r>
      <w:r w:rsidRPr="00155597">
        <w:rPr>
          <w:rFonts w:eastAsia="Arial"/>
          <w:spacing w:val="-6"/>
          <w:sz w:val="16"/>
        </w:rPr>
        <w:t xml:space="preserve"> </w:t>
      </w:r>
      <w:r w:rsidRPr="00155597">
        <w:rPr>
          <w:rFonts w:eastAsia="Arial"/>
          <w:spacing w:val="-2"/>
          <w:sz w:val="16"/>
        </w:rPr>
        <w:t>which</w:t>
      </w:r>
      <w:r w:rsidRPr="00155597">
        <w:rPr>
          <w:rFonts w:eastAsia="Arial"/>
          <w:spacing w:val="-4"/>
          <w:sz w:val="16"/>
        </w:rPr>
        <w:t xml:space="preserve"> </w:t>
      </w:r>
      <w:r w:rsidRPr="00155597">
        <w:rPr>
          <w:rFonts w:eastAsia="Arial"/>
          <w:spacing w:val="-1"/>
          <w:sz w:val="16"/>
        </w:rPr>
        <w:t>the</w:t>
      </w:r>
      <w:r w:rsidRPr="00155597">
        <w:rPr>
          <w:rFonts w:eastAsia="Arial"/>
          <w:spacing w:val="-7"/>
          <w:sz w:val="16"/>
        </w:rPr>
        <w:t xml:space="preserve"> </w:t>
      </w:r>
      <w:r w:rsidRPr="00155597">
        <w:rPr>
          <w:rFonts w:eastAsia="Arial"/>
          <w:spacing w:val="-2"/>
          <w:sz w:val="16"/>
        </w:rPr>
        <w:t>lowest</w:t>
      </w:r>
      <w:r w:rsidRPr="00155597">
        <w:rPr>
          <w:rFonts w:eastAsia="Arial"/>
          <w:spacing w:val="-4"/>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5"/>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higher</w:t>
      </w:r>
      <w:r w:rsidRPr="00155597">
        <w:rPr>
          <w:rFonts w:eastAsia="Arial"/>
          <w:spacing w:val="-4"/>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7"/>
          <w:sz w:val="16"/>
        </w:rPr>
        <w:t xml:space="preserve"> </w:t>
      </w:r>
      <w:r w:rsidRPr="00155597">
        <w:rPr>
          <w:rFonts w:eastAsia="Arial"/>
          <w:sz w:val="16"/>
        </w:rPr>
        <w:t>3</w:t>
      </w:r>
      <w:r w:rsidRPr="00155597">
        <w:rPr>
          <w:rFonts w:eastAsia="Arial"/>
          <w:spacing w:val="-6"/>
          <w:sz w:val="16"/>
        </w:rPr>
        <w:t xml:space="preserve"> </w:t>
      </w:r>
      <w:r w:rsidRPr="00155597">
        <w:rPr>
          <w:rFonts w:eastAsia="Arial"/>
          <w:spacing w:val="-2"/>
          <w:sz w:val="16"/>
        </w:rPr>
        <w:t>and</w:t>
      </w:r>
      <w:r w:rsidRPr="00155597">
        <w:rPr>
          <w:rFonts w:eastAsia="Arial"/>
          <w:spacing w:val="-6"/>
          <w:sz w:val="16"/>
        </w:rPr>
        <w:t xml:space="preserve"> </w:t>
      </w:r>
      <w:r w:rsidRPr="00155597">
        <w:rPr>
          <w:rFonts w:eastAsia="Arial"/>
          <w:spacing w:val="-1"/>
          <w:sz w:val="16"/>
        </w:rPr>
        <w:t>the</w:t>
      </w:r>
      <w:r w:rsidRPr="00155597">
        <w:rPr>
          <w:rFonts w:eastAsia="Arial"/>
          <w:spacing w:val="-6"/>
          <w:sz w:val="16"/>
        </w:rPr>
        <w:t xml:space="preserve"> </w:t>
      </w:r>
      <w:r w:rsidRPr="00155597">
        <w:rPr>
          <w:rFonts w:eastAsia="Arial"/>
          <w:spacing w:val="-2"/>
          <w:sz w:val="16"/>
        </w:rPr>
        <w:t>highest</w:t>
      </w:r>
      <w:r w:rsidRPr="00155597">
        <w:rPr>
          <w:rFonts w:eastAsia="Arial"/>
          <w:spacing w:val="-5"/>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4"/>
          <w:sz w:val="16"/>
        </w:rPr>
        <w:t xml:space="preserve"> </w:t>
      </w:r>
      <w:r w:rsidRPr="00155597">
        <w:rPr>
          <w:rFonts w:eastAsia="Arial"/>
          <w:spacing w:val="-2"/>
          <w:sz w:val="16"/>
        </w:rPr>
        <w:t>not</w:t>
      </w:r>
      <w:r w:rsidRPr="00155597">
        <w:rPr>
          <w:spacing w:val="-6"/>
          <w:sz w:val="16"/>
        </w:rPr>
        <w:t xml:space="preserve"> </w:t>
      </w:r>
      <w:r w:rsidRPr="00155597">
        <w:rPr>
          <w:rFonts w:eastAsia="Arial"/>
          <w:spacing w:val="-2"/>
          <w:sz w:val="16"/>
        </w:rPr>
        <w:t>higher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pacing w:val="-1"/>
          <w:sz w:val="16"/>
        </w:rPr>
        <w:t>8.</w:t>
      </w:r>
      <w:r w:rsidRPr="00155597">
        <w:rPr>
          <w:rFonts w:eastAsia="Arial"/>
          <w:spacing w:val="-5"/>
          <w:sz w:val="16"/>
        </w:rPr>
        <w:t xml:space="preserve"> </w:t>
      </w:r>
      <w:r w:rsidRPr="00155597">
        <w:rPr>
          <w:rFonts w:eastAsia="Arial"/>
          <w:spacing w:val="-1"/>
          <w:sz w:val="16"/>
        </w:rPr>
        <w:t>Middle</w:t>
      </w:r>
      <w:r w:rsidRPr="00155597">
        <w:rPr>
          <w:rFonts w:eastAsia="Arial"/>
          <w:spacing w:val="-6"/>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pacing w:val="-1"/>
          <w:sz w:val="16"/>
        </w:rPr>
        <w:t>are</w:t>
      </w:r>
      <w:r w:rsidRPr="00155597">
        <w:rPr>
          <w:rFonts w:eastAsia="Arial"/>
          <w:spacing w:val="-7"/>
          <w:sz w:val="16"/>
        </w:rPr>
        <w:t xml:space="preserve"> </w:t>
      </w:r>
      <w:r w:rsidRPr="00155597">
        <w:rPr>
          <w:rFonts w:eastAsia="Arial"/>
          <w:spacing w:val="-1"/>
          <w:sz w:val="16"/>
        </w:rPr>
        <w:t>defined</w:t>
      </w:r>
      <w:r w:rsidRPr="00155597">
        <w:rPr>
          <w:rFonts w:eastAsia="Arial"/>
          <w:spacing w:val="-6"/>
          <w:sz w:val="16"/>
        </w:rPr>
        <w:t xml:space="preserve"> </w:t>
      </w:r>
      <w:r w:rsidRPr="00155597">
        <w:rPr>
          <w:rFonts w:eastAsia="Arial"/>
          <w:spacing w:val="-1"/>
          <w:sz w:val="16"/>
        </w:rPr>
        <w:t>as</w:t>
      </w:r>
      <w:r w:rsidRPr="00155597">
        <w:rPr>
          <w:rFonts w:eastAsia="Arial"/>
          <w:spacing w:val="-4"/>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z w:val="16"/>
        </w:rPr>
        <w:t>in</w:t>
      </w:r>
      <w:r w:rsidRPr="00155597">
        <w:rPr>
          <w:rFonts w:eastAsia="Arial"/>
          <w:spacing w:val="-6"/>
          <w:sz w:val="16"/>
        </w:rPr>
        <w:t xml:space="preserve"> </w:t>
      </w:r>
      <w:r w:rsidRPr="00155597">
        <w:rPr>
          <w:rFonts w:eastAsia="Arial"/>
          <w:spacing w:val="-2"/>
          <w:sz w:val="16"/>
        </w:rPr>
        <w:t>which</w:t>
      </w:r>
      <w:r w:rsidRPr="00155597">
        <w:rPr>
          <w:rFonts w:eastAsia="Arial"/>
          <w:spacing w:val="-5"/>
          <w:sz w:val="16"/>
        </w:rPr>
        <w:t xml:space="preserve"> </w:t>
      </w:r>
      <w:r w:rsidRPr="00155597">
        <w:rPr>
          <w:rFonts w:eastAsia="Arial"/>
          <w:spacing w:val="-1"/>
          <w:sz w:val="16"/>
        </w:rPr>
        <w:t>the</w:t>
      </w:r>
      <w:r w:rsidRPr="00155597">
        <w:rPr>
          <w:rFonts w:eastAsia="Arial"/>
          <w:spacing w:val="-6"/>
          <w:sz w:val="16"/>
        </w:rPr>
        <w:t xml:space="preserve"> </w:t>
      </w:r>
      <w:r w:rsidRPr="00155597">
        <w:rPr>
          <w:rFonts w:eastAsia="Arial"/>
          <w:spacing w:val="-2"/>
          <w:sz w:val="16"/>
        </w:rPr>
        <w:t>lowest</w:t>
      </w:r>
      <w:r w:rsidRPr="00155597">
        <w:rPr>
          <w:rFonts w:eastAsia="Arial"/>
          <w:spacing w:val="-4"/>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4"/>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lower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4</w:t>
      </w:r>
      <w:r w:rsidRPr="00155597">
        <w:rPr>
          <w:rFonts w:eastAsia="Arial"/>
          <w:spacing w:val="-6"/>
          <w:sz w:val="16"/>
        </w:rPr>
        <w:t xml:space="preserve"> </w:t>
      </w:r>
      <w:r w:rsidRPr="00155597">
        <w:rPr>
          <w:rFonts w:eastAsia="Arial"/>
          <w:spacing w:val="-2"/>
          <w:sz w:val="16"/>
        </w:rPr>
        <w:t>and</w:t>
      </w:r>
      <w:r w:rsidRPr="00155597">
        <w:rPr>
          <w:rFonts w:eastAsia="Arial"/>
          <w:spacing w:val="-6"/>
          <w:sz w:val="16"/>
        </w:rPr>
        <w:t xml:space="preserve"> </w:t>
      </w:r>
      <w:r w:rsidRPr="00155597">
        <w:rPr>
          <w:rFonts w:eastAsia="Arial"/>
          <w:spacing w:val="-2"/>
          <w:sz w:val="16"/>
        </w:rPr>
        <w:t>the</w:t>
      </w:r>
      <w:r w:rsidRPr="00155597">
        <w:rPr>
          <w:spacing w:val="-6"/>
          <w:sz w:val="16"/>
        </w:rPr>
        <w:t xml:space="preserve"> </w:t>
      </w:r>
      <w:r w:rsidRPr="00155597">
        <w:rPr>
          <w:rFonts w:eastAsia="Arial"/>
          <w:spacing w:val="-2"/>
          <w:sz w:val="16"/>
        </w:rPr>
        <w:t>highest</w:t>
      </w:r>
      <w:r w:rsidRPr="00155597">
        <w:rPr>
          <w:rFonts w:eastAsia="Arial"/>
          <w:spacing w:val="-5"/>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4"/>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higher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pacing w:val="-1"/>
          <w:sz w:val="16"/>
        </w:rPr>
        <w:t>9.</w:t>
      </w:r>
      <w:r w:rsidRPr="00155597">
        <w:rPr>
          <w:rFonts w:eastAsia="Arial"/>
          <w:spacing w:val="-5"/>
          <w:sz w:val="16"/>
        </w:rPr>
        <w:t xml:space="preserve"> </w:t>
      </w:r>
      <w:r w:rsidRPr="00155597">
        <w:rPr>
          <w:rFonts w:eastAsia="Arial"/>
          <w:spacing w:val="-1"/>
          <w:sz w:val="16"/>
        </w:rPr>
        <w:t>High</w:t>
      </w:r>
      <w:r w:rsidRPr="00155597">
        <w:rPr>
          <w:rFonts w:eastAsia="Arial"/>
          <w:spacing w:val="-6"/>
          <w:sz w:val="16"/>
        </w:rPr>
        <w:t xml:space="preserve"> </w:t>
      </w:r>
      <w:r w:rsidRPr="00155597">
        <w:rPr>
          <w:rFonts w:eastAsia="Arial"/>
          <w:spacing w:val="-1"/>
          <w:sz w:val="16"/>
        </w:rPr>
        <w:t>schools</w:t>
      </w:r>
      <w:r w:rsidRPr="00155597">
        <w:rPr>
          <w:rFonts w:eastAsia="Arial"/>
          <w:spacing w:val="-5"/>
          <w:sz w:val="16"/>
        </w:rPr>
        <w:t xml:space="preserve"> </w:t>
      </w:r>
      <w:r w:rsidRPr="00155597">
        <w:rPr>
          <w:rFonts w:eastAsia="Arial"/>
          <w:spacing w:val="-1"/>
          <w:sz w:val="16"/>
        </w:rPr>
        <w:t>are</w:t>
      </w:r>
      <w:r w:rsidRPr="00155597">
        <w:rPr>
          <w:rFonts w:eastAsia="Arial"/>
          <w:spacing w:val="-6"/>
          <w:sz w:val="16"/>
        </w:rPr>
        <w:t xml:space="preserve"> </w:t>
      </w:r>
      <w:r w:rsidRPr="00155597">
        <w:rPr>
          <w:rFonts w:eastAsia="Arial"/>
          <w:spacing w:val="-1"/>
          <w:sz w:val="16"/>
        </w:rPr>
        <w:t>defined</w:t>
      </w:r>
      <w:r w:rsidRPr="00155597">
        <w:rPr>
          <w:rFonts w:eastAsia="Arial"/>
          <w:spacing w:val="-6"/>
          <w:sz w:val="16"/>
        </w:rPr>
        <w:t xml:space="preserve"> </w:t>
      </w:r>
      <w:r w:rsidRPr="00155597">
        <w:rPr>
          <w:rFonts w:eastAsia="Arial"/>
          <w:spacing w:val="-1"/>
          <w:sz w:val="16"/>
        </w:rPr>
        <w:t>as</w:t>
      </w:r>
      <w:r w:rsidRPr="00155597">
        <w:rPr>
          <w:rFonts w:eastAsia="Arial"/>
          <w:spacing w:val="-4"/>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z w:val="16"/>
        </w:rPr>
        <w:t>in</w:t>
      </w:r>
      <w:r w:rsidRPr="00155597">
        <w:rPr>
          <w:rFonts w:eastAsia="Arial"/>
          <w:spacing w:val="-7"/>
          <w:sz w:val="16"/>
        </w:rPr>
        <w:t xml:space="preserve"> </w:t>
      </w:r>
      <w:r w:rsidRPr="00155597">
        <w:rPr>
          <w:rFonts w:eastAsia="Arial"/>
          <w:spacing w:val="-2"/>
          <w:sz w:val="16"/>
        </w:rPr>
        <w:t>which</w:t>
      </w:r>
      <w:r w:rsidRPr="00155597">
        <w:rPr>
          <w:rFonts w:eastAsia="Arial"/>
          <w:spacing w:val="-4"/>
          <w:sz w:val="16"/>
        </w:rPr>
        <w:t xml:space="preserve"> </w:t>
      </w:r>
      <w:r w:rsidRPr="00155597">
        <w:rPr>
          <w:rFonts w:eastAsia="Arial"/>
          <w:spacing w:val="-1"/>
          <w:sz w:val="16"/>
        </w:rPr>
        <w:t>the</w:t>
      </w:r>
      <w:r w:rsidRPr="00155597">
        <w:rPr>
          <w:rFonts w:eastAsia="Arial"/>
          <w:spacing w:val="-6"/>
          <w:sz w:val="16"/>
        </w:rPr>
        <w:t xml:space="preserve"> </w:t>
      </w:r>
      <w:r w:rsidRPr="00155597">
        <w:rPr>
          <w:rFonts w:eastAsia="Arial"/>
          <w:spacing w:val="-2"/>
          <w:sz w:val="16"/>
        </w:rPr>
        <w:t>lowest</w:t>
      </w:r>
      <w:r w:rsidRPr="00155597">
        <w:rPr>
          <w:rFonts w:eastAsia="Arial"/>
          <w:spacing w:val="-4"/>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5"/>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lower</w:t>
      </w:r>
      <w:r w:rsidRPr="00155597">
        <w:rPr>
          <w:rFonts w:eastAsia="Arial"/>
          <w:spacing w:val="-4"/>
          <w:sz w:val="16"/>
        </w:rPr>
        <w:t xml:space="preserve"> </w:t>
      </w:r>
      <w:r w:rsidRPr="00155597">
        <w:rPr>
          <w:rFonts w:eastAsia="Arial"/>
          <w:spacing w:val="-2"/>
          <w:sz w:val="16"/>
        </w:rPr>
        <w:t>than</w:t>
      </w:r>
      <w:r w:rsidRPr="00155597">
        <w:rPr>
          <w:spacing w:val="-6"/>
          <w:sz w:val="16"/>
        </w:rPr>
        <w:t xml:space="preserve"> </w:t>
      </w:r>
      <w:r w:rsidRPr="00155597">
        <w:rPr>
          <w:rFonts w:eastAsia="Arial"/>
          <w:spacing w:val="-2"/>
          <w:sz w:val="16"/>
        </w:rPr>
        <w:t>grade</w:t>
      </w:r>
      <w:r w:rsidRPr="00155597">
        <w:rPr>
          <w:rFonts w:eastAsia="Arial"/>
          <w:spacing w:val="-7"/>
          <w:sz w:val="16"/>
        </w:rPr>
        <w:t xml:space="preserve"> </w:t>
      </w:r>
      <w:r w:rsidRPr="00155597">
        <w:rPr>
          <w:rFonts w:eastAsia="Arial"/>
          <w:sz w:val="16"/>
        </w:rPr>
        <w:t>9</w:t>
      </w:r>
      <w:r w:rsidRPr="00155597">
        <w:rPr>
          <w:rFonts w:eastAsia="Arial"/>
          <w:spacing w:val="-7"/>
          <w:sz w:val="16"/>
        </w:rPr>
        <w:t xml:space="preserve"> </w:t>
      </w:r>
      <w:r w:rsidRPr="00155597">
        <w:rPr>
          <w:rFonts w:eastAsia="Arial"/>
          <w:spacing w:val="-2"/>
          <w:sz w:val="16"/>
        </w:rPr>
        <w:t>and</w:t>
      </w:r>
      <w:r w:rsidRPr="00155597">
        <w:rPr>
          <w:rFonts w:eastAsia="Arial"/>
          <w:spacing w:val="-6"/>
          <w:sz w:val="16"/>
        </w:rPr>
        <w:t xml:space="preserve"> </w:t>
      </w:r>
      <w:r w:rsidRPr="00155597">
        <w:rPr>
          <w:rFonts w:eastAsia="Arial"/>
          <w:spacing w:val="-1"/>
          <w:sz w:val="16"/>
        </w:rPr>
        <w:t>the</w:t>
      </w:r>
      <w:r w:rsidRPr="00155597">
        <w:rPr>
          <w:rFonts w:eastAsia="Arial"/>
          <w:spacing w:val="-7"/>
          <w:sz w:val="16"/>
        </w:rPr>
        <w:t xml:space="preserve"> </w:t>
      </w:r>
      <w:r w:rsidRPr="00155597">
        <w:rPr>
          <w:rFonts w:eastAsia="Arial"/>
          <w:spacing w:val="-2"/>
          <w:sz w:val="16"/>
        </w:rPr>
        <w:t>highest</w:t>
      </w:r>
      <w:r w:rsidRPr="00155597">
        <w:rPr>
          <w:rFonts w:eastAsia="Arial"/>
          <w:spacing w:val="-5"/>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5"/>
          <w:sz w:val="16"/>
        </w:rPr>
        <w:t xml:space="preserve"> </w:t>
      </w:r>
      <w:r w:rsidRPr="00155597">
        <w:rPr>
          <w:rFonts w:eastAsia="Arial"/>
          <w:spacing w:val="-2"/>
          <w:sz w:val="16"/>
        </w:rPr>
        <w:t>not</w:t>
      </w:r>
      <w:r w:rsidRPr="00155597">
        <w:rPr>
          <w:rFonts w:eastAsia="Arial"/>
          <w:spacing w:val="-6"/>
          <w:sz w:val="16"/>
        </w:rPr>
        <w:t xml:space="preserve"> </w:t>
      </w:r>
      <w:r w:rsidRPr="00155597">
        <w:rPr>
          <w:rFonts w:eastAsia="Arial"/>
          <w:spacing w:val="-2"/>
          <w:sz w:val="16"/>
        </w:rPr>
        <w:t>higher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7"/>
          <w:sz w:val="16"/>
        </w:rPr>
        <w:t xml:space="preserve"> </w:t>
      </w:r>
      <w:r w:rsidRPr="00155597">
        <w:rPr>
          <w:rFonts w:eastAsia="Arial"/>
          <w:spacing w:val="-2"/>
          <w:sz w:val="16"/>
        </w:rPr>
        <w:t>12.</w:t>
      </w:r>
      <w:r w:rsidRPr="00155597">
        <w:rPr>
          <w:rFonts w:eastAsia="Arial"/>
          <w:spacing w:val="-6"/>
          <w:sz w:val="16"/>
        </w:rPr>
        <w:t xml:space="preserve"> </w:t>
      </w:r>
      <w:r w:rsidRPr="00155597">
        <w:rPr>
          <w:rFonts w:eastAsia="Arial"/>
          <w:spacing w:val="-1"/>
          <w:sz w:val="16"/>
        </w:rPr>
        <w:t>Combined</w:t>
      </w:r>
      <w:r w:rsidRPr="00155597">
        <w:rPr>
          <w:rFonts w:eastAsia="Arial"/>
          <w:spacing w:val="-6"/>
          <w:sz w:val="16"/>
        </w:rPr>
        <w:t xml:space="preserve"> </w:t>
      </w:r>
      <w:r w:rsidRPr="00155597">
        <w:rPr>
          <w:rFonts w:eastAsia="Arial"/>
          <w:spacing w:val="-1"/>
          <w:sz w:val="16"/>
        </w:rPr>
        <w:t>schools</w:t>
      </w:r>
      <w:r w:rsidRPr="00155597">
        <w:rPr>
          <w:rFonts w:eastAsia="Arial"/>
          <w:spacing w:val="-5"/>
          <w:sz w:val="16"/>
        </w:rPr>
        <w:t xml:space="preserve"> </w:t>
      </w:r>
      <w:r w:rsidRPr="00155597">
        <w:rPr>
          <w:rFonts w:eastAsia="Arial"/>
          <w:spacing w:val="-1"/>
          <w:sz w:val="16"/>
        </w:rPr>
        <w:t>include</w:t>
      </w:r>
      <w:r w:rsidRPr="00155597">
        <w:rPr>
          <w:rFonts w:eastAsia="Arial"/>
          <w:spacing w:val="-7"/>
          <w:sz w:val="16"/>
        </w:rPr>
        <w:t xml:space="preserve"> </w:t>
      </w:r>
      <w:r w:rsidRPr="00155597">
        <w:rPr>
          <w:rFonts w:eastAsia="Arial"/>
          <w:spacing w:val="-1"/>
          <w:sz w:val="16"/>
        </w:rPr>
        <w:t>all</w:t>
      </w:r>
      <w:r w:rsidRPr="00155597">
        <w:rPr>
          <w:rFonts w:eastAsia="Arial"/>
          <w:spacing w:val="-5"/>
          <w:sz w:val="16"/>
        </w:rPr>
        <w:t xml:space="preserve"> </w:t>
      </w:r>
      <w:r w:rsidRPr="00155597">
        <w:rPr>
          <w:rFonts w:eastAsia="Arial"/>
          <w:spacing w:val="-2"/>
          <w:sz w:val="16"/>
        </w:rPr>
        <w:t>other</w:t>
      </w:r>
      <w:r w:rsidRPr="00155597">
        <w:rPr>
          <w:rFonts w:eastAsia="Arial"/>
          <w:spacing w:val="-5"/>
          <w:sz w:val="16"/>
        </w:rPr>
        <w:t xml:space="preserve"> </w:t>
      </w:r>
      <w:r w:rsidRPr="00155597">
        <w:rPr>
          <w:rFonts w:eastAsia="Arial"/>
          <w:spacing w:val="-2"/>
          <w:sz w:val="16"/>
        </w:rPr>
        <w:t>combinations</w:t>
      </w:r>
      <w:r w:rsidRPr="00155597">
        <w:rPr>
          <w:rFonts w:eastAsia="Arial"/>
          <w:spacing w:val="-4"/>
          <w:sz w:val="16"/>
        </w:rPr>
        <w:t xml:space="preserve"> </w:t>
      </w:r>
      <w:r w:rsidRPr="00155597">
        <w:rPr>
          <w:rFonts w:eastAsia="Arial"/>
          <w:spacing w:val="-1"/>
          <w:sz w:val="16"/>
        </w:rPr>
        <w:t>of</w:t>
      </w:r>
      <w:r w:rsidRPr="00155597">
        <w:rPr>
          <w:rFonts w:eastAsia="Arial"/>
          <w:spacing w:val="-4"/>
          <w:sz w:val="16"/>
        </w:rPr>
        <w:t xml:space="preserve"> </w:t>
      </w:r>
      <w:r w:rsidRPr="00155597">
        <w:rPr>
          <w:rFonts w:eastAsia="Arial"/>
          <w:spacing w:val="-2"/>
          <w:sz w:val="16"/>
        </w:rPr>
        <w:t>grades,</w:t>
      </w:r>
      <w:r w:rsidRPr="00155597">
        <w:rPr>
          <w:spacing w:val="-6"/>
          <w:sz w:val="16"/>
        </w:rPr>
        <w:t xml:space="preserve"> </w:t>
      </w:r>
      <w:r w:rsidRPr="00155597">
        <w:rPr>
          <w:rFonts w:eastAsia="Arial"/>
          <w:spacing w:val="-1"/>
          <w:sz w:val="16"/>
        </w:rPr>
        <w:t>including</w:t>
      </w:r>
      <w:r w:rsidRPr="00155597">
        <w:rPr>
          <w:rFonts w:eastAsia="Arial"/>
          <w:spacing w:val="-11"/>
          <w:sz w:val="16"/>
        </w:rPr>
        <w:t xml:space="preserve"> </w:t>
      </w:r>
      <w:r w:rsidRPr="00155597">
        <w:rPr>
          <w:rFonts w:eastAsia="Arial"/>
          <w:spacing w:val="-2"/>
          <w:sz w:val="16"/>
        </w:rPr>
        <w:t>K–12</w:t>
      </w:r>
      <w:r w:rsidRPr="00155597">
        <w:rPr>
          <w:rFonts w:eastAsia="Arial"/>
          <w:spacing w:val="-10"/>
          <w:sz w:val="16"/>
        </w:rPr>
        <w:t xml:space="preserve"> </w:t>
      </w:r>
      <w:r w:rsidRPr="00155597">
        <w:rPr>
          <w:rFonts w:eastAsia="Arial"/>
          <w:spacing w:val="-2"/>
          <w:sz w:val="16"/>
        </w:rPr>
        <w:t>schools.</w:t>
      </w:r>
    </w:p>
    <w:p w14:paraId="55A02C09" w14:textId="5C38CCEC" w:rsidR="0064551D" w:rsidRPr="00155597" w:rsidRDefault="0064551D" w:rsidP="00B627C8">
      <w:pPr>
        <w:spacing w:line="187" w:lineRule="exact"/>
        <w:ind w:left="141" w:right="684" w:hanging="8"/>
        <w:rPr>
          <w:rFonts w:eastAsia="Arial"/>
        </w:rPr>
      </w:pPr>
      <w:r w:rsidRPr="00155597">
        <w:rPr>
          <w:rFonts w:eastAsia="Arial"/>
          <w:spacing w:val="-1"/>
          <w:sz w:val="16"/>
        </w:rPr>
        <w:t>SOURCE:</w:t>
      </w:r>
      <w:r w:rsidRPr="00155597">
        <w:rPr>
          <w:rFonts w:eastAsia="Arial"/>
          <w:spacing w:val="-7"/>
          <w:sz w:val="16"/>
        </w:rPr>
        <w:t xml:space="preserve"> </w:t>
      </w:r>
      <w:r w:rsidRPr="00155597">
        <w:rPr>
          <w:rFonts w:eastAsia="Arial"/>
          <w:spacing w:val="-1"/>
          <w:sz w:val="16"/>
        </w:rPr>
        <w:t>U.S.</w:t>
      </w:r>
      <w:r w:rsidRPr="00155597">
        <w:rPr>
          <w:rFonts w:eastAsia="Arial"/>
          <w:spacing w:val="-7"/>
          <w:sz w:val="16"/>
        </w:rPr>
        <w:t xml:space="preserve"> </w:t>
      </w:r>
      <w:r w:rsidRPr="00155597">
        <w:rPr>
          <w:rFonts w:eastAsia="Arial"/>
          <w:spacing w:val="-2"/>
          <w:sz w:val="16"/>
        </w:rPr>
        <w:t>Department</w:t>
      </w:r>
      <w:r w:rsidRPr="00155597">
        <w:rPr>
          <w:rFonts w:eastAsia="Arial"/>
          <w:spacing w:val="-7"/>
          <w:sz w:val="16"/>
        </w:rPr>
        <w:t xml:space="preserve"> </w:t>
      </w:r>
      <w:r w:rsidRPr="00155597">
        <w:rPr>
          <w:rFonts w:eastAsia="Arial"/>
          <w:spacing w:val="-1"/>
          <w:sz w:val="16"/>
        </w:rPr>
        <w:t>of</w:t>
      </w:r>
      <w:r w:rsidRPr="00155597">
        <w:rPr>
          <w:rFonts w:eastAsia="Arial"/>
          <w:spacing w:val="-5"/>
          <w:sz w:val="16"/>
        </w:rPr>
        <w:t xml:space="preserve"> </w:t>
      </w:r>
      <w:r w:rsidRPr="00155597">
        <w:rPr>
          <w:rFonts w:eastAsia="Arial"/>
          <w:spacing w:val="-2"/>
          <w:sz w:val="16"/>
        </w:rPr>
        <w:t>Education,</w:t>
      </w:r>
      <w:r w:rsidRPr="00155597">
        <w:rPr>
          <w:rFonts w:eastAsia="Arial"/>
          <w:spacing w:val="-7"/>
          <w:sz w:val="16"/>
        </w:rPr>
        <w:t xml:space="preserve"> </w:t>
      </w:r>
      <w:r w:rsidRPr="00155597">
        <w:rPr>
          <w:rFonts w:eastAsia="Arial"/>
          <w:spacing w:val="-2"/>
          <w:sz w:val="16"/>
        </w:rPr>
        <w:t>National</w:t>
      </w:r>
      <w:r w:rsidRPr="00155597">
        <w:rPr>
          <w:rFonts w:eastAsia="Arial"/>
          <w:spacing w:val="-6"/>
          <w:sz w:val="16"/>
        </w:rPr>
        <w:t xml:space="preserve"> </w:t>
      </w:r>
      <w:r w:rsidRPr="00155597">
        <w:rPr>
          <w:rFonts w:eastAsia="Arial"/>
          <w:spacing w:val="-2"/>
          <w:sz w:val="16"/>
        </w:rPr>
        <w:t>Center</w:t>
      </w:r>
      <w:r w:rsidRPr="00155597">
        <w:rPr>
          <w:rFonts w:eastAsia="Arial"/>
          <w:spacing w:val="-6"/>
          <w:sz w:val="16"/>
        </w:rPr>
        <w:t xml:space="preserve"> </w:t>
      </w:r>
      <w:r w:rsidRPr="00155597">
        <w:rPr>
          <w:rFonts w:eastAsia="Arial"/>
          <w:spacing w:val="-1"/>
          <w:sz w:val="16"/>
        </w:rPr>
        <w:t>for</w:t>
      </w:r>
      <w:r w:rsidRPr="00155597">
        <w:rPr>
          <w:rFonts w:eastAsia="Arial"/>
          <w:spacing w:val="-7"/>
          <w:sz w:val="16"/>
        </w:rPr>
        <w:t xml:space="preserve"> </w:t>
      </w:r>
      <w:r w:rsidRPr="00155597">
        <w:rPr>
          <w:rFonts w:eastAsia="Arial"/>
          <w:spacing w:val="-2"/>
          <w:sz w:val="16"/>
        </w:rPr>
        <w:t>Education</w:t>
      </w:r>
      <w:r w:rsidRPr="00155597">
        <w:rPr>
          <w:rFonts w:eastAsia="Arial"/>
          <w:spacing w:val="-7"/>
          <w:sz w:val="16"/>
        </w:rPr>
        <w:t xml:space="preserve"> </w:t>
      </w:r>
      <w:r w:rsidRPr="00155597">
        <w:rPr>
          <w:rFonts w:eastAsia="Arial"/>
          <w:spacing w:val="-1"/>
          <w:sz w:val="16"/>
        </w:rPr>
        <w:t>Statistics,</w:t>
      </w:r>
      <w:r w:rsidRPr="00155597">
        <w:rPr>
          <w:rFonts w:eastAsia="Arial"/>
          <w:spacing w:val="-5"/>
          <w:sz w:val="16"/>
        </w:rPr>
        <w:t xml:space="preserve"> </w:t>
      </w:r>
      <w:r w:rsidRPr="00155597">
        <w:rPr>
          <w:rFonts w:eastAsia="Arial"/>
          <w:spacing w:val="-2"/>
          <w:sz w:val="16"/>
        </w:rPr>
        <w:t>2015–16</w:t>
      </w:r>
      <w:r w:rsidRPr="00155597">
        <w:rPr>
          <w:rFonts w:eastAsia="Arial"/>
          <w:spacing w:val="-7"/>
          <w:sz w:val="16"/>
        </w:rPr>
        <w:t xml:space="preserve"> </w:t>
      </w:r>
      <w:r w:rsidRPr="00155597">
        <w:rPr>
          <w:rFonts w:eastAsia="Arial"/>
          <w:spacing w:val="-2"/>
          <w:sz w:val="16"/>
        </w:rPr>
        <w:t>School</w:t>
      </w:r>
      <w:r w:rsidRPr="00155597">
        <w:rPr>
          <w:rFonts w:eastAsia="Arial"/>
          <w:spacing w:val="-6"/>
          <w:sz w:val="16"/>
        </w:rPr>
        <w:t xml:space="preserve"> </w:t>
      </w:r>
      <w:r w:rsidRPr="00155597">
        <w:rPr>
          <w:rFonts w:eastAsia="Arial"/>
          <w:spacing w:val="-1"/>
          <w:sz w:val="16"/>
        </w:rPr>
        <w:t>Survey</w:t>
      </w:r>
      <w:r w:rsidRPr="00155597">
        <w:rPr>
          <w:rFonts w:eastAsia="Arial"/>
          <w:spacing w:val="-11"/>
          <w:sz w:val="16"/>
        </w:rPr>
        <w:t xml:space="preserve"> </w:t>
      </w:r>
      <w:r w:rsidRPr="00155597">
        <w:rPr>
          <w:rFonts w:eastAsia="Arial"/>
          <w:spacing w:val="-1"/>
          <w:sz w:val="16"/>
        </w:rPr>
        <w:t>on</w:t>
      </w:r>
      <w:r w:rsidRPr="00155597">
        <w:rPr>
          <w:rFonts w:eastAsia="Arial"/>
          <w:spacing w:val="-8"/>
          <w:sz w:val="16"/>
        </w:rPr>
        <w:t xml:space="preserve"> </w:t>
      </w:r>
      <w:r w:rsidRPr="00155597">
        <w:rPr>
          <w:rFonts w:eastAsia="Arial"/>
          <w:sz w:val="16"/>
        </w:rPr>
        <w:t>Crime</w:t>
      </w:r>
      <w:r w:rsidRPr="00155597">
        <w:rPr>
          <w:rFonts w:eastAsia="Arial"/>
          <w:spacing w:val="-8"/>
          <w:sz w:val="16"/>
        </w:rPr>
        <w:t xml:space="preserve"> </w:t>
      </w:r>
      <w:r w:rsidRPr="00155597">
        <w:rPr>
          <w:rFonts w:eastAsia="Arial"/>
          <w:spacing w:val="-2"/>
          <w:sz w:val="16"/>
        </w:rPr>
        <w:t>and</w:t>
      </w:r>
      <w:r w:rsidRPr="00155597">
        <w:rPr>
          <w:spacing w:val="-6"/>
          <w:sz w:val="16"/>
        </w:rPr>
        <w:t xml:space="preserve"> </w:t>
      </w:r>
      <w:r w:rsidRPr="00155597">
        <w:rPr>
          <w:rFonts w:eastAsia="Arial"/>
          <w:spacing w:val="-1"/>
          <w:sz w:val="16"/>
        </w:rPr>
        <w:t>Safety</w:t>
      </w:r>
      <w:r w:rsidRPr="00155597">
        <w:rPr>
          <w:rFonts w:eastAsia="Arial"/>
          <w:spacing w:val="-21"/>
          <w:sz w:val="16"/>
        </w:rPr>
        <w:t xml:space="preserve"> </w:t>
      </w:r>
      <w:r w:rsidRPr="00155597">
        <w:rPr>
          <w:rFonts w:eastAsia="Arial"/>
          <w:spacing w:val="-1"/>
          <w:sz w:val="16"/>
        </w:rPr>
        <w:t>(SSOCS:2016).</w:t>
      </w:r>
    </w:p>
    <w:p w14:paraId="364BE2A5" w14:textId="3F850C70" w:rsidR="00603F6B" w:rsidRPr="00597B97" w:rsidRDefault="00603F6B" w:rsidP="00597B97">
      <w:pPr>
        <w:pStyle w:val="Heading4"/>
        <w:keepNext w:val="0"/>
        <w:spacing w:after="0" w:line="240" w:lineRule="auto"/>
        <w:jc w:val="left"/>
        <w:rPr>
          <w:b w:val="0"/>
          <w:sz w:val="24"/>
          <w:szCs w:val="24"/>
        </w:rPr>
      </w:pPr>
    </w:p>
    <w:p w14:paraId="560DC31E" w14:textId="77777777" w:rsidR="00EF2F18" w:rsidRPr="00155597" w:rsidRDefault="00EF2F18" w:rsidP="00EF2F18">
      <w:pPr>
        <w:keepNext/>
        <w:rPr>
          <w:rFonts w:eastAsia="Arial"/>
          <w:b/>
          <w:spacing w:val="-6"/>
        </w:rPr>
      </w:pPr>
      <w:r w:rsidRPr="00155597">
        <w:rPr>
          <w:rFonts w:eastAsia="Arial"/>
          <w:b/>
          <w:spacing w:val="-1"/>
        </w:rPr>
        <w:t>Table</w:t>
      </w:r>
      <w:r w:rsidRPr="00155597">
        <w:rPr>
          <w:rFonts w:eastAsia="Arial"/>
          <w:b/>
          <w:spacing w:val="-10"/>
        </w:rPr>
        <w:t xml:space="preserve"> </w:t>
      </w:r>
      <w:r w:rsidRPr="00155597">
        <w:rPr>
          <w:rFonts w:eastAsia="Arial"/>
          <w:b/>
          <w:spacing w:val="-1"/>
        </w:rPr>
        <w:t xml:space="preserve">6. </w:t>
      </w:r>
      <w:r w:rsidRPr="00155597">
        <w:rPr>
          <w:rFonts w:eastAsia="Arial"/>
          <w:b/>
          <w:spacing w:val="-2"/>
        </w:rPr>
        <w:t>Unweighted</w:t>
      </w:r>
      <w:r w:rsidRPr="00155597">
        <w:rPr>
          <w:rFonts w:eastAsia="Arial"/>
          <w:b/>
          <w:spacing w:val="-8"/>
        </w:rPr>
        <w:t xml:space="preserve"> </w:t>
      </w:r>
      <w:r w:rsidRPr="00155597">
        <w:rPr>
          <w:rFonts w:eastAsia="Arial"/>
          <w:b/>
          <w:spacing w:val="-2"/>
        </w:rPr>
        <w:t>and</w:t>
      </w:r>
      <w:r w:rsidRPr="00155597">
        <w:rPr>
          <w:rFonts w:eastAsia="Arial"/>
          <w:b/>
          <w:spacing w:val="-8"/>
        </w:rPr>
        <w:t xml:space="preserve"> </w:t>
      </w:r>
      <w:r w:rsidRPr="00155597">
        <w:rPr>
          <w:rFonts w:eastAsia="Arial"/>
          <w:b/>
          <w:spacing w:val="-2"/>
        </w:rPr>
        <w:t>weighted</w:t>
      </w:r>
      <w:r w:rsidRPr="00155597">
        <w:rPr>
          <w:rFonts w:eastAsia="Arial"/>
          <w:b/>
          <w:spacing w:val="-9"/>
        </w:rPr>
        <w:t xml:space="preserve"> SSOCS </w:t>
      </w:r>
      <w:r w:rsidRPr="00155597">
        <w:rPr>
          <w:rFonts w:eastAsia="Arial"/>
          <w:b/>
          <w:spacing w:val="-1"/>
        </w:rPr>
        <w:t>unit</w:t>
      </w:r>
      <w:r w:rsidRPr="00155597">
        <w:rPr>
          <w:rFonts w:eastAsia="Arial"/>
          <w:b/>
          <w:spacing w:val="-7"/>
        </w:rPr>
        <w:t xml:space="preserve"> </w:t>
      </w:r>
      <w:r w:rsidRPr="00155597">
        <w:rPr>
          <w:rFonts w:eastAsia="Arial"/>
          <w:b/>
          <w:spacing w:val="-2"/>
        </w:rPr>
        <w:t>response</w:t>
      </w:r>
      <w:r w:rsidRPr="00155597">
        <w:rPr>
          <w:rFonts w:eastAsia="Arial"/>
          <w:b/>
          <w:spacing w:val="-6"/>
        </w:rPr>
        <w:t xml:space="preserve"> </w:t>
      </w:r>
      <w:r w:rsidRPr="00155597">
        <w:rPr>
          <w:rFonts w:eastAsia="Arial"/>
          <w:b/>
          <w:spacing w:val="-2"/>
        </w:rPr>
        <w:t>rates,</w:t>
      </w:r>
      <w:r w:rsidRPr="00155597">
        <w:rPr>
          <w:rFonts w:eastAsia="Arial"/>
          <w:b/>
          <w:spacing w:val="-7"/>
        </w:rPr>
        <w:t xml:space="preserve"> </w:t>
      </w:r>
      <w:r w:rsidRPr="00155597">
        <w:rPr>
          <w:rFonts w:eastAsia="Arial"/>
          <w:b/>
          <w:spacing w:val="-1"/>
        </w:rPr>
        <w:t>by</w:t>
      </w:r>
      <w:r w:rsidRPr="00155597">
        <w:rPr>
          <w:rFonts w:eastAsia="Arial"/>
          <w:b/>
          <w:spacing w:val="-10"/>
        </w:rPr>
        <w:t xml:space="preserve"> </w:t>
      </w:r>
      <w:r w:rsidRPr="00155597">
        <w:rPr>
          <w:rFonts w:eastAsia="Arial"/>
          <w:b/>
          <w:spacing w:val="-2"/>
        </w:rPr>
        <w:t>selected</w:t>
      </w:r>
      <w:r w:rsidRPr="00155597">
        <w:rPr>
          <w:rFonts w:eastAsia="Arial"/>
          <w:b/>
          <w:spacing w:val="-9"/>
        </w:rPr>
        <w:t xml:space="preserve"> </w:t>
      </w:r>
      <w:r w:rsidRPr="00155597">
        <w:rPr>
          <w:rFonts w:eastAsia="Arial"/>
          <w:b/>
          <w:spacing w:val="-2"/>
        </w:rPr>
        <w:t>school</w:t>
      </w:r>
      <w:r w:rsidRPr="00155597">
        <w:rPr>
          <w:rFonts w:eastAsia="Arial"/>
          <w:b/>
          <w:spacing w:val="-6"/>
        </w:rPr>
        <w:t xml:space="preserve"> </w:t>
      </w:r>
      <w:r w:rsidRPr="00155597">
        <w:rPr>
          <w:rFonts w:eastAsia="Arial"/>
          <w:b/>
          <w:spacing w:val="-2"/>
        </w:rPr>
        <w:t>characteristics:</w:t>
      </w:r>
    </w:p>
    <w:p w14:paraId="6903356E" w14:textId="77777777" w:rsidR="00EF2F18" w:rsidRPr="00155597" w:rsidRDefault="00EF2F18" w:rsidP="00EF2F18">
      <w:pPr>
        <w:keepNext/>
      </w:pPr>
      <w:r w:rsidRPr="00155597">
        <w:rPr>
          <w:rFonts w:eastAsia="Arial"/>
          <w:b/>
          <w:spacing w:val="-2"/>
        </w:rPr>
        <w:t>School</w:t>
      </w:r>
      <w:r w:rsidRPr="00155597">
        <w:rPr>
          <w:rFonts w:eastAsia="Arial"/>
          <w:b/>
          <w:spacing w:val="-6"/>
        </w:rPr>
        <w:t xml:space="preserve"> </w:t>
      </w:r>
      <w:r w:rsidRPr="00155597">
        <w:rPr>
          <w:rFonts w:eastAsia="Arial"/>
          <w:b/>
          <w:spacing w:val="-3"/>
        </w:rPr>
        <w:t>year</w:t>
      </w:r>
      <w:r w:rsidRPr="00155597">
        <w:rPr>
          <w:rFonts w:eastAsia="Arial"/>
          <w:b/>
          <w:spacing w:val="-7"/>
        </w:rPr>
        <w:t xml:space="preserve"> </w:t>
      </w:r>
      <w:r w:rsidRPr="00155597">
        <w:rPr>
          <w:rFonts w:eastAsia="Arial"/>
          <w:b/>
          <w:spacing w:val="-2"/>
        </w:rPr>
        <w:t>2017–18</w:t>
      </w:r>
    </w:p>
    <w:tbl>
      <w:tblPr>
        <w:tblW w:w="5000" w:type="pct"/>
        <w:tblCellMar>
          <w:left w:w="0" w:type="dxa"/>
          <w:right w:w="0" w:type="dxa"/>
        </w:tblCellMar>
        <w:tblLook w:val="01E0" w:firstRow="1" w:lastRow="1" w:firstColumn="1" w:lastColumn="1" w:noHBand="0" w:noVBand="0"/>
      </w:tblPr>
      <w:tblGrid>
        <w:gridCol w:w="2402"/>
        <w:gridCol w:w="1373"/>
        <w:gridCol w:w="1142"/>
        <w:gridCol w:w="1392"/>
        <w:gridCol w:w="1062"/>
        <w:gridCol w:w="1629"/>
        <w:gridCol w:w="1512"/>
      </w:tblGrid>
      <w:tr w:rsidR="00EF2F18" w:rsidRPr="009C0892" w14:paraId="7B98CB1A" w14:textId="77777777" w:rsidTr="00B96EC8">
        <w:trPr>
          <w:trHeight w:val="144"/>
        </w:trPr>
        <w:tc>
          <w:tcPr>
            <w:tcW w:w="1143" w:type="pct"/>
            <w:tcBorders>
              <w:top w:val="single" w:sz="8" w:space="0" w:color="000000"/>
              <w:left w:val="nil"/>
              <w:bottom w:val="single" w:sz="8" w:space="0" w:color="000000"/>
              <w:right w:val="nil"/>
            </w:tcBorders>
            <w:vAlign w:val="bottom"/>
          </w:tcPr>
          <w:p w14:paraId="0FF7A1B4" w14:textId="77777777" w:rsidR="00EF2F18" w:rsidRPr="009C0892" w:rsidRDefault="00EF2F18" w:rsidP="002A6865">
            <w:pPr>
              <w:pStyle w:val="TableParagraph"/>
              <w:keepNext/>
              <w:ind w:left="31"/>
              <w:jc w:val="right"/>
              <w:rPr>
                <w:rFonts w:ascii="Times New Roman" w:hAnsi="Times New Roman" w:cs="Times New Roman"/>
                <w:spacing w:val="-2"/>
                <w:sz w:val="16"/>
                <w:szCs w:val="16"/>
              </w:rPr>
            </w:pPr>
            <w:r w:rsidRPr="00155597">
              <w:rPr>
                <w:rFonts w:ascii="Times New Roman" w:hAnsi="Times New Roman" w:cs="Times New Roman"/>
                <w:spacing w:val="-2"/>
                <w:sz w:val="16"/>
                <w:szCs w:val="16"/>
              </w:rPr>
              <w:t>School</w:t>
            </w:r>
            <w:r w:rsidRPr="009C0892">
              <w:rPr>
                <w:rFonts w:ascii="Times New Roman" w:hAnsi="Times New Roman" w:cs="Times New Roman"/>
                <w:spacing w:val="-2"/>
                <w:sz w:val="16"/>
                <w:szCs w:val="16"/>
              </w:rPr>
              <w:t xml:space="preserve"> characteristic</w:t>
            </w:r>
          </w:p>
        </w:tc>
        <w:tc>
          <w:tcPr>
            <w:tcW w:w="653" w:type="pct"/>
            <w:tcBorders>
              <w:top w:val="single" w:sz="8" w:space="0" w:color="000000"/>
              <w:left w:val="nil"/>
              <w:bottom w:val="single" w:sz="8" w:space="0" w:color="000000"/>
              <w:right w:val="nil"/>
            </w:tcBorders>
            <w:vAlign w:val="bottom"/>
          </w:tcPr>
          <w:p w14:paraId="2A03430B" w14:textId="77777777" w:rsidR="00EF2F18" w:rsidRPr="009C0892" w:rsidRDefault="00EF2F18" w:rsidP="009C0892">
            <w:pPr>
              <w:pStyle w:val="TableParagraph"/>
              <w:keepNext/>
              <w:ind w:left="31"/>
              <w:jc w:val="right"/>
              <w:rPr>
                <w:rFonts w:ascii="Times New Roman" w:hAnsi="Times New Roman" w:cs="Times New Roman"/>
                <w:spacing w:val="-2"/>
                <w:sz w:val="16"/>
                <w:szCs w:val="16"/>
              </w:rPr>
            </w:pPr>
          </w:p>
          <w:p w14:paraId="5A2FCFDE" w14:textId="77777777" w:rsidR="00EF2F18" w:rsidRPr="009C0892" w:rsidRDefault="00EF2F18" w:rsidP="009C0892">
            <w:pPr>
              <w:pStyle w:val="TableParagraph"/>
              <w:keepNext/>
              <w:ind w:left="31"/>
              <w:jc w:val="right"/>
              <w:rPr>
                <w:rFonts w:ascii="Times New Roman" w:hAnsi="Times New Roman" w:cs="Times New Roman"/>
                <w:spacing w:val="-2"/>
                <w:sz w:val="16"/>
                <w:szCs w:val="16"/>
              </w:rPr>
            </w:pPr>
            <w:r w:rsidRPr="00155597">
              <w:rPr>
                <w:rFonts w:ascii="Times New Roman" w:hAnsi="Times New Roman" w:cs="Times New Roman"/>
                <w:spacing w:val="-2"/>
                <w:sz w:val="16"/>
                <w:szCs w:val="16"/>
              </w:rPr>
              <w:t>Initial</w:t>
            </w:r>
            <w:r w:rsidRPr="009C0892">
              <w:rPr>
                <w:rFonts w:ascii="Times New Roman" w:hAnsi="Times New Roman" w:cs="Times New Roman"/>
                <w:spacing w:val="-2"/>
                <w:sz w:val="16"/>
                <w:szCs w:val="16"/>
              </w:rPr>
              <w:t xml:space="preserve"> sample</w:t>
            </w:r>
          </w:p>
        </w:tc>
        <w:tc>
          <w:tcPr>
            <w:tcW w:w="543" w:type="pct"/>
            <w:tcBorders>
              <w:top w:val="single" w:sz="8" w:space="0" w:color="000000"/>
              <w:left w:val="nil"/>
              <w:bottom w:val="single" w:sz="8" w:space="0" w:color="000000"/>
              <w:right w:val="nil"/>
            </w:tcBorders>
            <w:vAlign w:val="bottom"/>
          </w:tcPr>
          <w:p w14:paraId="609C7AEC" w14:textId="110234A8" w:rsidR="00EF2F18" w:rsidRPr="009C0892" w:rsidRDefault="00EF2F18" w:rsidP="009C0892">
            <w:pPr>
              <w:pStyle w:val="TableParagraph"/>
              <w:keepNext/>
              <w:ind w:left="31"/>
              <w:jc w:val="right"/>
              <w:rPr>
                <w:rFonts w:ascii="Times New Roman" w:hAnsi="Times New Roman" w:cs="Times New Roman"/>
                <w:spacing w:val="-2"/>
                <w:sz w:val="16"/>
                <w:szCs w:val="16"/>
              </w:rPr>
            </w:pPr>
            <w:r w:rsidRPr="00155597">
              <w:rPr>
                <w:rFonts w:ascii="Times New Roman" w:hAnsi="Times New Roman" w:cs="Times New Roman"/>
                <w:spacing w:val="-2"/>
                <w:sz w:val="16"/>
                <w:szCs w:val="16"/>
              </w:rPr>
              <w:t>Completed</w:t>
            </w:r>
            <w:r w:rsidR="00D461F9">
              <w:rPr>
                <w:rFonts w:ascii="Times New Roman" w:hAnsi="Times New Roman" w:cs="Times New Roman"/>
                <w:spacing w:val="-2"/>
                <w:sz w:val="16"/>
                <w:szCs w:val="16"/>
              </w:rPr>
              <w:t xml:space="preserve"> </w:t>
            </w:r>
            <w:r w:rsidRPr="00155597">
              <w:rPr>
                <w:rFonts w:ascii="Times New Roman" w:hAnsi="Times New Roman" w:cs="Times New Roman"/>
                <w:spacing w:val="-2"/>
                <w:sz w:val="16"/>
                <w:szCs w:val="16"/>
              </w:rPr>
              <w:t>Survey</w:t>
            </w:r>
            <w:r w:rsidRPr="00987D34">
              <w:rPr>
                <w:rFonts w:ascii="Times New Roman" w:hAnsi="Times New Roman" w:cs="Times New Roman"/>
                <w:spacing w:val="-2"/>
                <w:sz w:val="16"/>
                <w:szCs w:val="16"/>
                <w:vertAlign w:val="superscript"/>
              </w:rPr>
              <w:t>1</w:t>
            </w:r>
          </w:p>
        </w:tc>
        <w:tc>
          <w:tcPr>
            <w:tcW w:w="662" w:type="pct"/>
            <w:tcBorders>
              <w:top w:val="single" w:sz="8" w:space="0" w:color="000000"/>
              <w:left w:val="nil"/>
              <w:bottom w:val="single" w:sz="8" w:space="0" w:color="000000"/>
              <w:right w:val="nil"/>
            </w:tcBorders>
            <w:vAlign w:val="bottom"/>
          </w:tcPr>
          <w:p w14:paraId="6E249017" w14:textId="77777777" w:rsidR="00EF2F18" w:rsidRPr="009C0892" w:rsidRDefault="00EF2F18" w:rsidP="009C0892">
            <w:pPr>
              <w:pStyle w:val="TableParagraph"/>
              <w:keepNext/>
              <w:ind w:left="31"/>
              <w:jc w:val="right"/>
              <w:rPr>
                <w:rFonts w:ascii="Times New Roman" w:hAnsi="Times New Roman" w:cs="Times New Roman"/>
                <w:spacing w:val="-2"/>
                <w:sz w:val="16"/>
                <w:szCs w:val="16"/>
              </w:rPr>
            </w:pPr>
          </w:p>
          <w:p w14:paraId="0BB8B2D4" w14:textId="77777777" w:rsidR="00EF2F18" w:rsidRPr="009C0892" w:rsidRDefault="00EF2F18" w:rsidP="009C0892">
            <w:pPr>
              <w:pStyle w:val="TableParagraph"/>
              <w:keepNext/>
              <w:ind w:left="31"/>
              <w:jc w:val="right"/>
              <w:rPr>
                <w:rFonts w:ascii="Times New Roman" w:hAnsi="Times New Roman" w:cs="Times New Roman"/>
                <w:spacing w:val="-2"/>
                <w:sz w:val="16"/>
                <w:szCs w:val="16"/>
              </w:rPr>
            </w:pPr>
            <w:r w:rsidRPr="00155597">
              <w:rPr>
                <w:rFonts w:ascii="Times New Roman" w:hAnsi="Times New Roman" w:cs="Times New Roman"/>
                <w:spacing w:val="-2"/>
                <w:sz w:val="16"/>
                <w:szCs w:val="16"/>
              </w:rPr>
              <w:t>Non-</w:t>
            </w:r>
            <w:r w:rsidRPr="009C0892">
              <w:rPr>
                <w:rFonts w:ascii="Times New Roman" w:hAnsi="Times New Roman" w:cs="Times New Roman"/>
                <w:spacing w:val="-2"/>
                <w:sz w:val="16"/>
                <w:szCs w:val="16"/>
              </w:rPr>
              <w:t xml:space="preserve"> </w:t>
            </w:r>
            <w:r w:rsidRPr="00155597">
              <w:rPr>
                <w:rFonts w:ascii="Times New Roman" w:hAnsi="Times New Roman" w:cs="Times New Roman"/>
                <w:spacing w:val="-2"/>
                <w:sz w:val="16"/>
                <w:szCs w:val="16"/>
              </w:rPr>
              <w:t>respondents</w:t>
            </w:r>
            <w:r w:rsidRPr="00987D34">
              <w:rPr>
                <w:rFonts w:ascii="Times New Roman" w:hAnsi="Times New Roman" w:cs="Times New Roman"/>
                <w:spacing w:val="-2"/>
                <w:sz w:val="16"/>
                <w:szCs w:val="16"/>
                <w:vertAlign w:val="superscript"/>
              </w:rPr>
              <w:t>2</w:t>
            </w:r>
          </w:p>
        </w:tc>
        <w:tc>
          <w:tcPr>
            <w:tcW w:w="505" w:type="pct"/>
            <w:tcBorders>
              <w:top w:val="single" w:sz="8" w:space="0" w:color="000000"/>
              <w:left w:val="nil"/>
              <w:bottom w:val="single" w:sz="8" w:space="0" w:color="000000"/>
              <w:right w:val="nil"/>
            </w:tcBorders>
            <w:vAlign w:val="bottom"/>
          </w:tcPr>
          <w:p w14:paraId="47B114DB" w14:textId="77777777" w:rsidR="00EF2F18" w:rsidRPr="00987D34" w:rsidRDefault="00EF2F18" w:rsidP="00987D34">
            <w:pPr>
              <w:pStyle w:val="TableParagraph"/>
              <w:keepNext/>
              <w:ind w:left="158"/>
              <w:jc w:val="right"/>
              <w:rPr>
                <w:rFonts w:ascii="Times New Roman" w:hAnsi="Times New Roman" w:cs="Times New Roman"/>
                <w:spacing w:val="-1"/>
                <w:sz w:val="16"/>
                <w:szCs w:val="16"/>
              </w:rPr>
            </w:pPr>
          </w:p>
          <w:p w14:paraId="6F79E4FB" w14:textId="77777777" w:rsidR="00EF2F18" w:rsidRPr="00987D34" w:rsidRDefault="00EF2F18" w:rsidP="00987D34">
            <w:pPr>
              <w:pStyle w:val="TableParagraph"/>
              <w:keepNext/>
              <w:ind w:left="158"/>
              <w:jc w:val="right"/>
              <w:rPr>
                <w:rFonts w:ascii="Times New Roman" w:hAnsi="Times New Roman" w:cs="Times New Roman"/>
                <w:spacing w:val="-1"/>
                <w:sz w:val="16"/>
                <w:szCs w:val="16"/>
              </w:rPr>
            </w:pPr>
          </w:p>
          <w:p w14:paraId="32525FB4" w14:textId="77777777" w:rsidR="00EF2F18" w:rsidRPr="00987D34" w:rsidRDefault="00EF2F18" w:rsidP="00987D34">
            <w:pPr>
              <w:pStyle w:val="TableParagraph"/>
              <w:keepNext/>
              <w:ind w:left="158"/>
              <w:jc w:val="right"/>
              <w:rPr>
                <w:rFonts w:ascii="Times New Roman" w:hAnsi="Times New Roman" w:cs="Times New Roman"/>
                <w:spacing w:val="-1"/>
                <w:sz w:val="16"/>
                <w:szCs w:val="16"/>
              </w:rPr>
            </w:pPr>
            <w:r w:rsidRPr="00987D34">
              <w:rPr>
                <w:rFonts w:ascii="Times New Roman" w:hAnsi="Times New Roman" w:cs="Times New Roman"/>
                <w:spacing w:val="-1"/>
                <w:sz w:val="16"/>
                <w:szCs w:val="16"/>
              </w:rPr>
              <w:t>Ineligible</w:t>
            </w:r>
            <w:r w:rsidRPr="00987D34">
              <w:rPr>
                <w:rFonts w:ascii="Times New Roman" w:hAnsi="Times New Roman" w:cs="Times New Roman"/>
                <w:spacing w:val="-1"/>
                <w:sz w:val="16"/>
                <w:szCs w:val="16"/>
                <w:vertAlign w:val="superscript"/>
              </w:rPr>
              <w:t>3</w:t>
            </w:r>
          </w:p>
        </w:tc>
        <w:tc>
          <w:tcPr>
            <w:tcW w:w="775" w:type="pct"/>
            <w:tcBorders>
              <w:top w:val="single" w:sz="8" w:space="0" w:color="000000"/>
              <w:left w:val="nil"/>
              <w:bottom w:val="single" w:sz="8" w:space="0" w:color="000000"/>
              <w:right w:val="nil"/>
            </w:tcBorders>
            <w:vAlign w:val="bottom"/>
          </w:tcPr>
          <w:p w14:paraId="153BEC48" w14:textId="3FBBF04E" w:rsidR="00EF2F18" w:rsidRPr="009C0892" w:rsidRDefault="00EF2F18" w:rsidP="009C0892">
            <w:pPr>
              <w:pStyle w:val="TableParagraph"/>
              <w:keepNext/>
              <w:ind w:left="31"/>
              <w:jc w:val="right"/>
              <w:rPr>
                <w:rFonts w:ascii="Times New Roman" w:hAnsi="Times New Roman" w:cs="Times New Roman"/>
                <w:spacing w:val="-2"/>
                <w:sz w:val="16"/>
                <w:szCs w:val="16"/>
              </w:rPr>
            </w:pPr>
            <w:r w:rsidRPr="00155597">
              <w:rPr>
                <w:rFonts w:ascii="Times New Roman" w:hAnsi="Times New Roman" w:cs="Times New Roman"/>
                <w:spacing w:val="-2"/>
                <w:sz w:val="16"/>
                <w:szCs w:val="16"/>
              </w:rPr>
              <w:t>Unweighted</w:t>
            </w:r>
            <w:r w:rsidRPr="009C0892">
              <w:rPr>
                <w:rFonts w:ascii="Times New Roman" w:hAnsi="Times New Roman" w:cs="Times New Roman"/>
                <w:spacing w:val="-2"/>
                <w:sz w:val="16"/>
                <w:szCs w:val="16"/>
              </w:rPr>
              <w:t xml:space="preserve"> </w:t>
            </w:r>
            <w:r w:rsidRPr="00155597">
              <w:rPr>
                <w:rFonts w:ascii="Times New Roman" w:hAnsi="Times New Roman" w:cs="Times New Roman"/>
                <w:spacing w:val="-2"/>
                <w:sz w:val="16"/>
                <w:szCs w:val="16"/>
              </w:rPr>
              <w:t>response</w:t>
            </w:r>
            <w:r w:rsidR="00D461F9">
              <w:rPr>
                <w:rFonts w:ascii="Times New Roman" w:hAnsi="Times New Roman" w:cs="Times New Roman"/>
                <w:spacing w:val="-2"/>
                <w:sz w:val="16"/>
                <w:szCs w:val="16"/>
              </w:rPr>
              <w:t xml:space="preserve"> </w:t>
            </w:r>
            <w:r w:rsidRPr="009C0892">
              <w:rPr>
                <w:rFonts w:ascii="Times New Roman" w:hAnsi="Times New Roman" w:cs="Times New Roman"/>
                <w:spacing w:val="-2"/>
                <w:sz w:val="16"/>
                <w:szCs w:val="16"/>
              </w:rPr>
              <w:t>rate (percent)</w:t>
            </w:r>
            <w:r w:rsidRPr="00987D34">
              <w:rPr>
                <w:rFonts w:ascii="Times New Roman" w:hAnsi="Times New Roman" w:cs="Times New Roman"/>
                <w:spacing w:val="-2"/>
                <w:sz w:val="16"/>
                <w:szCs w:val="16"/>
                <w:vertAlign w:val="superscript"/>
              </w:rPr>
              <w:t>4</w:t>
            </w:r>
          </w:p>
        </w:tc>
        <w:tc>
          <w:tcPr>
            <w:tcW w:w="719" w:type="pct"/>
            <w:tcBorders>
              <w:top w:val="single" w:sz="8" w:space="0" w:color="000000"/>
              <w:left w:val="nil"/>
              <w:bottom w:val="single" w:sz="8" w:space="0" w:color="000000"/>
              <w:right w:val="nil"/>
            </w:tcBorders>
            <w:vAlign w:val="bottom"/>
          </w:tcPr>
          <w:p w14:paraId="6E277AA4" w14:textId="721F432E" w:rsidR="00EF2F18" w:rsidRPr="009C0892" w:rsidRDefault="00EF2F18" w:rsidP="009C0892">
            <w:pPr>
              <w:pStyle w:val="TableParagraph"/>
              <w:keepNext/>
              <w:ind w:left="31"/>
              <w:jc w:val="right"/>
              <w:rPr>
                <w:rFonts w:ascii="Times New Roman" w:hAnsi="Times New Roman" w:cs="Times New Roman"/>
                <w:spacing w:val="-2"/>
                <w:sz w:val="16"/>
                <w:szCs w:val="16"/>
              </w:rPr>
            </w:pPr>
            <w:r w:rsidRPr="009C0892">
              <w:rPr>
                <w:rFonts w:ascii="Times New Roman" w:hAnsi="Times New Roman" w:cs="Times New Roman"/>
                <w:spacing w:val="-2"/>
                <w:sz w:val="16"/>
                <w:szCs w:val="16"/>
              </w:rPr>
              <w:t xml:space="preserve">Weighted </w:t>
            </w:r>
            <w:r w:rsidRPr="00155597">
              <w:rPr>
                <w:rFonts w:ascii="Times New Roman" w:hAnsi="Times New Roman" w:cs="Times New Roman"/>
                <w:spacing w:val="-2"/>
                <w:sz w:val="16"/>
                <w:szCs w:val="16"/>
              </w:rPr>
              <w:t>response</w:t>
            </w:r>
            <w:r w:rsidR="00D461F9">
              <w:rPr>
                <w:rFonts w:ascii="Times New Roman" w:hAnsi="Times New Roman" w:cs="Times New Roman"/>
                <w:spacing w:val="-2"/>
                <w:sz w:val="16"/>
                <w:szCs w:val="16"/>
              </w:rPr>
              <w:t xml:space="preserve"> </w:t>
            </w:r>
            <w:r w:rsidRPr="009C0892">
              <w:rPr>
                <w:rFonts w:ascii="Times New Roman" w:hAnsi="Times New Roman" w:cs="Times New Roman"/>
                <w:spacing w:val="-2"/>
                <w:sz w:val="16"/>
                <w:szCs w:val="16"/>
              </w:rPr>
              <w:t>rate (percent)</w:t>
            </w:r>
            <w:r w:rsidRPr="00987D34">
              <w:rPr>
                <w:rFonts w:ascii="Times New Roman" w:hAnsi="Times New Roman" w:cs="Times New Roman"/>
                <w:spacing w:val="-2"/>
                <w:sz w:val="16"/>
                <w:szCs w:val="16"/>
                <w:vertAlign w:val="superscript"/>
              </w:rPr>
              <w:t>5</w:t>
            </w:r>
          </w:p>
        </w:tc>
      </w:tr>
      <w:tr w:rsidR="00EF2F18" w:rsidRPr="00155597" w14:paraId="2A90E442" w14:textId="77777777" w:rsidTr="00D461F9">
        <w:trPr>
          <w:trHeight w:hRule="exact" w:val="229"/>
        </w:trPr>
        <w:tc>
          <w:tcPr>
            <w:tcW w:w="1143" w:type="pct"/>
            <w:tcBorders>
              <w:top w:val="single" w:sz="8" w:space="0" w:color="000000"/>
              <w:left w:val="nil"/>
              <w:bottom w:val="nil"/>
              <w:right w:val="nil"/>
            </w:tcBorders>
          </w:tcPr>
          <w:p w14:paraId="2FB4A972" w14:textId="77777777" w:rsidR="00EF2F18" w:rsidRPr="00155597" w:rsidRDefault="00EF2F18" w:rsidP="009F74CA">
            <w:pPr>
              <w:pStyle w:val="TableParagraph"/>
              <w:keepNext/>
              <w:spacing w:before="7"/>
              <w:ind w:left="275"/>
              <w:rPr>
                <w:rFonts w:ascii="Times New Roman" w:eastAsia="Arial" w:hAnsi="Times New Roman" w:cs="Times New Roman"/>
                <w:sz w:val="16"/>
                <w:szCs w:val="16"/>
              </w:rPr>
            </w:pPr>
            <w:r w:rsidRPr="00155597">
              <w:rPr>
                <w:rFonts w:ascii="Times New Roman" w:hAnsi="Times New Roman" w:cs="Times New Roman"/>
                <w:spacing w:val="-2"/>
                <w:sz w:val="16"/>
                <w:szCs w:val="16"/>
              </w:rPr>
              <w:t>Total</w:t>
            </w:r>
          </w:p>
        </w:tc>
        <w:tc>
          <w:tcPr>
            <w:tcW w:w="653" w:type="pct"/>
            <w:tcBorders>
              <w:top w:val="single" w:sz="8" w:space="0" w:color="000000"/>
              <w:left w:val="nil"/>
              <w:bottom w:val="nil"/>
              <w:right w:val="nil"/>
            </w:tcBorders>
            <w:vAlign w:val="bottom"/>
          </w:tcPr>
          <w:p w14:paraId="40D53DC6" w14:textId="77777777" w:rsidR="00EF2F18" w:rsidRPr="00155597" w:rsidRDefault="00EF2F18" w:rsidP="009F74CA">
            <w:pPr>
              <w:pStyle w:val="TableParagraph"/>
              <w:keepNext/>
              <w:spacing w:before="7"/>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4,803</w:t>
            </w:r>
          </w:p>
        </w:tc>
        <w:tc>
          <w:tcPr>
            <w:tcW w:w="543" w:type="pct"/>
            <w:tcBorders>
              <w:top w:val="single" w:sz="8" w:space="0" w:color="000000"/>
              <w:left w:val="nil"/>
              <w:bottom w:val="nil"/>
              <w:right w:val="nil"/>
            </w:tcBorders>
            <w:vAlign w:val="bottom"/>
          </w:tcPr>
          <w:p w14:paraId="4FAFBA15" w14:textId="77777777" w:rsidR="00EF2F18" w:rsidRPr="00155597" w:rsidRDefault="00EF2F18" w:rsidP="009F74CA">
            <w:pPr>
              <w:pStyle w:val="TableParagraph"/>
              <w:keepNext/>
              <w:spacing w:before="7"/>
              <w:ind w:left="477"/>
              <w:jc w:val="right"/>
              <w:rPr>
                <w:rFonts w:ascii="Times New Roman" w:eastAsia="Arial" w:hAnsi="Times New Roman" w:cs="Times New Roman"/>
                <w:sz w:val="16"/>
                <w:szCs w:val="16"/>
              </w:rPr>
            </w:pPr>
            <w:r w:rsidRPr="00155597">
              <w:rPr>
                <w:rFonts w:ascii="Times New Roman" w:hAnsi="Times New Roman" w:cs="Times New Roman"/>
                <w:sz w:val="18"/>
                <w:szCs w:val="18"/>
              </w:rPr>
              <w:t>2,762</w:t>
            </w:r>
          </w:p>
        </w:tc>
        <w:tc>
          <w:tcPr>
            <w:tcW w:w="662" w:type="pct"/>
            <w:tcBorders>
              <w:top w:val="single" w:sz="8" w:space="0" w:color="000000"/>
              <w:left w:val="nil"/>
              <w:bottom w:val="nil"/>
              <w:right w:val="nil"/>
            </w:tcBorders>
            <w:vAlign w:val="bottom"/>
          </w:tcPr>
          <w:p w14:paraId="238299B6" w14:textId="77777777" w:rsidR="00EF2F18" w:rsidRPr="00155597" w:rsidRDefault="00EF2F18" w:rsidP="009F74CA">
            <w:pPr>
              <w:pStyle w:val="TableParagraph"/>
              <w:keepNext/>
              <w:spacing w:before="7"/>
              <w:jc w:val="right"/>
              <w:rPr>
                <w:rFonts w:ascii="Times New Roman" w:eastAsia="Arial" w:hAnsi="Times New Roman" w:cs="Times New Roman"/>
                <w:sz w:val="16"/>
                <w:szCs w:val="16"/>
              </w:rPr>
            </w:pPr>
            <w:r w:rsidRPr="00155597">
              <w:rPr>
                <w:rFonts w:ascii="Times New Roman" w:hAnsi="Times New Roman" w:cs="Times New Roman"/>
                <w:sz w:val="18"/>
                <w:szCs w:val="18"/>
              </w:rPr>
              <w:t>1,975</w:t>
            </w:r>
          </w:p>
        </w:tc>
        <w:tc>
          <w:tcPr>
            <w:tcW w:w="505" w:type="pct"/>
            <w:tcBorders>
              <w:top w:val="single" w:sz="8" w:space="0" w:color="000000"/>
              <w:left w:val="nil"/>
              <w:bottom w:val="nil"/>
              <w:right w:val="nil"/>
            </w:tcBorders>
            <w:vAlign w:val="bottom"/>
          </w:tcPr>
          <w:p w14:paraId="644FAC0A" w14:textId="77777777" w:rsidR="00EF2F18" w:rsidRPr="00155597" w:rsidRDefault="00EF2F18" w:rsidP="009F74CA">
            <w:pPr>
              <w:pStyle w:val="TableParagraph"/>
              <w:keepNext/>
              <w:spacing w:before="7"/>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66</w:t>
            </w:r>
          </w:p>
        </w:tc>
        <w:tc>
          <w:tcPr>
            <w:tcW w:w="775" w:type="pct"/>
            <w:tcBorders>
              <w:top w:val="single" w:sz="8" w:space="0" w:color="000000"/>
              <w:left w:val="nil"/>
              <w:bottom w:val="nil"/>
              <w:right w:val="nil"/>
            </w:tcBorders>
            <w:vAlign w:val="bottom"/>
          </w:tcPr>
          <w:p w14:paraId="5F87DC10" w14:textId="77777777" w:rsidR="00EF2F18" w:rsidRPr="00155597" w:rsidRDefault="00EF2F18" w:rsidP="009F74CA">
            <w:pPr>
              <w:pStyle w:val="TableParagraph"/>
              <w:keepNext/>
              <w:spacing w:before="7"/>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58.3</w:t>
            </w:r>
          </w:p>
        </w:tc>
        <w:tc>
          <w:tcPr>
            <w:tcW w:w="719" w:type="pct"/>
            <w:tcBorders>
              <w:top w:val="single" w:sz="8" w:space="0" w:color="000000"/>
              <w:left w:val="nil"/>
              <w:bottom w:val="nil"/>
              <w:right w:val="nil"/>
            </w:tcBorders>
            <w:vAlign w:val="bottom"/>
          </w:tcPr>
          <w:p w14:paraId="7A12493F" w14:textId="77777777" w:rsidR="00EF2F18" w:rsidRPr="00155597" w:rsidRDefault="00EF2F18" w:rsidP="009F74CA">
            <w:pPr>
              <w:pStyle w:val="TableParagraph"/>
              <w:keepNext/>
              <w:spacing w:before="7"/>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61.7</w:t>
            </w:r>
          </w:p>
        </w:tc>
      </w:tr>
      <w:tr w:rsidR="00EF2F18" w:rsidRPr="00155597" w14:paraId="500A2DD3" w14:textId="77777777" w:rsidTr="009F74CA">
        <w:trPr>
          <w:trHeight w:hRule="exact" w:val="288"/>
        </w:trPr>
        <w:tc>
          <w:tcPr>
            <w:tcW w:w="5000" w:type="pct"/>
            <w:gridSpan w:val="7"/>
            <w:tcBorders>
              <w:top w:val="nil"/>
              <w:left w:val="nil"/>
              <w:bottom w:val="nil"/>
              <w:right w:val="nil"/>
            </w:tcBorders>
          </w:tcPr>
          <w:p w14:paraId="139180E3" w14:textId="77777777" w:rsidR="00EF2F18" w:rsidRPr="00155597" w:rsidRDefault="00EF2F18" w:rsidP="009F74CA">
            <w:pPr>
              <w:pStyle w:val="TableParagraph"/>
              <w:keepNext/>
              <w:spacing w:before="43"/>
              <w:ind w:left="31"/>
              <w:rPr>
                <w:rFonts w:ascii="Times New Roman" w:eastAsia="Arial" w:hAnsi="Times New Roman" w:cs="Times New Roman"/>
                <w:sz w:val="16"/>
                <w:szCs w:val="16"/>
              </w:rPr>
            </w:pPr>
            <w:r w:rsidRPr="00155597">
              <w:rPr>
                <w:rFonts w:ascii="Times New Roman" w:hAnsi="Times New Roman" w:cs="Times New Roman"/>
                <w:spacing w:val="-1"/>
                <w:sz w:val="16"/>
                <w:szCs w:val="16"/>
              </w:rPr>
              <w:t>Level</w:t>
            </w:r>
            <w:r w:rsidRPr="00155597">
              <w:rPr>
                <w:rFonts w:ascii="Times New Roman" w:hAnsi="Times New Roman" w:cs="Times New Roman"/>
                <w:spacing w:val="-1"/>
                <w:sz w:val="16"/>
                <w:szCs w:val="16"/>
                <w:vertAlign w:val="superscript"/>
              </w:rPr>
              <w:t>6</w:t>
            </w:r>
          </w:p>
        </w:tc>
      </w:tr>
      <w:tr w:rsidR="00EF2F18" w:rsidRPr="00155597" w14:paraId="2C7727E6" w14:textId="77777777" w:rsidTr="00D461F9">
        <w:trPr>
          <w:trHeight w:hRule="exact" w:val="205"/>
        </w:trPr>
        <w:tc>
          <w:tcPr>
            <w:tcW w:w="1143" w:type="pct"/>
            <w:tcBorders>
              <w:top w:val="nil"/>
              <w:left w:val="nil"/>
              <w:bottom w:val="nil"/>
              <w:right w:val="nil"/>
            </w:tcBorders>
          </w:tcPr>
          <w:p w14:paraId="318CDBAF" w14:textId="77777777" w:rsidR="00EF2F18" w:rsidRPr="00155597" w:rsidRDefault="00EF2F18" w:rsidP="009F74CA">
            <w:pPr>
              <w:pStyle w:val="TableParagraph"/>
              <w:keepNext/>
              <w:spacing w:before="4"/>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Primary</w:t>
            </w:r>
          </w:p>
        </w:tc>
        <w:tc>
          <w:tcPr>
            <w:tcW w:w="653" w:type="pct"/>
            <w:tcBorders>
              <w:top w:val="nil"/>
              <w:left w:val="nil"/>
              <w:bottom w:val="nil"/>
              <w:right w:val="nil"/>
            </w:tcBorders>
            <w:vAlign w:val="bottom"/>
          </w:tcPr>
          <w:p w14:paraId="03D48EDC" w14:textId="77777777" w:rsidR="00EF2F18" w:rsidRPr="00155597" w:rsidRDefault="00EF2F18" w:rsidP="009F74CA">
            <w:pPr>
              <w:pStyle w:val="TableParagraph"/>
              <w:keepNext/>
              <w:spacing w:before="4"/>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1,170</w:t>
            </w:r>
          </w:p>
        </w:tc>
        <w:tc>
          <w:tcPr>
            <w:tcW w:w="543" w:type="pct"/>
            <w:tcBorders>
              <w:top w:val="nil"/>
              <w:left w:val="nil"/>
              <w:bottom w:val="nil"/>
              <w:right w:val="nil"/>
            </w:tcBorders>
            <w:vAlign w:val="bottom"/>
          </w:tcPr>
          <w:p w14:paraId="0C794FF0" w14:textId="77777777" w:rsidR="00EF2F18" w:rsidRPr="00155597" w:rsidRDefault="00EF2F18" w:rsidP="009F74CA">
            <w:pPr>
              <w:pStyle w:val="TableParagraph"/>
              <w:keepNext/>
              <w:spacing w:before="4"/>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671</w:t>
            </w:r>
          </w:p>
        </w:tc>
        <w:tc>
          <w:tcPr>
            <w:tcW w:w="662" w:type="pct"/>
            <w:tcBorders>
              <w:top w:val="nil"/>
              <w:left w:val="nil"/>
              <w:bottom w:val="nil"/>
              <w:right w:val="nil"/>
            </w:tcBorders>
            <w:vAlign w:val="bottom"/>
          </w:tcPr>
          <w:p w14:paraId="24FC5EA4" w14:textId="77777777" w:rsidR="00EF2F18" w:rsidRPr="00155597" w:rsidRDefault="00EF2F18" w:rsidP="009F74CA">
            <w:pPr>
              <w:pStyle w:val="TableParagraph"/>
              <w:keepNext/>
              <w:spacing w:before="4"/>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477</w:t>
            </w:r>
          </w:p>
        </w:tc>
        <w:tc>
          <w:tcPr>
            <w:tcW w:w="505" w:type="pct"/>
            <w:tcBorders>
              <w:top w:val="nil"/>
              <w:left w:val="nil"/>
              <w:bottom w:val="nil"/>
              <w:right w:val="nil"/>
            </w:tcBorders>
            <w:vAlign w:val="bottom"/>
          </w:tcPr>
          <w:p w14:paraId="00C772C1" w14:textId="77777777" w:rsidR="00EF2F18" w:rsidRPr="00155597" w:rsidRDefault="00EF2F18" w:rsidP="009F74CA">
            <w:pPr>
              <w:pStyle w:val="TableParagraph"/>
              <w:keepNext/>
              <w:spacing w:before="4"/>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22</w:t>
            </w:r>
          </w:p>
        </w:tc>
        <w:tc>
          <w:tcPr>
            <w:tcW w:w="775" w:type="pct"/>
            <w:tcBorders>
              <w:top w:val="nil"/>
              <w:left w:val="nil"/>
              <w:bottom w:val="nil"/>
              <w:right w:val="nil"/>
            </w:tcBorders>
            <w:vAlign w:val="bottom"/>
          </w:tcPr>
          <w:p w14:paraId="7E89F9ED" w14:textId="77777777" w:rsidR="00EF2F18" w:rsidRPr="00155597" w:rsidRDefault="00EF2F18" w:rsidP="009F74CA">
            <w:pPr>
              <w:pStyle w:val="TableParagraph"/>
              <w:keepNext/>
              <w:spacing w:before="4"/>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58.4</w:t>
            </w:r>
          </w:p>
        </w:tc>
        <w:tc>
          <w:tcPr>
            <w:tcW w:w="719" w:type="pct"/>
            <w:tcBorders>
              <w:top w:val="nil"/>
              <w:left w:val="nil"/>
              <w:bottom w:val="nil"/>
              <w:right w:val="nil"/>
            </w:tcBorders>
            <w:vAlign w:val="bottom"/>
          </w:tcPr>
          <w:p w14:paraId="0E45F290" w14:textId="77777777" w:rsidR="00EF2F18" w:rsidRPr="00155597" w:rsidRDefault="00EF2F18" w:rsidP="009F74CA">
            <w:pPr>
              <w:pStyle w:val="TableParagraph"/>
              <w:keepNext/>
              <w:spacing w:before="4"/>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60.8</w:t>
            </w:r>
          </w:p>
        </w:tc>
      </w:tr>
      <w:tr w:rsidR="00EF2F18" w:rsidRPr="00155597" w14:paraId="7B5E216C" w14:textId="77777777" w:rsidTr="00D461F9">
        <w:trPr>
          <w:trHeight w:hRule="exact" w:val="214"/>
        </w:trPr>
        <w:tc>
          <w:tcPr>
            <w:tcW w:w="1143" w:type="pct"/>
            <w:tcBorders>
              <w:top w:val="nil"/>
              <w:left w:val="nil"/>
              <w:bottom w:val="nil"/>
              <w:right w:val="nil"/>
            </w:tcBorders>
          </w:tcPr>
          <w:p w14:paraId="7242751F"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Middle</w:t>
            </w:r>
          </w:p>
        </w:tc>
        <w:tc>
          <w:tcPr>
            <w:tcW w:w="653" w:type="pct"/>
            <w:tcBorders>
              <w:top w:val="nil"/>
              <w:left w:val="nil"/>
              <w:bottom w:val="nil"/>
              <w:right w:val="nil"/>
            </w:tcBorders>
            <w:vAlign w:val="bottom"/>
          </w:tcPr>
          <w:p w14:paraId="7A942CE8"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1,704</w:t>
            </w:r>
          </w:p>
        </w:tc>
        <w:tc>
          <w:tcPr>
            <w:tcW w:w="543" w:type="pct"/>
            <w:tcBorders>
              <w:top w:val="nil"/>
              <w:left w:val="nil"/>
              <w:bottom w:val="nil"/>
              <w:right w:val="nil"/>
            </w:tcBorders>
            <w:vAlign w:val="bottom"/>
          </w:tcPr>
          <w:p w14:paraId="218BA9DB"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975</w:t>
            </w:r>
          </w:p>
        </w:tc>
        <w:tc>
          <w:tcPr>
            <w:tcW w:w="662" w:type="pct"/>
            <w:tcBorders>
              <w:top w:val="nil"/>
              <w:left w:val="nil"/>
              <w:bottom w:val="nil"/>
              <w:right w:val="nil"/>
            </w:tcBorders>
            <w:vAlign w:val="bottom"/>
          </w:tcPr>
          <w:p w14:paraId="06000DDB"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703</w:t>
            </w:r>
          </w:p>
        </w:tc>
        <w:tc>
          <w:tcPr>
            <w:tcW w:w="505" w:type="pct"/>
            <w:tcBorders>
              <w:top w:val="nil"/>
              <w:left w:val="nil"/>
              <w:bottom w:val="nil"/>
              <w:right w:val="nil"/>
            </w:tcBorders>
            <w:vAlign w:val="bottom"/>
          </w:tcPr>
          <w:p w14:paraId="4B202F20"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26</w:t>
            </w:r>
          </w:p>
        </w:tc>
        <w:tc>
          <w:tcPr>
            <w:tcW w:w="775" w:type="pct"/>
            <w:tcBorders>
              <w:top w:val="nil"/>
              <w:left w:val="nil"/>
              <w:bottom w:val="nil"/>
              <w:right w:val="nil"/>
            </w:tcBorders>
            <w:vAlign w:val="bottom"/>
          </w:tcPr>
          <w:p w14:paraId="2CBCAAAE"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58.1</w:t>
            </w:r>
          </w:p>
        </w:tc>
        <w:tc>
          <w:tcPr>
            <w:tcW w:w="719" w:type="pct"/>
            <w:tcBorders>
              <w:top w:val="nil"/>
              <w:left w:val="nil"/>
              <w:bottom w:val="nil"/>
              <w:right w:val="nil"/>
            </w:tcBorders>
            <w:vAlign w:val="bottom"/>
          </w:tcPr>
          <w:p w14:paraId="5CEC96B2"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60.7</w:t>
            </w:r>
          </w:p>
        </w:tc>
      </w:tr>
      <w:tr w:rsidR="00EF2F18" w:rsidRPr="00155597" w14:paraId="47303FB8" w14:textId="77777777" w:rsidTr="00D461F9">
        <w:trPr>
          <w:trHeight w:hRule="exact" w:val="214"/>
        </w:trPr>
        <w:tc>
          <w:tcPr>
            <w:tcW w:w="1143" w:type="pct"/>
            <w:tcBorders>
              <w:top w:val="nil"/>
              <w:left w:val="nil"/>
              <w:bottom w:val="nil"/>
              <w:right w:val="nil"/>
            </w:tcBorders>
          </w:tcPr>
          <w:p w14:paraId="6535289D"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High</w:t>
            </w:r>
            <w:r w:rsidRPr="00155597">
              <w:rPr>
                <w:rFonts w:ascii="Times New Roman" w:hAnsi="Times New Roman" w:cs="Times New Roman"/>
                <w:spacing w:val="-11"/>
                <w:sz w:val="16"/>
                <w:szCs w:val="16"/>
              </w:rPr>
              <w:t xml:space="preserve"> </w:t>
            </w:r>
            <w:r w:rsidRPr="00155597">
              <w:rPr>
                <w:rFonts w:ascii="Times New Roman" w:hAnsi="Times New Roman" w:cs="Times New Roman"/>
                <w:spacing w:val="-2"/>
                <w:sz w:val="16"/>
                <w:szCs w:val="16"/>
              </w:rPr>
              <w:t>school</w:t>
            </w:r>
          </w:p>
        </w:tc>
        <w:tc>
          <w:tcPr>
            <w:tcW w:w="653" w:type="pct"/>
            <w:tcBorders>
              <w:top w:val="nil"/>
              <w:left w:val="nil"/>
              <w:bottom w:val="nil"/>
              <w:right w:val="nil"/>
            </w:tcBorders>
            <w:vAlign w:val="bottom"/>
          </w:tcPr>
          <w:p w14:paraId="4363FCF4"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1,748</w:t>
            </w:r>
          </w:p>
        </w:tc>
        <w:tc>
          <w:tcPr>
            <w:tcW w:w="543" w:type="pct"/>
            <w:tcBorders>
              <w:top w:val="nil"/>
              <w:left w:val="nil"/>
              <w:bottom w:val="nil"/>
              <w:right w:val="nil"/>
            </w:tcBorders>
            <w:vAlign w:val="bottom"/>
          </w:tcPr>
          <w:p w14:paraId="6DEC0863"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997</w:t>
            </w:r>
          </w:p>
        </w:tc>
        <w:tc>
          <w:tcPr>
            <w:tcW w:w="662" w:type="pct"/>
            <w:tcBorders>
              <w:top w:val="nil"/>
              <w:left w:val="nil"/>
              <w:bottom w:val="nil"/>
              <w:right w:val="nil"/>
            </w:tcBorders>
            <w:vAlign w:val="bottom"/>
          </w:tcPr>
          <w:p w14:paraId="130A9F73"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740</w:t>
            </w:r>
          </w:p>
        </w:tc>
        <w:tc>
          <w:tcPr>
            <w:tcW w:w="505" w:type="pct"/>
            <w:tcBorders>
              <w:top w:val="nil"/>
              <w:left w:val="nil"/>
              <w:bottom w:val="nil"/>
              <w:right w:val="nil"/>
            </w:tcBorders>
            <w:vAlign w:val="bottom"/>
          </w:tcPr>
          <w:p w14:paraId="1993BE65"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11</w:t>
            </w:r>
          </w:p>
        </w:tc>
        <w:tc>
          <w:tcPr>
            <w:tcW w:w="775" w:type="pct"/>
            <w:tcBorders>
              <w:top w:val="nil"/>
              <w:left w:val="nil"/>
              <w:bottom w:val="nil"/>
              <w:right w:val="nil"/>
            </w:tcBorders>
            <w:vAlign w:val="bottom"/>
          </w:tcPr>
          <w:p w14:paraId="53FBE455"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57.4</w:t>
            </w:r>
          </w:p>
        </w:tc>
        <w:tc>
          <w:tcPr>
            <w:tcW w:w="719" w:type="pct"/>
            <w:tcBorders>
              <w:top w:val="nil"/>
              <w:left w:val="nil"/>
              <w:bottom w:val="nil"/>
              <w:right w:val="nil"/>
            </w:tcBorders>
            <w:vAlign w:val="bottom"/>
          </w:tcPr>
          <w:p w14:paraId="01738133"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61.4</w:t>
            </w:r>
          </w:p>
        </w:tc>
      </w:tr>
      <w:tr w:rsidR="00EF2F18" w:rsidRPr="00155597" w14:paraId="094BE0DF" w14:textId="77777777" w:rsidTr="00D461F9">
        <w:trPr>
          <w:trHeight w:hRule="exact" w:val="244"/>
        </w:trPr>
        <w:tc>
          <w:tcPr>
            <w:tcW w:w="1143" w:type="pct"/>
            <w:tcBorders>
              <w:top w:val="nil"/>
              <w:left w:val="nil"/>
              <w:bottom w:val="nil"/>
              <w:right w:val="nil"/>
            </w:tcBorders>
          </w:tcPr>
          <w:p w14:paraId="2109468B"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Combined</w:t>
            </w:r>
          </w:p>
        </w:tc>
        <w:tc>
          <w:tcPr>
            <w:tcW w:w="653" w:type="pct"/>
            <w:tcBorders>
              <w:top w:val="nil"/>
              <w:left w:val="nil"/>
              <w:bottom w:val="nil"/>
              <w:right w:val="nil"/>
            </w:tcBorders>
            <w:vAlign w:val="bottom"/>
          </w:tcPr>
          <w:p w14:paraId="7BE4197C" w14:textId="77777777" w:rsidR="00EF2F18" w:rsidRPr="00155597" w:rsidRDefault="00EF2F18" w:rsidP="009F74CA">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181</w:t>
            </w:r>
          </w:p>
        </w:tc>
        <w:tc>
          <w:tcPr>
            <w:tcW w:w="543" w:type="pct"/>
            <w:tcBorders>
              <w:top w:val="nil"/>
              <w:left w:val="nil"/>
              <w:bottom w:val="nil"/>
              <w:right w:val="nil"/>
            </w:tcBorders>
            <w:vAlign w:val="bottom"/>
          </w:tcPr>
          <w:p w14:paraId="78B2A5D3"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119</w:t>
            </w:r>
          </w:p>
        </w:tc>
        <w:tc>
          <w:tcPr>
            <w:tcW w:w="662" w:type="pct"/>
            <w:tcBorders>
              <w:top w:val="nil"/>
              <w:left w:val="nil"/>
              <w:bottom w:val="nil"/>
              <w:right w:val="nil"/>
            </w:tcBorders>
            <w:vAlign w:val="bottom"/>
          </w:tcPr>
          <w:p w14:paraId="7890928D" w14:textId="77777777" w:rsidR="00EF2F18" w:rsidRPr="00155597" w:rsidRDefault="00EF2F18" w:rsidP="009F74CA">
            <w:pPr>
              <w:pStyle w:val="TableParagraph"/>
              <w:keepNext/>
              <w:spacing w:before="12"/>
              <w:jc w:val="right"/>
              <w:rPr>
                <w:rFonts w:ascii="Times New Roman" w:eastAsia="Arial" w:hAnsi="Times New Roman" w:cs="Times New Roman"/>
                <w:sz w:val="16"/>
                <w:szCs w:val="16"/>
              </w:rPr>
            </w:pPr>
            <w:r w:rsidRPr="00155597">
              <w:rPr>
                <w:rFonts w:ascii="Times New Roman" w:hAnsi="Times New Roman" w:cs="Times New Roman"/>
                <w:sz w:val="18"/>
                <w:szCs w:val="18"/>
              </w:rPr>
              <w:t>55</w:t>
            </w:r>
          </w:p>
        </w:tc>
        <w:tc>
          <w:tcPr>
            <w:tcW w:w="505" w:type="pct"/>
            <w:tcBorders>
              <w:top w:val="nil"/>
              <w:left w:val="nil"/>
              <w:bottom w:val="nil"/>
              <w:right w:val="nil"/>
            </w:tcBorders>
            <w:vAlign w:val="bottom"/>
          </w:tcPr>
          <w:p w14:paraId="5D5311A6" w14:textId="77777777" w:rsidR="00EF2F18" w:rsidRPr="00155597" w:rsidRDefault="00EF2F18" w:rsidP="009F74CA">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7</w:t>
            </w:r>
          </w:p>
        </w:tc>
        <w:tc>
          <w:tcPr>
            <w:tcW w:w="775" w:type="pct"/>
            <w:tcBorders>
              <w:top w:val="nil"/>
              <w:left w:val="nil"/>
              <w:bottom w:val="nil"/>
              <w:right w:val="nil"/>
            </w:tcBorders>
            <w:vAlign w:val="bottom"/>
          </w:tcPr>
          <w:p w14:paraId="56D8F2D5"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68.4</w:t>
            </w:r>
          </w:p>
        </w:tc>
        <w:tc>
          <w:tcPr>
            <w:tcW w:w="719" w:type="pct"/>
            <w:tcBorders>
              <w:top w:val="nil"/>
              <w:left w:val="nil"/>
              <w:bottom w:val="nil"/>
              <w:right w:val="nil"/>
            </w:tcBorders>
            <w:vAlign w:val="bottom"/>
          </w:tcPr>
          <w:p w14:paraId="5BE8B3F0"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71.5</w:t>
            </w:r>
          </w:p>
        </w:tc>
      </w:tr>
      <w:tr w:rsidR="00EF2F18" w:rsidRPr="00155597" w14:paraId="458C2478" w14:textId="77777777" w:rsidTr="009F74CA">
        <w:trPr>
          <w:trHeight w:hRule="exact" w:val="242"/>
        </w:trPr>
        <w:tc>
          <w:tcPr>
            <w:tcW w:w="5000" w:type="pct"/>
            <w:gridSpan w:val="7"/>
            <w:tcBorders>
              <w:top w:val="nil"/>
              <w:left w:val="nil"/>
              <w:bottom w:val="nil"/>
              <w:right w:val="nil"/>
            </w:tcBorders>
          </w:tcPr>
          <w:p w14:paraId="3EFE86F4" w14:textId="77777777" w:rsidR="00EF2F18" w:rsidRPr="00155597" w:rsidRDefault="00EF2F18" w:rsidP="009F74CA">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1"/>
                <w:sz w:val="16"/>
                <w:szCs w:val="16"/>
              </w:rPr>
              <w:t>Enrollment</w:t>
            </w:r>
            <w:r w:rsidRPr="00155597">
              <w:rPr>
                <w:rFonts w:ascii="Times New Roman" w:hAnsi="Times New Roman" w:cs="Times New Roman"/>
                <w:spacing w:val="-12"/>
                <w:sz w:val="16"/>
                <w:szCs w:val="16"/>
              </w:rPr>
              <w:t xml:space="preserve"> </w:t>
            </w:r>
            <w:r w:rsidRPr="00155597">
              <w:rPr>
                <w:rFonts w:ascii="Times New Roman" w:hAnsi="Times New Roman" w:cs="Times New Roman"/>
                <w:spacing w:val="-1"/>
                <w:sz w:val="16"/>
                <w:szCs w:val="16"/>
              </w:rPr>
              <w:t>size</w:t>
            </w:r>
          </w:p>
        </w:tc>
      </w:tr>
      <w:tr w:rsidR="00EF2F18" w:rsidRPr="00155597" w14:paraId="01A09170" w14:textId="77777777" w:rsidTr="00D461F9">
        <w:trPr>
          <w:trHeight w:hRule="exact" w:val="212"/>
        </w:trPr>
        <w:tc>
          <w:tcPr>
            <w:tcW w:w="1143" w:type="pct"/>
            <w:tcBorders>
              <w:top w:val="nil"/>
              <w:left w:val="nil"/>
              <w:bottom w:val="nil"/>
              <w:right w:val="nil"/>
            </w:tcBorders>
          </w:tcPr>
          <w:p w14:paraId="2C5FE3AA" w14:textId="77777777" w:rsidR="00EF2F18" w:rsidRPr="00155597" w:rsidRDefault="00EF2F18" w:rsidP="009F74CA">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Less</w:t>
            </w:r>
            <w:r w:rsidRPr="00155597">
              <w:rPr>
                <w:rFonts w:ascii="Times New Roman" w:hAnsi="Times New Roman" w:cs="Times New Roman"/>
                <w:spacing w:val="-5"/>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300</w:t>
            </w:r>
          </w:p>
        </w:tc>
        <w:tc>
          <w:tcPr>
            <w:tcW w:w="653" w:type="pct"/>
            <w:tcBorders>
              <w:top w:val="nil"/>
              <w:left w:val="nil"/>
              <w:bottom w:val="nil"/>
              <w:right w:val="nil"/>
            </w:tcBorders>
            <w:vAlign w:val="bottom"/>
          </w:tcPr>
          <w:p w14:paraId="75ADC2F4" w14:textId="77777777" w:rsidR="00EF2F18" w:rsidRPr="00155597" w:rsidRDefault="00EF2F18" w:rsidP="009F74CA">
            <w:pPr>
              <w:pStyle w:val="TableParagraph"/>
              <w:keepNext/>
              <w:spacing w:before="11"/>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456</w:t>
            </w:r>
          </w:p>
        </w:tc>
        <w:tc>
          <w:tcPr>
            <w:tcW w:w="543" w:type="pct"/>
            <w:tcBorders>
              <w:top w:val="nil"/>
              <w:left w:val="nil"/>
              <w:bottom w:val="nil"/>
              <w:right w:val="nil"/>
            </w:tcBorders>
            <w:vAlign w:val="bottom"/>
          </w:tcPr>
          <w:p w14:paraId="261CEE72" w14:textId="77777777" w:rsidR="00EF2F18" w:rsidRPr="00155597" w:rsidRDefault="00EF2F18" w:rsidP="009F74CA">
            <w:pPr>
              <w:pStyle w:val="TableParagraph"/>
              <w:keepNext/>
              <w:spacing w:before="11"/>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286</w:t>
            </w:r>
          </w:p>
        </w:tc>
        <w:tc>
          <w:tcPr>
            <w:tcW w:w="662" w:type="pct"/>
            <w:tcBorders>
              <w:top w:val="nil"/>
              <w:left w:val="nil"/>
              <w:bottom w:val="nil"/>
              <w:right w:val="nil"/>
            </w:tcBorders>
            <w:vAlign w:val="bottom"/>
          </w:tcPr>
          <w:p w14:paraId="3EF46328" w14:textId="77777777" w:rsidR="00EF2F18" w:rsidRPr="00155597" w:rsidRDefault="00EF2F18" w:rsidP="009F74CA">
            <w:pPr>
              <w:pStyle w:val="TableParagraph"/>
              <w:keepNext/>
              <w:spacing w:before="11"/>
              <w:jc w:val="right"/>
              <w:rPr>
                <w:rFonts w:ascii="Times New Roman" w:eastAsia="Arial" w:hAnsi="Times New Roman" w:cs="Times New Roman"/>
                <w:sz w:val="16"/>
                <w:szCs w:val="16"/>
              </w:rPr>
            </w:pPr>
            <w:r w:rsidRPr="00155597">
              <w:rPr>
                <w:rFonts w:ascii="Times New Roman" w:hAnsi="Times New Roman" w:cs="Times New Roman"/>
                <w:sz w:val="18"/>
                <w:szCs w:val="18"/>
              </w:rPr>
              <w:t>135</w:t>
            </w:r>
          </w:p>
        </w:tc>
        <w:tc>
          <w:tcPr>
            <w:tcW w:w="505" w:type="pct"/>
            <w:tcBorders>
              <w:top w:val="nil"/>
              <w:left w:val="nil"/>
              <w:bottom w:val="nil"/>
              <w:right w:val="nil"/>
            </w:tcBorders>
            <w:vAlign w:val="bottom"/>
          </w:tcPr>
          <w:p w14:paraId="408CC3E8" w14:textId="77777777" w:rsidR="00EF2F18" w:rsidRPr="00155597" w:rsidRDefault="00EF2F18" w:rsidP="009F74CA">
            <w:pPr>
              <w:pStyle w:val="TableParagraph"/>
              <w:keepNext/>
              <w:spacing w:before="11"/>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35</w:t>
            </w:r>
          </w:p>
        </w:tc>
        <w:tc>
          <w:tcPr>
            <w:tcW w:w="775" w:type="pct"/>
            <w:tcBorders>
              <w:top w:val="nil"/>
              <w:left w:val="nil"/>
              <w:bottom w:val="nil"/>
              <w:right w:val="nil"/>
            </w:tcBorders>
            <w:vAlign w:val="bottom"/>
          </w:tcPr>
          <w:p w14:paraId="734474F8" w14:textId="77777777" w:rsidR="00EF2F18" w:rsidRPr="00155597" w:rsidRDefault="00EF2F18" w:rsidP="009F74CA">
            <w:pPr>
              <w:pStyle w:val="TableParagraph"/>
              <w:keepNext/>
              <w:spacing w:before="11"/>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67.9</w:t>
            </w:r>
          </w:p>
        </w:tc>
        <w:tc>
          <w:tcPr>
            <w:tcW w:w="719" w:type="pct"/>
            <w:tcBorders>
              <w:top w:val="nil"/>
              <w:left w:val="nil"/>
              <w:bottom w:val="nil"/>
              <w:right w:val="nil"/>
            </w:tcBorders>
            <w:vAlign w:val="bottom"/>
          </w:tcPr>
          <w:p w14:paraId="24483832" w14:textId="77777777" w:rsidR="00EF2F18" w:rsidRPr="00155597" w:rsidRDefault="00EF2F18" w:rsidP="009F74CA">
            <w:pPr>
              <w:pStyle w:val="TableParagraph"/>
              <w:keepNext/>
              <w:spacing w:before="11"/>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68.4</w:t>
            </w:r>
          </w:p>
        </w:tc>
      </w:tr>
      <w:tr w:rsidR="00EF2F18" w:rsidRPr="00155597" w14:paraId="69E5C211" w14:textId="77777777" w:rsidTr="00D461F9">
        <w:trPr>
          <w:trHeight w:hRule="exact" w:val="214"/>
        </w:trPr>
        <w:tc>
          <w:tcPr>
            <w:tcW w:w="1143" w:type="pct"/>
            <w:tcBorders>
              <w:top w:val="nil"/>
              <w:left w:val="nil"/>
              <w:bottom w:val="nil"/>
              <w:right w:val="nil"/>
            </w:tcBorders>
          </w:tcPr>
          <w:p w14:paraId="07F81CCE"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eastAsia="Arial" w:hAnsi="Times New Roman" w:cs="Times New Roman"/>
                <w:spacing w:val="-2"/>
                <w:sz w:val="16"/>
                <w:szCs w:val="16"/>
              </w:rPr>
              <w:t>300–499</w:t>
            </w:r>
          </w:p>
        </w:tc>
        <w:tc>
          <w:tcPr>
            <w:tcW w:w="653" w:type="pct"/>
            <w:tcBorders>
              <w:top w:val="nil"/>
              <w:left w:val="nil"/>
              <w:bottom w:val="nil"/>
              <w:right w:val="nil"/>
            </w:tcBorders>
            <w:vAlign w:val="bottom"/>
          </w:tcPr>
          <w:p w14:paraId="5475B745" w14:textId="77777777" w:rsidR="00EF2F18" w:rsidRPr="00155597" w:rsidRDefault="00EF2F18" w:rsidP="009F74CA">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955</w:t>
            </w:r>
          </w:p>
        </w:tc>
        <w:tc>
          <w:tcPr>
            <w:tcW w:w="543" w:type="pct"/>
            <w:tcBorders>
              <w:top w:val="nil"/>
              <w:left w:val="nil"/>
              <w:bottom w:val="nil"/>
              <w:right w:val="nil"/>
            </w:tcBorders>
            <w:vAlign w:val="bottom"/>
          </w:tcPr>
          <w:p w14:paraId="4304AC65"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605</w:t>
            </w:r>
          </w:p>
        </w:tc>
        <w:tc>
          <w:tcPr>
            <w:tcW w:w="662" w:type="pct"/>
            <w:tcBorders>
              <w:top w:val="nil"/>
              <w:left w:val="nil"/>
              <w:bottom w:val="nil"/>
              <w:right w:val="nil"/>
            </w:tcBorders>
            <w:vAlign w:val="bottom"/>
          </w:tcPr>
          <w:p w14:paraId="25566414"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334</w:t>
            </w:r>
          </w:p>
        </w:tc>
        <w:tc>
          <w:tcPr>
            <w:tcW w:w="505" w:type="pct"/>
            <w:tcBorders>
              <w:top w:val="nil"/>
              <w:left w:val="nil"/>
              <w:bottom w:val="nil"/>
              <w:right w:val="nil"/>
            </w:tcBorders>
            <w:vAlign w:val="bottom"/>
          </w:tcPr>
          <w:p w14:paraId="7E4A0E61"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16</w:t>
            </w:r>
          </w:p>
        </w:tc>
        <w:tc>
          <w:tcPr>
            <w:tcW w:w="775" w:type="pct"/>
            <w:tcBorders>
              <w:top w:val="nil"/>
              <w:left w:val="nil"/>
              <w:bottom w:val="nil"/>
              <w:right w:val="nil"/>
            </w:tcBorders>
            <w:vAlign w:val="bottom"/>
          </w:tcPr>
          <w:p w14:paraId="7A16AB80"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64.4</w:t>
            </w:r>
          </w:p>
        </w:tc>
        <w:tc>
          <w:tcPr>
            <w:tcW w:w="719" w:type="pct"/>
            <w:tcBorders>
              <w:top w:val="nil"/>
              <w:left w:val="nil"/>
              <w:bottom w:val="nil"/>
              <w:right w:val="nil"/>
            </w:tcBorders>
            <w:vAlign w:val="bottom"/>
          </w:tcPr>
          <w:p w14:paraId="52BE4EE6"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65.8</w:t>
            </w:r>
          </w:p>
        </w:tc>
      </w:tr>
      <w:tr w:rsidR="00EF2F18" w:rsidRPr="00155597" w14:paraId="1B02D2F9" w14:textId="77777777" w:rsidTr="00D461F9">
        <w:trPr>
          <w:trHeight w:hRule="exact" w:val="214"/>
        </w:trPr>
        <w:tc>
          <w:tcPr>
            <w:tcW w:w="1143" w:type="pct"/>
            <w:tcBorders>
              <w:top w:val="nil"/>
              <w:left w:val="nil"/>
              <w:bottom w:val="nil"/>
              <w:right w:val="nil"/>
            </w:tcBorders>
          </w:tcPr>
          <w:p w14:paraId="2E52F153"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eastAsia="Arial" w:hAnsi="Times New Roman" w:cs="Times New Roman"/>
                <w:spacing w:val="-2"/>
                <w:sz w:val="16"/>
                <w:szCs w:val="16"/>
              </w:rPr>
              <w:t>500–999</w:t>
            </w:r>
          </w:p>
        </w:tc>
        <w:tc>
          <w:tcPr>
            <w:tcW w:w="653" w:type="pct"/>
            <w:tcBorders>
              <w:top w:val="nil"/>
              <w:left w:val="nil"/>
              <w:bottom w:val="nil"/>
              <w:right w:val="nil"/>
            </w:tcBorders>
            <w:vAlign w:val="bottom"/>
          </w:tcPr>
          <w:p w14:paraId="3F00CD40"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1,860</w:t>
            </w:r>
          </w:p>
        </w:tc>
        <w:tc>
          <w:tcPr>
            <w:tcW w:w="543" w:type="pct"/>
            <w:tcBorders>
              <w:top w:val="nil"/>
              <w:left w:val="nil"/>
              <w:bottom w:val="nil"/>
              <w:right w:val="nil"/>
            </w:tcBorders>
            <w:vAlign w:val="bottom"/>
          </w:tcPr>
          <w:p w14:paraId="1CCEF0C3" w14:textId="77777777" w:rsidR="00EF2F18" w:rsidRPr="00155597" w:rsidRDefault="00EF2F18" w:rsidP="009F74CA">
            <w:pPr>
              <w:pStyle w:val="TableParagraph"/>
              <w:keepNext/>
              <w:spacing w:before="12"/>
              <w:ind w:left="477"/>
              <w:jc w:val="right"/>
              <w:rPr>
                <w:rFonts w:ascii="Times New Roman" w:eastAsia="Arial" w:hAnsi="Times New Roman" w:cs="Times New Roman"/>
                <w:sz w:val="16"/>
                <w:szCs w:val="16"/>
              </w:rPr>
            </w:pPr>
            <w:r w:rsidRPr="00155597">
              <w:rPr>
                <w:rFonts w:ascii="Times New Roman" w:hAnsi="Times New Roman" w:cs="Times New Roman"/>
                <w:sz w:val="18"/>
                <w:szCs w:val="18"/>
              </w:rPr>
              <w:t>1,042</w:t>
            </w:r>
          </w:p>
        </w:tc>
        <w:tc>
          <w:tcPr>
            <w:tcW w:w="662" w:type="pct"/>
            <w:tcBorders>
              <w:top w:val="nil"/>
              <w:left w:val="nil"/>
              <w:bottom w:val="nil"/>
              <w:right w:val="nil"/>
            </w:tcBorders>
            <w:vAlign w:val="bottom"/>
          </w:tcPr>
          <w:p w14:paraId="49F71A84" w14:textId="77777777" w:rsidR="00EF2F18" w:rsidRPr="00155597" w:rsidRDefault="00EF2F18" w:rsidP="009F74CA">
            <w:pPr>
              <w:pStyle w:val="TableParagraph"/>
              <w:keepNext/>
              <w:spacing w:before="12"/>
              <w:ind w:left="708"/>
              <w:jc w:val="right"/>
              <w:rPr>
                <w:rFonts w:ascii="Times New Roman" w:eastAsia="Arial" w:hAnsi="Times New Roman" w:cs="Times New Roman"/>
                <w:sz w:val="16"/>
                <w:szCs w:val="16"/>
              </w:rPr>
            </w:pPr>
            <w:r w:rsidRPr="00155597">
              <w:rPr>
                <w:rFonts w:ascii="Times New Roman" w:hAnsi="Times New Roman" w:cs="Times New Roman"/>
                <w:sz w:val="18"/>
                <w:szCs w:val="18"/>
              </w:rPr>
              <w:t>806</w:t>
            </w:r>
          </w:p>
        </w:tc>
        <w:tc>
          <w:tcPr>
            <w:tcW w:w="505" w:type="pct"/>
            <w:tcBorders>
              <w:top w:val="nil"/>
              <w:left w:val="nil"/>
              <w:bottom w:val="nil"/>
              <w:right w:val="nil"/>
            </w:tcBorders>
            <w:vAlign w:val="bottom"/>
          </w:tcPr>
          <w:p w14:paraId="27C12434" w14:textId="77777777" w:rsidR="00EF2F18" w:rsidRPr="00155597" w:rsidRDefault="00EF2F18" w:rsidP="009F74CA">
            <w:pPr>
              <w:pStyle w:val="TableParagraph"/>
              <w:keepNext/>
              <w:spacing w:before="12"/>
              <w:ind w:right="101"/>
              <w:jc w:val="right"/>
              <w:rPr>
                <w:rFonts w:ascii="Times New Roman" w:eastAsia="Arial" w:hAnsi="Times New Roman" w:cs="Times New Roman"/>
                <w:sz w:val="16"/>
                <w:szCs w:val="16"/>
              </w:rPr>
            </w:pPr>
            <w:r w:rsidRPr="00155597">
              <w:rPr>
                <w:rFonts w:ascii="Times New Roman" w:hAnsi="Times New Roman" w:cs="Times New Roman"/>
                <w:sz w:val="18"/>
                <w:szCs w:val="18"/>
              </w:rPr>
              <w:t>12</w:t>
            </w:r>
          </w:p>
        </w:tc>
        <w:tc>
          <w:tcPr>
            <w:tcW w:w="775" w:type="pct"/>
            <w:tcBorders>
              <w:top w:val="nil"/>
              <w:left w:val="nil"/>
              <w:bottom w:val="nil"/>
              <w:right w:val="nil"/>
            </w:tcBorders>
            <w:vAlign w:val="bottom"/>
          </w:tcPr>
          <w:p w14:paraId="3796A819"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56.4</w:t>
            </w:r>
          </w:p>
        </w:tc>
        <w:tc>
          <w:tcPr>
            <w:tcW w:w="719" w:type="pct"/>
            <w:tcBorders>
              <w:top w:val="nil"/>
              <w:left w:val="nil"/>
              <w:bottom w:val="nil"/>
              <w:right w:val="nil"/>
            </w:tcBorders>
            <w:vAlign w:val="bottom"/>
          </w:tcPr>
          <w:p w14:paraId="29BB8C51"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56.8</w:t>
            </w:r>
          </w:p>
        </w:tc>
      </w:tr>
      <w:tr w:rsidR="00EF2F18" w:rsidRPr="00155597" w14:paraId="184F612D" w14:textId="77777777" w:rsidTr="00D461F9">
        <w:trPr>
          <w:trHeight w:hRule="exact" w:val="244"/>
        </w:trPr>
        <w:tc>
          <w:tcPr>
            <w:tcW w:w="1143" w:type="pct"/>
            <w:tcBorders>
              <w:top w:val="nil"/>
              <w:left w:val="nil"/>
              <w:bottom w:val="nil"/>
              <w:right w:val="nil"/>
            </w:tcBorders>
          </w:tcPr>
          <w:p w14:paraId="5664623D"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1,000</w:t>
            </w:r>
            <w:r w:rsidRPr="00155597">
              <w:rPr>
                <w:rFonts w:ascii="Times New Roman" w:hAnsi="Times New Roman" w:cs="Times New Roman"/>
                <w:spacing w:val="-8"/>
                <w:sz w:val="16"/>
                <w:szCs w:val="16"/>
              </w:rPr>
              <w:t xml:space="preserve"> </w:t>
            </w:r>
            <w:r w:rsidRPr="00155597">
              <w:rPr>
                <w:rFonts w:ascii="Times New Roman" w:hAnsi="Times New Roman" w:cs="Times New Roman"/>
                <w:spacing w:val="-1"/>
                <w:sz w:val="16"/>
                <w:szCs w:val="16"/>
              </w:rPr>
              <w:t>or</w:t>
            </w:r>
            <w:r w:rsidRPr="00155597">
              <w:rPr>
                <w:rFonts w:ascii="Times New Roman" w:hAnsi="Times New Roman" w:cs="Times New Roman"/>
                <w:spacing w:val="-5"/>
                <w:sz w:val="16"/>
                <w:szCs w:val="16"/>
              </w:rPr>
              <w:t xml:space="preserve"> </w:t>
            </w:r>
            <w:r w:rsidRPr="00155597">
              <w:rPr>
                <w:rFonts w:ascii="Times New Roman" w:hAnsi="Times New Roman" w:cs="Times New Roman"/>
                <w:spacing w:val="-1"/>
                <w:sz w:val="16"/>
                <w:szCs w:val="16"/>
              </w:rPr>
              <w:t>more</w:t>
            </w:r>
          </w:p>
        </w:tc>
        <w:tc>
          <w:tcPr>
            <w:tcW w:w="653" w:type="pct"/>
            <w:tcBorders>
              <w:top w:val="nil"/>
              <w:left w:val="nil"/>
              <w:bottom w:val="nil"/>
              <w:right w:val="nil"/>
            </w:tcBorders>
            <w:vAlign w:val="bottom"/>
          </w:tcPr>
          <w:p w14:paraId="64199872"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1,532</w:t>
            </w:r>
          </w:p>
        </w:tc>
        <w:tc>
          <w:tcPr>
            <w:tcW w:w="543" w:type="pct"/>
            <w:tcBorders>
              <w:top w:val="nil"/>
              <w:left w:val="nil"/>
              <w:bottom w:val="nil"/>
              <w:right w:val="nil"/>
            </w:tcBorders>
            <w:vAlign w:val="bottom"/>
          </w:tcPr>
          <w:p w14:paraId="44FA48E5"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829</w:t>
            </w:r>
          </w:p>
        </w:tc>
        <w:tc>
          <w:tcPr>
            <w:tcW w:w="662" w:type="pct"/>
            <w:tcBorders>
              <w:top w:val="nil"/>
              <w:left w:val="nil"/>
              <w:bottom w:val="nil"/>
              <w:right w:val="nil"/>
            </w:tcBorders>
            <w:vAlign w:val="bottom"/>
          </w:tcPr>
          <w:p w14:paraId="50CB6038"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700</w:t>
            </w:r>
          </w:p>
        </w:tc>
        <w:tc>
          <w:tcPr>
            <w:tcW w:w="505" w:type="pct"/>
            <w:tcBorders>
              <w:top w:val="nil"/>
              <w:left w:val="nil"/>
              <w:bottom w:val="nil"/>
              <w:right w:val="nil"/>
            </w:tcBorders>
            <w:vAlign w:val="bottom"/>
          </w:tcPr>
          <w:p w14:paraId="253714D2" w14:textId="77777777" w:rsidR="00EF2F18" w:rsidRPr="00155597" w:rsidRDefault="00EF2F18" w:rsidP="009F74CA">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775" w:type="pct"/>
            <w:tcBorders>
              <w:top w:val="nil"/>
              <w:left w:val="nil"/>
              <w:bottom w:val="nil"/>
              <w:right w:val="nil"/>
            </w:tcBorders>
            <w:vAlign w:val="bottom"/>
          </w:tcPr>
          <w:p w14:paraId="4D2672E9" w14:textId="77777777" w:rsidR="00EF2F18" w:rsidRPr="00155597" w:rsidRDefault="00EF2F18" w:rsidP="009F74CA">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54.2</w:t>
            </w:r>
          </w:p>
        </w:tc>
        <w:tc>
          <w:tcPr>
            <w:tcW w:w="719" w:type="pct"/>
            <w:tcBorders>
              <w:top w:val="nil"/>
              <w:left w:val="nil"/>
              <w:bottom w:val="nil"/>
              <w:right w:val="nil"/>
            </w:tcBorders>
            <w:vAlign w:val="bottom"/>
          </w:tcPr>
          <w:p w14:paraId="57133E71"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55.1</w:t>
            </w:r>
          </w:p>
        </w:tc>
      </w:tr>
      <w:tr w:rsidR="00EF2F18" w:rsidRPr="00155597" w14:paraId="6490BF36" w14:textId="77777777" w:rsidTr="009F74CA">
        <w:trPr>
          <w:trHeight w:hRule="exact" w:val="242"/>
        </w:trPr>
        <w:tc>
          <w:tcPr>
            <w:tcW w:w="5000" w:type="pct"/>
            <w:gridSpan w:val="7"/>
            <w:tcBorders>
              <w:top w:val="nil"/>
              <w:left w:val="nil"/>
              <w:bottom w:val="nil"/>
              <w:right w:val="nil"/>
            </w:tcBorders>
          </w:tcPr>
          <w:p w14:paraId="384FB2F2" w14:textId="77777777" w:rsidR="00EF2F18" w:rsidRPr="00155597" w:rsidRDefault="00EF2F18" w:rsidP="009F74CA">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1"/>
                <w:sz w:val="16"/>
                <w:szCs w:val="16"/>
              </w:rPr>
              <w:t>Urbanicity</w:t>
            </w:r>
          </w:p>
        </w:tc>
      </w:tr>
      <w:tr w:rsidR="00EF2F18" w:rsidRPr="00155597" w14:paraId="4D5DE7DA" w14:textId="77777777" w:rsidTr="00D461F9">
        <w:trPr>
          <w:trHeight w:hRule="exact" w:val="212"/>
        </w:trPr>
        <w:tc>
          <w:tcPr>
            <w:tcW w:w="1143" w:type="pct"/>
            <w:tcBorders>
              <w:top w:val="nil"/>
              <w:left w:val="nil"/>
              <w:bottom w:val="nil"/>
              <w:right w:val="nil"/>
            </w:tcBorders>
          </w:tcPr>
          <w:p w14:paraId="20045788" w14:textId="77777777" w:rsidR="00EF2F18" w:rsidRPr="00155597" w:rsidRDefault="00EF2F18" w:rsidP="009F74CA">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City</w:t>
            </w:r>
          </w:p>
        </w:tc>
        <w:tc>
          <w:tcPr>
            <w:tcW w:w="653" w:type="pct"/>
            <w:tcBorders>
              <w:top w:val="nil"/>
              <w:left w:val="nil"/>
              <w:bottom w:val="nil"/>
              <w:right w:val="nil"/>
            </w:tcBorders>
            <w:vAlign w:val="bottom"/>
          </w:tcPr>
          <w:p w14:paraId="619EB8DF" w14:textId="77777777" w:rsidR="00EF2F18" w:rsidRPr="00155597" w:rsidRDefault="00EF2F18" w:rsidP="009F74CA">
            <w:pPr>
              <w:pStyle w:val="TableParagraph"/>
              <w:keepNext/>
              <w:spacing w:before="11"/>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1,528</w:t>
            </w:r>
          </w:p>
        </w:tc>
        <w:tc>
          <w:tcPr>
            <w:tcW w:w="543" w:type="pct"/>
            <w:tcBorders>
              <w:top w:val="nil"/>
              <w:left w:val="nil"/>
              <w:bottom w:val="nil"/>
              <w:right w:val="nil"/>
            </w:tcBorders>
            <w:vAlign w:val="bottom"/>
          </w:tcPr>
          <w:p w14:paraId="21273342" w14:textId="77777777" w:rsidR="00EF2F18" w:rsidRPr="00155597" w:rsidRDefault="00EF2F18" w:rsidP="009F74CA">
            <w:pPr>
              <w:pStyle w:val="TableParagraph"/>
              <w:keepNext/>
              <w:spacing w:before="11"/>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723</w:t>
            </w:r>
          </w:p>
        </w:tc>
        <w:tc>
          <w:tcPr>
            <w:tcW w:w="662" w:type="pct"/>
            <w:tcBorders>
              <w:top w:val="nil"/>
              <w:left w:val="nil"/>
              <w:bottom w:val="nil"/>
              <w:right w:val="nil"/>
            </w:tcBorders>
            <w:vAlign w:val="bottom"/>
          </w:tcPr>
          <w:p w14:paraId="77E62232" w14:textId="77777777" w:rsidR="00EF2F18" w:rsidRPr="00155597" w:rsidRDefault="00EF2F18" w:rsidP="009F74CA">
            <w:pPr>
              <w:pStyle w:val="TableParagraph"/>
              <w:keepNext/>
              <w:spacing w:before="11"/>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769</w:t>
            </w:r>
          </w:p>
        </w:tc>
        <w:tc>
          <w:tcPr>
            <w:tcW w:w="505" w:type="pct"/>
            <w:tcBorders>
              <w:top w:val="nil"/>
              <w:left w:val="nil"/>
              <w:bottom w:val="nil"/>
              <w:right w:val="nil"/>
            </w:tcBorders>
            <w:vAlign w:val="bottom"/>
          </w:tcPr>
          <w:p w14:paraId="52BAD358" w14:textId="77777777" w:rsidR="00EF2F18" w:rsidRPr="00155597" w:rsidRDefault="00EF2F18" w:rsidP="009F74CA">
            <w:pPr>
              <w:pStyle w:val="TableParagraph"/>
              <w:keepNext/>
              <w:spacing w:before="11"/>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36</w:t>
            </w:r>
          </w:p>
        </w:tc>
        <w:tc>
          <w:tcPr>
            <w:tcW w:w="775" w:type="pct"/>
            <w:tcBorders>
              <w:top w:val="nil"/>
              <w:left w:val="nil"/>
              <w:bottom w:val="nil"/>
              <w:right w:val="nil"/>
            </w:tcBorders>
            <w:vAlign w:val="bottom"/>
          </w:tcPr>
          <w:p w14:paraId="644AC87C" w14:textId="77777777" w:rsidR="00EF2F18" w:rsidRPr="00155597" w:rsidRDefault="00EF2F18" w:rsidP="009F74CA">
            <w:pPr>
              <w:pStyle w:val="TableParagraph"/>
              <w:keepNext/>
              <w:spacing w:before="11"/>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48.5</w:t>
            </w:r>
          </w:p>
        </w:tc>
        <w:tc>
          <w:tcPr>
            <w:tcW w:w="719" w:type="pct"/>
            <w:tcBorders>
              <w:top w:val="nil"/>
              <w:left w:val="nil"/>
              <w:bottom w:val="nil"/>
              <w:right w:val="nil"/>
            </w:tcBorders>
            <w:vAlign w:val="bottom"/>
          </w:tcPr>
          <w:p w14:paraId="23FA1E02" w14:textId="77777777" w:rsidR="00EF2F18" w:rsidRPr="00155597" w:rsidRDefault="00EF2F18" w:rsidP="009F74CA">
            <w:pPr>
              <w:pStyle w:val="TableParagraph"/>
              <w:keepNext/>
              <w:spacing w:before="11"/>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49.3</w:t>
            </w:r>
          </w:p>
        </w:tc>
      </w:tr>
      <w:tr w:rsidR="00EF2F18" w:rsidRPr="00155597" w14:paraId="3C642AAE" w14:textId="77777777" w:rsidTr="00D461F9">
        <w:trPr>
          <w:trHeight w:hRule="exact" w:val="214"/>
        </w:trPr>
        <w:tc>
          <w:tcPr>
            <w:tcW w:w="1143" w:type="pct"/>
            <w:tcBorders>
              <w:top w:val="nil"/>
              <w:left w:val="nil"/>
              <w:bottom w:val="nil"/>
              <w:right w:val="nil"/>
            </w:tcBorders>
          </w:tcPr>
          <w:p w14:paraId="269467B8"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Suburb</w:t>
            </w:r>
          </w:p>
        </w:tc>
        <w:tc>
          <w:tcPr>
            <w:tcW w:w="653" w:type="pct"/>
            <w:tcBorders>
              <w:top w:val="nil"/>
              <w:left w:val="nil"/>
              <w:bottom w:val="nil"/>
              <w:right w:val="nil"/>
            </w:tcBorders>
            <w:vAlign w:val="bottom"/>
          </w:tcPr>
          <w:p w14:paraId="265BC94C"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1,837</w:t>
            </w:r>
          </w:p>
        </w:tc>
        <w:tc>
          <w:tcPr>
            <w:tcW w:w="543" w:type="pct"/>
            <w:tcBorders>
              <w:top w:val="nil"/>
              <w:left w:val="nil"/>
              <w:bottom w:val="nil"/>
              <w:right w:val="nil"/>
            </w:tcBorders>
            <w:vAlign w:val="bottom"/>
          </w:tcPr>
          <w:p w14:paraId="2A463F14" w14:textId="77777777" w:rsidR="00EF2F18" w:rsidRPr="00155597" w:rsidRDefault="00EF2F18" w:rsidP="009F74CA">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1,034</w:t>
            </w:r>
          </w:p>
        </w:tc>
        <w:tc>
          <w:tcPr>
            <w:tcW w:w="662" w:type="pct"/>
            <w:tcBorders>
              <w:top w:val="nil"/>
              <w:left w:val="nil"/>
              <w:bottom w:val="nil"/>
              <w:right w:val="nil"/>
            </w:tcBorders>
            <w:vAlign w:val="bottom"/>
          </w:tcPr>
          <w:p w14:paraId="63EEAD44"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793</w:t>
            </w:r>
          </w:p>
        </w:tc>
        <w:tc>
          <w:tcPr>
            <w:tcW w:w="505" w:type="pct"/>
            <w:tcBorders>
              <w:top w:val="nil"/>
              <w:left w:val="nil"/>
              <w:bottom w:val="nil"/>
              <w:right w:val="nil"/>
            </w:tcBorders>
            <w:vAlign w:val="bottom"/>
          </w:tcPr>
          <w:p w14:paraId="567A0316"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10</w:t>
            </w:r>
          </w:p>
        </w:tc>
        <w:tc>
          <w:tcPr>
            <w:tcW w:w="775" w:type="pct"/>
            <w:tcBorders>
              <w:top w:val="nil"/>
              <w:left w:val="nil"/>
              <w:bottom w:val="nil"/>
              <w:right w:val="nil"/>
            </w:tcBorders>
            <w:vAlign w:val="bottom"/>
          </w:tcPr>
          <w:p w14:paraId="21D546B9" w14:textId="77777777" w:rsidR="00EF2F18" w:rsidRPr="00155597" w:rsidRDefault="00EF2F18" w:rsidP="009F74CA">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56.6</w:t>
            </w:r>
          </w:p>
        </w:tc>
        <w:tc>
          <w:tcPr>
            <w:tcW w:w="719" w:type="pct"/>
            <w:tcBorders>
              <w:top w:val="nil"/>
              <w:left w:val="nil"/>
              <w:bottom w:val="nil"/>
              <w:right w:val="nil"/>
            </w:tcBorders>
            <w:vAlign w:val="bottom"/>
          </w:tcPr>
          <w:p w14:paraId="0E06F7FC" w14:textId="77777777" w:rsidR="00EF2F18" w:rsidRPr="00155597" w:rsidRDefault="00EF2F18" w:rsidP="009F74CA">
            <w:pPr>
              <w:pStyle w:val="TableParagraph"/>
              <w:keepNext/>
              <w:spacing w:before="12"/>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58.2</w:t>
            </w:r>
          </w:p>
        </w:tc>
      </w:tr>
      <w:tr w:rsidR="00EF2F18" w:rsidRPr="00155597" w14:paraId="4B0B00C0" w14:textId="77777777" w:rsidTr="00D461F9">
        <w:trPr>
          <w:trHeight w:hRule="exact" w:val="214"/>
        </w:trPr>
        <w:tc>
          <w:tcPr>
            <w:tcW w:w="1143" w:type="pct"/>
            <w:tcBorders>
              <w:top w:val="nil"/>
              <w:left w:val="nil"/>
              <w:bottom w:val="nil"/>
              <w:right w:val="nil"/>
            </w:tcBorders>
          </w:tcPr>
          <w:p w14:paraId="69C62E86"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Town</w:t>
            </w:r>
          </w:p>
        </w:tc>
        <w:tc>
          <w:tcPr>
            <w:tcW w:w="653" w:type="pct"/>
            <w:tcBorders>
              <w:top w:val="nil"/>
              <w:left w:val="nil"/>
              <w:bottom w:val="nil"/>
              <w:right w:val="nil"/>
            </w:tcBorders>
            <w:vAlign w:val="bottom"/>
          </w:tcPr>
          <w:p w14:paraId="72F3B84C" w14:textId="77777777" w:rsidR="00EF2F18" w:rsidRPr="00155597" w:rsidRDefault="00EF2F18" w:rsidP="009F74CA">
            <w:pPr>
              <w:pStyle w:val="TableParagraph"/>
              <w:keepNext/>
              <w:spacing w:before="12"/>
              <w:ind w:left="636"/>
              <w:jc w:val="right"/>
              <w:rPr>
                <w:rFonts w:ascii="Times New Roman" w:eastAsia="Arial" w:hAnsi="Times New Roman" w:cs="Times New Roman"/>
                <w:sz w:val="16"/>
                <w:szCs w:val="16"/>
              </w:rPr>
            </w:pPr>
            <w:r w:rsidRPr="00155597">
              <w:rPr>
                <w:rFonts w:ascii="Times New Roman" w:hAnsi="Times New Roman" w:cs="Times New Roman"/>
                <w:sz w:val="18"/>
                <w:szCs w:val="18"/>
              </w:rPr>
              <w:t>563</w:t>
            </w:r>
          </w:p>
        </w:tc>
        <w:tc>
          <w:tcPr>
            <w:tcW w:w="543" w:type="pct"/>
            <w:tcBorders>
              <w:top w:val="nil"/>
              <w:left w:val="nil"/>
              <w:bottom w:val="nil"/>
              <w:right w:val="nil"/>
            </w:tcBorders>
            <w:vAlign w:val="bottom"/>
          </w:tcPr>
          <w:p w14:paraId="0AF231DA" w14:textId="77777777" w:rsidR="00EF2F18" w:rsidRPr="00155597" w:rsidRDefault="00EF2F18" w:rsidP="009F74CA">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382</w:t>
            </w:r>
          </w:p>
        </w:tc>
        <w:tc>
          <w:tcPr>
            <w:tcW w:w="662" w:type="pct"/>
            <w:tcBorders>
              <w:top w:val="nil"/>
              <w:left w:val="nil"/>
              <w:bottom w:val="nil"/>
              <w:right w:val="nil"/>
            </w:tcBorders>
            <w:vAlign w:val="bottom"/>
          </w:tcPr>
          <w:p w14:paraId="086F1D97" w14:textId="77777777" w:rsidR="00EF2F18" w:rsidRPr="00155597" w:rsidRDefault="00EF2F18" w:rsidP="009F74CA">
            <w:pPr>
              <w:pStyle w:val="TableParagraph"/>
              <w:keepNext/>
              <w:spacing w:before="12"/>
              <w:jc w:val="right"/>
              <w:rPr>
                <w:rFonts w:ascii="Times New Roman" w:eastAsia="Arial" w:hAnsi="Times New Roman" w:cs="Times New Roman"/>
                <w:sz w:val="16"/>
                <w:szCs w:val="16"/>
              </w:rPr>
            </w:pPr>
            <w:r w:rsidRPr="00155597">
              <w:rPr>
                <w:rFonts w:ascii="Times New Roman" w:hAnsi="Times New Roman" w:cs="Times New Roman"/>
                <w:sz w:val="18"/>
                <w:szCs w:val="18"/>
              </w:rPr>
              <w:t>168</w:t>
            </w:r>
          </w:p>
        </w:tc>
        <w:tc>
          <w:tcPr>
            <w:tcW w:w="505" w:type="pct"/>
            <w:tcBorders>
              <w:top w:val="nil"/>
              <w:left w:val="nil"/>
              <w:bottom w:val="nil"/>
              <w:right w:val="nil"/>
            </w:tcBorders>
            <w:vAlign w:val="bottom"/>
          </w:tcPr>
          <w:p w14:paraId="29CECF79" w14:textId="77777777" w:rsidR="00EF2F18" w:rsidRPr="00155597" w:rsidRDefault="00EF2F18" w:rsidP="009F74CA">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13</w:t>
            </w:r>
          </w:p>
        </w:tc>
        <w:tc>
          <w:tcPr>
            <w:tcW w:w="775" w:type="pct"/>
            <w:tcBorders>
              <w:top w:val="nil"/>
              <w:left w:val="nil"/>
              <w:bottom w:val="nil"/>
              <w:right w:val="nil"/>
            </w:tcBorders>
            <w:vAlign w:val="bottom"/>
          </w:tcPr>
          <w:p w14:paraId="7DFA0F79" w14:textId="77777777" w:rsidR="00EF2F18" w:rsidRPr="00155597" w:rsidRDefault="00EF2F18" w:rsidP="009F74CA">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69.5</w:t>
            </w:r>
          </w:p>
        </w:tc>
        <w:tc>
          <w:tcPr>
            <w:tcW w:w="719" w:type="pct"/>
            <w:tcBorders>
              <w:top w:val="nil"/>
              <w:left w:val="nil"/>
              <w:bottom w:val="nil"/>
              <w:right w:val="nil"/>
            </w:tcBorders>
            <w:vAlign w:val="bottom"/>
          </w:tcPr>
          <w:p w14:paraId="7D308FD6" w14:textId="77777777" w:rsidR="00EF2F18" w:rsidRPr="00155597" w:rsidRDefault="00EF2F18" w:rsidP="009F74CA">
            <w:pPr>
              <w:pStyle w:val="TableParagraph"/>
              <w:keepNext/>
              <w:spacing w:before="12"/>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68.2</w:t>
            </w:r>
          </w:p>
        </w:tc>
      </w:tr>
      <w:tr w:rsidR="00EF2F18" w:rsidRPr="00155597" w14:paraId="61ABBF87" w14:textId="77777777" w:rsidTr="00D461F9">
        <w:trPr>
          <w:trHeight w:hRule="exact" w:val="244"/>
        </w:trPr>
        <w:tc>
          <w:tcPr>
            <w:tcW w:w="1143" w:type="pct"/>
            <w:tcBorders>
              <w:top w:val="nil"/>
              <w:left w:val="nil"/>
              <w:bottom w:val="nil"/>
              <w:right w:val="nil"/>
            </w:tcBorders>
          </w:tcPr>
          <w:p w14:paraId="002890E8"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Rural</w:t>
            </w:r>
          </w:p>
        </w:tc>
        <w:tc>
          <w:tcPr>
            <w:tcW w:w="653" w:type="pct"/>
            <w:tcBorders>
              <w:top w:val="nil"/>
              <w:left w:val="nil"/>
              <w:bottom w:val="nil"/>
              <w:right w:val="nil"/>
            </w:tcBorders>
            <w:vAlign w:val="bottom"/>
          </w:tcPr>
          <w:p w14:paraId="2F4BCEE0" w14:textId="77777777" w:rsidR="00EF2F18" w:rsidRPr="00155597" w:rsidRDefault="00EF2F18" w:rsidP="009F74CA">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875</w:t>
            </w:r>
          </w:p>
        </w:tc>
        <w:tc>
          <w:tcPr>
            <w:tcW w:w="543" w:type="pct"/>
            <w:tcBorders>
              <w:top w:val="nil"/>
              <w:left w:val="nil"/>
              <w:bottom w:val="nil"/>
              <w:right w:val="nil"/>
            </w:tcBorders>
            <w:vAlign w:val="bottom"/>
          </w:tcPr>
          <w:p w14:paraId="0A4C42DE"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623</w:t>
            </w:r>
          </w:p>
        </w:tc>
        <w:tc>
          <w:tcPr>
            <w:tcW w:w="662" w:type="pct"/>
            <w:tcBorders>
              <w:top w:val="nil"/>
              <w:left w:val="nil"/>
              <w:bottom w:val="nil"/>
              <w:right w:val="nil"/>
            </w:tcBorders>
            <w:vAlign w:val="bottom"/>
          </w:tcPr>
          <w:p w14:paraId="2AADF832"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245</w:t>
            </w:r>
          </w:p>
        </w:tc>
        <w:tc>
          <w:tcPr>
            <w:tcW w:w="505" w:type="pct"/>
            <w:tcBorders>
              <w:top w:val="nil"/>
              <w:left w:val="nil"/>
              <w:bottom w:val="nil"/>
              <w:right w:val="nil"/>
            </w:tcBorders>
            <w:vAlign w:val="bottom"/>
          </w:tcPr>
          <w:p w14:paraId="6F175CD2" w14:textId="77777777" w:rsidR="00EF2F18" w:rsidRPr="00155597" w:rsidRDefault="00EF2F18" w:rsidP="009F74CA">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7</w:t>
            </w:r>
          </w:p>
        </w:tc>
        <w:tc>
          <w:tcPr>
            <w:tcW w:w="775" w:type="pct"/>
            <w:tcBorders>
              <w:top w:val="nil"/>
              <w:left w:val="nil"/>
              <w:bottom w:val="nil"/>
              <w:right w:val="nil"/>
            </w:tcBorders>
            <w:vAlign w:val="bottom"/>
          </w:tcPr>
          <w:p w14:paraId="6E50C924"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71.8</w:t>
            </w:r>
          </w:p>
        </w:tc>
        <w:tc>
          <w:tcPr>
            <w:tcW w:w="719" w:type="pct"/>
            <w:tcBorders>
              <w:top w:val="nil"/>
              <w:left w:val="nil"/>
              <w:bottom w:val="nil"/>
              <w:right w:val="nil"/>
            </w:tcBorders>
            <w:vAlign w:val="bottom"/>
          </w:tcPr>
          <w:p w14:paraId="2C4156CD"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55.0</w:t>
            </w:r>
          </w:p>
        </w:tc>
      </w:tr>
      <w:tr w:rsidR="00EF2F18" w:rsidRPr="00155597" w14:paraId="5C99842D" w14:textId="77777777" w:rsidTr="009F74CA">
        <w:trPr>
          <w:trHeight w:hRule="exact" w:val="242"/>
        </w:trPr>
        <w:tc>
          <w:tcPr>
            <w:tcW w:w="5000" w:type="pct"/>
            <w:gridSpan w:val="7"/>
            <w:tcBorders>
              <w:top w:val="nil"/>
              <w:left w:val="nil"/>
              <w:bottom w:val="nil"/>
              <w:right w:val="nil"/>
            </w:tcBorders>
          </w:tcPr>
          <w:p w14:paraId="14DF7BB5" w14:textId="77777777" w:rsidR="00EF2F18" w:rsidRPr="00155597" w:rsidRDefault="00EF2F18" w:rsidP="009F74CA">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2"/>
                <w:sz w:val="16"/>
                <w:szCs w:val="16"/>
              </w:rPr>
              <w:t>Percent</w:t>
            </w:r>
            <w:r w:rsidRPr="00155597">
              <w:rPr>
                <w:rFonts w:ascii="Times New Roman" w:hAnsi="Times New Roman" w:cs="Times New Roman"/>
                <w:spacing w:val="-11"/>
                <w:sz w:val="16"/>
                <w:szCs w:val="16"/>
              </w:rPr>
              <w:t xml:space="preserve"> </w:t>
            </w:r>
            <w:r w:rsidRPr="00155597">
              <w:rPr>
                <w:rFonts w:ascii="Times New Roman" w:hAnsi="Times New Roman" w:cs="Times New Roman"/>
                <w:spacing w:val="1"/>
                <w:sz w:val="16"/>
                <w:szCs w:val="16"/>
              </w:rPr>
              <w:t>White</w:t>
            </w:r>
            <w:r w:rsidRPr="00155597">
              <w:rPr>
                <w:rFonts w:ascii="Times New Roman" w:hAnsi="Times New Roman" w:cs="Times New Roman"/>
                <w:spacing w:val="-10"/>
                <w:sz w:val="16"/>
                <w:szCs w:val="16"/>
              </w:rPr>
              <w:t xml:space="preserve"> </w:t>
            </w:r>
            <w:r w:rsidRPr="00155597">
              <w:rPr>
                <w:rFonts w:ascii="Times New Roman" w:hAnsi="Times New Roman" w:cs="Times New Roman"/>
                <w:spacing w:val="-2"/>
                <w:sz w:val="16"/>
                <w:szCs w:val="16"/>
              </w:rPr>
              <w:t>enrollment</w:t>
            </w:r>
          </w:p>
        </w:tc>
      </w:tr>
      <w:tr w:rsidR="00EF2F18" w:rsidRPr="00155597" w14:paraId="53DAC6B5" w14:textId="77777777" w:rsidTr="00D461F9">
        <w:trPr>
          <w:trHeight w:hRule="exact" w:val="212"/>
        </w:trPr>
        <w:tc>
          <w:tcPr>
            <w:tcW w:w="1143" w:type="pct"/>
            <w:tcBorders>
              <w:top w:val="nil"/>
              <w:left w:val="nil"/>
              <w:bottom w:val="nil"/>
              <w:right w:val="nil"/>
            </w:tcBorders>
          </w:tcPr>
          <w:p w14:paraId="08709FBF" w14:textId="77777777" w:rsidR="00EF2F18" w:rsidRPr="00155597" w:rsidRDefault="00EF2F18" w:rsidP="009F74CA">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More</w:t>
            </w:r>
            <w:r w:rsidRPr="00155597">
              <w:rPr>
                <w:rFonts w:ascii="Times New Roman" w:hAnsi="Times New Roman" w:cs="Times New Roman"/>
                <w:spacing w:val="-8"/>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1"/>
                <w:sz w:val="16"/>
                <w:szCs w:val="16"/>
              </w:rPr>
              <w:t>95</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63AD1D5A" w14:textId="77777777" w:rsidR="00EF2F18" w:rsidRPr="00155597" w:rsidRDefault="00EF2F18" w:rsidP="009F74CA">
            <w:pPr>
              <w:pStyle w:val="TableParagraph"/>
              <w:keepNext/>
              <w:spacing w:before="11"/>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170</w:t>
            </w:r>
          </w:p>
        </w:tc>
        <w:tc>
          <w:tcPr>
            <w:tcW w:w="543" w:type="pct"/>
            <w:tcBorders>
              <w:top w:val="nil"/>
              <w:left w:val="nil"/>
              <w:bottom w:val="nil"/>
              <w:right w:val="nil"/>
            </w:tcBorders>
            <w:vAlign w:val="bottom"/>
          </w:tcPr>
          <w:p w14:paraId="034C0407" w14:textId="77777777" w:rsidR="00EF2F18" w:rsidRPr="00155597" w:rsidRDefault="00EF2F18" w:rsidP="009F74CA">
            <w:pPr>
              <w:pStyle w:val="TableParagraph"/>
              <w:keepNext/>
              <w:spacing w:before="11"/>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128</w:t>
            </w:r>
          </w:p>
        </w:tc>
        <w:tc>
          <w:tcPr>
            <w:tcW w:w="662" w:type="pct"/>
            <w:tcBorders>
              <w:top w:val="nil"/>
              <w:left w:val="nil"/>
              <w:bottom w:val="nil"/>
              <w:right w:val="nil"/>
            </w:tcBorders>
            <w:vAlign w:val="bottom"/>
          </w:tcPr>
          <w:p w14:paraId="16433D76" w14:textId="77777777" w:rsidR="00EF2F18" w:rsidRPr="00155597" w:rsidRDefault="00EF2F18" w:rsidP="009F74CA">
            <w:pPr>
              <w:pStyle w:val="TableParagraph"/>
              <w:keepNext/>
              <w:spacing w:before="12"/>
              <w:ind w:left="709"/>
              <w:jc w:val="right"/>
              <w:rPr>
                <w:rFonts w:ascii="Times New Roman" w:hAnsi="Times New Roman" w:cs="Times New Roman"/>
                <w:sz w:val="18"/>
                <w:szCs w:val="18"/>
              </w:rPr>
            </w:pPr>
            <w:r w:rsidRPr="00155597">
              <w:rPr>
                <w:rFonts w:ascii="Times New Roman" w:hAnsi="Times New Roman" w:cs="Times New Roman"/>
                <w:sz w:val="18"/>
                <w:szCs w:val="18"/>
              </w:rPr>
              <w:t>39</w:t>
            </w:r>
          </w:p>
        </w:tc>
        <w:tc>
          <w:tcPr>
            <w:tcW w:w="505" w:type="pct"/>
            <w:tcBorders>
              <w:top w:val="nil"/>
              <w:left w:val="nil"/>
              <w:bottom w:val="nil"/>
              <w:right w:val="nil"/>
            </w:tcBorders>
            <w:vAlign w:val="bottom"/>
          </w:tcPr>
          <w:p w14:paraId="2C99A532" w14:textId="77777777" w:rsidR="00EF2F18" w:rsidRPr="00155597" w:rsidRDefault="00EF2F18" w:rsidP="009F74CA">
            <w:pPr>
              <w:pStyle w:val="TableParagraph"/>
              <w:keepNext/>
              <w:spacing w:before="11"/>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3</w:t>
            </w:r>
          </w:p>
        </w:tc>
        <w:tc>
          <w:tcPr>
            <w:tcW w:w="775" w:type="pct"/>
            <w:tcBorders>
              <w:top w:val="nil"/>
              <w:left w:val="nil"/>
              <w:bottom w:val="nil"/>
              <w:right w:val="nil"/>
            </w:tcBorders>
            <w:vAlign w:val="bottom"/>
          </w:tcPr>
          <w:p w14:paraId="1D634B07" w14:textId="77777777" w:rsidR="00EF2F18" w:rsidRPr="00155597" w:rsidRDefault="00EF2F18" w:rsidP="009F74CA">
            <w:pPr>
              <w:pStyle w:val="TableParagraph"/>
              <w:keepNext/>
              <w:spacing w:before="11"/>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76.6</w:t>
            </w:r>
          </w:p>
        </w:tc>
        <w:tc>
          <w:tcPr>
            <w:tcW w:w="719" w:type="pct"/>
            <w:tcBorders>
              <w:top w:val="nil"/>
              <w:left w:val="nil"/>
              <w:bottom w:val="nil"/>
              <w:right w:val="nil"/>
            </w:tcBorders>
            <w:vAlign w:val="bottom"/>
          </w:tcPr>
          <w:p w14:paraId="0542198C" w14:textId="77777777" w:rsidR="00EF2F18" w:rsidRPr="00155597" w:rsidRDefault="00EF2F18" w:rsidP="009F74CA">
            <w:pPr>
              <w:pStyle w:val="TableParagraph"/>
              <w:keepNext/>
              <w:spacing w:before="11"/>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79.2</w:t>
            </w:r>
          </w:p>
        </w:tc>
      </w:tr>
      <w:tr w:rsidR="00EF2F18" w:rsidRPr="00155597" w14:paraId="6497B9FB" w14:textId="77777777" w:rsidTr="00D461F9">
        <w:trPr>
          <w:trHeight w:hRule="exact" w:val="214"/>
        </w:trPr>
        <w:tc>
          <w:tcPr>
            <w:tcW w:w="1143" w:type="pct"/>
            <w:tcBorders>
              <w:top w:val="nil"/>
              <w:left w:val="nil"/>
              <w:bottom w:val="nil"/>
              <w:right w:val="nil"/>
            </w:tcBorders>
          </w:tcPr>
          <w:p w14:paraId="0B05E619"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More</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80</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to</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95</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7C590679" w14:textId="77777777" w:rsidR="00EF2F18" w:rsidRPr="00155597" w:rsidRDefault="00EF2F18" w:rsidP="009F74CA">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1,014</w:t>
            </w:r>
          </w:p>
        </w:tc>
        <w:tc>
          <w:tcPr>
            <w:tcW w:w="543" w:type="pct"/>
            <w:tcBorders>
              <w:top w:val="nil"/>
              <w:left w:val="nil"/>
              <w:bottom w:val="nil"/>
              <w:right w:val="nil"/>
            </w:tcBorders>
            <w:vAlign w:val="bottom"/>
          </w:tcPr>
          <w:p w14:paraId="7E5A5567"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675</w:t>
            </w:r>
          </w:p>
        </w:tc>
        <w:tc>
          <w:tcPr>
            <w:tcW w:w="662" w:type="pct"/>
            <w:tcBorders>
              <w:top w:val="nil"/>
              <w:left w:val="nil"/>
              <w:bottom w:val="nil"/>
              <w:right w:val="nil"/>
            </w:tcBorders>
            <w:vAlign w:val="bottom"/>
          </w:tcPr>
          <w:p w14:paraId="6A8B3D96"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330</w:t>
            </w:r>
          </w:p>
        </w:tc>
        <w:tc>
          <w:tcPr>
            <w:tcW w:w="505" w:type="pct"/>
            <w:tcBorders>
              <w:top w:val="nil"/>
              <w:left w:val="nil"/>
              <w:bottom w:val="nil"/>
              <w:right w:val="nil"/>
            </w:tcBorders>
            <w:vAlign w:val="bottom"/>
          </w:tcPr>
          <w:p w14:paraId="7AC6965B" w14:textId="77777777" w:rsidR="00EF2F18" w:rsidRPr="00155597" w:rsidRDefault="00EF2F18" w:rsidP="009F74CA">
            <w:pPr>
              <w:pStyle w:val="TableParagraph"/>
              <w:keepNext/>
              <w:spacing w:before="12"/>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9</w:t>
            </w:r>
          </w:p>
        </w:tc>
        <w:tc>
          <w:tcPr>
            <w:tcW w:w="775" w:type="pct"/>
            <w:tcBorders>
              <w:top w:val="nil"/>
              <w:left w:val="nil"/>
              <w:bottom w:val="nil"/>
              <w:right w:val="nil"/>
            </w:tcBorders>
            <w:vAlign w:val="bottom"/>
          </w:tcPr>
          <w:p w14:paraId="2F830C5B"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67.2</w:t>
            </w:r>
          </w:p>
        </w:tc>
        <w:tc>
          <w:tcPr>
            <w:tcW w:w="719" w:type="pct"/>
            <w:tcBorders>
              <w:top w:val="nil"/>
              <w:left w:val="nil"/>
              <w:bottom w:val="nil"/>
              <w:right w:val="nil"/>
            </w:tcBorders>
            <w:vAlign w:val="bottom"/>
          </w:tcPr>
          <w:p w14:paraId="517DDD18"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68.3</w:t>
            </w:r>
          </w:p>
        </w:tc>
      </w:tr>
      <w:tr w:rsidR="00EF2F18" w:rsidRPr="00155597" w14:paraId="3DD0879B" w14:textId="77777777" w:rsidTr="00D461F9">
        <w:trPr>
          <w:trHeight w:hRule="exact" w:val="214"/>
        </w:trPr>
        <w:tc>
          <w:tcPr>
            <w:tcW w:w="1143" w:type="pct"/>
            <w:tcBorders>
              <w:top w:val="nil"/>
              <w:left w:val="nil"/>
              <w:bottom w:val="nil"/>
              <w:right w:val="nil"/>
            </w:tcBorders>
          </w:tcPr>
          <w:p w14:paraId="2BC6D157"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More</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than</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50</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to</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80</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0559B373" w14:textId="77777777" w:rsidR="00EF2F18" w:rsidRPr="00155597" w:rsidRDefault="00EF2F18" w:rsidP="009F74CA">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1,390</w:t>
            </w:r>
          </w:p>
        </w:tc>
        <w:tc>
          <w:tcPr>
            <w:tcW w:w="543" w:type="pct"/>
            <w:tcBorders>
              <w:top w:val="nil"/>
              <w:left w:val="nil"/>
              <w:bottom w:val="nil"/>
              <w:right w:val="nil"/>
            </w:tcBorders>
            <w:vAlign w:val="bottom"/>
          </w:tcPr>
          <w:p w14:paraId="5D460922"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848</w:t>
            </w:r>
          </w:p>
        </w:tc>
        <w:tc>
          <w:tcPr>
            <w:tcW w:w="662" w:type="pct"/>
            <w:tcBorders>
              <w:top w:val="nil"/>
              <w:left w:val="nil"/>
              <w:bottom w:val="nil"/>
              <w:right w:val="nil"/>
            </w:tcBorders>
            <w:vAlign w:val="bottom"/>
          </w:tcPr>
          <w:p w14:paraId="62D94CB1"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536</w:t>
            </w:r>
          </w:p>
        </w:tc>
        <w:tc>
          <w:tcPr>
            <w:tcW w:w="505" w:type="pct"/>
            <w:tcBorders>
              <w:top w:val="nil"/>
              <w:left w:val="nil"/>
              <w:bottom w:val="nil"/>
              <w:right w:val="nil"/>
            </w:tcBorders>
            <w:vAlign w:val="bottom"/>
          </w:tcPr>
          <w:p w14:paraId="45601F5B"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6</w:t>
            </w:r>
          </w:p>
        </w:tc>
        <w:tc>
          <w:tcPr>
            <w:tcW w:w="775" w:type="pct"/>
            <w:tcBorders>
              <w:top w:val="nil"/>
              <w:left w:val="nil"/>
              <w:bottom w:val="nil"/>
              <w:right w:val="nil"/>
            </w:tcBorders>
            <w:vAlign w:val="bottom"/>
          </w:tcPr>
          <w:p w14:paraId="139FC5F8"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61.3</w:t>
            </w:r>
          </w:p>
        </w:tc>
        <w:tc>
          <w:tcPr>
            <w:tcW w:w="719" w:type="pct"/>
            <w:tcBorders>
              <w:top w:val="nil"/>
              <w:left w:val="nil"/>
              <w:bottom w:val="nil"/>
              <w:right w:val="nil"/>
            </w:tcBorders>
            <w:vAlign w:val="bottom"/>
          </w:tcPr>
          <w:p w14:paraId="737A81C0"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62.8</w:t>
            </w:r>
          </w:p>
        </w:tc>
      </w:tr>
      <w:tr w:rsidR="00EF2F18" w:rsidRPr="00155597" w14:paraId="643ED584" w14:textId="77777777" w:rsidTr="00D461F9">
        <w:trPr>
          <w:trHeight w:hRule="exact" w:val="244"/>
        </w:trPr>
        <w:tc>
          <w:tcPr>
            <w:tcW w:w="1143" w:type="pct"/>
            <w:tcBorders>
              <w:top w:val="nil"/>
              <w:left w:val="nil"/>
              <w:bottom w:val="nil"/>
              <w:right w:val="nil"/>
            </w:tcBorders>
          </w:tcPr>
          <w:p w14:paraId="03EF0BAC"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1"/>
                <w:sz w:val="16"/>
                <w:szCs w:val="16"/>
              </w:rPr>
              <w:t>50</w:t>
            </w:r>
            <w:r w:rsidRPr="00155597">
              <w:rPr>
                <w:rFonts w:ascii="Times New Roman" w:hAnsi="Times New Roman" w:cs="Times New Roman"/>
                <w:spacing w:val="-7"/>
                <w:sz w:val="16"/>
                <w:szCs w:val="16"/>
              </w:rPr>
              <w:t xml:space="preserve"> </w:t>
            </w:r>
            <w:r w:rsidRPr="00155597">
              <w:rPr>
                <w:rFonts w:ascii="Times New Roman" w:hAnsi="Times New Roman" w:cs="Times New Roman"/>
                <w:spacing w:val="-2"/>
                <w:sz w:val="16"/>
                <w:szCs w:val="16"/>
              </w:rPr>
              <w:t>percent</w:t>
            </w:r>
            <w:r w:rsidRPr="00155597">
              <w:rPr>
                <w:rFonts w:ascii="Times New Roman" w:hAnsi="Times New Roman" w:cs="Times New Roman"/>
                <w:spacing w:val="-6"/>
                <w:sz w:val="16"/>
                <w:szCs w:val="16"/>
              </w:rPr>
              <w:t xml:space="preserve"> </w:t>
            </w:r>
            <w:r w:rsidRPr="00155597">
              <w:rPr>
                <w:rFonts w:ascii="Times New Roman" w:hAnsi="Times New Roman" w:cs="Times New Roman"/>
                <w:spacing w:val="-1"/>
                <w:sz w:val="16"/>
                <w:szCs w:val="16"/>
              </w:rPr>
              <w:t>or</w:t>
            </w:r>
            <w:r w:rsidRPr="00155597">
              <w:rPr>
                <w:rFonts w:ascii="Times New Roman" w:hAnsi="Times New Roman" w:cs="Times New Roman"/>
                <w:spacing w:val="-4"/>
                <w:sz w:val="16"/>
                <w:szCs w:val="16"/>
              </w:rPr>
              <w:t xml:space="preserve"> </w:t>
            </w:r>
            <w:r w:rsidRPr="00155597">
              <w:rPr>
                <w:rFonts w:ascii="Times New Roman" w:hAnsi="Times New Roman" w:cs="Times New Roman"/>
                <w:spacing w:val="-2"/>
                <w:sz w:val="16"/>
                <w:szCs w:val="16"/>
              </w:rPr>
              <w:t>less</w:t>
            </w:r>
          </w:p>
        </w:tc>
        <w:tc>
          <w:tcPr>
            <w:tcW w:w="653" w:type="pct"/>
            <w:tcBorders>
              <w:top w:val="nil"/>
              <w:left w:val="nil"/>
              <w:bottom w:val="nil"/>
              <w:right w:val="nil"/>
            </w:tcBorders>
            <w:vAlign w:val="bottom"/>
          </w:tcPr>
          <w:p w14:paraId="049F681B"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2,229</w:t>
            </w:r>
          </w:p>
        </w:tc>
        <w:tc>
          <w:tcPr>
            <w:tcW w:w="543" w:type="pct"/>
            <w:tcBorders>
              <w:top w:val="nil"/>
              <w:left w:val="nil"/>
              <w:bottom w:val="nil"/>
              <w:right w:val="nil"/>
            </w:tcBorders>
            <w:vAlign w:val="bottom"/>
          </w:tcPr>
          <w:p w14:paraId="72698422" w14:textId="77777777" w:rsidR="00EF2F18" w:rsidRPr="00155597" w:rsidRDefault="00EF2F18" w:rsidP="009F74CA">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1,111</w:t>
            </w:r>
          </w:p>
        </w:tc>
        <w:tc>
          <w:tcPr>
            <w:tcW w:w="662" w:type="pct"/>
            <w:tcBorders>
              <w:top w:val="nil"/>
              <w:left w:val="nil"/>
              <w:bottom w:val="nil"/>
              <w:right w:val="nil"/>
            </w:tcBorders>
            <w:vAlign w:val="bottom"/>
          </w:tcPr>
          <w:p w14:paraId="54FF129F"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1,070</w:t>
            </w:r>
          </w:p>
        </w:tc>
        <w:tc>
          <w:tcPr>
            <w:tcW w:w="505" w:type="pct"/>
            <w:tcBorders>
              <w:top w:val="nil"/>
              <w:left w:val="nil"/>
              <w:bottom w:val="nil"/>
              <w:right w:val="nil"/>
            </w:tcBorders>
            <w:vAlign w:val="bottom"/>
          </w:tcPr>
          <w:p w14:paraId="587A4AC8"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48</w:t>
            </w:r>
          </w:p>
        </w:tc>
        <w:tc>
          <w:tcPr>
            <w:tcW w:w="775" w:type="pct"/>
            <w:tcBorders>
              <w:top w:val="nil"/>
              <w:left w:val="nil"/>
              <w:bottom w:val="nil"/>
              <w:right w:val="nil"/>
            </w:tcBorders>
            <w:vAlign w:val="bottom"/>
          </w:tcPr>
          <w:p w14:paraId="6693BF82" w14:textId="77777777" w:rsidR="00EF2F18" w:rsidRPr="00155597" w:rsidRDefault="00EF2F18" w:rsidP="009F74CA">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50.9</w:t>
            </w:r>
          </w:p>
        </w:tc>
        <w:tc>
          <w:tcPr>
            <w:tcW w:w="719" w:type="pct"/>
            <w:tcBorders>
              <w:top w:val="nil"/>
              <w:left w:val="nil"/>
              <w:bottom w:val="nil"/>
              <w:right w:val="nil"/>
            </w:tcBorders>
            <w:vAlign w:val="bottom"/>
          </w:tcPr>
          <w:p w14:paraId="4D26CACC"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55.0</w:t>
            </w:r>
          </w:p>
        </w:tc>
      </w:tr>
      <w:tr w:rsidR="00EF2F18" w:rsidRPr="00155597" w14:paraId="52456E9F" w14:textId="77777777" w:rsidTr="009F74CA">
        <w:trPr>
          <w:trHeight w:hRule="exact" w:val="242"/>
        </w:trPr>
        <w:tc>
          <w:tcPr>
            <w:tcW w:w="5000" w:type="pct"/>
            <w:gridSpan w:val="7"/>
            <w:tcBorders>
              <w:top w:val="nil"/>
              <w:left w:val="nil"/>
              <w:bottom w:val="nil"/>
              <w:right w:val="nil"/>
            </w:tcBorders>
          </w:tcPr>
          <w:p w14:paraId="599207E3" w14:textId="77777777" w:rsidR="00EF2F18" w:rsidRPr="00155597" w:rsidRDefault="00EF2F18" w:rsidP="009F74CA">
            <w:pPr>
              <w:pStyle w:val="TableParagraph"/>
              <w:keepNext/>
              <w:spacing w:before="42"/>
              <w:ind w:left="31"/>
              <w:rPr>
                <w:rFonts w:ascii="Times New Roman" w:eastAsia="Arial" w:hAnsi="Times New Roman" w:cs="Times New Roman"/>
                <w:sz w:val="16"/>
                <w:szCs w:val="16"/>
              </w:rPr>
            </w:pPr>
            <w:r w:rsidRPr="00155597">
              <w:rPr>
                <w:rFonts w:ascii="Times New Roman" w:hAnsi="Times New Roman" w:cs="Times New Roman"/>
                <w:spacing w:val="-2"/>
                <w:sz w:val="16"/>
                <w:szCs w:val="16"/>
              </w:rPr>
              <w:t>Region</w:t>
            </w:r>
          </w:p>
        </w:tc>
      </w:tr>
      <w:tr w:rsidR="00EF2F18" w:rsidRPr="00155597" w14:paraId="0C6D8A21" w14:textId="77777777" w:rsidTr="00D461F9">
        <w:trPr>
          <w:trHeight w:hRule="exact" w:val="212"/>
        </w:trPr>
        <w:tc>
          <w:tcPr>
            <w:tcW w:w="1143" w:type="pct"/>
            <w:tcBorders>
              <w:top w:val="nil"/>
              <w:left w:val="nil"/>
              <w:bottom w:val="nil"/>
              <w:right w:val="nil"/>
            </w:tcBorders>
          </w:tcPr>
          <w:p w14:paraId="4CB1BDD3" w14:textId="77777777" w:rsidR="00EF2F18" w:rsidRPr="00155597" w:rsidRDefault="00EF2F18" w:rsidP="009F74CA">
            <w:pPr>
              <w:pStyle w:val="TableParagraph"/>
              <w:keepNext/>
              <w:spacing w:before="11"/>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Northeast</w:t>
            </w:r>
          </w:p>
        </w:tc>
        <w:tc>
          <w:tcPr>
            <w:tcW w:w="653" w:type="pct"/>
            <w:tcBorders>
              <w:top w:val="nil"/>
              <w:left w:val="nil"/>
              <w:bottom w:val="nil"/>
              <w:right w:val="nil"/>
            </w:tcBorders>
            <w:vAlign w:val="bottom"/>
          </w:tcPr>
          <w:p w14:paraId="59CC2F5A" w14:textId="77777777" w:rsidR="00EF2F18" w:rsidRPr="00155597" w:rsidRDefault="00EF2F18" w:rsidP="009F74CA">
            <w:pPr>
              <w:pStyle w:val="TableParagraph"/>
              <w:keepNext/>
              <w:spacing w:before="11"/>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819</w:t>
            </w:r>
          </w:p>
        </w:tc>
        <w:tc>
          <w:tcPr>
            <w:tcW w:w="543" w:type="pct"/>
            <w:tcBorders>
              <w:top w:val="nil"/>
              <w:left w:val="nil"/>
              <w:bottom w:val="nil"/>
              <w:right w:val="nil"/>
            </w:tcBorders>
            <w:vAlign w:val="bottom"/>
          </w:tcPr>
          <w:p w14:paraId="09417886" w14:textId="77777777" w:rsidR="00EF2F18" w:rsidRPr="00155597" w:rsidRDefault="00EF2F18" w:rsidP="009F74CA">
            <w:pPr>
              <w:pStyle w:val="TableParagraph"/>
              <w:keepNext/>
              <w:spacing w:before="11"/>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459</w:t>
            </w:r>
          </w:p>
        </w:tc>
        <w:tc>
          <w:tcPr>
            <w:tcW w:w="662" w:type="pct"/>
            <w:tcBorders>
              <w:top w:val="nil"/>
              <w:left w:val="nil"/>
              <w:bottom w:val="nil"/>
              <w:right w:val="nil"/>
            </w:tcBorders>
            <w:vAlign w:val="bottom"/>
          </w:tcPr>
          <w:p w14:paraId="2FB96494" w14:textId="77777777" w:rsidR="00EF2F18" w:rsidRPr="00155597" w:rsidRDefault="00EF2F18" w:rsidP="009F74CA">
            <w:pPr>
              <w:pStyle w:val="TableParagraph"/>
              <w:keepNext/>
              <w:spacing w:before="11"/>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347</w:t>
            </w:r>
          </w:p>
        </w:tc>
        <w:tc>
          <w:tcPr>
            <w:tcW w:w="505" w:type="pct"/>
            <w:tcBorders>
              <w:top w:val="nil"/>
              <w:left w:val="nil"/>
              <w:bottom w:val="nil"/>
              <w:right w:val="nil"/>
            </w:tcBorders>
            <w:vAlign w:val="bottom"/>
          </w:tcPr>
          <w:p w14:paraId="76544892" w14:textId="77777777" w:rsidR="00EF2F18" w:rsidRPr="00155597" w:rsidRDefault="00EF2F18" w:rsidP="009F74CA">
            <w:pPr>
              <w:pStyle w:val="TableParagraph"/>
              <w:keepNext/>
              <w:spacing w:before="11"/>
              <w:ind w:right="99"/>
              <w:jc w:val="right"/>
              <w:rPr>
                <w:rFonts w:ascii="Times New Roman" w:eastAsia="Arial" w:hAnsi="Times New Roman" w:cs="Times New Roman"/>
                <w:sz w:val="16"/>
                <w:szCs w:val="16"/>
              </w:rPr>
            </w:pPr>
            <w:r w:rsidRPr="00155597">
              <w:rPr>
                <w:rFonts w:ascii="Times New Roman" w:hAnsi="Times New Roman" w:cs="Times New Roman"/>
                <w:sz w:val="18"/>
                <w:szCs w:val="18"/>
              </w:rPr>
              <w:t>13</w:t>
            </w:r>
          </w:p>
        </w:tc>
        <w:tc>
          <w:tcPr>
            <w:tcW w:w="775" w:type="pct"/>
            <w:tcBorders>
              <w:top w:val="nil"/>
              <w:left w:val="nil"/>
              <w:bottom w:val="nil"/>
              <w:right w:val="nil"/>
            </w:tcBorders>
            <w:vAlign w:val="bottom"/>
          </w:tcPr>
          <w:p w14:paraId="1A70FBD5" w14:textId="77777777" w:rsidR="00EF2F18" w:rsidRPr="00155597" w:rsidRDefault="00EF2F18" w:rsidP="009F74CA">
            <w:pPr>
              <w:pStyle w:val="TableParagraph"/>
              <w:keepNext/>
              <w:spacing w:before="11"/>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56.9</w:t>
            </w:r>
          </w:p>
        </w:tc>
        <w:tc>
          <w:tcPr>
            <w:tcW w:w="719" w:type="pct"/>
            <w:tcBorders>
              <w:top w:val="nil"/>
              <w:left w:val="nil"/>
              <w:bottom w:val="nil"/>
              <w:right w:val="nil"/>
            </w:tcBorders>
            <w:vAlign w:val="bottom"/>
          </w:tcPr>
          <w:p w14:paraId="7B79D857" w14:textId="77777777" w:rsidR="00EF2F18" w:rsidRPr="00155597" w:rsidRDefault="00EF2F18" w:rsidP="009F74CA">
            <w:pPr>
              <w:pStyle w:val="TableParagraph"/>
              <w:keepNext/>
              <w:spacing w:before="11"/>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61.3</w:t>
            </w:r>
          </w:p>
        </w:tc>
      </w:tr>
      <w:tr w:rsidR="00EF2F18" w:rsidRPr="00155597" w14:paraId="7CCE0D02" w14:textId="77777777" w:rsidTr="00D461F9">
        <w:trPr>
          <w:trHeight w:hRule="exact" w:val="214"/>
        </w:trPr>
        <w:tc>
          <w:tcPr>
            <w:tcW w:w="1143" w:type="pct"/>
            <w:tcBorders>
              <w:top w:val="nil"/>
              <w:left w:val="nil"/>
              <w:bottom w:val="nil"/>
              <w:right w:val="nil"/>
            </w:tcBorders>
          </w:tcPr>
          <w:p w14:paraId="6158C5AA"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3"/>
                <w:sz w:val="16"/>
                <w:szCs w:val="16"/>
              </w:rPr>
              <w:t>Midwest</w:t>
            </w:r>
          </w:p>
        </w:tc>
        <w:tc>
          <w:tcPr>
            <w:tcW w:w="653" w:type="pct"/>
            <w:tcBorders>
              <w:top w:val="nil"/>
              <w:left w:val="nil"/>
              <w:bottom w:val="nil"/>
              <w:right w:val="nil"/>
            </w:tcBorders>
            <w:vAlign w:val="bottom"/>
          </w:tcPr>
          <w:p w14:paraId="25A3F502" w14:textId="77777777" w:rsidR="00EF2F18" w:rsidRPr="00155597" w:rsidRDefault="00EF2F18" w:rsidP="009F74CA">
            <w:pPr>
              <w:pStyle w:val="TableParagraph"/>
              <w:keepNext/>
              <w:spacing w:before="12"/>
              <w:ind w:left="636"/>
              <w:jc w:val="right"/>
              <w:rPr>
                <w:rFonts w:ascii="Times New Roman" w:eastAsia="Arial" w:hAnsi="Times New Roman" w:cs="Times New Roman"/>
                <w:sz w:val="16"/>
                <w:szCs w:val="16"/>
              </w:rPr>
            </w:pPr>
            <w:r w:rsidRPr="00155597">
              <w:rPr>
                <w:rFonts w:ascii="Times New Roman" w:hAnsi="Times New Roman" w:cs="Times New Roman"/>
                <w:sz w:val="18"/>
                <w:szCs w:val="18"/>
              </w:rPr>
              <w:t>1,029</w:t>
            </w:r>
          </w:p>
        </w:tc>
        <w:tc>
          <w:tcPr>
            <w:tcW w:w="543" w:type="pct"/>
            <w:tcBorders>
              <w:top w:val="nil"/>
              <w:left w:val="nil"/>
              <w:bottom w:val="nil"/>
              <w:right w:val="nil"/>
            </w:tcBorders>
            <w:vAlign w:val="bottom"/>
          </w:tcPr>
          <w:p w14:paraId="1DFB16EF" w14:textId="77777777" w:rsidR="00EF2F18" w:rsidRPr="00155597" w:rsidRDefault="00EF2F18" w:rsidP="009F74CA">
            <w:pPr>
              <w:pStyle w:val="TableParagraph"/>
              <w:keepNext/>
              <w:spacing w:before="12"/>
              <w:ind w:left="600"/>
              <w:jc w:val="right"/>
              <w:rPr>
                <w:rFonts w:ascii="Times New Roman" w:eastAsia="Arial" w:hAnsi="Times New Roman" w:cs="Times New Roman"/>
                <w:sz w:val="16"/>
                <w:szCs w:val="16"/>
              </w:rPr>
            </w:pPr>
            <w:r w:rsidRPr="00155597">
              <w:rPr>
                <w:rFonts w:ascii="Times New Roman" w:hAnsi="Times New Roman" w:cs="Times New Roman"/>
                <w:sz w:val="18"/>
                <w:szCs w:val="18"/>
              </w:rPr>
              <w:t>636</w:t>
            </w:r>
          </w:p>
        </w:tc>
        <w:tc>
          <w:tcPr>
            <w:tcW w:w="662" w:type="pct"/>
            <w:tcBorders>
              <w:top w:val="nil"/>
              <w:left w:val="nil"/>
              <w:bottom w:val="nil"/>
              <w:right w:val="nil"/>
            </w:tcBorders>
            <w:vAlign w:val="bottom"/>
          </w:tcPr>
          <w:p w14:paraId="44AB940F"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377</w:t>
            </w:r>
          </w:p>
        </w:tc>
        <w:tc>
          <w:tcPr>
            <w:tcW w:w="505" w:type="pct"/>
            <w:tcBorders>
              <w:top w:val="nil"/>
              <w:left w:val="nil"/>
              <w:bottom w:val="nil"/>
              <w:right w:val="nil"/>
            </w:tcBorders>
            <w:vAlign w:val="bottom"/>
          </w:tcPr>
          <w:p w14:paraId="055BD700"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16</w:t>
            </w:r>
          </w:p>
        </w:tc>
        <w:tc>
          <w:tcPr>
            <w:tcW w:w="775" w:type="pct"/>
            <w:tcBorders>
              <w:top w:val="nil"/>
              <w:left w:val="nil"/>
              <w:bottom w:val="nil"/>
              <w:right w:val="nil"/>
            </w:tcBorders>
            <w:vAlign w:val="bottom"/>
          </w:tcPr>
          <w:p w14:paraId="2F53BC6B" w14:textId="77777777" w:rsidR="00EF2F18" w:rsidRPr="00155597" w:rsidRDefault="00EF2F18" w:rsidP="009F74CA">
            <w:pPr>
              <w:pStyle w:val="TableParagraph"/>
              <w:keepNext/>
              <w:spacing w:before="12"/>
              <w:ind w:left="759"/>
              <w:jc w:val="right"/>
              <w:rPr>
                <w:rFonts w:ascii="Times New Roman" w:eastAsia="Arial" w:hAnsi="Times New Roman" w:cs="Times New Roman"/>
                <w:sz w:val="16"/>
                <w:szCs w:val="16"/>
              </w:rPr>
            </w:pPr>
            <w:r w:rsidRPr="00155597">
              <w:rPr>
                <w:rFonts w:ascii="Times New Roman" w:hAnsi="Times New Roman" w:cs="Times New Roman"/>
                <w:sz w:val="18"/>
                <w:szCs w:val="18"/>
              </w:rPr>
              <w:t>62.8</w:t>
            </w:r>
          </w:p>
        </w:tc>
        <w:tc>
          <w:tcPr>
            <w:tcW w:w="719" w:type="pct"/>
            <w:tcBorders>
              <w:top w:val="nil"/>
              <w:left w:val="nil"/>
              <w:bottom w:val="nil"/>
              <w:right w:val="nil"/>
            </w:tcBorders>
            <w:vAlign w:val="bottom"/>
          </w:tcPr>
          <w:p w14:paraId="3A702F29" w14:textId="77777777" w:rsidR="00EF2F18" w:rsidRPr="00155597" w:rsidRDefault="00EF2F18" w:rsidP="009F74CA">
            <w:pPr>
              <w:pStyle w:val="TableParagraph"/>
              <w:keepNext/>
              <w:spacing w:before="12"/>
              <w:ind w:right="22"/>
              <w:jc w:val="right"/>
              <w:rPr>
                <w:rFonts w:ascii="Times New Roman" w:eastAsia="Arial" w:hAnsi="Times New Roman" w:cs="Times New Roman"/>
                <w:sz w:val="16"/>
                <w:szCs w:val="16"/>
              </w:rPr>
            </w:pPr>
            <w:r w:rsidRPr="00155597">
              <w:rPr>
                <w:rFonts w:ascii="Times New Roman" w:hAnsi="Times New Roman" w:cs="Times New Roman"/>
                <w:sz w:val="18"/>
                <w:szCs w:val="18"/>
              </w:rPr>
              <w:t>64.3</w:t>
            </w:r>
          </w:p>
        </w:tc>
      </w:tr>
      <w:tr w:rsidR="00EF2F18" w:rsidRPr="00155597" w14:paraId="352EBE8D" w14:textId="77777777" w:rsidTr="00D461F9">
        <w:trPr>
          <w:trHeight w:hRule="exact" w:val="214"/>
        </w:trPr>
        <w:tc>
          <w:tcPr>
            <w:tcW w:w="1143" w:type="pct"/>
            <w:tcBorders>
              <w:top w:val="nil"/>
              <w:left w:val="nil"/>
              <w:bottom w:val="nil"/>
              <w:right w:val="nil"/>
            </w:tcBorders>
          </w:tcPr>
          <w:p w14:paraId="07D6131F"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pacing w:val="-2"/>
                <w:sz w:val="16"/>
                <w:szCs w:val="16"/>
              </w:rPr>
              <w:t>South</w:t>
            </w:r>
          </w:p>
        </w:tc>
        <w:tc>
          <w:tcPr>
            <w:tcW w:w="653" w:type="pct"/>
            <w:tcBorders>
              <w:top w:val="nil"/>
              <w:left w:val="nil"/>
              <w:bottom w:val="nil"/>
              <w:right w:val="nil"/>
            </w:tcBorders>
            <w:vAlign w:val="bottom"/>
          </w:tcPr>
          <w:p w14:paraId="3AA83672" w14:textId="77777777" w:rsidR="00EF2F18" w:rsidRPr="00155597" w:rsidRDefault="00EF2F18" w:rsidP="009F74CA">
            <w:pPr>
              <w:pStyle w:val="TableParagraph"/>
              <w:keepNext/>
              <w:spacing w:before="12"/>
              <w:ind w:left="513"/>
              <w:jc w:val="right"/>
              <w:rPr>
                <w:rFonts w:ascii="Times New Roman" w:eastAsia="Arial" w:hAnsi="Times New Roman" w:cs="Times New Roman"/>
                <w:sz w:val="16"/>
                <w:szCs w:val="16"/>
              </w:rPr>
            </w:pPr>
            <w:r w:rsidRPr="00155597">
              <w:rPr>
                <w:rFonts w:ascii="Times New Roman" w:hAnsi="Times New Roman" w:cs="Times New Roman"/>
                <w:sz w:val="18"/>
                <w:szCs w:val="18"/>
              </w:rPr>
              <w:t>1,845</w:t>
            </w:r>
          </w:p>
        </w:tc>
        <w:tc>
          <w:tcPr>
            <w:tcW w:w="543" w:type="pct"/>
            <w:tcBorders>
              <w:top w:val="nil"/>
              <w:left w:val="nil"/>
              <w:bottom w:val="nil"/>
              <w:right w:val="nil"/>
            </w:tcBorders>
            <w:vAlign w:val="bottom"/>
          </w:tcPr>
          <w:p w14:paraId="623D975E"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1,042</w:t>
            </w:r>
          </w:p>
        </w:tc>
        <w:tc>
          <w:tcPr>
            <w:tcW w:w="662" w:type="pct"/>
            <w:tcBorders>
              <w:top w:val="nil"/>
              <w:left w:val="nil"/>
              <w:bottom w:val="nil"/>
              <w:right w:val="nil"/>
            </w:tcBorders>
            <w:vAlign w:val="bottom"/>
          </w:tcPr>
          <w:p w14:paraId="6FE4D6D3"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782</w:t>
            </w:r>
          </w:p>
        </w:tc>
        <w:tc>
          <w:tcPr>
            <w:tcW w:w="505" w:type="pct"/>
            <w:tcBorders>
              <w:top w:val="nil"/>
              <w:left w:val="nil"/>
              <w:bottom w:val="nil"/>
              <w:right w:val="nil"/>
            </w:tcBorders>
            <w:vAlign w:val="bottom"/>
          </w:tcPr>
          <w:p w14:paraId="39124926"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21</w:t>
            </w:r>
          </w:p>
        </w:tc>
        <w:tc>
          <w:tcPr>
            <w:tcW w:w="775" w:type="pct"/>
            <w:tcBorders>
              <w:top w:val="nil"/>
              <w:left w:val="nil"/>
              <w:bottom w:val="nil"/>
              <w:right w:val="nil"/>
            </w:tcBorders>
            <w:vAlign w:val="bottom"/>
          </w:tcPr>
          <w:p w14:paraId="0D8D113F"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57.1</w:t>
            </w:r>
          </w:p>
        </w:tc>
        <w:tc>
          <w:tcPr>
            <w:tcW w:w="719" w:type="pct"/>
            <w:tcBorders>
              <w:top w:val="nil"/>
              <w:left w:val="nil"/>
              <w:bottom w:val="nil"/>
              <w:right w:val="nil"/>
            </w:tcBorders>
            <w:vAlign w:val="bottom"/>
          </w:tcPr>
          <w:p w14:paraId="77DB5A93"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61.0</w:t>
            </w:r>
          </w:p>
        </w:tc>
      </w:tr>
      <w:tr w:rsidR="00EF2F18" w:rsidRPr="00155597" w14:paraId="2BEE327C" w14:textId="77777777" w:rsidTr="00D461F9">
        <w:trPr>
          <w:trHeight w:hRule="exact" w:val="288"/>
        </w:trPr>
        <w:tc>
          <w:tcPr>
            <w:tcW w:w="1143" w:type="pct"/>
            <w:tcBorders>
              <w:top w:val="nil"/>
              <w:left w:val="nil"/>
              <w:bottom w:val="single" w:sz="8" w:space="0" w:color="000000"/>
              <w:right w:val="nil"/>
            </w:tcBorders>
          </w:tcPr>
          <w:p w14:paraId="5D50F885" w14:textId="77777777" w:rsidR="00EF2F18" w:rsidRPr="00155597" w:rsidRDefault="00EF2F18" w:rsidP="009F74CA">
            <w:pPr>
              <w:pStyle w:val="TableParagraph"/>
              <w:keepNext/>
              <w:spacing w:before="12"/>
              <w:ind w:left="194"/>
              <w:rPr>
                <w:rFonts w:ascii="Times New Roman" w:eastAsia="Arial" w:hAnsi="Times New Roman" w:cs="Times New Roman"/>
                <w:sz w:val="16"/>
                <w:szCs w:val="16"/>
              </w:rPr>
            </w:pPr>
            <w:r w:rsidRPr="00155597">
              <w:rPr>
                <w:rFonts w:ascii="Times New Roman" w:hAnsi="Times New Roman" w:cs="Times New Roman"/>
                <w:sz w:val="16"/>
                <w:szCs w:val="16"/>
              </w:rPr>
              <w:t>West</w:t>
            </w:r>
          </w:p>
        </w:tc>
        <w:tc>
          <w:tcPr>
            <w:tcW w:w="653" w:type="pct"/>
            <w:tcBorders>
              <w:top w:val="nil"/>
              <w:left w:val="nil"/>
              <w:bottom w:val="single" w:sz="8" w:space="0" w:color="000000"/>
              <w:right w:val="nil"/>
            </w:tcBorders>
          </w:tcPr>
          <w:p w14:paraId="065AE33B" w14:textId="77777777" w:rsidR="00EF2F18" w:rsidRPr="00155597" w:rsidRDefault="00EF2F18" w:rsidP="009F74CA">
            <w:pPr>
              <w:pStyle w:val="TableParagraph"/>
              <w:keepNext/>
              <w:spacing w:before="12"/>
              <w:ind w:left="635"/>
              <w:jc w:val="right"/>
              <w:rPr>
                <w:rFonts w:ascii="Times New Roman" w:eastAsia="Arial" w:hAnsi="Times New Roman" w:cs="Times New Roman"/>
                <w:sz w:val="16"/>
                <w:szCs w:val="16"/>
              </w:rPr>
            </w:pPr>
            <w:r w:rsidRPr="00155597">
              <w:rPr>
                <w:rFonts w:ascii="Times New Roman" w:hAnsi="Times New Roman" w:cs="Times New Roman"/>
                <w:sz w:val="18"/>
                <w:szCs w:val="18"/>
              </w:rPr>
              <w:t>1,110</w:t>
            </w:r>
          </w:p>
        </w:tc>
        <w:tc>
          <w:tcPr>
            <w:tcW w:w="543" w:type="pct"/>
            <w:tcBorders>
              <w:top w:val="nil"/>
              <w:left w:val="nil"/>
              <w:bottom w:val="single" w:sz="8" w:space="0" w:color="000000"/>
              <w:right w:val="nil"/>
            </w:tcBorders>
          </w:tcPr>
          <w:p w14:paraId="67CC0AE6" w14:textId="77777777" w:rsidR="00EF2F18" w:rsidRPr="00155597" w:rsidRDefault="00EF2F18" w:rsidP="009F74CA">
            <w:pPr>
              <w:pStyle w:val="TableParagraph"/>
              <w:keepNext/>
              <w:spacing w:before="12"/>
              <w:ind w:left="599"/>
              <w:jc w:val="right"/>
              <w:rPr>
                <w:rFonts w:ascii="Times New Roman" w:eastAsia="Arial" w:hAnsi="Times New Roman" w:cs="Times New Roman"/>
                <w:sz w:val="16"/>
                <w:szCs w:val="16"/>
              </w:rPr>
            </w:pPr>
            <w:r w:rsidRPr="00155597">
              <w:rPr>
                <w:rFonts w:ascii="Times New Roman" w:hAnsi="Times New Roman" w:cs="Times New Roman"/>
                <w:sz w:val="18"/>
                <w:szCs w:val="18"/>
              </w:rPr>
              <w:t>625</w:t>
            </w:r>
          </w:p>
        </w:tc>
        <w:tc>
          <w:tcPr>
            <w:tcW w:w="662" w:type="pct"/>
            <w:tcBorders>
              <w:top w:val="nil"/>
              <w:left w:val="nil"/>
              <w:bottom w:val="single" w:sz="8" w:space="0" w:color="000000"/>
              <w:right w:val="nil"/>
            </w:tcBorders>
          </w:tcPr>
          <w:p w14:paraId="19CB09CD" w14:textId="77777777" w:rsidR="00EF2F18" w:rsidRPr="00155597" w:rsidRDefault="00EF2F18" w:rsidP="009F74CA">
            <w:pPr>
              <w:pStyle w:val="TableParagraph"/>
              <w:keepNext/>
              <w:spacing w:before="12"/>
              <w:ind w:left="709"/>
              <w:jc w:val="right"/>
              <w:rPr>
                <w:rFonts w:ascii="Times New Roman" w:eastAsia="Arial" w:hAnsi="Times New Roman" w:cs="Times New Roman"/>
                <w:sz w:val="16"/>
                <w:szCs w:val="16"/>
              </w:rPr>
            </w:pPr>
            <w:r w:rsidRPr="00155597">
              <w:rPr>
                <w:rFonts w:ascii="Times New Roman" w:hAnsi="Times New Roman" w:cs="Times New Roman"/>
                <w:sz w:val="18"/>
                <w:szCs w:val="18"/>
              </w:rPr>
              <w:t>469</w:t>
            </w:r>
          </w:p>
        </w:tc>
        <w:tc>
          <w:tcPr>
            <w:tcW w:w="505" w:type="pct"/>
            <w:tcBorders>
              <w:top w:val="nil"/>
              <w:left w:val="nil"/>
              <w:bottom w:val="single" w:sz="8" w:space="0" w:color="000000"/>
              <w:right w:val="nil"/>
            </w:tcBorders>
          </w:tcPr>
          <w:p w14:paraId="1D43B4B2" w14:textId="77777777" w:rsidR="00EF2F18" w:rsidRPr="00155597" w:rsidRDefault="00EF2F18" w:rsidP="009F74CA">
            <w:pPr>
              <w:pStyle w:val="TableParagraph"/>
              <w:keepNext/>
              <w:spacing w:before="12"/>
              <w:ind w:right="100"/>
              <w:jc w:val="right"/>
              <w:rPr>
                <w:rFonts w:ascii="Times New Roman" w:eastAsia="Arial" w:hAnsi="Times New Roman" w:cs="Times New Roman"/>
                <w:sz w:val="16"/>
                <w:szCs w:val="16"/>
              </w:rPr>
            </w:pPr>
            <w:r w:rsidRPr="00155597">
              <w:rPr>
                <w:rFonts w:ascii="Times New Roman" w:hAnsi="Times New Roman" w:cs="Times New Roman"/>
                <w:sz w:val="18"/>
                <w:szCs w:val="18"/>
              </w:rPr>
              <w:t>16</w:t>
            </w:r>
          </w:p>
        </w:tc>
        <w:tc>
          <w:tcPr>
            <w:tcW w:w="775" w:type="pct"/>
            <w:tcBorders>
              <w:top w:val="nil"/>
              <w:left w:val="nil"/>
              <w:bottom w:val="single" w:sz="8" w:space="0" w:color="000000"/>
              <w:right w:val="nil"/>
            </w:tcBorders>
          </w:tcPr>
          <w:p w14:paraId="4977E57C" w14:textId="77777777" w:rsidR="00EF2F18" w:rsidRPr="00155597" w:rsidRDefault="00EF2F18" w:rsidP="009F74CA">
            <w:pPr>
              <w:pStyle w:val="TableParagraph"/>
              <w:keepNext/>
              <w:spacing w:before="12"/>
              <w:ind w:left="758"/>
              <w:jc w:val="right"/>
              <w:rPr>
                <w:rFonts w:ascii="Times New Roman" w:eastAsia="Arial" w:hAnsi="Times New Roman" w:cs="Times New Roman"/>
                <w:sz w:val="16"/>
                <w:szCs w:val="16"/>
              </w:rPr>
            </w:pPr>
            <w:r w:rsidRPr="00155597">
              <w:rPr>
                <w:rFonts w:ascii="Times New Roman" w:hAnsi="Times New Roman" w:cs="Times New Roman"/>
                <w:sz w:val="18"/>
                <w:szCs w:val="18"/>
              </w:rPr>
              <w:t>57.1</w:t>
            </w:r>
          </w:p>
        </w:tc>
        <w:tc>
          <w:tcPr>
            <w:tcW w:w="719" w:type="pct"/>
            <w:tcBorders>
              <w:top w:val="nil"/>
              <w:left w:val="nil"/>
              <w:bottom w:val="single" w:sz="8" w:space="0" w:color="000000"/>
              <w:right w:val="nil"/>
            </w:tcBorders>
          </w:tcPr>
          <w:p w14:paraId="17AB9134" w14:textId="77777777" w:rsidR="00EF2F18" w:rsidRPr="00155597" w:rsidRDefault="00EF2F18" w:rsidP="009F74CA">
            <w:pPr>
              <w:pStyle w:val="TableParagraph"/>
              <w:keepNext/>
              <w:spacing w:before="12"/>
              <w:ind w:right="23"/>
              <w:jc w:val="right"/>
              <w:rPr>
                <w:rFonts w:ascii="Times New Roman" w:eastAsia="Arial" w:hAnsi="Times New Roman" w:cs="Times New Roman"/>
                <w:sz w:val="16"/>
                <w:szCs w:val="16"/>
              </w:rPr>
            </w:pPr>
            <w:r w:rsidRPr="00155597">
              <w:rPr>
                <w:rFonts w:ascii="Times New Roman" w:hAnsi="Times New Roman" w:cs="Times New Roman"/>
                <w:sz w:val="18"/>
                <w:szCs w:val="18"/>
              </w:rPr>
              <w:t>60.4</w:t>
            </w:r>
          </w:p>
        </w:tc>
      </w:tr>
    </w:tbl>
    <w:p w14:paraId="7D0FDEF3" w14:textId="77777777" w:rsidR="00A4532F" w:rsidRDefault="00EF2F18" w:rsidP="00EF2F18">
      <w:pPr>
        <w:keepNext/>
        <w:spacing w:line="187" w:lineRule="exact"/>
        <w:ind w:left="141" w:right="684" w:hanging="8"/>
        <w:rPr>
          <w:sz w:val="16"/>
          <w:szCs w:val="16"/>
        </w:rPr>
      </w:pPr>
      <w:r w:rsidRPr="00155597">
        <w:rPr>
          <w:spacing w:val="-2"/>
          <w:sz w:val="16"/>
          <w:szCs w:val="16"/>
          <w:vertAlign w:val="superscript"/>
        </w:rPr>
        <w:t>1</w:t>
      </w:r>
      <w:r w:rsidRPr="00155597">
        <w:rPr>
          <w:sz w:val="16"/>
          <w:szCs w:val="16"/>
        </w:rPr>
        <w:t>In SSOCS:2018, a minimum of 60 percent (157 subitems) of the 261 subitems eligible for recontact (i.e., all subitems in the questionnaire except the non-survey items that collect information about the respondent) were required to be answered for the survey to be considered complete.</w:t>
      </w:r>
      <w:r w:rsidR="00A4532F">
        <w:rPr>
          <w:sz w:val="16"/>
          <w:szCs w:val="16"/>
        </w:rPr>
        <w:t xml:space="preserve"> </w:t>
      </w:r>
      <w:r w:rsidRPr="00155597">
        <w:rPr>
          <w:sz w:val="16"/>
          <w:szCs w:val="16"/>
        </w:rPr>
        <w:t>The 261 subitems eligible for recontact include a minimum of 80 percent of the 76 critical subitems (61 out of 76 total), 60 percent of item 30 subitems (18 out of 30 total), and 60 percent of item 38 subitems in column 1 (3 out of 5 total). The critical items are 11, 18, 19, 20, 22, 28, 29, 30, 31, 35, 36, 38</w:t>
      </w:r>
      <w:r w:rsidR="00601B40" w:rsidRPr="00155597">
        <w:rPr>
          <w:sz w:val="16"/>
          <w:szCs w:val="16"/>
        </w:rPr>
        <w:t xml:space="preserve"> </w:t>
      </w:r>
      <w:r w:rsidRPr="00155597">
        <w:rPr>
          <w:sz w:val="16"/>
          <w:szCs w:val="16"/>
        </w:rPr>
        <w:t>(column 1), 39, 40, 41, 42, 46, 47</w:t>
      </w:r>
      <w:r w:rsidR="00601B40" w:rsidRPr="00155597">
        <w:rPr>
          <w:sz w:val="16"/>
          <w:szCs w:val="16"/>
        </w:rPr>
        <w:t>,</w:t>
      </w:r>
      <w:r w:rsidRPr="00155597">
        <w:rPr>
          <w:sz w:val="16"/>
          <w:szCs w:val="16"/>
        </w:rPr>
        <w:t xml:space="preserve"> and 48. Questionnaires that did not meet established completion criteria were considered incomplete and are excluded from the SSOCS:2018 data file.</w:t>
      </w:r>
    </w:p>
    <w:p w14:paraId="471C4B4B" w14:textId="0B880AB8" w:rsidR="00EF2F18" w:rsidRPr="00155597" w:rsidRDefault="00EF2F18" w:rsidP="00EF2F18">
      <w:pPr>
        <w:keepNext/>
        <w:spacing w:line="187" w:lineRule="exact"/>
        <w:ind w:left="141" w:right="684" w:hanging="8"/>
        <w:rPr>
          <w:rFonts w:eastAsia="Arial"/>
          <w:sz w:val="16"/>
        </w:rPr>
      </w:pPr>
      <w:r w:rsidRPr="00155597">
        <w:rPr>
          <w:spacing w:val="-2"/>
          <w:sz w:val="20"/>
          <w:szCs w:val="20"/>
          <w:vertAlign w:val="superscript"/>
        </w:rPr>
        <w:t>2</w:t>
      </w:r>
      <w:r w:rsidRPr="00155597">
        <w:rPr>
          <w:spacing w:val="-2"/>
          <w:sz w:val="16"/>
        </w:rPr>
        <w:t>Nonrespondents</w:t>
      </w:r>
      <w:r w:rsidRPr="00155597">
        <w:rPr>
          <w:spacing w:val="-6"/>
          <w:sz w:val="16"/>
        </w:rPr>
        <w:t xml:space="preserve"> </w:t>
      </w:r>
      <w:r w:rsidRPr="00155597">
        <w:rPr>
          <w:spacing w:val="-1"/>
          <w:sz w:val="16"/>
        </w:rPr>
        <w:t>include</w:t>
      </w:r>
      <w:r w:rsidRPr="00155597">
        <w:rPr>
          <w:spacing w:val="-7"/>
          <w:sz w:val="16"/>
        </w:rPr>
        <w:t xml:space="preserve"> </w:t>
      </w:r>
      <w:r w:rsidRPr="00155597">
        <w:rPr>
          <w:spacing w:val="-1"/>
          <w:sz w:val="16"/>
        </w:rPr>
        <w:t>schools</w:t>
      </w:r>
      <w:r w:rsidRPr="00155597">
        <w:rPr>
          <w:spacing w:val="-6"/>
          <w:sz w:val="16"/>
        </w:rPr>
        <w:t xml:space="preserve"> </w:t>
      </w:r>
      <w:r w:rsidRPr="00155597">
        <w:rPr>
          <w:spacing w:val="-3"/>
          <w:sz w:val="16"/>
        </w:rPr>
        <w:t>whose</w:t>
      </w:r>
      <w:r w:rsidRPr="00155597">
        <w:rPr>
          <w:spacing w:val="-6"/>
          <w:sz w:val="16"/>
        </w:rPr>
        <w:t xml:space="preserve"> </w:t>
      </w:r>
      <w:r w:rsidRPr="00155597">
        <w:rPr>
          <w:spacing w:val="-1"/>
          <w:sz w:val="16"/>
        </w:rPr>
        <w:t>districts</w:t>
      </w:r>
      <w:r w:rsidRPr="00155597">
        <w:rPr>
          <w:spacing w:val="-5"/>
          <w:sz w:val="16"/>
        </w:rPr>
        <w:t xml:space="preserve"> </w:t>
      </w:r>
      <w:r w:rsidRPr="00155597">
        <w:rPr>
          <w:spacing w:val="-2"/>
          <w:sz w:val="16"/>
        </w:rPr>
        <w:t>denied</w:t>
      </w:r>
      <w:r w:rsidRPr="00155597">
        <w:rPr>
          <w:spacing w:val="-8"/>
          <w:sz w:val="16"/>
        </w:rPr>
        <w:t xml:space="preserve"> </w:t>
      </w:r>
      <w:r w:rsidRPr="00155597">
        <w:rPr>
          <w:spacing w:val="-1"/>
          <w:sz w:val="16"/>
        </w:rPr>
        <w:t>permission</w:t>
      </w:r>
      <w:r w:rsidRPr="00155597">
        <w:rPr>
          <w:spacing w:val="-7"/>
          <w:sz w:val="16"/>
        </w:rPr>
        <w:t xml:space="preserve"> </w:t>
      </w:r>
      <w:r w:rsidRPr="00155597">
        <w:rPr>
          <w:spacing w:val="-1"/>
          <w:sz w:val="16"/>
        </w:rPr>
        <w:t>to</w:t>
      </w:r>
      <w:r w:rsidRPr="00155597">
        <w:rPr>
          <w:spacing w:val="-8"/>
          <w:sz w:val="16"/>
        </w:rPr>
        <w:t xml:space="preserve"> </w:t>
      </w:r>
      <w:r w:rsidRPr="00155597">
        <w:rPr>
          <w:spacing w:val="-1"/>
          <w:sz w:val="16"/>
        </w:rPr>
        <w:t>NCES to conduct the survey</w:t>
      </w:r>
      <w:r w:rsidRPr="00155597">
        <w:rPr>
          <w:spacing w:val="-6"/>
          <w:sz w:val="16"/>
        </w:rPr>
        <w:t xml:space="preserve"> </w:t>
      </w:r>
      <w:r w:rsidRPr="00155597">
        <w:rPr>
          <w:spacing w:val="-2"/>
          <w:sz w:val="16"/>
        </w:rPr>
        <w:t>and</w:t>
      </w:r>
      <w:r w:rsidRPr="00155597">
        <w:rPr>
          <w:spacing w:val="-8"/>
          <w:sz w:val="16"/>
        </w:rPr>
        <w:t xml:space="preserve"> </w:t>
      </w:r>
      <w:r w:rsidRPr="00155597">
        <w:rPr>
          <w:spacing w:val="-2"/>
          <w:sz w:val="16"/>
        </w:rPr>
        <w:t>those</w:t>
      </w:r>
      <w:r w:rsidRPr="00155597">
        <w:rPr>
          <w:spacing w:val="-5"/>
          <w:sz w:val="16"/>
        </w:rPr>
        <w:t xml:space="preserve"> </w:t>
      </w:r>
      <w:r w:rsidRPr="00155597">
        <w:rPr>
          <w:spacing w:val="-1"/>
          <w:sz w:val="16"/>
        </w:rPr>
        <w:t>eligible</w:t>
      </w:r>
      <w:r w:rsidRPr="00155597">
        <w:rPr>
          <w:spacing w:val="-8"/>
          <w:sz w:val="16"/>
        </w:rPr>
        <w:t xml:space="preserve"> </w:t>
      </w:r>
      <w:r w:rsidRPr="00155597">
        <w:rPr>
          <w:spacing w:val="-1"/>
          <w:sz w:val="16"/>
        </w:rPr>
        <w:t>schools</w:t>
      </w:r>
      <w:r w:rsidRPr="00155597">
        <w:rPr>
          <w:spacing w:val="-6"/>
          <w:sz w:val="16"/>
        </w:rPr>
        <w:t xml:space="preserve"> </w:t>
      </w:r>
      <w:r w:rsidRPr="00155597">
        <w:rPr>
          <w:spacing w:val="-2"/>
          <w:sz w:val="16"/>
        </w:rPr>
        <w:t>that</w:t>
      </w:r>
      <w:r w:rsidRPr="00155597">
        <w:rPr>
          <w:spacing w:val="-6"/>
          <w:sz w:val="16"/>
        </w:rPr>
        <w:t xml:space="preserve"> </w:t>
      </w:r>
      <w:r w:rsidRPr="00155597">
        <w:rPr>
          <w:spacing w:val="-2"/>
          <w:sz w:val="16"/>
        </w:rPr>
        <w:t>either</w:t>
      </w:r>
      <w:r w:rsidRPr="00155597">
        <w:rPr>
          <w:spacing w:val="-6"/>
          <w:sz w:val="16"/>
        </w:rPr>
        <w:t xml:space="preserve"> </w:t>
      </w:r>
      <w:r w:rsidRPr="00155597">
        <w:rPr>
          <w:spacing w:val="-1"/>
          <w:sz w:val="16"/>
        </w:rPr>
        <w:t>did</w:t>
      </w:r>
      <w:r w:rsidRPr="00155597">
        <w:rPr>
          <w:spacing w:val="-7"/>
          <w:sz w:val="16"/>
        </w:rPr>
        <w:t xml:space="preserve"> </w:t>
      </w:r>
      <w:r w:rsidRPr="00155597">
        <w:rPr>
          <w:spacing w:val="-2"/>
          <w:sz w:val="16"/>
        </w:rPr>
        <w:t>not</w:t>
      </w:r>
      <w:r w:rsidRPr="00155597">
        <w:rPr>
          <w:spacing w:val="-6"/>
          <w:sz w:val="16"/>
        </w:rPr>
        <w:t xml:space="preserve"> </w:t>
      </w:r>
      <w:r w:rsidRPr="00155597">
        <w:rPr>
          <w:spacing w:val="-2"/>
          <w:sz w:val="16"/>
        </w:rPr>
        <w:t>respond</w:t>
      </w:r>
      <w:r w:rsidRPr="00155597">
        <w:rPr>
          <w:spacing w:val="-7"/>
          <w:sz w:val="16"/>
        </w:rPr>
        <w:t xml:space="preserve"> </w:t>
      </w:r>
      <w:r w:rsidRPr="00155597">
        <w:rPr>
          <w:spacing w:val="-1"/>
          <w:sz w:val="16"/>
        </w:rPr>
        <w:t>or</w:t>
      </w:r>
      <w:r w:rsidRPr="00155597">
        <w:rPr>
          <w:spacing w:val="-4"/>
          <w:sz w:val="16"/>
        </w:rPr>
        <w:t xml:space="preserve"> </w:t>
      </w:r>
      <w:r w:rsidRPr="00155597">
        <w:rPr>
          <w:spacing w:val="-2"/>
          <w:sz w:val="16"/>
        </w:rPr>
        <w:t>responded</w:t>
      </w:r>
      <w:r w:rsidRPr="00155597">
        <w:rPr>
          <w:spacing w:val="-7"/>
          <w:sz w:val="16"/>
        </w:rPr>
        <w:t xml:space="preserve"> </w:t>
      </w:r>
      <w:r w:rsidRPr="00155597">
        <w:rPr>
          <w:spacing w:val="-2"/>
          <w:sz w:val="16"/>
        </w:rPr>
        <w:t>but</w:t>
      </w:r>
      <w:r w:rsidRPr="00155597">
        <w:rPr>
          <w:spacing w:val="-6"/>
          <w:sz w:val="16"/>
        </w:rPr>
        <w:t xml:space="preserve"> </w:t>
      </w:r>
      <w:r w:rsidRPr="00155597">
        <w:rPr>
          <w:spacing w:val="-1"/>
          <w:sz w:val="16"/>
        </w:rPr>
        <w:t>did</w:t>
      </w:r>
      <w:r w:rsidRPr="00155597">
        <w:rPr>
          <w:spacing w:val="-6"/>
          <w:sz w:val="16"/>
        </w:rPr>
        <w:t xml:space="preserve"> </w:t>
      </w:r>
      <w:r w:rsidRPr="00155597">
        <w:rPr>
          <w:spacing w:val="-2"/>
          <w:sz w:val="16"/>
        </w:rPr>
        <w:t>not</w:t>
      </w:r>
      <w:r w:rsidRPr="00155597">
        <w:rPr>
          <w:spacing w:val="-6"/>
          <w:sz w:val="16"/>
        </w:rPr>
        <w:t xml:space="preserve"> </w:t>
      </w:r>
      <w:r w:rsidRPr="00155597">
        <w:rPr>
          <w:spacing w:val="-2"/>
          <w:sz w:val="16"/>
        </w:rPr>
        <w:t>answer</w:t>
      </w:r>
      <w:r w:rsidRPr="00155597">
        <w:rPr>
          <w:spacing w:val="-5"/>
          <w:sz w:val="16"/>
        </w:rPr>
        <w:t xml:space="preserve"> </w:t>
      </w:r>
      <w:r w:rsidRPr="00155597">
        <w:rPr>
          <w:spacing w:val="-1"/>
          <w:sz w:val="16"/>
        </w:rPr>
        <w:t>the</w:t>
      </w:r>
      <w:r w:rsidRPr="00155597">
        <w:rPr>
          <w:spacing w:val="-6"/>
          <w:sz w:val="16"/>
        </w:rPr>
        <w:t xml:space="preserve"> </w:t>
      </w:r>
      <w:r w:rsidRPr="00155597">
        <w:rPr>
          <w:spacing w:val="-1"/>
          <w:sz w:val="16"/>
        </w:rPr>
        <w:t>minimum</w:t>
      </w:r>
      <w:r w:rsidRPr="00155597">
        <w:rPr>
          <w:spacing w:val="-5"/>
          <w:sz w:val="16"/>
        </w:rPr>
        <w:t xml:space="preserve"> </w:t>
      </w:r>
      <w:r w:rsidRPr="00155597">
        <w:rPr>
          <w:spacing w:val="-2"/>
          <w:sz w:val="16"/>
        </w:rPr>
        <w:t>number</w:t>
      </w:r>
      <w:r w:rsidRPr="00155597">
        <w:rPr>
          <w:spacing w:val="-5"/>
          <w:sz w:val="16"/>
        </w:rPr>
        <w:t xml:space="preserve"> </w:t>
      </w:r>
      <w:r w:rsidRPr="00155597">
        <w:rPr>
          <w:spacing w:val="-1"/>
          <w:sz w:val="16"/>
        </w:rPr>
        <w:t>of</w:t>
      </w:r>
      <w:r w:rsidRPr="00155597">
        <w:rPr>
          <w:spacing w:val="-3"/>
          <w:sz w:val="16"/>
        </w:rPr>
        <w:t xml:space="preserve"> </w:t>
      </w:r>
      <w:r w:rsidRPr="00155597">
        <w:rPr>
          <w:spacing w:val="-1"/>
          <w:sz w:val="16"/>
        </w:rPr>
        <w:t>items</w:t>
      </w:r>
      <w:r w:rsidRPr="00155597">
        <w:rPr>
          <w:spacing w:val="-5"/>
          <w:sz w:val="16"/>
        </w:rPr>
        <w:t xml:space="preserve"> </w:t>
      </w:r>
      <w:r w:rsidRPr="00155597">
        <w:rPr>
          <w:spacing w:val="-1"/>
          <w:sz w:val="16"/>
        </w:rPr>
        <w:t>required</w:t>
      </w:r>
      <w:r w:rsidRPr="00155597">
        <w:rPr>
          <w:spacing w:val="-7"/>
          <w:sz w:val="16"/>
        </w:rPr>
        <w:t xml:space="preserve"> </w:t>
      </w:r>
      <w:r w:rsidRPr="00155597">
        <w:rPr>
          <w:spacing w:val="-1"/>
          <w:sz w:val="16"/>
        </w:rPr>
        <w:t>for</w:t>
      </w:r>
      <w:r w:rsidRPr="00155597">
        <w:rPr>
          <w:spacing w:val="-5"/>
          <w:sz w:val="16"/>
        </w:rPr>
        <w:t xml:space="preserve"> </w:t>
      </w:r>
      <w:r w:rsidRPr="00155597">
        <w:rPr>
          <w:spacing w:val="-1"/>
          <w:sz w:val="16"/>
        </w:rPr>
        <w:t>the</w:t>
      </w:r>
      <w:r w:rsidRPr="00155597">
        <w:rPr>
          <w:spacing w:val="-6"/>
          <w:sz w:val="16"/>
        </w:rPr>
        <w:t xml:space="preserve"> </w:t>
      </w:r>
      <w:r w:rsidRPr="00155597">
        <w:rPr>
          <w:spacing w:val="-1"/>
          <w:sz w:val="16"/>
        </w:rPr>
        <w:t>survey</w:t>
      </w:r>
      <w:r w:rsidRPr="00155597">
        <w:rPr>
          <w:spacing w:val="-9"/>
          <w:sz w:val="16"/>
        </w:rPr>
        <w:t xml:space="preserve"> </w:t>
      </w:r>
      <w:r w:rsidRPr="00155597">
        <w:rPr>
          <w:spacing w:val="-1"/>
          <w:sz w:val="16"/>
        </w:rPr>
        <w:t>to</w:t>
      </w:r>
      <w:r w:rsidRPr="00155597">
        <w:rPr>
          <w:spacing w:val="-7"/>
          <w:sz w:val="16"/>
        </w:rPr>
        <w:t xml:space="preserve"> </w:t>
      </w:r>
      <w:r w:rsidRPr="00155597">
        <w:rPr>
          <w:spacing w:val="-1"/>
          <w:sz w:val="16"/>
        </w:rPr>
        <w:t>be</w:t>
      </w:r>
      <w:r w:rsidRPr="00155597">
        <w:rPr>
          <w:spacing w:val="-7"/>
          <w:sz w:val="16"/>
        </w:rPr>
        <w:t xml:space="preserve"> </w:t>
      </w:r>
      <w:r w:rsidRPr="00155597">
        <w:rPr>
          <w:spacing w:val="-2"/>
          <w:sz w:val="16"/>
        </w:rPr>
        <w:t>considered</w:t>
      </w:r>
      <w:r w:rsidRPr="00155597">
        <w:rPr>
          <w:spacing w:val="-7"/>
          <w:sz w:val="16"/>
        </w:rPr>
        <w:t xml:space="preserve"> </w:t>
      </w:r>
      <w:r w:rsidRPr="00155597">
        <w:rPr>
          <w:spacing w:val="-2"/>
          <w:sz w:val="16"/>
        </w:rPr>
        <w:t>complete.</w:t>
      </w:r>
    </w:p>
    <w:p w14:paraId="238147B3" w14:textId="7E98BC09" w:rsidR="00EF2F18" w:rsidRPr="00155597" w:rsidRDefault="00EF2F18" w:rsidP="00EF2F18">
      <w:pPr>
        <w:keepNext/>
        <w:spacing w:line="187" w:lineRule="exact"/>
        <w:ind w:left="141" w:right="684" w:hanging="8"/>
        <w:rPr>
          <w:rFonts w:eastAsia="Arial"/>
          <w:sz w:val="16"/>
        </w:rPr>
      </w:pPr>
      <w:r w:rsidRPr="00155597">
        <w:rPr>
          <w:spacing w:val="-2"/>
          <w:sz w:val="20"/>
          <w:szCs w:val="20"/>
          <w:vertAlign w:val="superscript"/>
        </w:rPr>
        <w:t>3</w:t>
      </w:r>
      <w:r w:rsidRPr="00155597">
        <w:rPr>
          <w:spacing w:val="-1"/>
          <w:sz w:val="16"/>
        </w:rPr>
        <w:t>Ineligible</w:t>
      </w:r>
      <w:r w:rsidRPr="00155597">
        <w:rPr>
          <w:spacing w:val="-7"/>
          <w:sz w:val="16"/>
        </w:rPr>
        <w:t xml:space="preserve"> </w:t>
      </w:r>
      <w:r w:rsidRPr="00155597">
        <w:rPr>
          <w:spacing w:val="-1"/>
          <w:sz w:val="16"/>
        </w:rPr>
        <w:t>schools</w:t>
      </w:r>
      <w:r w:rsidRPr="00155597">
        <w:rPr>
          <w:spacing w:val="-6"/>
          <w:sz w:val="16"/>
        </w:rPr>
        <w:t xml:space="preserve"> </w:t>
      </w:r>
      <w:r w:rsidRPr="00155597">
        <w:rPr>
          <w:spacing w:val="-1"/>
          <w:sz w:val="16"/>
        </w:rPr>
        <w:t>include</w:t>
      </w:r>
      <w:r w:rsidRPr="00155597">
        <w:rPr>
          <w:spacing w:val="-7"/>
          <w:sz w:val="16"/>
        </w:rPr>
        <w:t xml:space="preserve"> </w:t>
      </w:r>
      <w:r w:rsidRPr="00155597">
        <w:rPr>
          <w:spacing w:val="-2"/>
          <w:sz w:val="16"/>
        </w:rPr>
        <w:t>those</w:t>
      </w:r>
      <w:r w:rsidRPr="00155597">
        <w:rPr>
          <w:spacing w:val="-5"/>
          <w:sz w:val="16"/>
        </w:rPr>
        <w:t xml:space="preserve"> </w:t>
      </w:r>
      <w:r w:rsidRPr="00155597">
        <w:rPr>
          <w:spacing w:val="-2"/>
          <w:sz w:val="16"/>
        </w:rPr>
        <w:t>that</w:t>
      </w:r>
      <w:r w:rsidRPr="00155597">
        <w:rPr>
          <w:spacing w:val="-6"/>
          <w:sz w:val="16"/>
        </w:rPr>
        <w:t xml:space="preserve"> </w:t>
      </w:r>
      <w:r w:rsidRPr="00155597">
        <w:rPr>
          <w:spacing w:val="-2"/>
          <w:sz w:val="16"/>
        </w:rPr>
        <w:t>had</w:t>
      </w:r>
      <w:r w:rsidRPr="00155597">
        <w:rPr>
          <w:spacing w:val="-7"/>
          <w:sz w:val="16"/>
        </w:rPr>
        <w:t xml:space="preserve"> </w:t>
      </w:r>
      <w:r w:rsidRPr="00155597">
        <w:rPr>
          <w:spacing w:val="-1"/>
          <w:sz w:val="16"/>
        </w:rPr>
        <w:t>closed,</w:t>
      </w:r>
      <w:r w:rsidRPr="00155597">
        <w:rPr>
          <w:spacing w:val="-6"/>
          <w:sz w:val="16"/>
        </w:rPr>
        <w:t xml:space="preserve"> </w:t>
      </w:r>
      <w:r w:rsidRPr="00155597">
        <w:rPr>
          <w:spacing w:val="-1"/>
          <w:sz w:val="16"/>
        </w:rPr>
        <w:t>merged</w:t>
      </w:r>
      <w:r w:rsidRPr="00155597">
        <w:rPr>
          <w:spacing w:val="-7"/>
          <w:sz w:val="16"/>
        </w:rPr>
        <w:t xml:space="preserve"> </w:t>
      </w:r>
      <w:r w:rsidRPr="00155597">
        <w:rPr>
          <w:spacing w:val="-2"/>
          <w:sz w:val="16"/>
        </w:rPr>
        <w:t>with</w:t>
      </w:r>
      <w:r w:rsidRPr="00155597">
        <w:rPr>
          <w:spacing w:val="-7"/>
          <w:sz w:val="16"/>
        </w:rPr>
        <w:t xml:space="preserve"> </w:t>
      </w:r>
      <w:r w:rsidRPr="00155597">
        <w:rPr>
          <w:spacing w:val="-2"/>
          <w:sz w:val="16"/>
        </w:rPr>
        <w:t>another</w:t>
      </w:r>
      <w:r w:rsidRPr="00155597">
        <w:rPr>
          <w:spacing w:val="-5"/>
          <w:sz w:val="16"/>
        </w:rPr>
        <w:t xml:space="preserve"> </w:t>
      </w:r>
      <w:r w:rsidRPr="00155597">
        <w:rPr>
          <w:spacing w:val="-2"/>
          <w:sz w:val="16"/>
        </w:rPr>
        <w:t>school</w:t>
      </w:r>
      <w:r w:rsidRPr="00155597">
        <w:rPr>
          <w:spacing w:val="-5"/>
          <w:sz w:val="16"/>
        </w:rPr>
        <w:t xml:space="preserve"> </w:t>
      </w:r>
      <w:r w:rsidRPr="00155597">
        <w:rPr>
          <w:spacing w:val="-1"/>
          <w:sz w:val="16"/>
        </w:rPr>
        <w:t>at</w:t>
      </w:r>
      <w:r w:rsidRPr="00155597">
        <w:rPr>
          <w:spacing w:val="-6"/>
          <w:sz w:val="16"/>
        </w:rPr>
        <w:t xml:space="preserve"> </w:t>
      </w:r>
      <w:r w:rsidRPr="00155597">
        <w:rPr>
          <w:sz w:val="16"/>
        </w:rPr>
        <w:t>a</w:t>
      </w:r>
      <w:r w:rsidRPr="00155597">
        <w:rPr>
          <w:spacing w:val="-7"/>
          <w:sz w:val="16"/>
        </w:rPr>
        <w:t xml:space="preserve"> </w:t>
      </w:r>
      <w:r w:rsidRPr="00155597">
        <w:rPr>
          <w:spacing w:val="-2"/>
          <w:sz w:val="16"/>
        </w:rPr>
        <w:t>new</w:t>
      </w:r>
      <w:r w:rsidRPr="00155597">
        <w:rPr>
          <w:spacing w:val="-10"/>
          <w:sz w:val="16"/>
        </w:rPr>
        <w:t xml:space="preserve"> </w:t>
      </w:r>
      <w:r w:rsidRPr="00155597">
        <w:rPr>
          <w:spacing w:val="-1"/>
          <w:sz w:val="16"/>
        </w:rPr>
        <w:t>location,</w:t>
      </w:r>
      <w:r w:rsidRPr="00155597">
        <w:rPr>
          <w:spacing w:val="-6"/>
          <w:sz w:val="16"/>
        </w:rPr>
        <w:t xml:space="preserve"> </w:t>
      </w:r>
      <w:r w:rsidRPr="00155597">
        <w:rPr>
          <w:spacing w:val="-2"/>
          <w:sz w:val="16"/>
        </w:rPr>
        <w:t>changed</w:t>
      </w:r>
      <w:r w:rsidRPr="00155597">
        <w:rPr>
          <w:spacing w:val="-7"/>
          <w:sz w:val="16"/>
        </w:rPr>
        <w:t xml:space="preserve"> </w:t>
      </w:r>
      <w:r w:rsidRPr="00155597">
        <w:rPr>
          <w:spacing w:val="-1"/>
          <w:sz w:val="16"/>
        </w:rPr>
        <w:t>from</w:t>
      </w:r>
      <w:r w:rsidRPr="00155597">
        <w:rPr>
          <w:spacing w:val="-5"/>
          <w:sz w:val="16"/>
        </w:rPr>
        <w:t xml:space="preserve"> </w:t>
      </w:r>
      <w:r w:rsidRPr="00155597">
        <w:rPr>
          <w:sz w:val="16"/>
        </w:rPr>
        <w:t>a</w:t>
      </w:r>
      <w:r w:rsidRPr="00155597">
        <w:rPr>
          <w:spacing w:val="-7"/>
          <w:sz w:val="16"/>
        </w:rPr>
        <w:t xml:space="preserve"> </w:t>
      </w:r>
      <w:r w:rsidRPr="00155597">
        <w:rPr>
          <w:spacing w:val="-2"/>
          <w:sz w:val="16"/>
        </w:rPr>
        <w:t>regular</w:t>
      </w:r>
      <w:r w:rsidRPr="00155597">
        <w:rPr>
          <w:spacing w:val="-7"/>
          <w:sz w:val="16"/>
        </w:rPr>
        <w:t xml:space="preserve"> </w:t>
      </w:r>
      <w:r w:rsidRPr="00155597">
        <w:rPr>
          <w:spacing w:val="-1"/>
          <w:sz w:val="16"/>
        </w:rPr>
        <w:t>public</w:t>
      </w:r>
      <w:r w:rsidRPr="00155597">
        <w:rPr>
          <w:spacing w:val="-5"/>
          <w:sz w:val="16"/>
        </w:rPr>
        <w:t xml:space="preserve"> </w:t>
      </w:r>
      <w:r w:rsidRPr="00155597">
        <w:rPr>
          <w:spacing w:val="-2"/>
          <w:sz w:val="16"/>
        </w:rPr>
        <w:t>school</w:t>
      </w:r>
      <w:r w:rsidRPr="00155597">
        <w:rPr>
          <w:spacing w:val="-4"/>
          <w:sz w:val="16"/>
        </w:rPr>
        <w:t xml:space="preserve"> </w:t>
      </w:r>
      <w:r w:rsidRPr="00155597">
        <w:rPr>
          <w:spacing w:val="-1"/>
          <w:sz w:val="16"/>
        </w:rPr>
        <w:t>to</w:t>
      </w:r>
      <w:r w:rsidRPr="00155597">
        <w:rPr>
          <w:spacing w:val="-6"/>
          <w:sz w:val="16"/>
        </w:rPr>
        <w:t xml:space="preserve"> </w:t>
      </w:r>
      <w:r w:rsidRPr="00155597">
        <w:rPr>
          <w:spacing w:val="-1"/>
          <w:sz w:val="16"/>
        </w:rPr>
        <w:t>an</w:t>
      </w:r>
      <w:r w:rsidRPr="00155597">
        <w:rPr>
          <w:spacing w:val="-6"/>
          <w:sz w:val="16"/>
        </w:rPr>
        <w:t xml:space="preserve"> </w:t>
      </w:r>
      <w:r w:rsidRPr="00155597">
        <w:rPr>
          <w:spacing w:val="-2"/>
          <w:sz w:val="16"/>
        </w:rPr>
        <w:t>alternative</w:t>
      </w:r>
      <w:r w:rsidRPr="00155597">
        <w:rPr>
          <w:spacing w:val="-5"/>
          <w:sz w:val="16"/>
        </w:rPr>
        <w:t xml:space="preserve"> </w:t>
      </w:r>
      <w:r w:rsidRPr="00155597">
        <w:rPr>
          <w:spacing w:val="-1"/>
          <w:sz w:val="16"/>
        </w:rPr>
        <w:t>school,</w:t>
      </w:r>
      <w:r w:rsidRPr="00155597">
        <w:rPr>
          <w:spacing w:val="-5"/>
          <w:sz w:val="16"/>
        </w:rPr>
        <w:t xml:space="preserve"> </w:t>
      </w:r>
      <w:r w:rsidRPr="00155597">
        <w:rPr>
          <w:spacing w:val="-1"/>
          <w:sz w:val="16"/>
        </w:rPr>
        <w:t>or</w:t>
      </w:r>
      <w:r w:rsidRPr="00155597">
        <w:rPr>
          <w:spacing w:val="-4"/>
          <w:sz w:val="16"/>
        </w:rPr>
        <w:t xml:space="preserve"> </w:t>
      </w:r>
      <w:r w:rsidRPr="00155597">
        <w:rPr>
          <w:spacing w:val="-1"/>
          <w:sz w:val="16"/>
        </w:rPr>
        <w:t>are</w:t>
      </w:r>
      <w:r w:rsidRPr="00155597">
        <w:rPr>
          <w:spacing w:val="-6"/>
          <w:sz w:val="16"/>
        </w:rPr>
        <w:t xml:space="preserve"> </w:t>
      </w:r>
      <w:r w:rsidRPr="00155597">
        <w:rPr>
          <w:spacing w:val="-2"/>
          <w:sz w:val="16"/>
        </w:rPr>
        <w:t>not</w:t>
      </w:r>
      <w:r w:rsidRPr="00155597">
        <w:rPr>
          <w:spacing w:val="-6"/>
          <w:sz w:val="16"/>
        </w:rPr>
        <w:t xml:space="preserve"> </w:t>
      </w:r>
      <w:r w:rsidRPr="00155597">
        <w:rPr>
          <w:sz w:val="16"/>
        </w:rPr>
        <w:t>a</w:t>
      </w:r>
      <w:r w:rsidRPr="00155597">
        <w:rPr>
          <w:spacing w:val="-6"/>
          <w:sz w:val="16"/>
        </w:rPr>
        <w:t xml:space="preserve"> </w:t>
      </w:r>
      <w:r w:rsidRPr="00155597">
        <w:rPr>
          <w:spacing w:val="-2"/>
          <w:sz w:val="16"/>
        </w:rPr>
        <w:t>school</w:t>
      </w:r>
      <w:r w:rsidRPr="00155597">
        <w:rPr>
          <w:spacing w:val="-4"/>
          <w:sz w:val="16"/>
        </w:rPr>
        <w:t xml:space="preserve"> </w:t>
      </w:r>
      <w:r w:rsidRPr="00155597">
        <w:rPr>
          <w:spacing w:val="-1"/>
          <w:sz w:val="16"/>
        </w:rPr>
        <w:t>("not</w:t>
      </w:r>
      <w:r w:rsidRPr="00155597">
        <w:rPr>
          <w:spacing w:val="-5"/>
          <w:sz w:val="16"/>
        </w:rPr>
        <w:t xml:space="preserve"> </w:t>
      </w:r>
      <w:r w:rsidRPr="00155597">
        <w:rPr>
          <w:sz w:val="16"/>
        </w:rPr>
        <w:t>a</w:t>
      </w:r>
      <w:r w:rsidRPr="00155597">
        <w:rPr>
          <w:spacing w:val="-7"/>
          <w:sz w:val="16"/>
        </w:rPr>
        <w:t xml:space="preserve"> </w:t>
      </w:r>
      <w:r w:rsidRPr="00155597">
        <w:rPr>
          <w:spacing w:val="-1"/>
          <w:sz w:val="16"/>
        </w:rPr>
        <w:t>school"</w:t>
      </w:r>
      <w:r w:rsidRPr="00155597">
        <w:rPr>
          <w:spacing w:val="-4"/>
          <w:sz w:val="16"/>
        </w:rPr>
        <w:t xml:space="preserve"> </w:t>
      </w:r>
      <w:r w:rsidRPr="00155597">
        <w:rPr>
          <w:spacing w:val="-2"/>
          <w:sz w:val="16"/>
        </w:rPr>
        <w:t>generally</w:t>
      </w:r>
      <w:r w:rsidRPr="00155597">
        <w:rPr>
          <w:spacing w:val="-9"/>
          <w:sz w:val="16"/>
        </w:rPr>
        <w:t xml:space="preserve"> </w:t>
      </w:r>
      <w:r w:rsidRPr="00155597">
        <w:rPr>
          <w:spacing w:val="-1"/>
          <w:sz w:val="16"/>
        </w:rPr>
        <w:t>refers</w:t>
      </w:r>
      <w:r w:rsidRPr="00155597">
        <w:rPr>
          <w:spacing w:val="-4"/>
          <w:sz w:val="16"/>
        </w:rPr>
        <w:t xml:space="preserve"> </w:t>
      </w:r>
      <w:r w:rsidRPr="00155597">
        <w:rPr>
          <w:spacing w:val="-1"/>
          <w:sz w:val="16"/>
        </w:rPr>
        <w:t>to</w:t>
      </w:r>
      <w:r w:rsidRPr="00155597">
        <w:rPr>
          <w:spacing w:val="-6"/>
          <w:sz w:val="16"/>
        </w:rPr>
        <w:t xml:space="preserve"> </w:t>
      </w:r>
      <w:r w:rsidRPr="00155597">
        <w:rPr>
          <w:sz w:val="16"/>
        </w:rPr>
        <w:t>a</w:t>
      </w:r>
      <w:r w:rsidRPr="00155597">
        <w:rPr>
          <w:spacing w:val="-6"/>
          <w:sz w:val="16"/>
        </w:rPr>
        <w:t xml:space="preserve"> </w:t>
      </w:r>
      <w:r w:rsidRPr="00155597">
        <w:rPr>
          <w:spacing w:val="-2"/>
          <w:sz w:val="16"/>
        </w:rPr>
        <w:t>school</w:t>
      </w:r>
      <w:r w:rsidRPr="00155597">
        <w:rPr>
          <w:spacing w:val="-5"/>
          <w:sz w:val="16"/>
        </w:rPr>
        <w:t xml:space="preserve"> </w:t>
      </w:r>
      <w:r w:rsidRPr="00155597">
        <w:rPr>
          <w:spacing w:val="-1"/>
          <w:sz w:val="16"/>
        </w:rPr>
        <w:t>record</w:t>
      </w:r>
      <w:r w:rsidRPr="00155597">
        <w:rPr>
          <w:spacing w:val="-6"/>
          <w:sz w:val="16"/>
        </w:rPr>
        <w:t xml:space="preserve"> </w:t>
      </w:r>
      <w:r w:rsidRPr="00155597">
        <w:rPr>
          <w:spacing w:val="-1"/>
          <w:sz w:val="16"/>
        </w:rPr>
        <w:t>for</w:t>
      </w:r>
      <w:r w:rsidRPr="00155597">
        <w:rPr>
          <w:spacing w:val="-4"/>
          <w:sz w:val="16"/>
        </w:rPr>
        <w:t xml:space="preserve"> </w:t>
      </w:r>
      <w:r w:rsidRPr="00155597">
        <w:rPr>
          <w:spacing w:val="-2"/>
          <w:sz w:val="16"/>
        </w:rPr>
        <w:t>an</w:t>
      </w:r>
      <w:r w:rsidRPr="00155597">
        <w:rPr>
          <w:spacing w:val="-7"/>
          <w:sz w:val="16"/>
        </w:rPr>
        <w:t xml:space="preserve"> </w:t>
      </w:r>
      <w:r w:rsidRPr="00155597">
        <w:rPr>
          <w:spacing w:val="-2"/>
          <w:sz w:val="16"/>
        </w:rPr>
        <w:t>organization</w:t>
      </w:r>
      <w:r w:rsidRPr="00155597">
        <w:rPr>
          <w:spacing w:val="-8"/>
          <w:sz w:val="16"/>
        </w:rPr>
        <w:t xml:space="preserve"> </w:t>
      </w:r>
      <w:r w:rsidRPr="00155597">
        <w:rPr>
          <w:spacing w:val="-2"/>
          <w:sz w:val="16"/>
        </w:rPr>
        <w:t>that</w:t>
      </w:r>
      <w:r w:rsidRPr="00155597">
        <w:rPr>
          <w:spacing w:val="-6"/>
          <w:sz w:val="16"/>
        </w:rPr>
        <w:t xml:space="preserve"> </w:t>
      </w:r>
      <w:r w:rsidRPr="00155597">
        <w:rPr>
          <w:spacing w:val="-2"/>
          <w:sz w:val="16"/>
        </w:rPr>
        <w:t>does</w:t>
      </w:r>
      <w:r w:rsidRPr="00155597">
        <w:rPr>
          <w:spacing w:val="-5"/>
          <w:sz w:val="16"/>
        </w:rPr>
        <w:t xml:space="preserve"> </w:t>
      </w:r>
      <w:r w:rsidRPr="00155597">
        <w:rPr>
          <w:spacing w:val="-2"/>
          <w:sz w:val="16"/>
        </w:rPr>
        <w:t>not</w:t>
      </w:r>
      <w:r w:rsidRPr="00155597">
        <w:rPr>
          <w:spacing w:val="-6"/>
          <w:sz w:val="16"/>
        </w:rPr>
        <w:t xml:space="preserve"> </w:t>
      </w:r>
      <w:r w:rsidRPr="00155597">
        <w:rPr>
          <w:spacing w:val="-1"/>
          <w:sz w:val="16"/>
        </w:rPr>
        <w:t>provide</w:t>
      </w:r>
      <w:r w:rsidRPr="00155597">
        <w:rPr>
          <w:spacing w:val="-7"/>
          <w:sz w:val="16"/>
        </w:rPr>
        <w:t xml:space="preserve"> </w:t>
      </w:r>
      <w:r w:rsidRPr="00155597">
        <w:rPr>
          <w:spacing w:val="-2"/>
          <w:sz w:val="16"/>
        </w:rPr>
        <w:t>any</w:t>
      </w:r>
      <w:r w:rsidRPr="00155597">
        <w:rPr>
          <w:spacing w:val="-10"/>
          <w:sz w:val="16"/>
        </w:rPr>
        <w:t xml:space="preserve"> </w:t>
      </w:r>
      <w:r w:rsidRPr="00155597">
        <w:rPr>
          <w:spacing w:val="-1"/>
          <w:sz w:val="16"/>
        </w:rPr>
        <w:t>classroom</w:t>
      </w:r>
      <w:r w:rsidRPr="00155597">
        <w:rPr>
          <w:spacing w:val="-5"/>
          <w:sz w:val="16"/>
        </w:rPr>
        <w:t xml:space="preserve"> </w:t>
      </w:r>
      <w:r w:rsidRPr="00155597">
        <w:rPr>
          <w:spacing w:val="-1"/>
          <w:sz w:val="16"/>
        </w:rPr>
        <w:t>instruction</w:t>
      </w:r>
      <w:r w:rsidRPr="00155597">
        <w:rPr>
          <w:spacing w:val="-7"/>
          <w:sz w:val="16"/>
        </w:rPr>
        <w:t xml:space="preserve"> </w:t>
      </w:r>
      <w:r w:rsidRPr="00155597">
        <w:rPr>
          <w:spacing w:val="-1"/>
          <w:sz w:val="16"/>
        </w:rPr>
        <w:t>(e.g.,</w:t>
      </w:r>
      <w:r w:rsidRPr="00155597">
        <w:rPr>
          <w:spacing w:val="-6"/>
          <w:sz w:val="16"/>
        </w:rPr>
        <w:t xml:space="preserve"> </w:t>
      </w:r>
      <w:r w:rsidRPr="00155597">
        <w:rPr>
          <w:spacing w:val="-1"/>
          <w:sz w:val="16"/>
        </w:rPr>
        <w:t>an</w:t>
      </w:r>
      <w:r w:rsidRPr="00155597">
        <w:rPr>
          <w:spacing w:val="-7"/>
          <w:sz w:val="16"/>
        </w:rPr>
        <w:t xml:space="preserve"> </w:t>
      </w:r>
      <w:r w:rsidRPr="00155597">
        <w:rPr>
          <w:spacing w:val="-1"/>
          <w:sz w:val="16"/>
        </w:rPr>
        <w:t>office</w:t>
      </w:r>
      <w:r w:rsidRPr="00155597">
        <w:rPr>
          <w:spacing w:val="-5"/>
          <w:sz w:val="16"/>
        </w:rPr>
        <w:t xml:space="preserve"> </w:t>
      </w:r>
      <w:r w:rsidRPr="00155597">
        <w:rPr>
          <w:spacing w:val="-2"/>
          <w:sz w:val="16"/>
        </w:rPr>
        <w:t>overseeing</w:t>
      </w:r>
      <w:r w:rsidRPr="00155597">
        <w:rPr>
          <w:spacing w:val="-8"/>
          <w:sz w:val="16"/>
        </w:rPr>
        <w:t xml:space="preserve"> </w:t>
      </w:r>
      <w:r w:rsidRPr="00155597">
        <w:rPr>
          <w:sz w:val="16"/>
        </w:rPr>
        <w:t>a</w:t>
      </w:r>
      <w:r w:rsidRPr="00155597">
        <w:rPr>
          <w:spacing w:val="-7"/>
          <w:sz w:val="16"/>
        </w:rPr>
        <w:t xml:space="preserve"> </w:t>
      </w:r>
      <w:r w:rsidRPr="00155597">
        <w:rPr>
          <w:spacing w:val="-1"/>
          <w:sz w:val="16"/>
        </w:rPr>
        <w:t>certain</w:t>
      </w:r>
      <w:r w:rsidRPr="00155597">
        <w:rPr>
          <w:spacing w:val="-7"/>
          <w:sz w:val="16"/>
        </w:rPr>
        <w:t xml:space="preserve"> </w:t>
      </w:r>
      <w:r w:rsidRPr="00155597">
        <w:rPr>
          <w:spacing w:val="-2"/>
          <w:sz w:val="16"/>
        </w:rPr>
        <w:t>type</w:t>
      </w:r>
      <w:r w:rsidRPr="00155597">
        <w:rPr>
          <w:spacing w:val="-7"/>
          <w:sz w:val="16"/>
        </w:rPr>
        <w:t xml:space="preserve"> </w:t>
      </w:r>
      <w:r w:rsidRPr="00155597">
        <w:rPr>
          <w:spacing w:val="-1"/>
          <w:sz w:val="16"/>
        </w:rPr>
        <w:t>of</w:t>
      </w:r>
      <w:r w:rsidRPr="00155597">
        <w:rPr>
          <w:spacing w:val="-4"/>
          <w:sz w:val="16"/>
        </w:rPr>
        <w:t xml:space="preserve"> </w:t>
      </w:r>
      <w:r w:rsidRPr="00155597">
        <w:rPr>
          <w:spacing w:val="-2"/>
          <w:sz w:val="16"/>
        </w:rPr>
        <w:t>program</w:t>
      </w:r>
      <w:r w:rsidRPr="00155597">
        <w:rPr>
          <w:spacing w:val="-5"/>
          <w:sz w:val="16"/>
        </w:rPr>
        <w:t xml:space="preserve"> </w:t>
      </w:r>
      <w:r w:rsidRPr="00155597">
        <w:rPr>
          <w:spacing w:val="-1"/>
          <w:sz w:val="16"/>
        </w:rPr>
        <w:t>or</w:t>
      </w:r>
      <w:r w:rsidRPr="00155597">
        <w:rPr>
          <w:spacing w:val="-5"/>
          <w:sz w:val="16"/>
        </w:rPr>
        <w:t xml:space="preserve"> </w:t>
      </w:r>
      <w:r w:rsidRPr="00155597">
        <w:rPr>
          <w:spacing w:val="-1"/>
          <w:sz w:val="16"/>
        </w:rPr>
        <w:t>offering</w:t>
      </w:r>
      <w:r w:rsidRPr="00155597">
        <w:rPr>
          <w:spacing w:val="-7"/>
          <w:sz w:val="16"/>
        </w:rPr>
        <w:t xml:space="preserve"> </w:t>
      </w:r>
      <w:r w:rsidRPr="00155597">
        <w:rPr>
          <w:spacing w:val="-1"/>
          <w:sz w:val="16"/>
        </w:rPr>
        <w:t>tutoring</w:t>
      </w:r>
      <w:r w:rsidRPr="00155597">
        <w:rPr>
          <w:spacing w:val="-11"/>
          <w:sz w:val="16"/>
        </w:rPr>
        <w:t xml:space="preserve"> </w:t>
      </w:r>
      <w:r w:rsidRPr="00155597">
        <w:rPr>
          <w:spacing w:val="-1"/>
          <w:sz w:val="16"/>
        </w:rPr>
        <w:t>services</w:t>
      </w:r>
      <w:r w:rsidRPr="00155597">
        <w:rPr>
          <w:spacing w:val="-8"/>
          <w:sz w:val="16"/>
        </w:rPr>
        <w:t xml:space="preserve"> </w:t>
      </w:r>
      <w:r w:rsidRPr="00155597">
        <w:rPr>
          <w:spacing w:val="-2"/>
          <w:sz w:val="16"/>
        </w:rPr>
        <w:t>only)).</w:t>
      </w:r>
    </w:p>
    <w:p w14:paraId="31A8747F" w14:textId="77777777" w:rsidR="00EF2F18" w:rsidRPr="00155597" w:rsidRDefault="00EF2F18" w:rsidP="00EF2F18">
      <w:pPr>
        <w:keepNext/>
        <w:spacing w:line="187" w:lineRule="exact"/>
        <w:ind w:left="141" w:right="684" w:hanging="8"/>
        <w:rPr>
          <w:spacing w:val="97"/>
          <w:w w:val="99"/>
          <w:sz w:val="16"/>
        </w:rPr>
      </w:pPr>
      <w:r w:rsidRPr="00155597">
        <w:rPr>
          <w:spacing w:val="-2"/>
          <w:sz w:val="20"/>
          <w:szCs w:val="20"/>
          <w:vertAlign w:val="superscript"/>
        </w:rPr>
        <w:t>4</w:t>
      </w:r>
      <w:r w:rsidRPr="00155597">
        <w:rPr>
          <w:spacing w:val="-1"/>
          <w:sz w:val="16"/>
        </w:rPr>
        <w:t>The</w:t>
      </w:r>
      <w:r w:rsidRPr="00155597">
        <w:rPr>
          <w:spacing w:val="-7"/>
          <w:sz w:val="16"/>
        </w:rPr>
        <w:t xml:space="preserve"> </w:t>
      </w:r>
      <w:r w:rsidRPr="00155597">
        <w:rPr>
          <w:spacing w:val="-2"/>
          <w:sz w:val="16"/>
        </w:rPr>
        <w:t>unweighted</w:t>
      </w:r>
      <w:r w:rsidRPr="00155597">
        <w:rPr>
          <w:spacing w:val="-6"/>
          <w:sz w:val="16"/>
        </w:rPr>
        <w:t xml:space="preserve"> </w:t>
      </w:r>
      <w:r w:rsidRPr="00155597">
        <w:rPr>
          <w:spacing w:val="-2"/>
          <w:sz w:val="16"/>
        </w:rPr>
        <w:t>response</w:t>
      </w:r>
      <w:r w:rsidRPr="00155597">
        <w:rPr>
          <w:spacing w:val="-5"/>
          <w:sz w:val="16"/>
        </w:rPr>
        <w:t xml:space="preserve"> </w:t>
      </w:r>
      <w:r w:rsidRPr="00155597">
        <w:rPr>
          <w:spacing w:val="-1"/>
          <w:sz w:val="16"/>
        </w:rPr>
        <w:t>rate</w:t>
      </w:r>
      <w:r w:rsidRPr="00155597">
        <w:rPr>
          <w:spacing w:val="-7"/>
          <w:sz w:val="16"/>
        </w:rPr>
        <w:t xml:space="preserve"> </w:t>
      </w:r>
      <w:r w:rsidRPr="00155597">
        <w:rPr>
          <w:sz w:val="16"/>
        </w:rPr>
        <w:t>is</w:t>
      </w:r>
      <w:r w:rsidRPr="00155597">
        <w:rPr>
          <w:spacing w:val="-4"/>
          <w:sz w:val="16"/>
        </w:rPr>
        <w:t xml:space="preserve"> </w:t>
      </w:r>
      <w:r w:rsidRPr="00155597">
        <w:rPr>
          <w:spacing w:val="-2"/>
          <w:sz w:val="16"/>
        </w:rPr>
        <w:t>calculated</w:t>
      </w:r>
      <w:r w:rsidRPr="00155597">
        <w:rPr>
          <w:spacing w:val="-7"/>
          <w:sz w:val="16"/>
        </w:rPr>
        <w:t xml:space="preserve"> </w:t>
      </w:r>
      <w:r w:rsidRPr="00155597">
        <w:rPr>
          <w:spacing w:val="-1"/>
          <w:sz w:val="16"/>
        </w:rPr>
        <w:t>as</w:t>
      </w:r>
      <w:r w:rsidRPr="00155597">
        <w:rPr>
          <w:spacing w:val="-4"/>
          <w:sz w:val="16"/>
        </w:rPr>
        <w:t xml:space="preserve"> </w:t>
      </w:r>
      <w:r w:rsidRPr="00155597">
        <w:rPr>
          <w:spacing w:val="-1"/>
          <w:sz w:val="16"/>
        </w:rPr>
        <w:t>the</w:t>
      </w:r>
      <w:r w:rsidRPr="00155597">
        <w:rPr>
          <w:spacing w:val="-7"/>
          <w:sz w:val="16"/>
        </w:rPr>
        <w:t xml:space="preserve"> </w:t>
      </w:r>
      <w:r w:rsidRPr="00155597">
        <w:rPr>
          <w:spacing w:val="-2"/>
          <w:sz w:val="16"/>
        </w:rPr>
        <w:t>following</w:t>
      </w:r>
      <w:r w:rsidRPr="00155597">
        <w:rPr>
          <w:spacing w:val="-6"/>
          <w:sz w:val="16"/>
        </w:rPr>
        <w:t xml:space="preserve"> </w:t>
      </w:r>
      <w:r w:rsidRPr="00155597">
        <w:rPr>
          <w:spacing w:val="-1"/>
          <w:sz w:val="16"/>
        </w:rPr>
        <w:t>ratio:</w:t>
      </w:r>
      <w:r w:rsidRPr="00155597">
        <w:rPr>
          <w:spacing w:val="-6"/>
          <w:sz w:val="16"/>
        </w:rPr>
        <w:t xml:space="preserve"> </w:t>
      </w:r>
      <w:r w:rsidRPr="00155597">
        <w:rPr>
          <w:spacing w:val="-2"/>
          <w:sz w:val="16"/>
        </w:rPr>
        <w:t>completed</w:t>
      </w:r>
      <w:r w:rsidRPr="00155597">
        <w:rPr>
          <w:spacing w:val="-6"/>
          <w:sz w:val="16"/>
        </w:rPr>
        <w:t xml:space="preserve"> </w:t>
      </w:r>
      <w:r w:rsidRPr="00155597">
        <w:rPr>
          <w:spacing w:val="-2"/>
          <w:sz w:val="16"/>
        </w:rPr>
        <w:t>cases</w:t>
      </w:r>
      <w:r w:rsidRPr="00155597">
        <w:rPr>
          <w:spacing w:val="-5"/>
          <w:sz w:val="16"/>
        </w:rPr>
        <w:t xml:space="preserve"> </w:t>
      </w:r>
      <w:r w:rsidRPr="00155597">
        <w:rPr>
          <w:sz w:val="16"/>
        </w:rPr>
        <w:t>/</w:t>
      </w:r>
      <w:r w:rsidRPr="00155597">
        <w:rPr>
          <w:spacing w:val="-6"/>
          <w:sz w:val="16"/>
        </w:rPr>
        <w:t xml:space="preserve"> </w:t>
      </w:r>
      <w:r w:rsidRPr="00155597">
        <w:rPr>
          <w:spacing w:val="-1"/>
          <w:sz w:val="16"/>
        </w:rPr>
        <w:t>(total</w:t>
      </w:r>
      <w:r w:rsidRPr="00155597">
        <w:rPr>
          <w:spacing w:val="-4"/>
          <w:sz w:val="16"/>
        </w:rPr>
        <w:t xml:space="preserve"> </w:t>
      </w:r>
      <w:r w:rsidRPr="00155597">
        <w:rPr>
          <w:spacing w:val="-1"/>
          <w:sz w:val="16"/>
        </w:rPr>
        <w:t>sample</w:t>
      </w:r>
      <w:r w:rsidRPr="00155597">
        <w:rPr>
          <w:spacing w:val="-7"/>
          <w:sz w:val="16"/>
        </w:rPr>
        <w:t xml:space="preserve"> </w:t>
      </w:r>
      <w:r w:rsidRPr="00155597">
        <w:rPr>
          <w:rFonts w:eastAsia="Arial"/>
          <w:spacing w:val="-2"/>
          <w:sz w:val="16"/>
        </w:rPr>
        <w:t>–</w:t>
      </w:r>
      <w:r w:rsidRPr="00155597">
        <w:rPr>
          <w:spacing w:val="-4"/>
          <w:sz w:val="16"/>
        </w:rPr>
        <w:t xml:space="preserve"> </w:t>
      </w:r>
      <w:r w:rsidRPr="00155597">
        <w:rPr>
          <w:spacing w:val="-2"/>
          <w:sz w:val="16"/>
        </w:rPr>
        <w:t>known</w:t>
      </w:r>
      <w:r w:rsidRPr="00155597">
        <w:rPr>
          <w:spacing w:val="-7"/>
          <w:sz w:val="16"/>
        </w:rPr>
        <w:t xml:space="preserve"> </w:t>
      </w:r>
      <w:r w:rsidRPr="00155597">
        <w:rPr>
          <w:spacing w:val="-1"/>
          <w:sz w:val="16"/>
        </w:rPr>
        <w:t>ineligibles).</w:t>
      </w:r>
    </w:p>
    <w:p w14:paraId="2689F724" w14:textId="77777777" w:rsidR="00EF2F18" w:rsidRPr="00155597" w:rsidRDefault="00EF2F18" w:rsidP="00EF2F18">
      <w:pPr>
        <w:keepNext/>
        <w:spacing w:line="187" w:lineRule="exact"/>
        <w:ind w:left="141" w:right="684" w:hanging="8"/>
        <w:rPr>
          <w:spacing w:val="-1"/>
          <w:sz w:val="16"/>
        </w:rPr>
      </w:pPr>
      <w:r w:rsidRPr="00155597">
        <w:rPr>
          <w:spacing w:val="-2"/>
          <w:sz w:val="20"/>
          <w:szCs w:val="20"/>
          <w:vertAlign w:val="superscript"/>
        </w:rPr>
        <w:t>5</w:t>
      </w:r>
      <w:r w:rsidRPr="00155597">
        <w:rPr>
          <w:spacing w:val="-1"/>
          <w:sz w:val="16"/>
        </w:rPr>
        <w:t>The</w:t>
      </w:r>
      <w:r w:rsidRPr="00155597">
        <w:rPr>
          <w:spacing w:val="-7"/>
          <w:sz w:val="16"/>
        </w:rPr>
        <w:t xml:space="preserve"> </w:t>
      </w:r>
      <w:r w:rsidRPr="00155597">
        <w:rPr>
          <w:spacing w:val="-2"/>
          <w:sz w:val="16"/>
        </w:rPr>
        <w:t>weighted response</w:t>
      </w:r>
      <w:r w:rsidRPr="00155597">
        <w:rPr>
          <w:spacing w:val="-4"/>
          <w:sz w:val="16"/>
        </w:rPr>
        <w:t xml:space="preserve"> </w:t>
      </w:r>
      <w:r w:rsidRPr="00155597">
        <w:rPr>
          <w:spacing w:val="-1"/>
          <w:sz w:val="16"/>
        </w:rPr>
        <w:t>rate</w:t>
      </w:r>
      <w:r w:rsidRPr="00155597">
        <w:rPr>
          <w:spacing w:val="-6"/>
          <w:sz w:val="16"/>
        </w:rPr>
        <w:t xml:space="preserve"> </w:t>
      </w:r>
      <w:r w:rsidRPr="00155597">
        <w:rPr>
          <w:sz w:val="16"/>
        </w:rPr>
        <w:t>is</w:t>
      </w:r>
      <w:r w:rsidRPr="00155597">
        <w:rPr>
          <w:spacing w:val="-5"/>
          <w:sz w:val="16"/>
        </w:rPr>
        <w:t xml:space="preserve"> </w:t>
      </w:r>
      <w:r w:rsidRPr="00155597">
        <w:rPr>
          <w:spacing w:val="-2"/>
          <w:sz w:val="16"/>
        </w:rPr>
        <w:t>calculated</w:t>
      </w:r>
      <w:r w:rsidRPr="00155597">
        <w:rPr>
          <w:spacing w:val="-6"/>
          <w:sz w:val="16"/>
        </w:rPr>
        <w:t xml:space="preserve"> </w:t>
      </w:r>
      <w:r w:rsidRPr="00155597">
        <w:rPr>
          <w:spacing w:val="-1"/>
          <w:sz w:val="16"/>
        </w:rPr>
        <w:t>by</w:t>
      </w:r>
      <w:r w:rsidRPr="00155597">
        <w:rPr>
          <w:spacing w:val="-9"/>
          <w:sz w:val="16"/>
        </w:rPr>
        <w:t xml:space="preserve"> </w:t>
      </w:r>
      <w:r w:rsidRPr="00155597">
        <w:rPr>
          <w:spacing w:val="-2"/>
          <w:sz w:val="16"/>
        </w:rPr>
        <w:t>applying</w:t>
      </w:r>
      <w:r w:rsidRPr="00155597">
        <w:rPr>
          <w:spacing w:val="-6"/>
          <w:sz w:val="16"/>
        </w:rPr>
        <w:t xml:space="preserve"> </w:t>
      </w:r>
      <w:r w:rsidRPr="00155597">
        <w:rPr>
          <w:spacing w:val="-1"/>
          <w:sz w:val="16"/>
        </w:rPr>
        <w:t>the</w:t>
      </w:r>
      <w:r w:rsidRPr="00155597">
        <w:rPr>
          <w:spacing w:val="-6"/>
          <w:sz w:val="16"/>
        </w:rPr>
        <w:t xml:space="preserve"> </w:t>
      </w:r>
      <w:r w:rsidRPr="00155597">
        <w:rPr>
          <w:spacing w:val="-2"/>
          <w:sz w:val="16"/>
        </w:rPr>
        <w:t>base</w:t>
      </w:r>
      <w:r w:rsidRPr="00155597">
        <w:rPr>
          <w:spacing w:val="-4"/>
          <w:sz w:val="16"/>
        </w:rPr>
        <w:t xml:space="preserve"> </w:t>
      </w:r>
      <w:r w:rsidRPr="00155597">
        <w:rPr>
          <w:spacing w:val="-1"/>
          <w:sz w:val="16"/>
        </w:rPr>
        <w:t>sampling</w:t>
      </w:r>
      <w:r w:rsidRPr="00155597">
        <w:rPr>
          <w:spacing w:val="-7"/>
          <w:sz w:val="16"/>
        </w:rPr>
        <w:t xml:space="preserve"> </w:t>
      </w:r>
      <w:r w:rsidRPr="00155597">
        <w:rPr>
          <w:spacing w:val="-1"/>
          <w:sz w:val="16"/>
        </w:rPr>
        <w:t>rates</w:t>
      </w:r>
      <w:r w:rsidRPr="00155597">
        <w:rPr>
          <w:spacing w:val="-4"/>
          <w:sz w:val="16"/>
        </w:rPr>
        <w:t xml:space="preserve"> </w:t>
      </w:r>
      <w:r w:rsidRPr="00155597">
        <w:rPr>
          <w:spacing w:val="-1"/>
          <w:sz w:val="16"/>
        </w:rPr>
        <w:t>to</w:t>
      </w:r>
      <w:r w:rsidRPr="00155597">
        <w:rPr>
          <w:spacing w:val="-6"/>
          <w:sz w:val="16"/>
        </w:rPr>
        <w:t xml:space="preserve"> </w:t>
      </w:r>
      <w:r w:rsidRPr="00155597">
        <w:rPr>
          <w:spacing w:val="-1"/>
          <w:sz w:val="16"/>
        </w:rPr>
        <w:t>the</w:t>
      </w:r>
      <w:r w:rsidRPr="00155597">
        <w:rPr>
          <w:spacing w:val="-6"/>
          <w:sz w:val="16"/>
        </w:rPr>
        <w:t xml:space="preserve"> </w:t>
      </w:r>
      <w:r w:rsidRPr="00155597">
        <w:rPr>
          <w:spacing w:val="-2"/>
          <w:sz w:val="16"/>
        </w:rPr>
        <w:t>following</w:t>
      </w:r>
      <w:r w:rsidRPr="00155597">
        <w:rPr>
          <w:spacing w:val="-6"/>
          <w:sz w:val="16"/>
        </w:rPr>
        <w:t xml:space="preserve"> </w:t>
      </w:r>
      <w:r w:rsidRPr="00155597">
        <w:rPr>
          <w:spacing w:val="-1"/>
          <w:sz w:val="16"/>
        </w:rPr>
        <w:t>ratio:</w:t>
      </w:r>
      <w:r w:rsidRPr="00155597">
        <w:rPr>
          <w:spacing w:val="-6"/>
          <w:sz w:val="16"/>
        </w:rPr>
        <w:t xml:space="preserve"> </w:t>
      </w:r>
      <w:r w:rsidRPr="00155597">
        <w:rPr>
          <w:spacing w:val="-2"/>
          <w:sz w:val="16"/>
        </w:rPr>
        <w:t>completed</w:t>
      </w:r>
      <w:r w:rsidRPr="00155597">
        <w:rPr>
          <w:spacing w:val="-6"/>
          <w:sz w:val="16"/>
        </w:rPr>
        <w:t xml:space="preserve"> </w:t>
      </w:r>
      <w:r w:rsidRPr="00155597">
        <w:rPr>
          <w:spacing w:val="-2"/>
          <w:sz w:val="16"/>
        </w:rPr>
        <w:t>cases</w:t>
      </w:r>
      <w:r w:rsidRPr="00155597">
        <w:rPr>
          <w:spacing w:val="-4"/>
          <w:sz w:val="16"/>
        </w:rPr>
        <w:t xml:space="preserve"> </w:t>
      </w:r>
      <w:r w:rsidRPr="00155597">
        <w:rPr>
          <w:sz w:val="16"/>
        </w:rPr>
        <w:t>/</w:t>
      </w:r>
      <w:r w:rsidRPr="00155597">
        <w:rPr>
          <w:spacing w:val="-6"/>
          <w:sz w:val="16"/>
        </w:rPr>
        <w:t xml:space="preserve"> </w:t>
      </w:r>
      <w:r w:rsidRPr="00155597">
        <w:rPr>
          <w:spacing w:val="-1"/>
          <w:sz w:val="16"/>
        </w:rPr>
        <w:t>(total</w:t>
      </w:r>
      <w:r w:rsidRPr="00155597">
        <w:rPr>
          <w:spacing w:val="-7"/>
          <w:sz w:val="16"/>
        </w:rPr>
        <w:t xml:space="preserve"> </w:t>
      </w:r>
      <w:r w:rsidRPr="00155597">
        <w:rPr>
          <w:spacing w:val="-1"/>
          <w:sz w:val="16"/>
        </w:rPr>
        <w:t>sample</w:t>
      </w:r>
      <w:r w:rsidRPr="00155597">
        <w:rPr>
          <w:spacing w:val="-8"/>
          <w:sz w:val="16"/>
        </w:rPr>
        <w:t xml:space="preserve"> </w:t>
      </w:r>
      <w:r w:rsidRPr="00155597">
        <w:rPr>
          <w:rFonts w:eastAsia="Arial"/>
          <w:spacing w:val="-2"/>
          <w:sz w:val="16"/>
        </w:rPr>
        <w:t>–</w:t>
      </w:r>
      <w:r w:rsidRPr="00155597">
        <w:rPr>
          <w:spacing w:val="-6"/>
          <w:sz w:val="16"/>
        </w:rPr>
        <w:t xml:space="preserve"> </w:t>
      </w:r>
      <w:r w:rsidRPr="00155597">
        <w:rPr>
          <w:spacing w:val="-2"/>
          <w:sz w:val="16"/>
        </w:rPr>
        <w:t>known</w:t>
      </w:r>
      <w:r w:rsidRPr="00155597">
        <w:rPr>
          <w:spacing w:val="-8"/>
          <w:sz w:val="16"/>
        </w:rPr>
        <w:t xml:space="preserve"> </w:t>
      </w:r>
      <w:r w:rsidRPr="00155597">
        <w:rPr>
          <w:spacing w:val="-1"/>
          <w:sz w:val="16"/>
        </w:rPr>
        <w:t>ineligibles).</w:t>
      </w:r>
    </w:p>
    <w:p w14:paraId="15DAF31A" w14:textId="77777777" w:rsidR="00EF2F18" w:rsidRPr="00155597" w:rsidRDefault="00EF2F18" w:rsidP="00EF2F18">
      <w:pPr>
        <w:keepNext/>
        <w:spacing w:line="187" w:lineRule="exact"/>
        <w:ind w:left="141" w:right="684" w:hanging="8"/>
        <w:rPr>
          <w:rFonts w:eastAsia="Arial"/>
          <w:sz w:val="16"/>
        </w:rPr>
      </w:pPr>
      <w:r w:rsidRPr="00155597">
        <w:rPr>
          <w:spacing w:val="-2"/>
          <w:sz w:val="20"/>
          <w:szCs w:val="20"/>
          <w:vertAlign w:val="superscript"/>
        </w:rPr>
        <w:t>6</w:t>
      </w:r>
      <w:r w:rsidRPr="00155597">
        <w:rPr>
          <w:rFonts w:eastAsia="Arial"/>
          <w:spacing w:val="-1"/>
          <w:sz w:val="16"/>
        </w:rPr>
        <w:t>Primary</w:t>
      </w:r>
      <w:r w:rsidRPr="00155597">
        <w:rPr>
          <w:rFonts w:eastAsia="Arial"/>
          <w:spacing w:val="-9"/>
          <w:sz w:val="16"/>
        </w:rPr>
        <w:t xml:space="preserve"> </w:t>
      </w:r>
      <w:r w:rsidRPr="00155597">
        <w:rPr>
          <w:spacing w:val="-1"/>
          <w:sz w:val="16"/>
        </w:rPr>
        <w:t>schools</w:t>
      </w:r>
      <w:r w:rsidRPr="00155597">
        <w:rPr>
          <w:rFonts w:eastAsia="Arial"/>
          <w:spacing w:val="-5"/>
          <w:sz w:val="16"/>
        </w:rPr>
        <w:t xml:space="preserve"> </w:t>
      </w:r>
      <w:r w:rsidRPr="00155597">
        <w:rPr>
          <w:rFonts w:eastAsia="Arial"/>
          <w:spacing w:val="-1"/>
          <w:sz w:val="16"/>
        </w:rPr>
        <w:t>are</w:t>
      </w:r>
      <w:r w:rsidRPr="00155597">
        <w:rPr>
          <w:rFonts w:eastAsia="Arial"/>
          <w:spacing w:val="-6"/>
          <w:sz w:val="16"/>
        </w:rPr>
        <w:t xml:space="preserve"> </w:t>
      </w:r>
      <w:r w:rsidRPr="00155597">
        <w:rPr>
          <w:rFonts w:eastAsia="Arial"/>
          <w:spacing w:val="-1"/>
          <w:sz w:val="16"/>
        </w:rPr>
        <w:t>defined</w:t>
      </w:r>
      <w:r w:rsidRPr="00155597">
        <w:rPr>
          <w:rFonts w:eastAsia="Arial"/>
          <w:spacing w:val="-6"/>
          <w:sz w:val="16"/>
        </w:rPr>
        <w:t xml:space="preserve"> </w:t>
      </w:r>
      <w:r w:rsidRPr="00155597">
        <w:rPr>
          <w:rFonts w:eastAsia="Arial"/>
          <w:spacing w:val="-1"/>
          <w:sz w:val="16"/>
        </w:rPr>
        <w:t>as</w:t>
      </w:r>
      <w:r w:rsidRPr="00155597">
        <w:rPr>
          <w:rFonts w:eastAsia="Arial"/>
          <w:spacing w:val="-5"/>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z w:val="16"/>
        </w:rPr>
        <w:t>in</w:t>
      </w:r>
      <w:r w:rsidRPr="00155597">
        <w:rPr>
          <w:rFonts w:eastAsia="Arial"/>
          <w:spacing w:val="-6"/>
          <w:sz w:val="16"/>
        </w:rPr>
        <w:t xml:space="preserve"> </w:t>
      </w:r>
      <w:r w:rsidRPr="00155597">
        <w:rPr>
          <w:rFonts w:eastAsia="Arial"/>
          <w:spacing w:val="-2"/>
          <w:sz w:val="16"/>
        </w:rPr>
        <w:t>which</w:t>
      </w:r>
      <w:r w:rsidRPr="00155597">
        <w:rPr>
          <w:rFonts w:eastAsia="Arial"/>
          <w:spacing w:val="-4"/>
          <w:sz w:val="16"/>
        </w:rPr>
        <w:t xml:space="preserve"> </w:t>
      </w:r>
      <w:r w:rsidRPr="00155597">
        <w:rPr>
          <w:rFonts w:eastAsia="Arial"/>
          <w:spacing w:val="-1"/>
          <w:sz w:val="16"/>
        </w:rPr>
        <w:t>the</w:t>
      </w:r>
      <w:r w:rsidRPr="00155597">
        <w:rPr>
          <w:rFonts w:eastAsia="Arial"/>
          <w:spacing w:val="-7"/>
          <w:sz w:val="16"/>
        </w:rPr>
        <w:t xml:space="preserve"> </w:t>
      </w:r>
      <w:r w:rsidRPr="00155597">
        <w:rPr>
          <w:rFonts w:eastAsia="Arial"/>
          <w:spacing w:val="-2"/>
          <w:sz w:val="16"/>
        </w:rPr>
        <w:t>lowest</w:t>
      </w:r>
      <w:r w:rsidRPr="00155597">
        <w:rPr>
          <w:rFonts w:eastAsia="Arial"/>
          <w:spacing w:val="-4"/>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5"/>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higher</w:t>
      </w:r>
      <w:r w:rsidRPr="00155597">
        <w:rPr>
          <w:rFonts w:eastAsia="Arial"/>
          <w:spacing w:val="-4"/>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7"/>
          <w:sz w:val="16"/>
        </w:rPr>
        <w:t xml:space="preserve"> </w:t>
      </w:r>
      <w:r w:rsidRPr="00155597">
        <w:rPr>
          <w:rFonts w:eastAsia="Arial"/>
          <w:sz w:val="16"/>
        </w:rPr>
        <w:t>3</w:t>
      </w:r>
      <w:r w:rsidRPr="00155597">
        <w:rPr>
          <w:rFonts w:eastAsia="Arial"/>
          <w:spacing w:val="-6"/>
          <w:sz w:val="16"/>
        </w:rPr>
        <w:t xml:space="preserve"> </w:t>
      </w:r>
      <w:r w:rsidRPr="00155597">
        <w:rPr>
          <w:rFonts w:eastAsia="Arial"/>
          <w:spacing w:val="-2"/>
          <w:sz w:val="16"/>
        </w:rPr>
        <w:t>and</w:t>
      </w:r>
      <w:r w:rsidRPr="00155597">
        <w:rPr>
          <w:rFonts w:eastAsia="Arial"/>
          <w:spacing w:val="-6"/>
          <w:sz w:val="16"/>
        </w:rPr>
        <w:t xml:space="preserve"> </w:t>
      </w:r>
      <w:r w:rsidRPr="00155597">
        <w:rPr>
          <w:rFonts w:eastAsia="Arial"/>
          <w:spacing w:val="-1"/>
          <w:sz w:val="16"/>
        </w:rPr>
        <w:t>the</w:t>
      </w:r>
      <w:r w:rsidRPr="00155597">
        <w:rPr>
          <w:rFonts w:eastAsia="Arial"/>
          <w:spacing w:val="-6"/>
          <w:sz w:val="16"/>
        </w:rPr>
        <w:t xml:space="preserve"> </w:t>
      </w:r>
      <w:r w:rsidRPr="00155597">
        <w:rPr>
          <w:rFonts w:eastAsia="Arial"/>
          <w:spacing w:val="-2"/>
          <w:sz w:val="16"/>
        </w:rPr>
        <w:t>highest</w:t>
      </w:r>
      <w:r w:rsidRPr="00155597">
        <w:rPr>
          <w:rFonts w:eastAsia="Arial"/>
          <w:spacing w:val="-5"/>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4"/>
          <w:sz w:val="16"/>
        </w:rPr>
        <w:t xml:space="preserve"> </w:t>
      </w:r>
      <w:r w:rsidRPr="00155597">
        <w:rPr>
          <w:rFonts w:eastAsia="Arial"/>
          <w:spacing w:val="-2"/>
          <w:sz w:val="16"/>
        </w:rPr>
        <w:t>not</w:t>
      </w:r>
      <w:r w:rsidRPr="00155597">
        <w:rPr>
          <w:spacing w:val="-6"/>
          <w:sz w:val="16"/>
        </w:rPr>
        <w:t xml:space="preserve"> </w:t>
      </w:r>
      <w:r w:rsidRPr="00155597">
        <w:rPr>
          <w:rFonts w:eastAsia="Arial"/>
          <w:spacing w:val="-2"/>
          <w:sz w:val="16"/>
        </w:rPr>
        <w:t>higher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pacing w:val="-1"/>
          <w:sz w:val="16"/>
        </w:rPr>
        <w:t>8.</w:t>
      </w:r>
      <w:r w:rsidRPr="00155597">
        <w:rPr>
          <w:rFonts w:eastAsia="Arial"/>
          <w:spacing w:val="-5"/>
          <w:sz w:val="16"/>
        </w:rPr>
        <w:t xml:space="preserve"> </w:t>
      </w:r>
      <w:r w:rsidRPr="00155597">
        <w:rPr>
          <w:rFonts w:eastAsia="Arial"/>
          <w:spacing w:val="-1"/>
          <w:sz w:val="16"/>
        </w:rPr>
        <w:t>Middle</w:t>
      </w:r>
      <w:r w:rsidRPr="00155597">
        <w:rPr>
          <w:rFonts w:eastAsia="Arial"/>
          <w:spacing w:val="-6"/>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pacing w:val="-1"/>
          <w:sz w:val="16"/>
        </w:rPr>
        <w:t>are</w:t>
      </w:r>
      <w:r w:rsidRPr="00155597">
        <w:rPr>
          <w:rFonts w:eastAsia="Arial"/>
          <w:spacing w:val="-7"/>
          <w:sz w:val="16"/>
        </w:rPr>
        <w:t xml:space="preserve"> </w:t>
      </w:r>
      <w:r w:rsidRPr="00155597">
        <w:rPr>
          <w:rFonts w:eastAsia="Arial"/>
          <w:spacing w:val="-1"/>
          <w:sz w:val="16"/>
        </w:rPr>
        <w:t>defined</w:t>
      </w:r>
      <w:r w:rsidRPr="00155597">
        <w:rPr>
          <w:rFonts w:eastAsia="Arial"/>
          <w:spacing w:val="-6"/>
          <w:sz w:val="16"/>
        </w:rPr>
        <w:t xml:space="preserve"> </w:t>
      </w:r>
      <w:r w:rsidRPr="00155597">
        <w:rPr>
          <w:rFonts w:eastAsia="Arial"/>
          <w:spacing w:val="-1"/>
          <w:sz w:val="16"/>
        </w:rPr>
        <w:t>as</w:t>
      </w:r>
      <w:r w:rsidRPr="00155597">
        <w:rPr>
          <w:rFonts w:eastAsia="Arial"/>
          <w:spacing w:val="-4"/>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z w:val="16"/>
        </w:rPr>
        <w:t>in</w:t>
      </w:r>
      <w:r w:rsidRPr="00155597">
        <w:rPr>
          <w:rFonts w:eastAsia="Arial"/>
          <w:spacing w:val="-6"/>
          <w:sz w:val="16"/>
        </w:rPr>
        <w:t xml:space="preserve"> </w:t>
      </w:r>
      <w:r w:rsidRPr="00155597">
        <w:rPr>
          <w:rFonts w:eastAsia="Arial"/>
          <w:spacing w:val="-2"/>
          <w:sz w:val="16"/>
        </w:rPr>
        <w:t>which</w:t>
      </w:r>
      <w:r w:rsidRPr="00155597">
        <w:rPr>
          <w:rFonts w:eastAsia="Arial"/>
          <w:spacing w:val="-5"/>
          <w:sz w:val="16"/>
        </w:rPr>
        <w:t xml:space="preserve"> </w:t>
      </w:r>
      <w:r w:rsidRPr="00155597">
        <w:rPr>
          <w:rFonts w:eastAsia="Arial"/>
          <w:spacing w:val="-1"/>
          <w:sz w:val="16"/>
        </w:rPr>
        <w:t>the</w:t>
      </w:r>
      <w:r w:rsidRPr="00155597">
        <w:rPr>
          <w:rFonts w:eastAsia="Arial"/>
          <w:spacing w:val="-6"/>
          <w:sz w:val="16"/>
        </w:rPr>
        <w:t xml:space="preserve"> </w:t>
      </w:r>
      <w:r w:rsidRPr="00155597">
        <w:rPr>
          <w:rFonts w:eastAsia="Arial"/>
          <w:spacing w:val="-2"/>
          <w:sz w:val="16"/>
        </w:rPr>
        <w:t>lowest</w:t>
      </w:r>
      <w:r w:rsidRPr="00155597">
        <w:rPr>
          <w:rFonts w:eastAsia="Arial"/>
          <w:spacing w:val="-4"/>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4"/>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lower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4</w:t>
      </w:r>
      <w:r w:rsidRPr="00155597">
        <w:rPr>
          <w:rFonts w:eastAsia="Arial"/>
          <w:spacing w:val="-6"/>
          <w:sz w:val="16"/>
        </w:rPr>
        <w:t xml:space="preserve"> </w:t>
      </w:r>
      <w:r w:rsidRPr="00155597">
        <w:rPr>
          <w:rFonts w:eastAsia="Arial"/>
          <w:spacing w:val="-2"/>
          <w:sz w:val="16"/>
        </w:rPr>
        <w:t>and</w:t>
      </w:r>
      <w:r w:rsidRPr="00155597">
        <w:rPr>
          <w:rFonts w:eastAsia="Arial"/>
          <w:spacing w:val="-6"/>
          <w:sz w:val="16"/>
        </w:rPr>
        <w:t xml:space="preserve"> </w:t>
      </w:r>
      <w:r w:rsidRPr="00155597">
        <w:rPr>
          <w:rFonts w:eastAsia="Arial"/>
          <w:spacing w:val="-2"/>
          <w:sz w:val="16"/>
        </w:rPr>
        <w:t>the</w:t>
      </w:r>
      <w:r w:rsidRPr="00155597">
        <w:rPr>
          <w:spacing w:val="-6"/>
          <w:sz w:val="16"/>
        </w:rPr>
        <w:t xml:space="preserve"> </w:t>
      </w:r>
      <w:r w:rsidRPr="00155597">
        <w:rPr>
          <w:rFonts w:eastAsia="Arial"/>
          <w:spacing w:val="-2"/>
          <w:sz w:val="16"/>
        </w:rPr>
        <w:t>highest</w:t>
      </w:r>
      <w:r w:rsidRPr="00155597">
        <w:rPr>
          <w:rFonts w:eastAsia="Arial"/>
          <w:spacing w:val="-5"/>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4"/>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higher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pacing w:val="-1"/>
          <w:sz w:val="16"/>
        </w:rPr>
        <w:t>9.</w:t>
      </w:r>
      <w:r w:rsidRPr="00155597">
        <w:rPr>
          <w:rFonts w:eastAsia="Arial"/>
          <w:spacing w:val="-5"/>
          <w:sz w:val="16"/>
        </w:rPr>
        <w:t xml:space="preserve"> </w:t>
      </w:r>
      <w:r w:rsidRPr="00155597">
        <w:rPr>
          <w:rFonts w:eastAsia="Arial"/>
          <w:spacing w:val="-1"/>
          <w:sz w:val="16"/>
        </w:rPr>
        <w:t>High</w:t>
      </w:r>
      <w:r w:rsidRPr="00155597">
        <w:rPr>
          <w:rFonts w:eastAsia="Arial"/>
          <w:spacing w:val="-6"/>
          <w:sz w:val="16"/>
        </w:rPr>
        <w:t xml:space="preserve"> </w:t>
      </w:r>
      <w:r w:rsidRPr="00155597">
        <w:rPr>
          <w:rFonts w:eastAsia="Arial"/>
          <w:spacing w:val="-1"/>
          <w:sz w:val="16"/>
        </w:rPr>
        <w:t>schools</w:t>
      </w:r>
      <w:r w:rsidRPr="00155597">
        <w:rPr>
          <w:rFonts w:eastAsia="Arial"/>
          <w:spacing w:val="-5"/>
          <w:sz w:val="16"/>
        </w:rPr>
        <w:t xml:space="preserve"> </w:t>
      </w:r>
      <w:r w:rsidRPr="00155597">
        <w:rPr>
          <w:rFonts w:eastAsia="Arial"/>
          <w:spacing w:val="-1"/>
          <w:sz w:val="16"/>
        </w:rPr>
        <w:t>are</w:t>
      </w:r>
      <w:r w:rsidRPr="00155597">
        <w:rPr>
          <w:rFonts w:eastAsia="Arial"/>
          <w:spacing w:val="-6"/>
          <w:sz w:val="16"/>
        </w:rPr>
        <w:t xml:space="preserve"> </w:t>
      </w:r>
      <w:r w:rsidRPr="00155597">
        <w:rPr>
          <w:rFonts w:eastAsia="Arial"/>
          <w:spacing w:val="-1"/>
          <w:sz w:val="16"/>
        </w:rPr>
        <w:t>defined</w:t>
      </w:r>
      <w:r w:rsidRPr="00155597">
        <w:rPr>
          <w:rFonts w:eastAsia="Arial"/>
          <w:spacing w:val="-6"/>
          <w:sz w:val="16"/>
        </w:rPr>
        <w:t xml:space="preserve"> </w:t>
      </w:r>
      <w:r w:rsidRPr="00155597">
        <w:rPr>
          <w:rFonts w:eastAsia="Arial"/>
          <w:spacing w:val="-1"/>
          <w:sz w:val="16"/>
        </w:rPr>
        <w:t>as</w:t>
      </w:r>
      <w:r w:rsidRPr="00155597">
        <w:rPr>
          <w:rFonts w:eastAsia="Arial"/>
          <w:spacing w:val="-4"/>
          <w:sz w:val="16"/>
        </w:rPr>
        <w:t xml:space="preserve"> </w:t>
      </w:r>
      <w:r w:rsidRPr="00155597">
        <w:rPr>
          <w:rFonts w:eastAsia="Arial"/>
          <w:spacing w:val="-1"/>
          <w:sz w:val="16"/>
        </w:rPr>
        <w:t>schools</w:t>
      </w:r>
      <w:r w:rsidRPr="00155597">
        <w:rPr>
          <w:rFonts w:eastAsia="Arial"/>
          <w:spacing w:val="-4"/>
          <w:sz w:val="16"/>
        </w:rPr>
        <w:t xml:space="preserve"> </w:t>
      </w:r>
      <w:r w:rsidRPr="00155597">
        <w:rPr>
          <w:rFonts w:eastAsia="Arial"/>
          <w:sz w:val="16"/>
        </w:rPr>
        <w:t>in</w:t>
      </w:r>
      <w:r w:rsidRPr="00155597">
        <w:rPr>
          <w:rFonts w:eastAsia="Arial"/>
          <w:spacing w:val="-7"/>
          <w:sz w:val="16"/>
        </w:rPr>
        <w:t xml:space="preserve"> </w:t>
      </w:r>
      <w:r w:rsidRPr="00155597">
        <w:rPr>
          <w:rFonts w:eastAsia="Arial"/>
          <w:spacing w:val="-2"/>
          <w:sz w:val="16"/>
        </w:rPr>
        <w:t>which</w:t>
      </w:r>
      <w:r w:rsidRPr="00155597">
        <w:rPr>
          <w:rFonts w:eastAsia="Arial"/>
          <w:spacing w:val="-4"/>
          <w:sz w:val="16"/>
        </w:rPr>
        <w:t xml:space="preserve"> </w:t>
      </w:r>
      <w:r w:rsidRPr="00155597">
        <w:rPr>
          <w:rFonts w:eastAsia="Arial"/>
          <w:spacing w:val="-1"/>
          <w:sz w:val="16"/>
        </w:rPr>
        <w:t>the</w:t>
      </w:r>
      <w:r w:rsidRPr="00155597">
        <w:rPr>
          <w:rFonts w:eastAsia="Arial"/>
          <w:spacing w:val="-6"/>
          <w:sz w:val="16"/>
        </w:rPr>
        <w:t xml:space="preserve"> </w:t>
      </w:r>
      <w:r w:rsidRPr="00155597">
        <w:rPr>
          <w:rFonts w:eastAsia="Arial"/>
          <w:spacing w:val="-2"/>
          <w:sz w:val="16"/>
        </w:rPr>
        <w:t>lowest</w:t>
      </w:r>
      <w:r w:rsidRPr="00155597">
        <w:rPr>
          <w:rFonts w:eastAsia="Arial"/>
          <w:spacing w:val="-4"/>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5"/>
          <w:sz w:val="16"/>
        </w:rPr>
        <w:t xml:space="preserve"> </w:t>
      </w:r>
      <w:r w:rsidRPr="00155597">
        <w:rPr>
          <w:rFonts w:eastAsia="Arial"/>
          <w:spacing w:val="-2"/>
          <w:sz w:val="16"/>
        </w:rPr>
        <w:t>not</w:t>
      </w:r>
      <w:r w:rsidRPr="00155597">
        <w:rPr>
          <w:rFonts w:eastAsia="Arial"/>
          <w:spacing w:val="-5"/>
          <w:sz w:val="16"/>
        </w:rPr>
        <w:t xml:space="preserve"> </w:t>
      </w:r>
      <w:r w:rsidRPr="00155597">
        <w:rPr>
          <w:rFonts w:eastAsia="Arial"/>
          <w:spacing w:val="-2"/>
          <w:sz w:val="16"/>
        </w:rPr>
        <w:t>lower</w:t>
      </w:r>
      <w:r w:rsidRPr="00155597">
        <w:rPr>
          <w:rFonts w:eastAsia="Arial"/>
          <w:spacing w:val="-4"/>
          <w:sz w:val="16"/>
        </w:rPr>
        <w:t xml:space="preserve"> </w:t>
      </w:r>
      <w:r w:rsidRPr="00155597">
        <w:rPr>
          <w:rFonts w:eastAsia="Arial"/>
          <w:spacing w:val="-2"/>
          <w:sz w:val="16"/>
        </w:rPr>
        <w:t>than</w:t>
      </w:r>
      <w:r w:rsidRPr="00155597">
        <w:rPr>
          <w:spacing w:val="-6"/>
          <w:sz w:val="16"/>
        </w:rPr>
        <w:t xml:space="preserve"> </w:t>
      </w:r>
      <w:r w:rsidRPr="00155597">
        <w:rPr>
          <w:rFonts w:eastAsia="Arial"/>
          <w:spacing w:val="-2"/>
          <w:sz w:val="16"/>
        </w:rPr>
        <w:t>grade</w:t>
      </w:r>
      <w:r w:rsidRPr="00155597">
        <w:rPr>
          <w:rFonts w:eastAsia="Arial"/>
          <w:spacing w:val="-7"/>
          <w:sz w:val="16"/>
        </w:rPr>
        <w:t xml:space="preserve"> </w:t>
      </w:r>
      <w:r w:rsidRPr="00155597">
        <w:rPr>
          <w:rFonts w:eastAsia="Arial"/>
          <w:sz w:val="16"/>
        </w:rPr>
        <w:t>9</w:t>
      </w:r>
      <w:r w:rsidRPr="00155597">
        <w:rPr>
          <w:rFonts w:eastAsia="Arial"/>
          <w:spacing w:val="-7"/>
          <w:sz w:val="16"/>
        </w:rPr>
        <w:t xml:space="preserve"> </w:t>
      </w:r>
      <w:r w:rsidRPr="00155597">
        <w:rPr>
          <w:rFonts w:eastAsia="Arial"/>
          <w:spacing w:val="-2"/>
          <w:sz w:val="16"/>
        </w:rPr>
        <w:t>and</w:t>
      </w:r>
      <w:r w:rsidRPr="00155597">
        <w:rPr>
          <w:rFonts w:eastAsia="Arial"/>
          <w:spacing w:val="-6"/>
          <w:sz w:val="16"/>
        </w:rPr>
        <w:t xml:space="preserve"> </w:t>
      </w:r>
      <w:r w:rsidRPr="00155597">
        <w:rPr>
          <w:rFonts w:eastAsia="Arial"/>
          <w:spacing w:val="-1"/>
          <w:sz w:val="16"/>
        </w:rPr>
        <w:t>the</w:t>
      </w:r>
      <w:r w:rsidRPr="00155597">
        <w:rPr>
          <w:rFonts w:eastAsia="Arial"/>
          <w:spacing w:val="-7"/>
          <w:sz w:val="16"/>
        </w:rPr>
        <w:t xml:space="preserve"> </w:t>
      </w:r>
      <w:r w:rsidRPr="00155597">
        <w:rPr>
          <w:rFonts w:eastAsia="Arial"/>
          <w:spacing w:val="-2"/>
          <w:sz w:val="16"/>
        </w:rPr>
        <w:t>highest</w:t>
      </w:r>
      <w:r w:rsidRPr="00155597">
        <w:rPr>
          <w:rFonts w:eastAsia="Arial"/>
          <w:spacing w:val="-5"/>
          <w:sz w:val="16"/>
        </w:rPr>
        <w:t xml:space="preserve"> </w:t>
      </w:r>
      <w:r w:rsidRPr="00155597">
        <w:rPr>
          <w:rFonts w:eastAsia="Arial"/>
          <w:spacing w:val="-2"/>
          <w:sz w:val="16"/>
        </w:rPr>
        <w:t>grade</w:t>
      </w:r>
      <w:r w:rsidRPr="00155597">
        <w:rPr>
          <w:rFonts w:eastAsia="Arial"/>
          <w:spacing w:val="-6"/>
          <w:sz w:val="16"/>
        </w:rPr>
        <w:t xml:space="preserve"> </w:t>
      </w:r>
      <w:r w:rsidRPr="00155597">
        <w:rPr>
          <w:rFonts w:eastAsia="Arial"/>
          <w:sz w:val="16"/>
        </w:rPr>
        <w:t>is</w:t>
      </w:r>
      <w:r w:rsidRPr="00155597">
        <w:rPr>
          <w:rFonts w:eastAsia="Arial"/>
          <w:spacing w:val="-5"/>
          <w:sz w:val="16"/>
        </w:rPr>
        <w:t xml:space="preserve"> </w:t>
      </w:r>
      <w:r w:rsidRPr="00155597">
        <w:rPr>
          <w:rFonts w:eastAsia="Arial"/>
          <w:spacing w:val="-2"/>
          <w:sz w:val="16"/>
        </w:rPr>
        <w:t>not</w:t>
      </w:r>
      <w:r w:rsidRPr="00155597">
        <w:rPr>
          <w:rFonts w:eastAsia="Arial"/>
          <w:spacing w:val="-6"/>
          <w:sz w:val="16"/>
        </w:rPr>
        <w:t xml:space="preserve"> </w:t>
      </w:r>
      <w:r w:rsidRPr="00155597">
        <w:rPr>
          <w:rFonts w:eastAsia="Arial"/>
          <w:spacing w:val="-2"/>
          <w:sz w:val="16"/>
        </w:rPr>
        <w:t>higher</w:t>
      </w:r>
      <w:r w:rsidRPr="00155597">
        <w:rPr>
          <w:rFonts w:eastAsia="Arial"/>
          <w:spacing w:val="-5"/>
          <w:sz w:val="16"/>
        </w:rPr>
        <w:t xml:space="preserve"> </w:t>
      </w:r>
      <w:r w:rsidRPr="00155597">
        <w:rPr>
          <w:rFonts w:eastAsia="Arial"/>
          <w:spacing w:val="-2"/>
          <w:sz w:val="16"/>
        </w:rPr>
        <w:t>than</w:t>
      </w:r>
      <w:r w:rsidRPr="00155597">
        <w:rPr>
          <w:rFonts w:eastAsia="Arial"/>
          <w:spacing w:val="-6"/>
          <w:sz w:val="16"/>
        </w:rPr>
        <w:t xml:space="preserve"> </w:t>
      </w:r>
      <w:r w:rsidRPr="00155597">
        <w:rPr>
          <w:rFonts w:eastAsia="Arial"/>
          <w:spacing w:val="-2"/>
          <w:sz w:val="16"/>
        </w:rPr>
        <w:t>grade</w:t>
      </w:r>
      <w:r w:rsidRPr="00155597">
        <w:rPr>
          <w:rFonts w:eastAsia="Arial"/>
          <w:spacing w:val="-7"/>
          <w:sz w:val="16"/>
        </w:rPr>
        <w:t xml:space="preserve"> </w:t>
      </w:r>
      <w:r w:rsidRPr="00155597">
        <w:rPr>
          <w:rFonts w:eastAsia="Arial"/>
          <w:spacing w:val="-2"/>
          <w:sz w:val="16"/>
        </w:rPr>
        <w:t>12.</w:t>
      </w:r>
      <w:r w:rsidRPr="00155597">
        <w:rPr>
          <w:rFonts w:eastAsia="Arial"/>
          <w:spacing w:val="-6"/>
          <w:sz w:val="16"/>
        </w:rPr>
        <w:t xml:space="preserve"> </w:t>
      </w:r>
      <w:r w:rsidRPr="00155597">
        <w:rPr>
          <w:rFonts w:eastAsia="Arial"/>
          <w:spacing w:val="-1"/>
          <w:sz w:val="16"/>
        </w:rPr>
        <w:t>Combined</w:t>
      </w:r>
      <w:r w:rsidRPr="00155597">
        <w:rPr>
          <w:rFonts w:eastAsia="Arial"/>
          <w:spacing w:val="-6"/>
          <w:sz w:val="16"/>
        </w:rPr>
        <w:t xml:space="preserve"> </w:t>
      </w:r>
      <w:r w:rsidRPr="00155597">
        <w:rPr>
          <w:rFonts w:eastAsia="Arial"/>
          <w:spacing w:val="-1"/>
          <w:sz w:val="16"/>
        </w:rPr>
        <w:t>schools</w:t>
      </w:r>
      <w:r w:rsidRPr="00155597">
        <w:rPr>
          <w:rFonts w:eastAsia="Arial"/>
          <w:spacing w:val="-5"/>
          <w:sz w:val="16"/>
        </w:rPr>
        <w:t xml:space="preserve"> </w:t>
      </w:r>
      <w:r w:rsidRPr="00155597">
        <w:rPr>
          <w:rFonts w:eastAsia="Arial"/>
          <w:spacing w:val="-1"/>
          <w:sz w:val="16"/>
        </w:rPr>
        <w:t>include</w:t>
      </w:r>
      <w:r w:rsidRPr="00155597">
        <w:rPr>
          <w:rFonts w:eastAsia="Arial"/>
          <w:spacing w:val="-7"/>
          <w:sz w:val="16"/>
        </w:rPr>
        <w:t xml:space="preserve"> </w:t>
      </w:r>
      <w:r w:rsidRPr="00155597">
        <w:rPr>
          <w:rFonts w:eastAsia="Arial"/>
          <w:spacing w:val="-1"/>
          <w:sz w:val="16"/>
        </w:rPr>
        <w:t>all</w:t>
      </w:r>
      <w:r w:rsidRPr="00155597">
        <w:rPr>
          <w:rFonts w:eastAsia="Arial"/>
          <w:spacing w:val="-5"/>
          <w:sz w:val="16"/>
        </w:rPr>
        <w:t xml:space="preserve"> </w:t>
      </w:r>
      <w:r w:rsidRPr="00155597">
        <w:rPr>
          <w:rFonts w:eastAsia="Arial"/>
          <w:spacing w:val="-2"/>
          <w:sz w:val="16"/>
        </w:rPr>
        <w:t>other</w:t>
      </w:r>
      <w:r w:rsidRPr="00155597">
        <w:rPr>
          <w:rFonts w:eastAsia="Arial"/>
          <w:spacing w:val="-5"/>
          <w:sz w:val="16"/>
        </w:rPr>
        <w:t xml:space="preserve"> </w:t>
      </w:r>
      <w:r w:rsidRPr="00155597">
        <w:rPr>
          <w:rFonts w:eastAsia="Arial"/>
          <w:spacing w:val="-2"/>
          <w:sz w:val="16"/>
        </w:rPr>
        <w:t>combinations</w:t>
      </w:r>
      <w:r w:rsidRPr="00155597">
        <w:rPr>
          <w:rFonts w:eastAsia="Arial"/>
          <w:spacing w:val="-4"/>
          <w:sz w:val="16"/>
        </w:rPr>
        <w:t xml:space="preserve"> </w:t>
      </w:r>
      <w:r w:rsidRPr="00155597">
        <w:rPr>
          <w:rFonts w:eastAsia="Arial"/>
          <w:spacing w:val="-1"/>
          <w:sz w:val="16"/>
        </w:rPr>
        <w:t>of</w:t>
      </w:r>
      <w:r w:rsidRPr="00155597">
        <w:rPr>
          <w:rFonts w:eastAsia="Arial"/>
          <w:spacing w:val="-4"/>
          <w:sz w:val="16"/>
        </w:rPr>
        <w:t xml:space="preserve"> </w:t>
      </w:r>
      <w:r w:rsidRPr="00155597">
        <w:rPr>
          <w:rFonts w:eastAsia="Arial"/>
          <w:spacing w:val="-2"/>
          <w:sz w:val="16"/>
        </w:rPr>
        <w:t>grades,</w:t>
      </w:r>
      <w:r w:rsidRPr="00155597">
        <w:rPr>
          <w:spacing w:val="-6"/>
          <w:sz w:val="16"/>
        </w:rPr>
        <w:t xml:space="preserve"> </w:t>
      </w:r>
      <w:r w:rsidRPr="00155597">
        <w:rPr>
          <w:rFonts w:eastAsia="Arial"/>
          <w:spacing w:val="-1"/>
          <w:sz w:val="16"/>
        </w:rPr>
        <w:t>including</w:t>
      </w:r>
      <w:r w:rsidRPr="00155597">
        <w:rPr>
          <w:rFonts w:eastAsia="Arial"/>
          <w:spacing w:val="-11"/>
          <w:sz w:val="16"/>
        </w:rPr>
        <w:t xml:space="preserve"> </w:t>
      </w:r>
      <w:r w:rsidRPr="00155597">
        <w:rPr>
          <w:rFonts w:eastAsia="Arial"/>
          <w:spacing w:val="-2"/>
          <w:sz w:val="16"/>
        </w:rPr>
        <w:t>K–12</w:t>
      </w:r>
      <w:r w:rsidRPr="00155597">
        <w:rPr>
          <w:rFonts w:eastAsia="Arial"/>
          <w:spacing w:val="-10"/>
          <w:sz w:val="16"/>
        </w:rPr>
        <w:t xml:space="preserve"> </w:t>
      </w:r>
      <w:r w:rsidRPr="00155597">
        <w:rPr>
          <w:rFonts w:eastAsia="Arial"/>
          <w:spacing w:val="-2"/>
          <w:sz w:val="16"/>
        </w:rPr>
        <w:t>schools.</w:t>
      </w:r>
    </w:p>
    <w:p w14:paraId="0BACE9D1" w14:textId="77777777" w:rsidR="00EF2F18" w:rsidRPr="00155597" w:rsidRDefault="00EF2F18" w:rsidP="00EF2F18">
      <w:pPr>
        <w:spacing w:line="187" w:lineRule="exact"/>
        <w:ind w:left="141" w:right="684" w:hanging="8"/>
        <w:rPr>
          <w:rFonts w:eastAsia="Arial"/>
        </w:rPr>
      </w:pPr>
      <w:r w:rsidRPr="00155597">
        <w:rPr>
          <w:rFonts w:eastAsia="Arial"/>
          <w:spacing w:val="-1"/>
          <w:sz w:val="16"/>
        </w:rPr>
        <w:t>SOURCE:</w:t>
      </w:r>
      <w:r w:rsidRPr="00155597">
        <w:rPr>
          <w:rFonts w:eastAsia="Arial"/>
          <w:spacing w:val="-7"/>
          <w:sz w:val="16"/>
        </w:rPr>
        <w:t xml:space="preserve"> </w:t>
      </w:r>
      <w:r w:rsidRPr="00155597">
        <w:rPr>
          <w:rFonts w:eastAsia="Arial"/>
          <w:spacing w:val="-1"/>
          <w:sz w:val="16"/>
        </w:rPr>
        <w:t>U.S.</w:t>
      </w:r>
      <w:r w:rsidRPr="00155597">
        <w:rPr>
          <w:rFonts w:eastAsia="Arial"/>
          <w:spacing w:val="-7"/>
          <w:sz w:val="16"/>
        </w:rPr>
        <w:t xml:space="preserve"> </w:t>
      </w:r>
      <w:r w:rsidRPr="00155597">
        <w:rPr>
          <w:rFonts w:eastAsia="Arial"/>
          <w:spacing w:val="-2"/>
          <w:sz w:val="16"/>
        </w:rPr>
        <w:t>Department</w:t>
      </w:r>
      <w:r w:rsidRPr="00155597">
        <w:rPr>
          <w:rFonts w:eastAsia="Arial"/>
          <w:spacing w:val="-7"/>
          <w:sz w:val="16"/>
        </w:rPr>
        <w:t xml:space="preserve"> </w:t>
      </w:r>
      <w:r w:rsidRPr="00155597">
        <w:rPr>
          <w:rFonts w:eastAsia="Arial"/>
          <w:spacing w:val="-1"/>
          <w:sz w:val="16"/>
        </w:rPr>
        <w:t>of</w:t>
      </w:r>
      <w:r w:rsidRPr="00155597">
        <w:rPr>
          <w:rFonts w:eastAsia="Arial"/>
          <w:spacing w:val="-5"/>
          <w:sz w:val="16"/>
        </w:rPr>
        <w:t xml:space="preserve"> </w:t>
      </w:r>
      <w:r w:rsidRPr="00155597">
        <w:rPr>
          <w:rFonts w:eastAsia="Arial"/>
          <w:spacing w:val="-2"/>
          <w:sz w:val="16"/>
        </w:rPr>
        <w:t>Education,</w:t>
      </w:r>
      <w:r w:rsidRPr="00155597">
        <w:rPr>
          <w:rFonts w:eastAsia="Arial"/>
          <w:spacing w:val="-7"/>
          <w:sz w:val="16"/>
        </w:rPr>
        <w:t xml:space="preserve"> </w:t>
      </w:r>
      <w:r w:rsidRPr="00155597">
        <w:rPr>
          <w:rFonts w:eastAsia="Arial"/>
          <w:spacing w:val="-2"/>
          <w:sz w:val="16"/>
        </w:rPr>
        <w:t>National</w:t>
      </w:r>
      <w:r w:rsidRPr="00155597">
        <w:rPr>
          <w:rFonts w:eastAsia="Arial"/>
          <w:spacing w:val="-6"/>
          <w:sz w:val="16"/>
        </w:rPr>
        <w:t xml:space="preserve"> </w:t>
      </w:r>
      <w:r w:rsidRPr="00155597">
        <w:rPr>
          <w:rFonts w:eastAsia="Arial"/>
          <w:spacing w:val="-2"/>
          <w:sz w:val="16"/>
        </w:rPr>
        <w:t>Center</w:t>
      </w:r>
      <w:r w:rsidRPr="00155597">
        <w:rPr>
          <w:rFonts w:eastAsia="Arial"/>
          <w:spacing w:val="-6"/>
          <w:sz w:val="16"/>
        </w:rPr>
        <w:t xml:space="preserve"> </w:t>
      </w:r>
      <w:r w:rsidRPr="00155597">
        <w:rPr>
          <w:rFonts w:eastAsia="Arial"/>
          <w:spacing w:val="-1"/>
          <w:sz w:val="16"/>
        </w:rPr>
        <w:t>for</w:t>
      </w:r>
      <w:r w:rsidRPr="00155597">
        <w:rPr>
          <w:rFonts w:eastAsia="Arial"/>
          <w:spacing w:val="-7"/>
          <w:sz w:val="16"/>
        </w:rPr>
        <w:t xml:space="preserve"> </w:t>
      </w:r>
      <w:r w:rsidRPr="00155597">
        <w:rPr>
          <w:rFonts w:eastAsia="Arial"/>
          <w:spacing w:val="-2"/>
          <w:sz w:val="16"/>
        </w:rPr>
        <w:t>Education</w:t>
      </w:r>
      <w:r w:rsidRPr="00155597">
        <w:rPr>
          <w:rFonts w:eastAsia="Arial"/>
          <w:spacing w:val="-7"/>
          <w:sz w:val="16"/>
        </w:rPr>
        <w:t xml:space="preserve"> </w:t>
      </w:r>
      <w:r w:rsidRPr="00155597">
        <w:rPr>
          <w:rFonts w:eastAsia="Arial"/>
          <w:spacing w:val="-1"/>
          <w:sz w:val="16"/>
        </w:rPr>
        <w:t>Statistics,</w:t>
      </w:r>
      <w:r w:rsidRPr="00155597">
        <w:rPr>
          <w:rFonts w:eastAsia="Arial"/>
          <w:spacing w:val="-5"/>
          <w:sz w:val="16"/>
        </w:rPr>
        <w:t xml:space="preserve"> </w:t>
      </w:r>
      <w:r w:rsidRPr="00155597">
        <w:rPr>
          <w:rFonts w:eastAsia="Arial"/>
          <w:spacing w:val="-2"/>
          <w:sz w:val="16"/>
        </w:rPr>
        <w:t>2017–18</w:t>
      </w:r>
      <w:r w:rsidRPr="00155597">
        <w:rPr>
          <w:rFonts w:eastAsia="Arial"/>
          <w:spacing w:val="-7"/>
          <w:sz w:val="16"/>
        </w:rPr>
        <w:t xml:space="preserve"> </w:t>
      </w:r>
      <w:r w:rsidRPr="00155597">
        <w:rPr>
          <w:rFonts w:eastAsia="Arial"/>
          <w:spacing w:val="-2"/>
          <w:sz w:val="16"/>
        </w:rPr>
        <w:t>School</w:t>
      </w:r>
      <w:r w:rsidRPr="00155597">
        <w:rPr>
          <w:rFonts w:eastAsia="Arial"/>
          <w:spacing w:val="-6"/>
          <w:sz w:val="16"/>
        </w:rPr>
        <w:t xml:space="preserve"> </w:t>
      </w:r>
      <w:r w:rsidRPr="00155597">
        <w:rPr>
          <w:rFonts w:eastAsia="Arial"/>
          <w:spacing w:val="-1"/>
          <w:sz w:val="16"/>
        </w:rPr>
        <w:t>Survey</w:t>
      </w:r>
      <w:r w:rsidRPr="00155597">
        <w:rPr>
          <w:rFonts w:eastAsia="Arial"/>
          <w:spacing w:val="-11"/>
          <w:sz w:val="16"/>
        </w:rPr>
        <w:t xml:space="preserve"> </w:t>
      </w:r>
      <w:r w:rsidRPr="00155597">
        <w:rPr>
          <w:rFonts w:eastAsia="Arial"/>
          <w:spacing w:val="-1"/>
          <w:sz w:val="16"/>
        </w:rPr>
        <w:t>on</w:t>
      </w:r>
      <w:r w:rsidRPr="00155597">
        <w:rPr>
          <w:rFonts w:eastAsia="Arial"/>
          <w:spacing w:val="-8"/>
          <w:sz w:val="16"/>
        </w:rPr>
        <w:t xml:space="preserve"> </w:t>
      </w:r>
      <w:r w:rsidRPr="00155597">
        <w:rPr>
          <w:rFonts w:eastAsia="Arial"/>
          <w:sz w:val="16"/>
        </w:rPr>
        <w:t>Crime</w:t>
      </w:r>
      <w:r w:rsidRPr="00155597">
        <w:rPr>
          <w:rFonts w:eastAsia="Arial"/>
          <w:spacing w:val="-8"/>
          <w:sz w:val="16"/>
        </w:rPr>
        <w:t xml:space="preserve"> </w:t>
      </w:r>
      <w:r w:rsidRPr="00155597">
        <w:rPr>
          <w:rFonts w:eastAsia="Arial"/>
          <w:spacing w:val="-2"/>
          <w:sz w:val="16"/>
        </w:rPr>
        <w:t>and</w:t>
      </w:r>
      <w:r w:rsidRPr="00155597">
        <w:rPr>
          <w:spacing w:val="-6"/>
          <w:sz w:val="16"/>
        </w:rPr>
        <w:t xml:space="preserve"> </w:t>
      </w:r>
      <w:r w:rsidRPr="00155597">
        <w:rPr>
          <w:rFonts w:eastAsia="Arial"/>
          <w:spacing w:val="-1"/>
          <w:sz w:val="16"/>
        </w:rPr>
        <w:t>Safety</w:t>
      </w:r>
      <w:r w:rsidRPr="00155597">
        <w:rPr>
          <w:rFonts w:eastAsia="Arial"/>
          <w:spacing w:val="-21"/>
          <w:sz w:val="16"/>
        </w:rPr>
        <w:t xml:space="preserve"> </w:t>
      </w:r>
      <w:r w:rsidRPr="00155597">
        <w:rPr>
          <w:rFonts w:eastAsia="Arial"/>
          <w:spacing w:val="-1"/>
          <w:sz w:val="16"/>
        </w:rPr>
        <w:t>(SSOCS:2018).</w:t>
      </w:r>
    </w:p>
    <w:p w14:paraId="42BAB4B4" w14:textId="77777777" w:rsidR="00231CAF" w:rsidRPr="00155597" w:rsidRDefault="00231CAF" w:rsidP="00231CAF"/>
    <w:p w14:paraId="38452414" w14:textId="7810CA01" w:rsidR="00AA7A29" w:rsidRPr="00155597" w:rsidRDefault="00354CF2"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2" w:name="_Toc45701387"/>
      <w:bookmarkStart w:id="13" w:name="_Toc411895532"/>
      <w:bookmarkStart w:id="14" w:name="_Toc3478474"/>
      <w:bookmarkEnd w:id="7"/>
      <w:r w:rsidRPr="00155597">
        <w:rPr>
          <w:rFonts w:ascii="Times New Roman" w:hAnsi="Times New Roman"/>
          <w:sz w:val="24"/>
          <w:szCs w:val="24"/>
        </w:rPr>
        <w:t>B</w:t>
      </w:r>
      <w:r w:rsidR="00CD4B5C" w:rsidRPr="00155597">
        <w:rPr>
          <w:rFonts w:ascii="Times New Roman" w:hAnsi="Times New Roman"/>
          <w:sz w:val="24"/>
          <w:szCs w:val="24"/>
        </w:rPr>
        <w:t>2</w:t>
      </w:r>
      <w:r w:rsidRPr="00155597">
        <w:rPr>
          <w:rFonts w:ascii="Times New Roman" w:hAnsi="Times New Roman"/>
          <w:sz w:val="24"/>
          <w:szCs w:val="24"/>
        </w:rPr>
        <w:t>.</w:t>
      </w:r>
      <w:r w:rsidR="00BD0A14" w:rsidRPr="00155597">
        <w:rPr>
          <w:rFonts w:ascii="Times New Roman" w:hAnsi="Times New Roman"/>
          <w:sz w:val="24"/>
          <w:szCs w:val="24"/>
        </w:rPr>
        <w:t xml:space="preserve"> </w:t>
      </w:r>
      <w:r w:rsidR="002F6285" w:rsidRPr="00155597">
        <w:rPr>
          <w:rFonts w:ascii="Times New Roman" w:hAnsi="Times New Roman"/>
          <w:sz w:val="24"/>
          <w:szCs w:val="24"/>
        </w:rPr>
        <w:t xml:space="preserve">Procedures for </w:t>
      </w:r>
      <w:r w:rsidR="002F3B9E" w:rsidRPr="00155597">
        <w:rPr>
          <w:rFonts w:ascii="Times New Roman" w:hAnsi="Times New Roman"/>
          <w:sz w:val="24"/>
          <w:szCs w:val="24"/>
        </w:rPr>
        <w:t xml:space="preserve">the </w:t>
      </w:r>
      <w:r w:rsidR="002F6285" w:rsidRPr="00155597">
        <w:rPr>
          <w:rFonts w:ascii="Times New Roman" w:hAnsi="Times New Roman"/>
          <w:sz w:val="24"/>
          <w:szCs w:val="24"/>
        </w:rPr>
        <w:t>Collection of Information</w:t>
      </w:r>
      <w:bookmarkEnd w:id="12"/>
      <w:bookmarkEnd w:id="13"/>
      <w:bookmarkEnd w:id="14"/>
    </w:p>
    <w:p w14:paraId="4F85D979" w14:textId="711447DE" w:rsidR="007C6F40" w:rsidRPr="00155597" w:rsidRDefault="002F6285" w:rsidP="00E103F7">
      <w:pPr>
        <w:pStyle w:val="SL-FlLftSgl"/>
        <w:spacing w:after="120" w:line="240" w:lineRule="auto"/>
        <w:jc w:val="left"/>
        <w:rPr>
          <w:sz w:val="24"/>
          <w:szCs w:val="24"/>
        </w:rPr>
      </w:pPr>
      <w:r w:rsidRPr="00155597">
        <w:rPr>
          <w:sz w:val="24"/>
          <w:szCs w:val="24"/>
        </w:rPr>
        <w:t xml:space="preserve">The data collection methods </w:t>
      </w:r>
      <w:r w:rsidR="006C78F6" w:rsidRPr="00155597">
        <w:rPr>
          <w:sz w:val="24"/>
          <w:szCs w:val="24"/>
        </w:rPr>
        <w:t xml:space="preserve">used in </w:t>
      </w:r>
      <w:r w:rsidRPr="00155597">
        <w:rPr>
          <w:sz w:val="24"/>
          <w:szCs w:val="24"/>
        </w:rPr>
        <w:t>SSOCS</w:t>
      </w:r>
      <w:r w:rsidR="00A94D02" w:rsidRPr="00155597">
        <w:rPr>
          <w:sz w:val="24"/>
          <w:szCs w:val="24"/>
        </w:rPr>
        <w:t>:</w:t>
      </w:r>
      <w:r w:rsidR="00865D1E" w:rsidRPr="00155597">
        <w:rPr>
          <w:sz w:val="24"/>
          <w:szCs w:val="24"/>
        </w:rPr>
        <w:t>2018</w:t>
      </w:r>
      <w:r w:rsidRPr="00155597">
        <w:rPr>
          <w:sz w:val="24"/>
          <w:szCs w:val="24"/>
        </w:rPr>
        <w:t xml:space="preserve"> </w:t>
      </w:r>
      <w:r w:rsidR="00EF2F18" w:rsidRPr="00155597">
        <w:rPr>
          <w:sz w:val="24"/>
          <w:szCs w:val="24"/>
        </w:rPr>
        <w:t xml:space="preserve">and SSOCS:2020 </w:t>
      </w:r>
      <w:r w:rsidR="004A2CE6" w:rsidRPr="00155597">
        <w:rPr>
          <w:sz w:val="24"/>
          <w:szCs w:val="24"/>
        </w:rPr>
        <w:t>include</w:t>
      </w:r>
      <w:r w:rsidR="00114DC6">
        <w:rPr>
          <w:sz w:val="24"/>
          <w:szCs w:val="24"/>
        </w:rPr>
        <w:t>,</w:t>
      </w:r>
      <w:r w:rsidR="00114DC6" w:rsidRPr="00114DC6">
        <w:rPr>
          <w:sz w:val="24"/>
          <w:szCs w:val="24"/>
        </w:rPr>
        <w:t xml:space="preserve"> </w:t>
      </w:r>
      <w:r w:rsidR="00114DC6">
        <w:rPr>
          <w:sz w:val="24"/>
          <w:szCs w:val="24"/>
        </w:rPr>
        <w:t>for the first time in SSOCS,</w:t>
      </w:r>
      <w:r w:rsidR="004A2CE6" w:rsidRPr="00155597">
        <w:rPr>
          <w:sz w:val="24"/>
          <w:szCs w:val="24"/>
        </w:rPr>
        <w:t xml:space="preserve"> </w:t>
      </w:r>
      <w:r w:rsidR="00AA7A29" w:rsidRPr="00155597">
        <w:rPr>
          <w:sz w:val="24"/>
          <w:szCs w:val="24"/>
        </w:rPr>
        <w:t>mail survey</w:t>
      </w:r>
      <w:r w:rsidR="004A2CE6" w:rsidRPr="00155597">
        <w:rPr>
          <w:sz w:val="24"/>
          <w:szCs w:val="24"/>
        </w:rPr>
        <w:t xml:space="preserve"> and web-based survey</w:t>
      </w:r>
      <w:r w:rsidR="00AA7A29" w:rsidRPr="00155597">
        <w:rPr>
          <w:sz w:val="24"/>
          <w:szCs w:val="24"/>
        </w:rPr>
        <w:t xml:space="preserve"> </w:t>
      </w:r>
      <w:r w:rsidR="00DD688C" w:rsidRPr="00155597">
        <w:rPr>
          <w:sz w:val="24"/>
          <w:szCs w:val="24"/>
        </w:rPr>
        <w:t xml:space="preserve">experiments </w:t>
      </w:r>
      <w:r w:rsidR="00AA7A29" w:rsidRPr="00155597">
        <w:rPr>
          <w:sz w:val="24"/>
          <w:szCs w:val="24"/>
        </w:rPr>
        <w:t xml:space="preserve">with intensive </w:t>
      </w:r>
      <w:r w:rsidR="00487871" w:rsidRPr="00155597">
        <w:rPr>
          <w:sz w:val="24"/>
          <w:szCs w:val="24"/>
        </w:rPr>
        <w:t xml:space="preserve">follow-up by both </w:t>
      </w:r>
      <w:r w:rsidR="00AA7A29" w:rsidRPr="00155597">
        <w:rPr>
          <w:sz w:val="24"/>
          <w:szCs w:val="24"/>
        </w:rPr>
        <w:t xml:space="preserve">phone </w:t>
      </w:r>
      <w:r w:rsidR="00634443" w:rsidRPr="00155597">
        <w:rPr>
          <w:sz w:val="24"/>
          <w:szCs w:val="24"/>
        </w:rPr>
        <w:t>and e</w:t>
      </w:r>
      <w:r w:rsidR="00B00C2D" w:rsidRPr="00155597">
        <w:rPr>
          <w:sz w:val="24"/>
          <w:szCs w:val="24"/>
        </w:rPr>
        <w:noBreakHyphen/>
      </w:r>
      <w:r w:rsidR="00634443" w:rsidRPr="00155597">
        <w:rPr>
          <w:sz w:val="24"/>
          <w:szCs w:val="24"/>
        </w:rPr>
        <w:t>mail</w:t>
      </w:r>
      <w:r w:rsidR="00487871" w:rsidRPr="00155597">
        <w:rPr>
          <w:sz w:val="24"/>
          <w:szCs w:val="24"/>
        </w:rPr>
        <w:t>.</w:t>
      </w:r>
      <w:r w:rsidR="00473848" w:rsidRPr="00155597">
        <w:rPr>
          <w:sz w:val="24"/>
          <w:szCs w:val="24"/>
        </w:rPr>
        <w:t xml:space="preserve"> </w:t>
      </w:r>
      <w:r w:rsidR="00D63B35" w:rsidRPr="00155597">
        <w:rPr>
          <w:sz w:val="24"/>
          <w:szCs w:val="24"/>
        </w:rPr>
        <w:t xml:space="preserve">The </w:t>
      </w:r>
      <w:r w:rsidR="004502AC" w:rsidRPr="00155597">
        <w:rPr>
          <w:sz w:val="24"/>
          <w:szCs w:val="24"/>
        </w:rPr>
        <w:t>methods are</w:t>
      </w:r>
      <w:r w:rsidR="00634443" w:rsidRPr="00155597">
        <w:rPr>
          <w:sz w:val="24"/>
          <w:szCs w:val="24"/>
        </w:rPr>
        <w:t xml:space="preserve"> </w:t>
      </w:r>
      <w:r w:rsidR="007D2730" w:rsidRPr="00155597">
        <w:rPr>
          <w:sz w:val="24"/>
          <w:szCs w:val="24"/>
        </w:rPr>
        <w:t>described in more detail in the following sections</w:t>
      </w:r>
      <w:r w:rsidR="00AA7A29" w:rsidRPr="00155597">
        <w:rPr>
          <w:sz w:val="24"/>
          <w:szCs w:val="24"/>
        </w:rPr>
        <w:t>.</w:t>
      </w:r>
    </w:p>
    <w:p w14:paraId="5CF4D85D" w14:textId="77777777" w:rsidR="00AA7A29" w:rsidRPr="00155597" w:rsidRDefault="00AA7A29" w:rsidP="00E103F7">
      <w:pPr>
        <w:pStyle w:val="AbtHeadC"/>
        <w:keepLines w:val="0"/>
        <w:spacing w:after="120" w:line="240" w:lineRule="auto"/>
        <w:ind w:left="1152" w:hanging="1152"/>
        <w:outlineLvl w:val="3"/>
        <w:rPr>
          <w:rFonts w:ascii="Times New Roman" w:hAnsi="Times New Roman"/>
          <w:b w:val="0"/>
          <w:bCs/>
          <w:sz w:val="24"/>
          <w:szCs w:val="24"/>
        </w:rPr>
      </w:pPr>
      <w:r w:rsidRPr="00155597">
        <w:rPr>
          <w:rFonts w:ascii="Times New Roman" w:hAnsi="Times New Roman"/>
          <w:sz w:val="24"/>
          <w:szCs w:val="24"/>
        </w:rPr>
        <w:t>Steps in the Data Collection Process</w:t>
      </w:r>
    </w:p>
    <w:p w14:paraId="5CA2CAFF" w14:textId="77777777" w:rsidR="00A4532F" w:rsidRDefault="00AA7A29" w:rsidP="00BE6004">
      <w:pPr>
        <w:pStyle w:val="SL-FlLftSgl"/>
        <w:widowControl w:val="0"/>
        <w:spacing w:after="120" w:line="240" w:lineRule="auto"/>
        <w:jc w:val="left"/>
        <w:rPr>
          <w:sz w:val="24"/>
          <w:szCs w:val="24"/>
        </w:rPr>
      </w:pPr>
      <w:r w:rsidRPr="00155597">
        <w:rPr>
          <w:sz w:val="24"/>
          <w:szCs w:val="24"/>
        </w:rPr>
        <w:t>The following is a description of the main tasks in the data collection process for SSOCS</w:t>
      </w:r>
      <w:r w:rsidR="002E789F" w:rsidRPr="00155597">
        <w:rPr>
          <w:sz w:val="24"/>
          <w:szCs w:val="24"/>
        </w:rPr>
        <w:t xml:space="preserve">. </w:t>
      </w:r>
      <w:r w:rsidRPr="00155597">
        <w:rPr>
          <w:sz w:val="24"/>
          <w:szCs w:val="24"/>
        </w:rPr>
        <w:t>These tasks include drawing the sample; identifying special</w:t>
      </w:r>
      <w:r w:rsidR="00745F8D" w:rsidRPr="00155597">
        <w:rPr>
          <w:sz w:val="24"/>
          <w:szCs w:val="24"/>
        </w:rPr>
        <w:t xml:space="preserve"> contact</w:t>
      </w:r>
      <w:r w:rsidRPr="00155597">
        <w:rPr>
          <w:sz w:val="24"/>
          <w:szCs w:val="24"/>
        </w:rPr>
        <w:t xml:space="preserve"> districts; mailing</w:t>
      </w:r>
      <w:r w:rsidR="00540B9D" w:rsidRPr="00155597">
        <w:rPr>
          <w:sz w:val="24"/>
          <w:szCs w:val="24"/>
        </w:rPr>
        <w:t xml:space="preserve"> </w:t>
      </w:r>
      <w:r w:rsidR="00EF2F18" w:rsidRPr="00155597">
        <w:rPr>
          <w:sz w:val="24"/>
          <w:szCs w:val="24"/>
        </w:rPr>
        <w:t xml:space="preserve">advance </w:t>
      </w:r>
      <w:r w:rsidR="001202B9" w:rsidRPr="00155597">
        <w:rPr>
          <w:sz w:val="24"/>
          <w:szCs w:val="24"/>
        </w:rPr>
        <w:t>letters</w:t>
      </w:r>
      <w:r w:rsidRPr="00155597">
        <w:rPr>
          <w:sz w:val="24"/>
          <w:szCs w:val="24"/>
        </w:rPr>
        <w:t xml:space="preserve"> to school principals</w:t>
      </w:r>
      <w:r w:rsidR="00EF2F18" w:rsidRPr="00155597">
        <w:rPr>
          <w:sz w:val="24"/>
          <w:szCs w:val="24"/>
        </w:rPr>
        <w:t xml:space="preserve"> (SSOCS:2018 only)</w:t>
      </w:r>
      <w:r w:rsidRPr="00155597">
        <w:rPr>
          <w:sz w:val="24"/>
          <w:szCs w:val="24"/>
        </w:rPr>
        <w:t xml:space="preserve">, district superintendents, and </w:t>
      </w:r>
      <w:r w:rsidR="00C67DFD" w:rsidRPr="00155597">
        <w:rPr>
          <w:sz w:val="24"/>
          <w:szCs w:val="24"/>
        </w:rPr>
        <w:t>Chief State School Officers (</w:t>
      </w:r>
      <w:r w:rsidR="00C316D6" w:rsidRPr="00155597">
        <w:rPr>
          <w:sz w:val="24"/>
          <w:szCs w:val="24"/>
        </w:rPr>
        <w:t>CSSO</w:t>
      </w:r>
      <w:r w:rsidR="00727FA5" w:rsidRPr="00155597">
        <w:rPr>
          <w:sz w:val="24"/>
          <w:szCs w:val="24"/>
        </w:rPr>
        <w:t>s</w:t>
      </w:r>
      <w:r w:rsidR="00C67DFD" w:rsidRPr="00155597">
        <w:rPr>
          <w:sz w:val="24"/>
          <w:szCs w:val="24"/>
        </w:rPr>
        <w:t>)</w:t>
      </w:r>
      <w:r w:rsidRPr="00155597">
        <w:rPr>
          <w:sz w:val="24"/>
          <w:szCs w:val="24"/>
        </w:rPr>
        <w:t xml:space="preserve">; </w:t>
      </w:r>
      <w:r w:rsidR="001202B9" w:rsidRPr="00155597">
        <w:rPr>
          <w:sz w:val="24"/>
          <w:szCs w:val="24"/>
        </w:rPr>
        <w:t xml:space="preserve">mailing full package to principals; </w:t>
      </w:r>
      <w:r w:rsidR="00085AE7" w:rsidRPr="00155597">
        <w:rPr>
          <w:sz w:val="24"/>
          <w:szCs w:val="24"/>
        </w:rPr>
        <w:t xml:space="preserve">placing </w:t>
      </w:r>
      <w:r w:rsidR="009842D3" w:rsidRPr="00155597">
        <w:rPr>
          <w:sz w:val="24"/>
          <w:szCs w:val="24"/>
        </w:rPr>
        <w:t>reminder and</w:t>
      </w:r>
      <w:r w:rsidRPr="00155597">
        <w:rPr>
          <w:sz w:val="24"/>
          <w:szCs w:val="24"/>
        </w:rPr>
        <w:t xml:space="preserve"> foll</w:t>
      </w:r>
      <w:r w:rsidR="000835F6" w:rsidRPr="00155597">
        <w:rPr>
          <w:sz w:val="24"/>
          <w:szCs w:val="24"/>
        </w:rPr>
        <w:t>ow-up</w:t>
      </w:r>
      <w:r w:rsidR="009842D3" w:rsidRPr="00155597">
        <w:rPr>
          <w:sz w:val="24"/>
          <w:szCs w:val="24"/>
        </w:rPr>
        <w:t xml:space="preserve"> calls</w:t>
      </w:r>
      <w:r w:rsidR="000835F6" w:rsidRPr="00155597">
        <w:rPr>
          <w:sz w:val="24"/>
          <w:szCs w:val="24"/>
        </w:rPr>
        <w:t xml:space="preserve"> to nonresponding schools;</w:t>
      </w:r>
      <w:r w:rsidR="009356CD" w:rsidRPr="00155597">
        <w:rPr>
          <w:sz w:val="24"/>
          <w:szCs w:val="24"/>
        </w:rPr>
        <w:t xml:space="preserve"> and refusal </w:t>
      </w:r>
      <w:r w:rsidRPr="00155597">
        <w:rPr>
          <w:sz w:val="24"/>
          <w:szCs w:val="24"/>
        </w:rPr>
        <w:t>conversion efforts</w:t>
      </w:r>
      <w:r w:rsidR="00487871" w:rsidRPr="00155597">
        <w:rPr>
          <w:sz w:val="24"/>
          <w:szCs w:val="24"/>
        </w:rPr>
        <w:t xml:space="preserve"> </w:t>
      </w:r>
      <w:r w:rsidR="009842D3" w:rsidRPr="00155597">
        <w:rPr>
          <w:sz w:val="24"/>
          <w:szCs w:val="24"/>
        </w:rPr>
        <w:t>using</w:t>
      </w:r>
      <w:r w:rsidR="00487871" w:rsidRPr="00155597">
        <w:rPr>
          <w:sz w:val="24"/>
          <w:szCs w:val="24"/>
        </w:rPr>
        <w:t xml:space="preserve"> both mailings and e-mails</w:t>
      </w:r>
      <w:r w:rsidR="007D2730" w:rsidRPr="00155597">
        <w:rPr>
          <w:sz w:val="24"/>
          <w:szCs w:val="24"/>
        </w:rPr>
        <w:t>. All communication materials to potential respondents are designed for refusal aversion</w:t>
      </w:r>
      <w:r w:rsidR="003B5EF3" w:rsidRPr="00155597">
        <w:rPr>
          <w:sz w:val="24"/>
          <w:szCs w:val="24"/>
        </w:rPr>
        <w:t xml:space="preserve">. </w:t>
      </w:r>
      <w:bookmarkStart w:id="15" w:name="_Hlk3308620"/>
      <w:r w:rsidR="003B5EF3" w:rsidRPr="00155597">
        <w:rPr>
          <w:sz w:val="24"/>
          <w:szCs w:val="24"/>
        </w:rPr>
        <w:t>See appendix A for letters to superintendents, CSSOs, and principals, as well as postcards to schools in special contact districts and reminder e-mails to respondents</w:t>
      </w:r>
      <w:r w:rsidR="00B97825">
        <w:rPr>
          <w:sz w:val="24"/>
          <w:szCs w:val="24"/>
        </w:rPr>
        <w:t xml:space="preserve">. The contact materials in </w:t>
      </w:r>
      <w:r w:rsidR="00B97825" w:rsidRPr="00155597">
        <w:rPr>
          <w:sz w:val="24"/>
          <w:szCs w:val="24"/>
        </w:rPr>
        <w:t>appendix A</w:t>
      </w:r>
      <w:r w:rsidR="00EF2F18" w:rsidRPr="00155597">
        <w:rPr>
          <w:sz w:val="24"/>
          <w:szCs w:val="24"/>
        </w:rPr>
        <w:t xml:space="preserve"> </w:t>
      </w:r>
      <w:r w:rsidR="00B97825">
        <w:rPr>
          <w:sz w:val="24"/>
          <w:szCs w:val="24"/>
        </w:rPr>
        <w:t>are grouped separately for each: SSOCS:2018 and SSOCS:2020</w:t>
      </w:r>
      <w:r w:rsidR="00134FE7" w:rsidRPr="00155597">
        <w:rPr>
          <w:sz w:val="24"/>
          <w:szCs w:val="24"/>
        </w:rPr>
        <w:t>.</w:t>
      </w:r>
    </w:p>
    <w:bookmarkEnd w:id="15"/>
    <w:p w14:paraId="562EE000" w14:textId="64E913A0" w:rsidR="007C6F40" w:rsidRPr="00155597" w:rsidRDefault="00AA7A29" w:rsidP="00E103F7">
      <w:pPr>
        <w:pStyle w:val="AbtHeadC"/>
        <w:keepLines w:val="0"/>
        <w:spacing w:after="120" w:line="240" w:lineRule="auto"/>
        <w:ind w:left="1152" w:hanging="1152"/>
        <w:outlineLvl w:val="3"/>
        <w:rPr>
          <w:rFonts w:ascii="Times New Roman" w:hAnsi="Times New Roman"/>
          <w:sz w:val="24"/>
          <w:szCs w:val="24"/>
        </w:rPr>
      </w:pPr>
      <w:r w:rsidRPr="00155597">
        <w:rPr>
          <w:rFonts w:ascii="Times New Roman" w:hAnsi="Times New Roman"/>
          <w:sz w:val="24"/>
          <w:szCs w:val="24"/>
        </w:rPr>
        <w:t>Drawing the Sample</w:t>
      </w:r>
    </w:p>
    <w:p w14:paraId="5F545410" w14:textId="792F4EFC" w:rsidR="00AA7A29" w:rsidRPr="00155597" w:rsidRDefault="00B643B9" w:rsidP="00E103F7">
      <w:pPr>
        <w:spacing w:after="120"/>
      </w:pPr>
      <w:r w:rsidRPr="00155597">
        <w:t>T</w:t>
      </w:r>
      <w:r w:rsidR="00AA7A29" w:rsidRPr="00155597">
        <w:t xml:space="preserve">he sample of schools </w:t>
      </w:r>
      <w:r w:rsidRPr="00155597">
        <w:t xml:space="preserve">will be drawn </w:t>
      </w:r>
      <w:r w:rsidR="00AA7A29" w:rsidRPr="00155597">
        <w:t xml:space="preserve">in </w:t>
      </w:r>
      <w:r w:rsidR="009842D3" w:rsidRPr="00155597">
        <w:t xml:space="preserve">the </w:t>
      </w:r>
      <w:r w:rsidR="004A2CE6" w:rsidRPr="00155597">
        <w:t xml:space="preserve">June </w:t>
      </w:r>
      <w:r w:rsidR="00317C25" w:rsidRPr="00155597">
        <w:t>preceding data collection</w:t>
      </w:r>
      <w:r w:rsidR="00C77362" w:rsidRPr="00155597">
        <w:t xml:space="preserve"> </w:t>
      </w:r>
      <w:r w:rsidR="00795391" w:rsidRPr="00155597">
        <w:t xml:space="preserve">once the NTPS frame creation is complete and </w:t>
      </w:r>
      <w:r w:rsidR="004A2CE6" w:rsidRPr="00155597">
        <w:t>following the drawing of the NTPS sample</w:t>
      </w:r>
      <w:r w:rsidR="00795391" w:rsidRPr="00155597">
        <w:t xml:space="preserve"> (SSOCS:2018 only)</w:t>
      </w:r>
      <w:r w:rsidR="00C77362" w:rsidRPr="00155597">
        <w:t>.</w:t>
      </w:r>
      <w:r w:rsidR="004A2CE6" w:rsidRPr="00155597">
        <w:t xml:space="preserve"> </w:t>
      </w:r>
      <w:r w:rsidR="008067EA" w:rsidRPr="00155597">
        <w:t>However</w:t>
      </w:r>
      <w:r w:rsidR="004A2CE6" w:rsidRPr="00155597">
        <w:t xml:space="preserve">, </w:t>
      </w:r>
      <w:r w:rsidR="008067EA" w:rsidRPr="00155597">
        <w:t xml:space="preserve">since </w:t>
      </w:r>
      <w:r w:rsidR="00D839C4" w:rsidRPr="00155597">
        <w:t xml:space="preserve">many larger districts </w:t>
      </w:r>
      <w:r w:rsidR="008067EA" w:rsidRPr="00155597">
        <w:t xml:space="preserve">(known as “certainty” districts) </w:t>
      </w:r>
      <w:r w:rsidR="00D839C4" w:rsidRPr="00155597">
        <w:t xml:space="preserve">are always included in </w:t>
      </w:r>
      <w:r w:rsidR="00EF4C0B" w:rsidRPr="00155597">
        <w:t xml:space="preserve">the </w:t>
      </w:r>
      <w:r w:rsidR="00D839C4" w:rsidRPr="00155597">
        <w:t>various NCES sample surveys,</w:t>
      </w:r>
      <w:r w:rsidR="008067EA" w:rsidRPr="00155597">
        <w:t xml:space="preserve"> the</w:t>
      </w:r>
      <w:r w:rsidR="00D839C4" w:rsidRPr="00155597">
        <w:t xml:space="preserve"> </w:t>
      </w:r>
      <w:r w:rsidR="004A2CE6" w:rsidRPr="00155597">
        <w:t xml:space="preserve">preliminary research </w:t>
      </w:r>
      <w:r w:rsidR="00D839C4" w:rsidRPr="00155597">
        <w:t xml:space="preserve">and application development for these districts </w:t>
      </w:r>
      <w:r w:rsidR="004A2CE6" w:rsidRPr="00155597">
        <w:t>will begin</w:t>
      </w:r>
      <w:r w:rsidR="00795391" w:rsidRPr="00155597">
        <w:t xml:space="preserve"> </w:t>
      </w:r>
      <w:r w:rsidR="00E10BF5">
        <w:t>in early</w:t>
      </w:r>
      <w:r w:rsidR="00792FDE">
        <w:t xml:space="preserve"> spring</w:t>
      </w:r>
      <w:r w:rsidR="009842D3" w:rsidRPr="00155597">
        <w:t>, prior to sampling</w:t>
      </w:r>
      <w:r w:rsidR="002E789F" w:rsidRPr="00155597">
        <w:t xml:space="preserve">. </w:t>
      </w:r>
      <w:r w:rsidR="00AA7A29" w:rsidRPr="00155597">
        <w:t xml:space="preserve">This </w:t>
      </w:r>
      <w:r w:rsidR="00955DD8" w:rsidRPr="00155597">
        <w:t>will</w:t>
      </w:r>
      <w:r w:rsidR="00AA7A29" w:rsidRPr="00155597">
        <w:t xml:space="preserve"> ensure that these </w:t>
      </w:r>
      <w:r w:rsidRPr="00155597">
        <w:t>districts</w:t>
      </w:r>
      <w:r w:rsidR="00AA7A29" w:rsidRPr="00155597">
        <w:t xml:space="preserve"> have the necessary information to present to their </w:t>
      </w:r>
      <w:r w:rsidR="00745F8D" w:rsidRPr="00155597">
        <w:t xml:space="preserve">research </w:t>
      </w:r>
      <w:r w:rsidR="00AA7A29" w:rsidRPr="00155597">
        <w:t xml:space="preserve">approval board </w:t>
      </w:r>
      <w:r w:rsidR="004A2CE6" w:rsidRPr="00155597">
        <w:t>during their scheduled annual or bi-annual meeting</w:t>
      </w:r>
      <w:r w:rsidR="00745F8D" w:rsidRPr="00155597">
        <w:t>s</w:t>
      </w:r>
      <w:r w:rsidR="00AA7A29" w:rsidRPr="00155597">
        <w:t>.</w:t>
      </w:r>
      <w:r w:rsidR="00D839C4" w:rsidRPr="00155597">
        <w:t xml:space="preserve"> Additional special</w:t>
      </w:r>
      <w:r w:rsidR="00745F8D" w:rsidRPr="00155597">
        <w:t xml:space="preserve"> contact</w:t>
      </w:r>
      <w:r w:rsidR="00D839C4" w:rsidRPr="00155597">
        <w:t xml:space="preserve"> district outreach will occur once the sample is drawn for any remaining sampled districts </w:t>
      </w:r>
      <w:r w:rsidR="00745F8D" w:rsidRPr="00155597">
        <w:t xml:space="preserve">that </w:t>
      </w:r>
      <w:r w:rsidR="00D839C4" w:rsidRPr="00155597">
        <w:t>require approval.</w:t>
      </w:r>
    </w:p>
    <w:p w14:paraId="0D860240" w14:textId="77777777" w:rsidR="004030F4" w:rsidRPr="00155597" w:rsidRDefault="00AA7A29" w:rsidP="00E103F7">
      <w:pPr>
        <w:pStyle w:val="AbtHeadC"/>
        <w:keepLines w:val="0"/>
        <w:spacing w:after="120" w:line="240" w:lineRule="auto"/>
        <w:ind w:left="1152" w:hanging="1152"/>
        <w:outlineLvl w:val="3"/>
        <w:rPr>
          <w:rFonts w:ascii="Times New Roman" w:hAnsi="Times New Roman"/>
          <w:sz w:val="24"/>
          <w:szCs w:val="24"/>
        </w:rPr>
      </w:pPr>
      <w:r w:rsidRPr="00155597">
        <w:rPr>
          <w:rFonts w:ascii="Times New Roman" w:hAnsi="Times New Roman"/>
          <w:sz w:val="24"/>
          <w:szCs w:val="24"/>
        </w:rPr>
        <w:t>Identifying Special</w:t>
      </w:r>
      <w:r w:rsidR="00362B0B" w:rsidRPr="00155597">
        <w:rPr>
          <w:rFonts w:ascii="Times New Roman" w:hAnsi="Times New Roman"/>
          <w:sz w:val="24"/>
          <w:szCs w:val="24"/>
        </w:rPr>
        <w:t xml:space="preserve"> Contact </w:t>
      </w:r>
      <w:r w:rsidRPr="00155597">
        <w:rPr>
          <w:rFonts w:ascii="Times New Roman" w:hAnsi="Times New Roman"/>
          <w:sz w:val="24"/>
          <w:szCs w:val="24"/>
        </w:rPr>
        <w:t>Districts and the Need for Research Applications</w:t>
      </w:r>
    </w:p>
    <w:p w14:paraId="1D501F93" w14:textId="0C89621F" w:rsidR="00FF6B05" w:rsidRPr="00155597" w:rsidRDefault="00FF6B05" w:rsidP="00E103F7">
      <w:pPr>
        <w:spacing w:after="120"/>
      </w:pPr>
      <w:r w:rsidRPr="00155597">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14:paraId="25D80885" w14:textId="77777777" w:rsidR="00FF6B05" w:rsidRPr="00155597" w:rsidRDefault="00FF6B05" w:rsidP="00E103F7">
      <w:pPr>
        <w:spacing w:after="120"/>
      </w:pPr>
      <w:r w:rsidRPr="00155597">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14:paraId="6BCBA00B" w14:textId="77777777" w:rsidR="00FF6B05" w:rsidRPr="00155597" w:rsidRDefault="00FF6B05" w:rsidP="00E103F7">
      <w:pPr>
        <w:spacing w:after="120"/>
      </w:pPr>
      <w:r w:rsidRPr="00155597">
        <w:t>The following are examples of the type of information that will be gathered from each district’s website in order to prepare a research application for submission to this district:</w:t>
      </w:r>
    </w:p>
    <w:p w14:paraId="7DC7BC01" w14:textId="77777777" w:rsidR="00FF6B05" w:rsidRPr="00155597" w:rsidRDefault="00FF6B05" w:rsidP="003608A3">
      <w:pPr>
        <w:pStyle w:val="ListParagraph"/>
        <w:numPr>
          <w:ilvl w:val="0"/>
          <w:numId w:val="21"/>
        </w:numPr>
        <w:spacing w:after="120"/>
        <w:ind w:left="540" w:hanging="270"/>
        <w:contextualSpacing/>
      </w:pPr>
      <w:r w:rsidRPr="00155597">
        <w:t>Name and contact information for the district office or department that reviews applications to conduct external research, and the name and contact information of the person in charge of that office.</w:t>
      </w:r>
    </w:p>
    <w:p w14:paraId="728475DC" w14:textId="77777777" w:rsidR="00FF6B05" w:rsidRPr="00155597" w:rsidRDefault="00FF6B05" w:rsidP="003608A3">
      <w:pPr>
        <w:pStyle w:val="ListParagraph"/>
        <w:numPr>
          <w:ilvl w:val="0"/>
          <w:numId w:val="21"/>
        </w:numPr>
        <w:spacing w:after="120"/>
        <w:ind w:left="540" w:hanging="270"/>
        <w:contextualSpacing/>
      </w:pPr>
      <w:r w:rsidRPr="00155597">
        <w:t>Information about review schedules and submission deadlines.</w:t>
      </w:r>
    </w:p>
    <w:p w14:paraId="5EAA70BB" w14:textId="77777777" w:rsidR="00FF6B05" w:rsidRPr="00155597" w:rsidRDefault="00FF6B05" w:rsidP="003608A3">
      <w:pPr>
        <w:pStyle w:val="ListParagraph"/>
        <w:numPr>
          <w:ilvl w:val="0"/>
          <w:numId w:val="21"/>
        </w:numPr>
        <w:spacing w:after="120"/>
        <w:ind w:left="540" w:hanging="270"/>
        <w:contextualSpacing/>
      </w:pPr>
      <w:r w:rsidRPr="00155597">
        <w:t>Whether application fees are required, and if so, how much.</w:t>
      </w:r>
    </w:p>
    <w:p w14:paraId="4BB3A0DB" w14:textId="77777777" w:rsidR="00FF6B05" w:rsidRPr="00155597" w:rsidRDefault="00FF6B05" w:rsidP="003608A3">
      <w:pPr>
        <w:pStyle w:val="ListParagraph"/>
        <w:numPr>
          <w:ilvl w:val="0"/>
          <w:numId w:val="21"/>
        </w:numPr>
        <w:spacing w:after="120"/>
        <w:ind w:left="540" w:hanging="270"/>
        <w:contextualSpacing/>
      </w:pPr>
      <w:r w:rsidRPr="00155597">
        <w:t>Whether a district sponsor is required.</w:t>
      </w:r>
    </w:p>
    <w:p w14:paraId="452ED31E" w14:textId="4668581A" w:rsidR="00FF6B05" w:rsidRPr="00155597" w:rsidRDefault="00FF6B05" w:rsidP="003608A3">
      <w:pPr>
        <w:pStyle w:val="ListParagraph"/>
        <w:numPr>
          <w:ilvl w:val="0"/>
          <w:numId w:val="21"/>
        </w:numPr>
        <w:spacing w:after="120"/>
        <w:ind w:left="540" w:hanging="270"/>
        <w:contextualSpacing/>
      </w:pPr>
      <w:r w:rsidRPr="00155597">
        <w:t>Whether an online application is required, and if so, the link to the application if possible.</w:t>
      </w:r>
    </w:p>
    <w:p w14:paraId="5E37DB73" w14:textId="77777777" w:rsidR="00795391" w:rsidRPr="00155597" w:rsidRDefault="00795391" w:rsidP="00795391">
      <w:pPr>
        <w:pStyle w:val="ListParagraph"/>
        <w:numPr>
          <w:ilvl w:val="0"/>
          <w:numId w:val="21"/>
        </w:numPr>
        <w:spacing w:after="120"/>
        <w:ind w:left="540" w:hanging="270"/>
        <w:contextualSpacing/>
      </w:pPr>
      <w:r w:rsidRPr="00155597">
        <w:t>Whether in-person approval is required, and if so, information about the in-person approval process.</w:t>
      </w:r>
    </w:p>
    <w:p w14:paraId="3065EC68" w14:textId="77777777" w:rsidR="00FF6B05" w:rsidRPr="00155597" w:rsidRDefault="00FF6B05" w:rsidP="003608A3">
      <w:pPr>
        <w:pStyle w:val="ListParagraph"/>
        <w:numPr>
          <w:ilvl w:val="0"/>
          <w:numId w:val="21"/>
        </w:numPr>
        <w:spacing w:after="120"/>
        <w:ind w:left="540" w:hanging="270"/>
        <w:contextualSpacing/>
      </w:pPr>
      <w:r w:rsidRPr="00155597">
        <w:t>Information about research topics and/or agenda on which the district is focusing.</w:t>
      </w:r>
    </w:p>
    <w:p w14:paraId="512B28B3" w14:textId="77777777" w:rsidR="00FF6B05" w:rsidRPr="00155597" w:rsidRDefault="00FF6B05" w:rsidP="003608A3">
      <w:pPr>
        <w:pStyle w:val="ListParagraph"/>
        <w:numPr>
          <w:ilvl w:val="0"/>
          <w:numId w:val="21"/>
        </w:numPr>
        <w:spacing w:after="120"/>
        <w:ind w:left="540" w:hanging="270"/>
        <w:contextualSpacing/>
      </w:pPr>
      <w:r w:rsidRPr="00155597">
        <w:t>The web link to the main research department or office website.</w:t>
      </w:r>
    </w:p>
    <w:p w14:paraId="7FC52979" w14:textId="77777777" w:rsidR="00FF6B05" w:rsidRPr="00155597" w:rsidRDefault="00FF6B05" w:rsidP="003608A3">
      <w:pPr>
        <w:pStyle w:val="ListParagraph"/>
        <w:numPr>
          <w:ilvl w:val="0"/>
          <w:numId w:val="21"/>
        </w:numPr>
        <w:spacing w:after="120"/>
        <w:ind w:left="540" w:hanging="270"/>
        <w:contextualSpacing/>
      </w:pPr>
      <w:r w:rsidRPr="00155597">
        <w:t>Research guidelines, instructions, application forms, District Action Plans, Strategic Plan or Goals, if any.</w:t>
      </w:r>
    </w:p>
    <w:p w14:paraId="49D50DFA" w14:textId="77777777" w:rsidR="00FF6B05" w:rsidRPr="00155597" w:rsidRDefault="00FF6B05" w:rsidP="00E103F7">
      <w:pPr>
        <w:spacing w:after="120"/>
      </w:pPr>
      <w:r w:rsidRPr="00155597">
        <w:t>Recruitment staff will contact districts by phone and email to obtain key information not listed on the district’s website, (e.g., requirements for the research application, research application submission deadlines, etc.).</w:t>
      </w:r>
    </w:p>
    <w:p w14:paraId="0D8615CD" w14:textId="50C2868C" w:rsidR="00FF6B05" w:rsidRPr="00155597" w:rsidRDefault="008373A1" w:rsidP="00E103F7">
      <w:pPr>
        <w:widowControl w:val="0"/>
        <w:spacing w:after="120"/>
      </w:pPr>
      <w:r>
        <w:t xml:space="preserve">SSOCS </w:t>
      </w:r>
      <w:r w:rsidR="00D23FFB">
        <w:t>s</w:t>
      </w:r>
      <w:r w:rsidR="00FD685A" w:rsidRPr="00155597">
        <w:t xml:space="preserve">pecial </w:t>
      </w:r>
      <w:r w:rsidR="00D23FFB">
        <w:t>d</w:t>
      </w:r>
      <w:r w:rsidR="004D4147" w:rsidRPr="00155597">
        <w:t xml:space="preserve">istrict recruitment </w:t>
      </w:r>
      <w:r w:rsidR="00FF6B05" w:rsidRPr="00155597">
        <w:t xml:space="preserve">staff developed a generic research application </w:t>
      </w:r>
      <w:r w:rsidR="00795391" w:rsidRPr="00155597">
        <w:t xml:space="preserve">(see </w:t>
      </w:r>
      <w:r w:rsidR="00A830DF" w:rsidRPr="00155597">
        <w:t>a</w:t>
      </w:r>
      <w:r w:rsidR="00795391" w:rsidRPr="00155597">
        <w:t>ppendix A)</w:t>
      </w:r>
      <w:r w:rsidR="00D83305" w:rsidRPr="00155597">
        <w:t xml:space="preserve"> </w:t>
      </w:r>
      <w:r w:rsidR="00FF6B05" w:rsidRPr="00155597">
        <w:t>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14:paraId="6BFF151D" w14:textId="77777777" w:rsidR="00FF6B05" w:rsidRPr="00155597" w:rsidRDefault="00FF6B05" w:rsidP="00CD2661">
      <w:pPr>
        <w:widowControl w:val="0"/>
        <w:spacing w:after="120"/>
      </w:pPr>
      <w:r w:rsidRPr="00155597">
        <w:t>Using the information obtained from the district website or phone or email exchanges, a district research request packet will be prepared. Each research application will include the following documents, where applicable:</w:t>
      </w:r>
    </w:p>
    <w:p w14:paraId="33D9E9DB" w14:textId="77777777" w:rsidR="00FF6B05" w:rsidRPr="00155597" w:rsidRDefault="00FF6B05" w:rsidP="00CD2661">
      <w:pPr>
        <w:pStyle w:val="ListParagraph"/>
        <w:widowControl w:val="0"/>
        <w:numPr>
          <w:ilvl w:val="0"/>
          <w:numId w:val="22"/>
        </w:numPr>
        <w:spacing w:after="120"/>
        <w:ind w:left="540" w:hanging="270"/>
        <w:contextualSpacing/>
      </w:pPr>
      <w:r w:rsidRPr="00155597">
        <w:t>District research application cover letter;</w:t>
      </w:r>
    </w:p>
    <w:p w14:paraId="49ED34D3" w14:textId="77777777" w:rsidR="00FF6B05" w:rsidRPr="00155597" w:rsidRDefault="00FF6B05" w:rsidP="00CD2661">
      <w:pPr>
        <w:pStyle w:val="ListParagraph"/>
        <w:widowControl w:val="0"/>
        <w:numPr>
          <w:ilvl w:val="0"/>
          <w:numId w:val="22"/>
        </w:numPr>
        <w:spacing w:after="120"/>
        <w:ind w:left="540" w:hanging="270"/>
        <w:contextualSpacing/>
      </w:pPr>
      <w:r w:rsidRPr="00155597">
        <w:t>Research application (district-specific or generic, as required by the district);</w:t>
      </w:r>
    </w:p>
    <w:p w14:paraId="2C105A52" w14:textId="77777777" w:rsidR="00FF6B05" w:rsidRPr="00155597" w:rsidRDefault="00FF6B05" w:rsidP="003608A3">
      <w:pPr>
        <w:pStyle w:val="ListParagraph"/>
        <w:numPr>
          <w:ilvl w:val="0"/>
          <w:numId w:val="22"/>
        </w:numPr>
        <w:spacing w:after="120"/>
        <w:ind w:left="540" w:hanging="270"/>
        <w:contextualSpacing/>
      </w:pPr>
      <w:r w:rsidRPr="00155597">
        <w:t>Study summary;</w:t>
      </w:r>
    </w:p>
    <w:p w14:paraId="0A65C333" w14:textId="41D9D193" w:rsidR="00FF6B05" w:rsidRPr="00155597" w:rsidRDefault="00FF6B05" w:rsidP="003608A3">
      <w:pPr>
        <w:pStyle w:val="ListParagraph"/>
        <w:numPr>
          <w:ilvl w:val="0"/>
          <w:numId w:val="22"/>
        </w:numPr>
        <w:spacing w:after="120"/>
        <w:ind w:left="540" w:hanging="270"/>
        <w:contextualSpacing/>
      </w:pPr>
      <w:r w:rsidRPr="00155597">
        <w:t>F</w:t>
      </w:r>
      <w:r w:rsidR="00795391" w:rsidRPr="00155597">
        <w:t>requently</w:t>
      </w:r>
      <w:r w:rsidR="00B21E6C" w:rsidRPr="00155597">
        <w:t xml:space="preserve"> </w:t>
      </w:r>
      <w:r w:rsidRPr="00155597">
        <w:t>A</w:t>
      </w:r>
      <w:r w:rsidR="00795391" w:rsidRPr="00155597">
        <w:t>sked</w:t>
      </w:r>
      <w:r w:rsidR="00B21E6C" w:rsidRPr="00155597">
        <w:t xml:space="preserve"> </w:t>
      </w:r>
      <w:r w:rsidRPr="00155597">
        <w:t>Q</w:t>
      </w:r>
      <w:r w:rsidR="00795391" w:rsidRPr="00155597">
        <w:t>uestions</w:t>
      </w:r>
      <w:r w:rsidR="00B21E6C" w:rsidRPr="00155597">
        <w:t xml:space="preserve"> (FAQ)</w:t>
      </w:r>
      <w:r w:rsidRPr="00155597">
        <w:t xml:space="preserve"> document;</w:t>
      </w:r>
    </w:p>
    <w:p w14:paraId="7CFE32F9" w14:textId="77777777" w:rsidR="00FF6B05" w:rsidRPr="00155597" w:rsidRDefault="00FF6B05" w:rsidP="003608A3">
      <w:pPr>
        <w:pStyle w:val="ListParagraph"/>
        <w:numPr>
          <w:ilvl w:val="0"/>
          <w:numId w:val="22"/>
        </w:numPr>
        <w:spacing w:after="120"/>
        <w:ind w:left="540" w:hanging="270"/>
        <w:contextualSpacing/>
      </w:pPr>
      <w:r w:rsidRPr="00155597">
        <w:t>Special contact district approval form;</w:t>
      </w:r>
    </w:p>
    <w:p w14:paraId="3EF6642E" w14:textId="77777777" w:rsidR="00FF6B05" w:rsidRPr="00155597" w:rsidRDefault="00FF6B05" w:rsidP="003608A3">
      <w:pPr>
        <w:pStyle w:val="ListParagraph"/>
        <w:numPr>
          <w:ilvl w:val="0"/>
          <w:numId w:val="22"/>
        </w:numPr>
        <w:spacing w:after="120"/>
        <w:ind w:left="540" w:hanging="270"/>
        <w:contextualSpacing/>
      </w:pPr>
      <w:r w:rsidRPr="00155597">
        <w:t>Participant informed consent form (if required by the district);</w:t>
      </w:r>
    </w:p>
    <w:p w14:paraId="0D6E1DF1" w14:textId="52A9424E" w:rsidR="00FF6B05" w:rsidRPr="00155597" w:rsidRDefault="000B1446" w:rsidP="003608A3">
      <w:pPr>
        <w:pStyle w:val="ListParagraph"/>
        <w:numPr>
          <w:ilvl w:val="0"/>
          <w:numId w:val="22"/>
        </w:numPr>
        <w:spacing w:after="120"/>
        <w:ind w:left="540" w:hanging="270"/>
        <w:contextualSpacing/>
      </w:pPr>
      <w:r w:rsidRPr="00155597">
        <w:t>NCES</w:t>
      </w:r>
      <w:r w:rsidR="00FF6B05" w:rsidRPr="00155597">
        <w:t xml:space="preserve"> Project Director’s resume;</w:t>
      </w:r>
    </w:p>
    <w:p w14:paraId="547F693C" w14:textId="77777777" w:rsidR="00FF6B05" w:rsidRPr="00155597" w:rsidRDefault="00FF6B05" w:rsidP="003608A3">
      <w:pPr>
        <w:pStyle w:val="ListParagraph"/>
        <w:numPr>
          <w:ilvl w:val="0"/>
          <w:numId w:val="22"/>
        </w:numPr>
        <w:spacing w:after="120"/>
        <w:ind w:left="540" w:hanging="270"/>
        <w:contextualSpacing/>
      </w:pPr>
      <w:r w:rsidRPr="00155597">
        <w:t>Copy of questionnaires; and</w:t>
      </w:r>
    </w:p>
    <w:p w14:paraId="36F515F6" w14:textId="77777777" w:rsidR="00FF6B05" w:rsidRPr="00155597" w:rsidRDefault="00FF6B05" w:rsidP="003608A3">
      <w:pPr>
        <w:pStyle w:val="ListParagraph"/>
        <w:numPr>
          <w:ilvl w:val="0"/>
          <w:numId w:val="22"/>
        </w:numPr>
        <w:spacing w:after="120"/>
        <w:ind w:left="540" w:hanging="270"/>
        <w:contextualSpacing/>
      </w:pPr>
      <w:r w:rsidRPr="00155597">
        <w:t>Application fee (if required by the district).</w:t>
      </w:r>
    </w:p>
    <w:p w14:paraId="73585F2C" w14:textId="77777777" w:rsidR="00FF6B05" w:rsidRPr="00155597" w:rsidRDefault="00FF6B05" w:rsidP="00E103F7">
      <w:pPr>
        <w:spacing w:after="120"/>
      </w:pPr>
      <w:r w:rsidRPr="00155597">
        <w:t>Other information about the study may be required by the district and will be included with the application or provided upon request.</w:t>
      </w:r>
    </w:p>
    <w:p w14:paraId="20480EE7" w14:textId="7F5ED95B" w:rsidR="00FF6B05" w:rsidRPr="00155597" w:rsidRDefault="00FF6B05" w:rsidP="00E103F7">
      <w:pPr>
        <w:spacing w:after="120"/>
      </w:pPr>
      <w:r w:rsidRPr="00155597">
        <w:t xml:space="preserve">Approximately one week after the application is submitted to the district (either electronically or in hard copy, as required by the district), </w:t>
      </w:r>
      <w:r w:rsidR="00D23FFB">
        <w:t xml:space="preserve">SSOCS </w:t>
      </w:r>
      <w:r w:rsidR="00FD685A" w:rsidRPr="00155597">
        <w:t xml:space="preserve">special </w:t>
      </w:r>
      <w:r w:rsidRPr="00155597">
        <w:t>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14:paraId="07706766" w14:textId="2B1C2C6D" w:rsidR="00FF6B05" w:rsidRPr="00155597" w:rsidRDefault="00795391" w:rsidP="00E103F7">
      <w:pPr>
        <w:spacing w:after="120"/>
      </w:pPr>
      <w:r w:rsidRPr="00155597">
        <w:t>For SSOCS:2018, t</w:t>
      </w:r>
      <w:r w:rsidR="00FF6B05" w:rsidRPr="00155597">
        <w:t>o reduce burden for the special contact districts and improve operational efficiency, NCES</w:t>
      </w:r>
      <w:r w:rsidR="00A4532F">
        <w:t xml:space="preserve"> </w:t>
      </w:r>
      <w:r w:rsidR="002A6812" w:rsidRPr="00155597">
        <w:t>will</w:t>
      </w:r>
      <w:r w:rsidR="00FF6B05" w:rsidRPr="00155597">
        <w:t xml:space="preserve"> seek research approval simultaneously for NTPS 2017-18 and SSOCS 2018. Although NCES </w:t>
      </w:r>
      <w:r w:rsidR="002A6812" w:rsidRPr="00155597">
        <w:t xml:space="preserve">is </w:t>
      </w:r>
      <w:r w:rsidR="00FF6B05" w:rsidRPr="00155597">
        <w:t>minimiz</w:t>
      </w:r>
      <w:r w:rsidR="000B1446" w:rsidRPr="00155597">
        <w:t>ing</w:t>
      </w:r>
      <w:r w:rsidR="00FF6B05" w:rsidRPr="00155597">
        <w:t xml:space="preserv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14:paraId="3E48076E" w14:textId="64CDA98B" w:rsidR="002A6812" w:rsidRPr="00155597" w:rsidRDefault="0049275B" w:rsidP="002A6812">
      <w:pPr>
        <w:spacing w:after="120"/>
      </w:pPr>
      <w:r w:rsidRPr="0049275B">
        <w:rPr>
          <w:color w:val="000000" w:themeColor="text1"/>
        </w:rPr>
        <w:t>However, because due to resource constraints NTPS will not be conducted during the 2019–20 school year, as originally planned, SSOCS:2020 will not be able to seek special district approval simultaneously with NTPS. Therefore, SSOCS:2020 will alone conduct the special district operations, as was done in prior administrations of SSOCS, before SSOCS:2018</w:t>
      </w:r>
      <w:r w:rsidR="002A6812" w:rsidRPr="00155597">
        <w:rPr>
          <w:color w:val="000000" w:themeColor="text1"/>
        </w:rPr>
        <w:t>.</w:t>
      </w:r>
    </w:p>
    <w:p w14:paraId="7E3B5F5C" w14:textId="0B2CB680" w:rsidR="00FF6B05" w:rsidRPr="00155597" w:rsidRDefault="00E863F6" w:rsidP="00E103F7">
      <w:pPr>
        <w:spacing w:after="120"/>
      </w:pPr>
      <w:r w:rsidRPr="00E863F6">
        <w:t>Some districts charge a fee (~$50-200) to process research application requests, which will be paid as necessary</w:t>
      </w:r>
      <w:r w:rsidR="00FF6B05" w:rsidRPr="00155597">
        <w:t>.</w:t>
      </w:r>
    </w:p>
    <w:p w14:paraId="31E47B0F" w14:textId="77777777" w:rsidR="00AA7A29" w:rsidRPr="00155597" w:rsidRDefault="00AA7A29" w:rsidP="00E103F7">
      <w:pPr>
        <w:pStyle w:val="AbtHeadC"/>
        <w:keepLines w:val="0"/>
        <w:spacing w:after="120" w:line="240" w:lineRule="auto"/>
        <w:rPr>
          <w:rFonts w:ascii="Times New Roman" w:hAnsi="Times New Roman"/>
          <w:sz w:val="24"/>
          <w:szCs w:val="24"/>
        </w:rPr>
      </w:pPr>
      <w:r w:rsidRPr="00AE2A56">
        <w:rPr>
          <w:rFonts w:ascii="Times New Roman" w:hAnsi="Times New Roman"/>
          <w:sz w:val="24"/>
          <w:szCs w:val="24"/>
        </w:rPr>
        <w:t>Advance Notification to Principals</w:t>
      </w:r>
    </w:p>
    <w:p w14:paraId="1AB90080" w14:textId="0834E12B" w:rsidR="00D81940" w:rsidRPr="00155597" w:rsidRDefault="002A6812" w:rsidP="00E103F7">
      <w:pPr>
        <w:spacing w:after="120"/>
      </w:pPr>
      <w:r w:rsidRPr="00155597">
        <w:t>For SSOCS:2018, p</w:t>
      </w:r>
      <w:r w:rsidR="00AA7A29" w:rsidRPr="00155597">
        <w:t>rincipals will be notified of the survey through an advance letter</w:t>
      </w:r>
      <w:r w:rsidR="002029DE" w:rsidRPr="00155597">
        <w:t xml:space="preserve"> and e</w:t>
      </w:r>
      <w:r w:rsidR="000A15CC" w:rsidRPr="00155597">
        <w:t>-</w:t>
      </w:r>
      <w:r w:rsidR="002029DE" w:rsidRPr="00155597">
        <w:t>mail</w:t>
      </w:r>
      <w:r w:rsidR="00AA7A29" w:rsidRPr="00155597">
        <w:t xml:space="preserve"> sent a </w:t>
      </w:r>
      <w:r w:rsidR="00F40801" w:rsidRPr="00155597">
        <w:t>week</w:t>
      </w:r>
      <w:r w:rsidR="00AA7A29" w:rsidRPr="00155597">
        <w:t xml:space="preserve"> or two before the questionnaire, following OMB clearance</w:t>
      </w:r>
      <w:r w:rsidR="002E789F" w:rsidRPr="00155597">
        <w:t xml:space="preserve">. </w:t>
      </w:r>
      <w:r w:rsidR="00AA7A29" w:rsidRPr="00155597">
        <w:t xml:space="preserve">The letter will include </w:t>
      </w:r>
      <w:r w:rsidR="00922700" w:rsidRPr="00155597">
        <w:t xml:space="preserve">information about the study, </w:t>
      </w:r>
      <w:r w:rsidR="00AA7A29" w:rsidRPr="00155597">
        <w:t>the date of the first mailing</w:t>
      </w:r>
      <w:r w:rsidR="00922700" w:rsidRPr="00155597">
        <w:t>,</w:t>
      </w:r>
      <w:r w:rsidR="00AA7A29" w:rsidRPr="00155597">
        <w:t xml:space="preserve"> </w:t>
      </w:r>
      <w:r w:rsidR="00922700" w:rsidRPr="00155597">
        <w:t>and</w:t>
      </w:r>
      <w:r w:rsidR="00AA7A29" w:rsidRPr="00155597">
        <w:t xml:space="preserve"> </w:t>
      </w:r>
      <w:r w:rsidR="00955DD8" w:rsidRPr="00155597">
        <w:t>a toll-free</w:t>
      </w:r>
      <w:r w:rsidR="00AA7A29" w:rsidRPr="00155597">
        <w:t xml:space="preserve"> number that principals can call if they have questions</w:t>
      </w:r>
      <w:r w:rsidR="002E789F" w:rsidRPr="00155597">
        <w:t xml:space="preserve">. </w:t>
      </w:r>
      <w:r w:rsidR="00AA7A29" w:rsidRPr="00155597">
        <w:t xml:space="preserve">The toll-free </w:t>
      </w:r>
      <w:r w:rsidR="00955DD8" w:rsidRPr="00155597">
        <w:t xml:space="preserve">number </w:t>
      </w:r>
      <w:r w:rsidR="00AA7A29" w:rsidRPr="00155597">
        <w:t xml:space="preserve">will be answered by Census program staff in Suitland, </w:t>
      </w:r>
      <w:r w:rsidR="005D24A4" w:rsidRPr="00155597">
        <w:t>Maryland</w:t>
      </w:r>
      <w:r w:rsidR="00AA7A29" w:rsidRPr="00155597">
        <w:t xml:space="preserve">, who have been explicitly trained </w:t>
      </w:r>
      <w:r w:rsidR="00E05EEC" w:rsidRPr="00155597">
        <w:t>for</w:t>
      </w:r>
      <w:r w:rsidR="00AA7A29" w:rsidRPr="00155597">
        <w:t xml:space="preserve"> this study and </w:t>
      </w:r>
      <w:r w:rsidR="00E05EEC" w:rsidRPr="00155597">
        <w:t xml:space="preserve">on </w:t>
      </w:r>
      <w:r w:rsidR="00AA7A29" w:rsidRPr="00155597">
        <w:t xml:space="preserve">how to respond to </w:t>
      </w:r>
      <w:r w:rsidR="00E05EEC" w:rsidRPr="00155597">
        <w:t>calls from schools</w:t>
      </w:r>
      <w:r w:rsidR="002E789F" w:rsidRPr="00155597">
        <w:t xml:space="preserve">. </w:t>
      </w:r>
      <w:r w:rsidR="00AA7A29" w:rsidRPr="00155597">
        <w:t>Staffing levels will ensure that at least one staff person is available at all times during the promised hours of operation</w:t>
      </w:r>
      <w:r w:rsidR="002E789F" w:rsidRPr="00155597">
        <w:t xml:space="preserve">. </w:t>
      </w:r>
      <w:r w:rsidR="000B5D26" w:rsidRPr="00155597">
        <w:t>Copies of the advance letter to principals and princ</w:t>
      </w:r>
      <w:r w:rsidR="004F7032" w:rsidRPr="00155597">
        <w:t>ipals in special</w:t>
      </w:r>
      <w:r w:rsidR="00411563" w:rsidRPr="00155597">
        <w:t xml:space="preserve"> contact</w:t>
      </w:r>
      <w:r w:rsidR="004F7032" w:rsidRPr="00155597">
        <w:t xml:space="preserve"> dis</w:t>
      </w:r>
      <w:r w:rsidR="000B5D26" w:rsidRPr="00155597">
        <w:t>tricts are included in</w:t>
      </w:r>
      <w:r w:rsidR="00892B7A" w:rsidRPr="00155597">
        <w:t xml:space="preserve"> </w:t>
      </w:r>
      <w:r w:rsidR="000A15CC" w:rsidRPr="00155597">
        <w:t>a</w:t>
      </w:r>
      <w:r w:rsidR="00892B7A" w:rsidRPr="00155597">
        <w:t>ppendix A</w:t>
      </w:r>
      <w:r w:rsidR="000B5D26" w:rsidRPr="00155597">
        <w:t>.</w:t>
      </w:r>
    </w:p>
    <w:p w14:paraId="35C73869" w14:textId="77777777" w:rsidR="00A4532F" w:rsidRDefault="002A6812" w:rsidP="002A6812">
      <w:pPr>
        <w:spacing w:after="120"/>
      </w:pPr>
      <w:bookmarkStart w:id="16" w:name="_Hlk3452368"/>
      <w:r w:rsidRPr="00155597">
        <w:t xml:space="preserve">Census conducted an expert review of all SSOCS contact material, and the resulting recommendation was that non-actionable contact materials be removed from collection. Therefore, </w:t>
      </w:r>
      <w:r w:rsidR="00476E55" w:rsidRPr="00155597">
        <w:t xml:space="preserve">for SSOCS:2020, </w:t>
      </w:r>
      <w:r w:rsidRPr="00155597">
        <w:t>the advance notification letter will not be sent to principals, as they will be receiving their initial mailout package with instructions to complete the SSOCS approximately one week later.</w:t>
      </w:r>
    </w:p>
    <w:bookmarkEnd w:id="16"/>
    <w:p w14:paraId="4A3C0472" w14:textId="6C528BB9" w:rsidR="00AA7A29" w:rsidRPr="00155597" w:rsidRDefault="00AA7A29" w:rsidP="00E103F7">
      <w:pPr>
        <w:pStyle w:val="AbtHeadC"/>
        <w:keepLines w:val="0"/>
        <w:spacing w:after="120" w:line="240" w:lineRule="auto"/>
        <w:rPr>
          <w:rFonts w:ascii="Times New Roman" w:hAnsi="Times New Roman"/>
          <w:bCs/>
          <w:sz w:val="24"/>
          <w:szCs w:val="24"/>
        </w:rPr>
      </w:pPr>
      <w:r w:rsidRPr="00155597">
        <w:rPr>
          <w:rFonts w:ascii="Times New Roman" w:hAnsi="Times New Roman"/>
          <w:bCs/>
          <w:sz w:val="24"/>
          <w:szCs w:val="24"/>
        </w:rPr>
        <w:t xml:space="preserve">Mailing </w:t>
      </w:r>
      <w:r w:rsidR="006927A7" w:rsidRPr="00155597">
        <w:rPr>
          <w:rFonts w:ascii="Times New Roman" w:hAnsi="Times New Roman"/>
          <w:bCs/>
          <w:sz w:val="24"/>
          <w:szCs w:val="24"/>
        </w:rPr>
        <w:t>the Study Notification</w:t>
      </w:r>
      <w:r w:rsidRPr="00155597">
        <w:rPr>
          <w:rFonts w:ascii="Times New Roman" w:hAnsi="Times New Roman"/>
          <w:bCs/>
          <w:sz w:val="24"/>
          <w:szCs w:val="24"/>
        </w:rPr>
        <w:t xml:space="preserve"> to District Superintendents and Chief State School Officers</w:t>
      </w:r>
    </w:p>
    <w:p w14:paraId="7B8363D9" w14:textId="76A68A5B" w:rsidR="007C6F40" w:rsidRPr="00155597" w:rsidRDefault="00AA7A29" w:rsidP="00E103F7">
      <w:pPr>
        <w:widowControl w:val="0"/>
        <w:spacing w:after="120"/>
      </w:pPr>
      <w:r w:rsidRPr="00155597">
        <w:t xml:space="preserve">In order to achieve the highest possible response rate, we will send the study notification </w:t>
      </w:r>
      <w:r w:rsidR="00C316D6" w:rsidRPr="00155597">
        <w:t xml:space="preserve">mailing to superintendents and </w:t>
      </w:r>
      <w:r w:rsidRPr="00155597">
        <w:t>C</w:t>
      </w:r>
      <w:r w:rsidR="00556C29" w:rsidRPr="00155597">
        <w:t xml:space="preserve">hief </w:t>
      </w:r>
      <w:r w:rsidRPr="00155597">
        <w:t>S</w:t>
      </w:r>
      <w:r w:rsidR="00556C29" w:rsidRPr="00155597">
        <w:t xml:space="preserve">tate </w:t>
      </w:r>
      <w:r w:rsidRPr="00155597">
        <w:t>S</w:t>
      </w:r>
      <w:r w:rsidR="00556C29" w:rsidRPr="00155597">
        <w:t xml:space="preserve">chool </w:t>
      </w:r>
      <w:r w:rsidRPr="00155597">
        <w:t>O</w:t>
      </w:r>
      <w:r w:rsidR="00556C29" w:rsidRPr="00155597">
        <w:t>fficers (CSSO</w:t>
      </w:r>
      <w:r w:rsidR="00C316D6" w:rsidRPr="00155597">
        <w:t>s</w:t>
      </w:r>
      <w:r w:rsidR="00556C29" w:rsidRPr="00155597">
        <w:t>)</w:t>
      </w:r>
      <w:r w:rsidRPr="00155597">
        <w:t xml:space="preserve"> at the same time as the advance notification to </w:t>
      </w:r>
      <w:r w:rsidR="00B625ED" w:rsidRPr="00155597">
        <w:t>p</w:t>
      </w:r>
      <w:r w:rsidRPr="00155597">
        <w:t>rincipals</w:t>
      </w:r>
      <w:r w:rsidR="003F0C2B" w:rsidRPr="00155597">
        <w:t xml:space="preserve"> (SSOCS:18 only)</w:t>
      </w:r>
      <w:r w:rsidR="002E789F" w:rsidRPr="00155597">
        <w:t xml:space="preserve">. </w:t>
      </w:r>
      <w:r w:rsidRPr="00155597">
        <w:t>The purpose of this mailing is to provide districts with information about the survey and to inform them about the questionnaires being mailed to sampled schools in their district. It is not designed to ask for permission</w:t>
      </w:r>
      <w:r w:rsidR="006927A7" w:rsidRPr="00155597">
        <w:t>;</w:t>
      </w:r>
      <w:r w:rsidRPr="00155597">
        <w:t xml:space="preserve"> rather, </w:t>
      </w:r>
      <w:r w:rsidR="006927A7" w:rsidRPr="00155597">
        <w:t>it</w:t>
      </w:r>
      <w:r w:rsidRPr="00155597">
        <w:t xml:space="preserve"> is designed as a vehicle to help enhance participation. All materials sent to the CSSOs will be personalized using contact information from the CSSO website</w:t>
      </w:r>
      <w:r w:rsidR="002E789F" w:rsidRPr="00155597">
        <w:t xml:space="preserve">. </w:t>
      </w:r>
      <w:r w:rsidRPr="00155597">
        <w:t>Copies of the</w:t>
      </w:r>
      <w:r w:rsidR="00B644F3" w:rsidRPr="00155597">
        <w:t xml:space="preserve"> </w:t>
      </w:r>
      <w:r w:rsidR="00C316D6" w:rsidRPr="00155597">
        <w:t xml:space="preserve">letters </w:t>
      </w:r>
      <w:r w:rsidR="003F0C2B" w:rsidRPr="00155597">
        <w:t xml:space="preserve">and materials sent </w:t>
      </w:r>
      <w:r w:rsidR="00C316D6" w:rsidRPr="00155597">
        <w:t>to the superintendents/</w:t>
      </w:r>
      <w:r w:rsidRPr="00155597">
        <w:t xml:space="preserve">CSSOs are included in </w:t>
      </w:r>
      <w:r w:rsidR="000A15CC" w:rsidRPr="00155597">
        <w:t>a</w:t>
      </w:r>
      <w:r w:rsidR="00892B7A" w:rsidRPr="00155597">
        <w:t>ppendix A</w:t>
      </w:r>
      <w:r w:rsidR="002E789F" w:rsidRPr="00155597">
        <w:t>.</w:t>
      </w:r>
    </w:p>
    <w:p w14:paraId="7A9A853F" w14:textId="725E64A4" w:rsidR="007C6F40" w:rsidRPr="00155597" w:rsidRDefault="003F0C2B" w:rsidP="00E103F7">
      <w:pPr>
        <w:pStyle w:val="AbtHeadC"/>
        <w:keepLines w:val="0"/>
        <w:spacing w:after="120" w:line="240" w:lineRule="auto"/>
        <w:rPr>
          <w:rFonts w:ascii="Times New Roman" w:hAnsi="Times New Roman"/>
          <w:bCs/>
          <w:sz w:val="24"/>
          <w:szCs w:val="24"/>
        </w:rPr>
      </w:pPr>
      <w:r w:rsidRPr="00155597">
        <w:rPr>
          <w:rFonts w:ascii="Times New Roman" w:hAnsi="Times New Roman"/>
          <w:bCs/>
          <w:sz w:val="24"/>
          <w:szCs w:val="24"/>
        </w:rPr>
        <w:t>Mailouts</w:t>
      </w:r>
    </w:p>
    <w:p w14:paraId="48C65086" w14:textId="75C0E19A" w:rsidR="003F0C2B" w:rsidRPr="00155597" w:rsidRDefault="003F0C2B" w:rsidP="003F0C2B">
      <w:pPr>
        <w:spacing w:after="120"/>
      </w:pPr>
      <w:bookmarkStart w:id="17" w:name="_Hlk3315492"/>
      <w:r w:rsidRPr="00155597">
        <w:t xml:space="preserve">SSOCS:2018 will be conducted </w:t>
      </w:r>
      <w:r w:rsidR="004265D4" w:rsidRPr="00155597">
        <w:t xml:space="preserve">primarily </w:t>
      </w:r>
      <w:r w:rsidRPr="00155597">
        <w:t xml:space="preserve">by mail and will include a modal experiment with a web-based version of the instrument. SSOCS:2020 will be conducted </w:t>
      </w:r>
      <w:r w:rsidR="004265D4" w:rsidRPr="00155597">
        <w:t xml:space="preserve">primarily </w:t>
      </w:r>
      <w:r w:rsidRPr="00155597">
        <w:t xml:space="preserve">via the web-based survey instrument. A clerical operation prior to data collection will obtain e-mail addresses for all of the sampled principals, and these e-mails will be used to contact </w:t>
      </w:r>
      <w:r w:rsidR="00136A46" w:rsidRPr="00155597">
        <w:t xml:space="preserve">the </w:t>
      </w:r>
      <w:r w:rsidRPr="00155597">
        <w:t xml:space="preserve">principals throughout </w:t>
      </w:r>
      <w:r w:rsidR="004E5ADE" w:rsidRPr="00155597">
        <w:t xml:space="preserve">the </w:t>
      </w:r>
      <w:r w:rsidRPr="00155597">
        <w:t xml:space="preserve">data collection. Both collections will </w:t>
      </w:r>
      <w:r w:rsidR="006B6FAB" w:rsidRPr="00155597">
        <w:t xml:space="preserve">use both mail and e-mail to </w:t>
      </w:r>
      <w:r w:rsidRPr="00155597">
        <w:t xml:space="preserve">distribute instructions </w:t>
      </w:r>
      <w:r w:rsidR="006B6FAB" w:rsidRPr="00155597">
        <w:t xml:space="preserve">on how </w:t>
      </w:r>
      <w:r w:rsidRPr="00155597">
        <w:t>to complete the web questionnaire</w:t>
      </w:r>
      <w:r w:rsidR="006B6FAB" w:rsidRPr="00155597">
        <w:t>,</w:t>
      </w:r>
      <w:r w:rsidRPr="00155597">
        <w:t xml:space="preserve"> with paper questionnaires introduced in follow-up mailings. Sampled principals will receive as many as four mailings, as needed, throughout the collection period, and principals who have completed their questionnaire prior to subsequent mailing(s) will be excluded from those mailouts.</w:t>
      </w:r>
    </w:p>
    <w:bookmarkEnd w:id="17"/>
    <w:p w14:paraId="1D8CA229" w14:textId="77777777" w:rsidR="00DA49BB" w:rsidRPr="00155597" w:rsidRDefault="00DA49BB" w:rsidP="00DA49BB">
      <w:pPr>
        <w:pStyle w:val="BodyText"/>
        <w:rPr>
          <w:u w:val="single"/>
        </w:rPr>
      </w:pPr>
      <w:r w:rsidRPr="00155597">
        <w:rPr>
          <w:u w:val="single"/>
        </w:rPr>
        <w:t>SSOCS:2018</w:t>
      </w:r>
    </w:p>
    <w:p w14:paraId="4F284BA3" w14:textId="23E7E0B1" w:rsidR="004030F4" w:rsidRPr="00155597" w:rsidRDefault="007E4669" w:rsidP="00580E0A">
      <w:pPr>
        <w:pStyle w:val="L1-FlLSp12"/>
        <w:tabs>
          <w:tab w:val="clear" w:pos="1152"/>
        </w:tabs>
        <w:spacing w:after="120" w:line="240" w:lineRule="auto"/>
        <w:rPr>
          <w:rFonts w:ascii="Times New Roman" w:hAnsi="Times New Roman"/>
          <w:szCs w:val="24"/>
        </w:rPr>
      </w:pPr>
      <w:r w:rsidRPr="00155597">
        <w:rPr>
          <w:rFonts w:ascii="Times New Roman" w:hAnsi="Times New Roman"/>
          <w:szCs w:val="24"/>
        </w:rPr>
        <w:t>SSOCS:2018</w:t>
      </w:r>
      <w:r w:rsidR="003F0C2B" w:rsidRPr="00155597">
        <w:rPr>
          <w:rFonts w:ascii="Times New Roman" w:hAnsi="Times New Roman"/>
          <w:szCs w:val="24"/>
        </w:rPr>
        <w:t xml:space="preserve"> </w:t>
      </w:r>
      <w:r w:rsidR="004A2CE6" w:rsidRPr="00155597">
        <w:rPr>
          <w:rFonts w:ascii="Times New Roman" w:hAnsi="Times New Roman"/>
          <w:szCs w:val="24"/>
        </w:rPr>
        <w:t>will include a</w:t>
      </w:r>
      <w:r w:rsidR="0041574D" w:rsidRPr="00155597">
        <w:rPr>
          <w:rFonts w:ascii="Times New Roman" w:hAnsi="Times New Roman"/>
          <w:szCs w:val="24"/>
        </w:rPr>
        <w:t xml:space="preserve"> </w:t>
      </w:r>
      <w:r w:rsidR="005F7AB6" w:rsidRPr="00155597">
        <w:rPr>
          <w:rFonts w:ascii="Times New Roman" w:hAnsi="Times New Roman"/>
          <w:szCs w:val="24"/>
        </w:rPr>
        <w:t xml:space="preserve">web </w:t>
      </w:r>
      <w:r w:rsidR="004A2CE6" w:rsidRPr="00155597">
        <w:rPr>
          <w:rFonts w:ascii="Times New Roman" w:hAnsi="Times New Roman"/>
          <w:szCs w:val="24"/>
        </w:rPr>
        <w:t>experiment</w:t>
      </w:r>
      <w:r w:rsidR="0041574D" w:rsidRPr="00155597">
        <w:rPr>
          <w:rFonts w:ascii="Times New Roman" w:hAnsi="Times New Roman"/>
          <w:szCs w:val="24"/>
        </w:rPr>
        <w:t xml:space="preserve"> and an incentive experiment. The </w:t>
      </w:r>
      <w:r w:rsidR="005F7AB6" w:rsidRPr="00155597">
        <w:rPr>
          <w:rFonts w:ascii="Times New Roman" w:hAnsi="Times New Roman"/>
          <w:szCs w:val="24"/>
        </w:rPr>
        <w:t>web</w:t>
      </w:r>
      <w:r w:rsidR="004A2CE6" w:rsidRPr="00155597">
        <w:rPr>
          <w:rFonts w:ascii="Times New Roman" w:hAnsi="Times New Roman"/>
          <w:szCs w:val="24"/>
        </w:rPr>
        <w:t xml:space="preserve"> experiment will be designed to test the efficacy of offering </w:t>
      </w:r>
      <w:r w:rsidR="005F7AB6" w:rsidRPr="00155597">
        <w:rPr>
          <w:rFonts w:ascii="Times New Roman" w:hAnsi="Times New Roman"/>
          <w:szCs w:val="24"/>
        </w:rPr>
        <w:t xml:space="preserve">a web </w:t>
      </w:r>
      <w:r w:rsidR="004A2CE6" w:rsidRPr="00155597">
        <w:rPr>
          <w:rFonts w:ascii="Times New Roman" w:hAnsi="Times New Roman"/>
          <w:szCs w:val="24"/>
        </w:rPr>
        <w:t xml:space="preserve">response option as the initial mode of data collection, as in the 2015–16 NTPS Schools and Principals Internet Study. </w:t>
      </w:r>
      <w:r w:rsidR="00ED1926" w:rsidRPr="00155597">
        <w:rPr>
          <w:rFonts w:ascii="Times New Roman" w:hAnsi="Times New Roman"/>
          <w:szCs w:val="24"/>
        </w:rPr>
        <w:t xml:space="preserve">A </w:t>
      </w:r>
      <w:r w:rsidR="00D54720" w:rsidRPr="00155597">
        <w:rPr>
          <w:rFonts w:ascii="Times New Roman" w:hAnsi="Times New Roman"/>
          <w:szCs w:val="24"/>
        </w:rPr>
        <w:t>subsample of schools will be randomly selected (</w:t>
      </w:r>
      <w:r w:rsidR="00C945AD" w:rsidRPr="00155597">
        <w:rPr>
          <w:rFonts w:ascii="Times New Roman" w:hAnsi="Times New Roman"/>
          <w:szCs w:val="24"/>
        </w:rPr>
        <w:t xml:space="preserve">using </w:t>
      </w:r>
      <w:r w:rsidR="00D54720" w:rsidRPr="00155597">
        <w:rPr>
          <w:rFonts w:ascii="Times New Roman" w:hAnsi="Times New Roman"/>
          <w:szCs w:val="24"/>
        </w:rPr>
        <w:t xml:space="preserve">the </w:t>
      </w:r>
      <w:r w:rsidR="00C945AD" w:rsidRPr="00155597">
        <w:rPr>
          <w:rFonts w:ascii="Times New Roman" w:hAnsi="Times New Roman"/>
          <w:szCs w:val="24"/>
        </w:rPr>
        <w:t xml:space="preserve">same </w:t>
      </w:r>
      <w:r w:rsidR="00D54720" w:rsidRPr="00155597">
        <w:rPr>
          <w:rFonts w:ascii="Times New Roman" w:hAnsi="Times New Roman"/>
          <w:szCs w:val="24"/>
        </w:rPr>
        <w:t xml:space="preserve">sample design </w:t>
      </w:r>
      <w:r w:rsidR="00C945AD" w:rsidRPr="00155597">
        <w:rPr>
          <w:rFonts w:ascii="Times New Roman" w:hAnsi="Times New Roman"/>
          <w:szCs w:val="24"/>
        </w:rPr>
        <w:t xml:space="preserve">as </w:t>
      </w:r>
      <w:r w:rsidR="00D54720" w:rsidRPr="00155597">
        <w:rPr>
          <w:rFonts w:ascii="Times New Roman" w:hAnsi="Times New Roman"/>
          <w:szCs w:val="24"/>
        </w:rPr>
        <w:t xml:space="preserve">the paper sample) to be </w:t>
      </w:r>
      <w:r w:rsidR="00C945AD" w:rsidRPr="00155597">
        <w:rPr>
          <w:rFonts w:ascii="Times New Roman" w:hAnsi="Times New Roman"/>
          <w:szCs w:val="24"/>
        </w:rPr>
        <w:t xml:space="preserve">included </w:t>
      </w:r>
      <w:r w:rsidR="00D54720" w:rsidRPr="00155597">
        <w:rPr>
          <w:rFonts w:ascii="Times New Roman" w:hAnsi="Times New Roman"/>
          <w:szCs w:val="24"/>
        </w:rPr>
        <w:t>in the experimental</w:t>
      </w:r>
      <w:r w:rsidR="0037559F" w:rsidRPr="00155597">
        <w:rPr>
          <w:rFonts w:ascii="Times New Roman" w:hAnsi="Times New Roman"/>
          <w:szCs w:val="24"/>
        </w:rPr>
        <w:t xml:space="preserve"> (web)</w:t>
      </w:r>
      <w:r w:rsidR="00D54720" w:rsidRPr="00155597">
        <w:rPr>
          <w:rFonts w:ascii="Times New Roman" w:hAnsi="Times New Roman"/>
          <w:szCs w:val="24"/>
        </w:rPr>
        <w:t xml:space="preserve"> treatment</w:t>
      </w:r>
      <w:r w:rsidR="0037559F" w:rsidRPr="00155597">
        <w:rPr>
          <w:rFonts w:ascii="Times New Roman" w:hAnsi="Times New Roman"/>
          <w:szCs w:val="24"/>
        </w:rPr>
        <w:t xml:space="preserve"> at the time of sampling</w:t>
      </w:r>
      <w:r w:rsidR="003D0F9B" w:rsidRPr="00155597">
        <w:rPr>
          <w:rFonts w:ascii="Times New Roman" w:hAnsi="Times New Roman"/>
          <w:szCs w:val="24"/>
        </w:rPr>
        <w:t xml:space="preserve">. </w:t>
      </w:r>
      <w:r w:rsidR="0041574D" w:rsidRPr="00155597">
        <w:rPr>
          <w:rFonts w:ascii="Times New Roman" w:hAnsi="Times New Roman"/>
          <w:szCs w:val="24"/>
        </w:rPr>
        <w:t xml:space="preserve">Additionally, </w:t>
      </w:r>
      <w:r w:rsidR="00E6591F" w:rsidRPr="00155597">
        <w:rPr>
          <w:rFonts w:ascii="Times New Roman" w:hAnsi="Times New Roman"/>
          <w:szCs w:val="24"/>
        </w:rPr>
        <w:t xml:space="preserve">a </w:t>
      </w:r>
      <w:r w:rsidR="0041574D" w:rsidRPr="00155597">
        <w:rPr>
          <w:rFonts w:ascii="Times New Roman" w:hAnsi="Times New Roman"/>
          <w:szCs w:val="24"/>
        </w:rPr>
        <w:t xml:space="preserve">$10 </w:t>
      </w:r>
      <w:r w:rsidR="00E6591F" w:rsidRPr="00155597">
        <w:rPr>
          <w:rFonts w:ascii="Times New Roman" w:hAnsi="Times New Roman"/>
          <w:szCs w:val="24"/>
        </w:rPr>
        <w:t>cash</w:t>
      </w:r>
      <w:r w:rsidR="0041574D" w:rsidRPr="00155597">
        <w:rPr>
          <w:rFonts w:ascii="Times New Roman" w:hAnsi="Times New Roman"/>
          <w:szCs w:val="24"/>
        </w:rPr>
        <w:t xml:space="preserve"> incentive will be included </w:t>
      </w:r>
      <w:r w:rsidR="00D84C79" w:rsidRPr="00155597">
        <w:rPr>
          <w:rFonts w:ascii="Times New Roman" w:hAnsi="Times New Roman"/>
          <w:szCs w:val="24"/>
        </w:rPr>
        <w:t xml:space="preserve">in the </w:t>
      </w:r>
      <w:r w:rsidR="0041574D" w:rsidRPr="00155597">
        <w:rPr>
          <w:rFonts w:ascii="Times New Roman" w:hAnsi="Times New Roman"/>
          <w:szCs w:val="24"/>
        </w:rPr>
        <w:t xml:space="preserve">initial mailout to half </w:t>
      </w:r>
      <w:r w:rsidR="00C945AD" w:rsidRPr="00155597">
        <w:rPr>
          <w:rFonts w:ascii="Times New Roman" w:hAnsi="Times New Roman"/>
          <w:szCs w:val="24"/>
        </w:rPr>
        <w:t xml:space="preserve">of </w:t>
      </w:r>
      <w:r w:rsidR="0041574D" w:rsidRPr="00155597">
        <w:rPr>
          <w:rFonts w:ascii="Times New Roman" w:hAnsi="Times New Roman"/>
          <w:szCs w:val="24"/>
        </w:rPr>
        <w:t>the sample</w:t>
      </w:r>
      <w:r w:rsidR="00D84C79" w:rsidRPr="00155597">
        <w:rPr>
          <w:rFonts w:ascii="Times New Roman" w:hAnsi="Times New Roman"/>
          <w:szCs w:val="24"/>
        </w:rPr>
        <w:t xml:space="preserve"> (half of the paper treatment and half of the web treatment)</w:t>
      </w:r>
      <w:r w:rsidR="0041574D" w:rsidRPr="00155597">
        <w:rPr>
          <w:rFonts w:ascii="Times New Roman" w:hAnsi="Times New Roman"/>
          <w:szCs w:val="24"/>
        </w:rPr>
        <w:t xml:space="preserve"> in order to determine the effectiveness of incentivizing respondents to complete the questionnaire.</w:t>
      </w:r>
    </w:p>
    <w:p w14:paraId="0F595BC7" w14:textId="21BDEFE4" w:rsidR="00D132F6" w:rsidRPr="00155597" w:rsidRDefault="00A72392" w:rsidP="00580E0A">
      <w:pPr>
        <w:spacing w:after="120"/>
      </w:pPr>
      <w:r w:rsidRPr="00155597">
        <w:t xml:space="preserve">The initial mailout </w:t>
      </w:r>
      <w:r w:rsidR="00D132F6" w:rsidRPr="00155597">
        <w:t>is</w:t>
      </w:r>
      <w:r w:rsidRPr="00155597">
        <w:t xml:space="preserve"> scheduled for late February 2018</w:t>
      </w:r>
      <w:r w:rsidR="00D84C79" w:rsidRPr="00155597">
        <w:t xml:space="preserve">, and the second mailout is scheduled for March 2018. </w:t>
      </w:r>
      <w:r w:rsidR="00D132F6" w:rsidRPr="00155597">
        <w:t xml:space="preserve">The principal will be asked to complete the questionnaire—or to have it completed by the person at the school who is the most knowledgeable about school crime and safety—within </w:t>
      </w:r>
      <w:r w:rsidR="00C945AD" w:rsidRPr="00155597">
        <w:t xml:space="preserve">2 </w:t>
      </w:r>
      <w:r w:rsidR="00D132F6" w:rsidRPr="00155597">
        <w:t xml:space="preserve">weeks of receipt of the questionnaire. </w:t>
      </w:r>
      <w:r w:rsidR="00D84C79" w:rsidRPr="00155597">
        <w:t>Principals who have completed their questionnaire prior to the second mailout will be excluded from the second mailout.</w:t>
      </w:r>
    </w:p>
    <w:p w14:paraId="5987AB61" w14:textId="315F7FAA" w:rsidR="004030F4" w:rsidRPr="00155597" w:rsidRDefault="00A72392" w:rsidP="00580E0A">
      <w:pPr>
        <w:spacing w:after="120"/>
      </w:pPr>
      <w:r w:rsidRPr="00155597">
        <w:t>The mailing</w:t>
      </w:r>
      <w:r w:rsidR="00DE42F1" w:rsidRPr="00155597">
        <w:t>s</w:t>
      </w:r>
      <w:r w:rsidRPr="00155597">
        <w:t xml:space="preserve"> for the paper respondents will include a </w:t>
      </w:r>
      <w:r w:rsidR="002C1BE3" w:rsidRPr="00155597">
        <w:t xml:space="preserve">paper questionnaire and a </w:t>
      </w:r>
      <w:r w:rsidRPr="00155597">
        <w:t xml:space="preserve">postage-paid return envelope, as well as a personalized cover letter that will </w:t>
      </w:r>
      <w:r w:rsidR="00411563" w:rsidRPr="00155597">
        <w:t>provide</w:t>
      </w:r>
      <w:r w:rsidRPr="00155597">
        <w:t xml:space="preserve"> the toll-free number at the Census Bureau, </w:t>
      </w:r>
      <w:r w:rsidR="00D132F6" w:rsidRPr="00155597">
        <w:t>the SSOCS e</w:t>
      </w:r>
      <w:r w:rsidR="00C945AD" w:rsidRPr="00155597">
        <w:t>-</w:t>
      </w:r>
      <w:r w:rsidR="00D132F6" w:rsidRPr="00155597">
        <w:t xml:space="preserve">mail address, and the </w:t>
      </w:r>
      <w:r w:rsidRPr="00155597">
        <w:t>hours of operation</w:t>
      </w:r>
      <w:r w:rsidR="00D132F6" w:rsidRPr="00155597">
        <w:t>.</w:t>
      </w:r>
    </w:p>
    <w:p w14:paraId="1119ACAE" w14:textId="07CE9C7F" w:rsidR="004030F4" w:rsidRPr="00155597" w:rsidRDefault="00A72392" w:rsidP="00831021">
      <w:pPr>
        <w:pStyle w:val="L1-FlLSp12"/>
        <w:tabs>
          <w:tab w:val="clear" w:pos="1152"/>
        </w:tabs>
        <w:spacing w:after="120" w:line="240" w:lineRule="auto"/>
        <w:rPr>
          <w:rFonts w:ascii="Times New Roman" w:hAnsi="Times New Roman"/>
          <w:szCs w:val="24"/>
        </w:rPr>
      </w:pPr>
      <w:r w:rsidRPr="00155597">
        <w:rPr>
          <w:rFonts w:ascii="Times New Roman" w:hAnsi="Times New Roman"/>
          <w:szCs w:val="24"/>
        </w:rPr>
        <w:t xml:space="preserve">The </w:t>
      </w:r>
      <w:r w:rsidR="00D132F6" w:rsidRPr="00155597">
        <w:rPr>
          <w:rFonts w:ascii="Times New Roman" w:hAnsi="Times New Roman"/>
          <w:szCs w:val="24"/>
        </w:rPr>
        <w:t>mailing</w:t>
      </w:r>
      <w:r w:rsidR="00DE42F1" w:rsidRPr="00155597">
        <w:rPr>
          <w:rFonts w:ascii="Times New Roman" w:hAnsi="Times New Roman"/>
          <w:szCs w:val="24"/>
        </w:rPr>
        <w:t>s</w:t>
      </w:r>
      <w:r w:rsidRPr="00155597">
        <w:rPr>
          <w:rFonts w:ascii="Times New Roman" w:hAnsi="Times New Roman"/>
          <w:szCs w:val="24"/>
        </w:rPr>
        <w:t xml:space="preserve"> for the s</w:t>
      </w:r>
      <w:r w:rsidR="00EF1A39" w:rsidRPr="00155597">
        <w:rPr>
          <w:rFonts w:ascii="Times New Roman" w:hAnsi="Times New Roman"/>
          <w:szCs w:val="24"/>
        </w:rPr>
        <w:t>chools selected for the web experiment</w:t>
      </w:r>
      <w:r w:rsidR="00D132F6" w:rsidRPr="00155597">
        <w:rPr>
          <w:rFonts w:ascii="Times New Roman" w:hAnsi="Times New Roman"/>
          <w:szCs w:val="24"/>
        </w:rPr>
        <w:t xml:space="preserve"> will include a personalized letter containing the survey URL and a unique UserID for accessing the survey online. The letter </w:t>
      </w:r>
      <w:r w:rsidR="004818BE" w:rsidRPr="00155597">
        <w:rPr>
          <w:rFonts w:ascii="Times New Roman" w:hAnsi="Times New Roman"/>
          <w:szCs w:val="24"/>
        </w:rPr>
        <w:t xml:space="preserve">will </w:t>
      </w:r>
      <w:r w:rsidR="00D132F6" w:rsidRPr="00155597">
        <w:rPr>
          <w:rFonts w:ascii="Times New Roman" w:hAnsi="Times New Roman"/>
          <w:szCs w:val="24"/>
        </w:rPr>
        <w:t xml:space="preserve">also include the Census Bureau contact information and hours of operation. </w:t>
      </w:r>
      <w:r w:rsidR="004B3CAC" w:rsidRPr="00155597">
        <w:rPr>
          <w:rFonts w:ascii="Times New Roman" w:hAnsi="Times New Roman"/>
          <w:szCs w:val="24"/>
        </w:rPr>
        <w:t xml:space="preserve">A paper version of the questionnaire </w:t>
      </w:r>
      <w:r w:rsidR="00411563" w:rsidRPr="00155597">
        <w:rPr>
          <w:rFonts w:ascii="Times New Roman" w:hAnsi="Times New Roman"/>
          <w:szCs w:val="24"/>
        </w:rPr>
        <w:t>will</w:t>
      </w:r>
      <w:r w:rsidR="004B3CAC" w:rsidRPr="00155597">
        <w:rPr>
          <w:rFonts w:ascii="Times New Roman" w:hAnsi="Times New Roman"/>
          <w:szCs w:val="24"/>
        </w:rPr>
        <w:t xml:space="preserve"> be sent to </w:t>
      </w:r>
      <w:r w:rsidRPr="00155597">
        <w:rPr>
          <w:rFonts w:ascii="Times New Roman" w:hAnsi="Times New Roman"/>
          <w:szCs w:val="24"/>
        </w:rPr>
        <w:t>respondent</w:t>
      </w:r>
      <w:r w:rsidR="00F63D52" w:rsidRPr="00155597">
        <w:rPr>
          <w:rFonts w:ascii="Times New Roman" w:hAnsi="Times New Roman"/>
          <w:szCs w:val="24"/>
        </w:rPr>
        <w:t>s</w:t>
      </w:r>
      <w:r w:rsidRPr="00155597">
        <w:rPr>
          <w:rFonts w:ascii="Times New Roman" w:hAnsi="Times New Roman"/>
          <w:szCs w:val="24"/>
        </w:rPr>
        <w:t xml:space="preserve"> in the web experiment </w:t>
      </w:r>
      <w:r w:rsidR="004B3CAC" w:rsidRPr="00155597">
        <w:rPr>
          <w:rFonts w:ascii="Times New Roman" w:hAnsi="Times New Roman"/>
          <w:szCs w:val="24"/>
        </w:rPr>
        <w:t xml:space="preserve">upon </w:t>
      </w:r>
      <w:r w:rsidRPr="00155597">
        <w:rPr>
          <w:rFonts w:ascii="Times New Roman" w:hAnsi="Times New Roman"/>
          <w:szCs w:val="24"/>
        </w:rPr>
        <w:t xml:space="preserve">their </w:t>
      </w:r>
      <w:r w:rsidR="004B3CAC" w:rsidRPr="00155597">
        <w:rPr>
          <w:rFonts w:ascii="Times New Roman" w:hAnsi="Times New Roman"/>
          <w:szCs w:val="24"/>
        </w:rPr>
        <w:t>request.</w:t>
      </w:r>
    </w:p>
    <w:p w14:paraId="473F3C30" w14:textId="77777777" w:rsidR="00A4532F" w:rsidRDefault="00B64F14" w:rsidP="00831021">
      <w:pPr>
        <w:spacing w:after="120"/>
      </w:pPr>
      <w:r w:rsidRPr="00155597">
        <w:t xml:space="preserve">The </w:t>
      </w:r>
      <w:r w:rsidR="004818BE" w:rsidRPr="00155597">
        <w:t>p</w:t>
      </w:r>
      <w:r w:rsidR="005E0DD4" w:rsidRPr="00155597">
        <w:t xml:space="preserve">rincipals in the web experiment will receive </w:t>
      </w:r>
      <w:r w:rsidR="004818BE" w:rsidRPr="00155597">
        <w:t xml:space="preserve">an </w:t>
      </w:r>
      <w:r w:rsidR="005E0DD4" w:rsidRPr="00155597">
        <w:t>e</w:t>
      </w:r>
      <w:r w:rsidR="004818BE" w:rsidRPr="00155597">
        <w:t>-</w:t>
      </w:r>
      <w:r w:rsidR="005E0DD4" w:rsidRPr="00155597">
        <w:t>mail invitation that include</w:t>
      </w:r>
      <w:r w:rsidR="004818BE" w:rsidRPr="00155597">
        <w:t>s</w:t>
      </w:r>
      <w:r w:rsidR="005E0DD4" w:rsidRPr="00155597">
        <w:t xml:space="preserve"> a clickable URL to the web survey and log</w:t>
      </w:r>
      <w:r w:rsidR="004818BE" w:rsidRPr="00155597">
        <w:t>-</w:t>
      </w:r>
      <w:r w:rsidR="005E0DD4" w:rsidRPr="00155597">
        <w:t xml:space="preserve">in credentials around the </w:t>
      </w:r>
      <w:r w:rsidR="004818BE" w:rsidRPr="00155597">
        <w:t xml:space="preserve">time </w:t>
      </w:r>
      <w:r w:rsidR="005E0DD4" w:rsidRPr="00155597">
        <w:t xml:space="preserve">of the first </w:t>
      </w:r>
      <w:r w:rsidR="00D84C79" w:rsidRPr="00155597">
        <w:t xml:space="preserve">and second </w:t>
      </w:r>
      <w:r w:rsidR="005E0DD4" w:rsidRPr="00155597">
        <w:t>mailing</w:t>
      </w:r>
      <w:r w:rsidR="00D84C79" w:rsidRPr="00155597">
        <w:t>s</w:t>
      </w:r>
      <w:r w:rsidR="005E0DD4" w:rsidRPr="00155597">
        <w:t>.</w:t>
      </w:r>
    </w:p>
    <w:p w14:paraId="5F35D07D" w14:textId="36CBE5E4" w:rsidR="003F0C2B" w:rsidRPr="00155597" w:rsidRDefault="003F0C2B" w:rsidP="00831021">
      <w:pPr>
        <w:spacing w:after="120"/>
      </w:pPr>
      <w:r w:rsidRPr="00155597">
        <w:t>The third and fourth mailings for all respondents, regardless of whether they are in the web or paper treatment, will include a paper questionnaire, a postage-paid return envelope, and a personalized cover letter that will include the toll-free number at the Census Bureau, the SSOCS e-mail address, and the Census Bureau’s hours of operation. The third mailing will be the first time that respondents in the web experiment receive a paper questionnaire. Principals who have completed their questionnaire prior to these mailing(s) will be excluded from the mailouts.</w:t>
      </w:r>
    </w:p>
    <w:p w14:paraId="4C97EB9F" w14:textId="77777777" w:rsidR="00A4532F" w:rsidRDefault="005E0DD4" w:rsidP="00906F9C">
      <w:pPr>
        <w:pStyle w:val="L1-FlLSp12"/>
        <w:widowControl w:val="0"/>
        <w:tabs>
          <w:tab w:val="clear" w:pos="1152"/>
        </w:tabs>
        <w:spacing w:after="120" w:line="240" w:lineRule="auto"/>
        <w:rPr>
          <w:rFonts w:ascii="Times New Roman" w:hAnsi="Times New Roman"/>
          <w:szCs w:val="24"/>
        </w:rPr>
      </w:pPr>
      <w:r w:rsidRPr="00155597">
        <w:rPr>
          <w:rFonts w:ascii="Times New Roman" w:hAnsi="Times New Roman"/>
          <w:szCs w:val="24"/>
        </w:rPr>
        <w:t xml:space="preserve">Principals of all schools, regardless of whether the school was assigned to the web experiment, will be sent reminder e-mails, as appropriate, throughout the data collection period. </w:t>
      </w:r>
      <w:r w:rsidR="00DE42F1" w:rsidRPr="00155597">
        <w:rPr>
          <w:rFonts w:ascii="Times New Roman" w:hAnsi="Times New Roman"/>
          <w:szCs w:val="24"/>
        </w:rPr>
        <w:t>E-mails will be personalized and sent to individual respondents.</w:t>
      </w:r>
      <w:r w:rsidR="00F90338" w:rsidRPr="00155597">
        <w:rPr>
          <w:rFonts w:ascii="Times New Roman" w:hAnsi="Times New Roman"/>
          <w:szCs w:val="24"/>
        </w:rPr>
        <w:t xml:space="preserve"> </w:t>
      </w:r>
      <w:r w:rsidR="00B941CA" w:rsidRPr="00155597">
        <w:rPr>
          <w:rFonts w:ascii="Times New Roman" w:hAnsi="Times New Roman"/>
          <w:szCs w:val="24"/>
        </w:rPr>
        <w:t>For the fourth follow-up email</w:t>
      </w:r>
      <w:r w:rsidR="00F90338" w:rsidRPr="00155597">
        <w:rPr>
          <w:rFonts w:ascii="Times New Roman" w:hAnsi="Times New Roman"/>
          <w:szCs w:val="24"/>
        </w:rPr>
        <w:t xml:space="preserve">, all nonrespondents (including the </w:t>
      </w:r>
      <w:r w:rsidR="00B77462" w:rsidRPr="00155597">
        <w:rPr>
          <w:rFonts w:ascii="Times New Roman" w:hAnsi="Times New Roman"/>
          <w:szCs w:val="24"/>
        </w:rPr>
        <w:t xml:space="preserve">paper treatment) will receive an </w:t>
      </w:r>
      <w:r w:rsidR="00F90338" w:rsidRPr="00155597">
        <w:rPr>
          <w:rFonts w:ascii="Times New Roman" w:hAnsi="Times New Roman"/>
          <w:szCs w:val="24"/>
        </w:rPr>
        <w:t>email including the link to the survey and the User ID.</w:t>
      </w:r>
      <w:r w:rsidR="00B941CA" w:rsidRPr="00155597">
        <w:rPr>
          <w:rFonts w:ascii="Times New Roman" w:hAnsi="Times New Roman"/>
          <w:szCs w:val="24"/>
        </w:rPr>
        <w:t xml:space="preserve"> Providing the web option to the paper treatment is an effort to continue to boost the overall response rate of the survey.</w:t>
      </w:r>
    </w:p>
    <w:p w14:paraId="55535812" w14:textId="5FF4C78A" w:rsidR="00DA49BB" w:rsidRPr="00155597" w:rsidRDefault="00DA49BB" w:rsidP="00DA49BB">
      <w:pPr>
        <w:spacing w:after="120"/>
        <w:rPr>
          <w:u w:val="single"/>
        </w:rPr>
      </w:pPr>
      <w:r w:rsidRPr="00155597">
        <w:rPr>
          <w:u w:val="single"/>
        </w:rPr>
        <w:t>SSOCS:2020</w:t>
      </w:r>
    </w:p>
    <w:p w14:paraId="0D101D69" w14:textId="77777777" w:rsidR="00A4532F" w:rsidRDefault="00DA49BB" w:rsidP="00906F9C">
      <w:pPr>
        <w:pStyle w:val="L1-FlLSp12"/>
        <w:tabs>
          <w:tab w:val="clear" w:pos="1152"/>
        </w:tabs>
        <w:spacing w:after="120" w:line="240" w:lineRule="auto"/>
        <w:rPr>
          <w:rFonts w:ascii="Times New Roman" w:hAnsi="Times New Roman"/>
          <w:szCs w:val="24"/>
        </w:rPr>
      </w:pPr>
      <w:r w:rsidRPr="00155597">
        <w:rPr>
          <w:rFonts w:ascii="Times New Roman" w:hAnsi="Times New Roman"/>
          <w:szCs w:val="24"/>
        </w:rPr>
        <w:t xml:space="preserve">SSOCS:2020 will be conducted </w:t>
      </w:r>
      <w:r w:rsidR="004265D4" w:rsidRPr="00155597">
        <w:rPr>
          <w:rFonts w:ascii="Times New Roman" w:hAnsi="Times New Roman"/>
          <w:szCs w:val="24"/>
        </w:rPr>
        <w:t xml:space="preserve">primarily </w:t>
      </w:r>
      <w:r w:rsidRPr="00155597">
        <w:rPr>
          <w:rFonts w:ascii="Times New Roman" w:hAnsi="Times New Roman"/>
          <w:szCs w:val="24"/>
        </w:rPr>
        <w:t>by the web-based survey instrument, with instructions to complete the questionnaire distributed to respondents by both mail and e-mail. It will include a modal experiment to test a navigation menu within the web instrument.</w:t>
      </w:r>
    </w:p>
    <w:p w14:paraId="767E8361" w14:textId="77777777" w:rsidR="00A4532F" w:rsidRDefault="00DA49BB" w:rsidP="00906F9C">
      <w:pPr>
        <w:pStyle w:val="L1-FlLSp12"/>
        <w:tabs>
          <w:tab w:val="clear" w:pos="1152"/>
        </w:tabs>
        <w:spacing w:after="120" w:line="240" w:lineRule="auto"/>
        <w:rPr>
          <w:rFonts w:ascii="Times New Roman" w:hAnsi="Times New Roman"/>
        </w:rPr>
      </w:pPr>
      <w:r w:rsidRPr="00155597">
        <w:rPr>
          <w:rFonts w:ascii="Times New Roman" w:hAnsi="Times New Roman"/>
        </w:rPr>
        <w:t xml:space="preserve">SSOCS:2020 will also build </w:t>
      </w:r>
      <w:r w:rsidR="005A0342" w:rsidRPr="00155597">
        <w:rPr>
          <w:rFonts w:ascii="Times New Roman" w:hAnsi="Times New Roman"/>
        </w:rPr>
        <w:t>on</w:t>
      </w:r>
      <w:r w:rsidRPr="00155597">
        <w:rPr>
          <w:rFonts w:ascii="Times New Roman" w:hAnsi="Times New Roman"/>
        </w:rPr>
        <w:t xml:space="preserve"> the SSOCS:2018 incentive experiment described above and will include two incentive treatment groups. Schools in the “early incentive” treatment group will receive a $10 cash incentive at the first contact by mail. Schools in the “delayed incentive” treatment group will not receive an incentive in the first two mail contacts </w:t>
      </w:r>
      <w:r w:rsidR="004265D4" w:rsidRPr="00155597">
        <w:rPr>
          <w:rFonts w:ascii="Times New Roman" w:hAnsi="Times New Roman"/>
        </w:rPr>
        <w:t>but</w:t>
      </w:r>
      <w:r w:rsidRPr="00155597">
        <w:rPr>
          <w:rFonts w:ascii="Times New Roman" w:hAnsi="Times New Roman"/>
        </w:rPr>
        <w:t xml:space="preserve"> will receive a $10 cash incentive during the third mail contact. Both treatment groups will be evaluated against the control group, which will not receive any incentive.</w:t>
      </w:r>
    </w:p>
    <w:p w14:paraId="3718E574" w14:textId="77777777" w:rsidR="00A4532F" w:rsidRDefault="00DA49BB" w:rsidP="00906F9C">
      <w:pPr>
        <w:spacing w:after="120"/>
      </w:pPr>
      <w:bookmarkStart w:id="18" w:name="_Hlk3326779"/>
      <w:r w:rsidRPr="00155597">
        <w:t xml:space="preserve">The initial mailout is scheduled for mid-February 2020, and the second mailout is scheduled for March 2020. The principal will be asked to complete the questionnaire—or to have it completed by the person at the school who is the most knowledgeable about school crime and safety—within 2 weeks of receipt. Both mailings will include a personalized letter containing the survey URL and a unique UserID </w:t>
      </w:r>
      <w:r w:rsidR="004D5F8E" w:rsidRPr="00155597">
        <w:t>to</w:t>
      </w:r>
      <w:r w:rsidRPr="00155597">
        <w:t xml:space="preserve"> access the survey online. The letter will also include Census Bureau contact information</w:t>
      </w:r>
      <w:r w:rsidR="004D5F8E" w:rsidRPr="00155597">
        <w:t xml:space="preserve"> and</w:t>
      </w:r>
      <w:r w:rsidRPr="00155597">
        <w:t xml:space="preserve"> answers to FAQs. </w:t>
      </w:r>
      <w:r w:rsidR="004D5F8E" w:rsidRPr="00155597">
        <w:t>In addition, the</w:t>
      </w:r>
      <w:r w:rsidRPr="00155597">
        <w:t xml:space="preserve"> mailing will include a one-page endorsement insert, which will display the names and logos of all SSOCS endorsing agencies. Finally, schools in the “early incentive” treatment will </w:t>
      </w:r>
      <w:r w:rsidR="00780CF6">
        <w:t>receive</w:t>
      </w:r>
      <w:r w:rsidRPr="00155597">
        <w:t xml:space="preserve"> $10 cash adhered to a brightly</w:t>
      </w:r>
      <w:r w:rsidR="00965F70" w:rsidRPr="00155597">
        <w:t xml:space="preserve"> </w:t>
      </w:r>
      <w:r w:rsidRPr="00155597">
        <w:t>colored incentive insert in their initial mailout package.</w:t>
      </w:r>
    </w:p>
    <w:bookmarkEnd w:id="18"/>
    <w:p w14:paraId="70C62844" w14:textId="77777777" w:rsidR="00A4532F" w:rsidRDefault="00DA49BB" w:rsidP="00906F9C">
      <w:pPr>
        <w:pStyle w:val="L1-FlLSp12"/>
        <w:tabs>
          <w:tab w:val="clear" w:pos="1152"/>
        </w:tabs>
        <w:spacing w:after="120" w:line="240" w:lineRule="auto"/>
        <w:rPr>
          <w:rFonts w:ascii="Times New Roman" w:hAnsi="Times New Roman"/>
        </w:rPr>
      </w:pPr>
      <w:r w:rsidRPr="00155597">
        <w:rPr>
          <w:rFonts w:ascii="Times New Roman" w:hAnsi="Times New Roman"/>
        </w:rPr>
        <w:t>The third and fourth mailings (</w:t>
      </w:r>
      <w:r w:rsidR="00965F70" w:rsidRPr="00155597">
        <w:rPr>
          <w:rFonts w:ascii="Times New Roman" w:hAnsi="Times New Roman"/>
        </w:rPr>
        <w:t xml:space="preserve">in </w:t>
      </w:r>
      <w:r w:rsidRPr="00155597">
        <w:rPr>
          <w:rFonts w:ascii="Times New Roman" w:hAnsi="Times New Roman"/>
        </w:rPr>
        <w:t>March and April, respectively) will include a paper questionnaire, a postage-paid return envelope, and a personalized cover letter that will include the toll-free number at the Census Bureau and the SSOCS e-mail address. The third mailing will be the first time that respondents receive a paper questionnaire. Schools in the “delayed incentive” treatment group will also receive their $10 cash incentive adhered to a brightly</w:t>
      </w:r>
      <w:r w:rsidR="00965F70" w:rsidRPr="00155597">
        <w:rPr>
          <w:rFonts w:ascii="Times New Roman" w:hAnsi="Times New Roman"/>
        </w:rPr>
        <w:t xml:space="preserve"> </w:t>
      </w:r>
      <w:r w:rsidRPr="00155597">
        <w:rPr>
          <w:rFonts w:ascii="Times New Roman" w:hAnsi="Times New Roman"/>
        </w:rPr>
        <w:t>colored incentive insert in the third package mailing.</w:t>
      </w:r>
    </w:p>
    <w:p w14:paraId="53860429" w14:textId="51276E7A" w:rsidR="00DA49BB" w:rsidRPr="00155597" w:rsidRDefault="00DA49BB" w:rsidP="00906F9C">
      <w:pPr>
        <w:pStyle w:val="L1-FlLSp12"/>
        <w:tabs>
          <w:tab w:val="clear" w:pos="1152"/>
        </w:tabs>
        <w:spacing w:after="120" w:line="240" w:lineRule="auto"/>
        <w:rPr>
          <w:rFonts w:ascii="Times New Roman" w:hAnsi="Times New Roman"/>
          <w:szCs w:val="24"/>
        </w:rPr>
      </w:pPr>
      <w:r w:rsidRPr="00155597">
        <w:rPr>
          <w:rFonts w:ascii="Times New Roman" w:hAnsi="Times New Roman"/>
          <w:szCs w:val="24"/>
        </w:rPr>
        <w:t>Principals will receive an e-mail invitation that includes a clickable URL to the web survey and log-in credentials around the time of the first and second mailings. E-mails will be personalized and sent to individual respondents. Principals will be sent reminder e-mails, as appropriate, throughout the data collection period.</w:t>
      </w:r>
    </w:p>
    <w:p w14:paraId="575A6A31" w14:textId="7F9E2F19" w:rsidR="00DA49BB" w:rsidRPr="00155597" w:rsidRDefault="00DA49BB" w:rsidP="00DA49BB">
      <w:pPr>
        <w:spacing w:after="120"/>
      </w:pPr>
      <w:r w:rsidRPr="00155597">
        <w:t xml:space="preserve">A copy of the cover letters and e-mails sent to principals throughout SSOCS:2018 and SSOCS:2020 data collection </w:t>
      </w:r>
      <w:r w:rsidR="00965F70" w:rsidRPr="00155597">
        <w:t>is</w:t>
      </w:r>
      <w:r w:rsidRPr="00155597">
        <w:t xml:space="preserve"> included in appendix A.</w:t>
      </w:r>
    </w:p>
    <w:p w14:paraId="597AF9E6" w14:textId="77777777" w:rsidR="00AA7A29" w:rsidRPr="00155597" w:rsidRDefault="00AA7A29" w:rsidP="00E103F7">
      <w:pPr>
        <w:pStyle w:val="AbtHeadC"/>
        <w:keepLines w:val="0"/>
        <w:spacing w:after="120" w:line="240" w:lineRule="auto"/>
        <w:rPr>
          <w:rFonts w:ascii="Times New Roman" w:hAnsi="Times New Roman"/>
          <w:b w:val="0"/>
          <w:bCs/>
          <w:sz w:val="24"/>
          <w:szCs w:val="24"/>
        </w:rPr>
      </w:pPr>
      <w:r w:rsidRPr="00155597">
        <w:rPr>
          <w:rFonts w:ascii="Times New Roman" w:hAnsi="Times New Roman"/>
          <w:sz w:val="24"/>
          <w:szCs w:val="24"/>
        </w:rPr>
        <w:t>Protocol for Follow-up Calls</w:t>
      </w:r>
    </w:p>
    <w:p w14:paraId="11EDB8A3" w14:textId="77777777" w:rsidR="00A4532F" w:rsidRDefault="003F0C2B" w:rsidP="009F0566">
      <w:pPr>
        <w:spacing w:after="120"/>
      </w:pPr>
      <w:r w:rsidRPr="00155597">
        <w:t xml:space="preserve">For SSOCS:2018, approximately 3 </w:t>
      </w:r>
      <w:r w:rsidR="00634443" w:rsidRPr="00155597">
        <w:t>weeks</w:t>
      </w:r>
      <w:r w:rsidR="00AA7A29" w:rsidRPr="00155597">
        <w:t xml:space="preserve"> after the estimated delivery of the </w:t>
      </w:r>
      <w:r w:rsidR="000C2BD7" w:rsidRPr="00155597">
        <w:t xml:space="preserve">first </w:t>
      </w:r>
      <w:r w:rsidR="003172EB" w:rsidRPr="00155597">
        <w:t xml:space="preserve">mailing </w:t>
      </w:r>
      <w:r w:rsidR="00AA7A29" w:rsidRPr="00155597">
        <w:t xml:space="preserve">to school principals, </w:t>
      </w:r>
      <w:r w:rsidR="00B17807" w:rsidRPr="00155597">
        <w:t>Census</w:t>
      </w:r>
      <w:r w:rsidR="00AA7A29" w:rsidRPr="00155597">
        <w:t xml:space="preserve"> will initiate phone calls to confirm that they have received the mailing and to ask if they have any questions</w:t>
      </w:r>
      <w:r w:rsidR="002E789F" w:rsidRPr="00155597">
        <w:t>.</w:t>
      </w:r>
      <w:r w:rsidR="00FE203F" w:rsidRPr="00155597">
        <w:t xml:space="preserve"> </w:t>
      </w:r>
      <w:r w:rsidR="00C14556" w:rsidRPr="00155597">
        <w:t xml:space="preserve">About a month later, Census will initiate phone calls with nonrespondents, reminding them to complete their questionnaire. </w:t>
      </w:r>
      <w:r w:rsidRPr="00155597">
        <w:t>For SSOCS:2020, approximately 3 weeks after the second mailing to school principals, Census will initiate phone calls with nonrespondents, reminding them to complete their questionnaire.</w:t>
      </w:r>
    </w:p>
    <w:p w14:paraId="57B9FF87" w14:textId="7D03B2C2" w:rsidR="007C6F40" w:rsidRPr="00155597" w:rsidRDefault="00C14556" w:rsidP="00FB2B0E">
      <w:pPr>
        <w:spacing w:after="120"/>
      </w:pPr>
      <w:r w:rsidRPr="00155597">
        <w:t xml:space="preserve">Finally, during the last </w:t>
      </w:r>
      <w:r w:rsidR="003F0C2B" w:rsidRPr="00155597">
        <w:t xml:space="preserve">two </w:t>
      </w:r>
      <w:r w:rsidRPr="00155597">
        <w:t>month</w:t>
      </w:r>
      <w:r w:rsidR="003F0C2B" w:rsidRPr="00155597">
        <w:t xml:space="preserve">s </w:t>
      </w:r>
      <w:r w:rsidRPr="00155597">
        <w:t xml:space="preserve">of </w:t>
      </w:r>
      <w:r w:rsidR="003F0C2B" w:rsidRPr="00155597">
        <w:t xml:space="preserve">the SSOCS:2018 and SSOCS:2020 </w:t>
      </w:r>
      <w:r w:rsidRPr="00155597">
        <w:t>data collection</w:t>
      </w:r>
      <w:r w:rsidR="004D5F8E" w:rsidRPr="00155597">
        <w:t>s</w:t>
      </w:r>
      <w:r w:rsidRPr="00155597">
        <w:t>, Census will conduct nonresponse follow-up by phone</w:t>
      </w:r>
      <w:r w:rsidR="00C84B12" w:rsidRPr="00155597">
        <w:t xml:space="preserve">. This operation is aimed at </w:t>
      </w:r>
      <w:r w:rsidRPr="00155597">
        <w:t xml:space="preserve">collecting </w:t>
      </w:r>
      <w:r w:rsidR="00C84B12" w:rsidRPr="00155597">
        <w:t>SSOCS data over the phone</w:t>
      </w:r>
      <w:r w:rsidR="00A301E2" w:rsidRPr="00155597">
        <w:t>,</w:t>
      </w:r>
      <w:r w:rsidR="00C84B12" w:rsidRPr="00155597">
        <w:t xml:space="preserve"> whenever possible</w:t>
      </w:r>
      <w:r w:rsidRPr="00155597">
        <w:t>.</w:t>
      </w:r>
    </w:p>
    <w:p w14:paraId="2F043B4F" w14:textId="77777777" w:rsidR="00FB3B3E" w:rsidRPr="00155597" w:rsidRDefault="00FB3B3E" w:rsidP="00E103F7">
      <w:pPr>
        <w:pStyle w:val="AbtHeadC"/>
        <w:keepLines w:val="0"/>
        <w:spacing w:after="120" w:line="240" w:lineRule="auto"/>
        <w:rPr>
          <w:rFonts w:ascii="Times New Roman" w:hAnsi="Times New Roman"/>
          <w:bCs/>
          <w:sz w:val="24"/>
          <w:szCs w:val="24"/>
        </w:rPr>
      </w:pPr>
      <w:r w:rsidRPr="00155597">
        <w:rPr>
          <w:rFonts w:ascii="Times New Roman" w:hAnsi="Times New Roman"/>
          <w:bCs/>
          <w:sz w:val="24"/>
          <w:szCs w:val="24"/>
        </w:rPr>
        <w:t>Refusal Conversion for Schools That Will Not Participate</w:t>
      </w:r>
    </w:p>
    <w:p w14:paraId="56C4B144" w14:textId="77777777" w:rsidR="00A4532F" w:rsidRDefault="007F2650" w:rsidP="00485DDA">
      <w:pPr>
        <w:spacing w:after="120"/>
      </w:pPr>
      <w:r w:rsidRPr="00155597">
        <w:t>I</w:t>
      </w:r>
      <w:r w:rsidR="00FB3B3E" w:rsidRPr="00155597">
        <w:t>f a school expresses strong concerns about confidentiality</w:t>
      </w:r>
      <w:r w:rsidRPr="00155597">
        <w:t xml:space="preserve"> at any time during data collection</w:t>
      </w:r>
      <w:r w:rsidR="00FB3B3E" w:rsidRPr="00155597">
        <w:t>, these concerns will be directed to the Census Project Director (and possibly to NCES) for formal assurance. All mailed materials will include the project’s toll-free number.</w:t>
      </w:r>
      <w:r w:rsidR="00E51C50" w:rsidRPr="00155597">
        <w:t xml:space="preserve"> In addition, </w:t>
      </w:r>
      <w:r w:rsidR="00BB5CD1" w:rsidRPr="00155597">
        <w:t xml:space="preserve">for SSOCS:2020, </w:t>
      </w:r>
      <w:r w:rsidR="00E51C50" w:rsidRPr="00155597">
        <w:t xml:space="preserve">FAQs </w:t>
      </w:r>
      <w:r w:rsidR="001408ED" w:rsidRPr="00155597">
        <w:t xml:space="preserve">will be included on the </w:t>
      </w:r>
      <w:r w:rsidR="00E51C50" w:rsidRPr="00155597">
        <w:t>back of the initi</w:t>
      </w:r>
      <w:r w:rsidR="001408ED" w:rsidRPr="00155597">
        <w:t xml:space="preserve">al mailout letters and will </w:t>
      </w:r>
      <w:r w:rsidR="00E51C50" w:rsidRPr="00155597">
        <w:t>include information about</w:t>
      </w:r>
      <w:r w:rsidR="001408ED" w:rsidRPr="00155597">
        <w:t xml:space="preserve"> </w:t>
      </w:r>
      <w:r w:rsidR="00D025BA">
        <w:t>why the participation of each sampled school is important</w:t>
      </w:r>
      <w:r w:rsidR="001408ED" w:rsidRPr="00155597">
        <w:t xml:space="preserve"> </w:t>
      </w:r>
      <w:r w:rsidR="00AA0F58" w:rsidRPr="00155597">
        <w:t>and</w:t>
      </w:r>
      <w:r w:rsidR="00D025BA">
        <w:t xml:space="preserve"> how respondent information will be </w:t>
      </w:r>
      <w:r w:rsidR="00485DDA">
        <w:t>protected</w:t>
      </w:r>
      <w:r w:rsidR="00D025BA">
        <w:t>.</w:t>
      </w:r>
    </w:p>
    <w:p w14:paraId="5451756F" w14:textId="67D0F7F0" w:rsidR="009E4CA3" w:rsidRPr="00155597" w:rsidRDefault="00AA7A29" w:rsidP="00E103F7">
      <w:pPr>
        <w:pStyle w:val="AbtHeadC"/>
        <w:keepLines w:val="0"/>
        <w:spacing w:after="120" w:line="240" w:lineRule="auto"/>
        <w:rPr>
          <w:rFonts w:ascii="Times New Roman" w:hAnsi="Times New Roman"/>
          <w:bCs/>
          <w:sz w:val="24"/>
          <w:szCs w:val="24"/>
        </w:rPr>
      </w:pPr>
      <w:r w:rsidRPr="00155597">
        <w:rPr>
          <w:rFonts w:ascii="Times New Roman" w:hAnsi="Times New Roman"/>
          <w:bCs/>
          <w:sz w:val="24"/>
          <w:szCs w:val="24"/>
        </w:rPr>
        <w:t>D</w:t>
      </w:r>
      <w:r w:rsidR="00013359" w:rsidRPr="00155597">
        <w:rPr>
          <w:rFonts w:ascii="Times New Roman" w:hAnsi="Times New Roman"/>
          <w:bCs/>
          <w:sz w:val="24"/>
          <w:szCs w:val="24"/>
        </w:rPr>
        <w:t>ata Retrieval of Critical Items</w:t>
      </w:r>
    </w:p>
    <w:p w14:paraId="342A3032" w14:textId="6F08BDB1" w:rsidR="00CF5E5C" w:rsidRPr="00CF5E5C" w:rsidRDefault="00AA7A29" w:rsidP="00CF5E5C">
      <w:pPr>
        <w:spacing w:after="120"/>
      </w:pPr>
      <w:r w:rsidRPr="00155597">
        <w:t xml:space="preserve">In terms of </w:t>
      </w:r>
      <w:r w:rsidR="009110D9" w:rsidRPr="00155597">
        <w:t xml:space="preserve">the </w:t>
      </w:r>
      <w:r w:rsidRPr="00155597">
        <w:t>collection of “critical items</w:t>
      </w:r>
      <w:r w:rsidR="00C53D3B" w:rsidRPr="00155597">
        <w:t>,</w:t>
      </w:r>
      <w:r w:rsidRPr="00155597">
        <w:t>”</w:t>
      </w:r>
      <w:r w:rsidR="00710F68" w:rsidRPr="00155597">
        <w:t xml:space="preserve"> the</w:t>
      </w:r>
      <w:r w:rsidRPr="00155597">
        <w:t xml:space="preserve"> interview labor </w:t>
      </w:r>
      <w:r w:rsidR="00710F68" w:rsidRPr="00155597">
        <w:t xml:space="preserve">will </w:t>
      </w:r>
      <w:r w:rsidRPr="00155597">
        <w:t xml:space="preserve">be divided between follow-up </w:t>
      </w:r>
      <w:r w:rsidR="009110D9" w:rsidRPr="00155597">
        <w:t xml:space="preserve">with </w:t>
      </w:r>
      <w:r w:rsidRPr="00155597">
        <w:t>nonresponde</w:t>
      </w:r>
      <w:r w:rsidR="009110D9" w:rsidRPr="00155597">
        <w:t>nts</w:t>
      </w:r>
      <w:r w:rsidRPr="00155597">
        <w:t xml:space="preserve"> (seeking </w:t>
      </w:r>
      <w:r w:rsidR="00710F68" w:rsidRPr="00155597">
        <w:t xml:space="preserve">the completion of </w:t>
      </w:r>
      <w:r w:rsidR="009110D9" w:rsidRPr="00155597">
        <w:t>“</w:t>
      </w:r>
      <w:r w:rsidRPr="00155597">
        <w:t>critical item</w:t>
      </w:r>
      <w:r w:rsidR="00710F68" w:rsidRPr="00155597">
        <w:t>s</w:t>
      </w:r>
      <w:r w:rsidR="009110D9" w:rsidRPr="00155597">
        <w:t>”</w:t>
      </w:r>
      <w:r w:rsidRPr="00155597">
        <w:t xml:space="preserve"> </w:t>
      </w:r>
      <w:r w:rsidR="00710F68" w:rsidRPr="00155597">
        <w:t>rather than</w:t>
      </w:r>
      <w:r w:rsidRPr="00155597">
        <w:t xml:space="preserve"> the full survey) and follow-up </w:t>
      </w:r>
      <w:r w:rsidR="009110D9" w:rsidRPr="00155597">
        <w:t xml:space="preserve">with </w:t>
      </w:r>
      <w:r w:rsidRPr="00155597">
        <w:t>responde</w:t>
      </w:r>
      <w:r w:rsidR="009110D9" w:rsidRPr="00155597">
        <w:t xml:space="preserve">nts </w:t>
      </w:r>
      <w:r w:rsidRPr="00155597">
        <w:t>who have skipped items deemed to be critical (</w:t>
      </w:r>
      <w:r w:rsidR="00710F68" w:rsidRPr="00155597">
        <w:t xml:space="preserve">the </w:t>
      </w:r>
      <w:r w:rsidRPr="00155597">
        <w:t xml:space="preserve">retrieval </w:t>
      </w:r>
      <w:r w:rsidR="009110D9" w:rsidRPr="00155597">
        <w:t xml:space="preserve">of </w:t>
      </w:r>
      <w:r w:rsidRPr="00155597">
        <w:t>missing data)</w:t>
      </w:r>
      <w:r w:rsidR="002E789F" w:rsidRPr="00155597">
        <w:t xml:space="preserve">. </w:t>
      </w:r>
      <w:r w:rsidRPr="00155597">
        <w:t xml:space="preserve">For </w:t>
      </w:r>
      <w:r w:rsidR="009110D9" w:rsidRPr="00155597">
        <w:t>nonrespondents</w:t>
      </w:r>
      <w:r w:rsidRPr="00155597">
        <w:t xml:space="preserve">, </w:t>
      </w:r>
      <w:r w:rsidR="00FB3B3E" w:rsidRPr="00155597">
        <w:t xml:space="preserve">in </w:t>
      </w:r>
      <w:r w:rsidRPr="00155597">
        <w:t xml:space="preserve">May </w:t>
      </w:r>
      <w:r w:rsidR="007F2650" w:rsidRPr="00155597">
        <w:t xml:space="preserve">2018 </w:t>
      </w:r>
      <w:r w:rsidR="00BC26DC" w:rsidRPr="00155597">
        <w:t xml:space="preserve">(May </w:t>
      </w:r>
      <w:r w:rsidR="00865D1E" w:rsidRPr="00155597">
        <w:t>2020</w:t>
      </w:r>
      <w:r w:rsidR="00EB2527" w:rsidRPr="00155597">
        <w:t xml:space="preserve"> for the </w:t>
      </w:r>
      <w:r w:rsidR="00865D1E" w:rsidRPr="00155597">
        <w:t>2020</w:t>
      </w:r>
      <w:r w:rsidR="00EB2527" w:rsidRPr="00155597">
        <w:t xml:space="preserve"> collection)</w:t>
      </w:r>
      <w:r w:rsidR="009110D9" w:rsidRPr="00155597">
        <w:t>,</w:t>
      </w:r>
      <w:r w:rsidRPr="00155597">
        <w:t xml:space="preserve"> we will offer “critical item” </w:t>
      </w:r>
      <w:r w:rsidR="00710F68" w:rsidRPr="00155597">
        <w:t xml:space="preserve">completion </w:t>
      </w:r>
      <w:r w:rsidRPr="00155597">
        <w:t xml:space="preserve">by fax or phone. The “critical items” </w:t>
      </w:r>
      <w:r w:rsidR="0030487E" w:rsidRPr="00155597">
        <w:t xml:space="preserve">identified by NCES </w:t>
      </w:r>
      <w:r w:rsidR="00FF1E92" w:rsidRPr="00155597">
        <w:t>for SSOCS:</w:t>
      </w:r>
      <w:r w:rsidR="00865D1E" w:rsidRPr="00155597">
        <w:t>2018</w:t>
      </w:r>
      <w:r w:rsidR="00FF1E92" w:rsidRPr="00155597">
        <w:t xml:space="preserve"> </w:t>
      </w:r>
      <w:r w:rsidR="00EB2527" w:rsidRPr="00155597">
        <w:t>and SSOCS:</w:t>
      </w:r>
      <w:r w:rsidR="00865D1E" w:rsidRPr="00155597">
        <w:t>2020</w:t>
      </w:r>
      <w:r w:rsidR="00EB2527" w:rsidRPr="00155597">
        <w:t xml:space="preserve"> </w:t>
      </w:r>
      <w:r w:rsidR="009656D9" w:rsidRPr="00155597">
        <w:t xml:space="preserve">include incidence data as well as </w:t>
      </w:r>
      <w:r w:rsidR="006B6FAB" w:rsidRPr="00155597">
        <w:t xml:space="preserve">data on </w:t>
      </w:r>
      <w:r w:rsidR="009656D9" w:rsidRPr="00155597">
        <w:t xml:space="preserve">school </w:t>
      </w:r>
      <w:r w:rsidR="006B6FAB" w:rsidRPr="00155597">
        <w:t>characteristics</w:t>
      </w:r>
      <w:r w:rsidR="009656D9" w:rsidRPr="00155597">
        <w:t xml:space="preserve">, consistent with </w:t>
      </w:r>
      <w:r w:rsidR="00FF1E92" w:rsidRPr="00155597">
        <w:t>SSOCS:</w:t>
      </w:r>
      <w:r w:rsidR="00914BF4" w:rsidRPr="00155597">
        <w:t>2016</w:t>
      </w:r>
      <w:r w:rsidR="009656D9" w:rsidRPr="00155597">
        <w:t xml:space="preserve">. The SSOCS:2018 critical items are as follows: </w:t>
      </w:r>
      <w:r w:rsidR="009656D9" w:rsidRPr="00CF5E5C">
        <w:t>11, 18, 19, 20, 22, 28, 29, 30, 31, 35, 36, 38 (column 1), 39, 40, 41, 42, 46, 47 and 48.</w:t>
      </w:r>
      <w:r w:rsidR="00336841" w:rsidRPr="00CF5E5C">
        <w:t xml:space="preserve"> </w:t>
      </w:r>
      <w:r w:rsidR="00C32B3E" w:rsidRPr="00CF5E5C">
        <w:t xml:space="preserve">The SSOCS:2020 critical items are analogous to the SSOCS:2018 items, </w:t>
      </w:r>
      <w:r w:rsidR="0023233D">
        <w:t xml:space="preserve">with </w:t>
      </w:r>
      <w:r w:rsidR="00C32B3E" w:rsidRPr="00CF5E5C">
        <w:t xml:space="preserve">item numbers </w:t>
      </w:r>
      <w:r w:rsidR="0023233D" w:rsidRPr="00CF5E5C">
        <w:t>updat</w:t>
      </w:r>
      <w:r w:rsidR="0023233D">
        <w:t>ed</w:t>
      </w:r>
      <w:r w:rsidR="0023233D" w:rsidRPr="00CF5E5C">
        <w:t xml:space="preserve"> </w:t>
      </w:r>
      <w:r w:rsidR="00C32B3E" w:rsidRPr="00CF5E5C">
        <w:t xml:space="preserve">to match the </w:t>
      </w:r>
      <w:r w:rsidR="0023233D">
        <w:t xml:space="preserve">revised </w:t>
      </w:r>
      <w:r w:rsidR="00C32B3E" w:rsidRPr="00CF5E5C">
        <w:t>SSOCS:2020 questionnaire: 9, 15, 16, 17, 19, 25, 26, 29, 30, 32, 33, 35 (column 1), 36, 37, 38, 39, 43, 44, and 45.</w:t>
      </w:r>
      <w:bookmarkStart w:id="19" w:name="_Toc45701401"/>
      <w:bookmarkStart w:id="20" w:name="_Toc411895533"/>
      <w:bookmarkStart w:id="21" w:name="_Toc3478475"/>
    </w:p>
    <w:p w14:paraId="36233633" w14:textId="5187BD70" w:rsidR="00AA7A29" w:rsidRPr="002E23BA" w:rsidRDefault="009E4CA3" w:rsidP="002E23BA">
      <w:pPr>
        <w:pStyle w:val="AbtHeadBOutlined"/>
        <w:keepLines w:val="0"/>
        <w:numPr>
          <w:ilvl w:val="0"/>
          <w:numId w:val="0"/>
        </w:numPr>
        <w:spacing w:after="120" w:line="240" w:lineRule="auto"/>
        <w:ind w:left="1152" w:hanging="1152"/>
        <w:outlineLvl w:val="3"/>
        <w:rPr>
          <w:rFonts w:ascii="Times New Roman" w:hAnsi="Times New Roman"/>
          <w:sz w:val="24"/>
          <w:szCs w:val="24"/>
        </w:rPr>
      </w:pPr>
      <w:r w:rsidRPr="002E23BA">
        <w:rPr>
          <w:rFonts w:ascii="Times New Roman" w:hAnsi="Times New Roman"/>
          <w:sz w:val="24"/>
          <w:szCs w:val="24"/>
        </w:rPr>
        <w:t>B</w:t>
      </w:r>
      <w:r w:rsidR="00CD4B5C" w:rsidRPr="002E23BA">
        <w:rPr>
          <w:rFonts w:ascii="Times New Roman" w:hAnsi="Times New Roman"/>
          <w:sz w:val="24"/>
          <w:szCs w:val="24"/>
        </w:rPr>
        <w:t>3</w:t>
      </w:r>
      <w:r w:rsidR="002E789F" w:rsidRPr="002E23BA">
        <w:rPr>
          <w:rFonts w:ascii="Times New Roman" w:hAnsi="Times New Roman"/>
          <w:sz w:val="24"/>
          <w:szCs w:val="24"/>
        </w:rPr>
        <w:t xml:space="preserve">. </w:t>
      </w:r>
      <w:r w:rsidR="00AA7A29" w:rsidRPr="002E23BA">
        <w:rPr>
          <w:rFonts w:ascii="Times New Roman" w:hAnsi="Times New Roman"/>
          <w:sz w:val="24"/>
          <w:szCs w:val="24"/>
        </w:rPr>
        <w:t>Methods to Maximize Response Rates</w:t>
      </w:r>
      <w:bookmarkEnd w:id="19"/>
      <w:bookmarkEnd w:id="20"/>
      <w:bookmarkEnd w:id="21"/>
    </w:p>
    <w:p w14:paraId="7FE31877" w14:textId="03A1EEC0" w:rsidR="007C6F40" w:rsidRPr="00155597" w:rsidRDefault="00AA7A29" w:rsidP="00E103F7">
      <w:pPr>
        <w:pStyle w:val="BodyText2"/>
        <w:spacing w:after="120" w:line="240" w:lineRule="auto"/>
        <w:rPr>
          <w:sz w:val="24"/>
        </w:rPr>
      </w:pPr>
      <w:r w:rsidRPr="00155597">
        <w:rPr>
          <w:sz w:val="24"/>
        </w:rPr>
        <w:t xml:space="preserve">NCES is committed to obtaining a high response rate in </w:t>
      </w:r>
      <w:r w:rsidR="00342FAE" w:rsidRPr="00155597">
        <w:rPr>
          <w:sz w:val="24"/>
        </w:rPr>
        <w:t>SSOCS:</w:t>
      </w:r>
      <w:r w:rsidR="00865D1E" w:rsidRPr="00155597">
        <w:rPr>
          <w:sz w:val="24"/>
        </w:rPr>
        <w:t>2018</w:t>
      </w:r>
      <w:r w:rsidR="00EB2527" w:rsidRPr="00155597">
        <w:rPr>
          <w:sz w:val="24"/>
        </w:rPr>
        <w:t xml:space="preserve"> and SSOCS:</w:t>
      </w:r>
      <w:r w:rsidR="00865D1E" w:rsidRPr="00155597">
        <w:rPr>
          <w:sz w:val="24"/>
        </w:rPr>
        <w:t>2020</w:t>
      </w:r>
      <w:r w:rsidR="002E789F" w:rsidRPr="00155597">
        <w:rPr>
          <w:sz w:val="24"/>
        </w:rPr>
        <w:t xml:space="preserve">. </w:t>
      </w:r>
      <w:r w:rsidR="00BC5630" w:rsidRPr="00155597">
        <w:rPr>
          <w:sz w:val="24"/>
        </w:rPr>
        <w:t>In general, a</w:t>
      </w:r>
      <w:r w:rsidRPr="00155597">
        <w:rPr>
          <w:sz w:val="24"/>
        </w:rPr>
        <w:t xml:space="preserve"> key to achieving </w:t>
      </w:r>
      <w:r w:rsidR="003949E6" w:rsidRPr="00155597">
        <w:rPr>
          <w:sz w:val="24"/>
        </w:rPr>
        <w:t xml:space="preserve">a high </w:t>
      </w:r>
      <w:r w:rsidRPr="00155597">
        <w:rPr>
          <w:sz w:val="24"/>
        </w:rPr>
        <w:t xml:space="preserve">response rate is </w:t>
      </w:r>
      <w:r w:rsidR="00557999" w:rsidRPr="00155597">
        <w:rPr>
          <w:sz w:val="24"/>
        </w:rPr>
        <w:t>to track</w:t>
      </w:r>
      <w:r w:rsidRPr="00155597">
        <w:rPr>
          <w:sz w:val="24"/>
        </w:rPr>
        <w:t xml:space="preserve"> the response status of each sampled school, with telephone follow-up</w:t>
      </w:r>
      <w:r w:rsidR="00193AE2" w:rsidRPr="00155597">
        <w:rPr>
          <w:sz w:val="24"/>
        </w:rPr>
        <w:t>, as well as follow-up by mail and e</w:t>
      </w:r>
      <w:r w:rsidR="000C0290" w:rsidRPr="00155597">
        <w:rPr>
          <w:sz w:val="24"/>
        </w:rPr>
        <w:t>-</w:t>
      </w:r>
      <w:r w:rsidR="00193AE2" w:rsidRPr="00155597">
        <w:rPr>
          <w:sz w:val="24"/>
        </w:rPr>
        <w:t>mail,</w:t>
      </w:r>
      <w:r w:rsidRPr="00155597">
        <w:rPr>
          <w:sz w:val="24"/>
        </w:rPr>
        <w:t xml:space="preserve"> of those schools that do not respond promptly</w:t>
      </w:r>
      <w:r w:rsidR="002E789F" w:rsidRPr="00155597">
        <w:rPr>
          <w:sz w:val="24"/>
        </w:rPr>
        <w:t xml:space="preserve">. </w:t>
      </w:r>
      <w:r w:rsidR="000A7D11" w:rsidRPr="00155597">
        <w:rPr>
          <w:sz w:val="24"/>
        </w:rPr>
        <w:t>To help track response status</w:t>
      </w:r>
      <w:r w:rsidR="00557999" w:rsidRPr="00155597">
        <w:rPr>
          <w:sz w:val="24"/>
        </w:rPr>
        <w:t>,</w:t>
      </w:r>
      <w:r w:rsidRPr="00155597">
        <w:rPr>
          <w:sz w:val="24"/>
        </w:rPr>
        <w:t xml:space="preserve"> survey responses will be monitored through an automated receipt control system</w:t>
      </w:r>
      <w:r w:rsidR="002E789F" w:rsidRPr="00155597">
        <w:rPr>
          <w:sz w:val="24"/>
        </w:rPr>
        <w:t>.</w:t>
      </w:r>
    </w:p>
    <w:p w14:paraId="73460C3F" w14:textId="64CC67BE" w:rsidR="00841B8D" w:rsidRPr="00155597" w:rsidRDefault="003949E6" w:rsidP="00841B8D">
      <w:pPr>
        <w:pStyle w:val="BodyText2"/>
        <w:spacing w:after="120" w:line="240" w:lineRule="auto"/>
        <w:rPr>
          <w:sz w:val="24"/>
        </w:rPr>
      </w:pPr>
      <w:r w:rsidRPr="00155597">
        <w:rPr>
          <w:sz w:val="24"/>
        </w:rPr>
        <w:t>S</w:t>
      </w:r>
      <w:r w:rsidR="00AA7A29" w:rsidRPr="00155597">
        <w:rPr>
          <w:sz w:val="24"/>
        </w:rPr>
        <w:t xml:space="preserve">everal other steps will </w:t>
      </w:r>
      <w:r w:rsidRPr="00155597">
        <w:rPr>
          <w:sz w:val="24"/>
        </w:rPr>
        <w:t>also</w:t>
      </w:r>
      <w:r w:rsidR="00AA7A29" w:rsidRPr="00155597">
        <w:rPr>
          <w:sz w:val="24"/>
        </w:rPr>
        <w:t xml:space="preserve"> be taken to maximize the response rate</w:t>
      </w:r>
      <w:r w:rsidR="002E789F" w:rsidRPr="00155597">
        <w:rPr>
          <w:sz w:val="24"/>
        </w:rPr>
        <w:t xml:space="preserve">. </w:t>
      </w:r>
      <w:r w:rsidR="000C0290" w:rsidRPr="00155597">
        <w:rPr>
          <w:sz w:val="24"/>
        </w:rPr>
        <w:t>For example, SSOCS:2018 will include two experiments—a web-based mode and an incentive—</w:t>
      </w:r>
      <w:r w:rsidR="00204BAE" w:rsidRPr="00155597">
        <w:rPr>
          <w:sz w:val="24"/>
        </w:rPr>
        <w:t xml:space="preserve">to </w:t>
      </w:r>
      <w:r w:rsidR="000C0290" w:rsidRPr="00155597">
        <w:rPr>
          <w:sz w:val="24"/>
        </w:rPr>
        <w:t xml:space="preserve">motivate principals to respond to the survey. </w:t>
      </w:r>
      <w:r w:rsidR="00204BAE" w:rsidRPr="00155597">
        <w:rPr>
          <w:sz w:val="24"/>
        </w:rPr>
        <w:t>If the experimental groups yield</w:t>
      </w:r>
      <w:r w:rsidR="000C0290" w:rsidRPr="00155597">
        <w:rPr>
          <w:sz w:val="24"/>
        </w:rPr>
        <w:t xml:space="preserve"> higher response rates </w:t>
      </w:r>
      <w:r w:rsidR="00204BAE" w:rsidRPr="00155597">
        <w:rPr>
          <w:sz w:val="24"/>
        </w:rPr>
        <w:t xml:space="preserve">than </w:t>
      </w:r>
      <w:r w:rsidR="000C0290" w:rsidRPr="00155597">
        <w:rPr>
          <w:sz w:val="24"/>
        </w:rPr>
        <w:t>the control groups (paper respondents, no incentive)</w:t>
      </w:r>
      <w:r w:rsidR="001303C7" w:rsidRPr="00155597">
        <w:rPr>
          <w:sz w:val="24"/>
        </w:rPr>
        <w:t>,</w:t>
      </w:r>
      <w:r w:rsidR="00841B8D" w:rsidRPr="00155597">
        <w:rPr>
          <w:sz w:val="24"/>
        </w:rPr>
        <w:t xml:space="preserve"> they may be implemented in the full sample in the 2020 data collection.</w:t>
      </w:r>
    </w:p>
    <w:p w14:paraId="79F44EBF" w14:textId="13FF5D66" w:rsidR="0034311E" w:rsidRDefault="003F0C2B" w:rsidP="00B744D9">
      <w:pPr>
        <w:pStyle w:val="BodyText2"/>
        <w:spacing w:after="120" w:line="240" w:lineRule="auto"/>
        <w:rPr>
          <w:sz w:val="24"/>
        </w:rPr>
      </w:pPr>
      <w:r w:rsidRPr="00BD3F82">
        <w:rPr>
          <w:sz w:val="24"/>
        </w:rPr>
        <w:t xml:space="preserve">The decision to move to a primarily web-based instrument for SSOCS:2020 was based </w:t>
      </w:r>
      <w:r w:rsidR="004D5F8E" w:rsidRPr="00BD3F82">
        <w:rPr>
          <w:sz w:val="24"/>
        </w:rPr>
        <w:t>on</w:t>
      </w:r>
      <w:r w:rsidRPr="00BD3F82">
        <w:rPr>
          <w:sz w:val="24"/>
        </w:rPr>
        <w:t xml:space="preserve"> the results of these two SSOCS:2018 experiments</w:t>
      </w:r>
      <w:r w:rsidR="00355F16">
        <w:rPr>
          <w:sz w:val="24"/>
        </w:rPr>
        <w:t xml:space="preserve"> (see section B.4 of this submission)</w:t>
      </w:r>
      <w:r w:rsidRPr="00BD3F82">
        <w:rPr>
          <w:sz w:val="24"/>
        </w:rPr>
        <w:t>. Analyses of these experiments resulted in the recommendation to include an incentive and allow web-based response</w:t>
      </w:r>
      <w:r w:rsidR="004C0A1B" w:rsidRPr="00BD3F82">
        <w:rPr>
          <w:sz w:val="24"/>
        </w:rPr>
        <w:t>s</w:t>
      </w:r>
      <w:r w:rsidRPr="00BD3F82">
        <w:rPr>
          <w:sz w:val="24"/>
        </w:rPr>
        <w:t xml:space="preserve"> as part of a mixed-mode methodology </w:t>
      </w:r>
      <w:r w:rsidR="00B562BA" w:rsidRPr="00BD3F82">
        <w:rPr>
          <w:sz w:val="24"/>
        </w:rPr>
        <w:t>in</w:t>
      </w:r>
      <w:r w:rsidRPr="00BD3F82">
        <w:rPr>
          <w:sz w:val="24"/>
        </w:rPr>
        <w:t xml:space="preserve"> future SSOCS administrations.</w:t>
      </w:r>
      <w:bookmarkStart w:id="22" w:name="_Hlk3367796"/>
      <w:r w:rsidR="0059415B">
        <w:rPr>
          <w:sz w:val="24"/>
        </w:rPr>
        <w:t xml:space="preserve"> </w:t>
      </w:r>
      <w:r w:rsidRPr="00BD3F82">
        <w:rPr>
          <w:sz w:val="24"/>
        </w:rPr>
        <w:t xml:space="preserve">Overall, offering an incentive was advantageous for SSOCS:2018, as it increased response rates and promoted significantly faster response times. SSOCS:2020 will build </w:t>
      </w:r>
      <w:r w:rsidR="006B6FAB" w:rsidRPr="00BD3F82">
        <w:rPr>
          <w:sz w:val="24"/>
        </w:rPr>
        <w:t>on</w:t>
      </w:r>
      <w:r w:rsidRPr="00BD3F82">
        <w:rPr>
          <w:sz w:val="24"/>
        </w:rPr>
        <w:t xml:space="preserve"> the SSOCS:2018 incentive experiment </w:t>
      </w:r>
      <w:r w:rsidR="006B6FAB" w:rsidRPr="00BD3F82">
        <w:rPr>
          <w:sz w:val="24"/>
        </w:rPr>
        <w:t>but</w:t>
      </w:r>
      <w:r w:rsidR="009311AE" w:rsidRPr="00BD3F82">
        <w:rPr>
          <w:sz w:val="24"/>
        </w:rPr>
        <w:t xml:space="preserve"> </w:t>
      </w:r>
      <w:r w:rsidRPr="00BD3F82">
        <w:rPr>
          <w:sz w:val="24"/>
        </w:rPr>
        <w:t>will include two incentive treatment groups</w:t>
      </w:r>
      <w:r w:rsidR="0034311E" w:rsidRPr="00BD3F82">
        <w:rPr>
          <w:sz w:val="24"/>
        </w:rPr>
        <w:t xml:space="preserve"> (see section </w:t>
      </w:r>
      <w:r w:rsidR="00AD5791">
        <w:rPr>
          <w:sz w:val="24"/>
        </w:rPr>
        <w:t>B</w:t>
      </w:r>
      <w:r w:rsidR="0034311E" w:rsidRPr="00BD3F82">
        <w:rPr>
          <w:sz w:val="24"/>
        </w:rPr>
        <w:t>.4 of this document for details).</w:t>
      </w:r>
    </w:p>
    <w:bookmarkEnd w:id="22"/>
    <w:p w14:paraId="15C38FCE" w14:textId="77777777" w:rsidR="00A4532F" w:rsidRDefault="009B15C2" w:rsidP="00E103F7">
      <w:pPr>
        <w:pStyle w:val="BodyText2"/>
        <w:spacing w:after="120" w:line="240" w:lineRule="auto"/>
        <w:rPr>
          <w:sz w:val="24"/>
        </w:rPr>
      </w:pPr>
      <w:r w:rsidRPr="00155597">
        <w:rPr>
          <w:sz w:val="24"/>
        </w:rPr>
        <w:t>In addition, SSOCS:2020 will include a modal experiment to test a navigation menu within the web instrument. If the experimental group</w:t>
      </w:r>
      <w:r w:rsidR="000A7BEC" w:rsidRPr="00155597">
        <w:rPr>
          <w:sz w:val="24"/>
        </w:rPr>
        <w:t>—</w:t>
      </w:r>
      <w:r w:rsidRPr="00155597">
        <w:rPr>
          <w:sz w:val="24"/>
        </w:rPr>
        <w:t>the group that receives the instrument with the added navigation menu functionality</w:t>
      </w:r>
      <w:r w:rsidR="000A7BEC" w:rsidRPr="00155597">
        <w:rPr>
          <w:sz w:val="24"/>
        </w:rPr>
        <w:t>—</w:t>
      </w:r>
      <w:r w:rsidRPr="00155597">
        <w:rPr>
          <w:sz w:val="24"/>
        </w:rPr>
        <w:t xml:space="preserve">yields a higher response rate than the control group (traditional web instrument), this would indicate that the navigation menu improves instrument usability and/or reduces respondent burden and may be implemented in the full sample </w:t>
      </w:r>
      <w:r w:rsidR="00855D85" w:rsidRPr="00155597">
        <w:rPr>
          <w:sz w:val="24"/>
        </w:rPr>
        <w:t>in</w:t>
      </w:r>
      <w:r w:rsidRPr="00155597">
        <w:rPr>
          <w:sz w:val="24"/>
        </w:rPr>
        <w:t xml:space="preserve"> subsequent data collections.</w:t>
      </w:r>
    </w:p>
    <w:p w14:paraId="45EF3887" w14:textId="3A562483" w:rsidR="00840296" w:rsidRPr="00155597" w:rsidRDefault="00841B8D" w:rsidP="007D2398">
      <w:pPr>
        <w:pStyle w:val="BodyText2"/>
        <w:widowControl w:val="0"/>
        <w:spacing w:after="120" w:line="240" w:lineRule="auto"/>
        <w:rPr>
          <w:sz w:val="24"/>
        </w:rPr>
      </w:pPr>
      <w:r w:rsidRPr="00155597">
        <w:rPr>
          <w:sz w:val="24"/>
        </w:rPr>
        <w:t>SSOCS:2018 q</w:t>
      </w:r>
      <w:r w:rsidR="002107AA" w:rsidRPr="00155597">
        <w:rPr>
          <w:sz w:val="24"/>
        </w:rPr>
        <w:t xml:space="preserve">uestionnaires will be mailed by Federal Express to ensure their prompt receipt and to give the survey greater importance in the eyes of the potential respondents. </w:t>
      </w:r>
      <w:r w:rsidR="009B15C2" w:rsidRPr="00155597">
        <w:rPr>
          <w:sz w:val="24"/>
        </w:rPr>
        <w:t xml:space="preserve">SSOCS:2020 will take a slightly different approach, utilizing Federal Express </w:t>
      </w:r>
      <w:r w:rsidR="00855D85" w:rsidRPr="00155597">
        <w:rPr>
          <w:sz w:val="24"/>
        </w:rPr>
        <w:t xml:space="preserve">only </w:t>
      </w:r>
      <w:r w:rsidR="009B15C2" w:rsidRPr="00155597">
        <w:rPr>
          <w:sz w:val="24"/>
        </w:rPr>
        <w:t>during the fourth and final mailing in order to make the questionnaire package stand out to nonrespondents.</w:t>
      </w:r>
    </w:p>
    <w:p w14:paraId="462E9A8C" w14:textId="0D559947" w:rsidR="007C6F40" w:rsidRPr="00155597" w:rsidRDefault="009B15C2" w:rsidP="00E103F7">
      <w:pPr>
        <w:pStyle w:val="BodyText2"/>
        <w:spacing w:after="120" w:line="240" w:lineRule="auto"/>
        <w:rPr>
          <w:sz w:val="24"/>
        </w:rPr>
      </w:pPr>
      <w:r w:rsidRPr="00155597">
        <w:rPr>
          <w:sz w:val="24"/>
        </w:rPr>
        <w:t>All SSOCS m</w:t>
      </w:r>
      <w:r w:rsidR="00AA7A29" w:rsidRPr="00155597">
        <w:rPr>
          <w:sz w:val="24"/>
        </w:rPr>
        <w:t xml:space="preserve">ailed </w:t>
      </w:r>
      <w:r w:rsidR="00782FD2" w:rsidRPr="00155597">
        <w:rPr>
          <w:sz w:val="24"/>
        </w:rPr>
        <w:t xml:space="preserve">paper </w:t>
      </w:r>
      <w:r w:rsidR="00AA7A29" w:rsidRPr="00155597">
        <w:rPr>
          <w:sz w:val="24"/>
        </w:rPr>
        <w:t>questionnaire</w:t>
      </w:r>
      <w:r w:rsidR="00782FD2" w:rsidRPr="00155597">
        <w:rPr>
          <w:sz w:val="24"/>
        </w:rPr>
        <w:t>s</w:t>
      </w:r>
      <w:r w:rsidR="00AA7A29" w:rsidRPr="00155597">
        <w:rPr>
          <w:sz w:val="24"/>
        </w:rPr>
        <w:t xml:space="preserve"> will be accompanied by a postage-paid return reply envelope and </w:t>
      </w:r>
      <w:r w:rsidR="00782FD2" w:rsidRPr="00155597">
        <w:rPr>
          <w:sz w:val="24"/>
        </w:rPr>
        <w:t xml:space="preserve">a personalized letter </w:t>
      </w:r>
      <w:r w:rsidR="00642EB3" w:rsidRPr="00155597">
        <w:rPr>
          <w:sz w:val="24"/>
        </w:rPr>
        <w:t xml:space="preserve">and </w:t>
      </w:r>
      <w:r w:rsidR="00782FD2" w:rsidRPr="00155597">
        <w:rPr>
          <w:sz w:val="24"/>
        </w:rPr>
        <w:t xml:space="preserve">include a </w:t>
      </w:r>
      <w:r w:rsidR="00AA7A29" w:rsidRPr="00155597">
        <w:rPr>
          <w:sz w:val="24"/>
        </w:rPr>
        <w:t xml:space="preserve">toll-free number that </w:t>
      </w:r>
      <w:r w:rsidR="00E613A7" w:rsidRPr="00155597">
        <w:rPr>
          <w:sz w:val="24"/>
        </w:rPr>
        <w:t>respondents</w:t>
      </w:r>
      <w:r w:rsidR="00AA7A29" w:rsidRPr="00155597">
        <w:rPr>
          <w:sz w:val="24"/>
        </w:rPr>
        <w:t xml:space="preserve"> may call to resolve questions about the survey</w:t>
      </w:r>
      <w:r w:rsidR="002E789F" w:rsidRPr="00155597">
        <w:rPr>
          <w:sz w:val="24"/>
        </w:rPr>
        <w:t xml:space="preserve">. </w:t>
      </w:r>
      <w:r w:rsidR="00E613A7" w:rsidRPr="00155597">
        <w:rPr>
          <w:sz w:val="24"/>
        </w:rPr>
        <w:t>The letters</w:t>
      </w:r>
      <w:r w:rsidR="00AA7A29" w:rsidRPr="00155597">
        <w:rPr>
          <w:sz w:val="24"/>
        </w:rPr>
        <w:t xml:space="preserve"> </w:t>
      </w:r>
      <w:r w:rsidR="00642EB3" w:rsidRPr="00155597">
        <w:rPr>
          <w:sz w:val="24"/>
        </w:rPr>
        <w:t xml:space="preserve">will </w:t>
      </w:r>
      <w:r w:rsidR="00AA7A29" w:rsidRPr="00155597">
        <w:rPr>
          <w:sz w:val="24"/>
        </w:rPr>
        <w:t>also provide a means for seeking help by e</w:t>
      </w:r>
      <w:r w:rsidR="00557999" w:rsidRPr="00155597">
        <w:rPr>
          <w:sz w:val="24"/>
        </w:rPr>
        <w:noBreakHyphen/>
      </w:r>
      <w:r w:rsidR="00AA7A29" w:rsidRPr="00155597">
        <w:rPr>
          <w:sz w:val="24"/>
        </w:rPr>
        <w:t>mail</w:t>
      </w:r>
      <w:r w:rsidR="002E789F" w:rsidRPr="00155597">
        <w:rPr>
          <w:sz w:val="24"/>
        </w:rPr>
        <w:t xml:space="preserve">. </w:t>
      </w:r>
      <w:r w:rsidR="00AA7A29" w:rsidRPr="00155597">
        <w:rPr>
          <w:sz w:val="24"/>
        </w:rPr>
        <w:t xml:space="preserve">If a questionnaire is returned by the </w:t>
      </w:r>
      <w:r w:rsidR="00557999" w:rsidRPr="00155597">
        <w:rPr>
          <w:sz w:val="24"/>
        </w:rPr>
        <w:t>U.S. P</w:t>
      </w:r>
      <w:r w:rsidR="00AA7A29" w:rsidRPr="00155597">
        <w:rPr>
          <w:sz w:val="24"/>
        </w:rPr>
        <w:t xml:space="preserve">ostal </w:t>
      </w:r>
      <w:r w:rsidR="00557999" w:rsidRPr="00155597">
        <w:rPr>
          <w:sz w:val="24"/>
        </w:rPr>
        <w:t>S</w:t>
      </w:r>
      <w:r w:rsidR="00AA7A29" w:rsidRPr="00155597">
        <w:rPr>
          <w:sz w:val="24"/>
        </w:rPr>
        <w:t xml:space="preserve">ervice, </w:t>
      </w:r>
      <w:r w:rsidR="00825D9A" w:rsidRPr="00155597">
        <w:rPr>
          <w:sz w:val="24"/>
        </w:rPr>
        <w:t>the</w:t>
      </w:r>
      <w:r w:rsidR="00AA7A29" w:rsidRPr="00155597">
        <w:rPr>
          <w:sz w:val="24"/>
        </w:rPr>
        <w:t xml:space="preserve"> Census </w:t>
      </w:r>
      <w:r w:rsidR="00825D9A" w:rsidRPr="00155597">
        <w:rPr>
          <w:sz w:val="24"/>
        </w:rPr>
        <w:t xml:space="preserve">Bureau </w:t>
      </w:r>
      <w:r w:rsidR="00AA7A29" w:rsidRPr="00155597">
        <w:rPr>
          <w:sz w:val="24"/>
        </w:rPr>
        <w:t>will seek to verify the correct address and remail the questionnaire</w:t>
      </w:r>
      <w:r w:rsidR="002E789F" w:rsidRPr="00155597">
        <w:rPr>
          <w:sz w:val="24"/>
        </w:rPr>
        <w:t xml:space="preserve">. </w:t>
      </w:r>
      <w:r w:rsidR="00E613A7" w:rsidRPr="00155597">
        <w:rPr>
          <w:sz w:val="24"/>
        </w:rPr>
        <w:t>Likewise, if outgoing e</w:t>
      </w:r>
      <w:r w:rsidR="00204BAE" w:rsidRPr="00155597">
        <w:rPr>
          <w:sz w:val="24"/>
        </w:rPr>
        <w:t>-</w:t>
      </w:r>
      <w:r w:rsidR="00E613A7" w:rsidRPr="00155597">
        <w:rPr>
          <w:sz w:val="24"/>
        </w:rPr>
        <w:t>mails sent to respondents bounce back, the Census Bureau will perform research to obtain the correct address</w:t>
      </w:r>
      <w:r w:rsidR="00204BAE" w:rsidRPr="00155597">
        <w:rPr>
          <w:sz w:val="24"/>
        </w:rPr>
        <w:t>es</w:t>
      </w:r>
      <w:r w:rsidR="00E613A7" w:rsidRPr="00155597">
        <w:rPr>
          <w:sz w:val="24"/>
        </w:rPr>
        <w:t xml:space="preserve"> and </w:t>
      </w:r>
      <w:r w:rsidR="00204BAE" w:rsidRPr="00155597">
        <w:rPr>
          <w:sz w:val="24"/>
        </w:rPr>
        <w:t xml:space="preserve">then </w:t>
      </w:r>
      <w:r w:rsidR="00E613A7" w:rsidRPr="00155597">
        <w:rPr>
          <w:sz w:val="24"/>
        </w:rPr>
        <w:t>resend the e</w:t>
      </w:r>
      <w:r w:rsidR="00204BAE" w:rsidRPr="00155597">
        <w:rPr>
          <w:sz w:val="24"/>
        </w:rPr>
        <w:t>-</w:t>
      </w:r>
      <w:r w:rsidR="00E613A7" w:rsidRPr="00155597">
        <w:rPr>
          <w:sz w:val="24"/>
        </w:rPr>
        <w:t>mail</w:t>
      </w:r>
      <w:r w:rsidR="00204BAE" w:rsidRPr="00155597">
        <w:rPr>
          <w:sz w:val="24"/>
        </w:rPr>
        <w:t>s</w:t>
      </w:r>
      <w:r w:rsidR="00E613A7" w:rsidRPr="00155597">
        <w:rPr>
          <w:sz w:val="24"/>
        </w:rPr>
        <w:t>.</w:t>
      </w:r>
    </w:p>
    <w:p w14:paraId="04EBB685" w14:textId="06BD3812" w:rsidR="007C6F40" w:rsidRPr="00155597" w:rsidRDefault="00AA7A29" w:rsidP="00E103F7">
      <w:pPr>
        <w:pStyle w:val="BodyText2"/>
        <w:spacing w:after="120" w:line="240" w:lineRule="auto"/>
        <w:rPr>
          <w:sz w:val="24"/>
        </w:rPr>
      </w:pPr>
      <w:r w:rsidRPr="00155597">
        <w:rPr>
          <w:sz w:val="24"/>
        </w:rPr>
        <w:t xml:space="preserve">All </w:t>
      </w:r>
      <w:r w:rsidR="00E613A7" w:rsidRPr="00155597">
        <w:rPr>
          <w:sz w:val="24"/>
        </w:rPr>
        <w:t xml:space="preserve">completed </w:t>
      </w:r>
      <w:r w:rsidRPr="00155597">
        <w:rPr>
          <w:sz w:val="24"/>
        </w:rPr>
        <w:t xml:space="preserve">questionnaires </w:t>
      </w:r>
      <w:r w:rsidR="009B15C2" w:rsidRPr="00155597">
        <w:rPr>
          <w:sz w:val="24"/>
        </w:rPr>
        <w:t>(both paper and web)</w:t>
      </w:r>
      <w:r w:rsidR="00840296" w:rsidRPr="00155597">
        <w:rPr>
          <w:sz w:val="24"/>
        </w:rPr>
        <w:t xml:space="preserve"> </w:t>
      </w:r>
      <w:r w:rsidRPr="00155597">
        <w:rPr>
          <w:sz w:val="24"/>
        </w:rPr>
        <w:t xml:space="preserve">that are received </w:t>
      </w:r>
      <w:r w:rsidR="00E613A7" w:rsidRPr="00155597">
        <w:rPr>
          <w:sz w:val="24"/>
        </w:rPr>
        <w:t xml:space="preserve">by the Census Bureau </w:t>
      </w:r>
      <w:r w:rsidRPr="00155597">
        <w:rPr>
          <w:sz w:val="24"/>
        </w:rPr>
        <w:t>will be reviewed for consistency and completeness</w:t>
      </w:r>
      <w:r w:rsidR="00831E65" w:rsidRPr="00155597">
        <w:rPr>
          <w:sz w:val="24"/>
        </w:rPr>
        <w:t>. I</w:t>
      </w:r>
      <w:r w:rsidRPr="00155597">
        <w:rPr>
          <w:sz w:val="24"/>
        </w:rPr>
        <w:t xml:space="preserve">f a questionnaire has too few items completed to be counted as a response (or if it has missing or conflicting data </w:t>
      </w:r>
      <w:r w:rsidR="003949E6" w:rsidRPr="00155597">
        <w:rPr>
          <w:sz w:val="24"/>
        </w:rPr>
        <w:t xml:space="preserve">for </w:t>
      </w:r>
      <w:r w:rsidRPr="00155597">
        <w:rPr>
          <w:sz w:val="24"/>
        </w:rPr>
        <w:t>key items), telephone interviewers will seek to obtain more complete responses</w:t>
      </w:r>
      <w:r w:rsidR="002E789F" w:rsidRPr="00155597">
        <w:rPr>
          <w:sz w:val="24"/>
        </w:rPr>
        <w:t xml:space="preserve">. </w:t>
      </w:r>
      <w:r w:rsidR="00FC6F7B" w:rsidRPr="00155597">
        <w:rPr>
          <w:sz w:val="24"/>
        </w:rPr>
        <w:t>Telephone interviews will be conducted only by Census Bureau interviewers</w:t>
      </w:r>
      <w:r w:rsidR="00A17FD5" w:rsidRPr="00155597">
        <w:rPr>
          <w:sz w:val="24"/>
        </w:rPr>
        <w:t xml:space="preserve"> </w:t>
      </w:r>
      <w:r w:rsidRPr="00155597">
        <w:rPr>
          <w:sz w:val="24"/>
        </w:rPr>
        <w:t xml:space="preserve">who have received training in </w:t>
      </w:r>
      <w:r w:rsidR="00FC6F7B" w:rsidRPr="00155597">
        <w:rPr>
          <w:sz w:val="24"/>
        </w:rPr>
        <w:t xml:space="preserve">general </w:t>
      </w:r>
      <w:r w:rsidRPr="00155597">
        <w:rPr>
          <w:sz w:val="24"/>
        </w:rPr>
        <w:t xml:space="preserve">telephone interview techniques </w:t>
      </w:r>
      <w:r w:rsidR="00FC6F7B" w:rsidRPr="00155597">
        <w:rPr>
          <w:sz w:val="24"/>
        </w:rPr>
        <w:t xml:space="preserve">as well as </w:t>
      </w:r>
      <w:r w:rsidRPr="00155597">
        <w:rPr>
          <w:sz w:val="24"/>
        </w:rPr>
        <w:t xml:space="preserve">specific training </w:t>
      </w:r>
      <w:r w:rsidR="00FC6F7B" w:rsidRPr="00155597">
        <w:rPr>
          <w:sz w:val="24"/>
        </w:rPr>
        <w:t>for</w:t>
      </w:r>
      <w:r w:rsidRPr="00155597">
        <w:rPr>
          <w:sz w:val="24"/>
        </w:rPr>
        <w:t xml:space="preserve"> SSOCS</w:t>
      </w:r>
      <w:r w:rsidR="00FC6F7B" w:rsidRPr="00155597">
        <w:rPr>
          <w:sz w:val="24"/>
        </w:rPr>
        <w:t xml:space="preserve">. </w:t>
      </w:r>
      <w:r w:rsidRPr="00155597">
        <w:rPr>
          <w:sz w:val="24"/>
        </w:rPr>
        <w:t xml:space="preserve">After data retrieval is completed, a questionnaire must have </w:t>
      </w:r>
      <w:r w:rsidR="00FB3B3E" w:rsidRPr="00155597">
        <w:rPr>
          <w:sz w:val="24"/>
        </w:rPr>
        <w:t>approximately</w:t>
      </w:r>
      <w:r w:rsidRPr="00155597">
        <w:rPr>
          <w:sz w:val="24"/>
        </w:rPr>
        <w:t xml:space="preserve"> 60 percent of all items and </w:t>
      </w:r>
      <w:r w:rsidR="00FB3B3E" w:rsidRPr="00155597">
        <w:rPr>
          <w:sz w:val="24"/>
        </w:rPr>
        <w:t>approximately</w:t>
      </w:r>
      <w:r w:rsidRPr="00155597">
        <w:rPr>
          <w:sz w:val="24"/>
        </w:rPr>
        <w:t xml:space="preserve"> 80 percent of all </w:t>
      </w:r>
      <w:r w:rsidR="0030487E" w:rsidRPr="00155597">
        <w:rPr>
          <w:sz w:val="24"/>
        </w:rPr>
        <w:t>critical</w:t>
      </w:r>
      <w:r w:rsidRPr="00155597">
        <w:rPr>
          <w:sz w:val="24"/>
        </w:rPr>
        <w:t xml:space="preserve"> items completed to be considered valid for inclusion in the dataset</w:t>
      </w:r>
      <w:r w:rsidR="002E789F" w:rsidRPr="00155597">
        <w:rPr>
          <w:sz w:val="24"/>
        </w:rPr>
        <w:t xml:space="preserve">. </w:t>
      </w:r>
      <w:r w:rsidRPr="00155597">
        <w:rPr>
          <w:sz w:val="24"/>
        </w:rPr>
        <w:t>Responses of “don’t know”</w:t>
      </w:r>
      <w:r w:rsidR="001202B9" w:rsidRPr="00155597">
        <w:rPr>
          <w:sz w:val="24"/>
        </w:rPr>
        <w:t xml:space="preserve"> (which only apply to item 17</w:t>
      </w:r>
      <w:r w:rsidR="009543E8" w:rsidRPr="00155597">
        <w:rPr>
          <w:sz w:val="24"/>
        </w:rPr>
        <w:t xml:space="preserve"> on SSOCS:18/item 14 on SSOCS:2020</w:t>
      </w:r>
      <w:r w:rsidR="001202B9" w:rsidRPr="00155597">
        <w:rPr>
          <w:sz w:val="24"/>
        </w:rPr>
        <w:t>)</w:t>
      </w:r>
      <w:r w:rsidRPr="00155597">
        <w:rPr>
          <w:sz w:val="24"/>
        </w:rPr>
        <w:t xml:space="preserve"> will not be considered as valid responses when counting the number of items completed</w:t>
      </w:r>
      <w:r w:rsidR="002E789F" w:rsidRPr="00155597">
        <w:rPr>
          <w:sz w:val="24"/>
        </w:rPr>
        <w:t>.</w:t>
      </w:r>
    </w:p>
    <w:p w14:paraId="61C5AEA2" w14:textId="77777777" w:rsidR="00AA7A29" w:rsidRPr="00155597" w:rsidRDefault="00AA7A29" w:rsidP="00E103F7">
      <w:pPr>
        <w:pStyle w:val="AbtHeadC"/>
        <w:keepLines w:val="0"/>
        <w:spacing w:after="120" w:line="240" w:lineRule="auto"/>
        <w:rPr>
          <w:rFonts w:ascii="Times New Roman" w:hAnsi="Times New Roman"/>
          <w:sz w:val="24"/>
          <w:szCs w:val="24"/>
        </w:rPr>
      </w:pPr>
      <w:r w:rsidRPr="00155597">
        <w:rPr>
          <w:rFonts w:ascii="Times New Roman" w:hAnsi="Times New Roman"/>
          <w:sz w:val="24"/>
          <w:szCs w:val="24"/>
        </w:rPr>
        <w:t>Endorsements</w:t>
      </w:r>
    </w:p>
    <w:p w14:paraId="07AD770F" w14:textId="02FC42B8" w:rsidR="004030F4" w:rsidRPr="00155597" w:rsidRDefault="00AA7A29" w:rsidP="00E103F7">
      <w:pPr>
        <w:pStyle w:val="Footer"/>
        <w:spacing w:after="120"/>
        <w:rPr>
          <w:rFonts w:ascii="Times New Roman" w:hAnsi="Times New Roman"/>
          <w:b w:val="0"/>
          <w:sz w:val="24"/>
          <w:szCs w:val="24"/>
        </w:rPr>
      </w:pPr>
      <w:r w:rsidRPr="00155597">
        <w:rPr>
          <w:rFonts w:ascii="Times New Roman" w:hAnsi="Times New Roman"/>
          <w:b w:val="0"/>
          <w:sz w:val="24"/>
          <w:szCs w:val="24"/>
        </w:rPr>
        <w:t xml:space="preserve">To further increase the perceived legitimacy of the survey and thus improve the response rate, </w:t>
      </w:r>
      <w:r w:rsidR="00146F81" w:rsidRPr="00155597">
        <w:rPr>
          <w:rFonts w:ascii="Times New Roman" w:hAnsi="Times New Roman"/>
          <w:b w:val="0"/>
          <w:sz w:val="24"/>
          <w:szCs w:val="24"/>
        </w:rPr>
        <w:t xml:space="preserve">the following organizations have </w:t>
      </w:r>
      <w:r w:rsidRPr="00155597">
        <w:rPr>
          <w:rFonts w:ascii="Times New Roman" w:hAnsi="Times New Roman"/>
          <w:b w:val="0"/>
          <w:sz w:val="24"/>
          <w:szCs w:val="24"/>
        </w:rPr>
        <w:t>endorse</w:t>
      </w:r>
      <w:r w:rsidR="00146F81" w:rsidRPr="00155597">
        <w:rPr>
          <w:rFonts w:ascii="Times New Roman" w:hAnsi="Times New Roman"/>
          <w:b w:val="0"/>
          <w:sz w:val="24"/>
          <w:szCs w:val="24"/>
        </w:rPr>
        <w:t>d the SSOCS</w:t>
      </w:r>
      <w:r w:rsidR="009B15C2" w:rsidRPr="00155597">
        <w:rPr>
          <w:rFonts w:ascii="Times New Roman" w:hAnsi="Times New Roman"/>
          <w:b w:val="0"/>
          <w:sz w:val="24"/>
          <w:szCs w:val="24"/>
        </w:rPr>
        <w:t xml:space="preserve">:2018 </w:t>
      </w:r>
      <w:r w:rsidR="00146F81" w:rsidRPr="00155597">
        <w:rPr>
          <w:rFonts w:ascii="Times New Roman" w:hAnsi="Times New Roman"/>
          <w:b w:val="0"/>
          <w:sz w:val="24"/>
          <w:szCs w:val="24"/>
        </w:rPr>
        <w:t>collection</w:t>
      </w:r>
      <w:r w:rsidR="00AB6661" w:rsidRPr="00155597">
        <w:rPr>
          <w:rFonts w:ascii="Times New Roman" w:hAnsi="Times New Roman"/>
          <w:b w:val="0"/>
          <w:sz w:val="24"/>
          <w:szCs w:val="24"/>
        </w:rPr>
        <w:t>:</w:t>
      </w:r>
    </w:p>
    <w:p w14:paraId="0329494D" w14:textId="19CDCFE6" w:rsidR="0030487E" w:rsidRPr="00155597" w:rsidRDefault="00AA7A29" w:rsidP="003608A3">
      <w:pPr>
        <w:pStyle w:val="BodyText"/>
        <w:numPr>
          <w:ilvl w:val="0"/>
          <w:numId w:val="18"/>
        </w:numPr>
        <w:spacing w:after="0"/>
        <w:ind w:left="720"/>
      </w:pPr>
      <w:r w:rsidRPr="00155597">
        <w:t>American Association of School Administrators</w:t>
      </w:r>
    </w:p>
    <w:p w14:paraId="61EDD421" w14:textId="77777777" w:rsidR="007C6F40" w:rsidRPr="00155597" w:rsidRDefault="0030487E" w:rsidP="003608A3">
      <w:pPr>
        <w:pStyle w:val="BodyText"/>
        <w:numPr>
          <w:ilvl w:val="0"/>
          <w:numId w:val="18"/>
        </w:numPr>
        <w:spacing w:after="0"/>
        <w:ind w:left="720"/>
      </w:pPr>
      <w:r w:rsidRPr="00155597">
        <w:t>American Federation of Teachers</w:t>
      </w:r>
    </w:p>
    <w:p w14:paraId="7BEFE8ED" w14:textId="6D4903E8" w:rsidR="007C6F40" w:rsidRPr="00155597" w:rsidRDefault="0030487E" w:rsidP="003608A3">
      <w:pPr>
        <w:pStyle w:val="BodyText"/>
        <w:numPr>
          <w:ilvl w:val="0"/>
          <w:numId w:val="18"/>
        </w:numPr>
        <w:spacing w:after="0"/>
        <w:ind w:left="720"/>
      </w:pPr>
      <w:r w:rsidRPr="00155597">
        <w:t>American School Counselors Association</w:t>
      </w:r>
    </w:p>
    <w:p w14:paraId="6D618042" w14:textId="77777777" w:rsidR="009B15C2" w:rsidRPr="00155597" w:rsidRDefault="009B15C2" w:rsidP="009B15C2">
      <w:pPr>
        <w:pStyle w:val="BodyText"/>
        <w:numPr>
          <w:ilvl w:val="0"/>
          <w:numId w:val="18"/>
        </w:numPr>
        <w:spacing w:after="0"/>
        <w:ind w:left="720"/>
      </w:pPr>
      <w:r w:rsidRPr="00155597">
        <w:t>Association for Middle Level Education</w:t>
      </w:r>
    </w:p>
    <w:p w14:paraId="3DC7D55E" w14:textId="77777777" w:rsidR="0030487E" w:rsidRPr="00155597" w:rsidRDefault="0030487E" w:rsidP="003608A3">
      <w:pPr>
        <w:pStyle w:val="BodyText"/>
        <w:numPr>
          <w:ilvl w:val="0"/>
          <w:numId w:val="18"/>
        </w:numPr>
        <w:spacing w:after="0"/>
        <w:ind w:left="720"/>
      </w:pPr>
      <w:r w:rsidRPr="00155597">
        <w:t>Association of American Educators</w:t>
      </w:r>
    </w:p>
    <w:p w14:paraId="6743DB19" w14:textId="77777777" w:rsidR="007C6F40" w:rsidRPr="00155597" w:rsidRDefault="00172CB5" w:rsidP="004D77C7">
      <w:pPr>
        <w:pStyle w:val="BodyText"/>
        <w:numPr>
          <w:ilvl w:val="0"/>
          <w:numId w:val="18"/>
        </w:numPr>
        <w:spacing w:after="0"/>
        <w:ind w:left="720"/>
      </w:pPr>
      <w:r w:rsidRPr="00155597">
        <w:t>Council of Chief State School Officers</w:t>
      </w:r>
    </w:p>
    <w:p w14:paraId="313949A4" w14:textId="77777777" w:rsidR="00146F81" w:rsidRPr="00155597" w:rsidRDefault="00146F81" w:rsidP="003608A3">
      <w:pPr>
        <w:pStyle w:val="BodyText"/>
        <w:numPr>
          <w:ilvl w:val="0"/>
          <w:numId w:val="18"/>
        </w:numPr>
        <w:spacing w:after="0"/>
        <w:ind w:left="720"/>
      </w:pPr>
      <w:r w:rsidRPr="00155597">
        <w:t>Education Northwest</w:t>
      </w:r>
    </w:p>
    <w:p w14:paraId="7DCAE035" w14:textId="77777777" w:rsidR="007C6F40" w:rsidRPr="00155597" w:rsidRDefault="00AA7A29" w:rsidP="003608A3">
      <w:pPr>
        <w:pStyle w:val="BodyText"/>
        <w:numPr>
          <w:ilvl w:val="0"/>
          <w:numId w:val="18"/>
        </w:numPr>
        <w:spacing w:after="0"/>
        <w:ind w:left="720"/>
      </w:pPr>
      <w:r w:rsidRPr="00155597">
        <w:t>National Association of Elementary School Principals</w:t>
      </w:r>
    </w:p>
    <w:p w14:paraId="6B0843F8" w14:textId="77777777" w:rsidR="00F14025" w:rsidRPr="00155597" w:rsidRDefault="00F14025" w:rsidP="003608A3">
      <w:pPr>
        <w:pStyle w:val="BodyText"/>
        <w:numPr>
          <w:ilvl w:val="0"/>
          <w:numId w:val="18"/>
        </w:numPr>
        <w:spacing w:after="0"/>
        <w:ind w:left="720"/>
      </w:pPr>
      <w:r w:rsidRPr="00155597">
        <w:t>National Association of School Psychologists</w:t>
      </w:r>
    </w:p>
    <w:p w14:paraId="37245E88" w14:textId="77777777" w:rsidR="00013359" w:rsidRPr="00155597" w:rsidRDefault="003739F2" w:rsidP="003608A3">
      <w:pPr>
        <w:pStyle w:val="BodyText"/>
        <w:numPr>
          <w:ilvl w:val="0"/>
          <w:numId w:val="18"/>
        </w:numPr>
        <w:spacing w:after="0"/>
        <w:ind w:left="720"/>
      </w:pPr>
      <w:r w:rsidRPr="00155597">
        <w:t>National Association of School Resource Officers</w:t>
      </w:r>
    </w:p>
    <w:p w14:paraId="094B4E5E" w14:textId="77777777" w:rsidR="00172CB5" w:rsidRPr="00155597" w:rsidRDefault="00172CB5" w:rsidP="003608A3">
      <w:pPr>
        <w:pStyle w:val="BodyText"/>
        <w:numPr>
          <w:ilvl w:val="0"/>
          <w:numId w:val="18"/>
        </w:numPr>
        <w:spacing w:after="0"/>
        <w:ind w:left="720"/>
      </w:pPr>
      <w:r w:rsidRPr="00155597">
        <w:t>National Association of Secondary School Principals</w:t>
      </w:r>
    </w:p>
    <w:p w14:paraId="290A2027" w14:textId="77777777" w:rsidR="00172CB5" w:rsidRPr="00155597" w:rsidRDefault="00172CB5" w:rsidP="003608A3">
      <w:pPr>
        <w:pStyle w:val="BodyText"/>
        <w:numPr>
          <w:ilvl w:val="0"/>
          <w:numId w:val="18"/>
        </w:numPr>
        <w:spacing w:after="0"/>
        <w:ind w:left="720"/>
      </w:pPr>
      <w:r w:rsidRPr="00155597">
        <w:t>National Association of State Boards of Education</w:t>
      </w:r>
    </w:p>
    <w:p w14:paraId="04802DE5" w14:textId="77777777" w:rsidR="007C6F40" w:rsidRPr="00155597" w:rsidRDefault="00172CB5" w:rsidP="003608A3">
      <w:pPr>
        <w:pStyle w:val="BodyText"/>
        <w:numPr>
          <w:ilvl w:val="0"/>
          <w:numId w:val="18"/>
        </w:numPr>
        <w:spacing w:after="0"/>
        <w:ind w:left="720"/>
      </w:pPr>
      <w:r w:rsidRPr="00155597">
        <w:t>National PTA</w:t>
      </w:r>
    </w:p>
    <w:p w14:paraId="446D66BC" w14:textId="77777777" w:rsidR="00172CB5" w:rsidRPr="00155597" w:rsidRDefault="00172CB5" w:rsidP="003608A3">
      <w:pPr>
        <w:pStyle w:val="BodyText"/>
        <w:numPr>
          <w:ilvl w:val="0"/>
          <w:numId w:val="18"/>
        </w:numPr>
        <w:spacing w:after="0"/>
        <w:ind w:left="720"/>
      </w:pPr>
      <w:r w:rsidRPr="00155597">
        <w:t>National School Safety Center</w:t>
      </w:r>
    </w:p>
    <w:p w14:paraId="340B0B25" w14:textId="77777777" w:rsidR="00172CB5" w:rsidRPr="00155597" w:rsidRDefault="00172CB5" w:rsidP="003608A3">
      <w:pPr>
        <w:pStyle w:val="BodyText"/>
        <w:numPr>
          <w:ilvl w:val="0"/>
          <w:numId w:val="18"/>
        </w:numPr>
        <w:spacing w:after="0"/>
        <w:ind w:left="720"/>
      </w:pPr>
      <w:r w:rsidRPr="00155597">
        <w:t>School Safety Advocacy Council</w:t>
      </w:r>
    </w:p>
    <w:p w14:paraId="26B763E8" w14:textId="77777777" w:rsidR="00F14025" w:rsidRPr="00155597" w:rsidRDefault="00F14025" w:rsidP="00840296">
      <w:pPr>
        <w:pStyle w:val="BodyText"/>
        <w:numPr>
          <w:ilvl w:val="0"/>
          <w:numId w:val="18"/>
        </w:numPr>
        <w:spacing w:after="0"/>
        <w:ind w:left="720"/>
      </w:pPr>
      <w:r w:rsidRPr="00155597">
        <w:t>School Social Work Association of America</w:t>
      </w:r>
    </w:p>
    <w:p w14:paraId="64809079" w14:textId="0E738EBD" w:rsidR="00F14025" w:rsidRPr="00155597" w:rsidRDefault="00F14025" w:rsidP="004D77C7">
      <w:pPr>
        <w:pStyle w:val="BodyText"/>
        <w:numPr>
          <w:ilvl w:val="0"/>
          <w:numId w:val="18"/>
        </w:numPr>
        <w:spacing w:after="160"/>
        <w:ind w:left="720"/>
      </w:pPr>
      <w:r w:rsidRPr="00155597">
        <w:t>UCLA Center for Mental Health in the Schools</w:t>
      </w:r>
    </w:p>
    <w:p w14:paraId="39931D4D" w14:textId="1801D24A" w:rsidR="009B15C2" w:rsidRPr="00155597" w:rsidRDefault="009B15C2" w:rsidP="009B15C2">
      <w:pPr>
        <w:pStyle w:val="BodyText"/>
        <w:spacing w:after="160"/>
      </w:pPr>
      <w:r w:rsidRPr="00155597">
        <w:t>In addition to the above agencies that endorsed SSOCS:2018, Census will solicit endorsement from the following agencies for SSOCS:2020:</w:t>
      </w:r>
    </w:p>
    <w:p w14:paraId="5BD7D5BB" w14:textId="0E382622" w:rsidR="009B15C2" w:rsidRPr="00155597" w:rsidRDefault="009B15C2" w:rsidP="009B15C2">
      <w:pPr>
        <w:pStyle w:val="BodyText"/>
        <w:numPr>
          <w:ilvl w:val="0"/>
          <w:numId w:val="18"/>
        </w:numPr>
        <w:spacing w:after="0"/>
        <w:ind w:left="720"/>
      </w:pPr>
      <w:r w:rsidRPr="00155597">
        <w:t>Center for Prevention of School Violence</w:t>
      </w:r>
    </w:p>
    <w:p w14:paraId="0DF19FCB" w14:textId="77777777" w:rsidR="001B0D2B" w:rsidRPr="00155597" w:rsidRDefault="001B0D2B" w:rsidP="001B0D2B">
      <w:pPr>
        <w:pStyle w:val="BodyText"/>
        <w:numPr>
          <w:ilvl w:val="0"/>
          <w:numId w:val="18"/>
        </w:numPr>
        <w:spacing w:after="0"/>
        <w:ind w:left="720"/>
      </w:pPr>
      <w:r w:rsidRPr="00155597">
        <w:t>Center for School Mental Health</w:t>
      </w:r>
    </w:p>
    <w:p w14:paraId="022F6112" w14:textId="77777777" w:rsidR="009B15C2" w:rsidRPr="00155597" w:rsidRDefault="009B15C2" w:rsidP="009B15C2">
      <w:pPr>
        <w:pStyle w:val="BodyText"/>
        <w:numPr>
          <w:ilvl w:val="0"/>
          <w:numId w:val="18"/>
        </w:numPr>
        <w:spacing w:after="0"/>
        <w:ind w:left="720"/>
      </w:pPr>
      <w:r w:rsidRPr="00155597">
        <w:t>National Association of School Safety and Law Enforcement Officers</w:t>
      </w:r>
    </w:p>
    <w:p w14:paraId="6EABA5DC" w14:textId="77777777" w:rsidR="009B15C2" w:rsidRPr="00155597" w:rsidRDefault="009B15C2" w:rsidP="009B15C2">
      <w:pPr>
        <w:pStyle w:val="BodyText"/>
        <w:numPr>
          <w:ilvl w:val="0"/>
          <w:numId w:val="18"/>
        </w:numPr>
        <w:spacing w:after="0"/>
        <w:ind w:left="720"/>
      </w:pPr>
      <w:r w:rsidRPr="00155597">
        <w:t>National School Boards Association</w:t>
      </w:r>
    </w:p>
    <w:p w14:paraId="4A06DD36" w14:textId="77777777" w:rsidR="009B15C2" w:rsidRPr="00155597" w:rsidRDefault="009B15C2" w:rsidP="009B15C2">
      <w:pPr>
        <w:pStyle w:val="BodyText"/>
        <w:numPr>
          <w:ilvl w:val="0"/>
          <w:numId w:val="18"/>
        </w:numPr>
        <w:spacing w:after="0"/>
        <w:ind w:left="720"/>
      </w:pPr>
      <w:r w:rsidRPr="00155597">
        <w:t>Police Executive Research Forum</w:t>
      </w:r>
    </w:p>
    <w:p w14:paraId="04614DF1" w14:textId="77777777" w:rsidR="009B15C2" w:rsidRPr="00155597" w:rsidRDefault="009B15C2" w:rsidP="009B15C2">
      <w:pPr>
        <w:pStyle w:val="BodyText"/>
        <w:numPr>
          <w:ilvl w:val="0"/>
          <w:numId w:val="18"/>
        </w:numPr>
        <w:spacing w:after="0"/>
        <w:ind w:left="720"/>
      </w:pPr>
      <w:r w:rsidRPr="00155597">
        <w:t>Safe Schools Initiative Division</w:t>
      </w:r>
    </w:p>
    <w:p w14:paraId="23F7CA8E" w14:textId="77777777" w:rsidR="009B15C2" w:rsidRPr="00155597" w:rsidRDefault="009B15C2" w:rsidP="009B15C2">
      <w:pPr>
        <w:pStyle w:val="BodyText"/>
        <w:numPr>
          <w:ilvl w:val="0"/>
          <w:numId w:val="18"/>
        </w:numPr>
        <w:spacing w:after="0"/>
        <w:ind w:left="720"/>
      </w:pPr>
      <w:r w:rsidRPr="00155597">
        <w:t>University of Arkansas Criminal Justice Institute</w:t>
      </w:r>
    </w:p>
    <w:p w14:paraId="42BBC3D9" w14:textId="77777777" w:rsidR="00D60793" w:rsidRPr="00155597" w:rsidRDefault="00D60793" w:rsidP="004D77C7">
      <w:pPr>
        <w:pStyle w:val="BodyText"/>
        <w:spacing w:after="0"/>
        <w:ind w:left="720"/>
      </w:pPr>
    </w:p>
    <w:p w14:paraId="33335FF4" w14:textId="4CA5B7FC" w:rsidR="00AA7A29" w:rsidRPr="00155597" w:rsidRDefault="00AA7A29" w:rsidP="00D671F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23" w:name="_Toc411895534"/>
      <w:bookmarkStart w:id="24" w:name="_Toc3478476"/>
      <w:bookmarkStart w:id="25" w:name="_Toc45701403"/>
      <w:r w:rsidRPr="00155597">
        <w:rPr>
          <w:rFonts w:ascii="Times New Roman" w:hAnsi="Times New Roman"/>
          <w:sz w:val="24"/>
          <w:szCs w:val="24"/>
        </w:rPr>
        <w:t>B</w:t>
      </w:r>
      <w:r w:rsidR="00CD4B5C" w:rsidRPr="00155597">
        <w:rPr>
          <w:rFonts w:ascii="Times New Roman" w:hAnsi="Times New Roman"/>
          <w:sz w:val="24"/>
          <w:szCs w:val="24"/>
        </w:rPr>
        <w:t>4</w:t>
      </w:r>
      <w:r w:rsidR="002E789F" w:rsidRPr="00155597">
        <w:rPr>
          <w:rFonts w:ascii="Times New Roman" w:hAnsi="Times New Roman"/>
          <w:sz w:val="24"/>
          <w:szCs w:val="24"/>
        </w:rPr>
        <w:t xml:space="preserve">. </w:t>
      </w:r>
      <w:r w:rsidRPr="00155597">
        <w:rPr>
          <w:rFonts w:ascii="Times New Roman" w:hAnsi="Times New Roman"/>
          <w:sz w:val="24"/>
          <w:szCs w:val="24"/>
        </w:rPr>
        <w:t>Tests of Procedures</w:t>
      </w:r>
      <w:bookmarkEnd w:id="23"/>
      <w:bookmarkEnd w:id="24"/>
    </w:p>
    <w:bookmarkEnd w:id="25"/>
    <w:p w14:paraId="6AD4E5BE" w14:textId="387BCFF7" w:rsidR="00F57D16" w:rsidRPr="00155597" w:rsidRDefault="00F57D16" w:rsidP="00F66798">
      <w:pPr>
        <w:spacing w:after="120"/>
        <w:rPr>
          <w:b/>
        </w:rPr>
      </w:pPr>
      <w:r w:rsidRPr="00155597">
        <w:rPr>
          <w:b/>
        </w:rPr>
        <w:t>Experiments</w:t>
      </w:r>
    </w:p>
    <w:p w14:paraId="459C1295" w14:textId="77777777" w:rsidR="009B15C2" w:rsidRPr="00155597" w:rsidRDefault="009B15C2" w:rsidP="009B15C2">
      <w:pPr>
        <w:spacing w:after="120"/>
      </w:pPr>
      <w:r w:rsidRPr="00155597">
        <w:t>Both SSOCS:2018 and SSOCS:2020 will include methodological experiments aimed at boosting response rates.</w:t>
      </w:r>
    </w:p>
    <w:p w14:paraId="0F81C6CF" w14:textId="3BCA8580" w:rsidR="009B15C2" w:rsidRPr="00155597" w:rsidRDefault="009B15C2" w:rsidP="009B15C2">
      <w:pPr>
        <w:spacing w:after="120"/>
        <w:rPr>
          <w:u w:val="single"/>
        </w:rPr>
      </w:pPr>
      <w:r w:rsidRPr="00155597">
        <w:rPr>
          <w:u w:val="single"/>
        </w:rPr>
        <w:t>SSOCS:2018</w:t>
      </w:r>
      <w:r w:rsidR="0059415B">
        <w:rPr>
          <w:u w:val="single"/>
        </w:rPr>
        <w:t xml:space="preserve"> Experiments</w:t>
      </w:r>
    </w:p>
    <w:p w14:paraId="69FABF43" w14:textId="295C54EF" w:rsidR="001107C8" w:rsidRPr="00155597" w:rsidRDefault="00F57D16" w:rsidP="004F675D">
      <w:pPr>
        <w:widowControl w:val="0"/>
        <w:spacing w:after="120"/>
      </w:pPr>
      <w:r w:rsidRPr="00155597">
        <w:t>SSOCS:</w:t>
      </w:r>
      <w:r w:rsidR="001303C7" w:rsidRPr="00155597">
        <w:t>201</w:t>
      </w:r>
      <w:r w:rsidRPr="00155597">
        <w:t>8 will include two data collection experiments: the first experiment tests the inclusion of a web instrument as a mode of completing the survey, and the second experiment investigates the inclusion of an incentive to completing the survey.</w:t>
      </w:r>
    </w:p>
    <w:p w14:paraId="767D9D88" w14:textId="18C8CA04" w:rsidR="00F57D16" w:rsidRPr="00155597" w:rsidRDefault="00F57D16" w:rsidP="00E14139">
      <w:pPr>
        <w:keepNext/>
        <w:spacing w:after="120"/>
        <w:rPr>
          <w:i/>
        </w:rPr>
      </w:pPr>
      <w:r w:rsidRPr="00155597">
        <w:rPr>
          <w:i/>
        </w:rPr>
        <w:t>Experiment #1: Web Instrument</w:t>
      </w:r>
    </w:p>
    <w:p w14:paraId="39C81FB0" w14:textId="17DF3A53" w:rsidR="009E0CAE" w:rsidRPr="00155597" w:rsidRDefault="009E0CAE" w:rsidP="00E14139">
      <w:pPr>
        <w:widowControl w:val="0"/>
        <w:spacing w:after="120"/>
      </w:pPr>
      <w:r w:rsidRPr="00155597">
        <w:t>Among a total sample of 4,800 schools, a</w:t>
      </w:r>
      <w:r w:rsidR="00F57D16" w:rsidRPr="00155597">
        <w:t xml:space="preserve">pproximately 1,150 schools will be selected at random to be included in the treatment group. As opposed to the control group, which will receive a package including an informative letter about the survey, a brochure, and the questionnaire, the treatment group will receive a letter including log-in information, as well as a brochure. Out of a </w:t>
      </w:r>
      <w:r w:rsidRPr="00155597">
        <w:t>total of four potential mailings to schools</w:t>
      </w:r>
      <w:r w:rsidR="00F57D16" w:rsidRPr="00155597">
        <w:t xml:space="preserve">, this group will </w:t>
      </w:r>
      <w:r w:rsidR="00F57D16" w:rsidRPr="00155597">
        <w:rPr>
          <w:u w:val="single"/>
        </w:rPr>
        <w:t>only</w:t>
      </w:r>
      <w:r w:rsidR="00F57D16" w:rsidRPr="00155597">
        <w:t xml:space="preserve"> receive the web option to complete the survey for the first</w:t>
      </w:r>
      <w:r w:rsidRPr="00155597">
        <w:t xml:space="preserve"> two mailings, and will receive the paper questionnaire in the third and fourth mailings. The difference in response rate between the control and treatment group necessary to detect </w:t>
      </w:r>
      <w:r w:rsidR="000205B2" w:rsidRPr="00155597">
        <w:t xml:space="preserve">a </w:t>
      </w:r>
      <w:r w:rsidRPr="00155597">
        <w:t>stati</w:t>
      </w:r>
      <w:r w:rsidR="000205B2" w:rsidRPr="00155597">
        <w:t>stically significant difference</w:t>
      </w:r>
      <w:r w:rsidRPr="00155597">
        <w:t xml:space="preserve"> </w:t>
      </w:r>
      <w:r w:rsidR="00916ED0" w:rsidRPr="00155597">
        <w:t>h</w:t>
      </w:r>
      <w:r w:rsidR="000205B2" w:rsidRPr="00155597">
        <w:t>as been calculated and is</w:t>
      </w:r>
      <w:r w:rsidR="00916ED0" w:rsidRPr="00155597">
        <w:t xml:space="preserve"> discussed below</w:t>
      </w:r>
      <w:r w:rsidRPr="00155597">
        <w:t xml:space="preserve">. The following test statistic was used in determining </w:t>
      </w:r>
      <w:r w:rsidR="000205B2" w:rsidRPr="00155597">
        <w:t>this difference</w:t>
      </w:r>
      <w:r w:rsidRPr="00155597">
        <w:t>:</w:t>
      </w:r>
    </w:p>
    <w:p w14:paraId="633F542F" w14:textId="0FF699F7" w:rsidR="00916ED0" w:rsidRPr="00155597" w:rsidRDefault="000010F4" w:rsidP="00463E60">
      <w:pPr>
        <w:spacing w:after="120"/>
      </w:pPr>
      <m:oMathPara>
        <m:oMathParaPr>
          <m:jc m:val="left"/>
        </m:oMathParaPr>
        <m:oMath>
          <m:sSub>
            <m:sSubPr>
              <m:ctrlPr>
                <w:rPr>
                  <w:rFonts w:ascii="Cambria Math" w:hAnsi="Cambria Math"/>
                  <w:i/>
                  <w:sz w:val="22"/>
                  <w:szCs w:val="22"/>
                </w:rPr>
              </m:ctrlPr>
            </m:sSubPr>
            <m:e>
              <m:r>
                <w:rPr>
                  <w:rFonts w:ascii="Cambria Math" w:hAnsi="Cambria Math"/>
                </w:rPr>
                <m:t>Z</m:t>
              </m:r>
            </m:e>
            <m:sub>
              <m:f>
                <m:fPr>
                  <m:ctrlPr>
                    <w:rPr>
                      <w:rFonts w:ascii="Cambria Math" w:hAnsi="Cambria Math"/>
                      <w:i/>
                      <w:sz w:val="22"/>
                      <w:szCs w:val="22"/>
                    </w:rPr>
                  </m:ctrlPr>
                </m:fPr>
                <m:num>
                  <m:r>
                    <w:rPr>
                      <w:rFonts w:ascii="Cambria Math" w:hAnsi="Cambria Math"/>
                    </w:rPr>
                    <m:t>α</m:t>
                  </m:r>
                </m:num>
                <m:den>
                  <m:r>
                    <w:rPr>
                      <w:rFonts w:ascii="Cambria Math" w:hAnsi="Cambria Math"/>
                    </w:rPr>
                    <m:t>2</m:t>
                  </m:r>
                </m:den>
              </m:f>
            </m:sub>
          </m:sSub>
          <m:r>
            <w:rPr>
              <w:rFonts w:ascii="Cambria Math" w:hAnsi="Cambria Math"/>
            </w:rPr>
            <m:t>=</m:t>
          </m:r>
          <m:f>
            <m:fPr>
              <m:ctrlPr>
                <w:rPr>
                  <w:rFonts w:ascii="Cambria Math" w:hAnsi="Cambria Math"/>
                  <w:i/>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num>
            <m:den>
              <m:r>
                <w:rPr>
                  <w:rFonts w:ascii="Cambria Math" w:hAnsi="Cambria Math"/>
                </w:rPr>
                <m:t>stderr</m:t>
              </m:r>
            </m:den>
          </m:f>
          <m:r>
            <w:rPr>
              <w:rFonts w:ascii="Cambria Math" w:hAnsi="Cambria Math"/>
            </w:rPr>
            <m:t xml:space="preserve"> = (</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r>
            <w:rPr>
              <w:rFonts w:ascii="Cambria Math" w:hAnsi="Cambria Math"/>
            </w:rPr>
            <m:t>)/sqrt(deff</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den>
              </m:f>
              <m:r>
                <w:rPr>
                  <w:rFonts w:ascii="Cambria Math" w:hAnsi="Cambria Math"/>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den>
              </m:f>
            </m:e>
          </m:d>
          <m:r>
            <w:rPr>
              <w:rFonts w:ascii="Cambria Math" w:hAnsi="Cambria Math"/>
            </w:rPr>
            <m:t>)</m:t>
          </m:r>
        </m:oMath>
      </m:oMathPara>
    </w:p>
    <w:p w14:paraId="73B12FB0" w14:textId="77777777" w:rsidR="00916ED0" w:rsidRPr="00155597" w:rsidRDefault="00916ED0" w:rsidP="00463E60">
      <w:pPr>
        <w:spacing w:after="120"/>
      </w:pPr>
      <w:r w:rsidRPr="00155597">
        <w:t>where</w:t>
      </w:r>
    </w:p>
    <w:p w14:paraId="6F7F6533" w14:textId="77777777" w:rsidR="00916ED0" w:rsidRPr="00155597" w:rsidRDefault="000010F4" w:rsidP="00463E60">
      <w:pPr>
        <w:pStyle w:val="ListParagraph"/>
        <w:numPr>
          <w:ilvl w:val="0"/>
          <w:numId w:val="28"/>
        </w:numPr>
        <w:spacing w:after="120"/>
        <w:ind w:left="540" w:hanging="270"/>
        <w:contextualSpacing/>
      </w:pPr>
      <m:oMath>
        <m:sSub>
          <m:sSubPr>
            <m:ctrlPr>
              <w:rPr>
                <w:rFonts w:ascii="Cambria Math" w:hAnsi="Cambria Math"/>
                <w:i/>
                <w:sz w:val="22"/>
                <w:szCs w:val="22"/>
              </w:rPr>
            </m:ctrlPr>
          </m:sSubPr>
          <m:e>
            <m:r>
              <w:rPr>
                <w:rFonts w:ascii="Cambria Math" w:hAnsi="Cambria Math"/>
              </w:rPr>
              <m:t>Z</m:t>
            </m:r>
          </m:e>
          <m:sub>
            <m:r>
              <w:rPr>
                <w:rFonts w:ascii="Cambria Math" w:hAnsi="Cambria Math"/>
              </w:rPr>
              <m:t>α/2</m:t>
            </m:r>
          </m:sub>
        </m:sSub>
      </m:oMath>
      <w:r w:rsidR="00916ED0" w:rsidRPr="00155597">
        <w:t xml:space="preserve"> = 1.96 for a 95 percent confidence level per NCES standards</w:t>
      </w:r>
    </w:p>
    <w:p w14:paraId="055A55E2" w14:textId="3C70BD4C" w:rsidR="00916ED0" w:rsidRPr="00155597" w:rsidRDefault="000010F4" w:rsidP="00463E60">
      <w:pPr>
        <w:pStyle w:val="ListParagraph"/>
        <w:numPr>
          <w:ilvl w:val="0"/>
          <w:numId w:val="28"/>
        </w:numPr>
        <w:spacing w:after="120"/>
        <w:ind w:left="540" w:hanging="270"/>
        <w:contextualSpacing/>
      </w:pPr>
      <m:oMath>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oMath>
      <w:r w:rsidR="00916ED0" w:rsidRPr="00155597">
        <w:t xml:space="preserve"> and </w:t>
      </w:r>
      <m:oMath>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oMath>
      <w:r w:rsidR="00916ED0" w:rsidRPr="00155597">
        <w:t xml:space="preserve"> are the response rates for the treatment and control groups</w:t>
      </w:r>
    </w:p>
    <w:p w14:paraId="759D786B" w14:textId="7EECAC5F" w:rsidR="00916ED0" w:rsidRPr="00155597" w:rsidRDefault="000010F4" w:rsidP="00463E60">
      <w:pPr>
        <w:pStyle w:val="ListParagraph"/>
        <w:numPr>
          <w:ilvl w:val="0"/>
          <w:numId w:val="28"/>
        </w:numPr>
        <w:spacing w:after="120"/>
        <w:ind w:left="540" w:hanging="270"/>
        <w:contextualSpacing/>
      </w:pPr>
      <m:oMath>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oMath>
      <w:r w:rsidR="00916ED0" w:rsidRPr="00155597">
        <w:t xml:space="preserve"> and </w:t>
      </w:r>
      <m:oMath>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oMath>
      <w:r w:rsidR="00916ED0" w:rsidRPr="00155597">
        <w:t xml:space="preserve"> are the sample sizes for the treatment and control groups</w:t>
      </w:r>
    </w:p>
    <w:p w14:paraId="3055C7E8" w14:textId="77777777" w:rsidR="001107C8" w:rsidRPr="00155597" w:rsidRDefault="00916ED0" w:rsidP="00463E60">
      <w:pPr>
        <w:pStyle w:val="ListParagraph"/>
        <w:numPr>
          <w:ilvl w:val="0"/>
          <w:numId w:val="28"/>
        </w:numPr>
        <w:spacing w:after="120"/>
        <w:ind w:left="540" w:hanging="270"/>
        <w:contextualSpacing/>
        <w:rPr>
          <w:rFonts w:eastAsiaTheme="minorEastAsia"/>
        </w:rPr>
      </w:pPr>
      <m:oMath>
        <m:r>
          <w:rPr>
            <w:rFonts w:ascii="Cambria Math" w:hAnsi="Cambria Math"/>
          </w:rPr>
          <m:t>deff</m:t>
        </m:r>
      </m:oMath>
      <w:r w:rsidRPr="00155597">
        <w:rPr>
          <w:rFonts w:eastAsiaTheme="minorEastAsia"/>
        </w:rPr>
        <w:t xml:space="preserve"> = 1.6, the design effect observed in the recent administrations of SSOCS</w:t>
      </w:r>
    </w:p>
    <w:p w14:paraId="5B2A714D" w14:textId="0C41A4AE" w:rsidR="006C4854" w:rsidRPr="00155597" w:rsidRDefault="00916ED0" w:rsidP="00463E60">
      <w:pPr>
        <w:spacing w:after="120"/>
        <w:rPr>
          <w:rFonts w:eastAsiaTheme="minorEastAsia"/>
        </w:rPr>
      </w:pPr>
      <w:r w:rsidRPr="00155597">
        <w:t>T</w:t>
      </w:r>
      <w:r w:rsidR="000205B2" w:rsidRPr="00155597">
        <w:t xml:space="preserve">o be conservative, </w:t>
      </w:r>
      <w:r w:rsidRPr="00155597">
        <w:t>the standard error</w:t>
      </w:r>
      <w:r w:rsidR="000205B2" w:rsidRPr="00155597">
        <w:t xml:space="preserve"> was maximized</w:t>
      </w:r>
      <w:r w:rsidRPr="00155597">
        <w:t xml:space="preserve"> by setting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155597">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155597">
        <w:rPr>
          <w:rFonts w:eastAsiaTheme="minorEastAsia"/>
        </w:rPr>
        <w:t xml:space="preserve"> equal to 0.5 </w:t>
      </w:r>
      <w:r w:rsidRPr="00155597">
        <w:rPr>
          <w:rFonts w:eastAsiaTheme="minorEastAsia"/>
          <w:i/>
        </w:rPr>
        <w:t>only in the standard error component of the equation above</w:t>
      </w:r>
      <w:r w:rsidRPr="00155597">
        <w:rPr>
          <w:rFonts w:eastAsiaTheme="minorEastAsia"/>
        </w:rPr>
        <w:t xml:space="preserve">. The actual experiment will gain additional power as the response rates for each group deviate from 50 percent. </w:t>
      </w:r>
      <w:r w:rsidR="000205B2" w:rsidRPr="00155597">
        <w:rPr>
          <w:rFonts w:eastAsiaTheme="minorEastAsia"/>
        </w:rPr>
        <w:t>With 1,150 schools</w:t>
      </w:r>
      <w:r w:rsidRPr="00155597">
        <w:rPr>
          <w:rFonts w:eastAsiaTheme="minorEastAsia"/>
        </w:rPr>
        <w:t xml:space="preserve"> receiving the </w:t>
      </w:r>
      <w:r w:rsidR="000205B2" w:rsidRPr="00155597">
        <w:rPr>
          <w:rFonts w:eastAsiaTheme="minorEastAsia"/>
        </w:rPr>
        <w:t>web option and 3,650 receiving</w:t>
      </w:r>
      <w:r w:rsidRPr="00155597">
        <w:rPr>
          <w:rFonts w:eastAsiaTheme="minorEastAsia"/>
        </w:rPr>
        <w:t xml:space="preserve"> the mail questionnaire, </w:t>
      </w:r>
      <w:r w:rsidR="000205B2" w:rsidRPr="00155597">
        <w:rPr>
          <w:rFonts w:eastAsiaTheme="minorEastAsia"/>
        </w:rPr>
        <w:t>a significant</w:t>
      </w:r>
      <w:r w:rsidRPr="00155597">
        <w:rPr>
          <w:rFonts w:eastAsiaTheme="minorEastAsia"/>
        </w:rPr>
        <w:t xml:space="preserve"> difference</w:t>
      </w:r>
      <w:r w:rsidR="000205B2" w:rsidRPr="00155597">
        <w:rPr>
          <w:rFonts w:eastAsiaTheme="minorEastAsia"/>
        </w:rPr>
        <w:t xml:space="preserve"> will be detectable</w:t>
      </w:r>
      <w:r w:rsidRPr="00155597">
        <w:rPr>
          <w:rFonts w:eastAsiaTheme="minorEastAsia"/>
        </w:rPr>
        <w:t xml:space="preserve"> if the response rates between the two groups differ by at least 4.2 percentage points.</w:t>
      </w:r>
    </w:p>
    <w:p w14:paraId="4C164771" w14:textId="77777777" w:rsidR="001107C8" w:rsidRPr="00155597" w:rsidRDefault="00916ED0" w:rsidP="00463E60">
      <w:pPr>
        <w:spacing w:after="120"/>
        <w:rPr>
          <w:rFonts w:eastAsiaTheme="minorEastAsia"/>
          <w:i/>
        </w:rPr>
      </w:pPr>
      <w:r w:rsidRPr="00155597">
        <w:rPr>
          <w:rFonts w:eastAsiaTheme="minorEastAsia"/>
          <w:i/>
        </w:rPr>
        <w:t>Experiment #2: Incentive</w:t>
      </w:r>
    </w:p>
    <w:p w14:paraId="57D0DB82" w14:textId="77777777" w:rsidR="002E23BA" w:rsidRDefault="00916ED0" w:rsidP="009B15C2">
      <w:pPr>
        <w:spacing w:after="120"/>
        <w:rPr>
          <w:rFonts w:eastAsiaTheme="minorEastAsia"/>
        </w:rPr>
      </w:pPr>
      <w:r w:rsidRPr="00155597">
        <w:rPr>
          <w:rFonts w:eastAsiaTheme="minorEastAsia"/>
        </w:rPr>
        <w:t xml:space="preserve">For this experiment, half of the sample (approximately 2,400 schools) will receive $10 </w:t>
      </w:r>
      <w:r w:rsidR="00E6591F" w:rsidRPr="00155597">
        <w:rPr>
          <w:rFonts w:eastAsiaTheme="minorEastAsia"/>
        </w:rPr>
        <w:t>cash</w:t>
      </w:r>
      <w:r w:rsidRPr="00155597">
        <w:rPr>
          <w:rFonts w:eastAsiaTheme="minorEastAsia"/>
        </w:rPr>
        <w:t xml:space="preserve"> in the initial mailing. </w:t>
      </w:r>
      <w:r w:rsidR="000205B2" w:rsidRPr="00155597">
        <w:rPr>
          <w:rFonts w:eastAsiaTheme="minorEastAsia"/>
        </w:rPr>
        <w:t xml:space="preserve">This is considered the treatment group. </w:t>
      </w:r>
      <w:r w:rsidRPr="00155597">
        <w:rPr>
          <w:rFonts w:eastAsiaTheme="minorEastAsia"/>
        </w:rPr>
        <w:t xml:space="preserve">For respondents </w:t>
      </w:r>
      <w:r w:rsidR="000205B2" w:rsidRPr="00155597">
        <w:rPr>
          <w:rFonts w:eastAsiaTheme="minorEastAsia"/>
        </w:rPr>
        <w:t xml:space="preserve">in the treatment group </w:t>
      </w:r>
      <w:r w:rsidRPr="00155597">
        <w:rPr>
          <w:rFonts w:eastAsiaTheme="minorEastAsia"/>
        </w:rPr>
        <w:t xml:space="preserve">receiving the paper version of the questionnaire, this </w:t>
      </w:r>
      <w:r w:rsidR="00E6591F" w:rsidRPr="00155597">
        <w:rPr>
          <w:rFonts w:eastAsiaTheme="minorEastAsia"/>
        </w:rPr>
        <w:t>incentive</w:t>
      </w:r>
      <w:r w:rsidRPr="00155597">
        <w:rPr>
          <w:rFonts w:eastAsiaTheme="minorEastAsia"/>
        </w:rPr>
        <w:t xml:space="preserve"> will be included with the informative letter, the brochure, and the survey. For respondents </w:t>
      </w:r>
      <w:r w:rsidR="000205B2" w:rsidRPr="00155597">
        <w:rPr>
          <w:rFonts w:eastAsiaTheme="minorEastAsia"/>
        </w:rPr>
        <w:t xml:space="preserve">in the treatment group </w:t>
      </w:r>
      <w:r w:rsidRPr="00155597">
        <w:rPr>
          <w:rFonts w:eastAsiaTheme="minorEastAsia"/>
        </w:rPr>
        <w:t xml:space="preserve">receiving the web option of the questionnaire, this </w:t>
      </w:r>
      <w:r w:rsidR="00E6591F" w:rsidRPr="00155597">
        <w:rPr>
          <w:rFonts w:eastAsiaTheme="minorEastAsia"/>
        </w:rPr>
        <w:t xml:space="preserve">incentive </w:t>
      </w:r>
      <w:r w:rsidRPr="00155597">
        <w:rPr>
          <w:rFonts w:eastAsiaTheme="minorEastAsia"/>
        </w:rPr>
        <w:t xml:space="preserve">will be included with the informative letter and the brochure. The </w:t>
      </w:r>
      <w:r w:rsidR="00E6591F" w:rsidRPr="00155597">
        <w:rPr>
          <w:rFonts w:eastAsiaTheme="minorEastAsia"/>
        </w:rPr>
        <w:t xml:space="preserve">incentive </w:t>
      </w:r>
      <w:r w:rsidRPr="00155597">
        <w:rPr>
          <w:rFonts w:eastAsiaTheme="minorEastAsia"/>
        </w:rPr>
        <w:t xml:space="preserve">will be included </w:t>
      </w:r>
      <w:r w:rsidR="00663364" w:rsidRPr="00155597">
        <w:rPr>
          <w:rFonts w:eastAsiaTheme="minorEastAsia"/>
        </w:rPr>
        <w:t xml:space="preserve">only </w:t>
      </w:r>
      <w:r w:rsidRPr="00155597">
        <w:rPr>
          <w:rFonts w:eastAsiaTheme="minorEastAsia"/>
        </w:rPr>
        <w:t>in the initial mailing and no</w:t>
      </w:r>
      <w:r w:rsidR="00663364" w:rsidRPr="00155597">
        <w:rPr>
          <w:rFonts w:eastAsiaTheme="minorEastAsia"/>
        </w:rPr>
        <w:t>t in</w:t>
      </w:r>
      <w:r w:rsidRPr="00155597">
        <w:rPr>
          <w:rFonts w:eastAsiaTheme="minorEastAsia"/>
        </w:rPr>
        <w:t xml:space="preserve"> other subsequent mailings. </w:t>
      </w:r>
      <w:r w:rsidR="000205B2" w:rsidRPr="00155597">
        <w:rPr>
          <w:rFonts w:eastAsiaTheme="minorEastAsia"/>
        </w:rPr>
        <w:t xml:space="preserve">Control group respondents will not receive any incentive throughout the data collection procedures. </w:t>
      </w:r>
      <w:r w:rsidRPr="00155597">
        <w:rPr>
          <w:rFonts w:eastAsiaTheme="minorEastAsia"/>
        </w:rPr>
        <w:t xml:space="preserve">Using the same statistic </w:t>
      </w:r>
      <w:r w:rsidR="00663364" w:rsidRPr="00155597">
        <w:rPr>
          <w:rFonts w:eastAsiaTheme="minorEastAsia"/>
        </w:rPr>
        <w:t xml:space="preserve">as </w:t>
      </w:r>
      <w:r w:rsidRPr="00155597">
        <w:rPr>
          <w:rFonts w:eastAsiaTheme="minorEastAsia"/>
        </w:rPr>
        <w:t xml:space="preserve">above, </w:t>
      </w:r>
      <w:r w:rsidR="000205B2" w:rsidRPr="00155597">
        <w:t>t</w:t>
      </w:r>
      <w:r w:rsidRPr="00155597">
        <w:t>he differences in response rate between the control and treatment group necessary to detect statistically significant differences have been calculated.</w:t>
      </w:r>
      <w:r w:rsidR="000205B2" w:rsidRPr="00155597">
        <w:t xml:space="preserve"> </w:t>
      </w:r>
      <w:r w:rsidR="000205B2" w:rsidRPr="00155597">
        <w:rPr>
          <w:rFonts w:eastAsiaTheme="minorEastAsia"/>
        </w:rPr>
        <w:t>With 2,400 cases receiving the incentive and 2,400 not receiving the incentive, a significant difference will be detectable if the response rates between the two groups differ by at least 3.6 percentage points.</w:t>
      </w:r>
    </w:p>
    <w:p w14:paraId="46AEDE42" w14:textId="48C323A5" w:rsidR="0059415B" w:rsidRPr="0059415B" w:rsidRDefault="0059415B" w:rsidP="009B15C2">
      <w:pPr>
        <w:spacing w:after="120"/>
        <w:rPr>
          <w:u w:val="single"/>
        </w:rPr>
      </w:pPr>
      <w:r w:rsidRPr="00155597">
        <w:rPr>
          <w:u w:val="single"/>
        </w:rPr>
        <w:t>SSOCS:201</w:t>
      </w:r>
      <w:r>
        <w:rPr>
          <w:u w:val="single"/>
        </w:rPr>
        <w:t>8 Experiment Results</w:t>
      </w:r>
    </w:p>
    <w:p w14:paraId="2594CF13" w14:textId="77777777" w:rsidR="00855725" w:rsidRDefault="00174079" w:rsidP="00226E91">
      <w:pPr>
        <w:spacing w:after="120"/>
      </w:pPr>
      <w:r w:rsidRPr="00D85942">
        <w:t>Weighted response rates for the four experimental treatment groups included in SSOCS:2018 are reported in Table 7 below. Each treatment group is listed with its response rate and its difference from the control group’s response rate. The p-value for the hypothesis test of no difference is reported in the last column</w:t>
      </w:r>
      <w:r w:rsidRPr="00D85942">
        <w:rPr>
          <w:rStyle w:val="FootnoteReference"/>
        </w:rPr>
        <w:footnoteReference w:id="4"/>
      </w:r>
      <w:r w:rsidRPr="00D85942">
        <w:t>.</w:t>
      </w:r>
    </w:p>
    <w:p w14:paraId="7CFF913D" w14:textId="0E3515DF" w:rsidR="00174079" w:rsidRPr="00D85942" w:rsidRDefault="00174079" w:rsidP="00174079"/>
    <w:p w14:paraId="7373BB8E" w14:textId="15326C69" w:rsidR="00174079" w:rsidRPr="00446B4C" w:rsidRDefault="00174079" w:rsidP="00954BC3">
      <w:pPr>
        <w:keepNext/>
        <w:rPr>
          <w:rFonts w:eastAsia="Arial"/>
          <w:b/>
          <w:spacing w:val="-1"/>
        </w:rPr>
      </w:pPr>
      <w:r w:rsidRPr="00446B4C">
        <w:rPr>
          <w:rFonts w:eastAsia="Arial"/>
          <w:b/>
          <w:spacing w:val="-1"/>
        </w:rPr>
        <w:t xml:space="preserve">Table 7: </w:t>
      </w:r>
      <w:r w:rsidR="0008700C" w:rsidRPr="00446B4C">
        <w:rPr>
          <w:rFonts w:eastAsia="Arial"/>
          <w:b/>
          <w:spacing w:val="-1"/>
        </w:rPr>
        <w:t>SSOCS:2018</w:t>
      </w:r>
      <w:r w:rsidR="0008700C">
        <w:rPr>
          <w:rFonts w:eastAsia="Arial"/>
          <w:b/>
          <w:spacing w:val="-1"/>
        </w:rPr>
        <w:t xml:space="preserve"> </w:t>
      </w:r>
      <w:r w:rsidRPr="00446B4C">
        <w:rPr>
          <w:rFonts w:eastAsia="Arial"/>
          <w:b/>
          <w:spacing w:val="-1"/>
        </w:rPr>
        <w:t>Experimental Group Respo</w:t>
      </w:r>
      <w:r w:rsidR="0008700C">
        <w:rPr>
          <w:rFonts w:eastAsia="Arial"/>
          <w:b/>
          <w:spacing w:val="-1"/>
        </w:rPr>
        <w:t>nse Rates (Standard Errors)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8"/>
        <w:gridCol w:w="1350"/>
        <w:gridCol w:w="1620"/>
        <w:gridCol w:w="2431"/>
        <w:gridCol w:w="2519"/>
      </w:tblGrid>
      <w:tr w:rsidR="00174079" w:rsidRPr="00D85942" w14:paraId="0B9974C1" w14:textId="77777777" w:rsidTr="00044767">
        <w:trPr>
          <w:trHeight w:val="144"/>
        </w:trPr>
        <w:tc>
          <w:tcPr>
            <w:tcW w:w="1309" w:type="pct"/>
            <w:tcBorders>
              <w:bottom w:val="single" w:sz="4" w:space="0" w:color="auto"/>
            </w:tcBorders>
            <w:shd w:val="clear" w:color="auto" w:fill="D9D9D9" w:themeFill="background1" w:themeFillShade="D9"/>
            <w:vAlign w:val="center"/>
          </w:tcPr>
          <w:p w14:paraId="39EF3417" w14:textId="77777777" w:rsidR="00174079" w:rsidRPr="00D85942" w:rsidRDefault="00174079" w:rsidP="00044767">
            <w:pPr>
              <w:keepNext/>
              <w:jc w:val="center"/>
              <w:rPr>
                <w:rFonts w:ascii="Times New Roman" w:eastAsia="Times New Roman" w:hAnsi="Times New Roman" w:cs="Times New Roman"/>
                <w:b/>
                <w:sz w:val="20"/>
                <w:szCs w:val="20"/>
              </w:rPr>
            </w:pPr>
            <w:r w:rsidRPr="00D85942">
              <w:rPr>
                <w:rFonts w:ascii="Times New Roman" w:eastAsia="Times New Roman" w:hAnsi="Times New Roman" w:cs="Times New Roman"/>
                <w:b/>
                <w:sz w:val="20"/>
                <w:szCs w:val="20"/>
              </w:rPr>
              <w:t>Experimental Group</w:t>
            </w:r>
          </w:p>
        </w:tc>
        <w:tc>
          <w:tcPr>
            <w:tcW w:w="629" w:type="pct"/>
            <w:tcBorders>
              <w:bottom w:val="single" w:sz="4" w:space="0" w:color="auto"/>
            </w:tcBorders>
            <w:shd w:val="clear" w:color="auto" w:fill="D9D9D9" w:themeFill="background1" w:themeFillShade="D9"/>
            <w:vAlign w:val="center"/>
          </w:tcPr>
          <w:p w14:paraId="28AE39C9" w14:textId="77777777" w:rsidR="00174079" w:rsidRPr="00D85942" w:rsidRDefault="00174079" w:rsidP="00044767">
            <w:pPr>
              <w:keepNext/>
              <w:jc w:val="center"/>
              <w:rPr>
                <w:rFonts w:ascii="Times New Roman" w:eastAsia="Times New Roman" w:hAnsi="Times New Roman" w:cs="Times New Roman"/>
                <w:b/>
                <w:sz w:val="20"/>
                <w:szCs w:val="20"/>
              </w:rPr>
            </w:pPr>
            <w:r w:rsidRPr="00D85942">
              <w:rPr>
                <w:rFonts w:ascii="Times New Roman" w:eastAsia="Times New Roman" w:hAnsi="Times New Roman" w:cs="Times New Roman"/>
                <w:b/>
                <w:sz w:val="20"/>
                <w:szCs w:val="20"/>
              </w:rPr>
              <w:t>Sample Size</w:t>
            </w:r>
          </w:p>
        </w:tc>
        <w:tc>
          <w:tcPr>
            <w:tcW w:w="755" w:type="pct"/>
            <w:tcBorders>
              <w:bottom w:val="single" w:sz="4" w:space="0" w:color="auto"/>
            </w:tcBorders>
            <w:shd w:val="clear" w:color="auto" w:fill="D9D9D9" w:themeFill="background1" w:themeFillShade="D9"/>
            <w:vAlign w:val="center"/>
          </w:tcPr>
          <w:p w14:paraId="3EEBAF48" w14:textId="77777777" w:rsidR="00174079" w:rsidRPr="00D85942" w:rsidRDefault="00174079" w:rsidP="00044767">
            <w:pPr>
              <w:keepNext/>
              <w:jc w:val="center"/>
              <w:rPr>
                <w:rFonts w:ascii="Times New Roman" w:eastAsia="Times New Roman" w:hAnsi="Times New Roman" w:cs="Times New Roman"/>
                <w:b/>
                <w:sz w:val="20"/>
                <w:szCs w:val="20"/>
              </w:rPr>
            </w:pPr>
            <w:r w:rsidRPr="00D85942">
              <w:rPr>
                <w:rFonts w:ascii="Times New Roman" w:eastAsia="Times New Roman" w:hAnsi="Times New Roman" w:cs="Times New Roman"/>
                <w:b/>
                <w:sz w:val="20"/>
                <w:szCs w:val="20"/>
              </w:rPr>
              <w:t>Response Rates</w:t>
            </w:r>
          </w:p>
        </w:tc>
        <w:tc>
          <w:tcPr>
            <w:tcW w:w="1133" w:type="pct"/>
            <w:tcBorders>
              <w:bottom w:val="single" w:sz="4" w:space="0" w:color="auto"/>
            </w:tcBorders>
            <w:shd w:val="clear" w:color="auto" w:fill="D9D9D9" w:themeFill="background1" w:themeFillShade="D9"/>
            <w:vAlign w:val="center"/>
          </w:tcPr>
          <w:p w14:paraId="72B04022" w14:textId="77777777" w:rsidR="00174079" w:rsidRPr="00D85942" w:rsidRDefault="00174079" w:rsidP="00044767">
            <w:pPr>
              <w:keepNext/>
              <w:jc w:val="center"/>
              <w:rPr>
                <w:rFonts w:ascii="Times New Roman" w:eastAsia="Times New Roman" w:hAnsi="Times New Roman" w:cs="Times New Roman"/>
                <w:b/>
                <w:sz w:val="20"/>
                <w:szCs w:val="20"/>
              </w:rPr>
            </w:pPr>
            <w:r w:rsidRPr="00D85942">
              <w:rPr>
                <w:rFonts w:ascii="Times New Roman" w:eastAsia="Times New Roman" w:hAnsi="Times New Roman" w:cs="Times New Roman"/>
                <w:b/>
                <w:sz w:val="20"/>
                <w:szCs w:val="20"/>
              </w:rPr>
              <w:t>Difference from Control</w:t>
            </w:r>
          </w:p>
        </w:tc>
        <w:tc>
          <w:tcPr>
            <w:tcW w:w="1174" w:type="pct"/>
            <w:tcBorders>
              <w:bottom w:val="single" w:sz="4" w:space="0" w:color="auto"/>
            </w:tcBorders>
            <w:shd w:val="clear" w:color="auto" w:fill="D9D9D9" w:themeFill="background1" w:themeFillShade="D9"/>
            <w:vAlign w:val="center"/>
          </w:tcPr>
          <w:p w14:paraId="6E995687" w14:textId="77777777" w:rsidR="00174079" w:rsidRPr="00D85942" w:rsidRDefault="00174079" w:rsidP="00044767">
            <w:pPr>
              <w:keepNext/>
              <w:jc w:val="center"/>
              <w:rPr>
                <w:rFonts w:ascii="Times New Roman" w:eastAsia="Times New Roman" w:hAnsi="Times New Roman" w:cs="Times New Roman"/>
                <w:b/>
                <w:sz w:val="20"/>
                <w:szCs w:val="20"/>
              </w:rPr>
            </w:pPr>
            <w:r w:rsidRPr="00D85942">
              <w:rPr>
                <w:rFonts w:ascii="Times New Roman" w:eastAsia="Times New Roman" w:hAnsi="Times New Roman" w:cs="Times New Roman"/>
                <w:b/>
                <w:sz w:val="20"/>
                <w:szCs w:val="20"/>
              </w:rPr>
              <w:t>Significance Test P-Value</w:t>
            </w:r>
          </w:p>
        </w:tc>
      </w:tr>
      <w:tr w:rsidR="00174079" w:rsidRPr="00D85942" w14:paraId="2197600B" w14:textId="77777777" w:rsidTr="00761322">
        <w:trPr>
          <w:trHeight w:val="144"/>
        </w:trPr>
        <w:tc>
          <w:tcPr>
            <w:tcW w:w="1309" w:type="pct"/>
            <w:tcBorders>
              <w:top w:val="single" w:sz="4" w:space="0" w:color="auto"/>
            </w:tcBorders>
            <w:vAlign w:val="center"/>
          </w:tcPr>
          <w:p w14:paraId="1920BF65" w14:textId="77777777" w:rsidR="00174079" w:rsidRPr="00634B30" w:rsidRDefault="00174079" w:rsidP="00954BC3">
            <w:pPr>
              <w:keepNext/>
              <w:rPr>
                <w:rFonts w:ascii="Times New Roman" w:eastAsia="Times New Roman" w:hAnsi="Times New Roman" w:cs="Times New Roman"/>
                <w:sz w:val="20"/>
                <w:szCs w:val="20"/>
              </w:rPr>
            </w:pPr>
            <w:r w:rsidRPr="00634B30">
              <w:rPr>
                <w:rFonts w:ascii="Times New Roman" w:eastAsia="Times New Roman" w:hAnsi="Times New Roman" w:cs="Times New Roman"/>
                <w:sz w:val="20"/>
                <w:szCs w:val="20"/>
              </w:rPr>
              <w:t>Internet, No Incentive</w:t>
            </w:r>
          </w:p>
        </w:tc>
        <w:tc>
          <w:tcPr>
            <w:tcW w:w="629" w:type="pct"/>
            <w:tcBorders>
              <w:top w:val="single" w:sz="4" w:space="0" w:color="auto"/>
            </w:tcBorders>
            <w:vAlign w:val="center"/>
          </w:tcPr>
          <w:p w14:paraId="185B50C6"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575</w:t>
            </w:r>
          </w:p>
        </w:tc>
        <w:tc>
          <w:tcPr>
            <w:tcW w:w="755" w:type="pct"/>
            <w:tcBorders>
              <w:top w:val="single" w:sz="4" w:space="0" w:color="auto"/>
            </w:tcBorders>
            <w:vAlign w:val="center"/>
          </w:tcPr>
          <w:p w14:paraId="02366F8F"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46.7 (2.5)</w:t>
            </w:r>
          </w:p>
        </w:tc>
        <w:tc>
          <w:tcPr>
            <w:tcW w:w="1133" w:type="pct"/>
            <w:tcBorders>
              <w:top w:val="single" w:sz="4" w:space="0" w:color="auto"/>
            </w:tcBorders>
            <w:vAlign w:val="center"/>
          </w:tcPr>
          <w:p w14:paraId="7D627A31"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-1.7 (3.1)</w:t>
            </w:r>
          </w:p>
        </w:tc>
        <w:tc>
          <w:tcPr>
            <w:tcW w:w="1174" w:type="pct"/>
            <w:tcBorders>
              <w:top w:val="single" w:sz="4" w:space="0" w:color="auto"/>
            </w:tcBorders>
            <w:vAlign w:val="center"/>
          </w:tcPr>
          <w:p w14:paraId="45F6A150" w14:textId="786E9A0B" w:rsidR="00174079" w:rsidRPr="00D85942" w:rsidRDefault="00174079" w:rsidP="00855725">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 xml:space="preserve">0.5917 </w:t>
            </w:r>
          </w:p>
        </w:tc>
      </w:tr>
      <w:tr w:rsidR="00174079" w:rsidRPr="00D85942" w14:paraId="75EA82D3" w14:textId="77777777" w:rsidTr="00761322">
        <w:trPr>
          <w:trHeight w:val="144"/>
        </w:trPr>
        <w:tc>
          <w:tcPr>
            <w:tcW w:w="1309" w:type="pct"/>
            <w:vAlign w:val="center"/>
          </w:tcPr>
          <w:p w14:paraId="474C41A4" w14:textId="77777777" w:rsidR="00174079" w:rsidRPr="00634B30" w:rsidRDefault="00174079" w:rsidP="00954BC3">
            <w:pPr>
              <w:keepNext/>
              <w:rPr>
                <w:rFonts w:ascii="Times New Roman" w:eastAsia="Times New Roman" w:hAnsi="Times New Roman" w:cs="Times New Roman"/>
                <w:sz w:val="20"/>
                <w:szCs w:val="20"/>
              </w:rPr>
            </w:pPr>
            <w:r w:rsidRPr="00634B30">
              <w:rPr>
                <w:rFonts w:ascii="Times New Roman" w:eastAsia="Times New Roman" w:hAnsi="Times New Roman" w:cs="Times New Roman"/>
                <w:sz w:val="20"/>
                <w:szCs w:val="20"/>
              </w:rPr>
              <w:t xml:space="preserve">Paper, Incentive </w:t>
            </w:r>
          </w:p>
        </w:tc>
        <w:tc>
          <w:tcPr>
            <w:tcW w:w="629" w:type="pct"/>
            <w:vAlign w:val="center"/>
          </w:tcPr>
          <w:p w14:paraId="537EFA88"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1,825</w:t>
            </w:r>
          </w:p>
        </w:tc>
        <w:tc>
          <w:tcPr>
            <w:tcW w:w="755" w:type="pct"/>
            <w:vAlign w:val="center"/>
          </w:tcPr>
          <w:p w14:paraId="495E17F6"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56.1 (1.6)</w:t>
            </w:r>
          </w:p>
        </w:tc>
        <w:tc>
          <w:tcPr>
            <w:tcW w:w="1133" w:type="pct"/>
            <w:vAlign w:val="center"/>
          </w:tcPr>
          <w:p w14:paraId="39CA0911"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7.7 (2.7)</w:t>
            </w:r>
          </w:p>
        </w:tc>
        <w:tc>
          <w:tcPr>
            <w:tcW w:w="1174" w:type="pct"/>
            <w:vAlign w:val="center"/>
          </w:tcPr>
          <w:p w14:paraId="16CA9CB5"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0.0028*</w:t>
            </w:r>
          </w:p>
        </w:tc>
      </w:tr>
      <w:tr w:rsidR="00174079" w:rsidRPr="00D85942" w14:paraId="75E61B28" w14:textId="77777777" w:rsidTr="00761322">
        <w:trPr>
          <w:trHeight w:val="144"/>
        </w:trPr>
        <w:tc>
          <w:tcPr>
            <w:tcW w:w="1309" w:type="pct"/>
            <w:vAlign w:val="center"/>
          </w:tcPr>
          <w:p w14:paraId="40A9C5E6" w14:textId="77777777" w:rsidR="00174079" w:rsidRPr="00634B30" w:rsidRDefault="00174079" w:rsidP="00954BC3">
            <w:pPr>
              <w:keepNext/>
              <w:rPr>
                <w:rFonts w:ascii="Times New Roman" w:eastAsia="Times New Roman" w:hAnsi="Times New Roman" w:cs="Times New Roman"/>
                <w:sz w:val="20"/>
                <w:szCs w:val="20"/>
              </w:rPr>
            </w:pPr>
            <w:r w:rsidRPr="00634B30">
              <w:rPr>
                <w:rFonts w:ascii="Times New Roman" w:eastAsia="Times New Roman" w:hAnsi="Times New Roman" w:cs="Times New Roman"/>
                <w:sz w:val="20"/>
                <w:szCs w:val="20"/>
              </w:rPr>
              <w:t>Internet and Incentive</w:t>
            </w:r>
          </w:p>
        </w:tc>
        <w:tc>
          <w:tcPr>
            <w:tcW w:w="629" w:type="pct"/>
            <w:vAlign w:val="center"/>
          </w:tcPr>
          <w:p w14:paraId="4C19DC19"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575</w:t>
            </w:r>
          </w:p>
        </w:tc>
        <w:tc>
          <w:tcPr>
            <w:tcW w:w="755" w:type="pct"/>
            <w:vAlign w:val="center"/>
          </w:tcPr>
          <w:p w14:paraId="171D993B"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53.2 (2.7)</w:t>
            </w:r>
          </w:p>
        </w:tc>
        <w:tc>
          <w:tcPr>
            <w:tcW w:w="1133" w:type="pct"/>
            <w:vAlign w:val="center"/>
          </w:tcPr>
          <w:p w14:paraId="658C205B"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4.9 (2.9)</w:t>
            </w:r>
          </w:p>
        </w:tc>
        <w:tc>
          <w:tcPr>
            <w:tcW w:w="1174" w:type="pct"/>
            <w:vAlign w:val="center"/>
          </w:tcPr>
          <w:p w14:paraId="4BC23E8A"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0.1010</w:t>
            </w:r>
          </w:p>
        </w:tc>
      </w:tr>
      <w:tr w:rsidR="00174079" w:rsidRPr="00D85942" w14:paraId="0D329230" w14:textId="77777777" w:rsidTr="00761322">
        <w:trPr>
          <w:trHeight w:val="144"/>
        </w:trPr>
        <w:tc>
          <w:tcPr>
            <w:tcW w:w="1309" w:type="pct"/>
            <w:shd w:val="clear" w:color="auto" w:fill="auto"/>
            <w:vAlign w:val="center"/>
          </w:tcPr>
          <w:p w14:paraId="59F62748" w14:textId="28523FEC" w:rsidR="00174079" w:rsidRPr="00634B30" w:rsidRDefault="00174079" w:rsidP="00761322">
            <w:pPr>
              <w:keepNext/>
              <w:rPr>
                <w:rFonts w:ascii="Times New Roman" w:eastAsia="Times New Roman" w:hAnsi="Times New Roman" w:cs="Times New Roman"/>
                <w:sz w:val="20"/>
                <w:szCs w:val="20"/>
              </w:rPr>
            </w:pPr>
            <w:r w:rsidRPr="00634B30">
              <w:rPr>
                <w:rFonts w:ascii="Times New Roman" w:eastAsia="Times New Roman" w:hAnsi="Times New Roman" w:cs="Times New Roman"/>
                <w:sz w:val="20"/>
                <w:szCs w:val="20"/>
              </w:rPr>
              <w:t>Control</w:t>
            </w:r>
            <w:r w:rsidR="00761322" w:rsidRPr="00634B30">
              <w:rPr>
                <w:rFonts w:ascii="Times New Roman" w:eastAsia="Times New Roman" w:hAnsi="Times New Roman" w:cs="Times New Roman"/>
                <w:sz w:val="20"/>
                <w:szCs w:val="20"/>
              </w:rPr>
              <w:t xml:space="preserve">, </w:t>
            </w:r>
            <w:r w:rsidRPr="00634B30">
              <w:rPr>
                <w:rFonts w:ascii="Times New Roman" w:eastAsia="Times New Roman" w:hAnsi="Times New Roman" w:cs="Times New Roman"/>
                <w:sz w:val="20"/>
                <w:szCs w:val="20"/>
              </w:rPr>
              <w:t>Paper, No Incentive</w:t>
            </w:r>
          </w:p>
        </w:tc>
        <w:tc>
          <w:tcPr>
            <w:tcW w:w="629" w:type="pct"/>
            <w:vAlign w:val="center"/>
          </w:tcPr>
          <w:p w14:paraId="534DECE4"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1,825</w:t>
            </w:r>
          </w:p>
        </w:tc>
        <w:tc>
          <w:tcPr>
            <w:tcW w:w="755" w:type="pct"/>
            <w:shd w:val="clear" w:color="auto" w:fill="auto"/>
            <w:vAlign w:val="center"/>
          </w:tcPr>
          <w:p w14:paraId="6F85CAB4"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48.4 (1.9)</w:t>
            </w:r>
          </w:p>
        </w:tc>
        <w:tc>
          <w:tcPr>
            <w:tcW w:w="1133" w:type="pct"/>
            <w:shd w:val="clear" w:color="auto" w:fill="auto"/>
            <w:vAlign w:val="center"/>
          </w:tcPr>
          <w:p w14:paraId="7ABE6076"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N/A</w:t>
            </w:r>
          </w:p>
        </w:tc>
        <w:tc>
          <w:tcPr>
            <w:tcW w:w="1174" w:type="pct"/>
            <w:shd w:val="clear" w:color="auto" w:fill="auto"/>
            <w:vAlign w:val="center"/>
          </w:tcPr>
          <w:p w14:paraId="74877F7B" w14:textId="77777777" w:rsidR="00174079" w:rsidRPr="00D85942" w:rsidRDefault="00174079" w:rsidP="00954BC3">
            <w:pPr>
              <w:keepNext/>
              <w:jc w:val="right"/>
              <w:rPr>
                <w:rFonts w:ascii="Times New Roman" w:eastAsia="Times New Roman" w:hAnsi="Times New Roman" w:cs="Times New Roman"/>
                <w:sz w:val="20"/>
                <w:szCs w:val="20"/>
              </w:rPr>
            </w:pPr>
            <w:r w:rsidRPr="00D85942">
              <w:rPr>
                <w:rFonts w:ascii="Times New Roman" w:eastAsia="Times New Roman" w:hAnsi="Times New Roman" w:cs="Times New Roman"/>
                <w:sz w:val="20"/>
                <w:szCs w:val="20"/>
              </w:rPr>
              <w:t>N/A</w:t>
            </w:r>
          </w:p>
        </w:tc>
      </w:tr>
    </w:tbl>
    <w:p w14:paraId="681F02B1" w14:textId="77777777" w:rsidR="00174079" w:rsidRPr="00D85942" w:rsidRDefault="00174079" w:rsidP="00761322">
      <w:pPr>
        <w:keepNext/>
        <w:ind w:left="90"/>
        <w:rPr>
          <w:sz w:val="18"/>
        </w:rPr>
      </w:pPr>
      <w:r w:rsidRPr="00D85942">
        <w:rPr>
          <w:sz w:val="18"/>
        </w:rPr>
        <w:t>Source: U.S. Census Bureau, Results from the 2018 School Survey on Crime and Safety Internet and Incentive Experiment</w:t>
      </w:r>
    </w:p>
    <w:p w14:paraId="395165BD" w14:textId="53B2C493" w:rsidR="00855725" w:rsidRDefault="00174079" w:rsidP="00761322">
      <w:pPr>
        <w:keepNext/>
        <w:ind w:left="90"/>
        <w:rPr>
          <w:sz w:val="18"/>
        </w:rPr>
      </w:pPr>
      <w:r w:rsidRPr="00D85942">
        <w:rPr>
          <w:sz w:val="18"/>
        </w:rPr>
        <w:t>Response rat</w:t>
      </w:r>
      <w:r w:rsidR="00255DB9">
        <w:rPr>
          <w:sz w:val="18"/>
        </w:rPr>
        <w:t xml:space="preserve">es calculated as of May 7, 2018, when </w:t>
      </w:r>
      <w:r w:rsidR="00255DB9" w:rsidRPr="00D85942">
        <w:rPr>
          <w:color w:val="000000"/>
          <w:sz w:val="18"/>
        </w:rPr>
        <w:t>a web-push effort deployed. We consider cases that responded after May 7 “nonrespondents” for the analysis.</w:t>
      </w:r>
    </w:p>
    <w:p w14:paraId="77B417BB" w14:textId="46189D25" w:rsidR="00174079" w:rsidRPr="00D85942" w:rsidRDefault="00174079" w:rsidP="00174079">
      <w:pPr>
        <w:rPr>
          <w:sz w:val="18"/>
        </w:rPr>
      </w:pPr>
      <w:r w:rsidRPr="00D85942">
        <w:rPr>
          <w:sz w:val="18"/>
        </w:rPr>
        <w:t>*Denotes significance at 0.10.</w:t>
      </w:r>
    </w:p>
    <w:p w14:paraId="52FF6BB3" w14:textId="77777777" w:rsidR="00174079" w:rsidRPr="00D85942" w:rsidRDefault="00174079" w:rsidP="00174079">
      <w:pPr>
        <w:rPr>
          <w:b/>
        </w:rPr>
      </w:pPr>
    </w:p>
    <w:p w14:paraId="2BD39B27" w14:textId="77777777" w:rsidR="00174079" w:rsidRPr="00D85942" w:rsidRDefault="00174079" w:rsidP="00226E91">
      <w:pPr>
        <w:pStyle w:val="BodyText2"/>
        <w:spacing w:after="120" w:line="240" w:lineRule="auto"/>
        <w:rPr>
          <w:sz w:val="24"/>
        </w:rPr>
      </w:pPr>
      <w:r w:rsidRPr="00D85942">
        <w:rPr>
          <w:sz w:val="24"/>
        </w:rPr>
        <w:t>In SSOCS:2018, schools that received the incentive and did not receive the option to respond online had a response rate of 7.7 percentage points higher than the control group (statistically significant difference, p = 0.0028). Although the web-based instrument option did not increase response rates on its own, the analyses showed that schools that were part of both the Internet (option to respond online) and incentive treatment groups had a response rate of 4.9 percentage points higher than the control group; however, this was not statistically significant. This result may have been driven by the incentive rather than the internet option, given that the internet offer did not appear to influence response by itself.</w:t>
      </w:r>
    </w:p>
    <w:p w14:paraId="7DEEA5DF" w14:textId="0FD18EF6" w:rsidR="00174079" w:rsidRPr="00D85942" w:rsidRDefault="00174079" w:rsidP="00226E91">
      <w:pPr>
        <w:pStyle w:val="BodyText2"/>
        <w:spacing w:after="120" w:line="240" w:lineRule="auto"/>
        <w:rPr>
          <w:sz w:val="24"/>
        </w:rPr>
      </w:pPr>
      <w:r w:rsidRPr="00D85942">
        <w:rPr>
          <w:sz w:val="24"/>
        </w:rPr>
        <w:t xml:space="preserve">The weighted response distribution of the final mode of data collection by the assigned mode is presented in Table 8. For schools who were assigned to both the internet and incentive treatments, 88.2 percent responded using the internet; 11.1 percent responded using paper; and 0.7 responded </w:t>
      </w:r>
      <w:r w:rsidR="00330216">
        <w:rPr>
          <w:sz w:val="24"/>
        </w:rPr>
        <w:t>over the telephone during follow-up operations</w:t>
      </w:r>
      <w:r w:rsidRPr="00D85942">
        <w:rPr>
          <w:sz w:val="24"/>
        </w:rPr>
        <w:t>. Overall, between 88 and 90 percent of schools who were assigned to the internet treatment responded online.</w:t>
      </w:r>
    </w:p>
    <w:p w14:paraId="083E502A" w14:textId="7ECE66F1" w:rsidR="00174079" w:rsidRPr="00226E91" w:rsidRDefault="00174079" w:rsidP="00226E91">
      <w:pPr>
        <w:keepNext/>
        <w:rPr>
          <w:rFonts w:eastAsia="Arial"/>
          <w:b/>
          <w:spacing w:val="-1"/>
        </w:rPr>
      </w:pPr>
      <w:r w:rsidRPr="00226E91">
        <w:rPr>
          <w:rFonts w:eastAsia="Arial"/>
          <w:b/>
          <w:spacing w:val="-1"/>
        </w:rPr>
        <w:t xml:space="preserve">Table 8: </w:t>
      </w:r>
      <w:r w:rsidR="0008700C" w:rsidRPr="00226E91">
        <w:rPr>
          <w:rFonts w:eastAsia="Arial"/>
          <w:b/>
          <w:spacing w:val="-1"/>
        </w:rPr>
        <w:t>SSOCS:2018</w:t>
      </w:r>
      <w:r w:rsidR="0008700C">
        <w:rPr>
          <w:rFonts w:eastAsia="Arial"/>
          <w:b/>
          <w:spacing w:val="-1"/>
        </w:rPr>
        <w:t xml:space="preserve"> </w:t>
      </w:r>
      <w:r w:rsidRPr="00226E91">
        <w:rPr>
          <w:rFonts w:eastAsia="Arial"/>
          <w:b/>
          <w:spacing w:val="-1"/>
        </w:rPr>
        <w:t>Final Mode Distribution Percent of the Assi</w:t>
      </w:r>
      <w:r w:rsidR="0008700C">
        <w:rPr>
          <w:rFonts w:eastAsia="Arial"/>
          <w:b/>
          <w:spacing w:val="-1"/>
        </w:rPr>
        <w:t>gned Mode (Standard Errors)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97"/>
        <w:gridCol w:w="2161"/>
        <w:gridCol w:w="1350"/>
        <w:gridCol w:w="1622"/>
        <w:gridCol w:w="2075"/>
        <w:gridCol w:w="1523"/>
      </w:tblGrid>
      <w:tr w:rsidR="00174079" w:rsidRPr="00CB0EB9" w14:paraId="3755443A" w14:textId="77777777" w:rsidTr="00044767">
        <w:trPr>
          <w:trHeight w:val="144"/>
        </w:trPr>
        <w:tc>
          <w:tcPr>
            <w:tcW w:w="1938" w:type="pct"/>
            <w:gridSpan w:val="2"/>
            <w:shd w:val="clear" w:color="auto" w:fill="D9D9D9" w:themeFill="background1" w:themeFillShade="D9"/>
            <w:vAlign w:val="center"/>
          </w:tcPr>
          <w:p w14:paraId="59961434" w14:textId="77777777" w:rsidR="00174079" w:rsidRPr="00CB0EB9" w:rsidRDefault="00174079" w:rsidP="00044767">
            <w:pPr>
              <w:jc w:val="center"/>
              <w:rPr>
                <w:b/>
                <w:bCs/>
                <w:color w:val="000000"/>
                <w:sz w:val="20"/>
                <w:szCs w:val="20"/>
              </w:rPr>
            </w:pPr>
            <w:r w:rsidRPr="00CB0EB9">
              <w:rPr>
                <w:b/>
                <w:bCs/>
                <w:color w:val="000000"/>
                <w:sz w:val="20"/>
                <w:szCs w:val="20"/>
              </w:rPr>
              <w:t>Assigned Mode</w:t>
            </w:r>
          </w:p>
        </w:tc>
        <w:tc>
          <w:tcPr>
            <w:tcW w:w="2352" w:type="pct"/>
            <w:gridSpan w:val="3"/>
            <w:shd w:val="clear" w:color="auto" w:fill="D9D9D9" w:themeFill="background1" w:themeFillShade="D9"/>
            <w:vAlign w:val="center"/>
            <w:hideMark/>
          </w:tcPr>
          <w:p w14:paraId="6D91EA87" w14:textId="4367D958" w:rsidR="00174079" w:rsidRPr="00CB0EB9" w:rsidRDefault="00174079" w:rsidP="00044767">
            <w:pPr>
              <w:jc w:val="center"/>
              <w:rPr>
                <w:b/>
                <w:bCs/>
                <w:color w:val="000000"/>
                <w:sz w:val="20"/>
                <w:szCs w:val="20"/>
              </w:rPr>
            </w:pPr>
            <w:r w:rsidRPr="00CB0EB9">
              <w:rPr>
                <w:b/>
                <w:bCs/>
                <w:color w:val="000000"/>
                <w:sz w:val="20"/>
                <w:szCs w:val="20"/>
              </w:rPr>
              <w:t>Final Mode</w:t>
            </w:r>
            <w:r w:rsidR="00B33A67">
              <w:rPr>
                <w:b/>
                <w:bCs/>
                <w:color w:val="000000"/>
                <w:sz w:val="20"/>
                <w:szCs w:val="20"/>
              </w:rPr>
              <w:t xml:space="preserve"> </w:t>
            </w:r>
            <w:r w:rsidR="00B33A67" w:rsidRPr="00B33A67">
              <w:rPr>
                <w:bCs/>
                <w:color w:val="000000"/>
                <w:sz w:val="20"/>
                <w:szCs w:val="20"/>
              </w:rPr>
              <w:t>(of those completed percent by each mode)</w:t>
            </w:r>
          </w:p>
        </w:tc>
        <w:tc>
          <w:tcPr>
            <w:tcW w:w="710" w:type="pct"/>
            <w:vMerge w:val="restart"/>
            <w:shd w:val="clear" w:color="auto" w:fill="D9D9D9" w:themeFill="background1" w:themeFillShade="D9"/>
            <w:vAlign w:val="center"/>
          </w:tcPr>
          <w:p w14:paraId="11DF1C81" w14:textId="4D3E7224" w:rsidR="00174079" w:rsidRPr="00B33A67" w:rsidRDefault="00B33A67" w:rsidP="00044767">
            <w:pPr>
              <w:jc w:val="center"/>
              <w:rPr>
                <w:b/>
                <w:bCs/>
                <w:color w:val="7F7F7F" w:themeColor="text1" w:themeTint="80"/>
                <w:sz w:val="20"/>
                <w:szCs w:val="20"/>
              </w:rPr>
            </w:pPr>
            <w:r w:rsidRPr="00B33A67">
              <w:rPr>
                <w:b/>
                <w:bCs/>
                <w:color w:val="7F7F7F" w:themeColor="text1" w:themeTint="80"/>
                <w:sz w:val="20"/>
                <w:szCs w:val="20"/>
              </w:rPr>
              <w:t>Percent Total</w:t>
            </w:r>
          </w:p>
        </w:tc>
      </w:tr>
      <w:tr w:rsidR="00063815" w:rsidRPr="00CB0EB9" w14:paraId="60D8CF00" w14:textId="77777777" w:rsidTr="00044767">
        <w:trPr>
          <w:trHeight w:val="144"/>
        </w:trPr>
        <w:tc>
          <w:tcPr>
            <w:tcW w:w="931" w:type="pct"/>
            <w:tcBorders>
              <w:bottom w:val="single" w:sz="4" w:space="0" w:color="auto"/>
            </w:tcBorders>
            <w:shd w:val="clear" w:color="auto" w:fill="D9D9D9" w:themeFill="background1" w:themeFillShade="D9"/>
            <w:vAlign w:val="center"/>
            <w:hideMark/>
          </w:tcPr>
          <w:p w14:paraId="5D2723DC" w14:textId="77777777" w:rsidR="00174079" w:rsidRPr="00CB0EB9" w:rsidRDefault="00174079" w:rsidP="00044767">
            <w:pPr>
              <w:jc w:val="center"/>
              <w:rPr>
                <w:color w:val="000000"/>
                <w:sz w:val="20"/>
                <w:szCs w:val="20"/>
              </w:rPr>
            </w:pPr>
            <w:r w:rsidRPr="00CB0EB9">
              <w:rPr>
                <w:b/>
                <w:bCs/>
                <w:color w:val="000000"/>
                <w:sz w:val="20"/>
                <w:szCs w:val="20"/>
              </w:rPr>
              <w:t>Internet Treatment</w:t>
            </w:r>
          </w:p>
        </w:tc>
        <w:tc>
          <w:tcPr>
            <w:tcW w:w="1007" w:type="pct"/>
            <w:tcBorders>
              <w:bottom w:val="single" w:sz="4" w:space="0" w:color="auto"/>
            </w:tcBorders>
            <w:shd w:val="clear" w:color="auto" w:fill="D9D9D9" w:themeFill="background1" w:themeFillShade="D9"/>
            <w:vAlign w:val="center"/>
          </w:tcPr>
          <w:p w14:paraId="41979101" w14:textId="77777777" w:rsidR="00174079" w:rsidRPr="00CB0EB9" w:rsidRDefault="00174079" w:rsidP="00044767">
            <w:pPr>
              <w:jc w:val="center"/>
              <w:rPr>
                <w:color w:val="000000"/>
                <w:sz w:val="20"/>
                <w:szCs w:val="20"/>
              </w:rPr>
            </w:pPr>
            <w:r w:rsidRPr="00CB0EB9">
              <w:rPr>
                <w:b/>
                <w:bCs/>
                <w:color w:val="000000"/>
                <w:sz w:val="20"/>
                <w:szCs w:val="20"/>
              </w:rPr>
              <w:t>Incentive Treatment</w:t>
            </w:r>
          </w:p>
        </w:tc>
        <w:tc>
          <w:tcPr>
            <w:tcW w:w="629" w:type="pct"/>
            <w:tcBorders>
              <w:bottom w:val="single" w:sz="4" w:space="0" w:color="auto"/>
            </w:tcBorders>
            <w:shd w:val="clear" w:color="auto" w:fill="D9D9D9" w:themeFill="background1" w:themeFillShade="D9"/>
            <w:vAlign w:val="center"/>
            <w:hideMark/>
          </w:tcPr>
          <w:p w14:paraId="6EA2A449" w14:textId="51EBE72C" w:rsidR="00174079" w:rsidRPr="00AA20BE" w:rsidRDefault="00174079" w:rsidP="00044767">
            <w:pPr>
              <w:jc w:val="center"/>
              <w:rPr>
                <w:b/>
                <w:color w:val="000000"/>
                <w:sz w:val="20"/>
                <w:szCs w:val="20"/>
              </w:rPr>
            </w:pPr>
            <w:r w:rsidRPr="00AA20BE">
              <w:rPr>
                <w:b/>
                <w:color w:val="000000"/>
                <w:sz w:val="20"/>
                <w:szCs w:val="20"/>
              </w:rPr>
              <w:t>Internet</w:t>
            </w:r>
          </w:p>
        </w:tc>
        <w:tc>
          <w:tcPr>
            <w:tcW w:w="756" w:type="pct"/>
            <w:tcBorders>
              <w:bottom w:val="single" w:sz="4" w:space="0" w:color="auto"/>
            </w:tcBorders>
            <w:shd w:val="clear" w:color="auto" w:fill="D9D9D9" w:themeFill="background1" w:themeFillShade="D9"/>
            <w:vAlign w:val="center"/>
            <w:hideMark/>
          </w:tcPr>
          <w:p w14:paraId="708564F3" w14:textId="77777777" w:rsidR="00174079" w:rsidRPr="00AA20BE" w:rsidRDefault="00174079" w:rsidP="00044767">
            <w:pPr>
              <w:jc w:val="center"/>
              <w:rPr>
                <w:b/>
                <w:color w:val="000000"/>
                <w:sz w:val="20"/>
                <w:szCs w:val="20"/>
              </w:rPr>
            </w:pPr>
            <w:r w:rsidRPr="00AA20BE">
              <w:rPr>
                <w:b/>
                <w:color w:val="000000"/>
                <w:sz w:val="20"/>
                <w:szCs w:val="20"/>
              </w:rPr>
              <w:t>Paper</w:t>
            </w:r>
          </w:p>
        </w:tc>
        <w:tc>
          <w:tcPr>
            <w:tcW w:w="967" w:type="pct"/>
            <w:tcBorders>
              <w:bottom w:val="single" w:sz="4" w:space="0" w:color="auto"/>
            </w:tcBorders>
            <w:shd w:val="clear" w:color="auto" w:fill="D9D9D9" w:themeFill="background1" w:themeFillShade="D9"/>
            <w:vAlign w:val="center"/>
            <w:hideMark/>
          </w:tcPr>
          <w:p w14:paraId="487EB5CA" w14:textId="77935B20" w:rsidR="00174079" w:rsidRPr="00AA20BE" w:rsidRDefault="00330216" w:rsidP="00044767">
            <w:pPr>
              <w:jc w:val="center"/>
              <w:rPr>
                <w:b/>
                <w:color w:val="000000"/>
                <w:sz w:val="20"/>
                <w:szCs w:val="20"/>
              </w:rPr>
            </w:pPr>
            <w:r w:rsidRPr="00AA20BE">
              <w:rPr>
                <w:b/>
                <w:color w:val="000000"/>
                <w:sz w:val="20"/>
                <w:szCs w:val="20"/>
              </w:rPr>
              <w:t>Telephone Follow-up</w:t>
            </w:r>
          </w:p>
        </w:tc>
        <w:tc>
          <w:tcPr>
            <w:tcW w:w="710" w:type="pct"/>
            <w:vMerge/>
            <w:tcBorders>
              <w:bottom w:val="single" w:sz="4" w:space="0" w:color="auto"/>
            </w:tcBorders>
            <w:shd w:val="clear" w:color="auto" w:fill="D9D9D9" w:themeFill="background1" w:themeFillShade="D9"/>
            <w:vAlign w:val="center"/>
          </w:tcPr>
          <w:p w14:paraId="4010D56F" w14:textId="77777777" w:rsidR="00174079" w:rsidRPr="00B33A67" w:rsidRDefault="00174079" w:rsidP="00044767">
            <w:pPr>
              <w:jc w:val="center"/>
              <w:rPr>
                <w:color w:val="7F7F7F" w:themeColor="text1" w:themeTint="80"/>
                <w:sz w:val="20"/>
                <w:szCs w:val="20"/>
              </w:rPr>
            </w:pPr>
          </w:p>
        </w:tc>
      </w:tr>
      <w:tr w:rsidR="00063815" w:rsidRPr="00CB0EB9" w14:paraId="78F4712A" w14:textId="77777777" w:rsidTr="00044767">
        <w:trPr>
          <w:trHeight w:val="144"/>
        </w:trPr>
        <w:tc>
          <w:tcPr>
            <w:tcW w:w="931" w:type="pct"/>
            <w:vMerge w:val="restart"/>
            <w:tcBorders>
              <w:top w:val="single" w:sz="4" w:space="0" w:color="auto"/>
            </w:tcBorders>
            <w:shd w:val="clear" w:color="auto" w:fill="auto"/>
            <w:vAlign w:val="center"/>
            <w:hideMark/>
          </w:tcPr>
          <w:p w14:paraId="788A1E5E" w14:textId="77777777" w:rsidR="00174079" w:rsidRPr="00CB0EB9" w:rsidRDefault="00174079" w:rsidP="00446B4C">
            <w:pPr>
              <w:rPr>
                <w:color w:val="000000"/>
                <w:sz w:val="20"/>
                <w:szCs w:val="20"/>
              </w:rPr>
            </w:pPr>
            <w:r w:rsidRPr="00CB0EB9">
              <w:rPr>
                <w:color w:val="000000"/>
                <w:sz w:val="20"/>
                <w:szCs w:val="20"/>
              </w:rPr>
              <w:t>Internet</w:t>
            </w:r>
          </w:p>
        </w:tc>
        <w:tc>
          <w:tcPr>
            <w:tcW w:w="1007" w:type="pct"/>
            <w:tcBorders>
              <w:top w:val="single" w:sz="4" w:space="0" w:color="auto"/>
            </w:tcBorders>
            <w:vAlign w:val="center"/>
          </w:tcPr>
          <w:p w14:paraId="65BC0783" w14:textId="77777777" w:rsidR="00174079" w:rsidRPr="00CB0EB9" w:rsidRDefault="00174079" w:rsidP="00446B4C">
            <w:pPr>
              <w:rPr>
                <w:color w:val="000000"/>
                <w:sz w:val="20"/>
                <w:szCs w:val="20"/>
              </w:rPr>
            </w:pPr>
            <w:r w:rsidRPr="00CB0EB9">
              <w:rPr>
                <w:color w:val="000000"/>
                <w:sz w:val="20"/>
                <w:szCs w:val="20"/>
              </w:rPr>
              <w:t>Incentive</w:t>
            </w:r>
          </w:p>
        </w:tc>
        <w:tc>
          <w:tcPr>
            <w:tcW w:w="629" w:type="pct"/>
            <w:tcBorders>
              <w:top w:val="single" w:sz="4" w:space="0" w:color="auto"/>
            </w:tcBorders>
            <w:vAlign w:val="center"/>
          </w:tcPr>
          <w:p w14:paraId="79792718" w14:textId="77777777" w:rsidR="00174079" w:rsidRPr="00CB0EB9" w:rsidRDefault="00174079" w:rsidP="00446B4C">
            <w:pPr>
              <w:jc w:val="right"/>
              <w:rPr>
                <w:color w:val="000000"/>
                <w:sz w:val="20"/>
                <w:szCs w:val="20"/>
              </w:rPr>
            </w:pPr>
            <w:r w:rsidRPr="00CB0EB9">
              <w:rPr>
                <w:color w:val="000000"/>
                <w:sz w:val="20"/>
                <w:szCs w:val="20"/>
              </w:rPr>
              <w:t>88.2 (3.0)</w:t>
            </w:r>
          </w:p>
        </w:tc>
        <w:tc>
          <w:tcPr>
            <w:tcW w:w="756" w:type="pct"/>
            <w:tcBorders>
              <w:top w:val="single" w:sz="4" w:space="0" w:color="auto"/>
            </w:tcBorders>
            <w:vAlign w:val="center"/>
          </w:tcPr>
          <w:p w14:paraId="37DDC33F" w14:textId="77777777" w:rsidR="00174079" w:rsidRPr="00CB0EB9" w:rsidRDefault="00174079" w:rsidP="00446B4C">
            <w:pPr>
              <w:jc w:val="right"/>
              <w:rPr>
                <w:color w:val="000000"/>
                <w:sz w:val="20"/>
                <w:szCs w:val="20"/>
              </w:rPr>
            </w:pPr>
            <w:r w:rsidRPr="00CB0EB9">
              <w:rPr>
                <w:color w:val="000000"/>
                <w:sz w:val="20"/>
                <w:szCs w:val="20"/>
              </w:rPr>
              <w:t>11.1 (3.0)</w:t>
            </w:r>
          </w:p>
        </w:tc>
        <w:tc>
          <w:tcPr>
            <w:tcW w:w="967" w:type="pct"/>
            <w:tcBorders>
              <w:top w:val="single" w:sz="4" w:space="0" w:color="auto"/>
            </w:tcBorders>
            <w:vAlign w:val="center"/>
          </w:tcPr>
          <w:p w14:paraId="519827B8" w14:textId="77777777" w:rsidR="00174079" w:rsidRPr="00CB0EB9" w:rsidRDefault="00174079" w:rsidP="00446B4C">
            <w:pPr>
              <w:jc w:val="right"/>
              <w:rPr>
                <w:color w:val="000000"/>
                <w:sz w:val="20"/>
                <w:szCs w:val="20"/>
              </w:rPr>
            </w:pPr>
            <w:r w:rsidRPr="00CB0EB9">
              <w:rPr>
                <w:color w:val="000000"/>
                <w:sz w:val="20"/>
                <w:szCs w:val="20"/>
              </w:rPr>
              <w:t>0.7 (0.5)</w:t>
            </w:r>
          </w:p>
        </w:tc>
        <w:tc>
          <w:tcPr>
            <w:tcW w:w="710" w:type="pct"/>
            <w:tcBorders>
              <w:top w:val="single" w:sz="4" w:space="0" w:color="auto"/>
            </w:tcBorders>
            <w:vAlign w:val="center"/>
          </w:tcPr>
          <w:p w14:paraId="5538A3E5" w14:textId="77777777" w:rsidR="00174079" w:rsidRPr="00B33A67" w:rsidRDefault="00174079" w:rsidP="00446B4C">
            <w:pPr>
              <w:jc w:val="right"/>
              <w:rPr>
                <w:color w:val="7F7F7F" w:themeColor="text1" w:themeTint="80"/>
                <w:sz w:val="20"/>
                <w:szCs w:val="20"/>
              </w:rPr>
            </w:pPr>
            <w:r w:rsidRPr="00B33A67">
              <w:rPr>
                <w:color w:val="7F7F7F" w:themeColor="text1" w:themeTint="80"/>
                <w:sz w:val="20"/>
                <w:szCs w:val="20"/>
              </w:rPr>
              <w:t>100</w:t>
            </w:r>
          </w:p>
        </w:tc>
      </w:tr>
      <w:tr w:rsidR="00063815" w:rsidRPr="00CB0EB9" w14:paraId="369B2288" w14:textId="77777777" w:rsidTr="00044767">
        <w:trPr>
          <w:trHeight w:val="144"/>
        </w:trPr>
        <w:tc>
          <w:tcPr>
            <w:tcW w:w="931" w:type="pct"/>
            <w:vMerge/>
            <w:shd w:val="clear" w:color="auto" w:fill="auto"/>
            <w:vAlign w:val="center"/>
          </w:tcPr>
          <w:p w14:paraId="54A64474" w14:textId="77777777" w:rsidR="00174079" w:rsidRPr="00CB0EB9" w:rsidRDefault="00174079" w:rsidP="00446B4C">
            <w:pPr>
              <w:rPr>
                <w:color w:val="000000"/>
                <w:sz w:val="20"/>
                <w:szCs w:val="20"/>
              </w:rPr>
            </w:pPr>
          </w:p>
        </w:tc>
        <w:tc>
          <w:tcPr>
            <w:tcW w:w="1007" w:type="pct"/>
            <w:vAlign w:val="center"/>
          </w:tcPr>
          <w:p w14:paraId="099CFB13" w14:textId="77777777" w:rsidR="00174079" w:rsidRPr="00CB0EB9" w:rsidRDefault="00174079" w:rsidP="00446B4C">
            <w:pPr>
              <w:rPr>
                <w:color w:val="000000"/>
                <w:sz w:val="20"/>
                <w:szCs w:val="20"/>
              </w:rPr>
            </w:pPr>
            <w:r w:rsidRPr="00CB0EB9">
              <w:rPr>
                <w:color w:val="000000"/>
                <w:sz w:val="20"/>
                <w:szCs w:val="20"/>
              </w:rPr>
              <w:t>No incentive</w:t>
            </w:r>
          </w:p>
        </w:tc>
        <w:tc>
          <w:tcPr>
            <w:tcW w:w="629" w:type="pct"/>
            <w:vAlign w:val="center"/>
          </w:tcPr>
          <w:p w14:paraId="6658AEB7" w14:textId="77777777" w:rsidR="00174079" w:rsidRPr="00CB0EB9" w:rsidRDefault="00174079" w:rsidP="00446B4C">
            <w:pPr>
              <w:jc w:val="right"/>
              <w:rPr>
                <w:color w:val="000000"/>
                <w:sz w:val="20"/>
                <w:szCs w:val="20"/>
              </w:rPr>
            </w:pPr>
            <w:r w:rsidRPr="00CB0EB9">
              <w:rPr>
                <w:color w:val="000000"/>
                <w:sz w:val="20"/>
                <w:szCs w:val="20"/>
              </w:rPr>
              <w:t>89.3 (2.7)</w:t>
            </w:r>
          </w:p>
        </w:tc>
        <w:tc>
          <w:tcPr>
            <w:tcW w:w="756" w:type="pct"/>
            <w:vAlign w:val="center"/>
          </w:tcPr>
          <w:p w14:paraId="73337FC3" w14:textId="77777777" w:rsidR="00174079" w:rsidRPr="00CB0EB9" w:rsidRDefault="00174079" w:rsidP="00446B4C">
            <w:pPr>
              <w:jc w:val="right"/>
              <w:rPr>
                <w:color w:val="000000"/>
                <w:sz w:val="20"/>
                <w:szCs w:val="20"/>
              </w:rPr>
            </w:pPr>
            <w:r w:rsidRPr="00CB0EB9">
              <w:rPr>
                <w:color w:val="000000"/>
                <w:sz w:val="20"/>
                <w:szCs w:val="20"/>
              </w:rPr>
              <w:t>10.0 (2.6)</w:t>
            </w:r>
          </w:p>
        </w:tc>
        <w:tc>
          <w:tcPr>
            <w:tcW w:w="967" w:type="pct"/>
            <w:vAlign w:val="center"/>
          </w:tcPr>
          <w:p w14:paraId="19B96184" w14:textId="77777777" w:rsidR="00174079" w:rsidRPr="00CB0EB9" w:rsidRDefault="00174079" w:rsidP="00446B4C">
            <w:pPr>
              <w:jc w:val="right"/>
              <w:rPr>
                <w:color w:val="000000"/>
                <w:sz w:val="20"/>
                <w:szCs w:val="20"/>
              </w:rPr>
            </w:pPr>
            <w:r w:rsidRPr="00CB0EB9">
              <w:rPr>
                <w:color w:val="000000"/>
                <w:sz w:val="20"/>
                <w:szCs w:val="20"/>
              </w:rPr>
              <w:t>0.7 (0.5)</w:t>
            </w:r>
          </w:p>
        </w:tc>
        <w:tc>
          <w:tcPr>
            <w:tcW w:w="710" w:type="pct"/>
            <w:vAlign w:val="center"/>
          </w:tcPr>
          <w:p w14:paraId="77DEBA39" w14:textId="77777777" w:rsidR="00174079" w:rsidRPr="00B33A67" w:rsidRDefault="00174079" w:rsidP="00446B4C">
            <w:pPr>
              <w:jc w:val="right"/>
              <w:rPr>
                <w:color w:val="7F7F7F" w:themeColor="text1" w:themeTint="80"/>
                <w:sz w:val="20"/>
                <w:szCs w:val="20"/>
              </w:rPr>
            </w:pPr>
            <w:r w:rsidRPr="00B33A67">
              <w:rPr>
                <w:color w:val="7F7F7F" w:themeColor="text1" w:themeTint="80"/>
                <w:sz w:val="20"/>
                <w:szCs w:val="20"/>
              </w:rPr>
              <w:t>100</w:t>
            </w:r>
          </w:p>
        </w:tc>
      </w:tr>
      <w:tr w:rsidR="00063815" w:rsidRPr="00CB0EB9" w14:paraId="791B2BAB" w14:textId="77777777" w:rsidTr="00044767">
        <w:trPr>
          <w:trHeight w:val="144"/>
        </w:trPr>
        <w:tc>
          <w:tcPr>
            <w:tcW w:w="931" w:type="pct"/>
            <w:vMerge w:val="restart"/>
            <w:shd w:val="clear" w:color="auto" w:fill="auto"/>
            <w:vAlign w:val="center"/>
            <w:hideMark/>
          </w:tcPr>
          <w:p w14:paraId="78887EC3" w14:textId="77777777" w:rsidR="00174079" w:rsidRPr="00CB0EB9" w:rsidRDefault="00174079" w:rsidP="00446B4C">
            <w:pPr>
              <w:rPr>
                <w:color w:val="000000"/>
                <w:sz w:val="20"/>
                <w:szCs w:val="20"/>
              </w:rPr>
            </w:pPr>
            <w:r w:rsidRPr="00CB0EB9">
              <w:rPr>
                <w:color w:val="000000"/>
                <w:sz w:val="20"/>
                <w:szCs w:val="20"/>
              </w:rPr>
              <w:t>Paper</w:t>
            </w:r>
          </w:p>
        </w:tc>
        <w:tc>
          <w:tcPr>
            <w:tcW w:w="1007" w:type="pct"/>
            <w:shd w:val="clear" w:color="auto" w:fill="auto"/>
            <w:vAlign w:val="center"/>
          </w:tcPr>
          <w:p w14:paraId="27740A5C" w14:textId="77777777" w:rsidR="00174079" w:rsidRPr="00CB0EB9" w:rsidRDefault="00174079" w:rsidP="00446B4C">
            <w:pPr>
              <w:rPr>
                <w:color w:val="000000"/>
                <w:sz w:val="20"/>
                <w:szCs w:val="20"/>
              </w:rPr>
            </w:pPr>
            <w:r w:rsidRPr="00CB0EB9">
              <w:rPr>
                <w:color w:val="000000"/>
                <w:sz w:val="20"/>
                <w:szCs w:val="20"/>
              </w:rPr>
              <w:t>Incentive</w:t>
            </w:r>
          </w:p>
        </w:tc>
        <w:tc>
          <w:tcPr>
            <w:tcW w:w="629" w:type="pct"/>
            <w:shd w:val="clear" w:color="auto" w:fill="auto"/>
            <w:vAlign w:val="center"/>
            <w:hideMark/>
          </w:tcPr>
          <w:p w14:paraId="29BE274B" w14:textId="77777777" w:rsidR="00174079" w:rsidRPr="00CB0EB9" w:rsidRDefault="00174079" w:rsidP="00446B4C">
            <w:pPr>
              <w:jc w:val="right"/>
              <w:rPr>
                <w:color w:val="000000"/>
                <w:sz w:val="20"/>
                <w:szCs w:val="20"/>
              </w:rPr>
            </w:pPr>
            <w:r w:rsidRPr="00CB0EB9">
              <w:rPr>
                <w:color w:val="000000"/>
                <w:sz w:val="20"/>
                <w:szCs w:val="20"/>
              </w:rPr>
              <w:t>N/A</w:t>
            </w:r>
            <w:r w:rsidRPr="00CB0EB9">
              <w:rPr>
                <w:color w:val="000000"/>
                <w:sz w:val="20"/>
                <w:szCs w:val="20"/>
                <w:vertAlign w:val="superscript"/>
              </w:rPr>
              <w:t>1</w:t>
            </w:r>
          </w:p>
        </w:tc>
        <w:tc>
          <w:tcPr>
            <w:tcW w:w="756" w:type="pct"/>
            <w:shd w:val="clear" w:color="auto" w:fill="auto"/>
            <w:vAlign w:val="center"/>
          </w:tcPr>
          <w:p w14:paraId="7EF620BD" w14:textId="77777777" w:rsidR="00174079" w:rsidRPr="00CB0EB9" w:rsidRDefault="00174079" w:rsidP="00446B4C">
            <w:pPr>
              <w:jc w:val="right"/>
              <w:rPr>
                <w:color w:val="000000"/>
                <w:sz w:val="20"/>
                <w:szCs w:val="20"/>
              </w:rPr>
            </w:pPr>
            <w:r w:rsidRPr="00CB0EB9">
              <w:rPr>
                <w:color w:val="000000"/>
                <w:sz w:val="20"/>
                <w:szCs w:val="20"/>
              </w:rPr>
              <w:t>100.0 (0.0)</w:t>
            </w:r>
          </w:p>
        </w:tc>
        <w:tc>
          <w:tcPr>
            <w:tcW w:w="967" w:type="pct"/>
            <w:shd w:val="clear" w:color="auto" w:fill="auto"/>
            <w:vAlign w:val="center"/>
          </w:tcPr>
          <w:p w14:paraId="4352F137" w14:textId="77777777" w:rsidR="00174079" w:rsidRPr="00CB0EB9" w:rsidRDefault="00174079" w:rsidP="00446B4C">
            <w:pPr>
              <w:jc w:val="right"/>
              <w:rPr>
                <w:color w:val="000000"/>
                <w:sz w:val="20"/>
                <w:szCs w:val="20"/>
              </w:rPr>
            </w:pPr>
            <w:r w:rsidRPr="00CB0EB9">
              <w:rPr>
                <w:color w:val="000000"/>
                <w:sz w:val="20"/>
                <w:szCs w:val="20"/>
              </w:rPr>
              <w:t>0.0</w:t>
            </w:r>
            <w:r w:rsidRPr="00CB0EB9">
              <w:rPr>
                <w:color w:val="000000"/>
                <w:sz w:val="20"/>
                <w:szCs w:val="20"/>
                <w:vertAlign w:val="superscript"/>
              </w:rPr>
              <w:t>^</w:t>
            </w:r>
            <w:r w:rsidRPr="00CB0EB9">
              <w:rPr>
                <w:color w:val="000000"/>
                <w:sz w:val="20"/>
                <w:szCs w:val="20"/>
              </w:rPr>
              <w:t xml:space="preserve"> (0.0)</w:t>
            </w:r>
          </w:p>
        </w:tc>
        <w:tc>
          <w:tcPr>
            <w:tcW w:w="710" w:type="pct"/>
            <w:shd w:val="clear" w:color="auto" w:fill="auto"/>
            <w:vAlign w:val="center"/>
          </w:tcPr>
          <w:p w14:paraId="5FFC9CE0" w14:textId="77777777" w:rsidR="00174079" w:rsidRPr="00B33A67" w:rsidRDefault="00174079" w:rsidP="00446B4C">
            <w:pPr>
              <w:jc w:val="right"/>
              <w:rPr>
                <w:color w:val="7F7F7F" w:themeColor="text1" w:themeTint="80"/>
                <w:sz w:val="20"/>
                <w:szCs w:val="20"/>
              </w:rPr>
            </w:pPr>
            <w:r w:rsidRPr="00B33A67">
              <w:rPr>
                <w:color w:val="7F7F7F" w:themeColor="text1" w:themeTint="80"/>
                <w:sz w:val="20"/>
                <w:szCs w:val="20"/>
              </w:rPr>
              <w:t>100</w:t>
            </w:r>
          </w:p>
        </w:tc>
      </w:tr>
      <w:tr w:rsidR="00063815" w:rsidRPr="00CB0EB9" w14:paraId="63F0B8D4" w14:textId="77777777" w:rsidTr="00044767">
        <w:trPr>
          <w:trHeight w:val="144"/>
        </w:trPr>
        <w:tc>
          <w:tcPr>
            <w:tcW w:w="931" w:type="pct"/>
            <w:vMerge/>
            <w:shd w:val="clear" w:color="auto" w:fill="auto"/>
            <w:vAlign w:val="center"/>
          </w:tcPr>
          <w:p w14:paraId="22672759" w14:textId="77777777" w:rsidR="00174079" w:rsidRPr="00CB0EB9" w:rsidRDefault="00174079" w:rsidP="00446B4C">
            <w:pPr>
              <w:rPr>
                <w:color w:val="000000"/>
                <w:sz w:val="20"/>
                <w:szCs w:val="20"/>
              </w:rPr>
            </w:pPr>
          </w:p>
        </w:tc>
        <w:tc>
          <w:tcPr>
            <w:tcW w:w="1007" w:type="pct"/>
            <w:shd w:val="clear" w:color="auto" w:fill="auto"/>
            <w:vAlign w:val="center"/>
          </w:tcPr>
          <w:p w14:paraId="6A5D4E48" w14:textId="77777777" w:rsidR="00174079" w:rsidRPr="00CB0EB9" w:rsidRDefault="00174079" w:rsidP="00446B4C">
            <w:pPr>
              <w:rPr>
                <w:color w:val="000000"/>
                <w:sz w:val="20"/>
                <w:szCs w:val="20"/>
              </w:rPr>
            </w:pPr>
            <w:r w:rsidRPr="00CB0EB9">
              <w:rPr>
                <w:color w:val="000000"/>
                <w:sz w:val="20"/>
                <w:szCs w:val="20"/>
              </w:rPr>
              <w:t>No incentive</w:t>
            </w:r>
          </w:p>
        </w:tc>
        <w:tc>
          <w:tcPr>
            <w:tcW w:w="629" w:type="pct"/>
            <w:shd w:val="clear" w:color="auto" w:fill="auto"/>
            <w:vAlign w:val="center"/>
          </w:tcPr>
          <w:p w14:paraId="18910EE7" w14:textId="77777777" w:rsidR="00174079" w:rsidRPr="00CB0EB9" w:rsidRDefault="00174079" w:rsidP="00446B4C">
            <w:pPr>
              <w:jc w:val="right"/>
              <w:rPr>
                <w:color w:val="000000"/>
                <w:sz w:val="20"/>
                <w:szCs w:val="20"/>
              </w:rPr>
            </w:pPr>
            <w:r w:rsidRPr="00CB0EB9">
              <w:rPr>
                <w:color w:val="000000"/>
                <w:sz w:val="20"/>
                <w:szCs w:val="20"/>
              </w:rPr>
              <w:t xml:space="preserve">0.6* (0.5) </w:t>
            </w:r>
          </w:p>
        </w:tc>
        <w:tc>
          <w:tcPr>
            <w:tcW w:w="756" w:type="pct"/>
            <w:shd w:val="clear" w:color="auto" w:fill="auto"/>
            <w:vAlign w:val="center"/>
          </w:tcPr>
          <w:p w14:paraId="0FF5793B" w14:textId="77777777" w:rsidR="00174079" w:rsidRPr="00CB0EB9" w:rsidRDefault="00174079" w:rsidP="00446B4C">
            <w:pPr>
              <w:jc w:val="right"/>
              <w:rPr>
                <w:color w:val="000000"/>
                <w:sz w:val="20"/>
                <w:szCs w:val="20"/>
              </w:rPr>
            </w:pPr>
            <w:r w:rsidRPr="00CB0EB9">
              <w:rPr>
                <w:color w:val="000000"/>
                <w:sz w:val="20"/>
                <w:szCs w:val="20"/>
              </w:rPr>
              <w:t>99.2 (0.5)</w:t>
            </w:r>
          </w:p>
        </w:tc>
        <w:tc>
          <w:tcPr>
            <w:tcW w:w="967" w:type="pct"/>
            <w:shd w:val="clear" w:color="auto" w:fill="auto"/>
            <w:vAlign w:val="center"/>
          </w:tcPr>
          <w:p w14:paraId="57388095" w14:textId="77777777" w:rsidR="00174079" w:rsidRPr="00CB0EB9" w:rsidRDefault="00174079" w:rsidP="00446B4C">
            <w:pPr>
              <w:jc w:val="right"/>
              <w:rPr>
                <w:color w:val="000000"/>
                <w:sz w:val="20"/>
                <w:szCs w:val="20"/>
              </w:rPr>
            </w:pPr>
            <w:r w:rsidRPr="00CB0EB9">
              <w:rPr>
                <w:color w:val="000000"/>
                <w:sz w:val="20"/>
                <w:szCs w:val="20"/>
              </w:rPr>
              <w:t>0.1 (0.1)</w:t>
            </w:r>
          </w:p>
        </w:tc>
        <w:tc>
          <w:tcPr>
            <w:tcW w:w="710" w:type="pct"/>
            <w:shd w:val="clear" w:color="auto" w:fill="auto"/>
            <w:vAlign w:val="center"/>
          </w:tcPr>
          <w:p w14:paraId="2DA9BE27" w14:textId="77777777" w:rsidR="00174079" w:rsidRPr="00B33A67" w:rsidRDefault="00174079" w:rsidP="00446B4C">
            <w:pPr>
              <w:jc w:val="right"/>
              <w:rPr>
                <w:color w:val="7F7F7F" w:themeColor="text1" w:themeTint="80"/>
                <w:sz w:val="20"/>
                <w:szCs w:val="20"/>
              </w:rPr>
            </w:pPr>
            <w:r w:rsidRPr="00B33A67">
              <w:rPr>
                <w:color w:val="7F7F7F" w:themeColor="text1" w:themeTint="80"/>
                <w:sz w:val="20"/>
                <w:szCs w:val="20"/>
              </w:rPr>
              <w:t>100</w:t>
            </w:r>
          </w:p>
        </w:tc>
      </w:tr>
    </w:tbl>
    <w:p w14:paraId="24EF94FA" w14:textId="77777777" w:rsidR="00174079" w:rsidRPr="00D85942" w:rsidRDefault="00174079" w:rsidP="00044767">
      <w:pPr>
        <w:ind w:left="90"/>
        <w:rPr>
          <w:sz w:val="18"/>
        </w:rPr>
      </w:pPr>
      <w:r w:rsidRPr="00D85942">
        <w:rPr>
          <w:sz w:val="18"/>
        </w:rPr>
        <w:t>Source: U.S. Census Bureau, Results from the 2018 School Survey on Crime and Safety Internet and Incentive Experiment</w:t>
      </w:r>
    </w:p>
    <w:p w14:paraId="16330D3F" w14:textId="77777777" w:rsidR="00174079" w:rsidRPr="00D85942" w:rsidRDefault="00174079" w:rsidP="00940F51">
      <w:pPr>
        <w:spacing w:after="60"/>
        <w:ind w:left="90" w:hanging="90"/>
        <w:rPr>
          <w:color w:val="000000"/>
          <w:sz w:val="18"/>
        </w:rPr>
      </w:pPr>
      <w:r w:rsidRPr="00D85942">
        <w:rPr>
          <w:color w:val="000000"/>
          <w:sz w:val="18"/>
          <w:vertAlign w:val="superscript"/>
        </w:rPr>
        <w:t>1</w:t>
      </w:r>
      <w:r w:rsidRPr="00D85942">
        <w:rPr>
          <w:color w:val="000000"/>
          <w:sz w:val="18"/>
        </w:rPr>
        <w:t xml:space="preserve"> Schools that were assigned to paper did not have the option to respond on the internet until a web-push effort deployed on May 7, 2018. We consider cases that responded after May 7 “nonrespondents” for the analysis.</w:t>
      </w:r>
    </w:p>
    <w:p w14:paraId="3F8FD5DF" w14:textId="77777777" w:rsidR="00174079" w:rsidRPr="00D85942" w:rsidRDefault="00174079" w:rsidP="00940F51">
      <w:pPr>
        <w:spacing w:after="60"/>
        <w:ind w:left="90" w:hanging="90"/>
        <w:rPr>
          <w:color w:val="000000"/>
          <w:sz w:val="18"/>
        </w:rPr>
      </w:pPr>
      <w:r w:rsidRPr="00D85942">
        <w:rPr>
          <w:color w:val="000000"/>
          <w:sz w:val="18"/>
          <w:vertAlign w:val="superscript"/>
        </w:rPr>
        <w:t>^</w:t>
      </w:r>
      <w:r w:rsidRPr="00D85942">
        <w:rPr>
          <w:color w:val="000000"/>
          <w:sz w:val="18"/>
        </w:rPr>
        <w:t>Rounds to zero due to disclosure avoidance requirements by the U.S. Census Bureau.</w:t>
      </w:r>
    </w:p>
    <w:p w14:paraId="0C0C9765" w14:textId="77777777" w:rsidR="00174079" w:rsidRPr="00D85942" w:rsidRDefault="00174079" w:rsidP="00940F51">
      <w:pPr>
        <w:spacing w:after="60"/>
        <w:ind w:left="90" w:hanging="90"/>
        <w:rPr>
          <w:color w:val="000000"/>
          <w:sz w:val="18"/>
        </w:rPr>
      </w:pPr>
      <w:r w:rsidRPr="00D85942">
        <w:rPr>
          <w:color w:val="000000"/>
          <w:sz w:val="18"/>
          <w:vertAlign w:val="superscript"/>
        </w:rPr>
        <w:t>*</w:t>
      </w:r>
      <w:r w:rsidRPr="00D85942">
        <w:rPr>
          <w:color w:val="000000"/>
          <w:sz w:val="18"/>
        </w:rPr>
        <w:t>A few cases responded by paper, but ultimately completed more questions using the web after it was available May 7. These cases are considered respondents because they submitted the paper questionnaire before May 7, 2018, but they are also considered “internet, final mode respondents” because their last mode (and mode used for processing) was the internet.</w:t>
      </w:r>
    </w:p>
    <w:p w14:paraId="5A18A6D3" w14:textId="77777777" w:rsidR="00174079" w:rsidRPr="00D85942" w:rsidRDefault="00174079" w:rsidP="00174079"/>
    <w:p w14:paraId="098C23E0" w14:textId="77777777" w:rsidR="00855725" w:rsidRDefault="00174079" w:rsidP="001A4784">
      <w:pPr>
        <w:pStyle w:val="ListParagraph"/>
        <w:spacing w:after="120"/>
        <w:ind w:left="0"/>
        <w:rPr>
          <w:rFonts w:eastAsia="Times New Roman"/>
        </w:rPr>
      </w:pPr>
      <w:r w:rsidRPr="00D85942">
        <w:rPr>
          <w:rFonts w:eastAsia="Times New Roman"/>
        </w:rPr>
        <w:t>Response distributions for each treatment were compared to the control group across eight school characteristics and three survey items. The chi-square test results do not provide evidence that the treatment group response distributions across school characteristics were different from the control group. However, there was one significant difference in the item response distributions, “Percent of schools with a sworn officer,” displayed in Table 9. The Internet and Incentive group in the last column has a different response distribution than the control group (p-value 0.0808).</w:t>
      </w:r>
    </w:p>
    <w:p w14:paraId="26600D89" w14:textId="5820F46D" w:rsidR="00174079" w:rsidRPr="00940F51" w:rsidRDefault="00174079" w:rsidP="00940F51">
      <w:pPr>
        <w:keepNext/>
        <w:rPr>
          <w:rFonts w:eastAsia="Arial"/>
          <w:b/>
          <w:spacing w:val="-1"/>
        </w:rPr>
      </w:pPr>
      <w:r w:rsidRPr="00940F51">
        <w:rPr>
          <w:rFonts w:eastAsia="Arial"/>
          <w:b/>
          <w:spacing w:val="-1"/>
        </w:rPr>
        <w:t xml:space="preserve">Table 9: </w:t>
      </w:r>
      <w:r w:rsidR="0008700C" w:rsidRPr="00940F51">
        <w:rPr>
          <w:rFonts w:eastAsia="Arial"/>
          <w:b/>
          <w:spacing w:val="-1"/>
        </w:rPr>
        <w:t>SSOCS:2018</w:t>
      </w:r>
      <w:r w:rsidR="0008700C">
        <w:rPr>
          <w:rFonts w:eastAsia="Arial"/>
          <w:b/>
          <w:spacing w:val="-1"/>
        </w:rPr>
        <w:t xml:space="preserve"> </w:t>
      </w:r>
      <w:r w:rsidRPr="00940F51">
        <w:rPr>
          <w:rFonts w:eastAsia="Arial"/>
          <w:b/>
          <w:spacing w:val="-1"/>
        </w:rPr>
        <w:t>Item Response Distribution for Schools with a Sw</w:t>
      </w:r>
      <w:r w:rsidR="0008700C">
        <w:rPr>
          <w:rFonts w:eastAsia="Arial"/>
          <w:b/>
          <w:spacing w:val="-1"/>
        </w:rPr>
        <w:t>orn Law Enforcement Officer</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11"/>
        <w:gridCol w:w="1307"/>
        <w:gridCol w:w="1622"/>
        <w:gridCol w:w="1262"/>
        <w:gridCol w:w="1079"/>
        <w:gridCol w:w="1347"/>
      </w:tblGrid>
      <w:tr w:rsidR="00073497" w:rsidRPr="00CB0EB9" w14:paraId="675A8AEF" w14:textId="77777777" w:rsidTr="00AA2139">
        <w:trPr>
          <w:trHeight w:val="144"/>
        </w:trPr>
        <w:tc>
          <w:tcPr>
            <w:tcW w:w="1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DA294" w14:textId="77777777" w:rsidR="00073497" w:rsidRPr="00CB0EB9" w:rsidRDefault="00073497" w:rsidP="00DE1822">
            <w:pPr>
              <w:jc w:val="center"/>
              <w:rPr>
                <w:b/>
                <w:sz w:val="20"/>
                <w:szCs w:val="20"/>
              </w:rPr>
            </w:pPr>
          </w:p>
        </w:tc>
        <w:tc>
          <w:tcPr>
            <w:tcW w:w="308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DD7C0" w14:textId="56CB496C" w:rsidR="00073497" w:rsidRPr="00CB0EB9" w:rsidRDefault="00073497" w:rsidP="00DD7CA6">
            <w:pPr>
              <w:jc w:val="center"/>
              <w:rPr>
                <w:b/>
                <w:sz w:val="20"/>
                <w:szCs w:val="20"/>
              </w:rPr>
            </w:pPr>
            <w:r w:rsidRPr="00CB0EB9">
              <w:rPr>
                <w:rFonts w:ascii="Times New Roman" w:hAnsi="Times New Roman" w:cs="Times New Roman"/>
                <w:b/>
                <w:sz w:val="20"/>
                <w:szCs w:val="20"/>
              </w:rPr>
              <w:t xml:space="preserve">Percent of </w:t>
            </w:r>
            <w:r>
              <w:rPr>
                <w:rFonts w:ascii="Times New Roman" w:hAnsi="Times New Roman" w:cs="Times New Roman"/>
                <w:b/>
                <w:sz w:val="20"/>
                <w:szCs w:val="20"/>
              </w:rPr>
              <w:t xml:space="preserve">responding </w:t>
            </w:r>
            <w:r w:rsidRPr="00CB0EB9">
              <w:rPr>
                <w:rFonts w:ascii="Times New Roman" w:hAnsi="Times New Roman" w:cs="Times New Roman"/>
                <w:b/>
                <w:sz w:val="20"/>
                <w:szCs w:val="20"/>
              </w:rPr>
              <w:t>schools</w:t>
            </w:r>
            <w:r w:rsidR="00D230AB">
              <w:rPr>
                <w:rFonts w:ascii="Times New Roman" w:hAnsi="Times New Roman" w:cs="Times New Roman"/>
                <w:b/>
                <w:sz w:val="20"/>
                <w:szCs w:val="20"/>
              </w:rPr>
              <w:t xml:space="preserve"> </w:t>
            </w:r>
            <w:r w:rsidR="00D230AB" w:rsidRPr="00B33A67">
              <w:rPr>
                <w:bCs/>
                <w:color w:val="000000"/>
                <w:sz w:val="20"/>
                <w:szCs w:val="20"/>
              </w:rPr>
              <w:t xml:space="preserve">(of those completed </w:t>
            </w:r>
            <w:r w:rsidR="00D230AB">
              <w:rPr>
                <w:bCs/>
                <w:color w:val="000000"/>
                <w:sz w:val="20"/>
                <w:szCs w:val="20"/>
              </w:rPr>
              <w:t xml:space="preserve">by school type, </w:t>
            </w:r>
            <w:r w:rsidR="00D230AB" w:rsidRPr="00B33A67">
              <w:rPr>
                <w:bCs/>
                <w:color w:val="000000"/>
                <w:sz w:val="20"/>
                <w:szCs w:val="20"/>
              </w:rPr>
              <w:t xml:space="preserve">percent by </w:t>
            </w:r>
            <w:r w:rsidR="00DD7CA6">
              <w:rPr>
                <w:bCs/>
                <w:color w:val="000000"/>
                <w:sz w:val="20"/>
                <w:szCs w:val="20"/>
              </w:rPr>
              <w:t>item response</w:t>
            </w:r>
            <w:r w:rsidR="00D230AB" w:rsidRPr="00B33A67">
              <w:rPr>
                <w:bCs/>
                <w:color w:val="000000"/>
                <w:sz w:val="20"/>
                <w:szCs w:val="20"/>
              </w:rPr>
              <w:t>)</w:t>
            </w:r>
          </w:p>
        </w:tc>
      </w:tr>
      <w:tr w:rsidR="00634B30" w:rsidRPr="00CB0EB9" w14:paraId="1207C8DB" w14:textId="77777777" w:rsidTr="00AA2139">
        <w:trPr>
          <w:trHeight w:val="144"/>
        </w:trPr>
        <w:tc>
          <w:tcPr>
            <w:tcW w:w="1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406C1" w14:textId="02E5F1ED" w:rsidR="00174079" w:rsidRPr="00CB0EB9" w:rsidRDefault="00073497" w:rsidP="00DE1822">
            <w:pPr>
              <w:jc w:val="center"/>
              <w:rPr>
                <w:rFonts w:ascii="Times New Roman" w:hAnsi="Times New Roman" w:cs="Times New Roman"/>
                <w:b/>
                <w:sz w:val="20"/>
                <w:szCs w:val="20"/>
              </w:rPr>
            </w:pPr>
            <w:r w:rsidRPr="00940F51">
              <w:rPr>
                <w:rFonts w:eastAsia="Arial"/>
                <w:b/>
                <w:spacing w:val="-1"/>
              </w:rPr>
              <w:t>Item Response</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3E69E" w14:textId="77777777" w:rsidR="00174079" w:rsidRPr="00CB0EB9" w:rsidRDefault="00174079" w:rsidP="00DE1822">
            <w:pPr>
              <w:jc w:val="center"/>
              <w:rPr>
                <w:rFonts w:ascii="Times New Roman" w:hAnsi="Times New Roman" w:cs="Times New Roman"/>
                <w:b/>
                <w:sz w:val="20"/>
                <w:szCs w:val="20"/>
              </w:rPr>
            </w:pPr>
            <w:r w:rsidRPr="00CB0EB9">
              <w:rPr>
                <w:rFonts w:ascii="Times New Roman" w:hAnsi="Times New Roman" w:cs="Times New Roman"/>
                <w:b/>
                <w:sz w:val="20"/>
                <w:szCs w:val="20"/>
              </w:rPr>
              <w:t>All Respondents</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09AE9" w14:textId="1005D5C4" w:rsidR="00174079" w:rsidRPr="00CB0EB9" w:rsidRDefault="00174079" w:rsidP="00DE1822">
            <w:pPr>
              <w:jc w:val="center"/>
              <w:rPr>
                <w:rFonts w:ascii="Times New Roman" w:hAnsi="Times New Roman" w:cs="Times New Roman"/>
                <w:b/>
                <w:sz w:val="20"/>
                <w:szCs w:val="20"/>
              </w:rPr>
            </w:pPr>
            <w:r w:rsidRPr="00CB0EB9">
              <w:rPr>
                <w:rFonts w:ascii="Times New Roman" w:hAnsi="Times New Roman" w:cs="Times New Roman"/>
                <w:b/>
                <w:sz w:val="20"/>
                <w:szCs w:val="20"/>
              </w:rPr>
              <w:t>Control</w:t>
            </w:r>
            <w:r w:rsidR="00634B30">
              <w:rPr>
                <w:rFonts w:ascii="Times New Roman" w:hAnsi="Times New Roman" w:cs="Times New Roman"/>
                <w:b/>
                <w:sz w:val="20"/>
                <w:szCs w:val="20"/>
              </w:rPr>
              <w:t xml:space="preserve">, </w:t>
            </w:r>
            <w:r w:rsidRPr="00CB0EB9">
              <w:rPr>
                <w:rFonts w:ascii="Times New Roman" w:hAnsi="Times New Roman" w:cs="Times New Roman"/>
                <w:b/>
                <w:sz w:val="20"/>
                <w:szCs w:val="20"/>
              </w:rPr>
              <w:t>Paper, No Incentive</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3DB46" w14:textId="77777777" w:rsidR="00174079" w:rsidRPr="00CB0EB9" w:rsidRDefault="00174079" w:rsidP="00DE1822">
            <w:pPr>
              <w:jc w:val="center"/>
              <w:rPr>
                <w:rFonts w:ascii="Times New Roman" w:hAnsi="Times New Roman" w:cs="Times New Roman"/>
                <w:b/>
                <w:sz w:val="20"/>
                <w:szCs w:val="20"/>
              </w:rPr>
            </w:pPr>
            <w:r w:rsidRPr="00CB0EB9">
              <w:rPr>
                <w:rFonts w:ascii="Times New Roman" w:hAnsi="Times New Roman" w:cs="Times New Roman"/>
                <w:b/>
                <w:sz w:val="20"/>
                <w:szCs w:val="20"/>
              </w:rPr>
              <w:t>Internet, No Incentive</w:t>
            </w:r>
          </w:p>
        </w:tc>
        <w:tc>
          <w:tcPr>
            <w:tcW w:w="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FF0B0" w14:textId="4AE67793" w:rsidR="00174079" w:rsidRPr="00CB0EB9" w:rsidRDefault="00174079" w:rsidP="00DE1822">
            <w:pPr>
              <w:jc w:val="center"/>
              <w:rPr>
                <w:rFonts w:ascii="Times New Roman" w:hAnsi="Times New Roman" w:cs="Times New Roman"/>
                <w:b/>
                <w:sz w:val="20"/>
                <w:szCs w:val="20"/>
              </w:rPr>
            </w:pPr>
            <w:r w:rsidRPr="00CB0EB9">
              <w:rPr>
                <w:rFonts w:ascii="Times New Roman" w:hAnsi="Times New Roman" w:cs="Times New Roman"/>
                <w:b/>
                <w:sz w:val="20"/>
                <w:szCs w:val="20"/>
              </w:rPr>
              <w:t>Paper, Incentive</w:t>
            </w:r>
          </w:p>
        </w:tc>
        <w:tc>
          <w:tcPr>
            <w:tcW w:w="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144C3" w14:textId="77777777" w:rsidR="00174079" w:rsidRPr="00CB0EB9" w:rsidRDefault="00174079" w:rsidP="00DE1822">
            <w:pPr>
              <w:jc w:val="center"/>
              <w:rPr>
                <w:rFonts w:ascii="Times New Roman" w:hAnsi="Times New Roman" w:cs="Times New Roman"/>
                <w:b/>
                <w:sz w:val="20"/>
                <w:szCs w:val="20"/>
              </w:rPr>
            </w:pPr>
            <w:r w:rsidRPr="00CB0EB9">
              <w:rPr>
                <w:rFonts w:ascii="Times New Roman" w:hAnsi="Times New Roman" w:cs="Times New Roman"/>
                <w:b/>
                <w:sz w:val="20"/>
                <w:szCs w:val="20"/>
              </w:rPr>
              <w:t>Internet and Incentive</w:t>
            </w:r>
          </w:p>
        </w:tc>
      </w:tr>
      <w:tr w:rsidR="00634B30" w:rsidRPr="00CB0EB9" w14:paraId="70A9C272" w14:textId="77777777" w:rsidTr="00AA2139">
        <w:trPr>
          <w:trHeight w:val="144"/>
        </w:trPr>
        <w:tc>
          <w:tcPr>
            <w:tcW w:w="1916" w:type="pct"/>
            <w:tcBorders>
              <w:top w:val="single" w:sz="4" w:space="0" w:color="auto"/>
              <w:left w:val="single" w:sz="4" w:space="0" w:color="auto"/>
              <w:bottom w:val="single" w:sz="4" w:space="0" w:color="auto"/>
              <w:right w:val="single" w:sz="4" w:space="0" w:color="auto"/>
            </w:tcBorders>
            <w:vAlign w:val="center"/>
          </w:tcPr>
          <w:p w14:paraId="4FB12F22" w14:textId="77777777" w:rsidR="00174079" w:rsidRPr="00CB0EB9" w:rsidRDefault="00174079" w:rsidP="00446B4C">
            <w:pPr>
              <w:rPr>
                <w:rFonts w:ascii="Times New Roman" w:hAnsi="Times New Roman" w:cs="Times New Roman"/>
                <w:sz w:val="20"/>
                <w:szCs w:val="20"/>
              </w:rPr>
            </w:pPr>
            <w:r w:rsidRPr="00CB0EB9">
              <w:rPr>
                <w:rFonts w:ascii="Times New Roman" w:hAnsi="Times New Roman" w:cs="Times New Roman"/>
                <w:sz w:val="20"/>
                <w:szCs w:val="20"/>
              </w:rPr>
              <w:t>No sworn law enforcement officers present</w:t>
            </w:r>
          </w:p>
        </w:tc>
        <w:tc>
          <w:tcPr>
            <w:tcW w:w="609" w:type="pct"/>
            <w:tcBorders>
              <w:top w:val="single" w:sz="4" w:space="0" w:color="auto"/>
              <w:left w:val="single" w:sz="4" w:space="0" w:color="auto"/>
              <w:bottom w:val="single" w:sz="4" w:space="0" w:color="auto"/>
              <w:right w:val="single" w:sz="4" w:space="0" w:color="auto"/>
            </w:tcBorders>
            <w:vAlign w:val="center"/>
          </w:tcPr>
          <w:p w14:paraId="5B6A0052"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49.5 (1.4)</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0C9B22E2"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46.6 (2.4)</w:t>
            </w:r>
          </w:p>
        </w:tc>
        <w:tc>
          <w:tcPr>
            <w:tcW w:w="588" w:type="pct"/>
            <w:tcBorders>
              <w:top w:val="single" w:sz="4" w:space="0" w:color="auto"/>
              <w:left w:val="single" w:sz="4" w:space="0" w:color="auto"/>
              <w:bottom w:val="single" w:sz="4" w:space="0" w:color="auto"/>
              <w:right w:val="single" w:sz="4" w:space="0" w:color="auto"/>
            </w:tcBorders>
            <w:vAlign w:val="center"/>
          </w:tcPr>
          <w:p w14:paraId="3695EA74" w14:textId="77777777" w:rsidR="00174079" w:rsidRPr="00CB0EB9" w:rsidRDefault="00174079" w:rsidP="00446B4C">
            <w:pPr>
              <w:jc w:val="right"/>
              <w:rPr>
                <w:rFonts w:ascii="Times New Roman" w:hAnsi="Times New Roman" w:cs="Times New Roman"/>
                <w:sz w:val="20"/>
                <w:szCs w:val="20"/>
              </w:rPr>
            </w:pPr>
            <w:r w:rsidRPr="00CB0EB9">
              <w:rPr>
                <w:rFonts w:ascii="Times New Roman" w:hAnsi="Times New Roman" w:cs="Times New Roman"/>
                <w:sz w:val="20"/>
                <w:szCs w:val="20"/>
              </w:rPr>
              <w:t>51.1 (4.1)</w:t>
            </w:r>
          </w:p>
        </w:tc>
        <w:tc>
          <w:tcPr>
            <w:tcW w:w="503" w:type="pct"/>
            <w:tcBorders>
              <w:top w:val="single" w:sz="4" w:space="0" w:color="auto"/>
              <w:left w:val="single" w:sz="4" w:space="0" w:color="auto"/>
              <w:bottom w:val="single" w:sz="4" w:space="0" w:color="auto"/>
              <w:right w:val="single" w:sz="4" w:space="0" w:color="auto"/>
            </w:tcBorders>
            <w:vAlign w:val="center"/>
          </w:tcPr>
          <w:p w14:paraId="30504061"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49.9 (2.7)</w:t>
            </w:r>
          </w:p>
        </w:tc>
        <w:tc>
          <w:tcPr>
            <w:tcW w:w="628" w:type="pct"/>
            <w:tcBorders>
              <w:top w:val="single" w:sz="4" w:space="0" w:color="auto"/>
              <w:left w:val="single" w:sz="4" w:space="0" w:color="auto"/>
              <w:bottom w:val="single" w:sz="4" w:space="0" w:color="auto"/>
              <w:right w:val="single" w:sz="4" w:space="0" w:color="auto"/>
            </w:tcBorders>
            <w:vAlign w:val="center"/>
          </w:tcPr>
          <w:p w14:paraId="11C293B8"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54.7 (3.9)</w:t>
            </w:r>
          </w:p>
        </w:tc>
      </w:tr>
      <w:tr w:rsidR="00634B30" w:rsidRPr="00CB0EB9" w14:paraId="637B39BE" w14:textId="77777777" w:rsidTr="00AA2139">
        <w:trPr>
          <w:trHeight w:val="144"/>
        </w:trPr>
        <w:tc>
          <w:tcPr>
            <w:tcW w:w="1916" w:type="pct"/>
            <w:tcBorders>
              <w:top w:val="single" w:sz="4" w:space="0" w:color="auto"/>
              <w:left w:val="single" w:sz="4" w:space="0" w:color="auto"/>
              <w:bottom w:val="single" w:sz="4" w:space="0" w:color="auto"/>
              <w:right w:val="single" w:sz="4" w:space="0" w:color="auto"/>
            </w:tcBorders>
            <w:vAlign w:val="center"/>
          </w:tcPr>
          <w:p w14:paraId="3B958FFE" w14:textId="77777777" w:rsidR="00174079" w:rsidRPr="00CB0EB9" w:rsidRDefault="00174079" w:rsidP="00446B4C">
            <w:pPr>
              <w:rPr>
                <w:rFonts w:ascii="Times New Roman" w:hAnsi="Times New Roman" w:cs="Times New Roman"/>
                <w:sz w:val="20"/>
                <w:szCs w:val="20"/>
              </w:rPr>
            </w:pPr>
            <w:r w:rsidRPr="00CB0EB9">
              <w:rPr>
                <w:rFonts w:ascii="Times New Roman" w:hAnsi="Times New Roman" w:cs="Times New Roman"/>
                <w:sz w:val="20"/>
                <w:szCs w:val="20"/>
              </w:rPr>
              <w:t>At least 1 sworn law enforcement officer</w:t>
            </w:r>
          </w:p>
        </w:tc>
        <w:tc>
          <w:tcPr>
            <w:tcW w:w="609" w:type="pct"/>
            <w:tcBorders>
              <w:top w:val="single" w:sz="4" w:space="0" w:color="auto"/>
              <w:left w:val="single" w:sz="4" w:space="0" w:color="auto"/>
              <w:bottom w:val="single" w:sz="4" w:space="0" w:color="auto"/>
              <w:right w:val="single" w:sz="4" w:space="0" w:color="auto"/>
            </w:tcBorders>
            <w:vAlign w:val="center"/>
          </w:tcPr>
          <w:p w14:paraId="73C1D16C"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50.5 (1.4)</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6D8C0761"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53.4 (2.4)</w:t>
            </w:r>
          </w:p>
        </w:tc>
        <w:tc>
          <w:tcPr>
            <w:tcW w:w="588" w:type="pct"/>
            <w:tcBorders>
              <w:top w:val="single" w:sz="4" w:space="0" w:color="auto"/>
              <w:left w:val="single" w:sz="4" w:space="0" w:color="auto"/>
              <w:bottom w:val="single" w:sz="4" w:space="0" w:color="auto"/>
              <w:right w:val="single" w:sz="4" w:space="0" w:color="auto"/>
            </w:tcBorders>
            <w:vAlign w:val="center"/>
          </w:tcPr>
          <w:p w14:paraId="30040ADA" w14:textId="77777777" w:rsidR="00174079" w:rsidRPr="00CB0EB9" w:rsidRDefault="00174079" w:rsidP="00446B4C">
            <w:pPr>
              <w:jc w:val="right"/>
              <w:rPr>
                <w:rFonts w:ascii="Times New Roman" w:hAnsi="Times New Roman" w:cs="Times New Roman"/>
                <w:sz w:val="20"/>
                <w:szCs w:val="20"/>
              </w:rPr>
            </w:pPr>
            <w:r w:rsidRPr="00CB0EB9">
              <w:rPr>
                <w:rFonts w:ascii="Times New Roman" w:hAnsi="Times New Roman" w:cs="Times New Roman"/>
                <w:sz w:val="20"/>
                <w:szCs w:val="20"/>
              </w:rPr>
              <w:t>48.9 (4.1)</w:t>
            </w:r>
          </w:p>
        </w:tc>
        <w:tc>
          <w:tcPr>
            <w:tcW w:w="503" w:type="pct"/>
            <w:tcBorders>
              <w:top w:val="single" w:sz="4" w:space="0" w:color="auto"/>
              <w:left w:val="single" w:sz="4" w:space="0" w:color="auto"/>
              <w:bottom w:val="single" w:sz="4" w:space="0" w:color="auto"/>
              <w:right w:val="single" w:sz="4" w:space="0" w:color="auto"/>
            </w:tcBorders>
            <w:vAlign w:val="center"/>
          </w:tcPr>
          <w:p w14:paraId="2621155A"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50.1 (2.7)</w:t>
            </w:r>
          </w:p>
        </w:tc>
        <w:tc>
          <w:tcPr>
            <w:tcW w:w="628" w:type="pct"/>
            <w:tcBorders>
              <w:top w:val="single" w:sz="4" w:space="0" w:color="auto"/>
              <w:left w:val="single" w:sz="4" w:space="0" w:color="auto"/>
              <w:bottom w:val="single" w:sz="4" w:space="0" w:color="auto"/>
              <w:right w:val="single" w:sz="4" w:space="0" w:color="auto"/>
            </w:tcBorders>
            <w:vAlign w:val="center"/>
          </w:tcPr>
          <w:p w14:paraId="5E3CF476" w14:textId="77777777" w:rsidR="00174079" w:rsidRPr="00CB0EB9" w:rsidRDefault="00174079" w:rsidP="00446B4C">
            <w:pPr>
              <w:jc w:val="right"/>
              <w:rPr>
                <w:rFonts w:ascii="Times New Roman" w:hAnsi="Times New Roman" w:cs="Times New Roman"/>
                <w:color w:val="000000"/>
                <w:sz w:val="20"/>
                <w:szCs w:val="20"/>
              </w:rPr>
            </w:pPr>
            <w:r w:rsidRPr="00CB0EB9">
              <w:rPr>
                <w:rFonts w:ascii="Times New Roman" w:hAnsi="Times New Roman" w:cs="Times New Roman"/>
                <w:color w:val="000000"/>
                <w:sz w:val="20"/>
                <w:szCs w:val="20"/>
              </w:rPr>
              <w:t>45.3 (3.9)</w:t>
            </w:r>
          </w:p>
        </w:tc>
      </w:tr>
      <w:tr w:rsidR="00634B30" w:rsidRPr="00CB0EB9" w14:paraId="61FE3BF2" w14:textId="77777777" w:rsidTr="00AA2139">
        <w:trPr>
          <w:trHeight w:val="144"/>
        </w:trPr>
        <w:tc>
          <w:tcPr>
            <w:tcW w:w="1916" w:type="pct"/>
            <w:tcBorders>
              <w:top w:val="single" w:sz="4" w:space="0" w:color="auto"/>
              <w:left w:val="single" w:sz="4" w:space="0" w:color="auto"/>
              <w:bottom w:val="single" w:sz="4" w:space="0" w:color="auto"/>
              <w:right w:val="single" w:sz="4" w:space="0" w:color="auto"/>
            </w:tcBorders>
            <w:vAlign w:val="center"/>
          </w:tcPr>
          <w:p w14:paraId="096316ED" w14:textId="3FB76471" w:rsidR="00174079" w:rsidRPr="00CB0EB9" w:rsidRDefault="00B33A67" w:rsidP="00446B4C">
            <w:pPr>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 xml:space="preserve">Percent </w:t>
            </w:r>
            <w:r w:rsidR="00174079" w:rsidRPr="00CB0EB9">
              <w:rPr>
                <w:rFonts w:ascii="Times New Roman" w:hAnsi="Times New Roman" w:cs="Times New Roman"/>
                <w:i/>
                <w:color w:val="808080" w:themeColor="background1" w:themeShade="80"/>
                <w:sz w:val="20"/>
                <w:szCs w:val="20"/>
              </w:rPr>
              <w:t>Total</w:t>
            </w:r>
          </w:p>
        </w:tc>
        <w:tc>
          <w:tcPr>
            <w:tcW w:w="609" w:type="pct"/>
            <w:tcBorders>
              <w:top w:val="single" w:sz="4" w:space="0" w:color="auto"/>
              <w:left w:val="single" w:sz="4" w:space="0" w:color="auto"/>
              <w:bottom w:val="single" w:sz="4" w:space="0" w:color="auto"/>
              <w:right w:val="single" w:sz="4" w:space="0" w:color="auto"/>
            </w:tcBorders>
            <w:vAlign w:val="center"/>
          </w:tcPr>
          <w:p w14:paraId="397340F7" w14:textId="77777777" w:rsidR="00174079" w:rsidRPr="00CB0EB9" w:rsidRDefault="00174079" w:rsidP="00446B4C">
            <w:pPr>
              <w:jc w:val="right"/>
              <w:rPr>
                <w:rFonts w:ascii="Times New Roman" w:hAnsi="Times New Roman" w:cs="Times New Roman"/>
                <w:i/>
                <w:color w:val="808080" w:themeColor="background1" w:themeShade="80"/>
                <w:sz w:val="20"/>
                <w:szCs w:val="20"/>
              </w:rPr>
            </w:pPr>
            <w:r w:rsidRPr="00CB0EB9">
              <w:rPr>
                <w:rFonts w:ascii="Times New Roman" w:hAnsi="Times New Roman" w:cs="Times New Roman"/>
                <w:i/>
                <w:color w:val="808080" w:themeColor="background1" w:themeShade="80"/>
                <w:sz w:val="20"/>
                <w:szCs w:val="20"/>
              </w:rPr>
              <w:t>100</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1590066B" w14:textId="77777777" w:rsidR="00174079" w:rsidRPr="00CB0EB9" w:rsidRDefault="00174079" w:rsidP="00446B4C">
            <w:pPr>
              <w:jc w:val="right"/>
              <w:rPr>
                <w:rFonts w:ascii="Times New Roman" w:hAnsi="Times New Roman" w:cs="Times New Roman"/>
                <w:i/>
                <w:color w:val="808080" w:themeColor="background1" w:themeShade="80"/>
                <w:sz w:val="20"/>
                <w:szCs w:val="20"/>
              </w:rPr>
            </w:pPr>
            <w:r w:rsidRPr="00CB0EB9">
              <w:rPr>
                <w:rFonts w:ascii="Times New Roman" w:hAnsi="Times New Roman" w:cs="Times New Roman"/>
                <w:i/>
                <w:color w:val="808080" w:themeColor="background1" w:themeShade="80"/>
                <w:sz w:val="20"/>
                <w:szCs w:val="20"/>
              </w:rPr>
              <w:t>100</w:t>
            </w:r>
          </w:p>
        </w:tc>
        <w:tc>
          <w:tcPr>
            <w:tcW w:w="588" w:type="pct"/>
            <w:tcBorders>
              <w:top w:val="single" w:sz="4" w:space="0" w:color="auto"/>
              <w:left w:val="single" w:sz="4" w:space="0" w:color="auto"/>
              <w:bottom w:val="single" w:sz="4" w:space="0" w:color="auto"/>
              <w:right w:val="single" w:sz="4" w:space="0" w:color="auto"/>
            </w:tcBorders>
            <w:vAlign w:val="center"/>
          </w:tcPr>
          <w:p w14:paraId="515303AC" w14:textId="77777777" w:rsidR="00174079" w:rsidRPr="00CB0EB9" w:rsidRDefault="00174079" w:rsidP="00446B4C">
            <w:pPr>
              <w:jc w:val="right"/>
              <w:rPr>
                <w:rFonts w:ascii="Times New Roman" w:hAnsi="Times New Roman" w:cs="Times New Roman"/>
                <w:i/>
                <w:color w:val="808080" w:themeColor="background1" w:themeShade="80"/>
                <w:sz w:val="20"/>
                <w:szCs w:val="20"/>
              </w:rPr>
            </w:pPr>
            <w:r w:rsidRPr="00CB0EB9">
              <w:rPr>
                <w:rFonts w:ascii="Times New Roman" w:hAnsi="Times New Roman" w:cs="Times New Roman"/>
                <w:i/>
                <w:color w:val="808080" w:themeColor="background1" w:themeShade="80"/>
                <w:sz w:val="20"/>
                <w:szCs w:val="20"/>
              </w:rPr>
              <w:t>100</w:t>
            </w:r>
          </w:p>
        </w:tc>
        <w:tc>
          <w:tcPr>
            <w:tcW w:w="503" w:type="pct"/>
            <w:tcBorders>
              <w:top w:val="single" w:sz="4" w:space="0" w:color="auto"/>
              <w:left w:val="single" w:sz="4" w:space="0" w:color="auto"/>
              <w:bottom w:val="single" w:sz="4" w:space="0" w:color="auto"/>
              <w:right w:val="single" w:sz="4" w:space="0" w:color="auto"/>
            </w:tcBorders>
            <w:vAlign w:val="center"/>
          </w:tcPr>
          <w:p w14:paraId="78C0BE4A" w14:textId="77777777" w:rsidR="00174079" w:rsidRPr="00CB0EB9" w:rsidRDefault="00174079" w:rsidP="00446B4C">
            <w:pPr>
              <w:jc w:val="right"/>
              <w:rPr>
                <w:rFonts w:ascii="Times New Roman" w:hAnsi="Times New Roman" w:cs="Times New Roman"/>
                <w:i/>
                <w:color w:val="808080" w:themeColor="background1" w:themeShade="80"/>
                <w:sz w:val="20"/>
                <w:szCs w:val="20"/>
              </w:rPr>
            </w:pPr>
            <w:r w:rsidRPr="00CB0EB9">
              <w:rPr>
                <w:rFonts w:ascii="Times New Roman" w:hAnsi="Times New Roman" w:cs="Times New Roman"/>
                <w:i/>
                <w:color w:val="808080" w:themeColor="background1" w:themeShade="80"/>
                <w:sz w:val="20"/>
                <w:szCs w:val="20"/>
              </w:rPr>
              <w:t>100</w:t>
            </w:r>
          </w:p>
        </w:tc>
        <w:tc>
          <w:tcPr>
            <w:tcW w:w="628" w:type="pct"/>
            <w:tcBorders>
              <w:top w:val="single" w:sz="4" w:space="0" w:color="auto"/>
              <w:left w:val="single" w:sz="4" w:space="0" w:color="auto"/>
              <w:bottom w:val="single" w:sz="4" w:space="0" w:color="auto"/>
              <w:right w:val="single" w:sz="4" w:space="0" w:color="auto"/>
            </w:tcBorders>
            <w:vAlign w:val="center"/>
          </w:tcPr>
          <w:p w14:paraId="155110CD" w14:textId="77777777" w:rsidR="00174079" w:rsidRPr="00CB0EB9" w:rsidRDefault="00174079" w:rsidP="00446B4C">
            <w:pPr>
              <w:jc w:val="right"/>
              <w:rPr>
                <w:rFonts w:ascii="Times New Roman" w:hAnsi="Times New Roman" w:cs="Times New Roman"/>
                <w:i/>
                <w:color w:val="808080" w:themeColor="background1" w:themeShade="80"/>
                <w:sz w:val="20"/>
                <w:szCs w:val="20"/>
              </w:rPr>
            </w:pPr>
            <w:r w:rsidRPr="00CB0EB9">
              <w:rPr>
                <w:rFonts w:ascii="Times New Roman" w:hAnsi="Times New Roman" w:cs="Times New Roman"/>
                <w:i/>
                <w:color w:val="808080" w:themeColor="background1" w:themeShade="80"/>
                <w:sz w:val="20"/>
                <w:szCs w:val="20"/>
              </w:rPr>
              <w:t>100</w:t>
            </w:r>
          </w:p>
        </w:tc>
      </w:tr>
      <w:tr w:rsidR="00174079" w:rsidRPr="00CB0EB9" w14:paraId="2A3332BC" w14:textId="77777777" w:rsidTr="00AA2139">
        <w:trPr>
          <w:trHeight w:val="144"/>
        </w:trPr>
        <w:tc>
          <w:tcPr>
            <w:tcW w:w="3281" w:type="pct"/>
            <w:gridSpan w:val="3"/>
            <w:tcBorders>
              <w:top w:val="single" w:sz="4" w:space="0" w:color="auto"/>
              <w:left w:val="single" w:sz="4" w:space="0" w:color="auto"/>
              <w:bottom w:val="single" w:sz="4" w:space="0" w:color="auto"/>
              <w:right w:val="single" w:sz="4" w:space="0" w:color="auto"/>
            </w:tcBorders>
            <w:vAlign w:val="center"/>
          </w:tcPr>
          <w:p w14:paraId="714EAAF2" w14:textId="77777777" w:rsidR="00174079" w:rsidRPr="00CB0EB9" w:rsidRDefault="00174079" w:rsidP="00446B4C">
            <w:pPr>
              <w:rPr>
                <w:rFonts w:ascii="Times New Roman" w:hAnsi="Times New Roman" w:cs="Times New Roman"/>
                <w:sz w:val="20"/>
                <w:szCs w:val="20"/>
              </w:rPr>
            </w:pPr>
            <w:r w:rsidRPr="00CB0EB9">
              <w:rPr>
                <w:rFonts w:ascii="Times New Roman" w:hAnsi="Times New Roman" w:cs="Times New Roman"/>
                <w:sz w:val="20"/>
                <w:szCs w:val="20"/>
              </w:rPr>
              <w:t>Rao-Scott Chi-Square p-value, comparison to control group (degrees of freedom)</w:t>
            </w:r>
          </w:p>
        </w:tc>
        <w:tc>
          <w:tcPr>
            <w:tcW w:w="588" w:type="pct"/>
            <w:tcBorders>
              <w:top w:val="single" w:sz="4" w:space="0" w:color="auto"/>
              <w:left w:val="single" w:sz="4" w:space="0" w:color="auto"/>
              <w:bottom w:val="single" w:sz="4" w:space="0" w:color="auto"/>
              <w:right w:val="single" w:sz="4" w:space="0" w:color="auto"/>
            </w:tcBorders>
            <w:vAlign w:val="center"/>
          </w:tcPr>
          <w:p w14:paraId="720105AA" w14:textId="77777777" w:rsidR="00174079" w:rsidRPr="00CB0EB9" w:rsidRDefault="00174079" w:rsidP="00446B4C">
            <w:pPr>
              <w:jc w:val="right"/>
              <w:rPr>
                <w:rFonts w:ascii="Times New Roman" w:hAnsi="Times New Roman" w:cs="Times New Roman"/>
                <w:sz w:val="20"/>
                <w:szCs w:val="20"/>
              </w:rPr>
            </w:pPr>
            <w:r w:rsidRPr="00CB0EB9">
              <w:rPr>
                <w:rFonts w:ascii="Times New Roman" w:hAnsi="Times New Roman" w:cs="Times New Roman"/>
                <w:sz w:val="20"/>
                <w:szCs w:val="20"/>
              </w:rPr>
              <w:t>0.3006 (1)</w:t>
            </w:r>
          </w:p>
        </w:tc>
        <w:tc>
          <w:tcPr>
            <w:tcW w:w="503" w:type="pct"/>
            <w:tcBorders>
              <w:top w:val="single" w:sz="4" w:space="0" w:color="auto"/>
              <w:left w:val="single" w:sz="4" w:space="0" w:color="auto"/>
              <w:bottom w:val="single" w:sz="4" w:space="0" w:color="auto"/>
              <w:right w:val="single" w:sz="4" w:space="0" w:color="auto"/>
            </w:tcBorders>
            <w:vAlign w:val="center"/>
          </w:tcPr>
          <w:p w14:paraId="2C433F6C" w14:textId="77777777" w:rsidR="00174079" w:rsidRPr="00CB0EB9" w:rsidRDefault="00174079" w:rsidP="00446B4C">
            <w:pPr>
              <w:jc w:val="right"/>
              <w:rPr>
                <w:rFonts w:ascii="Times New Roman" w:hAnsi="Times New Roman" w:cs="Times New Roman"/>
                <w:sz w:val="20"/>
                <w:szCs w:val="20"/>
              </w:rPr>
            </w:pPr>
            <w:r w:rsidRPr="00CB0EB9">
              <w:rPr>
                <w:rFonts w:ascii="Times New Roman" w:hAnsi="Times New Roman" w:cs="Times New Roman"/>
                <w:sz w:val="20"/>
                <w:szCs w:val="20"/>
              </w:rPr>
              <w:t>0.3584 (1)</w:t>
            </w:r>
          </w:p>
        </w:tc>
        <w:tc>
          <w:tcPr>
            <w:tcW w:w="628" w:type="pct"/>
            <w:tcBorders>
              <w:top w:val="single" w:sz="4" w:space="0" w:color="auto"/>
              <w:left w:val="single" w:sz="4" w:space="0" w:color="auto"/>
              <w:bottom w:val="single" w:sz="4" w:space="0" w:color="auto"/>
              <w:right w:val="single" w:sz="4" w:space="0" w:color="auto"/>
            </w:tcBorders>
            <w:vAlign w:val="center"/>
          </w:tcPr>
          <w:p w14:paraId="2AE4E508" w14:textId="77777777" w:rsidR="00174079" w:rsidRPr="00CB0EB9" w:rsidRDefault="00174079" w:rsidP="00446B4C">
            <w:pPr>
              <w:jc w:val="right"/>
              <w:rPr>
                <w:rFonts w:ascii="Times New Roman" w:hAnsi="Times New Roman" w:cs="Times New Roman"/>
                <w:sz w:val="20"/>
                <w:szCs w:val="20"/>
              </w:rPr>
            </w:pPr>
            <w:r w:rsidRPr="00CB0EB9">
              <w:rPr>
                <w:rFonts w:ascii="Times New Roman" w:hAnsi="Times New Roman" w:cs="Times New Roman"/>
                <w:sz w:val="20"/>
                <w:szCs w:val="20"/>
              </w:rPr>
              <w:t>0.0808* (1)</w:t>
            </w:r>
          </w:p>
        </w:tc>
      </w:tr>
    </w:tbl>
    <w:p w14:paraId="092E0D13" w14:textId="77777777" w:rsidR="00174079" w:rsidRPr="00D85942" w:rsidRDefault="00174079" w:rsidP="00634B30">
      <w:pPr>
        <w:ind w:left="90"/>
        <w:rPr>
          <w:sz w:val="18"/>
        </w:rPr>
      </w:pPr>
      <w:r w:rsidRPr="00D85942">
        <w:rPr>
          <w:sz w:val="18"/>
        </w:rPr>
        <w:t>Source: U.S. Census Bureau, Results from the 2018 School Survey on Crime and Safety Internet and Incentive Experiment</w:t>
      </w:r>
    </w:p>
    <w:p w14:paraId="46B83CE9" w14:textId="77777777" w:rsidR="00174079" w:rsidRPr="00D85942" w:rsidRDefault="00174079" w:rsidP="00174079">
      <w:pPr>
        <w:rPr>
          <w:sz w:val="18"/>
        </w:rPr>
      </w:pPr>
      <w:r w:rsidRPr="00D85942">
        <w:rPr>
          <w:sz w:val="18"/>
        </w:rPr>
        <w:t>*Denotes significance at 0.10.</w:t>
      </w:r>
    </w:p>
    <w:p w14:paraId="25059A87" w14:textId="77777777" w:rsidR="00174079" w:rsidRPr="00D85942" w:rsidRDefault="00174079" w:rsidP="00174079"/>
    <w:p w14:paraId="688E7E68" w14:textId="77777777" w:rsidR="00855725" w:rsidRDefault="00174079" w:rsidP="001A4784">
      <w:pPr>
        <w:spacing w:after="120"/>
      </w:pPr>
      <w:r w:rsidRPr="00D85942">
        <w:t>Looking at the distributions of school characteristics for nonresponding schools, a few school characteristics were identified as being associated with propensity to respond. Specifically, school locale, enrollment size, the percent of white students, and the student-to-full-time-teacher ratio do not have similar distributions between the sample respondents and nonrespondents. These characteristics were previously identified as being correlated to nonresponse, in addition to the number of teachers and the percentage of students eligible for free or reduced-price lunch, and are used in the algorithm for nonresponse adjustments.</w:t>
      </w:r>
    </w:p>
    <w:p w14:paraId="7B32D6E9" w14:textId="77777777" w:rsidR="00855725" w:rsidRDefault="00174079" w:rsidP="001A4784">
      <w:pPr>
        <w:spacing w:after="120"/>
      </w:pPr>
      <w:r w:rsidRPr="00D85942">
        <w:t>When introducing a new mode or incentives, it is often helpful to understand the effects of an intervention on producing faster response, which can save money on follow-up efforts. Therefore, the amount of time (days) that it took each respondent in the experimental groups to return the survey (even if the survey was later deemed incomplete) was calculated as part of the analyses. Table 10 displays the weighted average number of days to respond for each experimental group, with the difference in average number of days from the control group. The p-value for the hypothesis test of no difference is reported in the last column.</w:t>
      </w:r>
    </w:p>
    <w:p w14:paraId="7CB1E386" w14:textId="3D943E9D" w:rsidR="00174079" w:rsidRPr="00D85942" w:rsidRDefault="00174079" w:rsidP="001A4784">
      <w:pPr>
        <w:spacing w:after="120"/>
      </w:pPr>
      <w:r w:rsidRPr="00D85942">
        <w:t>The option to respond online and the incentive had significantly faster response times. Specifically, the incentive, regardless of the internet option, produces the fastest response time.</w:t>
      </w:r>
    </w:p>
    <w:p w14:paraId="78984CFB" w14:textId="2D4F4E20" w:rsidR="00174079" w:rsidRPr="00634B30" w:rsidRDefault="00174079" w:rsidP="00634B30">
      <w:pPr>
        <w:keepNext/>
        <w:rPr>
          <w:rFonts w:eastAsia="Arial"/>
          <w:b/>
          <w:spacing w:val="-1"/>
        </w:rPr>
      </w:pPr>
      <w:r w:rsidRPr="00634B30">
        <w:rPr>
          <w:rFonts w:eastAsia="Arial"/>
          <w:b/>
          <w:spacing w:val="-1"/>
        </w:rPr>
        <w:t xml:space="preserve">Table 10: </w:t>
      </w:r>
      <w:r w:rsidR="0008700C" w:rsidRPr="00634B30">
        <w:rPr>
          <w:rFonts w:eastAsia="Arial"/>
          <w:b/>
          <w:spacing w:val="-1"/>
        </w:rPr>
        <w:t>SSOCS:2018</w:t>
      </w:r>
      <w:r w:rsidR="0008700C">
        <w:rPr>
          <w:rFonts w:eastAsia="Arial"/>
          <w:b/>
          <w:spacing w:val="-1"/>
        </w:rPr>
        <w:t xml:space="preserve"> </w:t>
      </w:r>
      <w:r w:rsidRPr="00634B30">
        <w:rPr>
          <w:rFonts w:eastAsia="Arial"/>
          <w:b/>
          <w:spacing w:val="-1"/>
        </w:rPr>
        <w:t>Experimental Group Respo</w:t>
      </w:r>
      <w:r w:rsidR="0008700C">
        <w:rPr>
          <w:rFonts w:eastAsia="Arial"/>
          <w:b/>
          <w:spacing w:val="-1"/>
        </w:rPr>
        <w:t>nse Times (Standard Errors)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90"/>
        <w:gridCol w:w="2340"/>
        <w:gridCol w:w="2519"/>
        <w:gridCol w:w="2879"/>
      </w:tblGrid>
      <w:tr w:rsidR="00174079" w:rsidRPr="00CB0EB9" w14:paraId="11B0B9DB" w14:textId="77777777" w:rsidTr="00A8623C">
        <w:trPr>
          <w:trHeight w:val="144"/>
        </w:trPr>
        <w:tc>
          <w:tcPr>
            <w:tcW w:w="1393" w:type="pct"/>
            <w:tcBorders>
              <w:bottom w:val="single" w:sz="4" w:space="0" w:color="auto"/>
            </w:tcBorders>
            <w:shd w:val="clear" w:color="auto" w:fill="D9D9D9" w:themeFill="background1" w:themeFillShade="D9"/>
            <w:vAlign w:val="center"/>
          </w:tcPr>
          <w:p w14:paraId="05CE2F6D" w14:textId="77777777" w:rsidR="00174079" w:rsidRPr="00CB0EB9" w:rsidRDefault="00174079" w:rsidP="00446B4C">
            <w:pPr>
              <w:rPr>
                <w:rFonts w:ascii="Times New Roman" w:eastAsia="Times New Roman" w:hAnsi="Times New Roman" w:cs="Times New Roman"/>
                <w:b/>
                <w:sz w:val="20"/>
                <w:szCs w:val="20"/>
              </w:rPr>
            </w:pPr>
            <w:r w:rsidRPr="00CB0EB9">
              <w:rPr>
                <w:rFonts w:ascii="Times New Roman" w:eastAsia="Times New Roman" w:hAnsi="Times New Roman" w:cs="Times New Roman"/>
                <w:b/>
                <w:sz w:val="20"/>
                <w:szCs w:val="20"/>
              </w:rPr>
              <w:t>Experimental Group</w:t>
            </w:r>
          </w:p>
        </w:tc>
        <w:tc>
          <w:tcPr>
            <w:tcW w:w="1090" w:type="pct"/>
            <w:tcBorders>
              <w:bottom w:val="single" w:sz="4" w:space="0" w:color="auto"/>
            </w:tcBorders>
            <w:shd w:val="clear" w:color="auto" w:fill="D9D9D9" w:themeFill="background1" w:themeFillShade="D9"/>
            <w:vAlign w:val="center"/>
          </w:tcPr>
          <w:p w14:paraId="51FE0DFC" w14:textId="77777777" w:rsidR="00174079" w:rsidRPr="00CB0EB9" w:rsidRDefault="00174079" w:rsidP="00446B4C">
            <w:pPr>
              <w:jc w:val="center"/>
              <w:rPr>
                <w:rFonts w:ascii="Times New Roman" w:eastAsia="Times New Roman" w:hAnsi="Times New Roman" w:cs="Times New Roman"/>
                <w:b/>
                <w:sz w:val="20"/>
                <w:szCs w:val="20"/>
              </w:rPr>
            </w:pPr>
            <w:r w:rsidRPr="00CB0EB9">
              <w:rPr>
                <w:rFonts w:ascii="Times New Roman" w:eastAsia="Times New Roman" w:hAnsi="Times New Roman" w:cs="Times New Roman"/>
                <w:b/>
                <w:sz w:val="20"/>
                <w:szCs w:val="20"/>
              </w:rPr>
              <w:t>Response Time in Days</w:t>
            </w:r>
          </w:p>
        </w:tc>
        <w:tc>
          <w:tcPr>
            <w:tcW w:w="1174" w:type="pct"/>
            <w:tcBorders>
              <w:bottom w:val="single" w:sz="4" w:space="0" w:color="auto"/>
            </w:tcBorders>
            <w:shd w:val="clear" w:color="auto" w:fill="D9D9D9" w:themeFill="background1" w:themeFillShade="D9"/>
            <w:vAlign w:val="center"/>
          </w:tcPr>
          <w:p w14:paraId="1A6B6EE4" w14:textId="77777777" w:rsidR="00174079" w:rsidRPr="00CB0EB9" w:rsidRDefault="00174079" w:rsidP="00446B4C">
            <w:pPr>
              <w:jc w:val="center"/>
              <w:rPr>
                <w:rFonts w:ascii="Times New Roman" w:eastAsia="Times New Roman" w:hAnsi="Times New Roman" w:cs="Times New Roman"/>
                <w:b/>
                <w:sz w:val="20"/>
                <w:szCs w:val="20"/>
              </w:rPr>
            </w:pPr>
            <w:r w:rsidRPr="00CB0EB9">
              <w:rPr>
                <w:rFonts w:ascii="Times New Roman" w:eastAsia="Times New Roman" w:hAnsi="Times New Roman" w:cs="Times New Roman"/>
                <w:b/>
                <w:sz w:val="20"/>
                <w:szCs w:val="20"/>
              </w:rPr>
              <w:t>Difference from Control</w:t>
            </w:r>
          </w:p>
        </w:tc>
        <w:tc>
          <w:tcPr>
            <w:tcW w:w="1342" w:type="pct"/>
            <w:tcBorders>
              <w:bottom w:val="single" w:sz="4" w:space="0" w:color="auto"/>
            </w:tcBorders>
            <w:shd w:val="clear" w:color="auto" w:fill="D9D9D9" w:themeFill="background1" w:themeFillShade="D9"/>
            <w:vAlign w:val="center"/>
          </w:tcPr>
          <w:p w14:paraId="2689DB59" w14:textId="77777777" w:rsidR="00174079" w:rsidRPr="00CB0EB9" w:rsidRDefault="00174079" w:rsidP="00446B4C">
            <w:pPr>
              <w:jc w:val="center"/>
              <w:rPr>
                <w:rFonts w:ascii="Times New Roman" w:eastAsia="Times New Roman" w:hAnsi="Times New Roman" w:cs="Times New Roman"/>
                <w:b/>
                <w:sz w:val="20"/>
                <w:szCs w:val="20"/>
              </w:rPr>
            </w:pPr>
            <w:r w:rsidRPr="00CB0EB9">
              <w:rPr>
                <w:rFonts w:ascii="Times New Roman" w:eastAsia="Times New Roman" w:hAnsi="Times New Roman" w:cs="Times New Roman"/>
                <w:b/>
                <w:sz w:val="20"/>
                <w:szCs w:val="20"/>
              </w:rPr>
              <w:t>Significance Test P-Value</w:t>
            </w:r>
          </w:p>
        </w:tc>
      </w:tr>
      <w:tr w:rsidR="00174079" w:rsidRPr="00CB0EB9" w14:paraId="11ECB263" w14:textId="77777777" w:rsidTr="00A8623C">
        <w:trPr>
          <w:trHeight w:val="144"/>
        </w:trPr>
        <w:tc>
          <w:tcPr>
            <w:tcW w:w="1393" w:type="pct"/>
            <w:tcBorders>
              <w:top w:val="single" w:sz="4" w:space="0" w:color="auto"/>
            </w:tcBorders>
            <w:vAlign w:val="center"/>
          </w:tcPr>
          <w:p w14:paraId="43D6B5D7" w14:textId="77777777" w:rsidR="00174079" w:rsidRPr="005542A5" w:rsidRDefault="00174079" w:rsidP="00446B4C">
            <w:pPr>
              <w:rPr>
                <w:rFonts w:ascii="Times New Roman" w:eastAsia="Times New Roman" w:hAnsi="Times New Roman" w:cs="Times New Roman"/>
                <w:sz w:val="20"/>
                <w:szCs w:val="20"/>
              </w:rPr>
            </w:pPr>
            <w:r w:rsidRPr="005542A5">
              <w:rPr>
                <w:rFonts w:ascii="Times New Roman" w:eastAsia="Times New Roman" w:hAnsi="Times New Roman" w:cs="Times New Roman"/>
                <w:sz w:val="20"/>
                <w:szCs w:val="20"/>
              </w:rPr>
              <w:t>Internet, No Incentive</w:t>
            </w:r>
          </w:p>
        </w:tc>
        <w:tc>
          <w:tcPr>
            <w:tcW w:w="1090" w:type="pct"/>
            <w:tcBorders>
              <w:top w:val="single" w:sz="4" w:space="0" w:color="auto"/>
            </w:tcBorders>
            <w:vAlign w:val="center"/>
          </w:tcPr>
          <w:p w14:paraId="1F0AC430"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45.2 (2.1)</w:t>
            </w:r>
          </w:p>
        </w:tc>
        <w:tc>
          <w:tcPr>
            <w:tcW w:w="1174" w:type="pct"/>
            <w:tcBorders>
              <w:top w:val="single" w:sz="4" w:space="0" w:color="auto"/>
            </w:tcBorders>
            <w:vAlign w:val="center"/>
          </w:tcPr>
          <w:p w14:paraId="7B15190F"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-4.4 (2.4)</w:t>
            </w:r>
          </w:p>
        </w:tc>
        <w:tc>
          <w:tcPr>
            <w:tcW w:w="1342" w:type="pct"/>
            <w:tcBorders>
              <w:top w:val="single" w:sz="4" w:space="0" w:color="auto"/>
            </w:tcBorders>
            <w:vAlign w:val="center"/>
          </w:tcPr>
          <w:p w14:paraId="736F5A6B"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0.0694*</w:t>
            </w:r>
          </w:p>
        </w:tc>
      </w:tr>
      <w:tr w:rsidR="00174079" w:rsidRPr="00CB0EB9" w14:paraId="011B9FD2" w14:textId="77777777" w:rsidTr="00A8623C">
        <w:trPr>
          <w:trHeight w:val="144"/>
        </w:trPr>
        <w:tc>
          <w:tcPr>
            <w:tcW w:w="1393" w:type="pct"/>
            <w:vAlign w:val="center"/>
          </w:tcPr>
          <w:p w14:paraId="408428A7" w14:textId="77777777" w:rsidR="00174079" w:rsidRPr="005542A5" w:rsidRDefault="00174079" w:rsidP="00446B4C">
            <w:pPr>
              <w:rPr>
                <w:rFonts w:ascii="Times New Roman" w:eastAsia="Times New Roman" w:hAnsi="Times New Roman" w:cs="Times New Roman"/>
                <w:sz w:val="20"/>
                <w:szCs w:val="20"/>
              </w:rPr>
            </w:pPr>
            <w:r w:rsidRPr="005542A5">
              <w:rPr>
                <w:rFonts w:ascii="Times New Roman" w:eastAsia="Times New Roman" w:hAnsi="Times New Roman" w:cs="Times New Roman"/>
                <w:sz w:val="20"/>
                <w:szCs w:val="20"/>
              </w:rPr>
              <w:t xml:space="preserve">Paper, Incentive </w:t>
            </w:r>
          </w:p>
        </w:tc>
        <w:tc>
          <w:tcPr>
            <w:tcW w:w="1090" w:type="pct"/>
            <w:vAlign w:val="center"/>
          </w:tcPr>
          <w:p w14:paraId="29185A59"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41.1 (1.2)</w:t>
            </w:r>
          </w:p>
        </w:tc>
        <w:tc>
          <w:tcPr>
            <w:tcW w:w="1174" w:type="pct"/>
            <w:vAlign w:val="center"/>
          </w:tcPr>
          <w:p w14:paraId="264ECD58"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-8.5 (1.8)</w:t>
            </w:r>
          </w:p>
        </w:tc>
        <w:tc>
          <w:tcPr>
            <w:tcW w:w="1342" w:type="pct"/>
            <w:vAlign w:val="center"/>
          </w:tcPr>
          <w:p w14:paraId="3828679C"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&lt;0.0001*</w:t>
            </w:r>
          </w:p>
        </w:tc>
      </w:tr>
      <w:tr w:rsidR="00174079" w:rsidRPr="00CB0EB9" w14:paraId="1468748C" w14:textId="77777777" w:rsidTr="00A8623C">
        <w:trPr>
          <w:trHeight w:val="144"/>
        </w:trPr>
        <w:tc>
          <w:tcPr>
            <w:tcW w:w="1393" w:type="pct"/>
            <w:vAlign w:val="center"/>
          </w:tcPr>
          <w:p w14:paraId="1BCEEE18" w14:textId="77777777" w:rsidR="00174079" w:rsidRPr="005542A5" w:rsidRDefault="00174079" w:rsidP="00446B4C">
            <w:pPr>
              <w:rPr>
                <w:rFonts w:ascii="Times New Roman" w:eastAsia="Times New Roman" w:hAnsi="Times New Roman" w:cs="Times New Roman"/>
                <w:sz w:val="20"/>
                <w:szCs w:val="20"/>
              </w:rPr>
            </w:pPr>
            <w:r w:rsidRPr="005542A5">
              <w:rPr>
                <w:rFonts w:ascii="Times New Roman" w:eastAsia="Times New Roman" w:hAnsi="Times New Roman" w:cs="Times New Roman"/>
                <w:sz w:val="20"/>
                <w:szCs w:val="20"/>
              </w:rPr>
              <w:t>Internet and Incentive</w:t>
            </w:r>
          </w:p>
        </w:tc>
        <w:tc>
          <w:tcPr>
            <w:tcW w:w="1090" w:type="pct"/>
            <w:vAlign w:val="center"/>
          </w:tcPr>
          <w:p w14:paraId="6C90C80A"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41.2 (2.5)</w:t>
            </w:r>
          </w:p>
        </w:tc>
        <w:tc>
          <w:tcPr>
            <w:tcW w:w="1174" w:type="pct"/>
            <w:vAlign w:val="center"/>
          </w:tcPr>
          <w:p w14:paraId="09570B41"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-8.4 (3.0)</w:t>
            </w:r>
          </w:p>
        </w:tc>
        <w:tc>
          <w:tcPr>
            <w:tcW w:w="1342" w:type="pct"/>
            <w:vAlign w:val="center"/>
          </w:tcPr>
          <w:p w14:paraId="6B576FC9"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0.0072*</w:t>
            </w:r>
          </w:p>
        </w:tc>
      </w:tr>
      <w:tr w:rsidR="00174079" w:rsidRPr="00CB0EB9" w14:paraId="42C14A6A" w14:textId="77777777" w:rsidTr="00A8623C">
        <w:trPr>
          <w:trHeight w:val="144"/>
        </w:trPr>
        <w:tc>
          <w:tcPr>
            <w:tcW w:w="1393" w:type="pct"/>
            <w:shd w:val="clear" w:color="auto" w:fill="auto"/>
            <w:vAlign w:val="center"/>
          </w:tcPr>
          <w:p w14:paraId="283DE2FB" w14:textId="2F4F2C16" w:rsidR="00174079" w:rsidRPr="005542A5" w:rsidRDefault="00A8623C" w:rsidP="00A8623C">
            <w:pPr>
              <w:rPr>
                <w:rFonts w:ascii="Times New Roman" w:eastAsia="Times New Roman" w:hAnsi="Times New Roman" w:cs="Times New Roman"/>
                <w:sz w:val="20"/>
                <w:szCs w:val="20"/>
              </w:rPr>
            </w:pPr>
            <w:r w:rsidRPr="005542A5">
              <w:rPr>
                <w:rFonts w:ascii="Times New Roman" w:eastAsia="Times New Roman" w:hAnsi="Times New Roman" w:cs="Times New Roman"/>
                <w:sz w:val="20"/>
                <w:szCs w:val="20"/>
              </w:rPr>
              <w:t xml:space="preserve">Control, </w:t>
            </w:r>
            <w:r w:rsidR="00174079" w:rsidRPr="005542A5">
              <w:rPr>
                <w:rFonts w:ascii="Times New Roman" w:eastAsia="Times New Roman" w:hAnsi="Times New Roman" w:cs="Times New Roman"/>
                <w:sz w:val="20"/>
                <w:szCs w:val="20"/>
              </w:rPr>
              <w:t>Paper, No Incentive</w:t>
            </w:r>
          </w:p>
        </w:tc>
        <w:tc>
          <w:tcPr>
            <w:tcW w:w="1090" w:type="pct"/>
            <w:shd w:val="clear" w:color="auto" w:fill="auto"/>
            <w:vAlign w:val="center"/>
          </w:tcPr>
          <w:p w14:paraId="693988C7"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49.6 (1.3)</w:t>
            </w:r>
          </w:p>
        </w:tc>
        <w:tc>
          <w:tcPr>
            <w:tcW w:w="1174" w:type="pct"/>
            <w:shd w:val="clear" w:color="auto" w:fill="auto"/>
            <w:vAlign w:val="center"/>
          </w:tcPr>
          <w:p w14:paraId="5F413313"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N/A</w:t>
            </w:r>
          </w:p>
        </w:tc>
        <w:tc>
          <w:tcPr>
            <w:tcW w:w="1342" w:type="pct"/>
            <w:shd w:val="clear" w:color="auto" w:fill="auto"/>
            <w:vAlign w:val="center"/>
          </w:tcPr>
          <w:p w14:paraId="6351589C" w14:textId="77777777" w:rsidR="00174079" w:rsidRPr="00CB0EB9" w:rsidRDefault="00174079" w:rsidP="00446B4C">
            <w:pPr>
              <w:jc w:val="right"/>
              <w:rPr>
                <w:rFonts w:ascii="Times New Roman" w:eastAsia="Times New Roman" w:hAnsi="Times New Roman" w:cs="Times New Roman"/>
                <w:sz w:val="20"/>
                <w:szCs w:val="20"/>
              </w:rPr>
            </w:pPr>
            <w:r w:rsidRPr="00CB0EB9">
              <w:rPr>
                <w:rFonts w:ascii="Times New Roman" w:eastAsia="Times New Roman" w:hAnsi="Times New Roman" w:cs="Times New Roman"/>
                <w:sz w:val="20"/>
                <w:szCs w:val="20"/>
              </w:rPr>
              <w:t>N/A</w:t>
            </w:r>
          </w:p>
        </w:tc>
      </w:tr>
    </w:tbl>
    <w:p w14:paraId="0C509403" w14:textId="77777777" w:rsidR="00174079" w:rsidRPr="00D85942" w:rsidRDefault="00174079" w:rsidP="00A8623C">
      <w:pPr>
        <w:ind w:left="90"/>
        <w:rPr>
          <w:sz w:val="18"/>
        </w:rPr>
      </w:pPr>
      <w:r w:rsidRPr="00D85942">
        <w:rPr>
          <w:sz w:val="18"/>
        </w:rPr>
        <w:t>Source: U.S. Census Bureau, Results from the 2018 School Survey on Crime and Safety Internet and Incentive Experiment</w:t>
      </w:r>
    </w:p>
    <w:p w14:paraId="05C9181E" w14:textId="77777777" w:rsidR="00855725" w:rsidRDefault="00174079" w:rsidP="00A8623C">
      <w:pPr>
        <w:ind w:left="90"/>
        <w:rPr>
          <w:sz w:val="18"/>
        </w:rPr>
      </w:pPr>
      <w:r w:rsidRPr="00D85942">
        <w:rPr>
          <w:sz w:val="18"/>
        </w:rPr>
        <w:t>Response times for respondents as of May 7, 2018.</w:t>
      </w:r>
    </w:p>
    <w:p w14:paraId="757A80D7" w14:textId="686BAC97" w:rsidR="00174079" w:rsidRPr="00D85942" w:rsidRDefault="00174079" w:rsidP="00174079">
      <w:pPr>
        <w:rPr>
          <w:sz w:val="18"/>
        </w:rPr>
      </w:pPr>
      <w:r w:rsidRPr="00D85942">
        <w:rPr>
          <w:sz w:val="18"/>
        </w:rPr>
        <w:t>*Denotes significance at 0.10.</w:t>
      </w:r>
    </w:p>
    <w:p w14:paraId="77AD9F5B" w14:textId="77777777" w:rsidR="00174079" w:rsidRPr="00D85942" w:rsidRDefault="00174079" w:rsidP="00174079"/>
    <w:p w14:paraId="663A23DE" w14:textId="77777777" w:rsidR="00855725" w:rsidRDefault="00174079" w:rsidP="00174079">
      <w:pPr>
        <w:pStyle w:val="BodyText2"/>
        <w:spacing w:after="120" w:line="240" w:lineRule="auto"/>
        <w:rPr>
          <w:sz w:val="24"/>
        </w:rPr>
      </w:pPr>
      <w:r w:rsidRPr="00D85942">
        <w:rPr>
          <w:sz w:val="24"/>
        </w:rPr>
        <w:t>Providing the option to respond online, and especially when also offering an incentive, resulted in a decreased response time to the survey compared to those who were offered a paper questionnaire only with no incentive. All treatment groups observed significantly faster response time compared to the control group. On average, schools in the internet/no incentive treatment responded 4.4 days faster, schools in internet/incentive treatment responded 8.4 days faster, and schools in the paper/incentive treatment responded 8.5 days faster than schools in the control group (paper/no incentive). Based on these analyses, the web-based instrument option is expected to result in earlier questionnaire completions and thus cost savings in the follow-up efforts.</w:t>
      </w:r>
    </w:p>
    <w:p w14:paraId="408DB9FA" w14:textId="0EAEE2A9" w:rsidR="009B15C2" w:rsidRPr="00155597" w:rsidRDefault="009B15C2" w:rsidP="009B15C2">
      <w:pPr>
        <w:spacing w:after="120"/>
        <w:rPr>
          <w:u w:val="single"/>
        </w:rPr>
      </w:pPr>
      <w:r w:rsidRPr="00155597">
        <w:rPr>
          <w:u w:val="single"/>
        </w:rPr>
        <w:t>SSOCS:2020</w:t>
      </w:r>
      <w:r w:rsidR="0059415B">
        <w:rPr>
          <w:u w:val="single"/>
        </w:rPr>
        <w:t xml:space="preserve"> Experiments</w:t>
      </w:r>
    </w:p>
    <w:p w14:paraId="1DB671B2" w14:textId="77777777" w:rsidR="00A4532F" w:rsidRDefault="009B15C2" w:rsidP="00463E60">
      <w:pPr>
        <w:widowControl w:val="0"/>
        <w:spacing w:after="120"/>
      </w:pPr>
      <w:r w:rsidRPr="00155597">
        <w:t xml:space="preserve">SSOCS:2020 will include two data collection experiments: the first experiment </w:t>
      </w:r>
      <w:r w:rsidR="00360021" w:rsidRPr="00155597">
        <w:t xml:space="preserve">will </w:t>
      </w:r>
      <w:r w:rsidRPr="00155597">
        <w:t xml:space="preserve">further investigate the inclusion of monetary incentives on completing the survey and the second </w:t>
      </w:r>
      <w:r w:rsidR="00360021" w:rsidRPr="00155597">
        <w:t xml:space="preserve">will </w:t>
      </w:r>
      <w:r w:rsidRPr="00155597">
        <w:t>test the inclusion of a navigation menu for the web survey.</w:t>
      </w:r>
    </w:p>
    <w:p w14:paraId="4B2451CF" w14:textId="0A709FFD" w:rsidR="009B15C2" w:rsidRPr="00155597" w:rsidRDefault="009B15C2" w:rsidP="00463E60">
      <w:pPr>
        <w:spacing w:after="120"/>
        <w:rPr>
          <w:i/>
        </w:rPr>
      </w:pPr>
      <w:r w:rsidRPr="00155597">
        <w:rPr>
          <w:i/>
        </w:rPr>
        <w:t>Experiment #1: Incentive</w:t>
      </w:r>
    </w:p>
    <w:p w14:paraId="2995DE59" w14:textId="77777777" w:rsidR="00A4532F" w:rsidRDefault="009B15C2" w:rsidP="00463E60">
      <w:pPr>
        <w:pStyle w:val="BodyText2"/>
        <w:spacing w:after="120" w:line="240" w:lineRule="auto"/>
        <w:ind w:right="-43"/>
        <w:rPr>
          <w:sz w:val="24"/>
        </w:rPr>
      </w:pPr>
      <w:r w:rsidRPr="00155597">
        <w:rPr>
          <w:sz w:val="24"/>
        </w:rPr>
        <w:t>SSOCS:2020 will include two incentive treatment groups. Schools in the “early incentive” treatment group will receive a $10 cash incentive at the first contact by mail</w:t>
      </w:r>
      <w:r w:rsidR="00B264CA">
        <w:rPr>
          <w:sz w:val="24"/>
        </w:rPr>
        <w:t xml:space="preserve">, </w:t>
      </w:r>
      <w:r w:rsidR="00B264CA" w:rsidRPr="00155597">
        <w:rPr>
          <w:sz w:val="24"/>
        </w:rPr>
        <w:t>as was done for the SSOCS:2018 incentive treatment group</w:t>
      </w:r>
      <w:r w:rsidRPr="00155597">
        <w:rPr>
          <w:sz w:val="24"/>
        </w:rPr>
        <w:t xml:space="preserve">. Schools in the “delayed incentive” treatment group will not receive an incentive in the first two mail contacts </w:t>
      </w:r>
      <w:r w:rsidR="00360021" w:rsidRPr="00155597">
        <w:rPr>
          <w:sz w:val="24"/>
        </w:rPr>
        <w:t>but</w:t>
      </w:r>
      <w:r w:rsidRPr="00155597">
        <w:rPr>
          <w:sz w:val="24"/>
        </w:rPr>
        <w:t xml:space="preserve"> will receive a $10 cash incentive during the third mail contact. Both treatment groups will be evaluated against the control group, which will not receive any incentive throughout data collection.</w:t>
      </w:r>
    </w:p>
    <w:p w14:paraId="44032AC3" w14:textId="77777777" w:rsidR="00A4532F" w:rsidRDefault="009B15C2" w:rsidP="00463E60">
      <w:pPr>
        <w:pStyle w:val="BodyText2"/>
        <w:spacing w:after="120" w:line="240" w:lineRule="auto"/>
        <w:ind w:right="-43"/>
        <w:rPr>
          <w:sz w:val="24"/>
        </w:rPr>
      </w:pPr>
      <w:r w:rsidRPr="00155597">
        <w:rPr>
          <w:sz w:val="24"/>
        </w:rPr>
        <w:t>Among a total sample of 4,800 schools, approximately 2,340 schools will be selected at random to be included in the “early incentive” treatment group and approximately 1,230 schools will be selected at random to be included in the “delayed incentive” treatment group. The remaining 1,230 schools will be in the control group.</w:t>
      </w:r>
    </w:p>
    <w:p w14:paraId="365B931D" w14:textId="757FD45F" w:rsidR="009B15C2" w:rsidRDefault="009B15C2" w:rsidP="00567BC3">
      <w:pPr>
        <w:pStyle w:val="BodyText2"/>
        <w:widowControl w:val="0"/>
        <w:spacing w:after="120" w:line="240" w:lineRule="auto"/>
        <w:ind w:right="-43"/>
        <w:rPr>
          <w:sz w:val="24"/>
        </w:rPr>
      </w:pPr>
      <w:r w:rsidRPr="00155597">
        <w:rPr>
          <w:sz w:val="24"/>
        </w:rPr>
        <w:t xml:space="preserve">The goal of this experiment is to further refine the SSOCS incentive strategy by comparing response rates, indicators of nonresponse bias, and data collection costs </w:t>
      </w:r>
      <w:r w:rsidR="0010611C" w:rsidRPr="00155597">
        <w:rPr>
          <w:sz w:val="24"/>
        </w:rPr>
        <w:t>for</w:t>
      </w:r>
      <w:r w:rsidRPr="00155597">
        <w:rPr>
          <w:sz w:val="24"/>
        </w:rPr>
        <w:t xml:space="preserve"> the early and delayed incentive strategies, relative to a no-incentive control.</w:t>
      </w:r>
    </w:p>
    <w:p w14:paraId="72279939" w14:textId="2A11B8A9" w:rsidR="009B15C2" w:rsidRPr="00155597" w:rsidRDefault="009B15C2" w:rsidP="00567BC3">
      <w:pPr>
        <w:pStyle w:val="BodyText2"/>
        <w:widowControl w:val="0"/>
        <w:spacing w:after="120" w:line="240" w:lineRule="auto"/>
        <w:ind w:right="-43"/>
        <w:rPr>
          <w:rFonts w:eastAsiaTheme="minorEastAsia"/>
          <w:sz w:val="24"/>
        </w:rPr>
      </w:pPr>
      <w:r w:rsidRPr="00155597">
        <w:rPr>
          <w:sz w:val="24"/>
        </w:rPr>
        <w:t xml:space="preserve">The smallest subsample size needed to detect a 5 percent difference between treatment groups was calculated to be 1,230 schools, which is the sample allocated to the delayed treatment group and the control group. </w:t>
      </w:r>
      <w:r w:rsidRPr="00155597">
        <w:rPr>
          <w:rFonts w:eastAsiaTheme="minorEastAsia"/>
          <w:sz w:val="24"/>
        </w:rPr>
        <w:t>The actual experiment will gain additional power as the response rates for each group deviate from 50 percent. With 1,230 schools receiving the delayed incentive and 1,230 schools receiving no incentive, a significant difference will be detectable from the “early incentive” treatment if the response rates between the groups differ by at least 4.4 percentage points.</w:t>
      </w:r>
    </w:p>
    <w:p w14:paraId="742E09CD" w14:textId="77777777" w:rsidR="009B15C2" w:rsidRPr="00155597" w:rsidRDefault="009B15C2" w:rsidP="00463E60">
      <w:pPr>
        <w:spacing w:after="120"/>
        <w:rPr>
          <w:i/>
        </w:rPr>
      </w:pPr>
      <w:r w:rsidRPr="00155597">
        <w:rPr>
          <w:i/>
        </w:rPr>
        <w:t>Experiment #2: Navigation Menu within Web Instrument</w:t>
      </w:r>
    </w:p>
    <w:p w14:paraId="481B4598" w14:textId="77777777" w:rsidR="00A4532F" w:rsidRDefault="009B15C2" w:rsidP="00463E60">
      <w:pPr>
        <w:spacing w:after="120"/>
        <w:rPr>
          <w:rFonts w:eastAsiaTheme="minorEastAsia"/>
        </w:rPr>
      </w:pPr>
      <w:r w:rsidRPr="00155597">
        <w:rPr>
          <w:rFonts w:eastAsiaTheme="minorEastAsia"/>
        </w:rPr>
        <w:t xml:space="preserve">For this experiment, half of the sample (approximately 2,400 schools) will receive an invitation to complete the SSOCS </w:t>
      </w:r>
      <w:r w:rsidR="00F31598">
        <w:rPr>
          <w:rFonts w:eastAsiaTheme="minorEastAsia"/>
        </w:rPr>
        <w:t xml:space="preserve">survey </w:t>
      </w:r>
      <w:r w:rsidRPr="00155597">
        <w:rPr>
          <w:rFonts w:eastAsiaTheme="minorEastAsia"/>
        </w:rPr>
        <w:t>via a slightly different version of the web instrument that will include navigation menu functionality. This is considered the treatment group. The other half of the sample will receive an invitation to complete the SSOCS via the traditional web instrument without the navigation menu (similar to the SSOCS:2018 instrument). The version of the web instrument offered to respondents will remain constant throughout data collection.</w:t>
      </w:r>
    </w:p>
    <w:p w14:paraId="644D9A25" w14:textId="488C440B" w:rsidR="009B15C2" w:rsidRPr="00155597" w:rsidRDefault="009B15C2" w:rsidP="00463E60">
      <w:pPr>
        <w:spacing w:after="120"/>
        <w:rPr>
          <w:rFonts w:eastAsiaTheme="minorEastAsia"/>
        </w:rPr>
      </w:pPr>
      <w:r w:rsidRPr="00155597">
        <w:rPr>
          <w:rFonts w:eastAsiaTheme="minorEastAsia"/>
        </w:rPr>
        <w:t xml:space="preserve">Using the same statistic as above, </w:t>
      </w:r>
      <w:r w:rsidRPr="00155597">
        <w:t>the differences in response rate</w:t>
      </w:r>
      <w:r w:rsidR="00F31598">
        <w:t>s</w:t>
      </w:r>
      <w:r w:rsidRPr="00155597">
        <w:t xml:space="preserve"> between the control and treatment group</w:t>
      </w:r>
      <w:r w:rsidR="00360021" w:rsidRPr="00155597">
        <w:t>s</w:t>
      </w:r>
      <w:r w:rsidRPr="00155597">
        <w:t xml:space="preserve"> necessary to detect statistically significant differences have been calculated. </w:t>
      </w:r>
      <w:r w:rsidRPr="00155597">
        <w:rPr>
          <w:rFonts w:eastAsiaTheme="minorEastAsia"/>
        </w:rPr>
        <w:t>With 2,400 cases receiving the instrument with the navigation menu and 2,400 receiving the instrument without the navigation menu, a significant difference will be detectable if the response rates between the two groups differ by at least 3.6 percentage points.</w:t>
      </w:r>
    </w:p>
    <w:p w14:paraId="2997F691" w14:textId="2E641234" w:rsidR="00F57D16" w:rsidRPr="00155597" w:rsidRDefault="00F57D16" w:rsidP="00F66798">
      <w:pPr>
        <w:spacing w:after="120"/>
        <w:rPr>
          <w:b/>
        </w:rPr>
      </w:pPr>
      <w:r w:rsidRPr="00155597">
        <w:rPr>
          <w:b/>
        </w:rPr>
        <w:t>Cognitive Testing and Focus Groups</w:t>
      </w:r>
    </w:p>
    <w:p w14:paraId="54F4DFFE" w14:textId="102BFAB5" w:rsidR="007C6F40" w:rsidRPr="00155597" w:rsidRDefault="00DB608E" w:rsidP="00F03CEC">
      <w:pPr>
        <w:spacing w:after="120"/>
      </w:pPr>
      <w:r w:rsidRPr="00155597">
        <w:t xml:space="preserve">As part of the </w:t>
      </w:r>
      <w:r w:rsidR="00012E83" w:rsidRPr="00155597">
        <w:t xml:space="preserve">development of </w:t>
      </w:r>
      <w:r w:rsidR="007E4669" w:rsidRPr="00155597">
        <w:t>SSOCS:2018</w:t>
      </w:r>
      <w:r w:rsidRPr="00155597">
        <w:t>, c</w:t>
      </w:r>
      <w:r w:rsidR="00830DCD" w:rsidRPr="00155597">
        <w:t xml:space="preserve">ognitive testing </w:t>
      </w:r>
      <w:r w:rsidR="00FA7A1A" w:rsidRPr="00155597">
        <w:t xml:space="preserve">was conducted </w:t>
      </w:r>
      <w:r w:rsidR="00830DCD" w:rsidRPr="00155597">
        <w:t xml:space="preserve">with </w:t>
      </w:r>
      <w:r w:rsidR="00012E83" w:rsidRPr="00155597">
        <w:t>1</w:t>
      </w:r>
      <w:r w:rsidR="00F14025" w:rsidRPr="00155597">
        <w:t>9</w:t>
      </w:r>
      <w:r w:rsidRPr="00155597">
        <w:t xml:space="preserve"> administrators </w:t>
      </w:r>
      <w:r w:rsidR="00FC6F7B" w:rsidRPr="00155597">
        <w:t xml:space="preserve">during </w:t>
      </w:r>
      <w:r w:rsidRPr="00155597">
        <w:t>the winter of 201</w:t>
      </w:r>
      <w:r w:rsidR="00F14025" w:rsidRPr="00155597">
        <w:t>6</w:t>
      </w:r>
      <w:r w:rsidR="009B6573" w:rsidRPr="00155597">
        <w:t xml:space="preserve"> (OMB# 1850-0803</w:t>
      </w:r>
      <w:r w:rsidR="00690F1F" w:rsidRPr="00155597">
        <w:t xml:space="preserve"> v.171</w:t>
      </w:r>
      <w:r w:rsidR="009B6573" w:rsidRPr="00155597">
        <w:t>)</w:t>
      </w:r>
      <w:r w:rsidRPr="00155597">
        <w:t>.</w:t>
      </w:r>
      <w:r w:rsidR="002029DE" w:rsidRPr="00155597">
        <w:t xml:space="preserve"> </w:t>
      </w:r>
      <w:r w:rsidR="002869F6" w:rsidRPr="00155597">
        <w:t>Th</w:t>
      </w:r>
      <w:r w:rsidR="00625D1D" w:rsidRPr="00155597">
        <w:t>e</w:t>
      </w:r>
      <w:r w:rsidR="002869F6" w:rsidRPr="00155597">
        <w:t xml:space="preserve"> cognitive testing concentrate</w:t>
      </w:r>
      <w:r w:rsidR="003F12D5" w:rsidRPr="00155597">
        <w:t>d</w:t>
      </w:r>
      <w:r w:rsidR="002869F6" w:rsidRPr="00155597">
        <w:t xml:space="preserve"> on new items</w:t>
      </w:r>
      <w:r w:rsidR="003F12D5" w:rsidRPr="00155597">
        <w:t>,</w:t>
      </w:r>
      <w:r w:rsidR="002869F6" w:rsidRPr="00155597">
        <w:t xml:space="preserve"> </w:t>
      </w:r>
      <w:r w:rsidR="003F12D5" w:rsidRPr="00155597">
        <w:t xml:space="preserve">items </w:t>
      </w:r>
      <w:r w:rsidR="00012E83" w:rsidRPr="00155597">
        <w:t xml:space="preserve">that </w:t>
      </w:r>
      <w:r w:rsidR="007E617F" w:rsidRPr="00155597">
        <w:t xml:space="preserve">had </w:t>
      </w:r>
      <w:r w:rsidR="004256F9" w:rsidRPr="00155597">
        <w:t xml:space="preserve">undergone </w:t>
      </w:r>
      <w:r w:rsidR="003F12D5" w:rsidRPr="00155597">
        <w:t xml:space="preserve">substantial revisions, and items that have </w:t>
      </w:r>
      <w:r w:rsidR="007E617F" w:rsidRPr="00155597">
        <w:t xml:space="preserve">proven to be </w:t>
      </w:r>
      <w:r w:rsidR="003F12D5" w:rsidRPr="00155597">
        <w:t xml:space="preserve">problematic (e.g., </w:t>
      </w:r>
      <w:r w:rsidR="00796146" w:rsidRPr="00155597">
        <w:t>items where interpretability issues were identified in previous iterations of testing</w:t>
      </w:r>
      <w:r w:rsidR="003F12D5" w:rsidRPr="00155597">
        <w:t>).</w:t>
      </w:r>
      <w:r w:rsidR="002029DE" w:rsidRPr="00155597">
        <w:t xml:space="preserve"> Based on the results of the cognitive testing, NCES is confident in the validity of the finalized items </w:t>
      </w:r>
      <w:r w:rsidR="00957CAE" w:rsidRPr="00155597">
        <w:t xml:space="preserve">in </w:t>
      </w:r>
      <w:r w:rsidR="002029DE" w:rsidRPr="00155597">
        <w:t>the questionnaire.</w:t>
      </w:r>
      <w:r w:rsidR="00690F1F" w:rsidRPr="00155597">
        <w:t xml:space="preserve"> The </w:t>
      </w:r>
      <w:r w:rsidR="003B446F">
        <w:t xml:space="preserve">SSOCS:2018 </w:t>
      </w:r>
      <w:r w:rsidR="00690F1F" w:rsidRPr="00155597">
        <w:t>cognitive interviews summary of results is provided in Part C of this submission.</w:t>
      </w:r>
    </w:p>
    <w:p w14:paraId="2B831D35" w14:textId="35ECAC34" w:rsidR="00CA1AED" w:rsidRPr="00155597" w:rsidRDefault="00002758" w:rsidP="00F03CEC">
      <w:pPr>
        <w:spacing w:after="120"/>
      </w:pPr>
      <w:r w:rsidRPr="00155597">
        <w:t xml:space="preserve">In addition to the cognitive testing of the items, three online focus groups </w:t>
      </w:r>
      <w:r w:rsidR="00FA7A1A" w:rsidRPr="00155597">
        <w:t>were conducted</w:t>
      </w:r>
      <w:r w:rsidR="003B446F">
        <w:t xml:space="preserve"> prior to the SSOCS:2018 data collection</w:t>
      </w:r>
      <w:r w:rsidR="00FA7A1A" w:rsidRPr="00155597">
        <w:t xml:space="preserve"> </w:t>
      </w:r>
      <w:r w:rsidRPr="00155597">
        <w:t>involving a</w:t>
      </w:r>
      <w:r w:rsidR="00F03CEC" w:rsidRPr="00155597">
        <w:t xml:space="preserve"> </w:t>
      </w:r>
      <w:r w:rsidRPr="00155597">
        <w:t>total of 22 elementary, middle, and high school principals in order to gain a better understanding of the</w:t>
      </w:r>
      <w:r w:rsidR="00F03CEC" w:rsidRPr="00155597">
        <w:t xml:space="preserve"> </w:t>
      </w:r>
      <w:r w:rsidRPr="00155597">
        <w:t xml:space="preserve">barriers and benefits schools tend to associate with participation in federal surveys, and to identify communication strategies that will help overcome those barriers to participation. Specifically, participants reviewed and provided feedback on the SSOCS brochure, advance letter to principals, and the 2016 questionnaire. Based on the results of these focus groups, NCES is considering an update to the overall look and feel of the brochure. </w:t>
      </w:r>
      <w:r w:rsidR="004C1775" w:rsidRPr="00155597">
        <w:t xml:space="preserve">Appendix A </w:t>
      </w:r>
      <w:r w:rsidR="00FA7A1A" w:rsidRPr="00155597">
        <w:t>provides</w:t>
      </w:r>
      <w:r w:rsidR="004C1775" w:rsidRPr="00155597">
        <w:t xml:space="preserve"> </w:t>
      </w:r>
      <w:r w:rsidR="00FA7A1A" w:rsidRPr="00155597">
        <w:t xml:space="preserve">draft </w:t>
      </w:r>
      <w:r w:rsidR="004C1775" w:rsidRPr="00155597">
        <w:t xml:space="preserve">text </w:t>
      </w:r>
      <w:r w:rsidR="00FA7A1A" w:rsidRPr="00155597">
        <w:t>for</w:t>
      </w:r>
      <w:r w:rsidR="004C1775" w:rsidRPr="00155597">
        <w:t xml:space="preserve"> the brochure</w:t>
      </w:r>
      <w:r w:rsidRPr="00155597">
        <w:t>. The focus group summary o</w:t>
      </w:r>
      <w:r w:rsidR="004C1775" w:rsidRPr="00155597">
        <w:t>f results is</w:t>
      </w:r>
      <w:r w:rsidRPr="00155597">
        <w:t xml:space="preserve"> provided in Part C of this submission.</w:t>
      </w:r>
    </w:p>
    <w:p w14:paraId="7A4F45FB" w14:textId="77777777" w:rsidR="00A4532F" w:rsidRDefault="009B15C2" w:rsidP="00F03CEC">
      <w:pPr>
        <w:spacing w:after="120"/>
      </w:pPr>
      <w:bookmarkStart w:id="26" w:name="_Hlk3370028"/>
      <w:r w:rsidRPr="00155597">
        <w:t>Cognitive testing was not conducted for SSOCS:2020 because there were no new items</w:t>
      </w:r>
      <w:r w:rsidR="00BE13AC" w:rsidRPr="00155597">
        <w:t xml:space="preserve"> and none </w:t>
      </w:r>
      <w:r w:rsidR="0039138E" w:rsidRPr="00155597">
        <w:t>were</w:t>
      </w:r>
      <w:r w:rsidR="00BE13AC" w:rsidRPr="00155597">
        <w:t xml:space="preserve"> substantially revised</w:t>
      </w:r>
      <w:r w:rsidRPr="00155597">
        <w:t>.</w:t>
      </w:r>
    </w:p>
    <w:p w14:paraId="5141F0A2" w14:textId="5949ABC3" w:rsidR="00AA7A29" w:rsidRPr="00155597" w:rsidRDefault="00AA7A29" w:rsidP="00F03CEC">
      <w:pPr>
        <w:pStyle w:val="AbtHeadBOutlined"/>
        <w:keepLines w:val="0"/>
        <w:numPr>
          <w:ilvl w:val="0"/>
          <w:numId w:val="0"/>
        </w:numPr>
        <w:spacing w:after="120" w:line="240" w:lineRule="auto"/>
        <w:outlineLvl w:val="3"/>
        <w:rPr>
          <w:rFonts w:ascii="Times New Roman" w:hAnsi="Times New Roman"/>
          <w:sz w:val="24"/>
          <w:szCs w:val="24"/>
        </w:rPr>
      </w:pPr>
      <w:bookmarkStart w:id="27" w:name="_Toc45701410"/>
      <w:bookmarkStart w:id="28" w:name="_Toc411895535"/>
      <w:bookmarkStart w:id="29" w:name="_Toc3478477"/>
      <w:bookmarkEnd w:id="26"/>
      <w:r w:rsidRPr="00155597">
        <w:rPr>
          <w:rFonts w:ascii="Times New Roman" w:hAnsi="Times New Roman"/>
          <w:sz w:val="24"/>
          <w:szCs w:val="24"/>
        </w:rPr>
        <w:t>B</w:t>
      </w:r>
      <w:r w:rsidR="002F3B9E" w:rsidRPr="00155597">
        <w:rPr>
          <w:rFonts w:ascii="Times New Roman" w:hAnsi="Times New Roman"/>
          <w:sz w:val="24"/>
          <w:szCs w:val="24"/>
        </w:rPr>
        <w:t>5</w:t>
      </w:r>
      <w:r w:rsidR="002E789F" w:rsidRPr="00155597">
        <w:rPr>
          <w:rFonts w:ascii="Times New Roman" w:hAnsi="Times New Roman"/>
          <w:sz w:val="24"/>
          <w:szCs w:val="24"/>
        </w:rPr>
        <w:t xml:space="preserve">. </w:t>
      </w:r>
      <w:r w:rsidRPr="00155597">
        <w:rPr>
          <w:rFonts w:ascii="Times New Roman" w:hAnsi="Times New Roman"/>
          <w:sz w:val="24"/>
          <w:szCs w:val="24"/>
        </w:rPr>
        <w:t>Individuals Responsible for Study Design and Performance</w:t>
      </w:r>
      <w:bookmarkEnd w:id="27"/>
      <w:bookmarkEnd w:id="28"/>
      <w:bookmarkEnd w:id="29"/>
    </w:p>
    <w:p w14:paraId="69B95D20" w14:textId="3BAAB3D3" w:rsidR="00AA7A29" w:rsidRPr="00155597" w:rsidRDefault="00AA7A29" w:rsidP="00D671F8">
      <w:pPr>
        <w:pStyle w:val="BodyText2"/>
        <w:spacing w:after="120" w:line="240" w:lineRule="auto"/>
        <w:rPr>
          <w:sz w:val="24"/>
        </w:rPr>
      </w:pPr>
      <w:r w:rsidRPr="00155597">
        <w:rPr>
          <w:sz w:val="24"/>
        </w:rPr>
        <w:t>Several key staff are responsible for the study design and performance</w:t>
      </w:r>
      <w:r w:rsidR="00E02EDF" w:rsidRPr="00155597">
        <w:rPr>
          <w:sz w:val="24"/>
        </w:rPr>
        <w:t xml:space="preserve"> of SSOCS:2018</w:t>
      </w:r>
      <w:r w:rsidR="002E789F" w:rsidRPr="00155597">
        <w:rPr>
          <w:sz w:val="24"/>
        </w:rPr>
        <w:t xml:space="preserve">. </w:t>
      </w:r>
      <w:r w:rsidR="00BC698C" w:rsidRPr="00155597">
        <w:rPr>
          <w:sz w:val="24"/>
        </w:rPr>
        <w:t>They</w:t>
      </w:r>
      <w:r w:rsidRPr="00155597">
        <w:rPr>
          <w:sz w:val="24"/>
        </w:rPr>
        <w:t xml:space="preserve"> </w:t>
      </w:r>
      <w:r w:rsidR="005B1982" w:rsidRPr="00155597">
        <w:rPr>
          <w:sz w:val="24"/>
        </w:rPr>
        <w:t>are</w:t>
      </w:r>
      <w:r w:rsidR="00E02EDF" w:rsidRPr="00155597">
        <w:rPr>
          <w:sz w:val="24"/>
        </w:rPr>
        <w:t>:</w:t>
      </w:r>
    </w:p>
    <w:p w14:paraId="07369282" w14:textId="525C3079" w:rsidR="00AA7A29" w:rsidRPr="00155597" w:rsidRDefault="00C53D3B" w:rsidP="003608A3">
      <w:pPr>
        <w:numPr>
          <w:ilvl w:val="0"/>
          <w:numId w:val="19"/>
        </w:numPr>
      </w:pPr>
      <w:r w:rsidRPr="00155597">
        <w:t xml:space="preserve">Rachel </w:t>
      </w:r>
      <w:r w:rsidR="00F14025" w:rsidRPr="00155597">
        <w:t>Hansen</w:t>
      </w:r>
      <w:r w:rsidR="00AA7A29" w:rsidRPr="00155597">
        <w:t xml:space="preserve">, Project </w:t>
      </w:r>
      <w:r w:rsidRPr="00155597">
        <w:t>Director</w:t>
      </w:r>
      <w:r w:rsidR="00AA7A29" w:rsidRPr="00155597">
        <w:t>, National Center for Education Statistics</w:t>
      </w:r>
    </w:p>
    <w:p w14:paraId="539F3EB2" w14:textId="67480E5F" w:rsidR="00133FC0" w:rsidRPr="00155597" w:rsidRDefault="003F12D5" w:rsidP="003608A3">
      <w:pPr>
        <w:numPr>
          <w:ilvl w:val="0"/>
          <w:numId w:val="19"/>
        </w:numPr>
      </w:pPr>
      <w:r w:rsidRPr="00155597">
        <w:t>Jana Kemp, American Institutes for Research</w:t>
      </w:r>
    </w:p>
    <w:p w14:paraId="1F3518B8" w14:textId="5B690740" w:rsidR="00F14025" w:rsidRPr="00155597" w:rsidRDefault="00F14025" w:rsidP="003608A3">
      <w:pPr>
        <w:numPr>
          <w:ilvl w:val="0"/>
          <w:numId w:val="19"/>
        </w:numPr>
      </w:pPr>
      <w:r w:rsidRPr="00155597">
        <w:t>Melissa Diliberti, American Institutes for Research</w:t>
      </w:r>
    </w:p>
    <w:p w14:paraId="53020D74" w14:textId="1C895405" w:rsidR="00F14025" w:rsidRPr="00155597" w:rsidRDefault="00F14025" w:rsidP="003608A3">
      <w:pPr>
        <w:numPr>
          <w:ilvl w:val="0"/>
          <w:numId w:val="19"/>
        </w:numPr>
      </w:pPr>
      <w:r w:rsidRPr="00155597">
        <w:t>Steven Hummel, American Institutes for Research</w:t>
      </w:r>
    </w:p>
    <w:p w14:paraId="10CB0757" w14:textId="7E825D79" w:rsidR="007C6F40" w:rsidRPr="00155597" w:rsidRDefault="00172CB5" w:rsidP="003608A3">
      <w:pPr>
        <w:numPr>
          <w:ilvl w:val="0"/>
          <w:numId w:val="19"/>
        </w:numPr>
      </w:pPr>
      <w:r w:rsidRPr="00155597">
        <w:t>Samantha Neiman</w:t>
      </w:r>
      <w:r w:rsidR="00AA7A29" w:rsidRPr="00155597">
        <w:t xml:space="preserve">, </w:t>
      </w:r>
      <w:r w:rsidR="003F12D5" w:rsidRPr="00155597">
        <w:t>American Institutes for Research</w:t>
      </w:r>
    </w:p>
    <w:p w14:paraId="57E5532B" w14:textId="57CAA9FA" w:rsidR="00A11BBF" w:rsidRPr="00155597" w:rsidRDefault="0032357D" w:rsidP="003608A3">
      <w:pPr>
        <w:numPr>
          <w:ilvl w:val="0"/>
          <w:numId w:val="19"/>
        </w:numPr>
      </w:pPr>
      <w:r w:rsidRPr="00155597">
        <w:t>Michael Jackson, American Institutes for Research</w:t>
      </w:r>
    </w:p>
    <w:p w14:paraId="774D446E" w14:textId="6F186454" w:rsidR="0041744B" w:rsidRPr="00155597" w:rsidRDefault="00F14025" w:rsidP="003608A3">
      <w:pPr>
        <w:numPr>
          <w:ilvl w:val="0"/>
          <w:numId w:val="19"/>
        </w:numPr>
      </w:pPr>
      <w:r w:rsidRPr="00155597">
        <w:t>Shawna Cox, U.S. Census Bureau</w:t>
      </w:r>
    </w:p>
    <w:p w14:paraId="1071DE2F" w14:textId="34DD02AF" w:rsidR="00F14025" w:rsidRPr="00155597" w:rsidRDefault="00F14025" w:rsidP="003608A3">
      <w:pPr>
        <w:numPr>
          <w:ilvl w:val="0"/>
          <w:numId w:val="19"/>
        </w:numPr>
      </w:pPr>
      <w:r w:rsidRPr="00155597">
        <w:t>Adam Rettig, U.S. Census Bureau</w:t>
      </w:r>
    </w:p>
    <w:p w14:paraId="77DE53ED" w14:textId="1637FB07" w:rsidR="00E02EDF" w:rsidRPr="00155597" w:rsidRDefault="00E02EDF" w:rsidP="00E02EDF"/>
    <w:p w14:paraId="755C94BA" w14:textId="77777777" w:rsidR="009B15C2" w:rsidRPr="00155597" w:rsidRDefault="009B15C2" w:rsidP="009B15C2">
      <w:pPr>
        <w:spacing w:after="120"/>
      </w:pPr>
      <w:r w:rsidRPr="00155597">
        <w:t>The key staff responsible for the study design and performance of SSOCS:2020 are:</w:t>
      </w:r>
    </w:p>
    <w:p w14:paraId="7BC29948" w14:textId="77777777" w:rsidR="009B15C2" w:rsidRPr="00155597" w:rsidRDefault="009B15C2" w:rsidP="009B15C2">
      <w:pPr>
        <w:numPr>
          <w:ilvl w:val="0"/>
          <w:numId w:val="19"/>
        </w:numPr>
      </w:pPr>
      <w:r w:rsidRPr="00155597">
        <w:t>Rachel Hansen, Project Director, National Center for Education Statistics</w:t>
      </w:r>
    </w:p>
    <w:p w14:paraId="737F46C7" w14:textId="77777777" w:rsidR="009B15C2" w:rsidRPr="00155597" w:rsidRDefault="009B15C2" w:rsidP="009B15C2">
      <w:pPr>
        <w:numPr>
          <w:ilvl w:val="0"/>
          <w:numId w:val="19"/>
        </w:numPr>
      </w:pPr>
      <w:r w:rsidRPr="00155597">
        <w:t>Jana Kemp, American Institutes for Research</w:t>
      </w:r>
    </w:p>
    <w:p w14:paraId="74CB4896" w14:textId="77777777" w:rsidR="009B15C2" w:rsidRPr="00155597" w:rsidRDefault="009B15C2" w:rsidP="009B15C2">
      <w:pPr>
        <w:numPr>
          <w:ilvl w:val="0"/>
          <w:numId w:val="19"/>
        </w:numPr>
      </w:pPr>
      <w:r w:rsidRPr="00155597">
        <w:t>Melissa Diliberti, American Institutes for Research</w:t>
      </w:r>
    </w:p>
    <w:p w14:paraId="35AC8BEB" w14:textId="77777777" w:rsidR="009B15C2" w:rsidRPr="00155597" w:rsidRDefault="009B15C2" w:rsidP="009B15C2">
      <w:pPr>
        <w:numPr>
          <w:ilvl w:val="0"/>
          <w:numId w:val="19"/>
        </w:numPr>
      </w:pPr>
      <w:r w:rsidRPr="00155597">
        <w:t>Michael Jackson, American Institutes for Research</w:t>
      </w:r>
    </w:p>
    <w:p w14:paraId="37807FBA" w14:textId="77777777" w:rsidR="009B15C2" w:rsidRPr="00155597" w:rsidRDefault="009B15C2" w:rsidP="009B15C2">
      <w:pPr>
        <w:numPr>
          <w:ilvl w:val="0"/>
          <w:numId w:val="19"/>
        </w:numPr>
      </w:pPr>
      <w:r w:rsidRPr="00155597">
        <w:t>Zoe Padgett, American Institutes for Research</w:t>
      </w:r>
    </w:p>
    <w:p w14:paraId="57B0D5BD" w14:textId="77777777" w:rsidR="009B15C2" w:rsidRPr="00155597" w:rsidRDefault="009B15C2" w:rsidP="009B15C2">
      <w:pPr>
        <w:numPr>
          <w:ilvl w:val="0"/>
          <w:numId w:val="19"/>
        </w:numPr>
      </w:pPr>
      <w:r w:rsidRPr="00155597">
        <w:t>Sam Correa, American Institutes for Research</w:t>
      </w:r>
    </w:p>
    <w:p w14:paraId="3604A554" w14:textId="77777777" w:rsidR="009B15C2" w:rsidRPr="00155597" w:rsidRDefault="009B15C2" w:rsidP="009B15C2">
      <w:pPr>
        <w:numPr>
          <w:ilvl w:val="0"/>
          <w:numId w:val="19"/>
        </w:numPr>
      </w:pPr>
      <w:r w:rsidRPr="00155597">
        <w:t>Shawna Cox, U.S. Census Bureau</w:t>
      </w:r>
    </w:p>
    <w:p w14:paraId="6B47500B" w14:textId="77777777" w:rsidR="009B15C2" w:rsidRPr="00155597" w:rsidRDefault="009B15C2" w:rsidP="009B15C2">
      <w:pPr>
        <w:numPr>
          <w:ilvl w:val="0"/>
          <w:numId w:val="19"/>
        </w:numPr>
      </w:pPr>
      <w:r w:rsidRPr="00155597">
        <w:t>Walter Holmes, U.S. Census Bureau</w:t>
      </w:r>
    </w:p>
    <w:p w14:paraId="29D6AF9B" w14:textId="77777777" w:rsidR="009B15C2" w:rsidRPr="00155597" w:rsidRDefault="009B15C2" w:rsidP="009B15C2">
      <w:pPr>
        <w:numPr>
          <w:ilvl w:val="0"/>
          <w:numId w:val="19"/>
        </w:numPr>
      </w:pPr>
      <w:r w:rsidRPr="00155597">
        <w:t>Tracae McClure, U.S. Census Bureau</w:t>
      </w:r>
    </w:p>
    <w:p w14:paraId="2C1B9FA8" w14:textId="77777777" w:rsidR="009B15C2" w:rsidRPr="00155597" w:rsidRDefault="009B15C2" w:rsidP="009B15C2">
      <w:pPr>
        <w:numPr>
          <w:ilvl w:val="0"/>
          <w:numId w:val="19"/>
        </w:numPr>
      </w:pPr>
      <w:r w:rsidRPr="00155597">
        <w:t>Kombo Gbondo Tugbawa, U.S. Census Bureau</w:t>
      </w:r>
    </w:p>
    <w:p w14:paraId="3AC8BB69" w14:textId="77777777" w:rsidR="009B15C2" w:rsidRPr="00155597" w:rsidRDefault="009B15C2" w:rsidP="009B15C2">
      <w:pPr>
        <w:numPr>
          <w:ilvl w:val="0"/>
          <w:numId w:val="19"/>
        </w:numPr>
      </w:pPr>
      <w:r w:rsidRPr="00155597">
        <w:t>Aaron Gilary, U.S. Census Bureau</w:t>
      </w:r>
    </w:p>
    <w:p w14:paraId="41CA7AA5" w14:textId="77777777" w:rsidR="009B15C2" w:rsidRPr="00155597" w:rsidRDefault="009B15C2" w:rsidP="009B15C2">
      <w:pPr>
        <w:numPr>
          <w:ilvl w:val="0"/>
          <w:numId w:val="19"/>
        </w:numPr>
      </w:pPr>
      <w:r w:rsidRPr="00155597">
        <w:t>Alfred Meier, U.S. Census Bureau</w:t>
      </w:r>
    </w:p>
    <w:p w14:paraId="19CD92F7" w14:textId="2EF48344" w:rsidR="00E02EDF" w:rsidRPr="00D30B90" w:rsidRDefault="00E02EDF" w:rsidP="009B15C2">
      <w:pPr>
        <w:ind w:left="720"/>
      </w:pPr>
    </w:p>
    <w:sectPr w:rsidR="00E02EDF" w:rsidRPr="00D30B90" w:rsidSect="008B7011">
      <w:footerReference w:type="default" r:id="rId17"/>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4B96" w14:textId="77777777" w:rsidR="0013754E" w:rsidRDefault="0013754E">
      <w:r>
        <w:separator/>
      </w:r>
    </w:p>
  </w:endnote>
  <w:endnote w:type="continuationSeparator" w:id="0">
    <w:p w14:paraId="2A4DCC2B" w14:textId="77777777" w:rsidR="0013754E" w:rsidRDefault="0013754E">
      <w:r>
        <w:continuationSeparator/>
      </w:r>
    </w:p>
  </w:endnote>
  <w:endnote w:type="continuationNotice" w:id="1">
    <w:p w14:paraId="26BAC526" w14:textId="77777777" w:rsidR="0013754E" w:rsidRDefault="00137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5FA5" w14:textId="77777777" w:rsidR="00161223" w:rsidRDefault="00161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161223" w:rsidRDefault="00161223">
    <w:pPr>
      <w:pStyle w:val="Footer"/>
      <w:rPr>
        <w:rStyle w:val="PageNumber"/>
      </w:rPr>
    </w:pPr>
  </w:p>
  <w:p w14:paraId="7C61F5D9" w14:textId="77777777" w:rsidR="00161223" w:rsidRDefault="00161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AA636" w14:textId="77777777" w:rsidR="00161223" w:rsidRDefault="00161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161223" w:rsidRDefault="00161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1D4B" w14:textId="77777777" w:rsidR="00161223" w:rsidRDefault="00161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161223" w:rsidRDefault="00161223">
    <w:pPr>
      <w:pStyle w:val="Footer"/>
      <w:rPr>
        <w:rStyle w:val="PageNumber"/>
      </w:rPr>
    </w:pPr>
  </w:p>
  <w:p w14:paraId="591AF236" w14:textId="77777777" w:rsidR="00161223" w:rsidRDefault="001612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EC55" w14:textId="77777777" w:rsidR="00161223" w:rsidRDefault="001612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0E8C" w14:textId="77777777" w:rsidR="00161223" w:rsidRDefault="00161223">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1C36" w14:textId="771170B5" w:rsidR="00161223" w:rsidRPr="00F905B6" w:rsidRDefault="00161223"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sidR="00CD2661">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DA5F9" w14:textId="77777777" w:rsidR="0013754E" w:rsidRDefault="0013754E">
      <w:r>
        <w:separator/>
      </w:r>
    </w:p>
  </w:footnote>
  <w:footnote w:type="continuationSeparator" w:id="0">
    <w:p w14:paraId="1B150008" w14:textId="77777777" w:rsidR="0013754E" w:rsidRDefault="0013754E">
      <w:r>
        <w:continuationSeparator/>
      </w:r>
    </w:p>
  </w:footnote>
  <w:footnote w:type="continuationNotice" w:id="1">
    <w:p w14:paraId="47556668" w14:textId="77777777" w:rsidR="0013754E" w:rsidRDefault="0013754E"/>
  </w:footnote>
  <w:footnote w:id="2">
    <w:p w14:paraId="4B7264B6" w14:textId="77777777" w:rsidR="00161223" w:rsidRPr="00DB3260" w:rsidRDefault="00161223" w:rsidP="00DA49BB">
      <w:pPr>
        <w:tabs>
          <w:tab w:val="left" w:pos="115"/>
          <w:tab w:val="left" w:pos="630"/>
          <w:tab w:val="left" w:pos="990"/>
        </w:tabs>
        <w:rPr>
          <w:sz w:val="18"/>
          <w:szCs w:val="18"/>
        </w:rPr>
      </w:pPr>
      <w:r w:rsidRPr="00485B3F">
        <w:rPr>
          <w:rStyle w:val="FootnoteReference"/>
          <w:sz w:val="18"/>
          <w:szCs w:val="18"/>
        </w:rPr>
        <w:footnoteRef/>
      </w:r>
      <w:r w:rsidRPr="00485B3F">
        <w:rPr>
          <w:sz w:val="18"/>
          <w:szCs w:val="18"/>
        </w:rPr>
        <w:t xml:space="preserve"> The U.S. outlying areas are America Samoa, Guam, the Commonwealth of the Northern Mariana Islands, and the U.S. Virgin Islands.</w:t>
      </w:r>
    </w:p>
  </w:footnote>
  <w:footnote w:id="3">
    <w:p w14:paraId="52F82289" w14:textId="06C087F1" w:rsidR="00161223" w:rsidRDefault="00161223" w:rsidP="009E1EED">
      <w:pPr>
        <w:pStyle w:val="FootnoteText"/>
        <w:spacing w:after="0" w:line="240" w:lineRule="auto"/>
        <w:ind w:left="0" w:firstLine="0"/>
      </w:pPr>
      <w:r w:rsidRPr="001761CE">
        <w:rPr>
          <w:rStyle w:val="FootnoteReference"/>
        </w:rPr>
        <w:footnoteRef/>
      </w:r>
      <w:r w:rsidRPr="001761CE">
        <w:t xml:space="preserve"> In early 2019, NCES made the decision to delay the 2019-20 NTPS </w:t>
      </w:r>
      <w:r>
        <w:t xml:space="preserve">by </w:t>
      </w:r>
      <w:r w:rsidRPr="001761CE">
        <w:t xml:space="preserve">one year, making it the 2020-21 NTPS. However, the 2019-20 NTPS frame creation work continues for use in SSOCS:2020, as outlined in this document. All references to the 2019-20 NTPS remain as is </w:t>
      </w:r>
      <w:r>
        <w:t>because</w:t>
      </w:r>
      <w:r w:rsidRPr="001761CE">
        <w:t xml:space="preserve"> they relate to the SSOCS:2020 frame and sampling.</w:t>
      </w:r>
    </w:p>
  </w:footnote>
  <w:footnote w:id="4">
    <w:p w14:paraId="2AAB9821" w14:textId="5B92F7E7" w:rsidR="00161223" w:rsidRPr="00446B4C" w:rsidRDefault="00161223" w:rsidP="00BA1AC8">
      <w:pPr>
        <w:pStyle w:val="FootnoteText"/>
        <w:tabs>
          <w:tab w:val="clear" w:pos="720"/>
          <w:tab w:val="clear" w:pos="1080"/>
          <w:tab w:val="clear" w:pos="1440"/>
          <w:tab w:val="clear" w:pos="1800"/>
        </w:tabs>
        <w:spacing w:after="0" w:line="240" w:lineRule="auto"/>
        <w:ind w:left="90" w:hanging="90"/>
        <w:rPr>
          <w:sz w:val="18"/>
          <w:szCs w:val="18"/>
        </w:rPr>
      </w:pPr>
      <w:r w:rsidRPr="00446B4C">
        <w:rPr>
          <w:rStyle w:val="FootnoteReference"/>
          <w:sz w:val="18"/>
          <w:szCs w:val="18"/>
        </w:rPr>
        <w:footnoteRef/>
      </w:r>
      <w:r w:rsidRPr="00446B4C">
        <w:rPr>
          <w:sz w:val="18"/>
          <w:szCs w:val="18"/>
        </w:rPr>
        <w:t xml:space="preserve"> The “Paper, Incentive” group had a different hypothesis test from the other two treatment groups. For the “Paper, Incentive” group, the last column displays the p-value for the hypothesis test that the group that received the $10 cash incentive </w:t>
      </w:r>
      <w:r>
        <w:rPr>
          <w:sz w:val="18"/>
          <w:szCs w:val="18"/>
        </w:rPr>
        <w:t>and no internet option has</w:t>
      </w:r>
      <w:r w:rsidRPr="00446B4C">
        <w:rPr>
          <w:sz w:val="18"/>
          <w:szCs w:val="18"/>
        </w:rPr>
        <w:t xml:space="preserve"> the same or less</w:t>
      </w:r>
      <w:r>
        <w:rPr>
          <w:sz w:val="18"/>
          <w:szCs w:val="18"/>
        </w:rPr>
        <w:t>er response rate</w:t>
      </w:r>
      <w:r w:rsidRPr="00446B4C">
        <w:rPr>
          <w:sz w:val="18"/>
          <w:szCs w:val="18"/>
        </w:rPr>
        <w:t xml:space="preserve"> than the control 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42E4" w14:textId="77777777" w:rsidR="00161223" w:rsidRDefault="00161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AA0C" w14:textId="77777777" w:rsidR="00161223" w:rsidRDefault="00161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5">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B0FFC"/>
    <w:multiLevelType w:val="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0F4"/>
    <w:rsid w:val="00002758"/>
    <w:rsid w:val="00002B8F"/>
    <w:rsid w:val="00004925"/>
    <w:rsid w:val="00005B83"/>
    <w:rsid w:val="0000777A"/>
    <w:rsid w:val="00010A3A"/>
    <w:rsid w:val="00012E83"/>
    <w:rsid w:val="00013359"/>
    <w:rsid w:val="000149D3"/>
    <w:rsid w:val="00017730"/>
    <w:rsid w:val="00017D5C"/>
    <w:rsid w:val="00017FDD"/>
    <w:rsid w:val="000205B2"/>
    <w:rsid w:val="00021549"/>
    <w:rsid w:val="0002708C"/>
    <w:rsid w:val="00030217"/>
    <w:rsid w:val="000309E3"/>
    <w:rsid w:val="00035715"/>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A39"/>
    <w:rsid w:val="00072C9D"/>
    <w:rsid w:val="00073497"/>
    <w:rsid w:val="00073BC4"/>
    <w:rsid w:val="0007449C"/>
    <w:rsid w:val="00074EFD"/>
    <w:rsid w:val="00075DFB"/>
    <w:rsid w:val="00076C7A"/>
    <w:rsid w:val="00080DA9"/>
    <w:rsid w:val="000835F6"/>
    <w:rsid w:val="00085AE7"/>
    <w:rsid w:val="0008700C"/>
    <w:rsid w:val="00094896"/>
    <w:rsid w:val="00095975"/>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EF9"/>
    <w:rsid w:val="000D7263"/>
    <w:rsid w:val="000D7AE2"/>
    <w:rsid w:val="000D7BED"/>
    <w:rsid w:val="000E0C92"/>
    <w:rsid w:val="000E13AF"/>
    <w:rsid w:val="000E2165"/>
    <w:rsid w:val="000E27D3"/>
    <w:rsid w:val="000E54E4"/>
    <w:rsid w:val="000F4035"/>
    <w:rsid w:val="000F69C5"/>
    <w:rsid w:val="00100A67"/>
    <w:rsid w:val="00100D3B"/>
    <w:rsid w:val="00103F65"/>
    <w:rsid w:val="00105B3B"/>
    <w:rsid w:val="0010611C"/>
    <w:rsid w:val="00106C56"/>
    <w:rsid w:val="001107C8"/>
    <w:rsid w:val="00112B88"/>
    <w:rsid w:val="0011436E"/>
    <w:rsid w:val="00114DC6"/>
    <w:rsid w:val="00114ECB"/>
    <w:rsid w:val="00115301"/>
    <w:rsid w:val="001155FE"/>
    <w:rsid w:val="001202B9"/>
    <w:rsid w:val="001303C7"/>
    <w:rsid w:val="00132420"/>
    <w:rsid w:val="001328E2"/>
    <w:rsid w:val="00132BB7"/>
    <w:rsid w:val="00133FC0"/>
    <w:rsid w:val="00134FE7"/>
    <w:rsid w:val="00136A46"/>
    <w:rsid w:val="0013708D"/>
    <w:rsid w:val="0013754E"/>
    <w:rsid w:val="001404D4"/>
    <w:rsid w:val="001408ED"/>
    <w:rsid w:val="00140A00"/>
    <w:rsid w:val="00142A2B"/>
    <w:rsid w:val="00142D49"/>
    <w:rsid w:val="001431B3"/>
    <w:rsid w:val="00145F8C"/>
    <w:rsid w:val="001465AE"/>
    <w:rsid w:val="00146F81"/>
    <w:rsid w:val="00152DC6"/>
    <w:rsid w:val="00154E74"/>
    <w:rsid w:val="00155597"/>
    <w:rsid w:val="001570C7"/>
    <w:rsid w:val="00161223"/>
    <w:rsid w:val="00161BB1"/>
    <w:rsid w:val="00162030"/>
    <w:rsid w:val="00162EC1"/>
    <w:rsid w:val="00164DAB"/>
    <w:rsid w:val="00167242"/>
    <w:rsid w:val="00170026"/>
    <w:rsid w:val="00170580"/>
    <w:rsid w:val="00172CB5"/>
    <w:rsid w:val="00174079"/>
    <w:rsid w:val="001740C1"/>
    <w:rsid w:val="00174E45"/>
    <w:rsid w:val="00174FAB"/>
    <w:rsid w:val="001761CE"/>
    <w:rsid w:val="001779FC"/>
    <w:rsid w:val="00180C6F"/>
    <w:rsid w:val="00180CA8"/>
    <w:rsid w:val="00181129"/>
    <w:rsid w:val="001814E7"/>
    <w:rsid w:val="00182854"/>
    <w:rsid w:val="0018404A"/>
    <w:rsid w:val="0018443B"/>
    <w:rsid w:val="00186326"/>
    <w:rsid w:val="0018727B"/>
    <w:rsid w:val="001916F9"/>
    <w:rsid w:val="00193470"/>
    <w:rsid w:val="00193AE2"/>
    <w:rsid w:val="00193C47"/>
    <w:rsid w:val="00197A37"/>
    <w:rsid w:val="001A4784"/>
    <w:rsid w:val="001A4CCC"/>
    <w:rsid w:val="001A5CC6"/>
    <w:rsid w:val="001A6856"/>
    <w:rsid w:val="001A7566"/>
    <w:rsid w:val="001A756B"/>
    <w:rsid w:val="001A7BEE"/>
    <w:rsid w:val="001A7D20"/>
    <w:rsid w:val="001B0D2B"/>
    <w:rsid w:val="001B24A8"/>
    <w:rsid w:val="001B40AC"/>
    <w:rsid w:val="001B524F"/>
    <w:rsid w:val="001C1DDC"/>
    <w:rsid w:val="001C1FF3"/>
    <w:rsid w:val="001C21B6"/>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B8B"/>
    <w:rsid w:val="00214C54"/>
    <w:rsid w:val="00220543"/>
    <w:rsid w:val="002268FA"/>
    <w:rsid w:val="00226E91"/>
    <w:rsid w:val="00230ADE"/>
    <w:rsid w:val="00231CAF"/>
    <w:rsid w:val="00231E29"/>
    <w:rsid w:val="0023233D"/>
    <w:rsid w:val="00233B39"/>
    <w:rsid w:val="00233FA2"/>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58BF"/>
    <w:rsid w:val="00255DB9"/>
    <w:rsid w:val="00256829"/>
    <w:rsid w:val="002579F3"/>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5BBC"/>
    <w:rsid w:val="002869F6"/>
    <w:rsid w:val="00290A67"/>
    <w:rsid w:val="00291A54"/>
    <w:rsid w:val="00291AF7"/>
    <w:rsid w:val="0029416D"/>
    <w:rsid w:val="00294A4C"/>
    <w:rsid w:val="00294FA0"/>
    <w:rsid w:val="00295AD7"/>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6B85"/>
    <w:rsid w:val="002D2444"/>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3A8F"/>
    <w:rsid w:val="0030487E"/>
    <w:rsid w:val="00307A8C"/>
    <w:rsid w:val="00307C92"/>
    <w:rsid w:val="0031118A"/>
    <w:rsid w:val="00311233"/>
    <w:rsid w:val="003134E1"/>
    <w:rsid w:val="0031475C"/>
    <w:rsid w:val="00315EE6"/>
    <w:rsid w:val="003172EB"/>
    <w:rsid w:val="00317C25"/>
    <w:rsid w:val="0032222B"/>
    <w:rsid w:val="0032357D"/>
    <w:rsid w:val="003269AF"/>
    <w:rsid w:val="0032713B"/>
    <w:rsid w:val="00330216"/>
    <w:rsid w:val="00330B41"/>
    <w:rsid w:val="003311C6"/>
    <w:rsid w:val="00336841"/>
    <w:rsid w:val="00337076"/>
    <w:rsid w:val="0034069B"/>
    <w:rsid w:val="0034113B"/>
    <w:rsid w:val="00342FAE"/>
    <w:rsid w:val="0034311E"/>
    <w:rsid w:val="00343868"/>
    <w:rsid w:val="003445FE"/>
    <w:rsid w:val="003450DE"/>
    <w:rsid w:val="003454B3"/>
    <w:rsid w:val="003455E2"/>
    <w:rsid w:val="00350174"/>
    <w:rsid w:val="00350690"/>
    <w:rsid w:val="00351CC3"/>
    <w:rsid w:val="00352267"/>
    <w:rsid w:val="00354CF2"/>
    <w:rsid w:val="00355F16"/>
    <w:rsid w:val="00357AD6"/>
    <w:rsid w:val="00360021"/>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59F"/>
    <w:rsid w:val="00375C35"/>
    <w:rsid w:val="00375F5B"/>
    <w:rsid w:val="003760D6"/>
    <w:rsid w:val="00376256"/>
    <w:rsid w:val="00381A50"/>
    <w:rsid w:val="00381ED2"/>
    <w:rsid w:val="00383FF7"/>
    <w:rsid w:val="0038724F"/>
    <w:rsid w:val="003901B0"/>
    <w:rsid w:val="00390EF1"/>
    <w:rsid w:val="0039138E"/>
    <w:rsid w:val="003949E6"/>
    <w:rsid w:val="00395485"/>
    <w:rsid w:val="003A01E6"/>
    <w:rsid w:val="003A1EAA"/>
    <w:rsid w:val="003A3F04"/>
    <w:rsid w:val="003A5BD3"/>
    <w:rsid w:val="003A6104"/>
    <w:rsid w:val="003A7693"/>
    <w:rsid w:val="003B16C7"/>
    <w:rsid w:val="003B446F"/>
    <w:rsid w:val="003B4F19"/>
    <w:rsid w:val="003B5EF3"/>
    <w:rsid w:val="003B6D84"/>
    <w:rsid w:val="003B6F23"/>
    <w:rsid w:val="003C0214"/>
    <w:rsid w:val="003C27CC"/>
    <w:rsid w:val="003C6085"/>
    <w:rsid w:val="003C701A"/>
    <w:rsid w:val="003D0F9B"/>
    <w:rsid w:val="003D1B23"/>
    <w:rsid w:val="003D30B9"/>
    <w:rsid w:val="003D3E02"/>
    <w:rsid w:val="003D430B"/>
    <w:rsid w:val="003D6594"/>
    <w:rsid w:val="003E1431"/>
    <w:rsid w:val="003E2010"/>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3A9"/>
    <w:rsid w:val="00411563"/>
    <w:rsid w:val="00411E94"/>
    <w:rsid w:val="00413B01"/>
    <w:rsid w:val="00414C90"/>
    <w:rsid w:val="0041574D"/>
    <w:rsid w:val="0041594C"/>
    <w:rsid w:val="004159F4"/>
    <w:rsid w:val="0041744B"/>
    <w:rsid w:val="004176C2"/>
    <w:rsid w:val="00417FDF"/>
    <w:rsid w:val="0042048B"/>
    <w:rsid w:val="004223EC"/>
    <w:rsid w:val="004256F9"/>
    <w:rsid w:val="004265D4"/>
    <w:rsid w:val="00426C37"/>
    <w:rsid w:val="0043340C"/>
    <w:rsid w:val="004377E0"/>
    <w:rsid w:val="00442C22"/>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A93"/>
    <w:rsid w:val="004D069A"/>
    <w:rsid w:val="004D0F2A"/>
    <w:rsid w:val="004D25BC"/>
    <w:rsid w:val="004D40E7"/>
    <w:rsid w:val="004D4147"/>
    <w:rsid w:val="004D5D77"/>
    <w:rsid w:val="004D5F8E"/>
    <w:rsid w:val="004D6EDE"/>
    <w:rsid w:val="004D77C7"/>
    <w:rsid w:val="004D7CDD"/>
    <w:rsid w:val="004E1D31"/>
    <w:rsid w:val="004E5ADE"/>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273B"/>
    <w:rsid w:val="00523994"/>
    <w:rsid w:val="00523FCE"/>
    <w:rsid w:val="00525297"/>
    <w:rsid w:val="00525C03"/>
    <w:rsid w:val="005261F5"/>
    <w:rsid w:val="00527182"/>
    <w:rsid w:val="005306FA"/>
    <w:rsid w:val="00533D17"/>
    <w:rsid w:val="00537558"/>
    <w:rsid w:val="0054046F"/>
    <w:rsid w:val="005406C6"/>
    <w:rsid w:val="00540B9D"/>
    <w:rsid w:val="00542CA4"/>
    <w:rsid w:val="00543770"/>
    <w:rsid w:val="00543B79"/>
    <w:rsid w:val="00544B1F"/>
    <w:rsid w:val="00547C58"/>
    <w:rsid w:val="005514D3"/>
    <w:rsid w:val="0055177C"/>
    <w:rsid w:val="00554251"/>
    <w:rsid w:val="005542A5"/>
    <w:rsid w:val="00556C29"/>
    <w:rsid w:val="00557999"/>
    <w:rsid w:val="00557DF3"/>
    <w:rsid w:val="00563998"/>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1BCE"/>
    <w:rsid w:val="005A2BF7"/>
    <w:rsid w:val="005A34AF"/>
    <w:rsid w:val="005A6A97"/>
    <w:rsid w:val="005B06F4"/>
    <w:rsid w:val="005B1982"/>
    <w:rsid w:val="005B259F"/>
    <w:rsid w:val="005B3A23"/>
    <w:rsid w:val="005B5030"/>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7B07"/>
    <w:rsid w:val="006225C7"/>
    <w:rsid w:val="00623A97"/>
    <w:rsid w:val="006247E0"/>
    <w:rsid w:val="006247E8"/>
    <w:rsid w:val="00625D1D"/>
    <w:rsid w:val="0063415B"/>
    <w:rsid w:val="00634275"/>
    <w:rsid w:val="00634443"/>
    <w:rsid w:val="00634B30"/>
    <w:rsid w:val="006355CB"/>
    <w:rsid w:val="006356D8"/>
    <w:rsid w:val="00635FDD"/>
    <w:rsid w:val="006368EE"/>
    <w:rsid w:val="00642EB3"/>
    <w:rsid w:val="00643FEE"/>
    <w:rsid w:val="00644B2C"/>
    <w:rsid w:val="0064551D"/>
    <w:rsid w:val="00645938"/>
    <w:rsid w:val="006525A0"/>
    <w:rsid w:val="00652FDD"/>
    <w:rsid w:val="00655025"/>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7BFD"/>
    <w:rsid w:val="006B07F2"/>
    <w:rsid w:val="006B5903"/>
    <w:rsid w:val="006B6FAB"/>
    <w:rsid w:val="006C0415"/>
    <w:rsid w:val="006C11DE"/>
    <w:rsid w:val="006C1B78"/>
    <w:rsid w:val="006C3842"/>
    <w:rsid w:val="006C397D"/>
    <w:rsid w:val="006C3A64"/>
    <w:rsid w:val="006C4854"/>
    <w:rsid w:val="006C4B4A"/>
    <w:rsid w:val="006C5F67"/>
    <w:rsid w:val="006C78F6"/>
    <w:rsid w:val="006D5B87"/>
    <w:rsid w:val="006D6AB5"/>
    <w:rsid w:val="006D6E09"/>
    <w:rsid w:val="006D7201"/>
    <w:rsid w:val="006D79E5"/>
    <w:rsid w:val="006E0B55"/>
    <w:rsid w:val="006E2DF4"/>
    <w:rsid w:val="006E3831"/>
    <w:rsid w:val="006E5DAF"/>
    <w:rsid w:val="006E5E05"/>
    <w:rsid w:val="006F129B"/>
    <w:rsid w:val="006F167D"/>
    <w:rsid w:val="006F40B8"/>
    <w:rsid w:val="006F6260"/>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40B9F"/>
    <w:rsid w:val="007412FF"/>
    <w:rsid w:val="0074199D"/>
    <w:rsid w:val="00745F8D"/>
    <w:rsid w:val="007461D8"/>
    <w:rsid w:val="00750632"/>
    <w:rsid w:val="00754E3A"/>
    <w:rsid w:val="0075554B"/>
    <w:rsid w:val="00755F57"/>
    <w:rsid w:val="00761322"/>
    <w:rsid w:val="00761CCE"/>
    <w:rsid w:val="00764AC8"/>
    <w:rsid w:val="00766366"/>
    <w:rsid w:val="00770564"/>
    <w:rsid w:val="00774973"/>
    <w:rsid w:val="00776F57"/>
    <w:rsid w:val="00777F5E"/>
    <w:rsid w:val="00780CF6"/>
    <w:rsid w:val="00782FA9"/>
    <w:rsid w:val="00782FD2"/>
    <w:rsid w:val="00783592"/>
    <w:rsid w:val="007854FD"/>
    <w:rsid w:val="00787310"/>
    <w:rsid w:val="007873B7"/>
    <w:rsid w:val="00787E7A"/>
    <w:rsid w:val="007905C1"/>
    <w:rsid w:val="00792FDE"/>
    <w:rsid w:val="00793E79"/>
    <w:rsid w:val="00795391"/>
    <w:rsid w:val="00796146"/>
    <w:rsid w:val="0079772E"/>
    <w:rsid w:val="007A3498"/>
    <w:rsid w:val="007A43B6"/>
    <w:rsid w:val="007A49DF"/>
    <w:rsid w:val="007A523B"/>
    <w:rsid w:val="007A60FB"/>
    <w:rsid w:val="007A6A08"/>
    <w:rsid w:val="007A6ACF"/>
    <w:rsid w:val="007B224D"/>
    <w:rsid w:val="007B3D6F"/>
    <w:rsid w:val="007B56EB"/>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80062D"/>
    <w:rsid w:val="00801F02"/>
    <w:rsid w:val="008067EA"/>
    <w:rsid w:val="00810012"/>
    <w:rsid w:val="0081004D"/>
    <w:rsid w:val="00811EFA"/>
    <w:rsid w:val="00813A53"/>
    <w:rsid w:val="008143EA"/>
    <w:rsid w:val="00814AAD"/>
    <w:rsid w:val="00817B81"/>
    <w:rsid w:val="00817C1C"/>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2A0C"/>
    <w:rsid w:val="00884241"/>
    <w:rsid w:val="00884491"/>
    <w:rsid w:val="00884CA6"/>
    <w:rsid w:val="0088777B"/>
    <w:rsid w:val="00891701"/>
    <w:rsid w:val="00891982"/>
    <w:rsid w:val="00892B7A"/>
    <w:rsid w:val="00893586"/>
    <w:rsid w:val="00895FA8"/>
    <w:rsid w:val="008A0855"/>
    <w:rsid w:val="008A0860"/>
    <w:rsid w:val="008A65D0"/>
    <w:rsid w:val="008A6C0F"/>
    <w:rsid w:val="008B02EC"/>
    <w:rsid w:val="008B3254"/>
    <w:rsid w:val="008B664E"/>
    <w:rsid w:val="008B7011"/>
    <w:rsid w:val="008C03C1"/>
    <w:rsid w:val="008C4715"/>
    <w:rsid w:val="008C4F04"/>
    <w:rsid w:val="008C7B33"/>
    <w:rsid w:val="008D1030"/>
    <w:rsid w:val="008D23EF"/>
    <w:rsid w:val="008D450E"/>
    <w:rsid w:val="008D45BC"/>
    <w:rsid w:val="008E1D60"/>
    <w:rsid w:val="008E2107"/>
    <w:rsid w:val="008E2E60"/>
    <w:rsid w:val="008E3AAA"/>
    <w:rsid w:val="008E4084"/>
    <w:rsid w:val="008F010B"/>
    <w:rsid w:val="008F0398"/>
    <w:rsid w:val="008F1ADF"/>
    <w:rsid w:val="008F29AC"/>
    <w:rsid w:val="008F48C5"/>
    <w:rsid w:val="008F65DC"/>
    <w:rsid w:val="008F6D42"/>
    <w:rsid w:val="00900172"/>
    <w:rsid w:val="009010DC"/>
    <w:rsid w:val="00901512"/>
    <w:rsid w:val="00903E25"/>
    <w:rsid w:val="009041C7"/>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FD9"/>
    <w:rsid w:val="009271FC"/>
    <w:rsid w:val="009311AE"/>
    <w:rsid w:val="0093425E"/>
    <w:rsid w:val="00934CC1"/>
    <w:rsid w:val="009356CD"/>
    <w:rsid w:val="00936504"/>
    <w:rsid w:val="00940989"/>
    <w:rsid w:val="00940F51"/>
    <w:rsid w:val="00940FDA"/>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A0F3D"/>
    <w:rsid w:val="009A43AC"/>
    <w:rsid w:val="009A4E82"/>
    <w:rsid w:val="009A610B"/>
    <w:rsid w:val="009B0F22"/>
    <w:rsid w:val="009B15C2"/>
    <w:rsid w:val="009B1ADC"/>
    <w:rsid w:val="009B2603"/>
    <w:rsid w:val="009B34FF"/>
    <w:rsid w:val="009B4894"/>
    <w:rsid w:val="009B5A21"/>
    <w:rsid w:val="009B5F32"/>
    <w:rsid w:val="009B6573"/>
    <w:rsid w:val="009C0892"/>
    <w:rsid w:val="009C0B5B"/>
    <w:rsid w:val="009C0E0A"/>
    <w:rsid w:val="009C25B9"/>
    <w:rsid w:val="009C2B29"/>
    <w:rsid w:val="009C2D7D"/>
    <w:rsid w:val="009C4ACA"/>
    <w:rsid w:val="009C624D"/>
    <w:rsid w:val="009C6868"/>
    <w:rsid w:val="009C7B89"/>
    <w:rsid w:val="009D0310"/>
    <w:rsid w:val="009D35D5"/>
    <w:rsid w:val="009D507E"/>
    <w:rsid w:val="009D51CF"/>
    <w:rsid w:val="009E03E7"/>
    <w:rsid w:val="009E0774"/>
    <w:rsid w:val="009E0CAE"/>
    <w:rsid w:val="009E1EED"/>
    <w:rsid w:val="009E4CA3"/>
    <w:rsid w:val="009E722E"/>
    <w:rsid w:val="009F0566"/>
    <w:rsid w:val="009F180E"/>
    <w:rsid w:val="009F30FA"/>
    <w:rsid w:val="009F42E6"/>
    <w:rsid w:val="009F74CA"/>
    <w:rsid w:val="009F765F"/>
    <w:rsid w:val="009F7F57"/>
    <w:rsid w:val="00A00FDB"/>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A2"/>
    <w:rsid w:val="00A26A35"/>
    <w:rsid w:val="00A301E2"/>
    <w:rsid w:val="00A33FFE"/>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2622"/>
    <w:rsid w:val="00A63215"/>
    <w:rsid w:val="00A632DF"/>
    <w:rsid w:val="00A63E7F"/>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6B60"/>
    <w:rsid w:val="00B36B75"/>
    <w:rsid w:val="00B36CC1"/>
    <w:rsid w:val="00B378F1"/>
    <w:rsid w:val="00B42257"/>
    <w:rsid w:val="00B436E9"/>
    <w:rsid w:val="00B4691C"/>
    <w:rsid w:val="00B50DEC"/>
    <w:rsid w:val="00B5135E"/>
    <w:rsid w:val="00B521B1"/>
    <w:rsid w:val="00B521B4"/>
    <w:rsid w:val="00B52287"/>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C8"/>
    <w:rsid w:val="00B97825"/>
    <w:rsid w:val="00BA0D39"/>
    <w:rsid w:val="00BA1AC8"/>
    <w:rsid w:val="00BA269C"/>
    <w:rsid w:val="00BB404B"/>
    <w:rsid w:val="00BB4920"/>
    <w:rsid w:val="00BB4EB7"/>
    <w:rsid w:val="00BB5CD1"/>
    <w:rsid w:val="00BB5EDE"/>
    <w:rsid w:val="00BB7980"/>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1A7A"/>
    <w:rsid w:val="00C03DDF"/>
    <w:rsid w:val="00C077DE"/>
    <w:rsid w:val="00C07E92"/>
    <w:rsid w:val="00C12EC2"/>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28C3"/>
    <w:rsid w:val="00CB2E44"/>
    <w:rsid w:val="00CB62C9"/>
    <w:rsid w:val="00CB632C"/>
    <w:rsid w:val="00CC1E5B"/>
    <w:rsid w:val="00CC33C3"/>
    <w:rsid w:val="00CC7C8B"/>
    <w:rsid w:val="00CD1590"/>
    <w:rsid w:val="00CD2661"/>
    <w:rsid w:val="00CD2C7A"/>
    <w:rsid w:val="00CD3772"/>
    <w:rsid w:val="00CD4B59"/>
    <w:rsid w:val="00CD4B5C"/>
    <w:rsid w:val="00CD4BA7"/>
    <w:rsid w:val="00CD5006"/>
    <w:rsid w:val="00CD6E51"/>
    <w:rsid w:val="00CE27F1"/>
    <w:rsid w:val="00CE3031"/>
    <w:rsid w:val="00CE542B"/>
    <w:rsid w:val="00CE5D41"/>
    <w:rsid w:val="00CE74FE"/>
    <w:rsid w:val="00CF3550"/>
    <w:rsid w:val="00CF5E5C"/>
    <w:rsid w:val="00CF6083"/>
    <w:rsid w:val="00CF746D"/>
    <w:rsid w:val="00D00F7E"/>
    <w:rsid w:val="00D01EE5"/>
    <w:rsid w:val="00D025BA"/>
    <w:rsid w:val="00D029D2"/>
    <w:rsid w:val="00D05B6B"/>
    <w:rsid w:val="00D06E4A"/>
    <w:rsid w:val="00D070EE"/>
    <w:rsid w:val="00D10AD2"/>
    <w:rsid w:val="00D13151"/>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30FB"/>
    <w:rsid w:val="00D34240"/>
    <w:rsid w:val="00D367CC"/>
    <w:rsid w:val="00D42451"/>
    <w:rsid w:val="00D428CD"/>
    <w:rsid w:val="00D444E5"/>
    <w:rsid w:val="00D461F9"/>
    <w:rsid w:val="00D46CF8"/>
    <w:rsid w:val="00D47B25"/>
    <w:rsid w:val="00D50B41"/>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561"/>
    <w:rsid w:val="00DA00E9"/>
    <w:rsid w:val="00DA49BB"/>
    <w:rsid w:val="00DA4B23"/>
    <w:rsid w:val="00DA5830"/>
    <w:rsid w:val="00DA6D42"/>
    <w:rsid w:val="00DA735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52A4"/>
    <w:rsid w:val="00DF1EB6"/>
    <w:rsid w:val="00DF2BC1"/>
    <w:rsid w:val="00DF2CEF"/>
    <w:rsid w:val="00DF328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60CE"/>
    <w:rsid w:val="00E22317"/>
    <w:rsid w:val="00E23F40"/>
    <w:rsid w:val="00E25FE4"/>
    <w:rsid w:val="00E32F31"/>
    <w:rsid w:val="00E40422"/>
    <w:rsid w:val="00E40A2F"/>
    <w:rsid w:val="00E4677B"/>
    <w:rsid w:val="00E46CF3"/>
    <w:rsid w:val="00E5179E"/>
    <w:rsid w:val="00E51C50"/>
    <w:rsid w:val="00E53E79"/>
    <w:rsid w:val="00E613A7"/>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414E"/>
    <w:rsid w:val="00EA63EE"/>
    <w:rsid w:val="00EA6E33"/>
    <w:rsid w:val="00EB033B"/>
    <w:rsid w:val="00EB106A"/>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2F9F"/>
    <w:rsid w:val="00EE7090"/>
    <w:rsid w:val="00EE7DFA"/>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66FC"/>
    <w:rsid w:val="00F07D83"/>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512C7"/>
    <w:rsid w:val="00F51C0D"/>
    <w:rsid w:val="00F51C81"/>
    <w:rsid w:val="00F525C7"/>
    <w:rsid w:val="00F535C1"/>
    <w:rsid w:val="00F53878"/>
    <w:rsid w:val="00F54794"/>
    <w:rsid w:val="00F5527C"/>
    <w:rsid w:val="00F57D16"/>
    <w:rsid w:val="00F618D0"/>
    <w:rsid w:val="00F62D03"/>
    <w:rsid w:val="00F63D52"/>
    <w:rsid w:val="00F66798"/>
    <w:rsid w:val="00F7127D"/>
    <w:rsid w:val="00F71A18"/>
    <w:rsid w:val="00F71CA1"/>
    <w:rsid w:val="00F72438"/>
    <w:rsid w:val="00F72A99"/>
    <w:rsid w:val="00F75AC1"/>
    <w:rsid w:val="00F75E3C"/>
    <w:rsid w:val="00F76416"/>
    <w:rsid w:val="00F82B6D"/>
    <w:rsid w:val="00F843B0"/>
    <w:rsid w:val="00F85474"/>
    <w:rsid w:val="00F90338"/>
    <w:rsid w:val="00F904B9"/>
    <w:rsid w:val="00F905B6"/>
    <w:rsid w:val="00F91BD9"/>
    <w:rsid w:val="00F94F49"/>
    <w:rsid w:val="00F96EF8"/>
    <w:rsid w:val="00F977A7"/>
    <w:rsid w:val="00FA148B"/>
    <w:rsid w:val="00FA3748"/>
    <w:rsid w:val="00FA618F"/>
    <w:rsid w:val="00FA7A1A"/>
    <w:rsid w:val="00FB1736"/>
    <w:rsid w:val="00FB1FCD"/>
    <w:rsid w:val="00FB2815"/>
    <w:rsid w:val="00FB2B0E"/>
    <w:rsid w:val="00FB3B3E"/>
    <w:rsid w:val="00FB4302"/>
    <w:rsid w:val="00FB5A4C"/>
    <w:rsid w:val="00FB60D0"/>
    <w:rsid w:val="00FC1ACE"/>
    <w:rsid w:val="00FC2E39"/>
    <w:rsid w:val="00FC393A"/>
    <w:rsid w:val="00FC408B"/>
    <w:rsid w:val="00FC4D28"/>
    <w:rsid w:val="00FC6F7B"/>
    <w:rsid w:val="00FD0F82"/>
    <w:rsid w:val="00FD685A"/>
    <w:rsid w:val="00FE203F"/>
    <w:rsid w:val="00FE4EE2"/>
    <w:rsid w:val="00FE5D94"/>
    <w:rsid w:val="00FE6A64"/>
    <w:rsid w:val="00FE75D4"/>
    <w:rsid w:val="00FE7B75"/>
    <w:rsid w:val="00FF0488"/>
    <w:rsid w:val="00FF1643"/>
    <w:rsid w:val="00FF1E92"/>
    <w:rsid w:val="00FF33C9"/>
    <w:rsid w:val="00FF4B6C"/>
    <w:rsid w:val="00FF55E4"/>
    <w:rsid w:val="00FF6B0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A1DF-B8B4-449E-95BA-7BCE8D05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9571</Words>
  <Characters>54557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64001</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2019-04-04T11:58:00Z</dcterms:created>
  <dcterms:modified xsi:type="dcterms:W3CDTF">2019-04-04T11:58:00Z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-605583157</vt:i4>
  </property>
  <property fmtid="{D5CDD505-2E9C-101B-9397-08002B2CF9AE}" pid="4" name="_EmailSubject">
    <vt:lpwstr>SSOCS docs and [FR] Documents from Education Department</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