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C53" w:rsidRPr="00030229" w:rsidRDefault="00E80C53" w:rsidP="00E80C53">
      <w:pPr>
        <w:spacing w:before="2040" w:line="560" w:lineRule="exact"/>
        <w:ind w:firstLine="0"/>
        <w:rPr>
          <w:rFonts w:ascii="Arial" w:hAnsi="Arial"/>
          <w:caps/>
          <w:spacing w:val="28"/>
          <w:sz w:val="17"/>
          <w:szCs w:val="26"/>
        </w:rPr>
      </w:pPr>
      <w:bookmarkStart w:id="0" w:name="_GoBack"/>
      <w:bookmarkEnd w:id="0"/>
      <w:r>
        <w:rPr>
          <w:rFonts w:ascii="Arial" w:hAnsi="Arial"/>
          <w:caps/>
          <w:noProof/>
          <w:spacing w:val="28"/>
          <w:sz w:val="17"/>
          <w:szCs w:val="26"/>
        </w:rPr>
        <w:drawing>
          <wp:anchor distT="0" distB="0" distL="114300" distR="114300" simplePos="0" relativeHeight="251661312" behindDoc="0" locked="0" layoutInCell="1" allowOverlap="1" wp14:anchorId="3131299A" wp14:editId="4615D495">
            <wp:simplePos x="0" y="0"/>
            <wp:positionH relativeFrom="column">
              <wp:posOffset>-1701800</wp:posOffset>
            </wp:positionH>
            <wp:positionV relativeFrom="paragraph">
              <wp:posOffset>-76835</wp:posOffset>
            </wp:positionV>
            <wp:extent cx="1316736" cy="951963"/>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thematica Anniverary Logo.jpg"/>
                    <pic:cNvPicPr/>
                  </pic:nvPicPr>
                  <pic:blipFill>
                    <a:blip r:embed="rId12">
                      <a:extLst>
                        <a:ext uri="{28A0092B-C50C-407E-A947-70E740481C1C}">
                          <a14:useLocalDpi xmlns:a14="http://schemas.microsoft.com/office/drawing/2010/main" val="0"/>
                        </a:ext>
                      </a:extLst>
                    </a:blip>
                    <a:stretch>
                      <a:fillRect/>
                    </a:stretch>
                  </pic:blipFill>
                  <pic:spPr>
                    <a:xfrm>
                      <a:off x="0" y="0"/>
                      <a:ext cx="1316736" cy="951963"/>
                    </a:xfrm>
                    <a:prstGeom prst="rect">
                      <a:avLst/>
                    </a:prstGeom>
                  </pic:spPr>
                </pic:pic>
              </a:graphicData>
            </a:graphic>
            <wp14:sizeRelH relativeFrom="margin">
              <wp14:pctWidth>0</wp14:pctWidth>
            </wp14:sizeRelH>
            <wp14:sizeRelV relativeFrom="margin">
              <wp14:pctHeight>0</wp14:pctHeight>
            </wp14:sizeRelV>
          </wp:anchor>
        </w:drawing>
      </w:r>
      <w:r w:rsidRPr="00030229">
        <w:rPr>
          <w:rFonts w:ascii="Arial" w:hAnsi="Arial"/>
          <w:caps/>
          <w:noProof/>
          <w:spacing w:val="28"/>
          <w:sz w:val="17"/>
          <w:szCs w:val="26"/>
        </w:rPr>
        <w:drawing>
          <wp:anchor distT="0" distB="0" distL="114300" distR="114300" simplePos="0" relativeHeight="251660288" behindDoc="0" locked="1" layoutInCell="1" allowOverlap="1" wp14:anchorId="4E893796" wp14:editId="01265F12">
            <wp:simplePos x="0" y="0"/>
            <wp:positionH relativeFrom="margin">
              <wp:align>right</wp:align>
            </wp:positionH>
            <wp:positionV relativeFrom="margin">
              <wp:posOffset>-2143125</wp:posOffset>
            </wp:positionV>
            <wp:extent cx="4876800" cy="1247775"/>
            <wp:effectExtent l="19050" t="0" r="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4876800" cy="1247775"/>
                    </a:xfrm>
                    <a:prstGeom prst="rect">
                      <a:avLst/>
                    </a:prstGeom>
                    <a:noFill/>
                  </pic:spPr>
                </pic:pic>
              </a:graphicData>
            </a:graphic>
          </wp:anchor>
        </w:drawing>
      </w:r>
    </w:p>
    <w:p w:rsidR="00E80C53" w:rsidRPr="00030229" w:rsidRDefault="00FA586A" w:rsidP="00E80C53">
      <w:pPr>
        <w:pBdr>
          <w:top w:val="single" w:sz="4" w:space="5" w:color="auto"/>
          <w:bottom w:val="single" w:sz="4" w:space="5" w:color="auto"/>
        </w:pBdr>
        <w:spacing w:after="184" w:line="440" w:lineRule="exact"/>
        <w:ind w:firstLine="0"/>
        <w:outlineLvl w:val="0"/>
        <w:rPr>
          <w:rFonts w:ascii="Arial Black" w:hAnsi="Arial Black"/>
          <w:color w:val="E70033"/>
          <w:sz w:val="37"/>
        </w:rPr>
      </w:pPr>
      <w:bookmarkStart w:id="1" w:name="RepTitle"/>
      <w:bookmarkEnd w:id="1"/>
      <w:r>
        <w:rPr>
          <w:rFonts w:ascii="Arial Black" w:hAnsi="Arial Black"/>
          <w:color w:val="E70033"/>
          <w:sz w:val="37"/>
          <w:lang w:val="en"/>
        </w:rPr>
        <w:t>T</w:t>
      </w:r>
      <w:r w:rsidR="00E80C53" w:rsidRPr="008130BD">
        <w:rPr>
          <w:rFonts w:ascii="Arial Black" w:hAnsi="Arial Black"/>
          <w:color w:val="E70033"/>
          <w:sz w:val="37"/>
          <w:lang w:val="en"/>
        </w:rPr>
        <w:t>he Individuals with Disabilities Education Act</w:t>
      </w:r>
      <w:r w:rsidR="00E80C53">
        <w:rPr>
          <w:rFonts w:ascii="Arial Black" w:hAnsi="Arial Black"/>
          <w:color w:val="E70033"/>
          <w:sz w:val="37"/>
          <w:lang w:val="en"/>
        </w:rPr>
        <w:t xml:space="preserve"> (</w:t>
      </w:r>
      <w:r w:rsidR="00E80C53" w:rsidRPr="00030229">
        <w:rPr>
          <w:rFonts w:ascii="Arial Black" w:hAnsi="Arial Black"/>
          <w:color w:val="E70033"/>
          <w:sz w:val="37"/>
        </w:rPr>
        <w:t>I</w:t>
      </w:r>
      <w:r w:rsidR="00E80C53">
        <w:rPr>
          <w:rFonts w:ascii="Arial Black" w:hAnsi="Arial Black"/>
          <w:color w:val="E70033"/>
          <w:sz w:val="37"/>
        </w:rPr>
        <w:t>DEA)</w:t>
      </w:r>
      <w:r w:rsidRPr="00FA586A">
        <w:rPr>
          <w:rFonts w:ascii="Arial Black" w:hAnsi="Arial Black"/>
          <w:color w:val="E70033"/>
          <w:sz w:val="37"/>
          <w:lang w:val="en"/>
        </w:rPr>
        <w:t xml:space="preserve"> </w:t>
      </w:r>
      <w:r w:rsidRPr="008130BD">
        <w:rPr>
          <w:rFonts w:ascii="Arial Black" w:hAnsi="Arial Black"/>
          <w:color w:val="E70033"/>
          <w:sz w:val="37"/>
          <w:lang w:val="en"/>
        </w:rPr>
        <w:t>State and Local Implementation</w:t>
      </w:r>
      <w:r>
        <w:rPr>
          <w:rFonts w:ascii="Arial Black" w:hAnsi="Arial Black"/>
          <w:color w:val="E70033"/>
          <w:sz w:val="37"/>
          <w:lang w:val="en"/>
        </w:rPr>
        <w:t xml:space="preserve"> Study 2019</w:t>
      </w:r>
    </w:p>
    <w:p w:rsidR="00E80C53" w:rsidRPr="00030229" w:rsidRDefault="00E80C53" w:rsidP="00E80C53">
      <w:pPr>
        <w:pBdr>
          <w:top w:val="single" w:sz="4" w:space="5" w:color="auto"/>
          <w:bottom w:val="single" w:sz="4" w:space="5" w:color="auto"/>
        </w:pBdr>
        <w:spacing w:after="184" w:line="440" w:lineRule="exact"/>
        <w:ind w:firstLine="0"/>
        <w:outlineLvl w:val="0"/>
        <w:rPr>
          <w:rFonts w:ascii="Arial Black" w:hAnsi="Arial Black"/>
          <w:color w:val="E70033"/>
          <w:sz w:val="37"/>
        </w:rPr>
      </w:pPr>
      <w:r w:rsidRPr="00030229">
        <w:rPr>
          <w:rFonts w:ascii="Arial Black" w:hAnsi="Arial Black"/>
          <w:color w:val="E70033"/>
          <w:sz w:val="37"/>
        </w:rPr>
        <w:t xml:space="preserve">Part A: </w:t>
      </w:r>
      <w:r w:rsidRPr="00030229">
        <w:rPr>
          <w:rFonts w:ascii="Arial Black" w:hAnsi="Arial Black"/>
          <w:noProof/>
          <w:color w:val="E70033"/>
          <w:sz w:val="37"/>
        </w:rPr>
        <w:drawing>
          <wp:anchor distT="0" distB="0" distL="114300" distR="114300" simplePos="0" relativeHeight="251659264" behindDoc="0" locked="1" layoutInCell="1" allowOverlap="1" wp14:anchorId="3819E665" wp14:editId="54A874A7">
            <wp:simplePos x="0" y="0"/>
            <wp:positionH relativeFrom="margin">
              <wp:align>right</wp:align>
            </wp:positionH>
            <wp:positionV relativeFrom="margin">
              <wp:posOffset>-2143125</wp:posOffset>
            </wp:positionV>
            <wp:extent cx="4876800" cy="1247775"/>
            <wp:effectExtent l="1905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4876800" cy="1247775"/>
                    </a:xfrm>
                    <a:prstGeom prst="rect">
                      <a:avLst/>
                    </a:prstGeom>
                    <a:noFill/>
                  </pic:spPr>
                </pic:pic>
              </a:graphicData>
            </a:graphic>
          </wp:anchor>
        </w:drawing>
      </w:r>
      <w:r>
        <w:rPr>
          <w:rFonts w:ascii="Arial Black" w:hAnsi="Arial Black"/>
          <w:color w:val="E70033"/>
          <w:sz w:val="37"/>
        </w:rPr>
        <w:t>Justification for the Study</w:t>
      </w:r>
    </w:p>
    <w:p w:rsidR="00E80C53" w:rsidRPr="00030229" w:rsidRDefault="00FA1B1B" w:rsidP="00E80C53">
      <w:pPr>
        <w:spacing w:line="440" w:lineRule="exact"/>
        <w:ind w:firstLine="0"/>
        <w:rPr>
          <w:rFonts w:ascii="Arial" w:hAnsi="Arial"/>
          <w:sz w:val="34"/>
          <w:szCs w:val="26"/>
        </w:rPr>
      </w:pPr>
      <w:bookmarkStart w:id="2" w:name="DateMark"/>
      <w:bookmarkEnd w:id="2"/>
      <w:r>
        <w:rPr>
          <w:rFonts w:ascii="Arial" w:hAnsi="Arial"/>
          <w:sz w:val="34"/>
          <w:szCs w:val="26"/>
        </w:rPr>
        <w:t>April 8</w:t>
      </w:r>
      <w:r w:rsidR="00770B44">
        <w:rPr>
          <w:rFonts w:ascii="Arial" w:hAnsi="Arial"/>
          <w:sz w:val="34"/>
          <w:szCs w:val="26"/>
        </w:rPr>
        <w:t>, 2019</w:t>
      </w:r>
    </w:p>
    <w:p w:rsidR="00E80C53" w:rsidRPr="00030229" w:rsidRDefault="00E80C53" w:rsidP="00E80C53">
      <w:pPr>
        <w:pBdr>
          <w:bottom w:val="single" w:sz="4" w:space="1" w:color="auto"/>
        </w:pBdr>
        <w:spacing w:line="440" w:lineRule="exact"/>
        <w:ind w:firstLine="0"/>
        <w:rPr>
          <w:rFonts w:ascii="Arial" w:hAnsi="Arial"/>
          <w:sz w:val="34"/>
          <w:szCs w:val="26"/>
        </w:rPr>
      </w:pPr>
    </w:p>
    <w:p w:rsidR="00E80C53" w:rsidRPr="00030229" w:rsidRDefault="00E80C53" w:rsidP="00E80C53">
      <w:pPr>
        <w:spacing w:before="120" w:line="260" w:lineRule="exact"/>
        <w:ind w:firstLine="0"/>
        <w:rPr>
          <w:rFonts w:ascii="Arial Black" w:hAnsi="Arial Black"/>
          <w:noProof/>
          <w:sz w:val="16"/>
          <w:szCs w:val="19"/>
        </w:rPr>
      </w:pPr>
      <w:r w:rsidRPr="00030229">
        <w:rPr>
          <w:rFonts w:ascii="Arial Black" w:hAnsi="Arial Black"/>
          <w:noProof/>
          <w:sz w:val="16"/>
          <w:szCs w:val="19"/>
        </w:rPr>
        <w:t>Submitted to:</w:t>
      </w:r>
    </w:p>
    <w:p w:rsidR="00E80C53" w:rsidRPr="00030229" w:rsidRDefault="00E80C53" w:rsidP="00E80C53">
      <w:pPr>
        <w:spacing w:line="260" w:lineRule="exact"/>
        <w:ind w:firstLine="0"/>
        <w:rPr>
          <w:rFonts w:ascii="Arial" w:hAnsi="Arial"/>
          <w:sz w:val="16"/>
          <w:szCs w:val="19"/>
        </w:rPr>
      </w:pPr>
      <w:bookmarkStart w:id="3" w:name="Agency"/>
      <w:bookmarkStart w:id="4" w:name="AgencyDept"/>
      <w:bookmarkStart w:id="5" w:name="AgencyAddress1"/>
      <w:bookmarkEnd w:id="3"/>
      <w:bookmarkEnd w:id="4"/>
      <w:bookmarkEnd w:id="5"/>
      <w:r w:rsidRPr="00030229">
        <w:rPr>
          <w:rFonts w:ascii="Arial" w:hAnsi="Arial"/>
          <w:sz w:val="16"/>
          <w:szCs w:val="19"/>
        </w:rPr>
        <w:t>Institute of Education Sciences</w:t>
      </w:r>
    </w:p>
    <w:p w:rsidR="00E80C53" w:rsidRPr="00030229" w:rsidRDefault="00E80C53" w:rsidP="00E80C53">
      <w:pPr>
        <w:spacing w:after="60" w:line="260" w:lineRule="exact"/>
        <w:ind w:firstLine="0"/>
        <w:contextualSpacing/>
        <w:rPr>
          <w:rFonts w:ascii="Arial" w:hAnsi="Arial"/>
          <w:sz w:val="16"/>
          <w:szCs w:val="19"/>
        </w:rPr>
      </w:pPr>
      <w:bookmarkStart w:id="6" w:name="AgencyAddress2"/>
      <w:bookmarkEnd w:id="6"/>
      <w:r w:rsidRPr="00030229">
        <w:rPr>
          <w:rFonts w:ascii="Arial" w:hAnsi="Arial"/>
          <w:sz w:val="16"/>
          <w:szCs w:val="19"/>
        </w:rPr>
        <w:t>550 12th Street, S.W.</w:t>
      </w:r>
    </w:p>
    <w:p w:rsidR="00E80C53" w:rsidRDefault="00E80C53" w:rsidP="00E80C53">
      <w:pPr>
        <w:spacing w:after="60" w:line="260" w:lineRule="exact"/>
        <w:ind w:firstLine="0"/>
        <w:contextualSpacing/>
        <w:rPr>
          <w:rFonts w:ascii="Arial" w:hAnsi="Arial"/>
          <w:sz w:val="16"/>
          <w:szCs w:val="19"/>
        </w:rPr>
      </w:pPr>
      <w:r w:rsidRPr="00030229">
        <w:rPr>
          <w:rFonts w:ascii="Arial" w:hAnsi="Arial"/>
          <w:sz w:val="16"/>
          <w:szCs w:val="19"/>
        </w:rPr>
        <w:t>Washington, DC  20</w:t>
      </w:r>
      <w:r>
        <w:rPr>
          <w:rFonts w:ascii="Arial" w:hAnsi="Arial"/>
          <w:sz w:val="16"/>
          <w:szCs w:val="19"/>
        </w:rPr>
        <w:t>202</w:t>
      </w:r>
    </w:p>
    <w:p w:rsidR="00E80C53" w:rsidRPr="002F3A96" w:rsidRDefault="00E80C53" w:rsidP="00E80C53">
      <w:pPr>
        <w:pBdr>
          <w:bottom w:val="single" w:sz="4" w:space="1" w:color="auto"/>
        </w:pBdr>
        <w:spacing w:after="60" w:line="260" w:lineRule="exact"/>
        <w:ind w:firstLine="0"/>
        <w:contextualSpacing/>
        <w:rPr>
          <w:rFonts w:ascii="Arial" w:hAnsi="Arial"/>
          <w:sz w:val="16"/>
          <w:szCs w:val="19"/>
        </w:rPr>
      </w:pPr>
      <w:r w:rsidRPr="00030229">
        <w:rPr>
          <w:rFonts w:ascii="Arial" w:hAnsi="Arial"/>
          <w:sz w:val="16"/>
          <w:szCs w:val="19"/>
        </w:rPr>
        <w:t xml:space="preserve">Project Officer: </w:t>
      </w:r>
      <w:bookmarkStart w:id="7" w:name="ProjOff"/>
      <w:bookmarkEnd w:id="7"/>
      <w:r>
        <w:rPr>
          <w:rFonts w:ascii="Arial" w:hAnsi="Arial"/>
          <w:sz w:val="16"/>
          <w:szCs w:val="19"/>
        </w:rPr>
        <w:t>Erica Johnson</w:t>
      </w:r>
      <w:r w:rsidRPr="00030229">
        <w:rPr>
          <w:rFonts w:ascii="Arial" w:hAnsi="Arial"/>
          <w:sz w:val="16"/>
          <w:szCs w:val="19"/>
        </w:rPr>
        <w:br/>
        <w:t>Contract Number:</w:t>
      </w:r>
      <w:r w:rsidRPr="008130BD">
        <w:rPr>
          <w:rFonts w:ascii="Arial" w:hAnsi="Arial" w:cs="Arial"/>
          <w:color w:val="1A1818"/>
          <w:sz w:val="21"/>
          <w:szCs w:val="21"/>
          <w:lang w:val="en"/>
        </w:rPr>
        <w:t xml:space="preserve"> </w:t>
      </w:r>
      <w:r w:rsidRPr="008130BD">
        <w:rPr>
          <w:rFonts w:ascii="Arial" w:hAnsi="Arial"/>
          <w:sz w:val="16"/>
          <w:szCs w:val="19"/>
          <w:lang w:val="en"/>
        </w:rPr>
        <w:t>ED</w:t>
      </w:r>
      <w:r>
        <w:rPr>
          <w:rFonts w:ascii="Arial" w:hAnsi="Arial"/>
          <w:sz w:val="16"/>
          <w:szCs w:val="19"/>
          <w:lang w:val="en"/>
        </w:rPr>
        <w:t>-</w:t>
      </w:r>
      <w:r w:rsidRPr="008130BD">
        <w:rPr>
          <w:rFonts w:ascii="Arial" w:hAnsi="Arial"/>
          <w:sz w:val="16"/>
          <w:szCs w:val="19"/>
          <w:lang w:val="en"/>
        </w:rPr>
        <w:t>IES</w:t>
      </w:r>
      <w:r>
        <w:rPr>
          <w:rFonts w:ascii="Arial" w:hAnsi="Arial"/>
          <w:sz w:val="16"/>
          <w:szCs w:val="19"/>
          <w:lang w:val="en"/>
        </w:rPr>
        <w:t>-</w:t>
      </w:r>
      <w:r w:rsidRPr="008130BD">
        <w:rPr>
          <w:rFonts w:ascii="Arial" w:hAnsi="Arial"/>
          <w:sz w:val="16"/>
          <w:szCs w:val="19"/>
          <w:lang w:val="en"/>
        </w:rPr>
        <w:t>17</w:t>
      </w:r>
      <w:r>
        <w:rPr>
          <w:rFonts w:ascii="Arial" w:hAnsi="Arial"/>
          <w:sz w:val="16"/>
          <w:szCs w:val="19"/>
          <w:lang w:val="en"/>
        </w:rPr>
        <w:t>-</w:t>
      </w:r>
      <w:r w:rsidRPr="008130BD">
        <w:rPr>
          <w:rFonts w:ascii="Arial" w:hAnsi="Arial"/>
          <w:sz w:val="16"/>
          <w:szCs w:val="19"/>
          <w:lang w:val="en"/>
        </w:rPr>
        <w:t>C</w:t>
      </w:r>
      <w:r>
        <w:rPr>
          <w:rFonts w:ascii="Arial" w:hAnsi="Arial"/>
          <w:sz w:val="16"/>
          <w:szCs w:val="19"/>
          <w:lang w:val="en"/>
        </w:rPr>
        <w:t>-</w:t>
      </w:r>
      <w:r w:rsidRPr="008130BD">
        <w:rPr>
          <w:rFonts w:ascii="Arial" w:hAnsi="Arial"/>
          <w:sz w:val="16"/>
          <w:szCs w:val="19"/>
          <w:lang w:val="en"/>
        </w:rPr>
        <w:t>0069</w:t>
      </w:r>
    </w:p>
    <w:p w:rsidR="00E80C53" w:rsidRPr="00030229" w:rsidRDefault="00E80C53" w:rsidP="00E80C53">
      <w:pPr>
        <w:spacing w:line="260" w:lineRule="exact"/>
        <w:ind w:firstLine="0"/>
        <w:rPr>
          <w:rFonts w:ascii="Arial Black" w:hAnsi="Arial Black"/>
          <w:noProof/>
          <w:sz w:val="16"/>
          <w:szCs w:val="19"/>
        </w:rPr>
      </w:pPr>
      <w:r w:rsidRPr="00030229">
        <w:rPr>
          <w:rFonts w:ascii="Arial Black" w:hAnsi="Arial Black"/>
          <w:noProof/>
          <w:sz w:val="16"/>
          <w:szCs w:val="19"/>
        </w:rPr>
        <w:t>Submitted by:</w:t>
      </w:r>
    </w:p>
    <w:p w:rsidR="00E80C53" w:rsidRPr="00030229" w:rsidRDefault="00E80C53" w:rsidP="00E80C53">
      <w:pPr>
        <w:spacing w:after="100" w:line="260" w:lineRule="exact"/>
        <w:ind w:firstLine="0"/>
        <w:contextualSpacing/>
        <w:rPr>
          <w:rFonts w:ascii="Arial" w:hAnsi="Arial"/>
          <w:sz w:val="16"/>
          <w:szCs w:val="19"/>
        </w:rPr>
      </w:pPr>
      <w:r w:rsidRPr="00030229">
        <w:rPr>
          <w:rFonts w:ascii="Arial" w:hAnsi="Arial"/>
          <w:sz w:val="16"/>
          <w:szCs w:val="19"/>
        </w:rPr>
        <w:t>Mathematica Policy Research</w:t>
      </w:r>
    </w:p>
    <w:p w:rsidR="00E80C53" w:rsidRPr="00030229" w:rsidRDefault="00E80C53" w:rsidP="00E80C53">
      <w:pPr>
        <w:spacing w:after="60" w:line="260" w:lineRule="exact"/>
        <w:ind w:firstLine="0"/>
        <w:rPr>
          <w:rFonts w:ascii="Arial" w:hAnsi="Arial"/>
          <w:sz w:val="16"/>
          <w:szCs w:val="19"/>
        </w:rPr>
      </w:pPr>
      <w:bookmarkStart w:id="8" w:name="Address2"/>
      <w:bookmarkEnd w:id="8"/>
      <w:r w:rsidRPr="00030229">
        <w:rPr>
          <w:rFonts w:ascii="Arial" w:hAnsi="Arial"/>
          <w:sz w:val="16"/>
          <w:szCs w:val="19"/>
        </w:rPr>
        <w:t>P.O. Box 2393</w:t>
      </w:r>
      <w:r w:rsidRPr="00030229">
        <w:rPr>
          <w:rFonts w:ascii="Arial" w:hAnsi="Arial"/>
          <w:sz w:val="16"/>
          <w:szCs w:val="19"/>
        </w:rPr>
        <w:br/>
        <w:t>Princeton, NJ 08543-2393</w:t>
      </w:r>
      <w:r w:rsidRPr="00030229">
        <w:rPr>
          <w:rFonts w:ascii="Arial" w:hAnsi="Arial"/>
          <w:sz w:val="16"/>
          <w:szCs w:val="19"/>
        </w:rPr>
        <w:br/>
        <w:t>Telephone: (609) 799-3535</w:t>
      </w:r>
      <w:r w:rsidRPr="00030229">
        <w:rPr>
          <w:rFonts w:ascii="Arial" w:hAnsi="Arial"/>
          <w:sz w:val="16"/>
          <w:szCs w:val="19"/>
        </w:rPr>
        <w:br/>
        <w:t>Facsimile: (609) 799-0005</w:t>
      </w:r>
    </w:p>
    <w:p w:rsidR="00E80C53" w:rsidRPr="00030229" w:rsidRDefault="00E80C53" w:rsidP="00E80C53">
      <w:pPr>
        <w:pBdr>
          <w:bottom w:val="single" w:sz="2" w:space="6" w:color="auto"/>
        </w:pBdr>
        <w:spacing w:after="100" w:line="260" w:lineRule="exact"/>
        <w:ind w:firstLine="0"/>
        <w:rPr>
          <w:rFonts w:ascii="Arial" w:hAnsi="Arial"/>
          <w:sz w:val="16"/>
          <w:szCs w:val="19"/>
        </w:rPr>
      </w:pPr>
      <w:r w:rsidRPr="00030229">
        <w:rPr>
          <w:rFonts w:ascii="Arial" w:hAnsi="Arial"/>
          <w:sz w:val="16"/>
          <w:szCs w:val="19"/>
        </w:rPr>
        <w:t xml:space="preserve">Project Director: </w:t>
      </w:r>
      <w:bookmarkStart w:id="9" w:name="ProjDir"/>
      <w:bookmarkEnd w:id="9"/>
      <w:r>
        <w:rPr>
          <w:rFonts w:ascii="Arial" w:hAnsi="Arial"/>
          <w:sz w:val="16"/>
          <w:szCs w:val="19"/>
        </w:rPr>
        <w:t>Amy Johnson</w:t>
      </w:r>
      <w:r w:rsidRPr="00030229">
        <w:rPr>
          <w:rFonts w:ascii="Arial" w:hAnsi="Arial"/>
          <w:sz w:val="16"/>
          <w:szCs w:val="19"/>
        </w:rPr>
        <w:br/>
        <w:t xml:space="preserve">Reference Number: </w:t>
      </w:r>
      <w:bookmarkStart w:id="10" w:name="MPRRef"/>
      <w:bookmarkEnd w:id="10"/>
      <w:r>
        <w:rPr>
          <w:rFonts w:ascii="Arial" w:hAnsi="Arial"/>
          <w:sz w:val="16"/>
          <w:szCs w:val="19"/>
        </w:rPr>
        <w:t>50538</w:t>
      </w:r>
    </w:p>
    <w:p w:rsidR="00E80C53" w:rsidRPr="00030229" w:rsidRDefault="00E80C53" w:rsidP="00E80C53">
      <w:pPr>
        <w:spacing w:after="100" w:line="260" w:lineRule="exact"/>
        <w:ind w:firstLine="0"/>
        <w:rPr>
          <w:rFonts w:ascii="Arial" w:hAnsi="Arial"/>
          <w:sz w:val="16"/>
          <w:szCs w:val="19"/>
        </w:rPr>
        <w:sectPr w:rsidR="00E80C53" w:rsidRPr="00030229">
          <w:footerReference w:type="default" r:id="rId14"/>
          <w:pgSz w:w="12240" w:h="15840"/>
          <w:pgMar w:top="1008" w:right="965" w:bottom="1195" w:left="3629" w:header="864" w:footer="576" w:gutter="0"/>
          <w:cols w:space="720"/>
          <w:docGrid w:linePitch="326"/>
        </w:sectPr>
      </w:pPr>
    </w:p>
    <w:p w:rsidR="00E80C53" w:rsidRDefault="00E80C53" w:rsidP="00E80C53">
      <w:pPr>
        <w:pStyle w:val="H2Chapter"/>
      </w:pPr>
      <w:bookmarkStart w:id="11" w:name="_Toc508874203"/>
      <w:bookmarkStart w:id="12" w:name="_Toc2194214"/>
      <w:r>
        <w:lastRenderedPageBreak/>
        <w:t>CONTENTS</w:t>
      </w:r>
      <w:bookmarkEnd w:id="11"/>
      <w:bookmarkEnd w:id="12"/>
    </w:p>
    <w:p w:rsidR="00FB7273" w:rsidRDefault="00E80C53">
      <w:pPr>
        <w:pStyle w:val="TOC1"/>
        <w:rPr>
          <w:rFonts w:asciiTheme="minorHAnsi" w:eastAsiaTheme="minorEastAsia" w:hAnsiTheme="minorHAnsi" w:cstheme="minorBidi"/>
          <w:caps w:val="0"/>
          <w:noProof/>
          <w:sz w:val="22"/>
          <w:szCs w:val="22"/>
        </w:rPr>
      </w:pPr>
      <w:r>
        <w:fldChar w:fldCharType="begin"/>
      </w:r>
      <w:r>
        <w:instrText xml:space="preserve"> TOC \o "2-4" \z \t "H2_Chapter,1,H3_Alpha,2,H4_Number,3,Mark for Attachment Title,8,Mark for Appendix Title,8" </w:instrText>
      </w:r>
      <w:r>
        <w:fldChar w:fldCharType="separate"/>
      </w:r>
      <w:r w:rsidR="00FB7273">
        <w:rPr>
          <w:noProof/>
        </w:rPr>
        <w:t>CONTENTS</w:t>
      </w:r>
      <w:r w:rsidR="00FB7273">
        <w:rPr>
          <w:noProof/>
          <w:webHidden/>
        </w:rPr>
        <w:tab/>
      </w:r>
      <w:r w:rsidR="00FB7273">
        <w:rPr>
          <w:noProof/>
          <w:webHidden/>
        </w:rPr>
        <w:fldChar w:fldCharType="begin"/>
      </w:r>
      <w:r w:rsidR="00FB7273">
        <w:rPr>
          <w:noProof/>
          <w:webHidden/>
        </w:rPr>
        <w:instrText xml:space="preserve"> PAGEREF _Toc2194214 \h </w:instrText>
      </w:r>
      <w:r w:rsidR="00FB7273">
        <w:rPr>
          <w:noProof/>
          <w:webHidden/>
        </w:rPr>
      </w:r>
      <w:r w:rsidR="00FB7273">
        <w:rPr>
          <w:noProof/>
          <w:webHidden/>
        </w:rPr>
        <w:fldChar w:fldCharType="separate"/>
      </w:r>
      <w:r w:rsidR="00963DB1">
        <w:rPr>
          <w:noProof/>
          <w:webHidden/>
        </w:rPr>
        <w:t>ii</w:t>
      </w:r>
      <w:r w:rsidR="00FB7273">
        <w:rPr>
          <w:noProof/>
          <w:webHidden/>
        </w:rPr>
        <w:fldChar w:fldCharType="end"/>
      </w:r>
    </w:p>
    <w:p w:rsidR="00FB7273" w:rsidRDefault="00FB7273">
      <w:pPr>
        <w:pStyle w:val="TOC1"/>
        <w:rPr>
          <w:rFonts w:asciiTheme="minorHAnsi" w:eastAsiaTheme="minorEastAsia" w:hAnsiTheme="minorHAnsi" w:cstheme="minorBidi"/>
          <w:caps w:val="0"/>
          <w:noProof/>
          <w:sz w:val="22"/>
          <w:szCs w:val="22"/>
        </w:rPr>
      </w:pPr>
      <w:r w:rsidRPr="00736717">
        <w:rPr>
          <w:caps w:val="0"/>
          <w:noProof/>
        </w:rPr>
        <w:t>PART A. SUPPORTING STATEMENT FOR PAPERWORK REDUCTION ACT SUBMISSION</w:t>
      </w:r>
      <w:r>
        <w:rPr>
          <w:noProof/>
          <w:webHidden/>
        </w:rPr>
        <w:tab/>
      </w:r>
      <w:r>
        <w:rPr>
          <w:noProof/>
          <w:webHidden/>
        </w:rPr>
        <w:fldChar w:fldCharType="begin"/>
      </w:r>
      <w:r>
        <w:rPr>
          <w:noProof/>
          <w:webHidden/>
        </w:rPr>
        <w:instrText xml:space="preserve"> PAGEREF _Toc2194215 \h </w:instrText>
      </w:r>
      <w:r>
        <w:rPr>
          <w:noProof/>
          <w:webHidden/>
        </w:rPr>
      </w:r>
      <w:r>
        <w:rPr>
          <w:noProof/>
          <w:webHidden/>
        </w:rPr>
        <w:fldChar w:fldCharType="separate"/>
      </w:r>
      <w:r w:rsidR="00963DB1">
        <w:rPr>
          <w:noProof/>
          <w:webHidden/>
        </w:rPr>
        <w:t>1</w:t>
      </w:r>
      <w:r>
        <w:rPr>
          <w:noProof/>
          <w:webHidden/>
        </w:rPr>
        <w:fldChar w:fldCharType="end"/>
      </w:r>
    </w:p>
    <w:p w:rsidR="00FB7273" w:rsidRDefault="00FB7273">
      <w:pPr>
        <w:pStyle w:val="TOC2"/>
        <w:rPr>
          <w:rFonts w:asciiTheme="minorHAnsi" w:eastAsiaTheme="minorEastAsia" w:hAnsiTheme="minorHAnsi" w:cstheme="minorBidi"/>
          <w:sz w:val="22"/>
          <w:szCs w:val="22"/>
        </w:rPr>
      </w:pPr>
      <w:r>
        <w:t>Justification</w:t>
      </w:r>
      <w:r>
        <w:rPr>
          <w:webHidden/>
        </w:rPr>
        <w:tab/>
      </w:r>
      <w:r w:rsidR="009F5484">
        <w:rPr>
          <w:webHidden/>
        </w:rPr>
        <w:t>1</w:t>
      </w:r>
    </w:p>
    <w:p w:rsidR="00FB7273" w:rsidRDefault="00FB7273">
      <w:pPr>
        <w:pStyle w:val="TOC3"/>
        <w:rPr>
          <w:rFonts w:asciiTheme="minorHAnsi" w:eastAsiaTheme="minorEastAsia" w:hAnsiTheme="minorHAnsi" w:cstheme="minorBidi"/>
          <w:sz w:val="22"/>
          <w:szCs w:val="22"/>
        </w:rPr>
      </w:pPr>
      <w:r>
        <w:t>A1. Circumstances necessitating the collection of information</w:t>
      </w:r>
      <w:r>
        <w:rPr>
          <w:webHidden/>
        </w:rPr>
        <w:tab/>
      </w:r>
      <w:r w:rsidR="009F5484">
        <w:rPr>
          <w:webHidden/>
        </w:rPr>
        <w:t>1</w:t>
      </w:r>
    </w:p>
    <w:p w:rsidR="00FB7273" w:rsidRDefault="00FB7273">
      <w:pPr>
        <w:pStyle w:val="TOC3"/>
        <w:rPr>
          <w:rFonts w:asciiTheme="minorHAnsi" w:eastAsiaTheme="minorEastAsia" w:hAnsiTheme="minorHAnsi" w:cstheme="minorBidi"/>
          <w:sz w:val="22"/>
          <w:szCs w:val="22"/>
        </w:rPr>
      </w:pPr>
      <w:r>
        <w:t>A2. Purpose and use of data</w:t>
      </w:r>
      <w:r>
        <w:rPr>
          <w:webHidden/>
        </w:rPr>
        <w:tab/>
      </w:r>
      <w:r w:rsidR="009F5484">
        <w:rPr>
          <w:webHidden/>
        </w:rPr>
        <w:t>2</w:t>
      </w:r>
    </w:p>
    <w:p w:rsidR="00FB7273" w:rsidRDefault="00FB7273">
      <w:pPr>
        <w:pStyle w:val="TOC3"/>
        <w:rPr>
          <w:rFonts w:asciiTheme="minorHAnsi" w:eastAsiaTheme="minorEastAsia" w:hAnsiTheme="minorHAnsi" w:cstheme="minorBidi"/>
          <w:sz w:val="22"/>
          <w:szCs w:val="22"/>
        </w:rPr>
      </w:pPr>
      <w:r>
        <w:t>A3. Use of technology to reduce burden</w:t>
      </w:r>
      <w:r>
        <w:rPr>
          <w:webHidden/>
        </w:rPr>
        <w:tab/>
      </w:r>
      <w:r w:rsidR="009F5484">
        <w:rPr>
          <w:webHidden/>
        </w:rPr>
        <w:t>5</w:t>
      </w:r>
    </w:p>
    <w:p w:rsidR="00FB7273" w:rsidRDefault="00FB7273">
      <w:pPr>
        <w:pStyle w:val="TOC3"/>
        <w:rPr>
          <w:rFonts w:asciiTheme="minorHAnsi" w:eastAsiaTheme="minorEastAsia" w:hAnsiTheme="minorHAnsi" w:cstheme="minorBidi"/>
          <w:sz w:val="22"/>
          <w:szCs w:val="22"/>
        </w:rPr>
      </w:pPr>
      <w:r>
        <w:t>A4. Efforts to avoid duplication of effort</w:t>
      </w:r>
      <w:r>
        <w:rPr>
          <w:webHidden/>
        </w:rPr>
        <w:tab/>
      </w:r>
      <w:r w:rsidR="009F5484">
        <w:rPr>
          <w:webHidden/>
        </w:rPr>
        <w:t>5</w:t>
      </w:r>
    </w:p>
    <w:p w:rsidR="00FB7273" w:rsidRDefault="00FB7273">
      <w:pPr>
        <w:pStyle w:val="TOC3"/>
        <w:rPr>
          <w:rFonts w:asciiTheme="minorHAnsi" w:eastAsiaTheme="minorEastAsia" w:hAnsiTheme="minorHAnsi" w:cstheme="minorBidi"/>
          <w:sz w:val="22"/>
          <w:szCs w:val="22"/>
        </w:rPr>
      </w:pPr>
      <w:r>
        <w:t>A5. Methods of minimizing burden on small entities</w:t>
      </w:r>
      <w:r>
        <w:rPr>
          <w:webHidden/>
        </w:rPr>
        <w:tab/>
      </w:r>
      <w:r w:rsidR="009F5484">
        <w:rPr>
          <w:webHidden/>
        </w:rPr>
        <w:t>5</w:t>
      </w:r>
    </w:p>
    <w:p w:rsidR="00FB7273" w:rsidRDefault="00FB7273">
      <w:pPr>
        <w:pStyle w:val="TOC3"/>
        <w:rPr>
          <w:rFonts w:asciiTheme="minorHAnsi" w:eastAsiaTheme="minorEastAsia" w:hAnsiTheme="minorHAnsi" w:cstheme="minorBidi"/>
          <w:sz w:val="22"/>
          <w:szCs w:val="22"/>
        </w:rPr>
      </w:pPr>
      <w:r>
        <w:t>A6. Consequences of not collecting data</w:t>
      </w:r>
      <w:r>
        <w:rPr>
          <w:webHidden/>
        </w:rPr>
        <w:tab/>
      </w:r>
      <w:r w:rsidR="009F5484">
        <w:rPr>
          <w:webHidden/>
        </w:rPr>
        <w:t>6</w:t>
      </w:r>
    </w:p>
    <w:p w:rsidR="00FB7273" w:rsidRDefault="00FB7273">
      <w:pPr>
        <w:pStyle w:val="TOC3"/>
        <w:rPr>
          <w:rFonts w:asciiTheme="minorHAnsi" w:eastAsiaTheme="minorEastAsia" w:hAnsiTheme="minorHAnsi" w:cstheme="minorBidi"/>
          <w:sz w:val="22"/>
          <w:szCs w:val="22"/>
        </w:rPr>
      </w:pPr>
      <w:r>
        <w:t>A7. Special circumstances</w:t>
      </w:r>
      <w:r>
        <w:rPr>
          <w:webHidden/>
        </w:rPr>
        <w:tab/>
      </w:r>
      <w:r w:rsidR="009F5484">
        <w:rPr>
          <w:webHidden/>
        </w:rPr>
        <w:t>6</w:t>
      </w:r>
    </w:p>
    <w:p w:rsidR="00FB7273" w:rsidRDefault="00FB7273">
      <w:pPr>
        <w:pStyle w:val="TOC3"/>
        <w:rPr>
          <w:rFonts w:asciiTheme="minorHAnsi" w:eastAsiaTheme="minorEastAsia" w:hAnsiTheme="minorHAnsi" w:cstheme="minorBidi"/>
          <w:sz w:val="22"/>
          <w:szCs w:val="22"/>
        </w:rPr>
      </w:pPr>
      <w:r>
        <w:t>A8. Federal register announcement and consultation</w:t>
      </w:r>
      <w:r>
        <w:rPr>
          <w:webHidden/>
        </w:rPr>
        <w:tab/>
      </w:r>
      <w:r w:rsidR="009F5484">
        <w:rPr>
          <w:webHidden/>
        </w:rPr>
        <w:t>6</w:t>
      </w:r>
    </w:p>
    <w:p w:rsidR="00FB7273" w:rsidRDefault="00FB7273">
      <w:pPr>
        <w:pStyle w:val="TOC3"/>
        <w:rPr>
          <w:rFonts w:asciiTheme="minorHAnsi" w:eastAsiaTheme="minorEastAsia" w:hAnsiTheme="minorHAnsi" w:cstheme="minorBidi"/>
          <w:sz w:val="22"/>
          <w:szCs w:val="22"/>
        </w:rPr>
      </w:pPr>
      <w:r>
        <w:t>A9. Payments or gifts</w:t>
      </w:r>
      <w:r>
        <w:rPr>
          <w:webHidden/>
        </w:rPr>
        <w:tab/>
      </w:r>
      <w:r w:rsidR="009F5484">
        <w:rPr>
          <w:webHidden/>
        </w:rPr>
        <w:t>7</w:t>
      </w:r>
    </w:p>
    <w:p w:rsidR="00FB7273" w:rsidRDefault="00FB7273">
      <w:pPr>
        <w:pStyle w:val="TOC3"/>
        <w:rPr>
          <w:rFonts w:asciiTheme="minorHAnsi" w:eastAsiaTheme="minorEastAsia" w:hAnsiTheme="minorHAnsi" w:cstheme="minorBidi"/>
          <w:sz w:val="22"/>
          <w:szCs w:val="22"/>
        </w:rPr>
      </w:pPr>
      <w:r>
        <w:t>A10. Assurances of confidentiality</w:t>
      </w:r>
      <w:r>
        <w:rPr>
          <w:webHidden/>
        </w:rPr>
        <w:tab/>
      </w:r>
      <w:r w:rsidR="009F5484">
        <w:rPr>
          <w:webHidden/>
        </w:rPr>
        <w:t>7</w:t>
      </w:r>
    </w:p>
    <w:p w:rsidR="00FB7273" w:rsidRDefault="00FB7273">
      <w:pPr>
        <w:pStyle w:val="TOC3"/>
        <w:rPr>
          <w:rFonts w:asciiTheme="minorHAnsi" w:eastAsiaTheme="minorEastAsia" w:hAnsiTheme="minorHAnsi" w:cstheme="minorBidi"/>
          <w:sz w:val="22"/>
          <w:szCs w:val="22"/>
        </w:rPr>
      </w:pPr>
      <w:r w:rsidRPr="00736717">
        <w:rPr>
          <w:rFonts w:eastAsia="Calibri"/>
        </w:rPr>
        <w:t>A11. Justification for sensitive questions</w:t>
      </w:r>
      <w:r>
        <w:rPr>
          <w:webHidden/>
        </w:rPr>
        <w:tab/>
      </w:r>
      <w:r w:rsidR="009F5484">
        <w:rPr>
          <w:webHidden/>
        </w:rPr>
        <w:t>9</w:t>
      </w:r>
    </w:p>
    <w:p w:rsidR="00FB7273" w:rsidRDefault="00FB7273">
      <w:pPr>
        <w:pStyle w:val="TOC3"/>
        <w:rPr>
          <w:rFonts w:asciiTheme="minorHAnsi" w:eastAsiaTheme="minorEastAsia" w:hAnsiTheme="minorHAnsi" w:cstheme="minorBidi"/>
          <w:sz w:val="22"/>
          <w:szCs w:val="22"/>
        </w:rPr>
      </w:pPr>
      <w:r>
        <w:t>A12. Estimates of hours burden</w:t>
      </w:r>
      <w:r>
        <w:rPr>
          <w:webHidden/>
        </w:rPr>
        <w:tab/>
      </w:r>
      <w:r w:rsidR="009F5484">
        <w:rPr>
          <w:webHidden/>
        </w:rPr>
        <w:t>9</w:t>
      </w:r>
    </w:p>
    <w:p w:rsidR="00FB7273" w:rsidRDefault="00FB7273">
      <w:pPr>
        <w:pStyle w:val="TOC3"/>
        <w:rPr>
          <w:rFonts w:asciiTheme="minorHAnsi" w:eastAsiaTheme="minorEastAsia" w:hAnsiTheme="minorHAnsi" w:cstheme="minorBidi"/>
          <w:sz w:val="22"/>
          <w:szCs w:val="22"/>
        </w:rPr>
      </w:pPr>
      <w:r>
        <w:t>A13. Estimate of cost burden to respondents</w:t>
      </w:r>
      <w:r>
        <w:rPr>
          <w:webHidden/>
        </w:rPr>
        <w:tab/>
      </w:r>
      <w:r w:rsidR="009F5484">
        <w:rPr>
          <w:webHidden/>
        </w:rPr>
        <w:t>10</w:t>
      </w:r>
    </w:p>
    <w:p w:rsidR="00FB7273" w:rsidRDefault="00FB7273">
      <w:pPr>
        <w:pStyle w:val="TOC3"/>
        <w:rPr>
          <w:rFonts w:asciiTheme="minorHAnsi" w:eastAsiaTheme="minorEastAsia" w:hAnsiTheme="minorHAnsi" w:cstheme="minorBidi"/>
          <w:sz w:val="22"/>
          <w:szCs w:val="22"/>
        </w:rPr>
      </w:pPr>
      <w:r>
        <w:t>A14. Annualized cost to the federal government</w:t>
      </w:r>
      <w:r>
        <w:rPr>
          <w:webHidden/>
        </w:rPr>
        <w:tab/>
      </w:r>
      <w:r w:rsidR="009F5484">
        <w:rPr>
          <w:webHidden/>
        </w:rPr>
        <w:t>10</w:t>
      </w:r>
    </w:p>
    <w:p w:rsidR="00FB7273" w:rsidRDefault="00FB7273">
      <w:pPr>
        <w:pStyle w:val="TOC3"/>
        <w:rPr>
          <w:rFonts w:asciiTheme="minorHAnsi" w:eastAsiaTheme="minorEastAsia" w:hAnsiTheme="minorHAnsi" w:cstheme="minorBidi"/>
          <w:sz w:val="22"/>
          <w:szCs w:val="22"/>
        </w:rPr>
      </w:pPr>
      <w:r>
        <w:t>A15. Reasons for program changes or adjustments</w:t>
      </w:r>
      <w:r>
        <w:rPr>
          <w:webHidden/>
        </w:rPr>
        <w:tab/>
      </w:r>
      <w:r w:rsidR="009F5484">
        <w:rPr>
          <w:webHidden/>
        </w:rPr>
        <w:t>10</w:t>
      </w:r>
    </w:p>
    <w:p w:rsidR="00FB7273" w:rsidRDefault="00FB7273">
      <w:pPr>
        <w:pStyle w:val="TOC3"/>
        <w:rPr>
          <w:rFonts w:asciiTheme="minorHAnsi" w:eastAsiaTheme="minorEastAsia" w:hAnsiTheme="minorHAnsi" w:cstheme="minorBidi"/>
          <w:sz w:val="22"/>
          <w:szCs w:val="22"/>
        </w:rPr>
      </w:pPr>
      <w:r>
        <w:t>A16. Plans for tabulation and publication of results</w:t>
      </w:r>
      <w:r>
        <w:rPr>
          <w:webHidden/>
        </w:rPr>
        <w:tab/>
      </w:r>
      <w:r w:rsidR="009F5484">
        <w:rPr>
          <w:webHidden/>
        </w:rPr>
        <w:t>10</w:t>
      </w:r>
    </w:p>
    <w:p w:rsidR="00FB7273" w:rsidRDefault="00FB7273">
      <w:pPr>
        <w:pStyle w:val="TOC3"/>
        <w:rPr>
          <w:rFonts w:asciiTheme="minorHAnsi" w:eastAsiaTheme="minorEastAsia" w:hAnsiTheme="minorHAnsi" w:cstheme="minorBidi"/>
          <w:sz w:val="22"/>
          <w:szCs w:val="22"/>
        </w:rPr>
      </w:pPr>
      <w:r>
        <w:t>A17. Approval not to display the expiration date for OMB approval</w:t>
      </w:r>
      <w:r>
        <w:rPr>
          <w:webHidden/>
        </w:rPr>
        <w:tab/>
      </w:r>
      <w:r w:rsidR="009F5484">
        <w:rPr>
          <w:webHidden/>
        </w:rPr>
        <w:t>11</w:t>
      </w:r>
    </w:p>
    <w:p w:rsidR="00FB7273" w:rsidRDefault="00FB7273">
      <w:pPr>
        <w:pStyle w:val="TOC3"/>
        <w:rPr>
          <w:rFonts w:asciiTheme="minorHAnsi" w:eastAsiaTheme="minorEastAsia" w:hAnsiTheme="minorHAnsi" w:cstheme="minorBidi"/>
          <w:sz w:val="22"/>
          <w:szCs w:val="22"/>
        </w:rPr>
      </w:pPr>
      <w:r>
        <w:t>A18. Exception to the certification statement</w:t>
      </w:r>
      <w:r>
        <w:rPr>
          <w:webHidden/>
        </w:rPr>
        <w:tab/>
      </w:r>
      <w:r w:rsidR="009F5484">
        <w:rPr>
          <w:webHidden/>
        </w:rPr>
        <w:t>11</w:t>
      </w:r>
    </w:p>
    <w:p w:rsidR="00E80C53" w:rsidRDefault="00E80C53" w:rsidP="00E80C53">
      <w:r>
        <w:fldChar w:fldCharType="end"/>
      </w:r>
    </w:p>
    <w:p w:rsidR="00E80C53" w:rsidRDefault="00E80C53" w:rsidP="00E80C53">
      <w:pPr>
        <w:spacing w:after="240" w:line="240" w:lineRule="auto"/>
        <w:ind w:firstLine="0"/>
        <w:rPr>
          <w:rFonts w:ascii="Arial" w:hAnsi="Arial" w:cs="Arial"/>
          <w:caps/>
          <w:sz w:val="20"/>
        </w:rPr>
        <w:sectPr w:rsidR="00E80C53" w:rsidSect="00927400">
          <w:headerReference w:type="default" r:id="rId15"/>
          <w:footerReference w:type="default" r:id="rId16"/>
          <w:pgSz w:w="12240" w:h="15840"/>
          <w:pgMar w:top="1440" w:right="1440" w:bottom="1440" w:left="1440" w:header="720" w:footer="720" w:gutter="0"/>
          <w:pgNumType w:fmt="lowerRoman"/>
          <w:cols w:space="720"/>
          <w:docGrid w:linePitch="360"/>
        </w:sectPr>
      </w:pPr>
    </w:p>
    <w:p w:rsidR="00E80C53" w:rsidRDefault="00E80C53" w:rsidP="00E80C53">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lastRenderedPageBreak/>
        <w:t>TABLES</w:t>
      </w:r>
    </w:p>
    <w:p w:rsidR="00E80C53" w:rsidRDefault="00E80C53" w:rsidP="00E80C53">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Pr>
          <w:noProof/>
        </w:rPr>
        <w:t>A.1</w:t>
      </w:r>
      <w:r>
        <w:rPr>
          <w:noProof/>
        </w:rPr>
        <w:tab/>
        <w:t>Data collection</w:t>
      </w:r>
      <w:r>
        <w:rPr>
          <w:noProof/>
          <w:webHidden/>
        </w:rPr>
        <w:tab/>
      </w:r>
      <w:r w:rsidR="009F5484">
        <w:rPr>
          <w:noProof/>
          <w:webHidden/>
        </w:rPr>
        <w:t>3</w:t>
      </w:r>
    </w:p>
    <w:p w:rsidR="00E80C53" w:rsidRDefault="00E80C53" w:rsidP="00E80C53">
      <w:pPr>
        <w:pStyle w:val="TableofFigures"/>
        <w:rPr>
          <w:rFonts w:asciiTheme="minorHAnsi" w:eastAsiaTheme="minorEastAsia" w:hAnsiTheme="minorHAnsi" w:cstheme="minorBidi"/>
          <w:noProof/>
          <w:sz w:val="22"/>
          <w:szCs w:val="22"/>
        </w:rPr>
      </w:pPr>
      <w:r>
        <w:rPr>
          <w:noProof/>
        </w:rPr>
        <w:t>A.2</w:t>
      </w:r>
      <w:r>
        <w:rPr>
          <w:noProof/>
        </w:rPr>
        <w:tab/>
        <w:t>Schedule of major study activities</w:t>
      </w:r>
      <w:r>
        <w:rPr>
          <w:noProof/>
          <w:webHidden/>
        </w:rPr>
        <w:tab/>
      </w:r>
      <w:r w:rsidR="009F5484">
        <w:rPr>
          <w:noProof/>
          <w:webHidden/>
        </w:rPr>
        <w:t>5</w:t>
      </w:r>
    </w:p>
    <w:p w:rsidR="00E80C53" w:rsidRDefault="00E80C53" w:rsidP="00E80C53">
      <w:pPr>
        <w:pStyle w:val="TableofFigures"/>
        <w:rPr>
          <w:rFonts w:asciiTheme="minorHAnsi" w:eastAsiaTheme="minorEastAsia" w:hAnsiTheme="minorHAnsi" w:cstheme="minorBidi"/>
          <w:noProof/>
          <w:sz w:val="22"/>
          <w:szCs w:val="22"/>
        </w:rPr>
      </w:pPr>
      <w:r>
        <w:rPr>
          <w:noProof/>
        </w:rPr>
        <w:t>A.3</w:t>
      </w:r>
      <w:r>
        <w:rPr>
          <w:noProof/>
        </w:rPr>
        <w:tab/>
        <w:t>Estimated response time for data collection</w:t>
      </w:r>
      <w:r>
        <w:rPr>
          <w:noProof/>
          <w:webHidden/>
        </w:rPr>
        <w:tab/>
      </w:r>
      <w:r w:rsidR="009F5484">
        <w:rPr>
          <w:noProof/>
          <w:webHidden/>
        </w:rPr>
        <w:t>9</w:t>
      </w:r>
    </w:p>
    <w:p w:rsidR="00E80C53" w:rsidRPr="00DE42CD" w:rsidRDefault="00E80C53" w:rsidP="00E80C53">
      <w:pPr>
        <w:spacing w:before="240" w:after="240" w:line="240" w:lineRule="auto"/>
        <w:ind w:firstLine="0"/>
        <w:jc w:val="both"/>
        <w:rPr>
          <w:rFonts w:ascii="Arial" w:hAnsi="Arial" w:cs="Arial"/>
          <w:sz w:val="20"/>
        </w:rPr>
      </w:pPr>
      <w:r>
        <w:rPr>
          <w:rFonts w:ascii="Arial" w:hAnsi="Arial" w:cs="Arial"/>
          <w:sz w:val="20"/>
        </w:rPr>
        <w:fldChar w:fldCharType="end"/>
      </w:r>
    </w:p>
    <w:p w:rsidR="00E80C53" w:rsidRDefault="00E80C53" w:rsidP="00E80C53"/>
    <w:p w:rsidR="00E80C53" w:rsidRPr="00DE42CD" w:rsidRDefault="00E80C53" w:rsidP="00E80C53">
      <w:pPr>
        <w:sectPr w:rsidR="00E80C53" w:rsidRPr="00DE42CD" w:rsidSect="00927400">
          <w:headerReference w:type="default" r:id="rId17"/>
          <w:footerReference w:type="default" r:id="rId18"/>
          <w:pgSz w:w="12240" w:h="15840"/>
          <w:pgMar w:top="1440" w:right="1440" w:bottom="1440" w:left="1440" w:header="720" w:footer="720" w:gutter="0"/>
          <w:pgNumType w:fmt="lowerRoman"/>
          <w:cols w:space="720"/>
          <w:docGrid w:linePitch="360"/>
        </w:sectPr>
      </w:pPr>
    </w:p>
    <w:p w:rsidR="00E80C53" w:rsidRDefault="00E80C53" w:rsidP="00E80C53">
      <w:pPr>
        <w:pStyle w:val="H2Chapter"/>
        <w:ind w:left="0" w:firstLine="0"/>
      </w:pPr>
      <w:bookmarkStart w:id="13" w:name="_Toc256361784"/>
      <w:bookmarkStart w:id="14" w:name="_Toc277342329"/>
      <w:bookmarkStart w:id="15" w:name="_Toc2194215"/>
      <w:r>
        <w:rPr>
          <w:caps w:val="0"/>
        </w:rPr>
        <w:t>PART A</w:t>
      </w:r>
      <w:r w:rsidRPr="00230360">
        <w:rPr>
          <w:caps w:val="0"/>
        </w:rPr>
        <w:t>. SUPP</w:t>
      </w:r>
      <w:r>
        <w:rPr>
          <w:caps w:val="0"/>
        </w:rPr>
        <w:t>ORTING STATEMENT FOR PAPERWORK R</w:t>
      </w:r>
      <w:r w:rsidRPr="00230360">
        <w:rPr>
          <w:caps w:val="0"/>
        </w:rPr>
        <w:t>EDUCTION ACT SUBMISSION</w:t>
      </w:r>
      <w:bookmarkEnd w:id="13"/>
      <w:bookmarkEnd w:id="14"/>
      <w:bookmarkEnd w:id="15"/>
    </w:p>
    <w:p w:rsidR="00E80C53" w:rsidRDefault="00E80C53" w:rsidP="00E80C53">
      <w:pPr>
        <w:pStyle w:val="NormalSS"/>
      </w:pPr>
      <w:r w:rsidRPr="00AD70C9">
        <w:t xml:space="preserve">This </w:t>
      </w:r>
      <w:r>
        <w:t xml:space="preserve">Office of </w:t>
      </w:r>
      <w:r w:rsidRPr="00510828">
        <w:t xml:space="preserve">Management and Budget (OMB) package requests clearance for data collection activities to support </w:t>
      </w:r>
      <w:r w:rsidR="0006140A" w:rsidRPr="00510828">
        <w:t xml:space="preserve">the </w:t>
      </w:r>
      <w:r w:rsidRPr="00510828">
        <w:rPr>
          <w:lang w:val="en"/>
        </w:rPr>
        <w:t>Individuals with Disabilities Education Act (</w:t>
      </w:r>
      <w:r w:rsidRPr="00510828">
        <w:t xml:space="preserve">IDEA) </w:t>
      </w:r>
      <w:r w:rsidR="00FF77BC" w:rsidRPr="00510828">
        <w:t>State and Local Implementation Study 2019</w:t>
      </w:r>
      <w:r w:rsidRPr="00510828">
        <w:t xml:space="preserve">. </w:t>
      </w:r>
      <w:r w:rsidR="009B77D2" w:rsidRPr="00DD5A32">
        <w:rPr>
          <w:szCs w:val="24"/>
        </w:rPr>
        <w:t xml:space="preserve">The study is one </w:t>
      </w:r>
      <w:r w:rsidR="009B77D2">
        <w:rPr>
          <w:szCs w:val="24"/>
        </w:rPr>
        <w:t xml:space="preserve">component </w:t>
      </w:r>
      <w:r w:rsidR="009B77D2" w:rsidRPr="00DD5A32">
        <w:rPr>
          <w:szCs w:val="24"/>
        </w:rPr>
        <w:t xml:space="preserve">of </w:t>
      </w:r>
      <w:r w:rsidR="009B77D2">
        <w:rPr>
          <w:szCs w:val="24"/>
        </w:rPr>
        <w:t xml:space="preserve">a congressionally-mandated </w:t>
      </w:r>
      <w:r w:rsidR="009B77D2" w:rsidRPr="00DD5A32">
        <w:rPr>
          <w:szCs w:val="24"/>
        </w:rPr>
        <w:t>National Assessment of IDEA</w:t>
      </w:r>
      <w:r w:rsidR="009B77D2">
        <w:rPr>
          <w:szCs w:val="24"/>
        </w:rPr>
        <w:t xml:space="preserve"> </w:t>
      </w:r>
      <w:r w:rsidR="009B77D2">
        <w:t>that t</w:t>
      </w:r>
      <w:r w:rsidRPr="00510828">
        <w:t xml:space="preserve">he Institute of Education Sciences (IES) within the U.S. Department of Education (ED) </w:t>
      </w:r>
      <w:r w:rsidR="009B77D2">
        <w:t xml:space="preserve">is conducting.  The study </w:t>
      </w:r>
      <w:r w:rsidR="009B77D2" w:rsidRPr="00DD5A32">
        <w:rPr>
          <w:szCs w:val="24"/>
        </w:rPr>
        <w:t>will develop a national picture of how states, districts, and schools are implementing IDEA</w:t>
      </w:r>
      <w:r w:rsidR="009B77D2">
        <w:rPr>
          <w:szCs w:val="24"/>
        </w:rPr>
        <w:t xml:space="preserve"> in order to </w:t>
      </w:r>
      <w:r w:rsidR="009B77D2" w:rsidRPr="00DD5A32">
        <w:rPr>
          <w:szCs w:val="24"/>
        </w:rPr>
        <w:t xml:space="preserve">provide ED, Congress, and other stakeholders with knowledge that can inform the next reauthorization of IDEA and, ultimately, how services </w:t>
      </w:r>
      <w:r w:rsidR="009B77D2">
        <w:rPr>
          <w:szCs w:val="24"/>
        </w:rPr>
        <w:t xml:space="preserve">are provided </w:t>
      </w:r>
      <w:r w:rsidR="009B77D2" w:rsidRPr="00DD5A32">
        <w:rPr>
          <w:szCs w:val="24"/>
        </w:rPr>
        <w:t>to children.</w:t>
      </w:r>
      <w:r w:rsidR="009B77D2">
        <w:rPr>
          <w:szCs w:val="24"/>
        </w:rPr>
        <w:t xml:space="preserve">  </w:t>
      </w:r>
      <w:r w:rsidR="009B77D2">
        <w:t xml:space="preserve">IES </w:t>
      </w:r>
      <w:r w:rsidRPr="00510828">
        <w:t xml:space="preserve">has contracted </w:t>
      </w:r>
      <w:r>
        <w:t xml:space="preserve">with </w:t>
      </w:r>
      <w:r w:rsidRPr="00AD70C9">
        <w:t xml:space="preserve">Mathematica Policy Research </w:t>
      </w:r>
      <w:r>
        <w:t>and its partners the National Center for Special Education in Charter Schools, Inc. and Walsh Taylor, Inc</w:t>
      </w:r>
      <w:r w:rsidR="00182863">
        <w:t>.</w:t>
      </w:r>
      <w:r>
        <w:t xml:space="preserve"> to conduct this study</w:t>
      </w:r>
      <w:r w:rsidRPr="00AD70C9">
        <w:t xml:space="preserve">. </w:t>
      </w:r>
    </w:p>
    <w:p w:rsidR="00E80C53" w:rsidRPr="00AD70C9" w:rsidRDefault="00E80C53" w:rsidP="00E80C53">
      <w:pPr>
        <w:pStyle w:val="H3Alpha"/>
      </w:pPr>
      <w:bookmarkStart w:id="16" w:name="_Toc2194216"/>
      <w:r>
        <w:t>Justification</w:t>
      </w:r>
      <w:bookmarkEnd w:id="16"/>
    </w:p>
    <w:p w:rsidR="00E80C53" w:rsidRPr="00AF13B2" w:rsidRDefault="00E80C53" w:rsidP="00E80C53">
      <w:pPr>
        <w:pStyle w:val="H4Number"/>
      </w:pPr>
      <w:bookmarkStart w:id="17" w:name="_Toc2194217"/>
      <w:r w:rsidRPr="00AF13B2">
        <w:t>A1.</w:t>
      </w:r>
      <w:r>
        <w:t xml:space="preserve"> </w:t>
      </w:r>
      <w:r w:rsidRPr="00AF13B2">
        <w:t>Circumstances necessitating the collection of information</w:t>
      </w:r>
      <w:bookmarkEnd w:id="17"/>
    </w:p>
    <w:p w:rsidR="00AF55EA" w:rsidRPr="008E0475" w:rsidRDefault="00AD375E" w:rsidP="00F17B77">
      <w:pPr>
        <w:pStyle w:val="H5Lower"/>
        <w:ind w:left="0" w:firstLine="432"/>
      </w:pPr>
      <w:r w:rsidRPr="00F17B77">
        <w:rPr>
          <w:b w:val="0"/>
        </w:rPr>
        <w:t>This</w:t>
      </w:r>
      <w:r w:rsidR="00416C45" w:rsidRPr="00E7583F">
        <w:rPr>
          <w:b w:val="0"/>
        </w:rPr>
        <w:t xml:space="preserve"> study </w:t>
      </w:r>
      <w:r w:rsidR="00A51214" w:rsidRPr="00E7583F">
        <w:rPr>
          <w:b w:val="0"/>
        </w:rPr>
        <w:t xml:space="preserve">of IDEA </w:t>
      </w:r>
      <w:r w:rsidR="00A51214" w:rsidRPr="005A380B">
        <w:rPr>
          <w:b w:val="0"/>
        </w:rPr>
        <w:t xml:space="preserve">is necessary </w:t>
      </w:r>
      <w:r w:rsidR="00AD43B9" w:rsidRPr="005A380B">
        <w:rPr>
          <w:b w:val="0"/>
        </w:rPr>
        <w:t xml:space="preserve">because </w:t>
      </w:r>
      <w:r w:rsidR="000A38CA" w:rsidRPr="0079618D">
        <w:rPr>
          <w:b w:val="0"/>
        </w:rPr>
        <w:t xml:space="preserve">a decade </w:t>
      </w:r>
      <w:r w:rsidR="002D79FD" w:rsidRPr="00F17B77">
        <w:rPr>
          <w:b w:val="0"/>
        </w:rPr>
        <w:t xml:space="preserve">has passed </w:t>
      </w:r>
      <w:r w:rsidR="000A38CA" w:rsidRPr="00F17B77">
        <w:rPr>
          <w:b w:val="0"/>
        </w:rPr>
        <w:t xml:space="preserve">since the previous </w:t>
      </w:r>
      <w:r w:rsidR="00D17675" w:rsidRPr="00F17B77">
        <w:rPr>
          <w:b w:val="0"/>
        </w:rPr>
        <w:t xml:space="preserve">IDEA </w:t>
      </w:r>
      <w:r w:rsidR="000A38CA" w:rsidRPr="00E7583F">
        <w:rPr>
          <w:b w:val="0"/>
        </w:rPr>
        <w:t xml:space="preserve">national implementation study, and </w:t>
      </w:r>
      <w:r w:rsidR="007F6B16" w:rsidRPr="00E7583F">
        <w:rPr>
          <w:b w:val="0"/>
        </w:rPr>
        <w:t xml:space="preserve">subsequent </w:t>
      </w:r>
      <w:r w:rsidR="004D5051" w:rsidRPr="005A380B">
        <w:rPr>
          <w:b w:val="0"/>
        </w:rPr>
        <w:t xml:space="preserve">developments </w:t>
      </w:r>
      <w:r w:rsidR="00A9624C" w:rsidRPr="005A380B">
        <w:rPr>
          <w:b w:val="0"/>
        </w:rPr>
        <w:t xml:space="preserve">may have influenced </w:t>
      </w:r>
      <w:r w:rsidR="00285D5C" w:rsidRPr="0079618D">
        <w:rPr>
          <w:b w:val="0"/>
        </w:rPr>
        <w:t>the context and imp</w:t>
      </w:r>
      <w:r w:rsidR="00285D5C" w:rsidRPr="00F17B77">
        <w:rPr>
          <w:b w:val="0"/>
        </w:rPr>
        <w:t xml:space="preserve">lementation </w:t>
      </w:r>
      <w:r w:rsidR="00335664" w:rsidRPr="00F17B77">
        <w:rPr>
          <w:b w:val="0"/>
        </w:rPr>
        <w:t>of special education and early intervention.</w:t>
      </w:r>
      <w:r w:rsidR="00FF4E01" w:rsidRPr="00F17B77">
        <w:rPr>
          <w:b w:val="0"/>
        </w:rPr>
        <w:t xml:space="preserve"> </w:t>
      </w:r>
      <w:r w:rsidR="00335664" w:rsidRPr="00F17B77">
        <w:rPr>
          <w:b w:val="0"/>
        </w:rPr>
        <w:t xml:space="preserve"> </w:t>
      </w:r>
      <w:r w:rsidR="00910973" w:rsidRPr="00F17B77">
        <w:rPr>
          <w:b w:val="0"/>
        </w:rPr>
        <w:t xml:space="preserve">This study will provide an up-to-date national picture of how </w:t>
      </w:r>
      <w:r w:rsidR="00F94C0B" w:rsidRPr="00F17B77">
        <w:rPr>
          <w:b w:val="0"/>
        </w:rPr>
        <w:t xml:space="preserve">states, districts, and schools are </w:t>
      </w:r>
      <w:r w:rsidR="007C6C0D" w:rsidRPr="00F17B77">
        <w:rPr>
          <w:b w:val="0"/>
        </w:rPr>
        <w:t xml:space="preserve">identifying </w:t>
      </w:r>
      <w:r w:rsidR="00D17675" w:rsidRPr="00F17B77">
        <w:rPr>
          <w:b w:val="0"/>
        </w:rPr>
        <w:t xml:space="preserve">and supporting </w:t>
      </w:r>
      <w:r w:rsidR="007C6C0D" w:rsidRPr="00E7583F">
        <w:rPr>
          <w:b w:val="0"/>
        </w:rPr>
        <w:t xml:space="preserve">children and youth </w:t>
      </w:r>
      <w:r w:rsidR="00D17675" w:rsidRPr="00F17B77">
        <w:rPr>
          <w:b w:val="0"/>
        </w:rPr>
        <w:t>with disabilities</w:t>
      </w:r>
      <w:r w:rsidR="00AF55EA" w:rsidRPr="00F17B77">
        <w:rPr>
          <w:b w:val="0"/>
        </w:rPr>
        <w:t xml:space="preserve"> within </w:t>
      </w:r>
      <w:r w:rsidR="00D17675" w:rsidRPr="00F17B77">
        <w:rPr>
          <w:b w:val="0"/>
        </w:rPr>
        <w:t>any</w:t>
      </w:r>
      <w:r w:rsidR="00AF55EA" w:rsidRPr="00F17B77">
        <w:rPr>
          <w:b w:val="0"/>
        </w:rPr>
        <w:t xml:space="preserve"> </w:t>
      </w:r>
      <w:r w:rsidR="00D129C5" w:rsidRPr="00F17B77">
        <w:rPr>
          <w:b w:val="0"/>
        </w:rPr>
        <w:t>existing funding constraints</w:t>
      </w:r>
      <w:r w:rsidR="002D79FD" w:rsidRPr="00E7583F">
        <w:rPr>
          <w:b w:val="0"/>
        </w:rPr>
        <w:t xml:space="preserve">.  </w:t>
      </w:r>
    </w:p>
    <w:p w:rsidR="00EB7B68" w:rsidRDefault="00E80C53" w:rsidP="003578C2">
      <w:pPr>
        <w:spacing w:after="240" w:line="240" w:lineRule="auto"/>
        <w:rPr>
          <w:szCs w:val="24"/>
        </w:rPr>
      </w:pPr>
      <w:r w:rsidRPr="008E45FD">
        <w:rPr>
          <w:szCs w:val="24"/>
        </w:rPr>
        <w:t xml:space="preserve">IDEA </w:t>
      </w:r>
      <w:r>
        <w:rPr>
          <w:szCs w:val="24"/>
        </w:rPr>
        <w:t xml:space="preserve">is a longstanding </w:t>
      </w:r>
      <w:r w:rsidR="005C2DD9">
        <w:rPr>
          <w:szCs w:val="24"/>
        </w:rPr>
        <w:t xml:space="preserve">and important </w:t>
      </w:r>
      <w:r>
        <w:rPr>
          <w:szCs w:val="24"/>
        </w:rPr>
        <w:t>federal law</w:t>
      </w:r>
      <w:r w:rsidR="001236BC">
        <w:rPr>
          <w:szCs w:val="24"/>
        </w:rPr>
        <w:t>,</w:t>
      </w:r>
      <w:r>
        <w:rPr>
          <w:szCs w:val="24"/>
        </w:rPr>
        <w:t xml:space="preserve"> last reauthorized by Congress in 2004</w:t>
      </w:r>
      <w:r w:rsidR="00BC7A45">
        <w:rPr>
          <w:szCs w:val="24"/>
        </w:rPr>
        <w:t>.</w:t>
      </w:r>
      <w:r>
        <w:rPr>
          <w:szCs w:val="24"/>
        </w:rPr>
        <w:t xml:space="preserve"> </w:t>
      </w:r>
      <w:r w:rsidR="00BC7A45">
        <w:rPr>
          <w:szCs w:val="24"/>
        </w:rPr>
        <w:t>It</w:t>
      </w:r>
      <w:r>
        <w:rPr>
          <w:szCs w:val="24"/>
        </w:rPr>
        <w:t xml:space="preserve"> supports children and youth with disabilities from birth through age 21</w:t>
      </w:r>
      <w:r w:rsidR="002B1111">
        <w:rPr>
          <w:szCs w:val="24"/>
        </w:rPr>
        <w:t xml:space="preserve">, who </w:t>
      </w:r>
      <w:r w:rsidR="005C091F">
        <w:rPr>
          <w:szCs w:val="24"/>
        </w:rPr>
        <w:t xml:space="preserve">represent 13 percent </w:t>
      </w:r>
      <w:r w:rsidR="005C091F">
        <w:t>of the enrollment in public schools in the United States</w:t>
      </w:r>
      <w:r w:rsidR="002D090D">
        <w:t xml:space="preserve"> (more than 7 million children in 2015)</w:t>
      </w:r>
      <w:r w:rsidR="0079436C">
        <w:t xml:space="preserve"> (U.S. Department of Education 2017)</w:t>
      </w:r>
      <w:r>
        <w:rPr>
          <w:szCs w:val="24"/>
        </w:rPr>
        <w:t xml:space="preserve">. </w:t>
      </w:r>
      <w:r w:rsidR="00EB7B68">
        <w:rPr>
          <w:szCs w:val="24"/>
        </w:rPr>
        <w:t xml:space="preserve"> </w:t>
      </w:r>
      <w:r w:rsidR="00072888">
        <w:rPr>
          <w:szCs w:val="24"/>
        </w:rPr>
        <w:t xml:space="preserve">IDEA </w:t>
      </w:r>
      <w:r w:rsidR="006612ED">
        <w:rPr>
          <w:szCs w:val="24"/>
        </w:rPr>
        <w:t xml:space="preserve">and the services it provides </w:t>
      </w:r>
      <w:r w:rsidR="00E5791F">
        <w:rPr>
          <w:szCs w:val="24"/>
        </w:rPr>
        <w:t xml:space="preserve">continue to </w:t>
      </w:r>
      <w:r w:rsidR="00B06BB3">
        <w:rPr>
          <w:szCs w:val="24"/>
        </w:rPr>
        <w:t xml:space="preserve">receive </w:t>
      </w:r>
      <w:r w:rsidR="009B2C6A">
        <w:rPr>
          <w:szCs w:val="24"/>
        </w:rPr>
        <w:t>attention from Congress</w:t>
      </w:r>
      <w:r w:rsidR="00AB6339">
        <w:rPr>
          <w:szCs w:val="24"/>
        </w:rPr>
        <w:t>.</w:t>
      </w:r>
      <w:r w:rsidR="00072888">
        <w:rPr>
          <w:szCs w:val="24"/>
        </w:rPr>
        <w:t xml:space="preserve"> </w:t>
      </w:r>
      <w:r w:rsidR="00061E78">
        <w:rPr>
          <w:szCs w:val="24"/>
        </w:rPr>
        <w:t xml:space="preserve"> </w:t>
      </w:r>
      <w:r w:rsidR="003E2414">
        <w:rPr>
          <w:szCs w:val="24"/>
        </w:rPr>
        <w:t xml:space="preserve">Still, </w:t>
      </w:r>
      <w:r w:rsidR="00DE68D4">
        <w:t>allocating</w:t>
      </w:r>
      <w:r w:rsidR="00DE68D4" w:rsidRPr="00321CF0">
        <w:t xml:space="preserve"> resources for the provision of IDEA services </w:t>
      </w:r>
      <w:r w:rsidR="00DE68D4">
        <w:t>i</w:t>
      </w:r>
      <w:r w:rsidR="00DE68D4" w:rsidRPr="00321CF0">
        <w:t>s a challenge.</w:t>
      </w:r>
      <w:r w:rsidR="00061E78">
        <w:t xml:space="preserve"> </w:t>
      </w:r>
      <w:r w:rsidR="00DE68D4" w:rsidRPr="00321CF0">
        <w:t xml:space="preserve"> </w:t>
      </w:r>
      <w:r w:rsidR="00DE68D4" w:rsidRPr="00C157B1">
        <w:t>For fiscal year 201</w:t>
      </w:r>
      <w:r w:rsidR="00DE68D4">
        <w:t>6</w:t>
      </w:r>
      <w:r w:rsidR="00DE68D4" w:rsidRPr="00C157B1">
        <w:t xml:space="preserve">, IDEA funding </w:t>
      </w:r>
      <w:r w:rsidR="00906A11">
        <w:t xml:space="preserve">for school-age children with disabilities </w:t>
      </w:r>
      <w:r w:rsidR="00DE68D4" w:rsidRPr="00C157B1">
        <w:t>covered about 16 percent of the estimated excess cost of educa</w:t>
      </w:r>
      <w:r w:rsidR="00DE68D4">
        <w:t xml:space="preserve">ting </w:t>
      </w:r>
      <w:r w:rsidR="00906A11">
        <w:t xml:space="preserve">these </w:t>
      </w:r>
      <w:r w:rsidR="00DE68D4">
        <w:t xml:space="preserve">children. </w:t>
      </w:r>
      <w:r w:rsidR="00906A11">
        <w:t xml:space="preserve"> </w:t>
      </w:r>
      <w:r w:rsidR="00DE68D4">
        <w:t xml:space="preserve">The remainder </w:t>
      </w:r>
      <w:r w:rsidR="00BB4F38">
        <w:t xml:space="preserve">of </w:t>
      </w:r>
      <w:r w:rsidR="006B1367">
        <w:t xml:space="preserve">the costs of </w:t>
      </w:r>
      <w:r w:rsidR="00BB4F38">
        <w:t>educati</w:t>
      </w:r>
      <w:r w:rsidR="006B1367">
        <w:t>ng</w:t>
      </w:r>
      <w:r w:rsidR="00BB4F38">
        <w:t xml:space="preserve"> these children </w:t>
      </w:r>
      <w:r w:rsidR="00DE68D4">
        <w:t>is</w:t>
      </w:r>
      <w:r w:rsidR="00DE68D4" w:rsidRPr="00C157B1">
        <w:t xml:space="preserve"> assumed by states and local districts</w:t>
      </w:r>
      <w:r w:rsidR="007C595C">
        <w:t xml:space="preserve">, many of which </w:t>
      </w:r>
      <w:r w:rsidR="00DE68D4" w:rsidRPr="00FF5BD8">
        <w:t>are providing fewer education dollars per child than they did before the 2007–2009 recession (Lav and Leachman 2017).</w:t>
      </w:r>
      <w:r w:rsidR="00DE68D4">
        <w:t xml:space="preserve"> </w:t>
      </w:r>
      <w:r w:rsidR="00061E78">
        <w:t xml:space="preserve"> </w:t>
      </w:r>
      <w:r w:rsidR="00DE68D4">
        <w:t xml:space="preserve">States and </w:t>
      </w:r>
      <w:r w:rsidR="00DE68D4" w:rsidRPr="005555FD">
        <w:t xml:space="preserve">districts </w:t>
      </w:r>
      <w:r w:rsidR="00DE68D4">
        <w:t>may</w:t>
      </w:r>
      <w:r w:rsidR="00DE68D4" w:rsidRPr="005555FD">
        <w:t xml:space="preserve"> face choices in how to </w:t>
      </w:r>
      <w:r w:rsidR="00061E78">
        <w:t>provide services within the constraints of</w:t>
      </w:r>
      <w:r w:rsidR="00DE68D4" w:rsidRPr="005555FD">
        <w:t xml:space="preserve"> </w:t>
      </w:r>
      <w:r w:rsidR="00DE68D4">
        <w:t xml:space="preserve">limited </w:t>
      </w:r>
      <w:r w:rsidR="00DE68D4" w:rsidRPr="005555FD">
        <w:t>resources.</w:t>
      </w:r>
      <w:r w:rsidR="00CB4407">
        <w:rPr>
          <w:szCs w:val="24"/>
        </w:rPr>
        <w:t xml:space="preserve"> </w:t>
      </w:r>
    </w:p>
    <w:p w:rsidR="00E80C53" w:rsidRDefault="002C361E" w:rsidP="003578C2">
      <w:pPr>
        <w:spacing w:after="240" w:line="240" w:lineRule="auto"/>
        <w:rPr>
          <w:szCs w:val="24"/>
        </w:rPr>
      </w:pPr>
      <w:r>
        <w:rPr>
          <w:szCs w:val="24"/>
        </w:rPr>
        <w:t xml:space="preserve">For these reasons, as well as </w:t>
      </w:r>
      <w:r w:rsidR="008369EF">
        <w:rPr>
          <w:szCs w:val="24"/>
        </w:rPr>
        <w:t xml:space="preserve">the mandate to </w:t>
      </w:r>
      <w:r w:rsidR="00FE0C3B">
        <w:rPr>
          <w:szCs w:val="24"/>
        </w:rPr>
        <w:t xml:space="preserve">evaluate </w:t>
      </w:r>
      <w:r w:rsidR="008369EF">
        <w:rPr>
          <w:szCs w:val="24"/>
        </w:rPr>
        <w:t xml:space="preserve">the </w:t>
      </w:r>
      <w:r w:rsidR="00FE0C3B">
        <w:rPr>
          <w:szCs w:val="24"/>
        </w:rPr>
        <w:t>program,</w:t>
      </w:r>
      <w:r w:rsidR="008369EF">
        <w:rPr>
          <w:szCs w:val="24"/>
        </w:rPr>
        <w:t xml:space="preserve"> IES </w:t>
      </w:r>
      <w:r w:rsidR="00085906">
        <w:rPr>
          <w:szCs w:val="24"/>
        </w:rPr>
        <w:t xml:space="preserve">will examine </w:t>
      </w:r>
      <w:r w:rsidR="00085906" w:rsidRPr="009148A4">
        <w:rPr>
          <w:szCs w:val="24"/>
        </w:rPr>
        <w:t>core aspects of IDEA implementation at the state and local levels</w:t>
      </w:r>
      <w:r w:rsidR="00FE0C3B">
        <w:rPr>
          <w:szCs w:val="24"/>
        </w:rPr>
        <w:t>.  The study</w:t>
      </w:r>
      <w:r w:rsidR="00085906">
        <w:rPr>
          <w:szCs w:val="24"/>
        </w:rPr>
        <w:t xml:space="preserve"> </w:t>
      </w:r>
      <w:r w:rsidR="00D0170E">
        <w:rPr>
          <w:szCs w:val="24"/>
        </w:rPr>
        <w:t xml:space="preserve">will collect information and report on both </w:t>
      </w:r>
      <w:r w:rsidR="00E80C53">
        <w:rPr>
          <w:szCs w:val="24"/>
        </w:rPr>
        <w:t>Part C of the law</w:t>
      </w:r>
      <w:r w:rsidR="00132508">
        <w:rPr>
          <w:szCs w:val="24"/>
        </w:rPr>
        <w:t>, which</w:t>
      </w:r>
      <w:r w:rsidR="00E80C53">
        <w:rPr>
          <w:szCs w:val="24"/>
        </w:rPr>
        <w:t xml:space="preserve"> provides financial assistance to states to coordinate early</w:t>
      </w:r>
      <w:r w:rsidR="004A15B1">
        <w:rPr>
          <w:szCs w:val="24"/>
        </w:rPr>
        <w:t xml:space="preserve"> </w:t>
      </w:r>
      <w:r w:rsidR="00E80C53">
        <w:rPr>
          <w:szCs w:val="24"/>
        </w:rPr>
        <w:t>intervention services for infants and toddlers with disabilities</w:t>
      </w:r>
      <w:r w:rsidR="00132508">
        <w:rPr>
          <w:szCs w:val="24"/>
        </w:rPr>
        <w:t>, and</w:t>
      </w:r>
      <w:r w:rsidR="00E80C53">
        <w:rPr>
          <w:szCs w:val="24"/>
        </w:rPr>
        <w:t xml:space="preserve"> Part B</w:t>
      </w:r>
      <w:r w:rsidR="00132508">
        <w:rPr>
          <w:szCs w:val="24"/>
        </w:rPr>
        <w:t>, which</w:t>
      </w:r>
      <w:r w:rsidR="00E80C53">
        <w:rPr>
          <w:szCs w:val="24"/>
        </w:rPr>
        <w:t xml:space="preserve"> ensures that </w:t>
      </w:r>
      <w:r w:rsidR="00B30B05">
        <w:rPr>
          <w:szCs w:val="24"/>
        </w:rPr>
        <w:t>all students</w:t>
      </w:r>
      <w:r w:rsidR="00E80C53">
        <w:rPr>
          <w:szCs w:val="24"/>
        </w:rPr>
        <w:t xml:space="preserve"> with disabilities have access to </w:t>
      </w:r>
      <w:r w:rsidR="00E80C53" w:rsidRPr="008E45FD">
        <w:rPr>
          <w:szCs w:val="24"/>
        </w:rPr>
        <w:t xml:space="preserve">a free appropriate public education and authorizes funding to help </w:t>
      </w:r>
      <w:r w:rsidR="00E80C53">
        <w:rPr>
          <w:szCs w:val="24"/>
        </w:rPr>
        <w:t xml:space="preserve">education agencies </w:t>
      </w:r>
      <w:r w:rsidR="00E80C53" w:rsidRPr="008E45FD">
        <w:rPr>
          <w:szCs w:val="24"/>
        </w:rPr>
        <w:t>meet the</w:t>
      </w:r>
      <w:r w:rsidR="00E80C53">
        <w:rPr>
          <w:szCs w:val="24"/>
        </w:rPr>
        <w:t>ir</w:t>
      </w:r>
      <w:r w:rsidR="00E80C53" w:rsidRPr="008E45FD">
        <w:rPr>
          <w:szCs w:val="24"/>
        </w:rPr>
        <w:t xml:space="preserve"> </w:t>
      </w:r>
      <w:r w:rsidR="00E80C53">
        <w:rPr>
          <w:szCs w:val="24"/>
        </w:rPr>
        <w:t xml:space="preserve">individual </w:t>
      </w:r>
      <w:r w:rsidR="00E80C53" w:rsidRPr="008E45FD">
        <w:rPr>
          <w:szCs w:val="24"/>
        </w:rPr>
        <w:t xml:space="preserve">learning needs. </w:t>
      </w:r>
      <w:r w:rsidR="000B74CA">
        <w:rPr>
          <w:szCs w:val="24"/>
        </w:rPr>
        <w:t xml:space="preserve"> </w:t>
      </w:r>
      <w:r w:rsidR="009B5A3E">
        <w:rPr>
          <w:szCs w:val="24"/>
        </w:rPr>
        <w:t xml:space="preserve">This new study will build on an earlier </w:t>
      </w:r>
      <w:r w:rsidR="00E80C53" w:rsidRPr="008E45FD">
        <w:rPr>
          <w:szCs w:val="24"/>
        </w:rPr>
        <w:t>IDEA National Assessment Imple</w:t>
      </w:r>
      <w:r w:rsidR="00E80C53">
        <w:rPr>
          <w:szCs w:val="24"/>
        </w:rPr>
        <w:t>mentation Study (IDEA-NAIS), which surveyed states and a national</w:t>
      </w:r>
      <w:r w:rsidR="000144A7">
        <w:rPr>
          <w:szCs w:val="24"/>
        </w:rPr>
        <w:t>ly representative</w:t>
      </w:r>
      <w:r w:rsidR="00E80C53">
        <w:rPr>
          <w:szCs w:val="24"/>
        </w:rPr>
        <w:t xml:space="preserve"> sample of districts in 2009.</w:t>
      </w:r>
    </w:p>
    <w:p w:rsidR="009148A4" w:rsidRPr="00024026" w:rsidRDefault="00E80C53" w:rsidP="00E80C53">
      <w:pPr>
        <w:spacing w:after="240" w:line="240" w:lineRule="auto"/>
        <w:rPr>
          <w:szCs w:val="24"/>
        </w:rPr>
      </w:pPr>
      <w:r w:rsidRPr="008E45FD">
        <w:rPr>
          <w:szCs w:val="24"/>
        </w:rPr>
        <w:t>A new study is critical to conduct</w:t>
      </w:r>
      <w:r>
        <w:rPr>
          <w:szCs w:val="24"/>
        </w:rPr>
        <w:t xml:space="preserve"> </w:t>
      </w:r>
      <w:r w:rsidR="00630F4E">
        <w:rPr>
          <w:szCs w:val="24"/>
        </w:rPr>
        <w:t xml:space="preserve">because </w:t>
      </w:r>
      <w:r w:rsidR="00A1484A">
        <w:rPr>
          <w:szCs w:val="24"/>
        </w:rPr>
        <w:t xml:space="preserve">almost </w:t>
      </w:r>
      <w:r w:rsidR="00630F4E">
        <w:rPr>
          <w:szCs w:val="24"/>
        </w:rPr>
        <w:t>a</w:t>
      </w:r>
      <w:r>
        <w:rPr>
          <w:szCs w:val="24"/>
        </w:rPr>
        <w:t xml:space="preserve"> decade has elapsed since the </w:t>
      </w:r>
      <w:r w:rsidR="00630F4E">
        <w:rPr>
          <w:szCs w:val="24"/>
        </w:rPr>
        <w:t>IDEA-NAIS</w:t>
      </w:r>
      <w:r>
        <w:rPr>
          <w:szCs w:val="24"/>
        </w:rPr>
        <w:t xml:space="preserve">. During the intervening years, the characteristics of students with disabilities and the </w:t>
      </w:r>
      <w:r w:rsidR="00583A37">
        <w:rPr>
          <w:szCs w:val="24"/>
        </w:rPr>
        <w:t>context and implementation of early intervention and special education services</w:t>
      </w:r>
      <w:r>
        <w:rPr>
          <w:szCs w:val="24"/>
        </w:rPr>
        <w:t xml:space="preserve"> </w:t>
      </w:r>
      <w:r w:rsidR="00630F4E">
        <w:rPr>
          <w:szCs w:val="24"/>
        </w:rPr>
        <w:t xml:space="preserve">may </w:t>
      </w:r>
      <w:r>
        <w:rPr>
          <w:szCs w:val="24"/>
        </w:rPr>
        <w:t xml:space="preserve">have changed. </w:t>
      </w:r>
      <w:r w:rsidR="00EF36E8">
        <w:rPr>
          <w:szCs w:val="24"/>
        </w:rPr>
        <w:t xml:space="preserve">For example, </w:t>
      </w:r>
      <w:r w:rsidR="00AA0E4B">
        <w:rPr>
          <w:szCs w:val="24"/>
        </w:rPr>
        <w:t xml:space="preserve">since 2009, </w:t>
      </w:r>
      <w:r w:rsidR="00EF36E8">
        <w:rPr>
          <w:szCs w:val="24"/>
        </w:rPr>
        <w:t>r</w:t>
      </w:r>
      <w:r w:rsidR="00E538C9" w:rsidRPr="00F17B77">
        <w:rPr>
          <w:color w:val="333333"/>
          <w:szCs w:val="24"/>
        </w:rPr>
        <w:t xml:space="preserve">elevant court decisions were issued including </w:t>
      </w:r>
      <w:r w:rsidR="00E538C9" w:rsidRPr="00F17B77">
        <w:rPr>
          <w:i/>
          <w:color w:val="333333"/>
          <w:szCs w:val="24"/>
        </w:rPr>
        <w:t>Endrew F. v. Douglas County School District</w:t>
      </w:r>
      <w:r w:rsidR="0050290D">
        <w:rPr>
          <w:color w:val="333333"/>
          <w:szCs w:val="24"/>
        </w:rPr>
        <w:t>,</w:t>
      </w:r>
      <w:r w:rsidR="00E538C9" w:rsidRPr="00F17B77">
        <w:rPr>
          <w:color w:val="333333"/>
          <w:szCs w:val="24"/>
        </w:rPr>
        <w:t xml:space="preserve"> and educational legislation was passed including the reauthorization of the Elementary and Secondary Education Act. </w:t>
      </w:r>
      <w:r w:rsidR="0050290D">
        <w:rPr>
          <w:color w:val="333333"/>
          <w:szCs w:val="24"/>
        </w:rPr>
        <w:t>In addition</w:t>
      </w:r>
      <w:r w:rsidR="00E538C9" w:rsidRPr="00F17B77">
        <w:rPr>
          <w:color w:val="333333"/>
          <w:szCs w:val="24"/>
        </w:rPr>
        <w:t xml:space="preserve">, the Office of Special Education Programs in </w:t>
      </w:r>
      <w:r w:rsidR="006976A3">
        <w:rPr>
          <w:color w:val="333333"/>
          <w:szCs w:val="24"/>
        </w:rPr>
        <w:t>ED</w:t>
      </w:r>
      <w:r w:rsidR="00E538C9" w:rsidRPr="00F17B77">
        <w:rPr>
          <w:color w:val="333333"/>
          <w:szCs w:val="24"/>
        </w:rPr>
        <w:t xml:space="preserve"> has released IDEA regulations and guidance.</w:t>
      </w:r>
      <w:r w:rsidR="00E538C9">
        <w:rPr>
          <w:rFonts w:ascii="Arial" w:hAnsi="Arial" w:cs="Arial"/>
          <w:color w:val="333333"/>
          <w:sz w:val="15"/>
          <w:szCs w:val="15"/>
        </w:rPr>
        <w:t xml:space="preserve"> </w:t>
      </w:r>
      <w:r w:rsidR="004F582E">
        <w:rPr>
          <w:szCs w:val="24"/>
        </w:rPr>
        <w:t xml:space="preserve">These </w:t>
      </w:r>
      <w:r w:rsidR="00EA0D4C">
        <w:rPr>
          <w:szCs w:val="24"/>
        </w:rPr>
        <w:t xml:space="preserve">judicial, </w:t>
      </w:r>
      <w:r w:rsidR="004F582E">
        <w:rPr>
          <w:szCs w:val="24"/>
        </w:rPr>
        <w:t>legislative</w:t>
      </w:r>
      <w:r w:rsidR="00EA0D4C">
        <w:rPr>
          <w:szCs w:val="24"/>
        </w:rPr>
        <w:t>, and regulatory</w:t>
      </w:r>
      <w:r w:rsidR="004F582E">
        <w:rPr>
          <w:szCs w:val="24"/>
        </w:rPr>
        <w:t xml:space="preserve"> developments </w:t>
      </w:r>
      <w:r w:rsidR="00024026">
        <w:rPr>
          <w:szCs w:val="24"/>
        </w:rPr>
        <w:t xml:space="preserve">may have implications </w:t>
      </w:r>
      <w:r w:rsidR="00B800F9">
        <w:rPr>
          <w:szCs w:val="24"/>
        </w:rPr>
        <w:t xml:space="preserve">for how states and local agencies are </w:t>
      </w:r>
      <w:r w:rsidR="009777AC">
        <w:rPr>
          <w:szCs w:val="24"/>
        </w:rPr>
        <w:t>implementing services under IDEA</w:t>
      </w:r>
      <w:r w:rsidR="00B800F9">
        <w:rPr>
          <w:szCs w:val="24"/>
        </w:rPr>
        <w:t>.</w:t>
      </w:r>
    </w:p>
    <w:p w:rsidR="00E80C53" w:rsidRPr="003D748F" w:rsidRDefault="003578C2" w:rsidP="00086BF3">
      <w:pPr>
        <w:pStyle w:val="NormalSS"/>
      </w:pPr>
      <w:r>
        <w:t>T</w:t>
      </w:r>
      <w:r w:rsidR="00E80C53" w:rsidRPr="003D748F">
        <w:t xml:space="preserve">he study will </w:t>
      </w:r>
      <w:r>
        <w:t>primarily rely on</w:t>
      </w:r>
      <w:r w:rsidRPr="003D748F">
        <w:t xml:space="preserve"> </w:t>
      </w:r>
      <w:r w:rsidR="00E80C53" w:rsidRPr="003D748F">
        <w:t>surveys of</w:t>
      </w:r>
      <w:r w:rsidR="00593BF9">
        <w:t xml:space="preserve">: </w:t>
      </w:r>
      <w:r w:rsidR="00E80C53">
        <w:t>(1) all</w:t>
      </w:r>
      <w:r w:rsidR="00E80C53" w:rsidRPr="003D748F">
        <w:t xml:space="preserve"> state</w:t>
      </w:r>
      <w:r w:rsidR="00E80C53">
        <w:t>s and territories receiving IDEA funding</w:t>
      </w:r>
      <w:r w:rsidR="00E80C53" w:rsidRPr="003D748F">
        <w:t xml:space="preserve">, </w:t>
      </w:r>
      <w:r w:rsidR="00E80C53">
        <w:t>(2)</w:t>
      </w:r>
      <w:r w:rsidR="00E80C53" w:rsidRPr="003D748F">
        <w:t xml:space="preserve"> a nationally representative sample of districts, and </w:t>
      </w:r>
      <w:r w:rsidR="00E80C53">
        <w:t>(3)</w:t>
      </w:r>
      <w:r w:rsidR="00E80C53" w:rsidRPr="003D748F">
        <w:t xml:space="preserve"> a nationally representative sample of </w:t>
      </w:r>
      <w:r w:rsidR="00E80C53">
        <w:t xml:space="preserve">publicly funded </w:t>
      </w:r>
      <w:r w:rsidR="00E80C53" w:rsidRPr="003D748F">
        <w:t xml:space="preserve">schools. </w:t>
      </w:r>
      <w:r w:rsidR="00E80C53">
        <w:t>T</w:t>
      </w:r>
      <w:r w:rsidR="00E80C53" w:rsidRPr="003D748F">
        <w:t xml:space="preserve">o avoid duplication of effort and </w:t>
      </w:r>
      <w:r w:rsidR="00E80C53">
        <w:t xml:space="preserve">to </w:t>
      </w:r>
      <w:r w:rsidR="00E80C53" w:rsidRPr="003D748F">
        <w:t>minimize respondent burden</w:t>
      </w:r>
      <w:r w:rsidR="00E80C53">
        <w:t>,</w:t>
      </w:r>
      <w:r w:rsidR="00CD6D2E">
        <w:t xml:space="preserve"> the study will rely o</w:t>
      </w:r>
      <w:r w:rsidR="00086BF3">
        <w:t>n extant data</w:t>
      </w:r>
      <w:r>
        <w:t xml:space="preserve"> when</w:t>
      </w:r>
      <w:r w:rsidR="00086BF3">
        <w:t xml:space="preserve"> possible. In order to examine changes since the IDEA-NAIS, the surveys include some items that were administered in 2009</w:t>
      </w:r>
      <w:r w:rsidR="00E80C53" w:rsidRPr="00A74498">
        <w:t>.</w:t>
      </w:r>
      <w:r w:rsidR="00E80C53">
        <w:t xml:space="preserve"> The study will address the following research questions: </w:t>
      </w:r>
    </w:p>
    <w:p w:rsidR="00E80C53" w:rsidRPr="00DD5A32" w:rsidRDefault="00E80C53" w:rsidP="00E80C53">
      <w:pPr>
        <w:pStyle w:val="NumberedBullet"/>
        <w:rPr>
          <w:rFonts w:eastAsia="Calibri"/>
        </w:rPr>
      </w:pPr>
      <w:r w:rsidRPr="00DD5A32">
        <w:rPr>
          <w:rFonts w:eastAsia="Calibri"/>
        </w:rPr>
        <w:t>How do state and local agencies identify infants, toddlers, children, and youth for early intervention and special education services? How do they measure disproportionate identification and what policies and practices have been implemented with the goal of addressing disproportionate identification?</w:t>
      </w:r>
    </w:p>
    <w:p w:rsidR="00E80C53" w:rsidRPr="00DD5A32" w:rsidRDefault="00E80C53" w:rsidP="00E80C53">
      <w:pPr>
        <w:pStyle w:val="NumberedBullet"/>
      </w:pPr>
      <w:r w:rsidRPr="00DD5A32">
        <w:t>What policies and programs do states and local agencies have in place to support infants, toddlers, children, and youth identified for early intervention or special education services? What types of supports do schools provide to children and youth with disabilities to support their academic and behavioral learning?</w:t>
      </w:r>
    </w:p>
    <w:p w:rsidR="00E80C53" w:rsidRPr="00DD5A32" w:rsidRDefault="00E80C53" w:rsidP="00E80C53">
      <w:pPr>
        <w:pStyle w:val="NumberedBullet"/>
      </w:pPr>
      <w:r w:rsidRPr="00DD5A32">
        <w:rPr>
          <w:rFonts w:eastAsia="Calibri"/>
        </w:rPr>
        <w:t>To what extent do states and local agencies rely on evidence from research on the effectiveness of policies, programs, and supports for children with disabilities?</w:t>
      </w:r>
    </w:p>
    <w:p w:rsidR="00E80C53" w:rsidRPr="00DD5A32" w:rsidRDefault="00E80C53" w:rsidP="00E80C53">
      <w:pPr>
        <w:pStyle w:val="NumberedBullet"/>
        <w:rPr>
          <w:rFonts w:eastAsia="Calibri"/>
        </w:rPr>
      </w:pPr>
      <w:r w:rsidRPr="00DD5A32">
        <w:rPr>
          <w:rFonts w:eastAsia="Calibri"/>
        </w:rPr>
        <w:t>How do state and local agencies allocate resources—including funding and personnel—to support infants, toddlers, children, and youth with disabilities?</w:t>
      </w:r>
    </w:p>
    <w:p w:rsidR="00E80C53" w:rsidRPr="00AF13B2" w:rsidRDefault="00E80C53" w:rsidP="00E80C53">
      <w:pPr>
        <w:pStyle w:val="H4Number"/>
        <w:spacing w:before="240"/>
      </w:pPr>
      <w:bookmarkStart w:id="18" w:name="_Toc2194218"/>
      <w:r w:rsidRPr="00AF13B2">
        <w:t>A2.</w:t>
      </w:r>
      <w:r>
        <w:t xml:space="preserve"> </w:t>
      </w:r>
      <w:r w:rsidRPr="00AF13B2">
        <w:t>Purpose and use of data</w:t>
      </w:r>
      <w:bookmarkEnd w:id="18"/>
    </w:p>
    <w:p w:rsidR="002F3530" w:rsidRDefault="002F3530" w:rsidP="002F3530">
      <w:pPr>
        <w:pStyle w:val="NormalSS"/>
      </w:pPr>
      <w:r w:rsidRPr="00C25532">
        <w:t xml:space="preserve">In </w:t>
      </w:r>
      <w:r>
        <w:t>F</w:t>
      </w:r>
      <w:r w:rsidRPr="00510828">
        <w:t>all 2019</w:t>
      </w:r>
      <w:r w:rsidRPr="00C25532">
        <w:t>,</w:t>
      </w:r>
      <w:r>
        <w:t xml:space="preserve"> the study team will survey special education administrators in a census of states and territories receiving IDEA funding and in nationally representative samples of districts and schools. States, districts, and schools have important and non-overlapping roles in how IDEA is implemented, which necessitates data collection at each level. Additionally, the sample is constructed to provide adequate statistical precision necessary to examine the implementation of policies and practices, and to detect differences in this implementation across districts and schools as well as implementation by various policy-relevant subgroups including charter schools and elementary schools with pre-kindergarten programs</w:t>
      </w:r>
      <w:r w:rsidRPr="00592A74">
        <w:t xml:space="preserve">. </w:t>
      </w:r>
      <w:r>
        <w:t xml:space="preserve">Because a growing percentage of special education students are attending charter schools, it is important to study how these students are being served. In addition, the subgroup of elementary schools with pre-kindergarten programs will allow the study team to examine the implementation of the </w:t>
      </w:r>
      <w:r w:rsidRPr="00645287">
        <w:t>IDEA Part B program for preschool-age children</w:t>
      </w:r>
      <w:r>
        <w:t xml:space="preserve"> within schools.</w:t>
      </w:r>
    </w:p>
    <w:p w:rsidR="002F3530" w:rsidRDefault="002F3530" w:rsidP="002F3530">
      <w:pPr>
        <w:pStyle w:val="NormalSS"/>
      </w:pPr>
      <w:r w:rsidRPr="005E0BB0">
        <w:t xml:space="preserve">The study will use six survey instruments </w:t>
      </w:r>
      <w:r>
        <w:t xml:space="preserve">at the state, district, and school levels </w:t>
      </w:r>
      <w:r w:rsidRPr="005E0BB0">
        <w:t>to collect data</w:t>
      </w:r>
      <w:r>
        <w:t xml:space="preserve"> (Table A.1). </w:t>
      </w:r>
    </w:p>
    <w:p w:rsidR="002F3530" w:rsidRDefault="002F3530" w:rsidP="002F3530">
      <w:pPr>
        <w:pStyle w:val="NormalSS"/>
      </w:pPr>
      <w:r>
        <w:t xml:space="preserve"> </w:t>
      </w:r>
    </w:p>
    <w:p w:rsidR="002F3530" w:rsidRPr="00586F7E" w:rsidRDefault="002F3530" w:rsidP="002F3530">
      <w:pPr>
        <w:pStyle w:val="MarkforTableTitle"/>
      </w:pPr>
      <w:r w:rsidRPr="00586F7E">
        <w:t xml:space="preserve">Table </w:t>
      </w:r>
      <w:r>
        <w:t>A.</w:t>
      </w:r>
      <w:r w:rsidRPr="00586F7E">
        <w:t xml:space="preserve">1. Data collection </w:t>
      </w:r>
    </w:p>
    <w:tbl>
      <w:tblPr>
        <w:tblStyle w:val="MPRBaseTable"/>
        <w:tblW w:w="5000" w:type="pct"/>
        <w:tblLook w:val="04A0" w:firstRow="1" w:lastRow="0" w:firstColumn="1" w:lastColumn="0" w:noHBand="0" w:noVBand="1"/>
      </w:tblPr>
      <w:tblGrid>
        <w:gridCol w:w="3040"/>
        <w:gridCol w:w="3039"/>
        <w:gridCol w:w="2394"/>
        <w:gridCol w:w="1103"/>
      </w:tblGrid>
      <w:tr w:rsidR="002F3530" w:rsidRPr="006808E1" w:rsidTr="009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87" w:type="pct"/>
          </w:tcPr>
          <w:p w:rsidR="002F3530" w:rsidRPr="006808E1" w:rsidRDefault="002F3530" w:rsidP="00963DB1">
            <w:pPr>
              <w:pStyle w:val="TableHeaderLeft"/>
              <w:rPr>
                <w:b/>
                <w:sz w:val="16"/>
                <w:szCs w:val="16"/>
              </w:rPr>
            </w:pPr>
            <w:r w:rsidRPr="006808E1">
              <w:rPr>
                <w:b/>
                <w:sz w:val="16"/>
                <w:szCs w:val="16"/>
              </w:rPr>
              <w:t>Instrument</w:t>
            </w:r>
          </w:p>
        </w:tc>
        <w:tc>
          <w:tcPr>
            <w:tcW w:w="1587" w:type="pct"/>
          </w:tcPr>
          <w:p w:rsidR="002F3530" w:rsidRPr="006808E1" w:rsidRDefault="002F3530" w:rsidP="00963DB1">
            <w:pPr>
              <w:pStyle w:val="TableHeaderCenter"/>
              <w:cnfStyle w:val="100000000000" w:firstRow="1" w:lastRow="0" w:firstColumn="0" w:lastColumn="0" w:oddVBand="0" w:evenVBand="0" w:oddHBand="0" w:evenHBand="0" w:firstRowFirstColumn="0" w:firstRowLastColumn="0" w:lastRowFirstColumn="0" w:lastRowLastColumn="0"/>
              <w:rPr>
                <w:b/>
                <w:sz w:val="16"/>
                <w:szCs w:val="16"/>
              </w:rPr>
            </w:pPr>
            <w:r w:rsidRPr="006808E1">
              <w:rPr>
                <w:b/>
                <w:sz w:val="16"/>
                <w:szCs w:val="16"/>
              </w:rPr>
              <w:t>Respondent</w:t>
            </w:r>
          </w:p>
        </w:tc>
        <w:tc>
          <w:tcPr>
            <w:tcW w:w="1250" w:type="pct"/>
          </w:tcPr>
          <w:p w:rsidR="002F3530" w:rsidRPr="006808E1" w:rsidRDefault="002F3530" w:rsidP="00963DB1">
            <w:pPr>
              <w:pStyle w:val="TableHeaderCenter"/>
              <w:cnfStyle w:val="100000000000" w:firstRow="1" w:lastRow="0" w:firstColumn="0" w:lastColumn="0" w:oddVBand="0" w:evenVBand="0" w:oddHBand="0" w:evenHBand="0" w:firstRowFirstColumn="0" w:firstRowLastColumn="0" w:lastRowFirstColumn="0" w:lastRowLastColumn="0"/>
              <w:rPr>
                <w:b/>
                <w:sz w:val="16"/>
                <w:szCs w:val="16"/>
              </w:rPr>
            </w:pPr>
            <w:r w:rsidRPr="006808E1">
              <w:rPr>
                <w:b/>
                <w:sz w:val="16"/>
                <w:szCs w:val="16"/>
              </w:rPr>
              <w:t>Mode</w:t>
            </w:r>
          </w:p>
        </w:tc>
        <w:tc>
          <w:tcPr>
            <w:tcW w:w="577" w:type="pct"/>
          </w:tcPr>
          <w:p w:rsidR="002F3530" w:rsidRPr="006808E1" w:rsidRDefault="002F3530" w:rsidP="00963DB1">
            <w:pPr>
              <w:pStyle w:val="TableHeaderCenter"/>
              <w:cnfStyle w:val="100000000000" w:firstRow="1" w:lastRow="0" w:firstColumn="0" w:lastColumn="0" w:oddVBand="0" w:evenVBand="0" w:oddHBand="0" w:evenHBand="0" w:firstRowFirstColumn="0" w:firstRowLastColumn="0" w:lastRowFirstColumn="0" w:lastRowLastColumn="0"/>
              <w:rPr>
                <w:b/>
                <w:sz w:val="16"/>
                <w:szCs w:val="16"/>
              </w:rPr>
            </w:pPr>
            <w:r w:rsidRPr="006808E1">
              <w:rPr>
                <w:b/>
                <w:sz w:val="16"/>
                <w:szCs w:val="16"/>
              </w:rPr>
              <w:t>Schedule</w:t>
            </w:r>
          </w:p>
        </w:tc>
      </w:tr>
      <w:tr w:rsidR="002F3530" w:rsidRPr="006808E1" w:rsidTr="009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pct"/>
          </w:tcPr>
          <w:p w:rsidR="002F3530" w:rsidRPr="006808E1" w:rsidRDefault="002F3530" w:rsidP="00963DB1">
            <w:pPr>
              <w:pStyle w:val="TableHeaderLeft"/>
              <w:rPr>
                <w:sz w:val="16"/>
                <w:szCs w:val="16"/>
              </w:rPr>
            </w:pPr>
            <w:r w:rsidRPr="00A44304">
              <w:rPr>
                <w:color w:val="auto"/>
                <w:sz w:val="16"/>
                <w:szCs w:val="16"/>
              </w:rPr>
              <w:t>State surveys</w:t>
            </w:r>
          </w:p>
        </w:tc>
        <w:tc>
          <w:tcPr>
            <w:tcW w:w="1587" w:type="pct"/>
          </w:tcPr>
          <w:p w:rsidR="002F3530" w:rsidRPr="006808E1" w:rsidRDefault="002F3530" w:rsidP="00963DB1">
            <w:pPr>
              <w:pStyle w:val="TableHeaderCenter"/>
              <w:cnfStyle w:val="000000100000" w:firstRow="0" w:lastRow="0" w:firstColumn="0" w:lastColumn="0" w:oddVBand="0" w:evenVBand="0" w:oddHBand="1" w:evenHBand="0" w:firstRowFirstColumn="0" w:firstRowLastColumn="0" w:lastRowFirstColumn="0" w:lastRowLastColumn="0"/>
              <w:rPr>
                <w:sz w:val="16"/>
                <w:szCs w:val="16"/>
              </w:rPr>
            </w:pPr>
          </w:p>
        </w:tc>
        <w:tc>
          <w:tcPr>
            <w:tcW w:w="1250" w:type="pct"/>
          </w:tcPr>
          <w:p w:rsidR="002F3530" w:rsidRPr="006808E1" w:rsidRDefault="002F3530" w:rsidP="00963DB1">
            <w:pPr>
              <w:pStyle w:val="TableHeaderCenter"/>
              <w:cnfStyle w:val="000000100000" w:firstRow="0" w:lastRow="0" w:firstColumn="0" w:lastColumn="0" w:oddVBand="0" w:evenVBand="0" w:oddHBand="1" w:evenHBand="0" w:firstRowFirstColumn="0" w:firstRowLastColumn="0" w:lastRowFirstColumn="0" w:lastRowLastColumn="0"/>
              <w:rPr>
                <w:sz w:val="16"/>
                <w:szCs w:val="16"/>
              </w:rPr>
            </w:pPr>
          </w:p>
        </w:tc>
        <w:tc>
          <w:tcPr>
            <w:tcW w:w="577" w:type="pct"/>
          </w:tcPr>
          <w:p w:rsidR="002F3530" w:rsidRPr="006808E1" w:rsidRDefault="002F3530" w:rsidP="00963DB1">
            <w:pPr>
              <w:pStyle w:val="TableHeaderCenter"/>
              <w:cnfStyle w:val="000000100000" w:firstRow="0" w:lastRow="0" w:firstColumn="0" w:lastColumn="0" w:oddVBand="0" w:evenVBand="0" w:oddHBand="1" w:evenHBand="0" w:firstRowFirstColumn="0" w:firstRowLastColumn="0" w:lastRowFirstColumn="0" w:lastRowLastColumn="0"/>
              <w:rPr>
                <w:sz w:val="16"/>
                <w:szCs w:val="16"/>
              </w:rPr>
            </w:pPr>
          </w:p>
        </w:tc>
      </w:tr>
      <w:tr w:rsidR="002F3530" w:rsidRPr="00BD3011" w:rsidTr="00963D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pct"/>
          </w:tcPr>
          <w:p w:rsidR="002F3530" w:rsidRPr="001A4E20" w:rsidRDefault="002F3530" w:rsidP="00963DB1">
            <w:pPr>
              <w:pStyle w:val="TableText"/>
              <w:spacing w:before="60" w:after="60"/>
              <w:ind w:left="162"/>
              <w:contextualSpacing w:val="0"/>
              <w:rPr>
                <w:rFonts w:eastAsia="Calibri" w:cs="Arial"/>
                <w:sz w:val="16"/>
                <w:szCs w:val="16"/>
              </w:rPr>
            </w:pPr>
            <w:r w:rsidRPr="001A4E20">
              <w:rPr>
                <w:rFonts w:eastAsia="Calibri" w:cs="Arial"/>
                <w:sz w:val="16"/>
                <w:szCs w:val="16"/>
              </w:rPr>
              <w:t xml:space="preserve">IDEA </w:t>
            </w:r>
            <w:r>
              <w:rPr>
                <w:rFonts w:eastAsia="Calibri" w:cs="Arial"/>
                <w:sz w:val="16"/>
                <w:szCs w:val="16"/>
              </w:rPr>
              <w:t>Part C infants and toddlers program</w:t>
            </w:r>
            <w:r w:rsidRPr="001A4E20">
              <w:rPr>
                <w:rFonts w:eastAsia="Calibri" w:cs="Arial"/>
                <w:sz w:val="16"/>
                <w:szCs w:val="16"/>
              </w:rPr>
              <w:t xml:space="preserve"> state survey</w:t>
            </w:r>
          </w:p>
        </w:tc>
        <w:tc>
          <w:tcPr>
            <w:tcW w:w="1587" w:type="pct"/>
          </w:tcPr>
          <w:p w:rsidR="002F3530" w:rsidRPr="00BD3011" w:rsidRDefault="002F3530" w:rsidP="00963DB1">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State IDEA Part C infants and toddlers program coordinator</w:t>
            </w:r>
          </w:p>
        </w:tc>
        <w:tc>
          <w:tcPr>
            <w:tcW w:w="1250" w:type="pct"/>
          </w:tcPr>
          <w:p w:rsidR="002F3530" w:rsidRPr="00BD3011" w:rsidRDefault="002F3530" w:rsidP="00963DB1">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rPr>
                <w:rFonts w:eastAsia="Calibri"/>
                <w:sz w:val="16"/>
                <w:szCs w:val="16"/>
              </w:rPr>
            </w:pPr>
            <w:r w:rsidRPr="005F08C0">
              <w:rPr>
                <w:rFonts w:eastAsia="Calibri"/>
                <w:sz w:val="16"/>
                <w:szCs w:val="16"/>
              </w:rPr>
              <w:t>60-minute web-based survey</w:t>
            </w:r>
          </w:p>
        </w:tc>
        <w:tc>
          <w:tcPr>
            <w:tcW w:w="577" w:type="pct"/>
          </w:tcPr>
          <w:p w:rsidR="002F3530" w:rsidRPr="00BD3011" w:rsidRDefault="002F3530" w:rsidP="00963DB1">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Fall 2019</w:t>
            </w:r>
          </w:p>
        </w:tc>
      </w:tr>
      <w:tr w:rsidR="002F3530" w:rsidRPr="00BD3011" w:rsidTr="009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pct"/>
          </w:tcPr>
          <w:p w:rsidR="002F3530" w:rsidRPr="00BD3011" w:rsidRDefault="002F3530" w:rsidP="00963DB1">
            <w:pPr>
              <w:pStyle w:val="TableText"/>
              <w:spacing w:before="60" w:after="60"/>
              <w:ind w:left="162"/>
              <w:contextualSpacing w:val="0"/>
              <w:rPr>
                <w:rFonts w:eastAsia="Calibri" w:cs="Arial"/>
                <w:sz w:val="16"/>
                <w:szCs w:val="16"/>
              </w:rPr>
            </w:pPr>
            <w:r w:rsidRPr="001A4E20">
              <w:rPr>
                <w:rFonts w:eastAsia="Calibri" w:cs="Arial"/>
                <w:sz w:val="16"/>
                <w:szCs w:val="16"/>
              </w:rPr>
              <w:t xml:space="preserve">IDEA </w:t>
            </w:r>
            <w:r>
              <w:rPr>
                <w:rFonts w:eastAsia="Calibri" w:cs="Arial"/>
                <w:sz w:val="16"/>
                <w:szCs w:val="16"/>
              </w:rPr>
              <w:t>Part B program for preschool-age children</w:t>
            </w:r>
            <w:r w:rsidRPr="001A4E20">
              <w:rPr>
                <w:rFonts w:eastAsia="Calibri" w:cs="Arial"/>
                <w:sz w:val="16"/>
                <w:szCs w:val="16"/>
              </w:rPr>
              <w:t xml:space="preserve"> state survey</w:t>
            </w:r>
          </w:p>
        </w:tc>
        <w:tc>
          <w:tcPr>
            <w:tcW w:w="1587" w:type="pct"/>
          </w:tcPr>
          <w:p w:rsidR="002F3530" w:rsidRPr="00BD3011" w:rsidRDefault="002F3530" w:rsidP="00963DB1">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rPr>
                <w:sz w:val="16"/>
                <w:szCs w:val="16"/>
              </w:rPr>
            </w:pPr>
            <w:r w:rsidRPr="006E4DEE">
              <w:rPr>
                <w:sz w:val="16"/>
                <w:szCs w:val="16"/>
              </w:rPr>
              <w:t xml:space="preserve">State IDEA </w:t>
            </w:r>
            <w:r>
              <w:rPr>
                <w:sz w:val="16"/>
                <w:szCs w:val="16"/>
              </w:rPr>
              <w:t>Part B program for preschool-age children</w:t>
            </w:r>
            <w:r w:rsidRPr="006E4DEE">
              <w:rPr>
                <w:sz w:val="16"/>
                <w:szCs w:val="16"/>
              </w:rPr>
              <w:t xml:space="preserve"> </w:t>
            </w:r>
            <w:r>
              <w:rPr>
                <w:sz w:val="16"/>
                <w:szCs w:val="16"/>
              </w:rPr>
              <w:t>c</w:t>
            </w:r>
            <w:r w:rsidRPr="006E4DEE">
              <w:rPr>
                <w:sz w:val="16"/>
                <w:szCs w:val="16"/>
              </w:rPr>
              <w:t>oordinator</w:t>
            </w:r>
          </w:p>
        </w:tc>
        <w:tc>
          <w:tcPr>
            <w:tcW w:w="1250" w:type="pct"/>
          </w:tcPr>
          <w:p w:rsidR="002F3530" w:rsidRPr="00BD3011" w:rsidRDefault="002F3530" w:rsidP="00963DB1">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rPr>
                <w:rFonts w:eastAsia="Calibri" w:cs="Arial"/>
                <w:sz w:val="16"/>
                <w:szCs w:val="16"/>
              </w:rPr>
            </w:pPr>
            <w:r w:rsidRPr="005F08C0">
              <w:rPr>
                <w:rFonts w:eastAsia="Calibri" w:cs="Arial"/>
                <w:sz w:val="16"/>
                <w:szCs w:val="16"/>
              </w:rPr>
              <w:t>60-minute web-based survey</w:t>
            </w:r>
          </w:p>
        </w:tc>
        <w:tc>
          <w:tcPr>
            <w:tcW w:w="577" w:type="pct"/>
          </w:tcPr>
          <w:p w:rsidR="002F3530" w:rsidRPr="00BD3011" w:rsidRDefault="002F3530" w:rsidP="00963DB1">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Fall</w:t>
            </w:r>
            <w:r w:rsidRPr="006E4DEE">
              <w:rPr>
                <w:sz w:val="16"/>
                <w:szCs w:val="16"/>
              </w:rPr>
              <w:t xml:space="preserve"> 2019</w:t>
            </w:r>
          </w:p>
        </w:tc>
      </w:tr>
      <w:tr w:rsidR="002F3530" w:rsidRPr="00BD3011" w:rsidTr="00963D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pct"/>
          </w:tcPr>
          <w:p w:rsidR="002F3530" w:rsidRPr="001A4E20" w:rsidRDefault="002F3530" w:rsidP="00963DB1">
            <w:pPr>
              <w:pStyle w:val="TableText"/>
              <w:spacing w:before="60" w:after="60"/>
              <w:ind w:left="162"/>
              <w:contextualSpacing w:val="0"/>
              <w:rPr>
                <w:rFonts w:eastAsia="Calibri" w:cs="Arial"/>
                <w:sz w:val="16"/>
                <w:szCs w:val="16"/>
              </w:rPr>
            </w:pPr>
            <w:r w:rsidRPr="001A4E20">
              <w:rPr>
                <w:rFonts w:eastAsia="Calibri" w:cs="Arial"/>
                <w:sz w:val="16"/>
                <w:szCs w:val="16"/>
              </w:rPr>
              <w:t xml:space="preserve">IDEA </w:t>
            </w:r>
            <w:r>
              <w:rPr>
                <w:rFonts w:eastAsia="Calibri" w:cs="Arial"/>
                <w:sz w:val="16"/>
                <w:szCs w:val="16"/>
              </w:rPr>
              <w:t>Part B program for school-age children</w:t>
            </w:r>
            <w:r w:rsidRPr="001A4E20">
              <w:rPr>
                <w:rFonts w:eastAsia="Calibri" w:cs="Arial"/>
                <w:sz w:val="16"/>
                <w:szCs w:val="16"/>
              </w:rPr>
              <w:t xml:space="preserve"> state survey</w:t>
            </w:r>
          </w:p>
        </w:tc>
        <w:tc>
          <w:tcPr>
            <w:tcW w:w="1587" w:type="pct"/>
          </w:tcPr>
          <w:p w:rsidR="002F3530" w:rsidRPr="00BD3011" w:rsidRDefault="002F3530" w:rsidP="00963DB1">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rPr>
                <w:sz w:val="16"/>
                <w:szCs w:val="16"/>
              </w:rPr>
            </w:pPr>
            <w:r w:rsidRPr="006E4DEE">
              <w:rPr>
                <w:sz w:val="16"/>
                <w:szCs w:val="16"/>
              </w:rPr>
              <w:t xml:space="preserve">State </w:t>
            </w:r>
            <w:r>
              <w:rPr>
                <w:sz w:val="16"/>
                <w:szCs w:val="16"/>
              </w:rPr>
              <w:t>special education director</w:t>
            </w:r>
          </w:p>
        </w:tc>
        <w:tc>
          <w:tcPr>
            <w:tcW w:w="1250" w:type="pct"/>
          </w:tcPr>
          <w:p w:rsidR="002F3530" w:rsidRPr="00BD3011" w:rsidRDefault="002F3530" w:rsidP="00963DB1">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rPr>
                <w:rFonts w:eastAsia="Calibri"/>
                <w:sz w:val="16"/>
                <w:szCs w:val="16"/>
              </w:rPr>
            </w:pPr>
            <w:r w:rsidRPr="005F08C0">
              <w:rPr>
                <w:rFonts w:eastAsia="Calibri"/>
                <w:sz w:val="16"/>
                <w:szCs w:val="16"/>
              </w:rPr>
              <w:t xml:space="preserve">60-minute web-based survey </w:t>
            </w:r>
          </w:p>
        </w:tc>
        <w:tc>
          <w:tcPr>
            <w:tcW w:w="577" w:type="pct"/>
          </w:tcPr>
          <w:p w:rsidR="002F3530" w:rsidRPr="00BD3011" w:rsidRDefault="002F3530" w:rsidP="00963DB1">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Fall</w:t>
            </w:r>
            <w:r w:rsidRPr="006E4DEE">
              <w:rPr>
                <w:sz w:val="16"/>
                <w:szCs w:val="16"/>
              </w:rPr>
              <w:t xml:space="preserve"> 2019</w:t>
            </w:r>
          </w:p>
        </w:tc>
      </w:tr>
      <w:tr w:rsidR="002F3530" w:rsidRPr="00BD3011" w:rsidTr="009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pct"/>
          </w:tcPr>
          <w:p w:rsidR="002F3530" w:rsidRPr="00510828" w:rsidRDefault="002F3530" w:rsidP="00963DB1">
            <w:pPr>
              <w:pStyle w:val="TableText"/>
              <w:spacing w:before="60" w:after="60"/>
              <w:rPr>
                <w:rFonts w:eastAsia="Calibri" w:cs="Arial"/>
                <w:b/>
                <w:sz w:val="16"/>
                <w:szCs w:val="16"/>
              </w:rPr>
            </w:pPr>
            <w:r>
              <w:rPr>
                <w:rFonts w:eastAsia="Calibri" w:cs="Arial"/>
                <w:b/>
                <w:sz w:val="16"/>
                <w:szCs w:val="16"/>
              </w:rPr>
              <w:t>District surveys</w:t>
            </w:r>
          </w:p>
        </w:tc>
        <w:tc>
          <w:tcPr>
            <w:tcW w:w="1587" w:type="pct"/>
          </w:tcPr>
          <w:p w:rsidR="002F3530" w:rsidRPr="006E4DEE" w:rsidRDefault="002F3530" w:rsidP="00963DB1">
            <w:pPr>
              <w:pStyle w:val="TableText"/>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c>
          <w:tcPr>
            <w:tcW w:w="1250" w:type="pct"/>
          </w:tcPr>
          <w:p w:rsidR="002F3530" w:rsidRPr="005F08C0" w:rsidRDefault="002F3530" w:rsidP="00963DB1">
            <w:pPr>
              <w:pStyle w:val="TableText"/>
              <w:spacing w:before="60" w:after="60"/>
              <w:cnfStyle w:val="000000100000" w:firstRow="0" w:lastRow="0" w:firstColumn="0" w:lastColumn="0" w:oddVBand="0" w:evenVBand="0" w:oddHBand="1" w:evenHBand="0" w:firstRowFirstColumn="0" w:firstRowLastColumn="0" w:lastRowFirstColumn="0" w:lastRowLastColumn="0"/>
              <w:rPr>
                <w:rFonts w:eastAsia="Calibri"/>
                <w:sz w:val="16"/>
                <w:szCs w:val="16"/>
              </w:rPr>
            </w:pPr>
          </w:p>
        </w:tc>
        <w:tc>
          <w:tcPr>
            <w:tcW w:w="577" w:type="pct"/>
          </w:tcPr>
          <w:p w:rsidR="002F3530" w:rsidRPr="006E4DEE" w:rsidDel="00632CB2" w:rsidRDefault="002F3530" w:rsidP="00963DB1">
            <w:pPr>
              <w:pStyle w:val="TableText"/>
              <w:spacing w:before="60" w:after="60"/>
              <w:cnfStyle w:val="000000100000" w:firstRow="0" w:lastRow="0" w:firstColumn="0" w:lastColumn="0" w:oddVBand="0" w:evenVBand="0" w:oddHBand="1" w:evenHBand="0" w:firstRowFirstColumn="0" w:firstRowLastColumn="0" w:lastRowFirstColumn="0" w:lastRowLastColumn="0"/>
              <w:rPr>
                <w:sz w:val="16"/>
                <w:szCs w:val="16"/>
              </w:rPr>
            </w:pPr>
          </w:p>
        </w:tc>
      </w:tr>
      <w:tr w:rsidR="002F3530" w:rsidRPr="00BD3011" w:rsidTr="00963D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pct"/>
          </w:tcPr>
          <w:p w:rsidR="002F3530" w:rsidRPr="001A4E20" w:rsidRDefault="002F3530" w:rsidP="00963DB1">
            <w:pPr>
              <w:pStyle w:val="TableText"/>
              <w:spacing w:before="60" w:after="60"/>
              <w:ind w:left="162"/>
              <w:contextualSpacing w:val="0"/>
              <w:rPr>
                <w:rFonts w:eastAsia="Calibri" w:cs="Arial"/>
                <w:sz w:val="16"/>
                <w:szCs w:val="16"/>
              </w:rPr>
            </w:pPr>
            <w:r w:rsidRPr="001A4E20">
              <w:rPr>
                <w:rFonts w:eastAsia="Calibri" w:cs="Arial"/>
                <w:sz w:val="16"/>
                <w:szCs w:val="16"/>
              </w:rPr>
              <w:t xml:space="preserve">IDEA </w:t>
            </w:r>
            <w:r>
              <w:rPr>
                <w:rFonts w:eastAsia="Calibri" w:cs="Arial"/>
                <w:sz w:val="16"/>
                <w:szCs w:val="16"/>
              </w:rPr>
              <w:t>Part B program for preschool-age children</w:t>
            </w:r>
            <w:r w:rsidRPr="001A4E20">
              <w:rPr>
                <w:rFonts w:eastAsia="Calibri" w:cs="Arial"/>
                <w:sz w:val="16"/>
                <w:szCs w:val="16"/>
              </w:rPr>
              <w:t xml:space="preserve"> district survey</w:t>
            </w:r>
          </w:p>
        </w:tc>
        <w:tc>
          <w:tcPr>
            <w:tcW w:w="1587" w:type="pct"/>
          </w:tcPr>
          <w:p w:rsidR="002F3530" w:rsidRPr="00BD3011" w:rsidRDefault="002F3530" w:rsidP="00963DB1">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District</w:t>
            </w:r>
            <w:r w:rsidRPr="006E4DEE">
              <w:rPr>
                <w:sz w:val="16"/>
                <w:szCs w:val="16"/>
              </w:rPr>
              <w:t xml:space="preserve"> </w:t>
            </w:r>
            <w:r>
              <w:rPr>
                <w:sz w:val="16"/>
                <w:szCs w:val="16"/>
              </w:rPr>
              <w:t xml:space="preserve">IDEA Part B program for preschool-age children coordinator </w:t>
            </w:r>
          </w:p>
        </w:tc>
        <w:tc>
          <w:tcPr>
            <w:tcW w:w="1250" w:type="pct"/>
          </w:tcPr>
          <w:p w:rsidR="002F3530" w:rsidRPr="00BD3011" w:rsidRDefault="002F3530" w:rsidP="00963DB1">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rPr>
                <w:sz w:val="16"/>
                <w:szCs w:val="16"/>
              </w:rPr>
            </w:pPr>
            <w:r w:rsidRPr="00FB402D">
              <w:rPr>
                <w:sz w:val="16"/>
                <w:szCs w:val="16"/>
              </w:rPr>
              <w:t>60-minute web-based survey</w:t>
            </w:r>
          </w:p>
        </w:tc>
        <w:tc>
          <w:tcPr>
            <w:tcW w:w="577" w:type="pct"/>
          </w:tcPr>
          <w:p w:rsidR="002F3530" w:rsidRPr="00BD3011" w:rsidRDefault="002F3530" w:rsidP="00963DB1">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Fall</w:t>
            </w:r>
            <w:r w:rsidRPr="006E4DEE">
              <w:rPr>
                <w:sz w:val="16"/>
                <w:szCs w:val="16"/>
              </w:rPr>
              <w:t xml:space="preserve"> 2019</w:t>
            </w:r>
          </w:p>
        </w:tc>
      </w:tr>
      <w:tr w:rsidR="002F3530" w:rsidRPr="00BD3011" w:rsidTr="009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pct"/>
          </w:tcPr>
          <w:p w:rsidR="002F3530" w:rsidRPr="001A4E20" w:rsidRDefault="002F3530" w:rsidP="00963DB1">
            <w:pPr>
              <w:pStyle w:val="TableText"/>
              <w:spacing w:before="60" w:after="60"/>
              <w:ind w:left="162"/>
              <w:contextualSpacing w:val="0"/>
              <w:rPr>
                <w:rFonts w:eastAsia="Calibri" w:cs="Arial"/>
                <w:sz w:val="16"/>
                <w:szCs w:val="16"/>
              </w:rPr>
            </w:pPr>
            <w:r w:rsidRPr="001A4E20">
              <w:rPr>
                <w:rFonts w:eastAsia="Calibri" w:cs="Arial"/>
                <w:sz w:val="16"/>
                <w:szCs w:val="16"/>
              </w:rPr>
              <w:t xml:space="preserve">IDEA </w:t>
            </w:r>
            <w:r>
              <w:rPr>
                <w:rFonts w:eastAsia="Calibri" w:cs="Arial"/>
                <w:sz w:val="16"/>
                <w:szCs w:val="16"/>
              </w:rPr>
              <w:t>Part B program for school-age children</w:t>
            </w:r>
            <w:r w:rsidRPr="001A4E20">
              <w:rPr>
                <w:rFonts w:eastAsia="Calibri" w:cs="Arial"/>
                <w:sz w:val="16"/>
                <w:szCs w:val="16"/>
              </w:rPr>
              <w:t xml:space="preserve"> district survey</w:t>
            </w:r>
          </w:p>
        </w:tc>
        <w:tc>
          <w:tcPr>
            <w:tcW w:w="1587" w:type="pct"/>
          </w:tcPr>
          <w:p w:rsidR="002F3530" w:rsidRPr="00BD3011" w:rsidRDefault="002F3530" w:rsidP="00963DB1">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District</w:t>
            </w:r>
            <w:r w:rsidRPr="006E4DEE">
              <w:rPr>
                <w:sz w:val="16"/>
                <w:szCs w:val="16"/>
              </w:rPr>
              <w:t xml:space="preserve"> </w:t>
            </w:r>
            <w:r>
              <w:rPr>
                <w:sz w:val="16"/>
                <w:szCs w:val="16"/>
              </w:rPr>
              <w:t>special education</w:t>
            </w:r>
            <w:r w:rsidRPr="006E4DEE">
              <w:rPr>
                <w:sz w:val="16"/>
                <w:szCs w:val="16"/>
              </w:rPr>
              <w:t xml:space="preserve"> </w:t>
            </w:r>
            <w:r>
              <w:rPr>
                <w:sz w:val="16"/>
                <w:szCs w:val="16"/>
              </w:rPr>
              <w:t>director</w:t>
            </w:r>
          </w:p>
        </w:tc>
        <w:tc>
          <w:tcPr>
            <w:tcW w:w="1250" w:type="pct"/>
          </w:tcPr>
          <w:p w:rsidR="002F3530" w:rsidRPr="00BD3011" w:rsidRDefault="002F3530" w:rsidP="00963DB1">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rPr>
                <w:rFonts w:eastAsia="Calibri"/>
                <w:sz w:val="16"/>
                <w:szCs w:val="16"/>
              </w:rPr>
            </w:pPr>
            <w:r w:rsidRPr="00FB402D">
              <w:rPr>
                <w:rFonts w:eastAsia="Calibri"/>
                <w:sz w:val="16"/>
                <w:szCs w:val="16"/>
              </w:rPr>
              <w:t>60-minute web-based survey</w:t>
            </w:r>
          </w:p>
        </w:tc>
        <w:tc>
          <w:tcPr>
            <w:tcW w:w="577" w:type="pct"/>
          </w:tcPr>
          <w:p w:rsidR="002F3530" w:rsidRPr="00BD3011" w:rsidRDefault="002F3530" w:rsidP="00963DB1">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Fall</w:t>
            </w:r>
            <w:r w:rsidRPr="006E4DEE">
              <w:rPr>
                <w:sz w:val="16"/>
                <w:szCs w:val="16"/>
              </w:rPr>
              <w:t xml:space="preserve"> 2019</w:t>
            </w:r>
          </w:p>
        </w:tc>
      </w:tr>
      <w:tr w:rsidR="002F3530" w:rsidRPr="00BD3011" w:rsidTr="00963D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pct"/>
          </w:tcPr>
          <w:p w:rsidR="002F3530" w:rsidRPr="00510828" w:rsidRDefault="002F3530" w:rsidP="00963DB1">
            <w:pPr>
              <w:pStyle w:val="TableText"/>
              <w:spacing w:before="60" w:after="60"/>
              <w:rPr>
                <w:rFonts w:eastAsia="Calibri" w:cs="Arial"/>
                <w:b/>
                <w:sz w:val="16"/>
                <w:szCs w:val="16"/>
              </w:rPr>
            </w:pPr>
            <w:r w:rsidRPr="00510828">
              <w:rPr>
                <w:rFonts w:eastAsia="Calibri" w:cs="Arial"/>
                <w:b/>
                <w:sz w:val="16"/>
                <w:szCs w:val="16"/>
              </w:rPr>
              <w:t>School survey</w:t>
            </w:r>
          </w:p>
        </w:tc>
        <w:tc>
          <w:tcPr>
            <w:tcW w:w="1587" w:type="pct"/>
          </w:tcPr>
          <w:p w:rsidR="002F3530" w:rsidRDefault="002F3530" w:rsidP="00963DB1">
            <w:pPr>
              <w:pStyle w:val="TableText"/>
              <w:spacing w:before="60" w:after="60"/>
              <w:cnfStyle w:val="000000010000" w:firstRow="0" w:lastRow="0" w:firstColumn="0" w:lastColumn="0" w:oddVBand="0" w:evenVBand="0" w:oddHBand="0" w:evenHBand="1" w:firstRowFirstColumn="0" w:firstRowLastColumn="0" w:lastRowFirstColumn="0" w:lastRowLastColumn="0"/>
              <w:rPr>
                <w:sz w:val="16"/>
                <w:szCs w:val="16"/>
              </w:rPr>
            </w:pPr>
          </w:p>
        </w:tc>
        <w:tc>
          <w:tcPr>
            <w:tcW w:w="1250" w:type="pct"/>
          </w:tcPr>
          <w:p w:rsidR="002F3530" w:rsidRPr="00FB402D" w:rsidRDefault="002F3530" w:rsidP="00963DB1">
            <w:pPr>
              <w:pStyle w:val="TableText"/>
              <w:spacing w:before="60" w:after="60"/>
              <w:cnfStyle w:val="000000010000" w:firstRow="0" w:lastRow="0" w:firstColumn="0" w:lastColumn="0" w:oddVBand="0" w:evenVBand="0" w:oddHBand="0" w:evenHBand="1" w:firstRowFirstColumn="0" w:firstRowLastColumn="0" w:lastRowFirstColumn="0" w:lastRowLastColumn="0"/>
              <w:rPr>
                <w:rFonts w:eastAsia="Calibri"/>
                <w:sz w:val="16"/>
                <w:szCs w:val="16"/>
              </w:rPr>
            </w:pPr>
          </w:p>
        </w:tc>
        <w:tc>
          <w:tcPr>
            <w:tcW w:w="577" w:type="pct"/>
          </w:tcPr>
          <w:p w:rsidR="002F3530" w:rsidRPr="006E4DEE" w:rsidDel="00632CB2" w:rsidRDefault="002F3530" w:rsidP="00963DB1">
            <w:pPr>
              <w:pStyle w:val="TableText"/>
              <w:spacing w:before="60" w:after="60"/>
              <w:cnfStyle w:val="000000010000" w:firstRow="0" w:lastRow="0" w:firstColumn="0" w:lastColumn="0" w:oddVBand="0" w:evenVBand="0" w:oddHBand="0" w:evenHBand="1" w:firstRowFirstColumn="0" w:firstRowLastColumn="0" w:lastRowFirstColumn="0" w:lastRowLastColumn="0"/>
              <w:rPr>
                <w:sz w:val="16"/>
                <w:szCs w:val="16"/>
              </w:rPr>
            </w:pPr>
          </w:p>
        </w:tc>
      </w:tr>
      <w:tr w:rsidR="002F3530" w:rsidRPr="00BD3011" w:rsidTr="009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pct"/>
          </w:tcPr>
          <w:p w:rsidR="002F3530" w:rsidRPr="001A4E20" w:rsidRDefault="002F3530" w:rsidP="00963DB1">
            <w:pPr>
              <w:pStyle w:val="TableText"/>
              <w:spacing w:before="60" w:after="60"/>
              <w:ind w:left="162"/>
              <w:contextualSpacing w:val="0"/>
              <w:rPr>
                <w:rFonts w:eastAsia="Calibri" w:cs="Arial"/>
                <w:sz w:val="16"/>
                <w:szCs w:val="16"/>
              </w:rPr>
            </w:pPr>
            <w:r w:rsidRPr="001A4E20">
              <w:rPr>
                <w:rFonts w:eastAsia="Calibri" w:cs="Arial"/>
                <w:sz w:val="16"/>
                <w:szCs w:val="16"/>
              </w:rPr>
              <w:t>IDEA Part B school survey</w:t>
            </w:r>
          </w:p>
        </w:tc>
        <w:tc>
          <w:tcPr>
            <w:tcW w:w="1587" w:type="pct"/>
          </w:tcPr>
          <w:p w:rsidR="002F3530" w:rsidRPr="00BD3011" w:rsidRDefault="002F3530" w:rsidP="00963DB1">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School principal </w:t>
            </w:r>
            <w:r>
              <w:rPr>
                <w:sz w:val="16"/>
                <w:szCs w:val="16"/>
              </w:rPr>
              <w:br/>
              <w:t>or lead special education staff</w:t>
            </w:r>
          </w:p>
        </w:tc>
        <w:tc>
          <w:tcPr>
            <w:tcW w:w="1250" w:type="pct"/>
          </w:tcPr>
          <w:p w:rsidR="002F3530" w:rsidRPr="00BD3011" w:rsidRDefault="002F3530" w:rsidP="00963DB1">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rPr>
                <w:rFonts w:eastAsia="Calibri"/>
                <w:sz w:val="16"/>
                <w:szCs w:val="16"/>
              </w:rPr>
            </w:pPr>
            <w:r>
              <w:rPr>
                <w:rFonts w:eastAsia="Calibri"/>
                <w:sz w:val="16"/>
                <w:szCs w:val="16"/>
              </w:rPr>
              <w:t>45-minute web-based survey</w:t>
            </w:r>
          </w:p>
        </w:tc>
        <w:tc>
          <w:tcPr>
            <w:tcW w:w="577" w:type="pct"/>
          </w:tcPr>
          <w:p w:rsidR="002F3530" w:rsidRPr="00BD3011" w:rsidRDefault="002F3530" w:rsidP="00963DB1">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Fall</w:t>
            </w:r>
            <w:r w:rsidRPr="008D574D">
              <w:rPr>
                <w:sz w:val="16"/>
                <w:szCs w:val="16"/>
              </w:rPr>
              <w:t xml:space="preserve"> 2019</w:t>
            </w:r>
          </w:p>
        </w:tc>
      </w:tr>
    </w:tbl>
    <w:p w:rsidR="002F3530" w:rsidRDefault="002F3530" w:rsidP="002F3530">
      <w:pPr>
        <w:spacing w:line="240" w:lineRule="auto"/>
      </w:pPr>
    </w:p>
    <w:p w:rsidR="002F3530" w:rsidRPr="00EA2B0E" w:rsidRDefault="002F3530" w:rsidP="002F3530">
      <w:pPr>
        <w:spacing w:after="240" w:line="240" w:lineRule="auto"/>
        <w:ind w:firstLine="0"/>
        <w:rPr>
          <w:b/>
        </w:rPr>
      </w:pPr>
      <w:r w:rsidRPr="00EA2B0E">
        <w:rPr>
          <w:b/>
        </w:rPr>
        <w:t>State surveys</w:t>
      </w:r>
    </w:p>
    <w:p w:rsidR="002F3530" w:rsidRDefault="008B3520" w:rsidP="002F3530">
      <w:pPr>
        <w:pStyle w:val="NormalSS"/>
      </w:pPr>
      <w:r>
        <w:t>At the state level, the</w:t>
      </w:r>
      <w:r w:rsidR="00DF3B14">
        <w:t xml:space="preserve"> study team will administer three separate surveys </w:t>
      </w:r>
      <w:r w:rsidR="00883C4B">
        <w:t xml:space="preserve">that </w:t>
      </w:r>
      <w:r w:rsidR="002F3530">
        <w:t>focus on the Part C program for infants and toddlers (</w:t>
      </w:r>
      <w:r w:rsidR="000148E1">
        <w:t xml:space="preserve">administered </w:t>
      </w:r>
      <w:r w:rsidR="00A160D8">
        <w:t xml:space="preserve">to the Part C infants and toddlers program coordinator; see </w:t>
      </w:r>
      <w:r w:rsidR="002F3530">
        <w:t>Appendix A.2), the Part B program for preschool-age children (</w:t>
      </w:r>
      <w:r w:rsidR="009360FB">
        <w:t xml:space="preserve">administered to the Part B program </w:t>
      </w:r>
      <w:r w:rsidR="00AD3075">
        <w:t xml:space="preserve">for preschool-age children coordinator; see </w:t>
      </w:r>
      <w:r w:rsidR="002F3530">
        <w:t>Appendix A.3), and the Part B program for school-age children and youth (</w:t>
      </w:r>
      <w:r w:rsidR="00AD3075">
        <w:t xml:space="preserve">administered to the special education director; see </w:t>
      </w:r>
      <w:r w:rsidR="002F3530">
        <w:t xml:space="preserve">Appendix A.4), respectively. </w:t>
      </w:r>
      <w:r w:rsidR="00883C4B">
        <w:t xml:space="preserve">Three surveys are necessary because different state administrators are likely to oversee IDEA programs for children at those different age levels. </w:t>
      </w:r>
      <w:r w:rsidR="002F3530">
        <w:t xml:space="preserve">The survey topics focus on state policies about the identification of children with disabilities, supports for children with disabilities, the use of evidence from research, and the allocation of special education resources. </w:t>
      </w:r>
    </w:p>
    <w:p w:rsidR="002F3530" w:rsidRDefault="00390E35" w:rsidP="002F3530">
      <w:pPr>
        <w:pStyle w:val="NormalSS"/>
      </w:pPr>
      <w:r>
        <w:t>T</w:t>
      </w:r>
      <w:r w:rsidR="002F3530" w:rsidRPr="00C25532">
        <w:t>he</w:t>
      </w:r>
      <w:r w:rsidR="002F3530">
        <w:t xml:space="preserve"> study team will administer surveys to the </w:t>
      </w:r>
      <w:r w:rsidR="00AD3075">
        <w:t>respondents</w:t>
      </w:r>
      <w:r w:rsidR="002F3530">
        <w:t xml:space="preserve"> in each state, the District of Columbia, and other territories. The contact information for respondents will be obtained from up-to-date online lists from the National </w:t>
      </w:r>
      <w:r w:rsidR="002F3530" w:rsidRPr="00AB7464">
        <w:t xml:space="preserve">Association of State Directors of Special Education and </w:t>
      </w:r>
      <w:r w:rsidR="002F3530">
        <w:t xml:space="preserve">from </w:t>
      </w:r>
      <w:r w:rsidR="002F3530" w:rsidRPr="00AB7464">
        <w:t>the Early Childhood Technical Assistance Center (</w:t>
      </w:r>
      <w:r w:rsidR="002F3530">
        <w:t>for The IDEA Part C infants and toddlers program and IDEA Part B program for preschool-age children</w:t>
      </w:r>
      <w:r w:rsidR="002F3530" w:rsidRPr="00AB7464">
        <w:t xml:space="preserve"> coordinators). The targeted time to complete each </w:t>
      </w:r>
      <w:r w:rsidR="00E62D5B">
        <w:t>survey</w:t>
      </w:r>
      <w:r w:rsidR="002F3530" w:rsidRPr="00AB7464">
        <w:t xml:space="preserve"> will be 60 minutes, the same length as the IDEA-NAIS state surveys. </w:t>
      </w:r>
      <w:r w:rsidR="00963DB1">
        <w:t xml:space="preserve">IDEA is a </w:t>
      </w:r>
      <w:r w:rsidR="00E556F9">
        <w:t xml:space="preserve">comprehensive law, and the state policies on identification and supports for children with disabilities and use of evidence from research, and the allocation of special education resources are complex. Obtaining information on such issues requires </w:t>
      </w:r>
      <w:r w:rsidR="00E62D5B">
        <w:t xml:space="preserve">surveys </w:t>
      </w:r>
      <w:r w:rsidR="00E556F9">
        <w:t xml:space="preserve">of this length. </w:t>
      </w:r>
      <w:r w:rsidR="002F3530" w:rsidRPr="00AB7464">
        <w:t>The surveys will be administered electronically and optimized for mobile phones. This will allow respondents to start and stop the survey as needed to accommodate schedules and gather data needed to</w:t>
      </w:r>
      <w:r w:rsidR="002F3530">
        <w:t xml:space="preserve"> complete the survey. As recipients of IDEA funding, it is expected that all states will respond to the surveys (</w:t>
      </w:r>
      <w:r w:rsidR="002F3530" w:rsidRPr="00F3782A">
        <w:t>Education Department General Administrative Regulations</w:t>
      </w:r>
      <w:r w:rsidR="002F3530">
        <w:t>,</w:t>
      </w:r>
      <w:r w:rsidR="002F3530" w:rsidRPr="00F3782A">
        <w:t xml:space="preserve"> 34 C.F.R. § 76.591).</w:t>
      </w:r>
    </w:p>
    <w:p w:rsidR="002F3530" w:rsidRPr="00EA2B0E" w:rsidRDefault="002F3530" w:rsidP="002F3530">
      <w:pPr>
        <w:spacing w:after="240" w:line="240" w:lineRule="auto"/>
        <w:ind w:firstLine="0"/>
        <w:rPr>
          <w:b/>
        </w:rPr>
      </w:pPr>
      <w:r w:rsidRPr="00EA2B0E">
        <w:rPr>
          <w:b/>
        </w:rPr>
        <w:t>District surveys</w:t>
      </w:r>
    </w:p>
    <w:p w:rsidR="002F3530" w:rsidRPr="003731C0" w:rsidRDefault="001F409F" w:rsidP="002F3530">
      <w:pPr>
        <w:pStyle w:val="NormalSS"/>
      </w:pPr>
      <w:r>
        <w:t xml:space="preserve">At the district level, the study team will </w:t>
      </w:r>
      <w:r w:rsidR="00D65573">
        <w:t xml:space="preserve">administer </w:t>
      </w:r>
      <w:r w:rsidR="002F3530" w:rsidRPr="003731C0">
        <w:t xml:space="preserve">two surveys </w:t>
      </w:r>
      <w:r w:rsidR="00883C4B">
        <w:t xml:space="preserve">that </w:t>
      </w:r>
      <w:r w:rsidR="002F3530" w:rsidRPr="003731C0">
        <w:t xml:space="preserve">focus on </w:t>
      </w:r>
      <w:r w:rsidR="002F3530">
        <w:t>the IDEA Part B program for preschool-age children</w:t>
      </w:r>
      <w:r w:rsidR="002F3530" w:rsidRPr="003731C0">
        <w:t xml:space="preserve"> (</w:t>
      </w:r>
      <w:r w:rsidR="00AD3075">
        <w:t xml:space="preserve">administered to the Part B program for pre-school age children coordinator; see </w:t>
      </w:r>
      <w:r w:rsidR="002F3530" w:rsidRPr="003731C0">
        <w:t>Appendix A.</w:t>
      </w:r>
      <w:r w:rsidR="002F3530">
        <w:t>5</w:t>
      </w:r>
      <w:r w:rsidR="002F3530" w:rsidRPr="003731C0">
        <w:t xml:space="preserve">) and </w:t>
      </w:r>
      <w:r w:rsidR="002F3530">
        <w:t>the IDEA Part B program for school-age children</w:t>
      </w:r>
      <w:r w:rsidR="002F3530" w:rsidRPr="003731C0">
        <w:t xml:space="preserve"> and youth (</w:t>
      </w:r>
      <w:r w:rsidR="00AD3075">
        <w:t xml:space="preserve">administered to the special education director; see </w:t>
      </w:r>
      <w:r w:rsidR="002F3530" w:rsidRPr="003731C0">
        <w:t>Appendix A.</w:t>
      </w:r>
      <w:r w:rsidR="002F3530">
        <w:t>6</w:t>
      </w:r>
      <w:r w:rsidR="002F3530" w:rsidRPr="003731C0">
        <w:t xml:space="preserve">), respectively. </w:t>
      </w:r>
      <w:r w:rsidR="00E7583F">
        <w:t xml:space="preserve">If a district </w:t>
      </w:r>
      <w:r w:rsidR="00241716">
        <w:t xml:space="preserve">does not have an IDEA Part B program for preschool-age children coordinator, the study team will work with the district to identify the </w:t>
      </w:r>
      <w:r w:rsidR="00616A5F">
        <w:t xml:space="preserve">survey’s most appropriate respondent, likely someone in the pre-school special education leadership. </w:t>
      </w:r>
      <w:r w:rsidR="00883C4B">
        <w:t xml:space="preserve">Two surveys are necessary because different district staff members are likely to oversee IDEA programs for students at those different age levels. </w:t>
      </w:r>
      <w:r w:rsidR="002F3530" w:rsidRPr="003731C0">
        <w:t xml:space="preserve">The survey topics </w:t>
      </w:r>
      <w:r w:rsidR="002F3530">
        <w:t>are</w:t>
      </w:r>
      <w:r w:rsidR="002F3530" w:rsidRPr="003731C0">
        <w:t xml:space="preserve"> similar to those covered by the state survey except the focus </w:t>
      </w:r>
      <w:r w:rsidR="002F3530">
        <w:t>is</w:t>
      </w:r>
      <w:r w:rsidR="002F3530" w:rsidRPr="003731C0">
        <w:t xml:space="preserve"> on district policies and programs. </w:t>
      </w:r>
    </w:p>
    <w:p w:rsidR="002F3530" w:rsidRPr="003731C0" w:rsidRDefault="00390E35" w:rsidP="002F3530">
      <w:pPr>
        <w:pStyle w:val="NormalSS"/>
      </w:pPr>
      <w:r>
        <w:t>The</w:t>
      </w:r>
      <w:r w:rsidR="002F3530" w:rsidRPr="009772C8">
        <w:t xml:space="preserve"> s</w:t>
      </w:r>
      <w:r w:rsidR="002F3530" w:rsidRPr="003731C0">
        <w:t xml:space="preserve">tudy team will administer the </w:t>
      </w:r>
      <w:r w:rsidR="002F3530">
        <w:t>IDEA Part B program for preschool-age children</w:t>
      </w:r>
      <w:r w:rsidR="002F3530" w:rsidRPr="003731C0">
        <w:t xml:space="preserve"> </w:t>
      </w:r>
      <w:r w:rsidR="00AD3075">
        <w:t xml:space="preserve">survey </w:t>
      </w:r>
      <w:r w:rsidR="002F3530" w:rsidRPr="003731C0">
        <w:t xml:space="preserve">to a nationally representative sample of </w:t>
      </w:r>
      <w:r w:rsidR="002F3530">
        <w:t>602</w:t>
      </w:r>
      <w:r w:rsidR="002F3530" w:rsidRPr="003731C0">
        <w:t xml:space="preserve"> school districts and </w:t>
      </w:r>
      <w:r w:rsidR="00AD3075">
        <w:t xml:space="preserve">the </w:t>
      </w:r>
      <w:r w:rsidR="002F3530">
        <w:t>IDEA Part B program for school-age children</w:t>
      </w:r>
      <w:r w:rsidR="002F3530" w:rsidRPr="003731C0">
        <w:t xml:space="preserve"> survey</w:t>
      </w:r>
      <w:r w:rsidR="002F3530">
        <w:t xml:space="preserve"> to </w:t>
      </w:r>
      <w:r w:rsidR="002F3530" w:rsidRPr="003731C0">
        <w:t xml:space="preserve">a nationally representative sample of </w:t>
      </w:r>
      <w:r w:rsidR="002F3530">
        <w:t>665 school districts</w:t>
      </w:r>
      <w:r w:rsidR="002F3530" w:rsidRPr="003731C0">
        <w:t>.</w:t>
      </w:r>
      <w:r w:rsidR="002F3530">
        <w:rPr>
          <w:rStyle w:val="FootnoteReference"/>
        </w:rPr>
        <w:footnoteReference w:id="2"/>
      </w:r>
      <w:r w:rsidR="002F3530" w:rsidRPr="003731C0">
        <w:t xml:space="preserve"> The two surveys will be administered electronically, and each is expected to take about 60 minutes, the same length as the district survey for IDEA-NAIS. </w:t>
      </w:r>
      <w:r w:rsidR="00E556F9">
        <w:t xml:space="preserve">As stated above, </w:t>
      </w:r>
      <w:r w:rsidR="0076202D">
        <w:t xml:space="preserve">IDEA is a comprehensive law, and </w:t>
      </w:r>
      <w:r w:rsidR="00E556F9">
        <w:t xml:space="preserve">districts’ policies and programs related to IDEA are complex. Obtaining information on such issues requires </w:t>
      </w:r>
      <w:r w:rsidR="00E62D5B">
        <w:t>surveys</w:t>
      </w:r>
      <w:r w:rsidR="00E556F9">
        <w:t xml:space="preserve"> of this length. </w:t>
      </w:r>
      <w:r w:rsidR="002F3530" w:rsidRPr="003731C0">
        <w:t>The study team intends to obtain responses from at least 85 percent of selected districts</w:t>
      </w:r>
      <w:r w:rsidR="00DD2F7D">
        <w:t xml:space="preserve"> </w:t>
      </w:r>
      <w:r w:rsidR="00DD2F7D" w:rsidRPr="003731C0">
        <w:t>(</w:t>
      </w:r>
      <w:r w:rsidR="00DD2F7D">
        <w:t>512 districts for the Part B program for preschool-age children and 565 districts for the Part B program for school-age children</w:t>
      </w:r>
      <w:r w:rsidR="00DD2F7D" w:rsidRPr="003731C0">
        <w:t>)</w:t>
      </w:r>
      <w:r w:rsidR="002F3530" w:rsidRPr="003731C0">
        <w:t xml:space="preserve">. </w:t>
      </w:r>
      <w:r w:rsidR="002F3530">
        <w:t>As recipients of IDEA funding, it</w:t>
      </w:r>
      <w:r w:rsidR="002F3530" w:rsidRPr="003731C0">
        <w:t xml:space="preserve"> is expected that districts will respond</w:t>
      </w:r>
      <w:r w:rsidR="002F3530">
        <w:t xml:space="preserve"> to the surveys (</w:t>
      </w:r>
      <w:r w:rsidR="002F3530" w:rsidRPr="001D7B6A">
        <w:t>Education Department General Administrative Regulations</w:t>
      </w:r>
      <w:r w:rsidR="002F3530">
        <w:t xml:space="preserve">, </w:t>
      </w:r>
      <w:r w:rsidR="002F3530" w:rsidRPr="001D7B6A">
        <w:t>34 C.F.R. § 76.591).</w:t>
      </w:r>
    </w:p>
    <w:p w:rsidR="002F3530" w:rsidRPr="00B97743" w:rsidRDefault="002F3530" w:rsidP="00F17B77">
      <w:pPr>
        <w:pStyle w:val="NormalSS"/>
        <w:ind w:firstLine="0"/>
        <w:rPr>
          <w:b/>
        </w:rPr>
      </w:pPr>
      <w:r w:rsidRPr="00B97743">
        <w:rPr>
          <w:b/>
        </w:rPr>
        <w:t>School survey</w:t>
      </w:r>
    </w:p>
    <w:p w:rsidR="002F3530" w:rsidRDefault="00AC1448" w:rsidP="002F3530">
      <w:pPr>
        <w:pStyle w:val="NormalSS"/>
        <w:rPr>
          <w:highlight w:val="yellow"/>
        </w:rPr>
      </w:pPr>
      <w:r>
        <w:t>A single</w:t>
      </w:r>
      <w:r w:rsidR="002F3530" w:rsidRPr="00AF52F8">
        <w:t xml:space="preserve"> school survey covers </w:t>
      </w:r>
      <w:r w:rsidR="002F3530">
        <w:t xml:space="preserve">the </w:t>
      </w:r>
      <w:r w:rsidR="002F3530" w:rsidRPr="00AF52F8">
        <w:t xml:space="preserve">IDEA </w:t>
      </w:r>
      <w:r w:rsidR="002F3530">
        <w:t>Part B program for school-age children</w:t>
      </w:r>
      <w:r w:rsidR="002F3530" w:rsidRPr="00AF52F8">
        <w:t xml:space="preserve">, </w:t>
      </w:r>
      <w:r w:rsidR="002F3530">
        <w:t xml:space="preserve">the </w:t>
      </w:r>
      <w:r w:rsidR="002F3530" w:rsidRPr="00AF52F8">
        <w:t xml:space="preserve">Part B </w:t>
      </w:r>
      <w:r w:rsidR="002F3530" w:rsidRPr="005B3137">
        <w:t>program for preschool-age children</w:t>
      </w:r>
      <w:r w:rsidR="002F3530">
        <w:t>,</w:t>
      </w:r>
      <w:r w:rsidR="002F3530" w:rsidRPr="00AF52F8">
        <w:t xml:space="preserve"> the transition from</w:t>
      </w:r>
      <w:r w:rsidR="002F3530">
        <w:t xml:space="preserve"> the</w:t>
      </w:r>
      <w:r w:rsidR="002F3530" w:rsidRPr="00AF52F8">
        <w:t xml:space="preserve"> Part C</w:t>
      </w:r>
      <w:r w:rsidR="002F3530">
        <w:t xml:space="preserve"> infants and toddlers program</w:t>
      </w:r>
      <w:r w:rsidR="002F3530" w:rsidRPr="00AF52F8">
        <w:t>, and transition planning for secondary school</w:t>
      </w:r>
      <w:r w:rsidR="002F3530">
        <w:t xml:space="preserve"> student</w:t>
      </w:r>
      <w:r w:rsidR="002F3530" w:rsidRPr="00AF52F8">
        <w:t xml:space="preserve">s </w:t>
      </w:r>
      <w:r w:rsidR="002F3530">
        <w:t>(</w:t>
      </w:r>
      <w:r w:rsidR="00476856">
        <w:t xml:space="preserve">administered to the school principal or lead special education staff; see </w:t>
      </w:r>
      <w:r w:rsidR="002F3530">
        <w:t>Appendix A.7)</w:t>
      </w:r>
      <w:r w:rsidR="002F3530" w:rsidRPr="00AF52F8">
        <w:t xml:space="preserve">. </w:t>
      </w:r>
      <w:r w:rsidR="002F3530">
        <w:t>The survey topics focus particularly on the supports that schools are providing to children with disabilities through IDEA.</w:t>
      </w:r>
      <w:r w:rsidR="002F3530" w:rsidRPr="00AB7464" w:rsidDel="00D63C23">
        <w:t xml:space="preserve"> </w:t>
      </w:r>
    </w:p>
    <w:p w:rsidR="002F3530" w:rsidRPr="001423E5" w:rsidRDefault="00390E35" w:rsidP="002F3530">
      <w:pPr>
        <w:pStyle w:val="NormalSS"/>
      </w:pPr>
      <w:r>
        <w:t>The</w:t>
      </w:r>
      <w:r w:rsidR="002F3530" w:rsidRPr="00C25532">
        <w:t xml:space="preserve"> study team will administer an electronic</w:t>
      </w:r>
      <w:r w:rsidR="002F3530" w:rsidRPr="000B72CE">
        <w:t xml:space="preserve"> survey to a nationally representative</w:t>
      </w:r>
      <w:r w:rsidR="002F3530">
        <w:t xml:space="preserve"> sample of 2,750 schools from the 665 selected districts. </w:t>
      </w:r>
      <w:r w:rsidR="002F3530" w:rsidRPr="00AF52F8">
        <w:t>The survey will be administered electronically</w:t>
      </w:r>
      <w:r w:rsidR="00283B88">
        <w:t xml:space="preserve">, and it </w:t>
      </w:r>
      <w:r w:rsidR="002F3530" w:rsidRPr="00AF52F8">
        <w:t>is expected to take a</w:t>
      </w:r>
      <w:r w:rsidR="002F3530">
        <w:t>bout</w:t>
      </w:r>
      <w:r w:rsidR="002F3530" w:rsidRPr="00AF52F8">
        <w:t xml:space="preserve"> </w:t>
      </w:r>
      <w:r w:rsidR="002F3530">
        <w:t>45</w:t>
      </w:r>
      <w:r w:rsidR="002F3530" w:rsidRPr="00AF52F8">
        <w:t xml:space="preserve"> minutes</w:t>
      </w:r>
      <w:r w:rsidR="000D4826">
        <w:t>. T</w:t>
      </w:r>
      <w:r w:rsidR="002F3530">
        <w:t xml:space="preserve">he study team expects to obtain responses from at least 80 </w:t>
      </w:r>
      <w:r w:rsidR="002F3530" w:rsidRPr="00441094">
        <w:rPr>
          <w:spacing w:val="-1"/>
        </w:rPr>
        <w:t xml:space="preserve">percent (2,200) of schools. </w:t>
      </w:r>
    </w:p>
    <w:p w:rsidR="00E80C53" w:rsidRDefault="00E80C53" w:rsidP="00E80C53">
      <w:pPr>
        <w:pStyle w:val="NormalSS"/>
      </w:pPr>
      <w:r w:rsidRPr="005E0760">
        <w:t>Table A.</w:t>
      </w:r>
      <w:r>
        <w:t>2</w:t>
      </w:r>
      <w:r w:rsidRPr="005E0760">
        <w:t xml:space="preserve"> shows the schedule of data collection activities and the overall </w:t>
      </w:r>
      <w:r>
        <w:t>study</w:t>
      </w:r>
      <w:r w:rsidRPr="005E0760">
        <w:t xml:space="preserve"> timeline.</w:t>
      </w:r>
    </w:p>
    <w:p w:rsidR="00E80C53" w:rsidRPr="00461DF9" w:rsidRDefault="00E80C53" w:rsidP="00E80C53">
      <w:pPr>
        <w:pStyle w:val="MarkforTableTitle"/>
      </w:pPr>
      <w:bookmarkStart w:id="19" w:name="_Toc508874261"/>
      <w:bookmarkStart w:id="20" w:name="_Toc508874264"/>
      <w:bookmarkStart w:id="21" w:name="_Toc508874725"/>
      <w:r w:rsidRPr="00421391">
        <w:t>Table A.</w:t>
      </w:r>
      <w:r>
        <w:t>2</w:t>
      </w:r>
      <w:r w:rsidRPr="00421391">
        <w:t>.</w:t>
      </w:r>
      <w:r w:rsidRPr="00461DF9">
        <w:t xml:space="preserve"> Schedule of major study activities</w:t>
      </w:r>
      <w:bookmarkEnd w:id="19"/>
      <w:bookmarkEnd w:id="20"/>
      <w:bookmarkEnd w:id="21"/>
    </w:p>
    <w:tbl>
      <w:tblPr>
        <w:tblStyle w:val="SMPRTableBlue"/>
        <w:tblW w:w="5000" w:type="pct"/>
        <w:tblInd w:w="0" w:type="dxa"/>
        <w:tblBorders>
          <w:top w:val="none" w:sz="0" w:space="0" w:color="auto"/>
          <w:bottom w:val="single" w:sz="4" w:space="0" w:color="auto"/>
        </w:tblBorders>
        <w:tblLook w:val="04A0" w:firstRow="1" w:lastRow="0" w:firstColumn="1" w:lastColumn="0" w:noHBand="0" w:noVBand="1"/>
      </w:tblPr>
      <w:tblGrid>
        <w:gridCol w:w="4881"/>
        <w:gridCol w:w="784"/>
        <w:gridCol w:w="783"/>
        <w:gridCol w:w="783"/>
        <w:gridCol w:w="783"/>
        <w:gridCol w:w="783"/>
        <w:gridCol w:w="779"/>
      </w:tblGrid>
      <w:tr w:rsidR="009772C8" w:rsidRPr="00461DF9" w:rsidTr="009772C8">
        <w:trPr>
          <w:cnfStyle w:val="100000000000" w:firstRow="1" w:lastRow="0" w:firstColumn="0" w:lastColumn="0" w:oddVBand="0" w:evenVBand="0" w:oddHBand="0" w:evenHBand="0" w:firstRowFirstColumn="0" w:firstRowLastColumn="0" w:lastRowFirstColumn="0" w:lastRowLastColumn="0"/>
          <w:cantSplit/>
          <w:trHeight w:val="1485"/>
          <w:tblHeader/>
        </w:trPr>
        <w:tc>
          <w:tcPr>
            <w:tcW w:w="2548" w:type="pct"/>
            <w:tcBorders>
              <w:top w:val="nil"/>
              <w:bottom w:val="nil"/>
            </w:tcBorders>
            <w:shd w:val="clear" w:color="auto" w:fill="6C6F70"/>
            <w:vAlign w:val="bottom"/>
          </w:tcPr>
          <w:p w:rsidR="009772C8" w:rsidRPr="00461DF9" w:rsidRDefault="009772C8" w:rsidP="0006140A">
            <w:pPr>
              <w:pStyle w:val="TableHeaderLeft"/>
            </w:pPr>
            <w:r w:rsidRPr="00461DF9">
              <w:t>Activity</w:t>
            </w:r>
          </w:p>
        </w:tc>
        <w:tc>
          <w:tcPr>
            <w:tcW w:w="409" w:type="pct"/>
            <w:tcBorders>
              <w:top w:val="nil"/>
              <w:left w:val="single" w:sz="4" w:space="0" w:color="FFFFFF" w:themeColor="background1"/>
              <w:bottom w:val="nil"/>
              <w:right w:val="single" w:sz="4" w:space="0" w:color="FFFFFF" w:themeColor="background1"/>
            </w:tcBorders>
            <w:shd w:val="clear" w:color="auto" w:fill="6C6F70"/>
            <w:textDirection w:val="btLr"/>
            <w:vAlign w:val="center"/>
          </w:tcPr>
          <w:p w:rsidR="009772C8" w:rsidRPr="002808BF" w:rsidRDefault="009772C8" w:rsidP="0006140A">
            <w:pPr>
              <w:pStyle w:val="TableHeaderCenter"/>
              <w:spacing w:before="0" w:after="0"/>
              <w:ind w:left="58" w:right="58"/>
              <w:jc w:val="left"/>
            </w:pPr>
            <w:r>
              <w:t xml:space="preserve">Fall </w:t>
            </w:r>
            <w:r w:rsidRPr="002808BF">
              <w:t>20</w:t>
            </w:r>
            <w:r>
              <w:t>19</w:t>
            </w:r>
          </w:p>
        </w:tc>
        <w:tc>
          <w:tcPr>
            <w:tcW w:w="409" w:type="pct"/>
            <w:tcBorders>
              <w:top w:val="nil"/>
              <w:left w:val="single" w:sz="4" w:space="0" w:color="FFFFFF" w:themeColor="background1"/>
              <w:bottom w:val="nil"/>
              <w:right w:val="single" w:sz="4" w:space="0" w:color="FFFFFF" w:themeColor="background1"/>
            </w:tcBorders>
            <w:shd w:val="clear" w:color="auto" w:fill="6C6F70"/>
            <w:textDirection w:val="btLr"/>
            <w:vAlign w:val="center"/>
          </w:tcPr>
          <w:p w:rsidR="009772C8" w:rsidRPr="002808BF" w:rsidRDefault="009772C8" w:rsidP="0006140A">
            <w:pPr>
              <w:pStyle w:val="TableHeaderCenter"/>
              <w:spacing w:before="0" w:after="0"/>
              <w:ind w:left="58" w:right="58"/>
              <w:jc w:val="left"/>
            </w:pPr>
            <w:r>
              <w:t>Winter 2020</w:t>
            </w:r>
          </w:p>
        </w:tc>
        <w:tc>
          <w:tcPr>
            <w:tcW w:w="409" w:type="pct"/>
            <w:tcBorders>
              <w:top w:val="nil"/>
              <w:left w:val="single" w:sz="4" w:space="0" w:color="FFFFFF" w:themeColor="background1"/>
              <w:bottom w:val="nil"/>
              <w:right w:val="single" w:sz="4" w:space="0" w:color="FFFFFF" w:themeColor="background1"/>
            </w:tcBorders>
            <w:shd w:val="clear" w:color="auto" w:fill="6C6F70"/>
            <w:textDirection w:val="btLr"/>
            <w:vAlign w:val="center"/>
          </w:tcPr>
          <w:p w:rsidR="009772C8" w:rsidRPr="002808BF" w:rsidRDefault="009772C8" w:rsidP="0006140A">
            <w:pPr>
              <w:pStyle w:val="TableHeaderCenter"/>
              <w:spacing w:before="0" w:after="0"/>
              <w:ind w:left="58" w:right="58"/>
              <w:jc w:val="left"/>
            </w:pPr>
            <w:r w:rsidRPr="002808BF">
              <w:t>Spring 202</w:t>
            </w:r>
            <w:r>
              <w:t>0</w:t>
            </w:r>
          </w:p>
        </w:tc>
        <w:tc>
          <w:tcPr>
            <w:tcW w:w="409" w:type="pct"/>
            <w:tcBorders>
              <w:top w:val="nil"/>
              <w:left w:val="single" w:sz="4" w:space="0" w:color="FFFFFF" w:themeColor="background1"/>
              <w:bottom w:val="nil"/>
              <w:right w:val="single" w:sz="4" w:space="0" w:color="FFFFFF" w:themeColor="background1"/>
            </w:tcBorders>
            <w:shd w:val="clear" w:color="auto" w:fill="6C6F70"/>
            <w:textDirection w:val="btLr"/>
            <w:vAlign w:val="center"/>
          </w:tcPr>
          <w:p w:rsidR="009772C8" w:rsidRPr="002808BF" w:rsidRDefault="009772C8" w:rsidP="0006140A">
            <w:pPr>
              <w:pStyle w:val="TableHeaderCenter"/>
              <w:spacing w:before="0" w:after="0"/>
              <w:ind w:left="58" w:right="58"/>
              <w:jc w:val="left"/>
            </w:pPr>
            <w:r>
              <w:t>S</w:t>
            </w:r>
            <w:r w:rsidRPr="002808BF">
              <w:t>ummer 20</w:t>
            </w:r>
            <w:r>
              <w:t>20</w:t>
            </w:r>
          </w:p>
        </w:tc>
        <w:tc>
          <w:tcPr>
            <w:tcW w:w="409" w:type="pct"/>
            <w:tcBorders>
              <w:top w:val="nil"/>
              <w:left w:val="single" w:sz="4" w:space="0" w:color="FFFFFF" w:themeColor="background1"/>
              <w:bottom w:val="nil"/>
              <w:right w:val="single" w:sz="4" w:space="0" w:color="FFFFFF" w:themeColor="background1"/>
            </w:tcBorders>
            <w:shd w:val="clear" w:color="auto" w:fill="6C6F70"/>
            <w:textDirection w:val="btLr"/>
            <w:vAlign w:val="center"/>
          </w:tcPr>
          <w:p w:rsidR="009772C8" w:rsidRPr="002808BF" w:rsidRDefault="009772C8" w:rsidP="0006140A">
            <w:pPr>
              <w:pStyle w:val="TableHeaderCenter"/>
              <w:spacing w:before="0" w:after="0"/>
              <w:ind w:left="58" w:right="58"/>
              <w:jc w:val="left"/>
            </w:pPr>
            <w:r>
              <w:t xml:space="preserve">Fall </w:t>
            </w:r>
            <w:r w:rsidRPr="002808BF">
              <w:t>20</w:t>
            </w:r>
            <w:r>
              <w:t>20</w:t>
            </w:r>
          </w:p>
        </w:tc>
        <w:tc>
          <w:tcPr>
            <w:tcW w:w="409" w:type="pct"/>
            <w:tcBorders>
              <w:top w:val="nil"/>
              <w:left w:val="single" w:sz="4" w:space="0" w:color="FFFFFF" w:themeColor="background1"/>
              <w:bottom w:val="nil"/>
            </w:tcBorders>
            <w:shd w:val="clear" w:color="auto" w:fill="6C6F70"/>
            <w:textDirection w:val="btLr"/>
            <w:vAlign w:val="center"/>
          </w:tcPr>
          <w:p w:rsidR="009772C8" w:rsidRDefault="009772C8" w:rsidP="0006140A">
            <w:pPr>
              <w:pStyle w:val="TableHeaderCenter"/>
              <w:spacing w:before="0" w:after="0"/>
              <w:ind w:left="58" w:right="58"/>
              <w:jc w:val="left"/>
            </w:pPr>
            <w:r>
              <w:t>Winter 2021</w:t>
            </w:r>
          </w:p>
        </w:tc>
      </w:tr>
      <w:tr w:rsidR="009772C8" w:rsidRPr="00461DF9" w:rsidTr="009772C8">
        <w:tc>
          <w:tcPr>
            <w:tcW w:w="2548" w:type="pct"/>
          </w:tcPr>
          <w:p w:rsidR="009772C8" w:rsidRPr="00C460B7" w:rsidRDefault="00A945D9" w:rsidP="0006140A">
            <w:pPr>
              <w:pStyle w:val="TableText"/>
              <w:spacing w:before="60" w:after="60"/>
              <w:ind w:left="72" w:hanging="72"/>
            </w:pPr>
            <w:r>
              <w:t xml:space="preserve">Administer </w:t>
            </w:r>
            <w:r w:rsidR="009772C8">
              <w:t xml:space="preserve">state surveys </w:t>
            </w:r>
          </w:p>
        </w:tc>
        <w:tc>
          <w:tcPr>
            <w:tcW w:w="409" w:type="pct"/>
            <w:tcBorders>
              <w:left w:val="single" w:sz="4" w:space="0" w:color="000000" w:themeColor="text1"/>
              <w:bottom w:val="nil"/>
              <w:right w:val="single" w:sz="4" w:space="0" w:color="000000" w:themeColor="text1"/>
            </w:tcBorders>
            <w:vAlign w:val="center"/>
          </w:tcPr>
          <w:p w:rsidR="009772C8" w:rsidRPr="00BB40A8" w:rsidRDefault="009772C8" w:rsidP="0006140A">
            <w:pPr>
              <w:pStyle w:val="TableText"/>
              <w:spacing w:before="60" w:after="60"/>
              <w:jc w:val="center"/>
            </w:pPr>
            <w:r>
              <w:t>X</w:t>
            </w:r>
          </w:p>
        </w:tc>
        <w:tc>
          <w:tcPr>
            <w:tcW w:w="409" w:type="pct"/>
            <w:tcBorders>
              <w:left w:val="single" w:sz="4" w:space="0" w:color="000000" w:themeColor="text1"/>
              <w:bottom w:val="nil"/>
              <w:right w:val="single" w:sz="4" w:space="0" w:color="000000" w:themeColor="text1"/>
            </w:tcBorders>
            <w:vAlign w:val="center"/>
          </w:tcPr>
          <w:p w:rsidR="009772C8" w:rsidRPr="00BB40A8" w:rsidRDefault="009772C8" w:rsidP="0006140A">
            <w:pPr>
              <w:pStyle w:val="TableText"/>
              <w:spacing w:before="60" w:after="60"/>
              <w:jc w:val="center"/>
            </w:pPr>
          </w:p>
        </w:tc>
        <w:tc>
          <w:tcPr>
            <w:tcW w:w="409" w:type="pct"/>
            <w:tcBorders>
              <w:left w:val="single" w:sz="4" w:space="0" w:color="000000" w:themeColor="text1"/>
              <w:bottom w:val="nil"/>
              <w:right w:val="single" w:sz="4" w:space="0" w:color="000000" w:themeColor="text1"/>
            </w:tcBorders>
            <w:vAlign w:val="center"/>
          </w:tcPr>
          <w:p w:rsidR="009772C8" w:rsidRPr="00BB40A8" w:rsidRDefault="009772C8" w:rsidP="0006140A">
            <w:pPr>
              <w:pStyle w:val="TableText"/>
              <w:spacing w:before="60" w:after="60"/>
              <w:jc w:val="center"/>
            </w:pPr>
          </w:p>
        </w:tc>
        <w:tc>
          <w:tcPr>
            <w:tcW w:w="409" w:type="pct"/>
            <w:tcBorders>
              <w:left w:val="single" w:sz="4" w:space="0" w:color="000000" w:themeColor="text1"/>
              <w:bottom w:val="nil"/>
              <w:right w:val="single" w:sz="4" w:space="0" w:color="000000" w:themeColor="text1"/>
            </w:tcBorders>
            <w:vAlign w:val="center"/>
          </w:tcPr>
          <w:p w:rsidR="009772C8" w:rsidRPr="00BB40A8" w:rsidRDefault="009772C8" w:rsidP="0006140A">
            <w:pPr>
              <w:pStyle w:val="TableText"/>
              <w:spacing w:before="60" w:after="60"/>
              <w:jc w:val="center"/>
            </w:pPr>
          </w:p>
        </w:tc>
        <w:tc>
          <w:tcPr>
            <w:tcW w:w="409" w:type="pct"/>
            <w:tcBorders>
              <w:left w:val="single" w:sz="4" w:space="0" w:color="000000" w:themeColor="text1"/>
              <w:bottom w:val="nil"/>
              <w:right w:val="single" w:sz="4" w:space="0" w:color="000000" w:themeColor="text1"/>
            </w:tcBorders>
            <w:vAlign w:val="center"/>
          </w:tcPr>
          <w:p w:rsidR="009772C8" w:rsidRPr="00BB40A8" w:rsidRDefault="009772C8" w:rsidP="0006140A">
            <w:pPr>
              <w:pStyle w:val="TableText"/>
              <w:spacing w:before="60" w:after="60"/>
              <w:jc w:val="center"/>
            </w:pPr>
          </w:p>
        </w:tc>
        <w:tc>
          <w:tcPr>
            <w:tcW w:w="409" w:type="pct"/>
            <w:tcBorders>
              <w:left w:val="single" w:sz="4" w:space="0" w:color="000000" w:themeColor="text1"/>
              <w:bottom w:val="nil"/>
            </w:tcBorders>
            <w:vAlign w:val="center"/>
          </w:tcPr>
          <w:p w:rsidR="009772C8" w:rsidRPr="00BB40A8" w:rsidRDefault="009772C8" w:rsidP="0006140A">
            <w:pPr>
              <w:pStyle w:val="TableText"/>
              <w:spacing w:before="60" w:after="60"/>
              <w:jc w:val="center"/>
            </w:pPr>
          </w:p>
        </w:tc>
      </w:tr>
      <w:tr w:rsidR="009772C8" w:rsidRPr="00461DF9" w:rsidTr="009772C8">
        <w:tc>
          <w:tcPr>
            <w:tcW w:w="2548" w:type="pct"/>
          </w:tcPr>
          <w:p w:rsidR="009772C8" w:rsidRDefault="00A945D9" w:rsidP="0006140A">
            <w:pPr>
              <w:pStyle w:val="TableText"/>
              <w:spacing w:before="60" w:after="60"/>
              <w:ind w:left="72" w:hanging="72"/>
            </w:pPr>
            <w:r>
              <w:t xml:space="preserve">Administer </w:t>
            </w:r>
            <w:r w:rsidR="009772C8">
              <w:t>district surveys</w:t>
            </w:r>
          </w:p>
        </w:tc>
        <w:tc>
          <w:tcPr>
            <w:tcW w:w="409" w:type="pct"/>
            <w:tcBorders>
              <w:left w:val="single" w:sz="4" w:space="0" w:color="000000" w:themeColor="text1"/>
              <w:bottom w:val="nil"/>
              <w:right w:val="single" w:sz="4" w:space="0" w:color="000000" w:themeColor="text1"/>
            </w:tcBorders>
            <w:vAlign w:val="center"/>
          </w:tcPr>
          <w:p w:rsidR="009772C8" w:rsidRPr="00BB40A8" w:rsidRDefault="009772C8" w:rsidP="0006140A">
            <w:pPr>
              <w:pStyle w:val="TableText"/>
              <w:spacing w:before="60" w:after="60"/>
              <w:jc w:val="center"/>
            </w:pPr>
            <w:r>
              <w:t>X</w:t>
            </w:r>
          </w:p>
        </w:tc>
        <w:tc>
          <w:tcPr>
            <w:tcW w:w="409" w:type="pct"/>
            <w:tcBorders>
              <w:left w:val="single" w:sz="4" w:space="0" w:color="000000" w:themeColor="text1"/>
              <w:bottom w:val="nil"/>
              <w:right w:val="single" w:sz="4" w:space="0" w:color="000000" w:themeColor="text1"/>
            </w:tcBorders>
            <w:vAlign w:val="center"/>
          </w:tcPr>
          <w:p w:rsidR="009772C8" w:rsidRPr="00BB40A8" w:rsidRDefault="009772C8" w:rsidP="0006140A">
            <w:pPr>
              <w:pStyle w:val="TableText"/>
              <w:spacing w:before="60" w:after="60"/>
              <w:jc w:val="center"/>
            </w:pPr>
          </w:p>
        </w:tc>
        <w:tc>
          <w:tcPr>
            <w:tcW w:w="409" w:type="pct"/>
            <w:tcBorders>
              <w:left w:val="single" w:sz="4" w:space="0" w:color="000000" w:themeColor="text1"/>
              <w:bottom w:val="nil"/>
              <w:right w:val="single" w:sz="4" w:space="0" w:color="000000" w:themeColor="text1"/>
            </w:tcBorders>
            <w:vAlign w:val="center"/>
          </w:tcPr>
          <w:p w:rsidR="009772C8" w:rsidRPr="00BB40A8" w:rsidRDefault="009772C8" w:rsidP="0006140A">
            <w:pPr>
              <w:pStyle w:val="TableText"/>
              <w:spacing w:before="60" w:after="60"/>
              <w:jc w:val="center"/>
            </w:pPr>
          </w:p>
        </w:tc>
        <w:tc>
          <w:tcPr>
            <w:tcW w:w="409" w:type="pct"/>
            <w:tcBorders>
              <w:left w:val="single" w:sz="4" w:space="0" w:color="000000" w:themeColor="text1"/>
              <w:bottom w:val="nil"/>
              <w:right w:val="single" w:sz="4" w:space="0" w:color="000000" w:themeColor="text1"/>
            </w:tcBorders>
            <w:vAlign w:val="center"/>
          </w:tcPr>
          <w:p w:rsidR="009772C8" w:rsidRPr="00BB40A8" w:rsidRDefault="009772C8" w:rsidP="0006140A">
            <w:pPr>
              <w:pStyle w:val="TableText"/>
              <w:spacing w:before="60" w:after="60"/>
              <w:jc w:val="center"/>
            </w:pPr>
          </w:p>
        </w:tc>
        <w:tc>
          <w:tcPr>
            <w:tcW w:w="409" w:type="pct"/>
            <w:tcBorders>
              <w:left w:val="single" w:sz="4" w:space="0" w:color="000000" w:themeColor="text1"/>
              <w:bottom w:val="nil"/>
              <w:right w:val="single" w:sz="4" w:space="0" w:color="000000" w:themeColor="text1"/>
            </w:tcBorders>
            <w:vAlign w:val="center"/>
          </w:tcPr>
          <w:p w:rsidR="009772C8" w:rsidRPr="00BB40A8" w:rsidRDefault="009772C8" w:rsidP="0006140A">
            <w:pPr>
              <w:pStyle w:val="TableText"/>
              <w:spacing w:before="60" w:after="60"/>
              <w:jc w:val="center"/>
            </w:pPr>
          </w:p>
        </w:tc>
        <w:tc>
          <w:tcPr>
            <w:tcW w:w="409" w:type="pct"/>
            <w:tcBorders>
              <w:left w:val="single" w:sz="4" w:space="0" w:color="000000" w:themeColor="text1"/>
              <w:bottom w:val="nil"/>
            </w:tcBorders>
            <w:vAlign w:val="center"/>
          </w:tcPr>
          <w:p w:rsidR="009772C8" w:rsidRPr="00BB40A8" w:rsidRDefault="009772C8" w:rsidP="0006140A">
            <w:pPr>
              <w:pStyle w:val="TableText"/>
              <w:spacing w:before="60" w:after="60"/>
              <w:jc w:val="center"/>
            </w:pPr>
          </w:p>
        </w:tc>
      </w:tr>
      <w:tr w:rsidR="009772C8" w:rsidRPr="00461DF9" w:rsidTr="009772C8">
        <w:tc>
          <w:tcPr>
            <w:tcW w:w="2548" w:type="pct"/>
          </w:tcPr>
          <w:p w:rsidR="009772C8" w:rsidRPr="00C460B7" w:rsidRDefault="00A945D9" w:rsidP="0006140A">
            <w:pPr>
              <w:pStyle w:val="TableText"/>
              <w:spacing w:before="60" w:after="60"/>
              <w:ind w:left="72" w:hanging="72"/>
            </w:pPr>
            <w:r>
              <w:t xml:space="preserve">Administer </w:t>
            </w:r>
            <w:r w:rsidR="009772C8">
              <w:t>school surveys</w:t>
            </w:r>
          </w:p>
        </w:tc>
        <w:tc>
          <w:tcPr>
            <w:tcW w:w="409" w:type="pct"/>
            <w:tcBorders>
              <w:left w:val="single" w:sz="4" w:space="0" w:color="000000" w:themeColor="text1"/>
              <w:bottom w:val="nil"/>
              <w:right w:val="single" w:sz="4" w:space="0" w:color="000000" w:themeColor="text1"/>
            </w:tcBorders>
            <w:vAlign w:val="center"/>
          </w:tcPr>
          <w:p w:rsidR="009772C8" w:rsidRPr="00BB40A8" w:rsidRDefault="009772C8" w:rsidP="0006140A">
            <w:pPr>
              <w:pStyle w:val="TableText"/>
              <w:spacing w:before="60" w:after="60"/>
              <w:jc w:val="center"/>
            </w:pPr>
            <w:r>
              <w:t>X</w:t>
            </w:r>
          </w:p>
        </w:tc>
        <w:tc>
          <w:tcPr>
            <w:tcW w:w="409" w:type="pct"/>
            <w:tcBorders>
              <w:left w:val="single" w:sz="4" w:space="0" w:color="000000" w:themeColor="text1"/>
              <w:bottom w:val="nil"/>
              <w:right w:val="single" w:sz="4" w:space="0" w:color="000000" w:themeColor="text1"/>
            </w:tcBorders>
            <w:vAlign w:val="center"/>
          </w:tcPr>
          <w:p w:rsidR="009772C8" w:rsidRPr="00BB40A8" w:rsidRDefault="009772C8" w:rsidP="0006140A">
            <w:pPr>
              <w:pStyle w:val="TableText"/>
              <w:spacing w:before="60" w:after="60"/>
              <w:jc w:val="center"/>
            </w:pPr>
          </w:p>
        </w:tc>
        <w:tc>
          <w:tcPr>
            <w:tcW w:w="409" w:type="pct"/>
            <w:tcBorders>
              <w:left w:val="single" w:sz="4" w:space="0" w:color="000000" w:themeColor="text1"/>
              <w:bottom w:val="nil"/>
              <w:right w:val="single" w:sz="4" w:space="0" w:color="000000" w:themeColor="text1"/>
            </w:tcBorders>
            <w:vAlign w:val="center"/>
          </w:tcPr>
          <w:p w:rsidR="009772C8" w:rsidRPr="00BB40A8" w:rsidRDefault="009772C8" w:rsidP="0006140A">
            <w:pPr>
              <w:pStyle w:val="TableText"/>
              <w:spacing w:before="60" w:after="60"/>
              <w:jc w:val="center"/>
            </w:pPr>
          </w:p>
        </w:tc>
        <w:tc>
          <w:tcPr>
            <w:tcW w:w="409" w:type="pct"/>
            <w:tcBorders>
              <w:left w:val="single" w:sz="4" w:space="0" w:color="000000" w:themeColor="text1"/>
              <w:bottom w:val="nil"/>
              <w:right w:val="single" w:sz="4" w:space="0" w:color="000000" w:themeColor="text1"/>
            </w:tcBorders>
            <w:vAlign w:val="center"/>
          </w:tcPr>
          <w:p w:rsidR="009772C8" w:rsidRPr="00BB40A8" w:rsidRDefault="009772C8" w:rsidP="0006140A">
            <w:pPr>
              <w:pStyle w:val="TableText"/>
              <w:spacing w:before="60" w:after="60"/>
              <w:jc w:val="center"/>
            </w:pPr>
          </w:p>
        </w:tc>
        <w:tc>
          <w:tcPr>
            <w:tcW w:w="409" w:type="pct"/>
            <w:tcBorders>
              <w:left w:val="single" w:sz="4" w:space="0" w:color="000000" w:themeColor="text1"/>
              <w:bottom w:val="nil"/>
              <w:right w:val="single" w:sz="4" w:space="0" w:color="000000" w:themeColor="text1"/>
            </w:tcBorders>
            <w:vAlign w:val="center"/>
          </w:tcPr>
          <w:p w:rsidR="009772C8" w:rsidRPr="00BB40A8" w:rsidRDefault="009772C8" w:rsidP="0006140A">
            <w:pPr>
              <w:pStyle w:val="TableText"/>
              <w:spacing w:before="60" w:after="60"/>
              <w:jc w:val="center"/>
            </w:pPr>
          </w:p>
        </w:tc>
        <w:tc>
          <w:tcPr>
            <w:tcW w:w="409" w:type="pct"/>
            <w:tcBorders>
              <w:left w:val="single" w:sz="4" w:space="0" w:color="000000" w:themeColor="text1"/>
              <w:bottom w:val="nil"/>
            </w:tcBorders>
            <w:vAlign w:val="center"/>
          </w:tcPr>
          <w:p w:rsidR="009772C8" w:rsidRPr="00BB40A8" w:rsidRDefault="009772C8" w:rsidP="0006140A">
            <w:pPr>
              <w:pStyle w:val="TableText"/>
              <w:spacing w:before="60" w:after="60"/>
              <w:jc w:val="center"/>
            </w:pPr>
          </w:p>
        </w:tc>
      </w:tr>
      <w:tr w:rsidR="009772C8" w:rsidRPr="00461DF9" w:rsidTr="009772C8">
        <w:tc>
          <w:tcPr>
            <w:tcW w:w="2548" w:type="pct"/>
          </w:tcPr>
          <w:p w:rsidR="009772C8" w:rsidRPr="00C460B7" w:rsidRDefault="009772C8" w:rsidP="0006140A">
            <w:pPr>
              <w:pStyle w:val="TableText"/>
              <w:spacing w:before="60" w:after="60"/>
              <w:ind w:left="72" w:hanging="72"/>
            </w:pPr>
            <w:r>
              <w:t>Conduct analyses, develop report, and p</w:t>
            </w:r>
            <w:r w:rsidRPr="00C460B7">
              <w:t xml:space="preserve">repare </w:t>
            </w:r>
            <w:r>
              <w:t>briefing</w:t>
            </w:r>
          </w:p>
        </w:tc>
        <w:tc>
          <w:tcPr>
            <w:tcW w:w="409" w:type="pct"/>
            <w:tcBorders>
              <w:left w:val="single" w:sz="4" w:space="0" w:color="000000" w:themeColor="text1"/>
              <w:bottom w:val="nil"/>
              <w:right w:val="single" w:sz="4" w:space="0" w:color="000000" w:themeColor="text1"/>
            </w:tcBorders>
            <w:vAlign w:val="center"/>
          </w:tcPr>
          <w:p w:rsidR="009772C8" w:rsidRPr="00BB40A8" w:rsidRDefault="009772C8" w:rsidP="0006140A">
            <w:pPr>
              <w:pStyle w:val="TableText"/>
              <w:spacing w:before="60" w:after="60"/>
              <w:jc w:val="center"/>
            </w:pPr>
          </w:p>
        </w:tc>
        <w:tc>
          <w:tcPr>
            <w:tcW w:w="409" w:type="pct"/>
            <w:tcBorders>
              <w:left w:val="single" w:sz="4" w:space="0" w:color="000000" w:themeColor="text1"/>
              <w:bottom w:val="nil"/>
              <w:right w:val="single" w:sz="4" w:space="0" w:color="000000" w:themeColor="text1"/>
            </w:tcBorders>
            <w:vAlign w:val="center"/>
          </w:tcPr>
          <w:p w:rsidR="009772C8" w:rsidRPr="009772C8" w:rsidRDefault="009772C8" w:rsidP="0006140A">
            <w:pPr>
              <w:pStyle w:val="TableText"/>
              <w:spacing w:before="60" w:after="60"/>
              <w:jc w:val="center"/>
            </w:pPr>
            <w:r w:rsidRPr="009772C8">
              <w:t>X</w:t>
            </w:r>
          </w:p>
        </w:tc>
        <w:tc>
          <w:tcPr>
            <w:tcW w:w="409" w:type="pct"/>
            <w:tcBorders>
              <w:left w:val="single" w:sz="4" w:space="0" w:color="000000" w:themeColor="text1"/>
              <w:bottom w:val="nil"/>
              <w:right w:val="single" w:sz="4" w:space="0" w:color="000000" w:themeColor="text1"/>
            </w:tcBorders>
            <w:vAlign w:val="center"/>
          </w:tcPr>
          <w:p w:rsidR="009772C8" w:rsidRPr="009772C8" w:rsidRDefault="009772C8" w:rsidP="0006140A">
            <w:pPr>
              <w:pStyle w:val="TableText"/>
              <w:spacing w:before="60" w:after="60"/>
              <w:jc w:val="center"/>
            </w:pPr>
            <w:r w:rsidRPr="009772C8">
              <w:t>X</w:t>
            </w:r>
          </w:p>
        </w:tc>
        <w:tc>
          <w:tcPr>
            <w:tcW w:w="409" w:type="pct"/>
            <w:tcBorders>
              <w:left w:val="single" w:sz="4" w:space="0" w:color="000000" w:themeColor="text1"/>
              <w:bottom w:val="nil"/>
              <w:right w:val="single" w:sz="4" w:space="0" w:color="000000" w:themeColor="text1"/>
            </w:tcBorders>
            <w:vAlign w:val="center"/>
          </w:tcPr>
          <w:p w:rsidR="009772C8" w:rsidRPr="009772C8" w:rsidRDefault="009772C8" w:rsidP="0006140A">
            <w:pPr>
              <w:pStyle w:val="TableText"/>
              <w:spacing w:before="60" w:after="60"/>
              <w:jc w:val="center"/>
            </w:pPr>
            <w:r w:rsidRPr="009772C8">
              <w:t>X</w:t>
            </w:r>
          </w:p>
        </w:tc>
        <w:tc>
          <w:tcPr>
            <w:tcW w:w="409" w:type="pct"/>
            <w:tcBorders>
              <w:left w:val="single" w:sz="4" w:space="0" w:color="000000" w:themeColor="text1"/>
              <w:bottom w:val="nil"/>
              <w:right w:val="single" w:sz="4" w:space="0" w:color="000000" w:themeColor="text1"/>
            </w:tcBorders>
            <w:vAlign w:val="center"/>
          </w:tcPr>
          <w:p w:rsidR="009772C8" w:rsidRPr="009772C8" w:rsidRDefault="009772C8" w:rsidP="0006140A">
            <w:pPr>
              <w:pStyle w:val="TableText"/>
              <w:spacing w:before="60" w:after="60"/>
              <w:jc w:val="center"/>
            </w:pPr>
            <w:r w:rsidRPr="009772C8">
              <w:t>X</w:t>
            </w:r>
          </w:p>
        </w:tc>
        <w:tc>
          <w:tcPr>
            <w:tcW w:w="409" w:type="pct"/>
            <w:tcBorders>
              <w:left w:val="single" w:sz="4" w:space="0" w:color="000000" w:themeColor="text1"/>
              <w:bottom w:val="nil"/>
            </w:tcBorders>
            <w:vAlign w:val="center"/>
          </w:tcPr>
          <w:p w:rsidR="009772C8" w:rsidRPr="009772C8" w:rsidRDefault="009772C8" w:rsidP="0006140A">
            <w:pPr>
              <w:pStyle w:val="TableText"/>
              <w:spacing w:before="60" w:after="60"/>
              <w:jc w:val="center"/>
            </w:pPr>
          </w:p>
        </w:tc>
      </w:tr>
      <w:tr w:rsidR="009772C8" w:rsidRPr="00461DF9" w:rsidTr="009772C8">
        <w:tc>
          <w:tcPr>
            <w:tcW w:w="2548" w:type="pct"/>
          </w:tcPr>
          <w:p w:rsidR="009772C8" w:rsidRPr="00461DF9" w:rsidRDefault="009772C8" w:rsidP="0006140A">
            <w:pPr>
              <w:pStyle w:val="TableText"/>
              <w:spacing w:before="60" w:after="60"/>
              <w:ind w:left="72" w:hanging="72"/>
            </w:pPr>
            <w:r>
              <w:t>Release report</w:t>
            </w:r>
          </w:p>
        </w:tc>
        <w:tc>
          <w:tcPr>
            <w:tcW w:w="409" w:type="pct"/>
            <w:tcBorders>
              <w:left w:val="single" w:sz="4" w:space="0" w:color="000000" w:themeColor="text1"/>
              <w:bottom w:val="nil"/>
              <w:right w:val="single" w:sz="4" w:space="0" w:color="000000" w:themeColor="text1"/>
            </w:tcBorders>
            <w:vAlign w:val="center"/>
          </w:tcPr>
          <w:p w:rsidR="009772C8" w:rsidRPr="00BB40A8" w:rsidRDefault="009772C8" w:rsidP="0006140A">
            <w:pPr>
              <w:pStyle w:val="TableText"/>
              <w:spacing w:before="60" w:after="60"/>
              <w:jc w:val="center"/>
            </w:pPr>
          </w:p>
        </w:tc>
        <w:tc>
          <w:tcPr>
            <w:tcW w:w="409" w:type="pct"/>
            <w:tcBorders>
              <w:left w:val="single" w:sz="4" w:space="0" w:color="000000" w:themeColor="text1"/>
              <w:bottom w:val="nil"/>
              <w:right w:val="single" w:sz="4" w:space="0" w:color="000000" w:themeColor="text1"/>
            </w:tcBorders>
            <w:vAlign w:val="center"/>
          </w:tcPr>
          <w:p w:rsidR="009772C8" w:rsidRPr="009772C8" w:rsidRDefault="009772C8" w:rsidP="0006140A">
            <w:pPr>
              <w:pStyle w:val="TableText"/>
              <w:spacing w:before="60" w:after="60"/>
              <w:jc w:val="center"/>
            </w:pPr>
          </w:p>
        </w:tc>
        <w:tc>
          <w:tcPr>
            <w:tcW w:w="409" w:type="pct"/>
            <w:tcBorders>
              <w:left w:val="single" w:sz="4" w:space="0" w:color="000000" w:themeColor="text1"/>
              <w:bottom w:val="nil"/>
              <w:right w:val="single" w:sz="4" w:space="0" w:color="000000" w:themeColor="text1"/>
            </w:tcBorders>
            <w:vAlign w:val="center"/>
          </w:tcPr>
          <w:p w:rsidR="009772C8" w:rsidRPr="009772C8" w:rsidRDefault="009772C8" w:rsidP="0006140A">
            <w:pPr>
              <w:pStyle w:val="TableText"/>
              <w:spacing w:before="60" w:after="60"/>
              <w:jc w:val="center"/>
            </w:pPr>
          </w:p>
        </w:tc>
        <w:tc>
          <w:tcPr>
            <w:tcW w:w="409" w:type="pct"/>
            <w:tcBorders>
              <w:left w:val="single" w:sz="4" w:space="0" w:color="000000" w:themeColor="text1"/>
              <w:bottom w:val="nil"/>
              <w:right w:val="single" w:sz="4" w:space="0" w:color="000000" w:themeColor="text1"/>
            </w:tcBorders>
            <w:vAlign w:val="center"/>
          </w:tcPr>
          <w:p w:rsidR="009772C8" w:rsidRPr="009772C8" w:rsidRDefault="009772C8" w:rsidP="0006140A">
            <w:pPr>
              <w:pStyle w:val="TableText"/>
              <w:spacing w:before="60" w:after="60"/>
              <w:jc w:val="center"/>
            </w:pPr>
          </w:p>
        </w:tc>
        <w:tc>
          <w:tcPr>
            <w:tcW w:w="409" w:type="pct"/>
            <w:tcBorders>
              <w:left w:val="single" w:sz="4" w:space="0" w:color="000000" w:themeColor="text1"/>
              <w:bottom w:val="nil"/>
              <w:right w:val="single" w:sz="4" w:space="0" w:color="000000" w:themeColor="text1"/>
            </w:tcBorders>
            <w:vAlign w:val="center"/>
          </w:tcPr>
          <w:p w:rsidR="009772C8" w:rsidRPr="009772C8" w:rsidRDefault="009772C8" w:rsidP="0006140A">
            <w:pPr>
              <w:pStyle w:val="TableText"/>
              <w:spacing w:before="60" w:after="60"/>
              <w:jc w:val="center"/>
            </w:pPr>
          </w:p>
        </w:tc>
        <w:tc>
          <w:tcPr>
            <w:tcW w:w="409" w:type="pct"/>
            <w:tcBorders>
              <w:left w:val="single" w:sz="4" w:space="0" w:color="000000" w:themeColor="text1"/>
              <w:bottom w:val="nil"/>
            </w:tcBorders>
            <w:vAlign w:val="center"/>
          </w:tcPr>
          <w:p w:rsidR="009772C8" w:rsidRPr="009772C8" w:rsidRDefault="009772C8" w:rsidP="0006140A">
            <w:pPr>
              <w:pStyle w:val="TableText"/>
              <w:spacing w:before="60" w:after="60"/>
              <w:jc w:val="center"/>
            </w:pPr>
            <w:r w:rsidRPr="009772C8">
              <w:t>X</w:t>
            </w:r>
          </w:p>
        </w:tc>
      </w:tr>
      <w:tr w:rsidR="009772C8" w:rsidRPr="00461DF9" w:rsidTr="009772C8">
        <w:tc>
          <w:tcPr>
            <w:tcW w:w="2548" w:type="pct"/>
          </w:tcPr>
          <w:p w:rsidR="009772C8" w:rsidRPr="00461DF9" w:rsidRDefault="009772C8" w:rsidP="0006140A">
            <w:pPr>
              <w:pStyle w:val="TableText"/>
              <w:spacing w:before="60" w:after="60"/>
              <w:ind w:left="72" w:hanging="72"/>
            </w:pPr>
            <w:r w:rsidRPr="00461DF9">
              <w:t xml:space="preserve">Prepare </w:t>
            </w:r>
            <w:r>
              <w:t>data documentation</w:t>
            </w:r>
            <w:r w:rsidRPr="00461DF9">
              <w:t xml:space="preserve"> </w:t>
            </w:r>
          </w:p>
        </w:tc>
        <w:tc>
          <w:tcPr>
            <w:tcW w:w="409" w:type="pct"/>
            <w:tcBorders>
              <w:left w:val="single" w:sz="4" w:space="0" w:color="000000" w:themeColor="text1"/>
              <w:bottom w:val="single" w:sz="4" w:space="0" w:color="auto"/>
              <w:right w:val="single" w:sz="4" w:space="0" w:color="000000" w:themeColor="text1"/>
            </w:tcBorders>
            <w:vAlign w:val="center"/>
          </w:tcPr>
          <w:p w:rsidR="009772C8" w:rsidRPr="00BB40A8" w:rsidRDefault="009772C8" w:rsidP="0006140A">
            <w:pPr>
              <w:pStyle w:val="TableText"/>
              <w:spacing w:before="60" w:after="60"/>
              <w:jc w:val="center"/>
            </w:pPr>
          </w:p>
        </w:tc>
        <w:tc>
          <w:tcPr>
            <w:tcW w:w="409" w:type="pct"/>
            <w:tcBorders>
              <w:left w:val="single" w:sz="4" w:space="0" w:color="000000" w:themeColor="text1"/>
              <w:bottom w:val="single" w:sz="4" w:space="0" w:color="auto"/>
              <w:right w:val="single" w:sz="4" w:space="0" w:color="000000" w:themeColor="text1"/>
            </w:tcBorders>
            <w:vAlign w:val="center"/>
          </w:tcPr>
          <w:p w:rsidR="009772C8" w:rsidRPr="009772C8" w:rsidRDefault="009772C8" w:rsidP="0006140A">
            <w:pPr>
              <w:pStyle w:val="TableText"/>
              <w:spacing w:before="60" w:after="60"/>
              <w:jc w:val="center"/>
            </w:pPr>
          </w:p>
        </w:tc>
        <w:tc>
          <w:tcPr>
            <w:tcW w:w="409" w:type="pct"/>
            <w:tcBorders>
              <w:left w:val="single" w:sz="4" w:space="0" w:color="000000" w:themeColor="text1"/>
              <w:bottom w:val="single" w:sz="4" w:space="0" w:color="auto"/>
              <w:right w:val="single" w:sz="4" w:space="0" w:color="000000" w:themeColor="text1"/>
            </w:tcBorders>
            <w:vAlign w:val="center"/>
          </w:tcPr>
          <w:p w:rsidR="009772C8" w:rsidRPr="009772C8" w:rsidRDefault="009772C8" w:rsidP="0006140A">
            <w:pPr>
              <w:pStyle w:val="TableText"/>
              <w:spacing w:before="60" w:after="60"/>
              <w:jc w:val="center"/>
            </w:pPr>
          </w:p>
        </w:tc>
        <w:tc>
          <w:tcPr>
            <w:tcW w:w="409" w:type="pct"/>
            <w:tcBorders>
              <w:left w:val="single" w:sz="4" w:space="0" w:color="000000" w:themeColor="text1"/>
              <w:bottom w:val="single" w:sz="4" w:space="0" w:color="auto"/>
              <w:right w:val="single" w:sz="4" w:space="0" w:color="000000" w:themeColor="text1"/>
            </w:tcBorders>
            <w:vAlign w:val="center"/>
          </w:tcPr>
          <w:p w:rsidR="009772C8" w:rsidRPr="009772C8" w:rsidRDefault="009772C8" w:rsidP="0006140A">
            <w:pPr>
              <w:pStyle w:val="TableText"/>
              <w:spacing w:before="60" w:after="60"/>
              <w:jc w:val="center"/>
            </w:pPr>
          </w:p>
        </w:tc>
        <w:tc>
          <w:tcPr>
            <w:tcW w:w="409" w:type="pct"/>
            <w:tcBorders>
              <w:left w:val="single" w:sz="4" w:space="0" w:color="000000" w:themeColor="text1"/>
              <w:bottom w:val="single" w:sz="4" w:space="0" w:color="auto"/>
              <w:right w:val="single" w:sz="4" w:space="0" w:color="000000" w:themeColor="text1"/>
            </w:tcBorders>
            <w:vAlign w:val="center"/>
          </w:tcPr>
          <w:p w:rsidR="009772C8" w:rsidRPr="009772C8" w:rsidRDefault="009772C8" w:rsidP="0006140A">
            <w:pPr>
              <w:pStyle w:val="TableText"/>
              <w:spacing w:before="60" w:after="60"/>
              <w:jc w:val="center"/>
            </w:pPr>
            <w:r w:rsidRPr="009772C8">
              <w:t>X</w:t>
            </w:r>
          </w:p>
        </w:tc>
        <w:tc>
          <w:tcPr>
            <w:tcW w:w="409" w:type="pct"/>
            <w:tcBorders>
              <w:left w:val="single" w:sz="4" w:space="0" w:color="000000" w:themeColor="text1"/>
              <w:bottom w:val="single" w:sz="4" w:space="0" w:color="auto"/>
            </w:tcBorders>
            <w:vAlign w:val="center"/>
          </w:tcPr>
          <w:p w:rsidR="009772C8" w:rsidRPr="009772C8" w:rsidRDefault="009772C8" w:rsidP="0006140A">
            <w:pPr>
              <w:pStyle w:val="TableText"/>
              <w:spacing w:before="60" w:after="60"/>
              <w:jc w:val="center"/>
            </w:pPr>
            <w:r w:rsidRPr="009772C8">
              <w:t>X</w:t>
            </w:r>
          </w:p>
        </w:tc>
      </w:tr>
    </w:tbl>
    <w:p w:rsidR="00E80C53" w:rsidRPr="006B78A9" w:rsidRDefault="00E80C53" w:rsidP="00E80C53">
      <w:pPr>
        <w:pStyle w:val="NormalSS"/>
      </w:pPr>
    </w:p>
    <w:p w:rsidR="00E80C53" w:rsidRPr="00AF13B2" w:rsidRDefault="00E80C53" w:rsidP="00E80C53">
      <w:pPr>
        <w:pStyle w:val="H4Number"/>
      </w:pPr>
      <w:bookmarkStart w:id="22" w:name="_Toc2194219"/>
      <w:r w:rsidRPr="00AF13B2">
        <w:t>A</w:t>
      </w:r>
      <w:r>
        <w:t xml:space="preserve">3. </w:t>
      </w:r>
      <w:r w:rsidRPr="00AF13B2">
        <w:t>Use of technology to reduce burden</w:t>
      </w:r>
      <w:bookmarkEnd w:id="22"/>
    </w:p>
    <w:p w:rsidR="00E80C53" w:rsidRPr="00AB7464" w:rsidRDefault="00E80C53" w:rsidP="00510828">
      <w:pPr>
        <w:pStyle w:val="NormalSS"/>
      </w:pPr>
      <w:r w:rsidRPr="002213D8">
        <w:t xml:space="preserve">For each data collection </w:t>
      </w:r>
      <w:r>
        <w:t>effort</w:t>
      </w:r>
      <w:r w:rsidRPr="002213D8">
        <w:t>, the study team has selected the form of technology that will provide reliable information while minimizing respondent burden. Information technology will be used heavily in data collection tasks. Examples include the following:</w:t>
      </w:r>
      <w:r>
        <w:t xml:space="preserve"> </w:t>
      </w:r>
    </w:p>
    <w:p w:rsidR="00E80C53" w:rsidRPr="00AB7464" w:rsidRDefault="00E80C53" w:rsidP="00E80C53">
      <w:pPr>
        <w:pStyle w:val="Bullet"/>
        <w:ind w:left="720" w:hanging="360"/>
      </w:pPr>
      <w:r w:rsidRPr="00785DDF">
        <w:rPr>
          <w:b/>
        </w:rPr>
        <w:t xml:space="preserve">All </w:t>
      </w:r>
      <w:r w:rsidRPr="00AB7464">
        <w:rPr>
          <w:b/>
        </w:rPr>
        <w:t>surveys will be administered electronically</w:t>
      </w:r>
      <w:r>
        <w:rPr>
          <w:b/>
        </w:rPr>
        <w:t>.</w:t>
      </w:r>
      <w:r w:rsidRPr="00AB7464">
        <w:t xml:space="preserve"> To minimize the </w:t>
      </w:r>
      <w:r>
        <w:t xml:space="preserve">effort required to respond, </w:t>
      </w:r>
      <w:r w:rsidRPr="00AB7464">
        <w:t xml:space="preserve">the surveys will be optimized for mobile phones and will allow respondents to start and stop the survey as needed to accommodate schedules and gather data needed </w:t>
      </w:r>
      <w:r>
        <w:t>for</w:t>
      </w:r>
      <w:r w:rsidRPr="00AB7464">
        <w:t xml:space="preserve"> complet</w:t>
      </w:r>
      <w:r>
        <w:t>ion</w:t>
      </w:r>
      <w:r w:rsidRPr="00AB7464">
        <w:t>.</w:t>
      </w:r>
      <w:r>
        <w:t xml:space="preserve"> Hard copies will be provided to state and district respondents and to school respondents who request one.</w:t>
      </w:r>
    </w:p>
    <w:p w:rsidR="00E80C53" w:rsidRDefault="00E80C53" w:rsidP="00E80C53">
      <w:pPr>
        <w:pStyle w:val="Bullet"/>
        <w:spacing w:after="240"/>
        <w:ind w:left="720" w:hanging="360"/>
      </w:pPr>
      <w:r w:rsidRPr="002213D8">
        <w:t xml:space="preserve">The study </w:t>
      </w:r>
      <w:r>
        <w:t xml:space="preserve">will have </w:t>
      </w:r>
      <w:r w:rsidRPr="002213D8">
        <w:t xml:space="preserve">a </w:t>
      </w:r>
      <w:r w:rsidRPr="002213D8">
        <w:rPr>
          <w:b/>
        </w:rPr>
        <w:t>toll-free number</w:t>
      </w:r>
      <w:r w:rsidRPr="002213D8">
        <w:t xml:space="preserve"> </w:t>
      </w:r>
      <w:r>
        <w:t>and</w:t>
      </w:r>
      <w:r w:rsidRPr="002213D8">
        <w:t xml:space="preserve"> an </w:t>
      </w:r>
      <w:r w:rsidRPr="002213D8">
        <w:rPr>
          <w:b/>
        </w:rPr>
        <w:t>email address</w:t>
      </w:r>
      <w:r>
        <w:rPr>
          <w:b/>
        </w:rPr>
        <w:t>,</w:t>
      </w:r>
      <w:r w:rsidRPr="002213D8">
        <w:t xml:space="preserve"> both of which </w:t>
      </w:r>
      <w:r>
        <w:t>will be</w:t>
      </w:r>
      <w:r w:rsidRPr="002213D8">
        <w:t xml:space="preserve"> hosted by Mathematica. Staff from Mathematica will </w:t>
      </w:r>
      <w:r>
        <w:t xml:space="preserve">respond in a timely and clear way to any questions from respondents. </w:t>
      </w:r>
    </w:p>
    <w:p w:rsidR="00E80C53" w:rsidRPr="00AF13B2" w:rsidRDefault="00E80C53" w:rsidP="00E80C53">
      <w:pPr>
        <w:pStyle w:val="H4Number"/>
      </w:pPr>
      <w:bookmarkStart w:id="23" w:name="_Toc198100693"/>
      <w:bookmarkStart w:id="24" w:name="_Toc228592166"/>
      <w:bookmarkStart w:id="25" w:name="_Toc228593417"/>
      <w:bookmarkStart w:id="26" w:name="_Toc2194220"/>
      <w:r w:rsidRPr="00AF13B2">
        <w:t>A4.</w:t>
      </w:r>
      <w:r>
        <w:t xml:space="preserve"> </w:t>
      </w:r>
      <w:r w:rsidRPr="00AF13B2">
        <w:t>Efforts to avoid duplication</w:t>
      </w:r>
      <w:bookmarkEnd w:id="23"/>
      <w:r w:rsidRPr="00AF13B2">
        <w:t xml:space="preserve"> of effort</w:t>
      </w:r>
      <w:bookmarkEnd w:id="24"/>
      <w:bookmarkEnd w:id="25"/>
      <w:bookmarkEnd w:id="26"/>
    </w:p>
    <w:p w:rsidR="00E80C53" w:rsidRDefault="00E80C53" w:rsidP="00E80C53">
      <w:pPr>
        <w:pStyle w:val="NormalSS"/>
      </w:pPr>
      <w:r>
        <w:t xml:space="preserve">No similar studies are being conducted, and there is no equivalent source for the information to be collected. Moreover, the data collection plan reflects careful attention to the potential sources of information for this study, particularly to the reliability of the information and the efficiency in gathering it. The data collection plan avoids unnecessary collection of information from multiple sources and uses extant data when available. </w:t>
      </w:r>
      <w:r w:rsidRPr="00274EAD">
        <w:t>For example, states report annually on special education child counts, educational environments, personnel, and dispute resolution (IDEA Section 618)</w:t>
      </w:r>
      <w:r>
        <w:t xml:space="preserve">, </w:t>
      </w:r>
      <w:r w:rsidRPr="00274EAD">
        <w:t xml:space="preserve">eliminating </w:t>
      </w:r>
      <w:r>
        <w:t>the</w:t>
      </w:r>
      <w:r w:rsidRPr="00274EAD">
        <w:t xml:space="preserve"> need to </w:t>
      </w:r>
      <w:r>
        <w:t>collect these data</w:t>
      </w:r>
      <w:r w:rsidRPr="00274EAD">
        <w:t xml:space="preserve"> in the 2019 surveys.</w:t>
      </w:r>
    </w:p>
    <w:p w:rsidR="00E80C53" w:rsidRPr="00AF13B2" w:rsidRDefault="00E80C53" w:rsidP="00E80C53">
      <w:pPr>
        <w:pStyle w:val="H4Number"/>
      </w:pPr>
      <w:bookmarkStart w:id="27" w:name="_Toc2194221"/>
      <w:r w:rsidRPr="00AF13B2">
        <w:t>A5. Methods of minimizing burden on small entities</w:t>
      </w:r>
      <w:bookmarkEnd w:id="27"/>
    </w:p>
    <w:p w:rsidR="00E80C53" w:rsidRPr="00746378" w:rsidRDefault="00E80C53" w:rsidP="00E80C53">
      <w:pPr>
        <w:rPr>
          <w:b/>
        </w:rPr>
      </w:pPr>
      <w:r w:rsidRPr="00746378">
        <w:t>No small businesses or entities will be involved as respondents.</w:t>
      </w:r>
    </w:p>
    <w:p w:rsidR="00E80C53" w:rsidRPr="00AF13B2" w:rsidRDefault="00E80C53" w:rsidP="00E80C53">
      <w:pPr>
        <w:pStyle w:val="H4Number"/>
      </w:pPr>
      <w:bookmarkStart w:id="28" w:name="_Toc2194222"/>
      <w:r w:rsidRPr="00AF13B2">
        <w:t>A6. Consequences of not collecting data</w:t>
      </w:r>
      <w:bookmarkEnd w:id="28"/>
    </w:p>
    <w:p w:rsidR="00E80C53" w:rsidRPr="009160C9" w:rsidRDefault="00E80C53" w:rsidP="00E80C53">
      <w:pPr>
        <w:pStyle w:val="NormalSS"/>
        <w:keepLines/>
      </w:pPr>
      <w:r w:rsidRPr="009160C9">
        <w:t xml:space="preserve">The data collection plan described in this submission is necessary for </w:t>
      </w:r>
      <w:r>
        <w:t>IES</w:t>
      </w:r>
      <w:r w:rsidRPr="009160C9">
        <w:t xml:space="preserve"> to comply with the requirements of the IDEA legislation. This study will provide essential information about the current implementation of IDEA. Without this information, policymakers, states, districts, and schools will not have the information they need to make informed decisions about improving legislation, policies, and services for infants, toddlers, children, and youth with disabilities. </w:t>
      </w:r>
    </w:p>
    <w:p w:rsidR="00E80C53" w:rsidRPr="00AF13B2" w:rsidRDefault="00E80C53" w:rsidP="00E80C53">
      <w:pPr>
        <w:pStyle w:val="H4Number"/>
      </w:pPr>
      <w:bookmarkStart w:id="29" w:name="_Toc2194223"/>
      <w:r w:rsidRPr="00AF13B2">
        <w:t>A7.</w:t>
      </w:r>
      <w:r>
        <w:t xml:space="preserve"> </w:t>
      </w:r>
      <w:r w:rsidRPr="00AF13B2">
        <w:t>Special circumstances</w:t>
      </w:r>
      <w:bookmarkEnd w:id="29"/>
    </w:p>
    <w:p w:rsidR="00E80C53" w:rsidRPr="00586F7E" w:rsidRDefault="00E80C53" w:rsidP="00E80C53">
      <w:pPr>
        <w:pStyle w:val="NormalSS"/>
      </w:pPr>
      <w:r w:rsidRPr="00586F7E">
        <w:t>There are no special circumstances associated with this data collection.</w:t>
      </w:r>
    </w:p>
    <w:p w:rsidR="00E80C53" w:rsidRPr="00AF13B2" w:rsidRDefault="00E80C53" w:rsidP="00E80C53">
      <w:pPr>
        <w:pStyle w:val="H4Number"/>
      </w:pPr>
      <w:bookmarkStart w:id="30" w:name="_Toc2194224"/>
      <w:r w:rsidRPr="00AF13B2">
        <w:t>A8.</w:t>
      </w:r>
      <w:r>
        <w:t xml:space="preserve"> </w:t>
      </w:r>
      <w:r w:rsidRPr="00AF13B2">
        <w:t>Federal register announcement and consultation</w:t>
      </w:r>
      <w:bookmarkEnd w:id="30"/>
      <w:r w:rsidRPr="00AF13B2">
        <w:t xml:space="preserve"> </w:t>
      </w:r>
    </w:p>
    <w:p w:rsidR="00E80C53" w:rsidRPr="00E812B3" w:rsidRDefault="00E80C53" w:rsidP="00E80C53">
      <w:pPr>
        <w:pStyle w:val="H5Lower"/>
      </w:pPr>
      <w:r w:rsidRPr="00E812B3">
        <w:t>a.</w:t>
      </w:r>
      <w:r>
        <w:t xml:space="preserve"> </w:t>
      </w:r>
      <w:r w:rsidRPr="00E812B3">
        <w:t xml:space="preserve">Federal register announcement </w:t>
      </w:r>
    </w:p>
    <w:p w:rsidR="00E80C53" w:rsidRPr="006361AA" w:rsidRDefault="00E80C53" w:rsidP="00E80C53">
      <w:pPr>
        <w:pStyle w:val="NormalSS"/>
      </w:pPr>
      <w:r w:rsidRPr="00B471C0">
        <w:t>The 60-day notice to solicit public co</w:t>
      </w:r>
      <w:r>
        <w:t xml:space="preserve">mments was published in </w:t>
      </w:r>
      <w:r w:rsidR="00493DF3" w:rsidRPr="00493DF3">
        <w:t>Vol. 84</w:t>
      </w:r>
      <w:r w:rsidRPr="00493DF3">
        <w:t xml:space="preserve">, </w:t>
      </w:r>
      <w:r w:rsidR="00493DF3" w:rsidRPr="00493DF3">
        <w:t>no. 72</w:t>
      </w:r>
      <w:r w:rsidRPr="00493DF3">
        <w:t xml:space="preserve">, </w:t>
      </w:r>
      <w:r w:rsidR="00493DF3" w:rsidRPr="00493DF3">
        <w:t>pp 15204-15205</w:t>
      </w:r>
      <w:r w:rsidRPr="00493DF3">
        <w:t xml:space="preserve"> of the </w:t>
      </w:r>
      <w:r w:rsidRPr="00493DF3">
        <w:rPr>
          <w:i/>
        </w:rPr>
        <w:t>Federal Register</w:t>
      </w:r>
      <w:r w:rsidRPr="00493DF3">
        <w:t xml:space="preserve"> on </w:t>
      </w:r>
      <w:r w:rsidR="00493DF3" w:rsidRPr="00493DF3">
        <w:t>4/15/2019</w:t>
      </w:r>
      <w:r w:rsidRPr="004A3459">
        <w:t xml:space="preserve">. The 30-day notice to solicit public comments was published in </w:t>
      </w:r>
      <w:r w:rsidRPr="00DA0335">
        <w:rPr>
          <w:highlight w:val="yellow"/>
        </w:rPr>
        <w:t>[insert volume, number, and page]</w:t>
      </w:r>
      <w:r w:rsidRPr="004A3459">
        <w:t xml:space="preserve"> of the </w:t>
      </w:r>
      <w:r w:rsidRPr="004A3459">
        <w:rPr>
          <w:i/>
        </w:rPr>
        <w:t>Federal Register</w:t>
      </w:r>
      <w:r w:rsidRPr="004A3459">
        <w:t xml:space="preserve"> on </w:t>
      </w:r>
      <w:r w:rsidRPr="00DA0335">
        <w:rPr>
          <w:highlight w:val="yellow"/>
        </w:rPr>
        <w:t>[insert date]</w:t>
      </w:r>
      <w:r w:rsidRPr="004A3459">
        <w:t>.</w:t>
      </w:r>
      <w:r>
        <w:t xml:space="preserve"> </w:t>
      </w:r>
    </w:p>
    <w:p w:rsidR="00E80C53" w:rsidRPr="00E812B3" w:rsidRDefault="00E80C53" w:rsidP="00E80C53">
      <w:pPr>
        <w:pStyle w:val="H5Lower"/>
      </w:pPr>
      <w:r w:rsidRPr="00E812B3">
        <w:t>b. Consultations outside the agency</w:t>
      </w:r>
    </w:p>
    <w:p w:rsidR="00E80C53" w:rsidRDefault="00E80C53" w:rsidP="00E80C53">
      <w:pPr>
        <w:pStyle w:val="NormalSS"/>
      </w:pPr>
      <w:r>
        <w:t xml:space="preserve">The study team experts who formulated the study design and contributed to the content of the instruments include Drs. Amy Johnson (Mathematica Policy Research), Stephen Lipscomb (Mathematica Policy Research), Mary Cary “Cay” Bradley (Mathematica Policy Research), </w:t>
      </w:r>
      <w:r w:rsidRPr="004C09BF">
        <w:t>Ma</w:t>
      </w:r>
      <w:r>
        <w:t>rgaret</w:t>
      </w:r>
      <w:r w:rsidRPr="004C09BF">
        <w:t xml:space="preserve"> McLaughli</w:t>
      </w:r>
      <w:r>
        <w:t xml:space="preserve">n (University of Maryland), Sharon Walsh (Walsh Taylor, Inc.), Beth Rous (University of Kentucky), and Lauren Rhim (National Center </w:t>
      </w:r>
      <w:r w:rsidRPr="00922763">
        <w:t>for Special Education in Charter Schools</w:t>
      </w:r>
      <w:r>
        <w:t>)</w:t>
      </w:r>
      <w:r w:rsidRPr="000A66BA">
        <w:t>.</w:t>
      </w:r>
      <w:r>
        <w:t xml:space="preserve"> In a</w:t>
      </w:r>
      <w:r w:rsidRPr="00FB5ABE">
        <w:t xml:space="preserve">ddition, </w:t>
      </w:r>
      <w:r>
        <w:t xml:space="preserve">the study team relies on </w:t>
      </w:r>
      <w:r w:rsidRPr="00FB5ABE">
        <w:t xml:space="preserve">a technical working group (TWG) to provide input </w:t>
      </w:r>
      <w:r>
        <w:t xml:space="preserve">to </w:t>
      </w:r>
      <w:r w:rsidRPr="00FB5ABE">
        <w:t xml:space="preserve">ensure </w:t>
      </w:r>
      <w:r>
        <w:t xml:space="preserve">the study </w:t>
      </w:r>
      <w:r w:rsidRPr="00FB5ABE">
        <w:t xml:space="preserve">is of the highest quality and that findings are relevant to </w:t>
      </w:r>
      <w:r>
        <w:t xml:space="preserve">the president, </w:t>
      </w:r>
      <w:r w:rsidRPr="00FB5ABE">
        <w:t xml:space="preserve">policymakers, school districts, and </w:t>
      </w:r>
      <w:r>
        <w:t>the public</w:t>
      </w:r>
      <w:r w:rsidRPr="00FB5ABE">
        <w:t xml:space="preserve">. </w:t>
      </w:r>
      <w:r>
        <w:t xml:space="preserve">The TWG has reviewed the study plans </w:t>
      </w:r>
      <w:r w:rsidR="00B00D8F">
        <w:t xml:space="preserve">described </w:t>
      </w:r>
      <w:r>
        <w:t>in this package. The</w:t>
      </w:r>
      <w:r w:rsidRPr="00FB5ABE">
        <w:t xml:space="preserve"> TWG members </w:t>
      </w:r>
      <w:r>
        <w:t>have</w:t>
      </w:r>
      <w:r w:rsidRPr="00FB5ABE">
        <w:t xml:space="preserve"> </w:t>
      </w:r>
      <w:r>
        <w:t xml:space="preserve">content </w:t>
      </w:r>
      <w:r w:rsidRPr="00FB5ABE">
        <w:t xml:space="preserve">expertise </w:t>
      </w:r>
      <w:r>
        <w:t>o</w:t>
      </w:r>
      <w:r w:rsidRPr="00FB5ABE">
        <w:t xml:space="preserve">n </w:t>
      </w:r>
      <w:r>
        <w:t>special education topics, including the issues mentioned above that are needed to address the study’s research questions. Many members also have relevant work experience at the state, district, and/or school levels. The TWG members are listed below.</w:t>
      </w:r>
    </w:p>
    <w:p w:rsidR="00E80C53" w:rsidRDefault="00E80C53" w:rsidP="00510828">
      <w:pPr>
        <w:pStyle w:val="NormalSS"/>
        <w:spacing w:after="0"/>
        <w:ind w:left="1152" w:firstLine="0"/>
      </w:pPr>
    </w:p>
    <w:p w:rsidR="00E80C53" w:rsidRDefault="00E80C53" w:rsidP="00510828">
      <w:pPr>
        <w:pStyle w:val="NormalSS"/>
        <w:numPr>
          <w:ilvl w:val="0"/>
          <w:numId w:val="59"/>
        </w:numPr>
        <w:spacing w:after="0"/>
      </w:pPr>
      <w:r>
        <w:t>Carl Beck, Pennsylvania Department of Education and Welfare</w:t>
      </w:r>
    </w:p>
    <w:p w:rsidR="00E80C53" w:rsidRDefault="00E80C53" w:rsidP="00510828">
      <w:pPr>
        <w:pStyle w:val="NormalSS"/>
        <w:numPr>
          <w:ilvl w:val="0"/>
          <w:numId w:val="59"/>
        </w:numPr>
        <w:spacing w:after="0"/>
      </w:pPr>
      <w:r>
        <w:t>Cecelia Dodge, WestEd</w:t>
      </w:r>
    </w:p>
    <w:p w:rsidR="00E80C53" w:rsidRDefault="00E80C53" w:rsidP="00510828">
      <w:pPr>
        <w:pStyle w:val="NormalSS"/>
        <w:numPr>
          <w:ilvl w:val="0"/>
          <w:numId w:val="59"/>
        </w:numPr>
        <w:spacing w:after="0"/>
      </w:pPr>
      <w:r>
        <w:t xml:space="preserve">John Eisenberg, Virginia </w:t>
      </w:r>
      <w:r w:rsidRPr="005264F4">
        <w:t>Department of Education</w:t>
      </w:r>
    </w:p>
    <w:p w:rsidR="00E80C53" w:rsidRDefault="00E80C53" w:rsidP="00510828">
      <w:pPr>
        <w:pStyle w:val="NormalSS"/>
        <w:numPr>
          <w:ilvl w:val="0"/>
          <w:numId w:val="59"/>
        </w:numPr>
        <w:spacing w:after="0"/>
      </w:pPr>
      <w:r>
        <w:t>Segun Eubanks, University of Maryland College Park</w:t>
      </w:r>
    </w:p>
    <w:p w:rsidR="00E80C53" w:rsidRDefault="00E80C53" w:rsidP="00510828">
      <w:pPr>
        <w:pStyle w:val="NormalSS"/>
        <w:numPr>
          <w:ilvl w:val="0"/>
          <w:numId w:val="59"/>
        </w:numPr>
        <w:spacing w:after="0"/>
      </w:pPr>
      <w:r>
        <w:t>John Hosp, University of Massachusetts</w:t>
      </w:r>
    </w:p>
    <w:p w:rsidR="00E80C53" w:rsidRDefault="00E80C53" w:rsidP="00510828">
      <w:pPr>
        <w:pStyle w:val="NormalSS"/>
        <w:numPr>
          <w:ilvl w:val="0"/>
          <w:numId w:val="59"/>
        </w:numPr>
        <w:spacing w:after="0"/>
      </w:pPr>
      <w:r>
        <w:t>Sheila Self, California Department of Education</w:t>
      </w:r>
    </w:p>
    <w:p w:rsidR="00E80C53" w:rsidRDefault="00E80C53" w:rsidP="00510828">
      <w:pPr>
        <w:pStyle w:val="NormalSS"/>
        <w:numPr>
          <w:ilvl w:val="0"/>
          <w:numId w:val="59"/>
        </w:numPr>
        <w:spacing w:after="0"/>
      </w:pPr>
      <w:r>
        <w:t>Patricia Snyder, University of Florida</w:t>
      </w:r>
    </w:p>
    <w:p w:rsidR="00E80C53" w:rsidRDefault="00E80C53" w:rsidP="00510828">
      <w:pPr>
        <w:pStyle w:val="NormalSS"/>
        <w:numPr>
          <w:ilvl w:val="0"/>
          <w:numId w:val="59"/>
        </w:numPr>
        <w:spacing w:after="0"/>
      </w:pPr>
      <w:r>
        <w:t>David Test, University of North Carolina – Charlotte</w:t>
      </w:r>
    </w:p>
    <w:p w:rsidR="00E80C53" w:rsidRDefault="00E80C53" w:rsidP="00510828">
      <w:pPr>
        <w:pStyle w:val="NormalSS"/>
        <w:numPr>
          <w:ilvl w:val="0"/>
          <w:numId w:val="59"/>
        </w:numPr>
        <w:spacing w:after="0"/>
      </w:pPr>
      <w:r>
        <w:t>Gerald Tindal, University of Oregon</w:t>
      </w:r>
    </w:p>
    <w:p w:rsidR="00E80C53" w:rsidRDefault="00E80C53" w:rsidP="00510828">
      <w:pPr>
        <w:pStyle w:val="NormalSS"/>
        <w:numPr>
          <w:ilvl w:val="0"/>
          <w:numId w:val="59"/>
        </w:numPr>
        <w:spacing w:after="0"/>
      </w:pPr>
      <w:r>
        <w:t>Laurie VanderPloeg, Kent Independent School District</w:t>
      </w:r>
      <w:r w:rsidR="00011BC8">
        <w:rPr>
          <w:rStyle w:val="FootnoteReference"/>
        </w:rPr>
        <w:footnoteReference w:id="3"/>
      </w:r>
    </w:p>
    <w:p w:rsidR="00E80C53" w:rsidRDefault="00E80C53" w:rsidP="00510828">
      <w:pPr>
        <w:pStyle w:val="NormalSS"/>
        <w:spacing w:after="0"/>
        <w:ind w:left="1152" w:firstLine="0"/>
      </w:pPr>
    </w:p>
    <w:p w:rsidR="00E80C53" w:rsidRPr="00E812B3" w:rsidRDefault="00E80C53" w:rsidP="00E80C53">
      <w:pPr>
        <w:pStyle w:val="H5Lower"/>
      </w:pPr>
      <w:r w:rsidRPr="00E812B3">
        <w:t>c.</w:t>
      </w:r>
      <w:r>
        <w:t xml:space="preserve"> </w:t>
      </w:r>
      <w:r w:rsidRPr="00E812B3">
        <w:t>Unresolved issues</w:t>
      </w:r>
    </w:p>
    <w:p w:rsidR="00E80C53" w:rsidRPr="00092670" w:rsidRDefault="00E80C53" w:rsidP="00E80C53">
      <w:pPr>
        <w:pStyle w:val="NormalSS"/>
      </w:pPr>
      <w:r w:rsidRPr="00E812B3">
        <w:t>There are no unresolved issues</w:t>
      </w:r>
      <w:r>
        <w:t>.</w:t>
      </w:r>
    </w:p>
    <w:p w:rsidR="00E80C53" w:rsidRPr="00AF13B2" w:rsidRDefault="00E80C53" w:rsidP="00E80C53">
      <w:pPr>
        <w:pStyle w:val="H4Number"/>
      </w:pPr>
      <w:bookmarkStart w:id="31" w:name="_Toc228592173"/>
      <w:bookmarkStart w:id="32" w:name="_Toc228593424"/>
      <w:bookmarkStart w:id="33" w:name="_Toc256354809"/>
      <w:bookmarkStart w:id="34" w:name="_Toc256354838"/>
      <w:bookmarkStart w:id="35" w:name="_Toc277339969"/>
      <w:bookmarkStart w:id="36" w:name="_Toc286327565"/>
      <w:bookmarkStart w:id="37" w:name="_Toc2194225"/>
      <w:r w:rsidRPr="00AF13B2">
        <w:t>A9.</w:t>
      </w:r>
      <w:r>
        <w:t xml:space="preserve"> </w:t>
      </w:r>
      <w:r w:rsidRPr="00AF13B2">
        <w:t>Payments or gifts</w:t>
      </w:r>
      <w:bookmarkEnd w:id="31"/>
      <w:bookmarkEnd w:id="32"/>
      <w:bookmarkEnd w:id="33"/>
      <w:bookmarkEnd w:id="34"/>
      <w:bookmarkEnd w:id="35"/>
      <w:bookmarkEnd w:id="36"/>
      <w:bookmarkEnd w:id="37"/>
      <w:r w:rsidRPr="00AF13B2">
        <w:t xml:space="preserve"> </w:t>
      </w:r>
    </w:p>
    <w:p w:rsidR="00E80C53" w:rsidRDefault="00E80C53" w:rsidP="00E80C53">
      <w:pPr>
        <w:pStyle w:val="NormalSS"/>
      </w:pPr>
      <w:r w:rsidRPr="005E6240">
        <w:t xml:space="preserve">Providing data collection incentives is important in federal studies, given the recognized burden </w:t>
      </w:r>
      <w:r>
        <w:t>o</w:t>
      </w:r>
      <w:r w:rsidR="005A20D0">
        <w:t>n</w:t>
      </w:r>
      <w:r>
        <w:t xml:space="preserve"> school staff </w:t>
      </w:r>
      <w:r w:rsidRPr="005E6240">
        <w:t xml:space="preserve">and </w:t>
      </w:r>
      <w:r>
        <w:t xml:space="preserve">the </w:t>
      </w:r>
      <w:r w:rsidRPr="005E6240">
        <w:t>need for high response rates. The use of incentives has been shown to be effective in increasing response rates</w:t>
      </w:r>
      <w:r w:rsidR="00C40C96">
        <w:t xml:space="preserve"> </w:t>
      </w:r>
      <w:r w:rsidR="00C40C96" w:rsidRPr="009F63CC">
        <w:t>and reducing the number of attempts needed, which helps offset payment costs</w:t>
      </w:r>
      <w:r w:rsidRPr="005E6240">
        <w:t xml:space="preserve"> (Dillman 2007</w:t>
      </w:r>
      <w:r w:rsidR="000B1BB2">
        <w:t xml:space="preserve">, </w:t>
      </w:r>
      <w:r w:rsidR="000B1BB2" w:rsidRPr="009F63CC">
        <w:t>American Statistical Association and American Association for Public Opinion Research 2016; Jacob and Jacob 2012</w:t>
      </w:r>
      <w:r w:rsidRPr="005E6240">
        <w:t xml:space="preserve">). In 2005, </w:t>
      </w:r>
      <w:r>
        <w:t xml:space="preserve">IES’s </w:t>
      </w:r>
      <w:r w:rsidRPr="005E6240">
        <w:t xml:space="preserve">National Center for Education Evaluation </w:t>
      </w:r>
      <w:r>
        <w:t xml:space="preserve">and Regional Assistance </w:t>
      </w:r>
      <w:r w:rsidRPr="005E6240">
        <w:t xml:space="preserve">(NCEE) submitted a memorandum to OMB outlining guidelines for incentives for NCEE </w:t>
      </w:r>
      <w:r>
        <w:t>e</w:t>
      </w:r>
      <w:r w:rsidRPr="005E6240">
        <w:t xml:space="preserve">valuation </w:t>
      </w:r>
      <w:r>
        <w:t>s</w:t>
      </w:r>
      <w:r w:rsidRPr="005E6240">
        <w:t>tudies and tying recommended incentive levels to the level of burden (represented by the length of the survey).</w:t>
      </w:r>
    </w:p>
    <w:p w:rsidR="00E80C53" w:rsidRDefault="00E80C53" w:rsidP="00E80C53">
      <w:pPr>
        <w:pStyle w:val="NormalSS"/>
      </w:pPr>
      <w:r>
        <w:t>Consistent with NCEE’s recommendations, t</w:t>
      </w:r>
      <w:r w:rsidRPr="009F63CC">
        <w:t xml:space="preserve">he study </w:t>
      </w:r>
      <w:r>
        <w:t>team proposes to</w:t>
      </w:r>
      <w:r w:rsidRPr="009F63CC">
        <w:t xml:space="preserve"> offer a $</w:t>
      </w:r>
      <w:r>
        <w:t>3</w:t>
      </w:r>
      <w:r w:rsidRPr="009F63CC">
        <w:t>0 incentive to</w:t>
      </w:r>
      <w:r>
        <w:t xml:space="preserve"> each school survey respondent</w:t>
      </w:r>
      <w:r w:rsidRPr="009F63CC">
        <w:t xml:space="preserve"> to offset time and effort. </w:t>
      </w:r>
      <w:r>
        <w:t xml:space="preserve">School staff </w:t>
      </w:r>
      <w:r w:rsidRPr="009F63CC">
        <w:t>constitute a potentially challenging group in terms of survey participation</w:t>
      </w:r>
      <w:r>
        <w:t>.</w:t>
      </w:r>
      <w:r w:rsidRPr="009F63CC">
        <w:t xml:space="preserve"> </w:t>
      </w:r>
      <w:r>
        <w:t>Schools are not required to participate in the data collection and often have a full schedule with competing demands for their time</w:t>
      </w:r>
      <w:r w:rsidRPr="009F63CC">
        <w:t xml:space="preserve">. The study team’s experience on numerous school-based collections </w:t>
      </w:r>
      <w:r w:rsidR="00060386">
        <w:t xml:space="preserve"> indicates</w:t>
      </w:r>
      <w:r w:rsidRPr="009F63CC">
        <w:t xml:space="preserve"> that monetary incentives increase cooperation. </w:t>
      </w:r>
      <w:r w:rsidRPr="00445E39">
        <w:t>Incentives are proposed because high response rates are needed to make the study findings reliable.</w:t>
      </w:r>
      <w:r>
        <w:t xml:space="preserve"> Because staff at some schools are not allowed to accept incentives directly, we will offer school staff the option of receiving a Donors Choose gift card in lieu of a participation incentive. Donors Choose gift cards can be used to support school or classroom projects, such as buying classroom supplies. </w:t>
      </w:r>
    </w:p>
    <w:p w:rsidR="00E80C53" w:rsidRDefault="00E80C53" w:rsidP="00E80C53">
      <w:pPr>
        <w:pStyle w:val="NormalSS"/>
      </w:pPr>
      <w:r w:rsidRPr="008A7CEF">
        <w:t>School</w:t>
      </w:r>
      <w:r>
        <w:t xml:space="preserve"> response</w:t>
      </w:r>
      <w:r w:rsidRPr="008A7CEF">
        <w:t xml:space="preserve">s </w:t>
      </w:r>
      <w:r>
        <w:t xml:space="preserve">are critical because the schools </w:t>
      </w:r>
      <w:r w:rsidRPr="008A7CEF">
        <w:t xml:space="preserve">implement the policies that states and districts set. School staff have the most direct perspectives on what services children are receiving. The school survey will be useful for understanding </w:t>
      </w:r>
      <w:r>
        <w:t>school-level interventions, policies,</w:t>
      </w:r>
      <w:r w:rsidRPr="008A7CEF">
        <w:t xml:space="preserve"> </w:t>
      </w:r>
      <w:r>
        <w:t xml:space="preserve">and </w:t>
      </w:r>
      <w:r w:rsidRPr="008A7CEF">
        <w:t>practice</w:t>
      </w:r>
      <w:r>
        <w:t>s</w:t>
      </w:r>
      <w:r w:rsidRPr="008A7CEF">
        <w:t>.</w:t>
      </w:r>
    </w:p>
    <w:p w:rsidR="00E80C53" w:rsidRPr="00445E39" w:rsidRDefault="00E80C53" w:rsidP="00E80C53">
      <w:pPr>
        <w:pStyle w:val="NormalSS"/>
      </w:pPr>
      <w:r w:rsidRPr="009F63CC">
        <w:t xml:space="preserve">No incentives will be offered to state or district respondents, since they </w:t>
      </w:r>
      <w:r>
        <w:t>are</w:t>
      </w:r>
      <w:r w:rsidRPr="009F63CC">
        <w:t xml:space="preserve"> </w:t>
      </w:r>
      <w:r w:rsidR="00567678">
        <w:t>expected</w:t>
      </w:r>
      <w:r w:rsidR="00567678" w:rsidRPr="009F63CC">
        <w:t xml:space="preserve"> </w:t>
      </w:r>
      <w:r w:rsidRPr="009F63CC">
        <w:t xml:space="preserve">to </w:t>
      </w:r>
      <w:r w:rsidRPr="00445E39">
        <w:t>complete the surveys</w:t>
      </w:r>
      <w:r w:rsidR="0018035F">
        <w:t>,</w:t>
      </w:r>
      <w:r>
        <w:t xml:space="preserve"> and we believe that will be sufficient to adequately obtain their responses (U.S. Department of Education 2014</w:t>
      </w:r>
      <w:r w:rsidRPr="006E413A">
        <w:t>)</w:t>
      </w:r>
      <w:r w:rsidRPr="00445E39">
        <w:t xml:space="preserve">. </w:t>
      </w:r>
    </w:p>
    <w:p w:rsidR="00E80C53" w:rsidRPr="00AF13B2" w:rsidRDefault="00E80C53" w:rsidP="00E80C53">
      <w:pPr>
        <w:pStyle w:val="H4Number"/>
      </w:pPr>
      <w:bookmarkStart w:id="38" w:name="_Toc2194226"/>
      <w:r w:rsidRPr="00AF13B2">
        <w:t>A</w:t>
      </w:r>
      <w:r>
        <w:t xml:space="preserve">10. </w:t>
      </w:r>
      <w:r w:rsidRPr="00AF13B2">
        <w:t>Assurances of confidentiality</w:t>
      </w:r>
      <w:bookmarkEnd w:id="38"/>
    </w:p>
    <w:p w:rsidR="00E80C53" w:rsidRDefault="00E80C53" w:rsidP="00E80C53">
      <w:pPr>
        <w:pStyle w:val="NormalSS"/>
      </w:pPr>
      <w:r w:rsidRPr="00B12B6F">
        <w:t>The study team has established procedures</w:t>
      </w:r>
      <w:r w:rsidRPr="00195AC8">
        <w:t xml:space="preserve"> </w:t>
      </w:r>
      <w:r>
        <w:t xml:space="preserve">to protect </w:t>
      </w:r>
      <w:r w:rsidRPr="00B12B6F">
        <w:t>the confidentiality and security of its</w:t>
      </w:r>
      <w:r w:rsidRPr="00195AC8">
        <w:t xml:space="preserve"> data</w:t>
      </w:r>
      <w:r w:rsidRPr="00B12B6F">
        <w:t>.</w:t>
      </w:r>
      <w:r w:rsidRPr="00195AC8">
        <w:t xml:space="preserve"> This approach will be in accordance with all relevant regulations and requirements</w:t>
      </w:r>
      <w:r w:rsidRPr="00B12B6F">
        <w:t>, in particular</w:t>
      </w:r>
      <w:r w:rsidRPr="00195AC8">
        <w:t xml:space="preserve"> the Education Sciences Institute Reform Act of 2002, Title I, </w:t>
      </w:r>
      <w:r>
        <w:t>Subsection</w:t>
      </w:r>
      <w:r w:rsidRPr="00195AC8">
        <w:t xml:space="preserve"> (c) of Section 183, </w:t>
      </w:r>
      <w:r w:rsidRPr="00B12B6F">
        <w:t>which</w:t>
      </w:r>
      <w:r w:rsidRPr="00195AC8">
        <w:t xml:space="preserve"> requires </w:t>
      </w:r>
      <w:r>
        <w:t xml:space="preserve">that </w:t>
      </w:r>
      <w:r w:rsidRPr="00195AC8">
        <w:t>the director of IES</w:t>
      </w:r>
      <w:r w:rsidRPr="00B12B6F">
        <w:t xml:space="preserve"> </w:t>
      </w:r>
      <w:r w:rsidRPr="00195AC8">
        <w:t xml:space="preserve">“develop and enforce standards designed to protect the confidentiality of persons in the collection, reporting, and publication of data.” The study also will adhere to requirements of </w:t>
      </w:r>
      <w:r>
        <w:t>S</w:t>
      </w:r>
      <w:r w:rsidRPr="00195AC8">
        <w:t>ubsection (d) of Section 183</w:t>
      </w:r>
      <w:r>
        <w:t>,</w:t>
      </w:r>
      <w:r w:rsidRPr="00195AC8">
        <w:t xml:space="preserve"> </w:t>
      </w:r>
      <w:r>
        <w:t xml:space="preserve">which </w:t>
      </w:r>
      <w:r w:rsidRPr="00195AC8">
        <w:t>prohibit disclosure of individually identifiable information</w:t>
      </w:r>
      <w:r>
        <w:t>,</w:t>
      </w:r>
      <w:r w:rsidRPr="00195AC8">
        <w:t xml:space="preserve"> as well as mak</w:t>
      </w:r>
      <w:r>
        <w:t>e</w:t>
      </w:r>
      <w:r w:rsidRPr="00195AC8">
        <w:t xml:space="preserve"> the publishing or inappropriate communication of individually identifiable information by employees or staff a felony.</w:t>
      </w:r>
    </w:p>
    <w:p w:rsidR="00E80C53" w:rsidRPr="00AB7464" w:rsidRDefault="00E80C53" w:rsidP="00E80C53">
      <w:pPr>
        <w:pStyle w:val="NormalSS"/>
      </w:pPr>
      <w:r w:rsidRPr="00B12B6F">
        <w:t xml:space="preserve">The study team </w:t>
      </w:r>
      <w:r w:rsidRPr="00195AC8">
        <w:t xml:space="preserve">will protect the </w:t>
      </w:r>
      <w:r w:rsidRPr="00B12B6F">
        <w:t xml:space="preserve">full privacy and </w:t>
      </w:r>
      <w:r w:rsidRPr="00195AC8">
        <w:t xml:space="preserve">confidentiality of all </w:t>
      </w:r>
      <w:r>
        <w:t>people who provide data</w:t>
      </w:r>
      <w:r w:rsidRPr="00B12B6F">
        <w:t xml:space="preserve">. The study will not have data associated with personally identifiable </w:t>
      </w:r>
      <w:r w:rsidRPr="00195AC8">
        <w:t xml:space="preserve">information </w:t>
      </w:r>
      <w:r w:rsidRPr="00B12B6F">
        <w:t xml:space="preserve">(PII), </w:t>
      </w:r>
      <w:r>
        <w:t>because</w:t>
      </w:r>
      <w:r w:rsidRPr="00B12B6F">
        <w:t xml:space="preserve"> study staff will be assigning random ID numbers to all data records and then stripping any PII from</w:t>
      </w:r>
      <w:r w:rsidRPr="00195AC8">
        <w:t xml:space="preserve"> th</w:t>
      </w:r>
      <w:r>
        <w:t>os</w:t>
      </w:r>
      <w:r w:rsidRPr="00195AC8">
        <w:t xml:space="preserve">e </w:t>
      </w:r>
      <w:r w:rsidRPr="00B12B6F">
        <w:t>records</w:t>
      </w:r>
      <w:r w:rsidRPr="00195AC8">
        <w:t>.</w:t>
      </w:r>
      <w:r>
        <w:t xml:space="preserve"> </w:t>
      </w:r>
      <w:r w:rsidRPr="008C0AE6">
        <w:t xml:space="preserve">Other than the names and contact information for the survey respondents, which is information typically already available in the public domain </w:t>
      </w:r>
      <w:r>
        <w:t>on</w:t>
      </w:r>
      <w:r w:rsidRPr="008C0AE6">
        <w:t xml:space="preserve"> state and district websites</w:t>
      </w:r>
      <w:r>
        <w:t>,</w:t>
      </w:r>
      <w:r w:rsidRPr="008C0AE6">
        <w:t xml:space="preserve"> no data collected for surveys will contain </w:t>
      </w:r>
      <w:r>
        <w:t>PII</w:t>
      </w:r>
      <w:r w:rsidRPr="008C0AE6">
        <w:t xml:space="preserve">. No names </w:t>
      </w:r>
      <w:r>
        <w:t>or</w:t>
      </w:r>
      <w:r w:rsidRPr="008C0AE6">
        <w:t xml:space="preserve"> contact information will be released.</w:t>
      </w:r>
      <w:r w:rsidRPr="00195AC8">
        <w:t xml:space="preserve"> In </w:t>
      </w:r>
      <w:r w:rsidRPr="00B12B6F">
        <w:t xml:space="preserve">addition to the data safeguards described here, the study team will ensure that no respondent names are </w:t>
      </w:r>
      <w:r w:rsidRPr="00195AC8">
        <w:t>identified</w:t>
      </w:r>
      <w:r w:rsidRPr="00B12B6F">
        <w:t xml:space="preserve"> in publicly available reports or findings, and</w:t>
      </w:r>
      <w:r>
        <w:t>,</w:t>
      </w:r>
      <w:r w:rsidRPr="00B12B6F">
        <w:t xml:space="preserve"> if necessary, the study team will mask distinguishing characteristics</w:t>
      </w:r>
      <w:r w:rsidRPr="00195AC8">
        <w:t xml:space="preserve">. </w:t>
      </w:r>
      <w:r w:rsidRPr="00AB7464">
        <w:t>The following statement to this effect will be included with all requests for data:</w:t>
      </w:r>
    </w:p>
    <w:p w:rsidR="00E80C53" w:rsidRDefault="00E80C53" w:rsidP="00E80C53">
      <w:pPr>
        <w:pStyle w:val="NormalSS"/>
        <w:keepNext/>
        <w:keepLines/>
      </w:pPr>
      <w:r w:rsidRPr="00AB7464">
        <w:t xml:space="preserve">“Mathematica Policy Research follows the confidentiality and data protection requirements of IES (The Education Sciences Reform Act of 2002, Title I, Part E, Section 183). </w:t>
      </w:r>
      <w:r w:rsidRPr="00AB7464">
        <w:rPr>
          <w:b/>
        </w:rPr>
        <w:t xml:space="preserve">Responses to this data collection will be used only for research purposes. </w:t>
      </w:r>
      <w:r w:rsidRPr="00AB7464">
        <w:t xml:space="preserve">The reports prepared for the study will summarize findings across the sample and will not associate responses with a specific district, school, or individual. We will not provide information that identifies respondents to anyone outside the study team, except as required by law.” </w:t>
      </w:r>
    </w:p>
    <w:p w:rsidR="00E80C53" w:rsidRDefault="00E80C53" w:rsidP="00E80C53">
      <w:pPr>
        <w:pStyle w:val="NormalSS"/>
      </w:pPr>
      <w:r>
        <w:t xml:space="preserve">The three state surveys will also include the following statement: </w:t>
      </w:r>
    </w:p>
    <w:p w:rsidR="00E80C53" w:rsidRPr="00195AC8" w:rsidRDefault="00E80C53" w:rsidP="00E80C53">
      <w:pPr>
        <w:pStyle w:val="NormalSS"/>
      </w:pPr>
      <w:r>
        <w:t>“Please note that data on state policies and resources/supports may be reported by state. Thus, while PII</w:t>
      </w:r>
      <w:r w:rsidRPr="00AB7464">
        <w:t xml:space="preserve"> about individual respondents will not be released, data displayed by state could be attributed to the state agency or possibly an individual respondent.”</w:t>
      </w:r>
    </w:p>
    <w:p w:rsidR="00E80C53" w:rsidRDefault="00E80C53" w:rsidP="00E80C53">
      <w:pPr>
        <w:pStyle w:val="NormalSS"/>
      </w:pPr>
      <w:r w:rsidRPr="001F5B67">
        <w:t xml:space="preserve">Mathematica </w:t>
      </w:r>
      <w:r>
        <w:t>use</w:t>
      </w:r>
      <w:r w:rsidRPr="001F5B67">
        <w:t xml:space="preserve">s the following safeguards to </w:t>
      </w:r>
      <w:r>
        <w:t>protect</w:t>
      </w:r>
      <w:r w:rsidRPr="001F5B67">
        <w:t xml:space="preserve"> confidentiality:</w:t>
      </w:r>
    </w:p>
    <w:p w:rsidR="00E80C53" w:rsidRPr="008C5227" w:rsidRDefault="00E80C53" w:rsidP="00E80C53">
      <w:pPr>
        <w:pStyle w:val="Bullet"/>
      </w:pPr>
      <w:r w:rsidRPr="008C5227">
        <w:t xml:space="preserve">All Mathematica employees sign a pledge </w:t>
      </w:r>
      <w:r>
        <w:t xml:space="preserve">that </w:t>
      </w:r>
      <w:r w:rsidRPr="008C5227">
        <w:t>emphasiz</w:t>
      </w:r>
      <w:r>
        <w:t>es</w:t>
      </w:r>
      <w:r w:rsidRPr="008C5227">
        <w:t xml:space="preserve"> </w:t>
      </w:r>
      <w:r>
        <w:t>the</w:t>
      </w:r>
      <w:r w:rsidRPr="008C5227">
        <w:t xml:space="preserve"> importance </w:t>
      </w:r>
      <w:r>
        <w:t xml:space="preserve">of </w:t>
      </w:r>
      <w:r w:rsidRPr="00EF6FD1">
        <w:t>confidentiality</w:t>
      </w:r>
      <w:r>
        <w:t xml:space="preserve"> </w:t>
      </w:r>
      <w:r w:rsidRPr="008C5227">
        <w:t>and describ</w:t>
      </w:r>
      <w:r>
        <w:t>es</w:t>
      </w:r>
      <w:r w:rsidRPr="008C5227">
        <w:t xml:space="preserve"> their obligation</w:t>
      </w:r>
      <w:r>
        <w:t xml:space="preserve"> (Appendix </w:t>
      </w:r>
      <w:r w:rsidRPr="00873A64">
        <w:t>A.</w:t>
      </w:r>
      <w:r w:rsidR="00873A64">
        <w:t>8</w:t>
      </w:r>
      <w:r w:rsidRPr="004A3459">
        <w:t>).</w:t>
      </w:r>
    </w:p>
    <w:p w:rsidR="00E80C53" w:rsidRPr="008C5227" w:rsidRDefault="00E80C53" w:rsidP="00E80C53">
      <w:pPr>
        <w:pStyle w:val="Bullet"/>
      </w:pPr>
      <w:r>
        <w:t>All i</w:t>
      </w:r>
      <w:r w:rsidRPr="00EF6FD1">
        <w:t>nternal</w:t>
      </w:r>
      <w:r>
        <w:t xml:space="preserve"> networks are protected from unauthorized access by using defense-in-depth best practices, which incorporate firewalls and intrusion detection and prevention systems. The networks are configured so that each user has a tailored set of rights, granted by the network administrator, to files approved for access and stored on the network. </w:t>
      </w:r>
      <w:r w:rsidRPr="008C5227">
        <w:t>Access to hard</w:t>
      </w:r>
      <w:r>
        <w:t>-</w:t>
      </w:r>
      <w:r w:rsidRPr="008C5227">
        <w:t>copy documents is strictly limited. Documents are stored in locked files and cabinets. Discarded materials are shredded.</w:t>
      </w:r>
    </w:p>
    <w:p w:rsidR="00E80C53" w:rsidRPr="008C5227" w:rsidRDefault="00E80C53" w:rsidP="00E80C53">
      <w:pPr>
        <w:pStyle w:val="Bullet"/>
      </w:pPr>
      <w:r w:rsidRPr="008C5227">
        <w:t>Computer data files are protected with passwords</w:t>
      </w:r>
      <w:r>
        <w:t>,</w:t>
      </w:r>
      <w:r w:rsidRPr="008C5227">
        <w:t xml:space="preserve"> and access is limited to specific users</w:t>
      </w:r>
      <w:r>
        <w:t>, who must change their passwords on a regular basis and conform to strong password policies</w:t>
      </w:r>
      <w:r w:rsidRPr="008C5227">
        <w:t>.</w:t>
      </w:r>
    </w:p>
    <w:p w:rsidR="00E80C53" w:rsidRDefault="00E80C53" w:rsidP="00E80C53">
      <w:pPr>
        <w:pStyle w:val="Bullet"/>
        <w:spacing w:after="240"/>
      </w:pPr>
      <w:r w:rsidRPr="00FF762B">
        <w:t>Especially sensitive data are maintained on removable storage devices that are kept physically secure when not in use.</w:t>
      </w:r>
    </w:p>
    <w:p w:rsidR="00E80C53" w:rsidRPr="0005074A" w:rsidRDefault="00E80C53" w:rsidP="00E80C53">
      <w:pPr>
        <w:pStyle w:val="NormalSS"/>
      </w:pPr>
      <w:r>
        <w:t>After the study concludes, the study data will be transmitted to the National Center for Education Statistics (NCES) for safekeeping as a restricted-use file. Before transmittal, the data will be stripped of any individual identifiers. Researchers wishing to access the data for secondary analysis must apply for an NCES license and agree to the rules and procedures guiding the use of restricted-use files.</w:t>
      </w:r>
    </w:p>
    <w:p w:rsidR="00E80C53" w:rsidRPr="00AF13B2" w:rsidRDefault="00E80C53" w:rsidP="00E80C53">
      <w:pPr>
        <w:pStyle w:val="H4Number"/>
        <w:rPr>
          <w:rFonts w:eastAsia="Calibri"/>
        </w:rPr>
      </w:pPr>
      <w:bookmarkStart w:id="39" w:name="_Toc2194227"/>
      <w:r w:rsidRPr="00AF13B2">
        <w:rPr>
          <w:rFonts w:eastAsia="Calibri"/>
        </w:rPr>
        <w:t>A11. Justification for sensitive questions</w:t>
      </w:r>
      <w:bookmarkEnd w:id="39"/>
    </w:p>
    <w:p w:rsidR="00E80C53" w:rsidRPr="004E529E" w:rsidRDefault="00E80C53" w:rsidP="00E80C53">
      <w:pPr>
        <w:pStyle w:val="NormalSS"/>
        <w:rPr>
          <w:b/>
        </w:rPr>
      </w:pPr>
      <w:r>
        <w:t>This study will include n</w:t>
      </w:r>
      <w:r w:rsidRPr="004E529E">
        <w:t xml:space="preserve">o questions of a sensitive nature. </w:t>
      </w:r>
    </w:p>
    <w:p w:rsidR="00E80C53" w:rsidRPr="00AF13B2" w:rsidRDefault="00E80C53" w:rsidP="00E80C53">
      <w:pPr>
        <w:pStyle w:val="H4Number"/>
      </w:pPr>
      <w:bookmarkStart w:id="40" w:name="_Toc198100704"/>
      <w:bookmarkStart w:id="41" w:name="_Toc228592175"/>
      <w:bookmarkStart w:id="42" w:name="_Toc228593427"/>
      <w:bookmarkStart w:id="43" w:name="_Toc256354812"/>
      <w:bookmarkStart w:id="44" w:name="_Toc256354841"/>
      <w:bookmarkStart w:id="45" w:name="_Toc277339972"/>
      <w:bookmarkStart w:id="46" w:name="_Toc286327568"/>
      <w:bookmarkStart w:id="47" w:name="_Toc2194228"/>
      <w:r>
        <w:t xml:space="preserve">A12. </w:t>
      </w:r>
      <w:r w:rsidRPr="00AF13B2">
        <w:t>Estimates of hours burden</w:t>
      </w:r>
      <w:bookmarkEnd w:id="40"/>
      <w:bookmarkEnd w:id="41"/>
      <w:bookmarkEnd w:id="42"/>
      <w:bookmarkEnd w:id="43"/>
      <w:bookmarkEnd w:id="44"/>
      <w:bookmarkEnd w:id="45"/>
      <w:bookmarkEnd w:id="46"/>
      <w:bookmarkEnd w:id="47"/>
    </w:p>
    <w:p w:rsidR="00E80C53" w:rsidRPr="009F6C83" w:rsidRDefault="00E80C53" w:rsidP="00E80C53">
      <w:pPr>
        <w:pStyle w:val="NormalSS"/>
      </w:pPr>
      <w:r w:rsidRPr="00AF13B2">
        <w:t xml:space="preserve">Table </w:t>
      </w:r>
      <w:r>
        <w:t>A.3</w:t>
      </w:r>
      <w:r w:rsidRPr="00AF13B2">
        <w:t xml:space="preserve"> provides an estimate of time burden for the data collections, broken down by instrument and respondent. These estimates are based on our experience collecting administrative data from districts</w:t>
      </w:r>
      <w:r>
        <w:t xml:space="preserve"> </w:t>
      </w:r>
      <w:r w:rsidRPr="00AF13B2">
        <w:t xml:space="preserve">and </w:t>
      </w:r>
      <w:r>
        <w:t>schools</w:t>
      </w:r>
      <w:r w:rsidRPr="00AF13B2">
        <w:t xml:space="preserve">. </w:t>
      </w:r>
      <w:bookmarkStart w:id="48" w:name="_Toc296974062"/>
      <w:bookmarkStart w:id="49" w:name="_Toc296974243"/>
      <w:bookmarkStart w:id="50" w:name="_Toc470011288"/>
    </w:p>
    <w:p w:rsidR="00E80C53" w:rsidRDefault="00E80C53" w:rsidP="00E80C53">
      <w:pPr>
        <w:pStyle w:val="MarkforTableTitle"/>
      </w:pPr>
      <w:bookmarkStart w:id="51" w:name="_Toc508874262"/>
      <w:bookmarkStart w:id="52" w:name="_Toc508874265"/>
      <w:bookmarkStart w:id="53" w:name="_Toc508874726"/>
      <w:r w:rsidRPr="00EC4062">
        <w:t xml:space="preserve">Table </w:t>
      </w:r>
      <w:r>
        <w:t>A.3</w:t>
      </w:r>
      <w:r w:rsidRPr="00EC4062">
        <w:t>.</w:t>
      </w:r>
      <w:r w:rsidRPr="00840658">
        <w:t xml:space="preserve"> Estimated response time for data collection</w:t>
      </w:r>
      <w:bookmarkEnd w:id="48"/>
      <w:bookmarkEnd w:id="49"/>
      <w:bookmarkEnd w:id="50"/>
      <w:bookmarkEnd w:id="51"/>
      <w:bookmarkEnd w:id="52"/>
      <w:bookmarkEnd w:id="53"/>
    </w:p>
    <w:tbl>
      <w:tblPr>
        <w:tblW w:w="5000" w:type="pct"/>
        <w:tblLayout w:type="fixed"/>
        <w:tblCellMar>
          <w:left w:w="115" w:type="dxa"/>
          <w:right w:w="115" w:type="dxa"/>
        </w:tblCellMar>
        <w:tblLook w:val="04A0" w:firstRow="1" w:lastRow="0" w:firstColumn="1" w:lastColumn="0" w:noHBand="0" w:noVBand="1"/>
      </w:tblPr>
      <w:tblGrid>
        <w:gridCol w:w="2632"/>
        <w:gridCol w:w="848"/>
        <w:gridCol w:w="710"/>
        <w:gridCol w:w="775"/>
        <w:gridCol w:w="738"/>
        <w:gridCol w:w="738"/>
        <w:gridCol w:w="784"/>
        <w:gridCol w:w="1145"/>
        <w:gridCol w:w="1220"/>
      </w:tblGrid>
      <w:tr w:rsidR="00CB01F3" w:rsidRPr="003731C0" w:rsidTr="00D04174">
        <w:trPr>
          <w:cantSplit/>
          <w:trHeight w:val="1872"/>
          <w:tblHeader/>
        </w:trPr>
        <w:tc>
          <w:tcPr>
            <w:tcW w:w="1372" w:type="pct"/>
            <w:tcBorders>
              <w:left w:val="nil"/>
              <w:right w:val="nil"/>
            </w:tcBorders>
            <w:shd w:val="clear" w:color="auto" w:fill="6C6F70"/>
            <w:vAlign w:val="bottom"/>
          </w:tcPr>
          <w:p w:rsidR="00CB01F3" w:rsidRPr="003731C0" w:rsidRDefault="00CB01F3" w:rsidP="0006140A">
            <w:pPr>
              <w:pStyle w:val="TableHeaderLeft"/>
              <w:rPr>
                <w:sz w:val="17"/>
                <w:szCs w:val="17"/>
              </w:rPr>
            </w:pPr>
            <w:r w:rsidRPr="003731C0">
              <w:rPr>
                <w:sz w:val="17"/>
                <w:szCs w:val="17"/>
              </w:rPr>
              <w:t>Respondent/Data request</w:t>
            </w:r>
          </w:p>
        </w:tc>
        <w:tc>
          <w:tcPr>
            <w:tcW w:w="442" w:type="pct"/>
            <w:tcBorders>
              <w:left w:val="nil"/>
              <w:right w:val="nil"/>
            </w:tcBorders>
            <w:shd w:val="clear" w:color="auto" w:fill="6C6F70"/>
            <w:textDirection w:val="btLr"/>
            <w:vAlign w:val="bottom"/>
          </w:tcPr>
          <w:p w:rsidR="00CB01F3" w:rsidRPr="003731C0" w:rsidRDefault="00CB01F3" w:rsidP="0006140A">
            <w:pPr>
              <w:pStyle w:val="TableHeaderCenter"/>
              <w:spacing w:before="0" w:after="0"/>
              <w:ind w:left="58" w:right="58"/>
              <w:jc w:val="left"/>
              <w:rPr>
                <w:sz w:val="17"/>
                <w:szCs w:val="17"/>
              </w:rPr>
            </w:pPr>
            <w:r w:rsidRPr="003731C0">
              <w:rPr>
                <w:sz w:val="17"/>
                <w:szCs w:val="17"/>
              </w:rPr>
              <w:t>Number of targeted respondents</w:t>
            </w:r>
          </w:p>
        </w:tc>
        <w:tc>
          <w:tcPr>
            <w:tcW w:w="370" w:type="pct"/>
            <w:tcBorders>
              <w:left w:val="nil"/>
              <w:right w:val="nil"/>
            </w:tcBorders>
            <w:shd w:val="clear" w:color="auto" w:fill="6C6F70"/>
            <w:textDirection w:val="btLr"/>
            <w:vAlign w:val="bottom"/>
          </w:tcPr>
          <w:p w:rsidR="00CB01F3" w:rsidRPr="003731C0" w:rsidRDefault="00CB01F3" w:rsidP="0006140A">
            <w:pPr>
              <w:pStyle w:val="TableHeaderCenter"/>
              <w:spacing w:before="0" w:after="0"/>
              <w:ind w:left="58" w:right="58"/>
              <w:jc w:val="left"/>
              <w:rPr>
                <w:sz w:val="17"/>
                <w:szCs w:val="17"/>
              </w:rPr>
            </w:pPr>
            <w:r w:rsidRPr="003731C0">
              <w:rPr>
                <w:sz w:val="17"/>
                <w:szCs w:val="17"/>
              </w:rPr>
              <w:t>Expected response rate (%)</w:t>
            </w:r>
          </w:p>
        </w:tc>
        <w:tc>
          <w:tcPr>
            <w:tcW w:w="404" w:type="pct"/>
            <w:tcBorders>
              <w:left w:val="nil"/>
              <w:right w:val="nil"/>
            </w:tcBorders>
            <w:shd w:val="clear" w:color="auto" w:fill="6C6F70"/>
            <w:textDirection w:val="btLr"/>
            <w:vAlign w:val="bottom"/>
          </w:tcPr>
          <w:p w:rsidR="00CB01F3" w:rsidRPr="003731C0" w:rsidRDefault="00CB01F3" w:rsidP="0006140A">
            <w:pPr>
              <w:pStyle w:val="TableHeaderCenter"/>
              <w:spacing w:before="0" w:after="0"/>
              <w:ind w:left="58" w:right="58"/>
              <w:jc w:val="left"/>
              <w:rPr>
                <w:sz w:val="17"/>
                <w:szCs w:val="17"/>
              </w:rPr>
            </w:pPr>
            <w:r w:rsidRPr="003731C0">
              <w:rPr>
                <w:sz w:val="17"/>
                <w:szCs w:val="17"/>
              </w:rPr>
              <w:t xml:space="preserve">Expected number </w:t>
            </w:r>
            <w:r w:rsidRPr="003731C0">
              <w:rPr>
                <w:sz w:val="17"/>
                <w:szCs w:val="17"/>
              </w:rPr>
              <w:br/>
              <w:t>of responses</w:t>
            </w:r>
          </w:p>
        </w:tc>
        <w:tc>
          <w:tcPr>
            <w:tcW w:w="385" w:type="pct"/>
            <w:tcBorders>
              <w:left w:val="nil"/>
              <w:right w:val="nil"/>
            </w:tcBorders>
            <w:shd w:val="clear" w:color="auto" w:fill="6C6F70"/>
            <w:textDirection w:val="btLr"/>
            <w:vAlign w:val="bottom"/>
          </w:tcPr>
          <w:p w:rsidR="00CB01F3" w:rsidRPr="003731C0" w:rsidRDefault="00CB01F3" w:rsidP="0006140A">
            <w:pPr>
              <w:pStyle w:val="TableHeaderCenter"/>
              <w:spacing w:before="0" w:after="0"/>
              <w:ind w:left="58" w:right="58"/>
              <w:jc w:val="left"/>
              <w:rPr>
                <w:sz w:val="17"/>
                <w:szCs w:val="17"/>
              </w:rPr>
            </w:pPr>
            <w:r w:rsidRPr="003731C0">
              <w:rPr>
                <w:sz w:val="17"/>
                <w:szCs w:val="17"/>
              </w:rPr>
              <w:t>Unit response time (hours)</w:t>
            </w:r>
          </w:p>
        </w:tc>
        <w:tc>
          <w:tcPr>
            <w:tcW w:w="385" w:type="pct"/>
            <w:tcBorders>
              <w:left w:val="nil"/>
              <w:right w:val="nil"/>
            </w:tcBorders>
            <w:shd w:val="clear" w:color="auto" w:fill="6C6F70"/>
            <w:textDirection w:val="btLr"/>
            <w:vAlign w:val="bottom"/>
          </w:tcPr>
          <w:p w:rsidR="00CB01F3" w:rsidRPr="003731C0" w:rsidRDefault="00CB01F3" w:rsidP="0006140A">
            <w:pPr>
              <w:pStyle w:val="TableHeaderCenter"/>
              <w:spacing w:before="0" w:after="0"/>
              <w:ind w:left="58" w:right="58"/>
              <w:jc w:val="left"/>
              <w:rPr>
                <w:sz w:val="17"/>
                <w:szCs w:val="17"/>
              </w:rPr>
            </w:pPr>
            <w:r w:rsidRPr="003731C0">
              <w:rPr>
                <w:sz w:val="17"/>
                <w:szCs w:val="17"/>
              </w:rPr>
              <w:t>Total burden time (hours)</w:t>
            </w:r>
          </w:p>
        </w:tc>
        <w:tc>
          <w:tcPr>
            <w:tcW w:w="409" w:type="pct"/>
            <w:tcBorders>
              <w:left w:val="nil"/>
              <w:right w:val="nil"/>
            </w:tcBorders>
            <w:shd w:val="clear" w:color="auto" w:fill="6C6F70"/>
            <w:textDirection w:val="btLr"/>
            <w:vAlign w:val="bottom"/>
          </w:tcPr>
          <w:p w:rsidR="00CB01F3" w:rsidRPr="003731C0" w:rsidRDefault="00CB01F3" w:rsidP="00D04174">
            <w:pPr>
              <w:pStyle w:val="TableHeaderCenter"/>
              <w:spacing w:before="0" w:after="0"/>
              <w:ind w:left="58" w:right="58"/>
              <w:jc w:val="left"/>
              <w:rPr>
                <w:sz w:val="17"/>
                <w:szCs w:val="17"/>
              </w:rPr>
            </w:pPr>
            <w:r>
              <w:rPr>
                <w:sz w:val="17"/>
                <w:szCs w:val="17"/>
              </w:rPr>
              <w:t>Annual respondent burden (hours)</w:t>
            </w:r>
          </w:p>
        </w:tc>
        <w:tc>
          <w:tcPr>
            <w:tcW w:w="597" w:type="pct"/>
            <w:tcBorders>
              <w:left w:val="nil"/>
              <w:right w:val="nil"/>
            </w:tcBorders>
            <w:shd w:val="clear" w:color="auto" w:fill="6C6F70"/>
            <w:textDirection w:val="btLr"/>
            <w:vAlign w:val="bottom"/>
          </w:tcPr>
          <w:p w:rsidR="00CB01F3" w:rsidRPr="003731C0" w:rsidRDefault="00CB01F3" w:rsidP="0006140A">
            <w:pPr>
              <w:pStyle w:val="TableHeaderCenter"/>
              <w:spacing w:before="0" w:after="0"/>
              <w:ind w:left="58" w:right="58"/>
              <w:jc w:val="left"/>
              <w:rPr>
                <w:sz w:val="17"/>
                <w:szCs w:val="17"/>
              </w:rPr>
            </w:pPr>
            <w:r w:rsidRPr="003731C0">
              <w:rPr>
                <w:sz w:val="17"/>
                <w:szCs w:val="17"/>
              </w:rPr>
              <w:t>Respondent average hourly wage</w:t>
            </w:r>
          </w:p>
        </w:tc>
        <w:tc>
          <w:tcPr>
            <w:tcW w:w="636" w:type="pct"/>
            <w:tcBorders>
              <w:left w:val="nil"/>
              <w:right w:val="nil"/>
            </w:tcBorders>
            <w:shd w:val="clear" w:color="auto" w:fill="6C6F70"/>
            <w:textDirection w:val="btLr"/>
            <w:vAlign w:val="center"/>
          </w:tcPr>
          <w:p w:rsidR="00CB01F3" w:rsidRPr="003731C0" w:rsidRDefault="00CB01F3" w:rsidP="0006140A">
            <w:pPr>
              <w:pStyle w:val="TableHeaderCenter"/>
              <w:spacing w:before="0" w:after="0"/>
              <w:ind w:left="58" w:right="58"/>
              <w:jc w:val="left"/>
              <w:rPr>
                <w:sz w:val="17"/>
                <w:szCs w:val="17"/>
              </w:rPr>
            </w:pPr>
            <w:r w:rsidRPr="003731C0">
              <w:rPr>
                <w:sz w:val="17"/>
                <w:szCs w:val="17"/>
              </w:rPr>
              <w:t>Respondent labor cost</w:t>
            </w:r>
          </w:p>
        </w:tc>
      </w:tr>
      <w:tr w:rsidR="00CB01F3" w:rsidRPr="003731C0" w:rsidTr="00302E4A">
        <w:trPr>
          <w:cantSplit/>
        </w:trPr>
        <w:tc>
          <w:tcPr>
            <w:tcW w:w="1372" w:type="pct"/>
            <w:vAlign w:val="bottom"/>
          </w:tcPr>
          <w:p w:rsidR="00CB01F3" w:rsidRPr="003731C0" w:rsidRDefault="00CB01F3" w:rsidP="0006140A">
            <w:pPr>
              <w:pStyle w:val="TableText"/>
              <w:spacing w:before="120"/>
              <w:rPr>
                <w:b/>
                <w:sz w:val="17"/>
                <w:szCs w:val="17"/>
              </w:rPr>
            </w:pPr>
            <w:r w:rsidRPr="003731C0">
              <w:rPr>
                <w:b/>
                <w:sz w:val="17"/>
                <w:szCs w:val="17"/>
              </w:rPr>
              <w:t>State-level staff</w:t>
            </w:r>
          </w:p>
        </w:tc>
        <w:tc>
          <w:tcPr>
            <w:tcW w:w="442" w:type="pct"/>
            <w:vAlign w:val="bottom"/>
          </w:tcPr>
          <w:p w:rsidR="00CB01F3" w:rsidRPr="003731C0" w:rsidRDefault="00CB01F3" w:rsidP="0006140A">
            <w:pPr>
              <w:pStyle w:val="TableText"/>
              <w:spacing w:before="120"/>
              <w:jc w:val="right"/>
              <w:rPr>
                <w:b/>
                <w:sz w:val="17"/>
                <w:szCs w:val="17"/>
              </w:rPr>
            </w:pPr>
          </w:p>
        </w:tc>
        <w:tc>
          <w:tcPr>
            <w:tcW w:w="370" w:type="pct"/>
            <w:vAlign w:val="bottom"/>
          </w:tcPr>
          <w:p w:rsidR="00CB01F3" w:rsidRPr="003731C0" w:rsidRDefault="00CB01F3" w:rsidP="0006140A">
            <w:pPr>
              <w:pStyle w:val="TableText"/>
              <w:spacing w:before="120"/>
              <w:jc w:val="right"/>
              <w:rPr>
                <w:b/>
                <w:sz w:val="17"/>
                <w:szCs w:val="17"/>
              </w:rPr>
            </w:pPr>
          </w:p>
        </w:tc>
        <w:tc>
          <w:tcPr>
            <w:tcW w:w="404" w:type="pct"/>
            <w:vAlign w:val="bottom"/>
          </w:tcPr>
          <w:p w:rsidR="00CB01F3" w:rsidRPr="003731C0" w:rsidRDefault="00CB01F3" w:rsidP="0006140A">
            <w:pPr>
              <w:pStyle w:val="TableText"/>
              <w:spacing w:before="120"/>
              <w:jc w:val="right"/>
              <w:rPr>
                <w:b/>
                <w:sz w:val="17"/>
                <w:szCs w:val="17"/>
              </w:rPr>
            </w:pPr>
          </w:p>
        </w:tc>
        <w:tc>
          <w:tcPr>
            <w:tcW w:w="385" w:type="pct"/>
            <w:vAlign w:val="bottom"/>
          </w:tcPr>
          <w:p w:rsidR="00CB01F3" w:rsidRPr="003731C0" w:rsidRDefault="00CB01F3" w:rsidP="0006140A">
            <w:pPr>
              <w:pStyle w:val="TableText"/>
              <w:spacing w:before="120"/>
              <w:jc w:val="right"/>
              <w:rPr>
                <w:b/>
                <w:sz w:val="17"/>
                <w:szCs w:val="17"/>
              </w:rPr>
            </w:pPr>
          </w:p>
        </w:tc>
        <w:tc>
          <w:tcPr>
            <w:tcW w:w="385" w:type="pct"/>
            <w:vAlign w:val="bottom"/>
          </w:tcPr>
          <w:p w:rsidR="00CB01F3" w:rsidRPr="003731C0" w:rsidRDefault="00CB01F3" w:rsidP="0006140A">
            <w:pPr>
              <w:pStyle w:val="TableText"/>
              <w:spacing w:before="120"/>
              <w:jc w:val="right"/>
              <w:rPr>
                <w:b/>
                <w:sz w:val="17"/>
                <w:szCs w:val="17"/>
              </w:rPr>
            </w:pPr>
          </w:p>
        </w:tc>
        <w:tc>
          <w:tcPr>
            <w:tcW w:w="409" w:type="pct"/>
          </w:tcPr>
          <w:p w:rsidR="00CB01F3" w:rsidRPr="003731C0" w:rsidRDefault="00CB01F3" w:rsidP="0006140A">
            <w:pPr>
              <w:pStyle w:val="TableText"/>
              <w:spacing w:before="120"/>
              <w:jc w:val="right"/>
              <w:rPr>
                <w:b/>
                <w:sz w:val="17"/>
                <w:szCs w:val="17"/>
              </w:rPr>
            </w:pPr>
          </w:p>
        </w:tc>
        <w:tc>
          <w:tcPr>
            <w:tcW w:w="597" w:type="pct"/>
            <w:vAlign w:val="bottom"/>
          </w:tcPr>
          <w:p w:rsidR="00CB01F3" w:rsidRPr="003731C0" w:rsidRDefault="00CB01F3" w:rsidP="0006140A">
            <w:pPr>
              <w:pStyle w:val="TableText"/>
              <w:spacing w:before="120"/>
              <w:jc w:val="right"/>
              <w:rPr>
                <w:b/>
                <w:sz w:val="17"/>
                <w:szCs w:val="17"/>
              </w:rPr>
            </w:pPr>
          </w:p>
        </w:tc>
        <w:tc>
          <w:tcPr>
            <w:tcW w:w="636" w:type="pct"/>
            <w:vAlign w:val="bottom"/>
          </w:tcPr>
          <w:p w:rsidR="00CB01F3" w:rsidRPr="003731C0" w:rsidRDefault="00CB01F3" w:rsidP="0006140A">
            <w:pPr>
              <w:pStyle w:val="TableText"/>
              <w:spacing w:before="120"/>
              <w:jc w:val="right"/>
              <w:rPr>
                <w:b/>
                <w:sz w:val="17"/>
                <w:szCs w:val="17"/>
              </w:rPr>
            </w:pPr>
          </w:p>
        </w:tc>
      </w:tr>
      <w:tr w:rsidR="00CB01F3" w:rsidRPr="003731C0" w:rsidTr="00302E4A">
        <w:trPr>
          <w:cantSplit/>
          <w:trHeight w:val="207"/>
        </w:trPr>
        <w:tc>
          <w:tcPr>
            <w:tcW w:w="1372" w:type="pct"/>
            <w:vAlign w:val="bottom"/>
          </w:tcPr>
          <w:p w:rsidR="00CB01F3" w:rsidRPr="003731C0" w:rsidRDefault="00CB01F3" w:rsidP="0006140A">
            <w:pPr>
              <w:pStyle w:val="TableText"/>
              <w:ind w:left="288"/>
              <w:rPr>
                <w:sz w:val="17"/>
                <w:szCs w:val="17"/>
              </w:rPr>
            </w:pPr>
            <w:r>
              <w:rPr>
                <w:sz w:val="17"/>
                <w:szCs w:val="17"/>
              </w:rPr>
              <w:t>Part C infants and toddlers program</w:t>
            </w:r>
            <w:r w:rsidRPr="003731C0">
              <w:rPr>
                <w:sz w:val="17"/>
                <w:szCs w:val="17"/>
              </w:rPr>
              <w:t xml:space="preserve"> state survey</w:t>
            </w:r>
          </w:p>
        </w:tc>
        <w:tc>
          <w:tcPr>
            <w:tcW w:w="442" w:type="pct"/>
            <w:vAlign w:val="bottom"/>
          </w:tcPr>
          <w:p w:rsidR="00CB01F3" w:rsidRPr="003731C0" w:rsidRDefault="00CB01F3" w:rsidP="0006140A">
            <w:pPr>
              <w:pStyle w:val="TableText"/>
              <w:tabs>
                <w:tab w:val="decimal" w:pos="694"/>
              </w:tabs>
              <w:jc w:val="right"/>
              <w:rPr>
                <w:sz w:val="17"/>
                <w:szCs w:val="17"/>
              </w:rPr>
            </w:pPr>
            <w:r w:rsidRPr="003731C0">
              <w:rPr>
                <w:sz w:val="17"/>
                <w:szCs w:val="17"/>
              </w:rPr>
              <w:t>61</w:t>
            </w:r>
          </w:p>
        </w:tc>
        <w:tc>
          <w:tcPr>
            <w:tcW w:w="370" w:type="pct"/>
            <w:vAlign w:val="bottom"/>
          </w:tcPr>
          <w:p w:rsidR="00CB01F3" w:rsidRPr="003731C0" w:rsidRDefault="00CB01F3" w:rsidP="0006140A">
            <w:pPr>
              <w:pStyle w:val="TableText"/>
              <w:tabs>
                <w:tab w:val="decimal" w:pos="694"/>
              </w:tabs>
              <w:ind w:right="21"/>
              <w:jc w:val="right"/>
              <w:rPr>
                <w:sz w:val="17"/>
                <w:szCs w:val="17"/>
              </w:rPr>
            </w:pPr>
            <w:r w:rsidRPr="003731C0">
              <w:rPr>
                <w:sz w:val="17"/>
                <w:szCs w:val="17"/>
              </w:rPr>
              <w:t>100</w:t>
            </w:r>
          </w:p>
        </w:tc>
        <w:tc>
          <w:tcPr>
            <w:tcW w:w="404" w:type="pct"/>
            <w:vAlign w:val="bottom"/>
          </w:tcPr>
          <w:p w:rsidR="00CB01F3" w:rsidRPr="003731C0" w:rsidRDefault="00CB01F3" w:rsidP="0006140A">
            <w:pPr>
              <w:pStyle w:val="TableText"/>
              <w:tabs>
                <w:tab w:val="decimal" w:pos="694"/>
              </w:tabs>
              <w:jc w:val="right"/>
              <w:rPr>
                <w:sz w:val="17"/>
                <w:szCs w:val="17"/>
              </w:rPr>
            </w:pPr>
            <w:r w:rsidRPr="003731C0">
              <w:rPr>
                <w:sz w:val="17"/>
                <w:szCs w:val="17"/>
              </w:rPr>
              <w:t>61</w:t>
            </w:r>
          </w:p>
        </w:tc>
        <w:tc>
          <w:tcPr>
            <w:tcW w:w="385" w:type="pct"/>
            <w:vAlign w:val="bottom"/>
          </w:tcPr>
          <w:p w:rsidR="00CB01F3" w:rsidRPr="003731C0" w:rsidRDefault="00CB01F3" w:rsidP="0006140A">
            <w:pPr>
              <w:pStyle w:val="TableText"/>
              <w:tabs>
                <w:tab w:val="decimal" w:pos="694"/>
              </w:tabs>
              <w:jc w:val="right"/>
              <w:rPr>
                <w:sz w:val="17"/>
                <w:szCs w:val="17"/>
              </w:rPr>
            </w:pPr>
            <w:r>
              <w:rPr>
                <w:sz w:val="17"/>
                <w:szCs w:val="17"/>
              </w:rPr>
              <w:t>1.00</w:t>
            </w:r>
          </w:p>
        </w:tc>
        <w:tc>
          <w:tcPr>
            <w:tcW w:w="385" w:type="pct"/>
            <w:vAlign w:val="bottom"/>
          </w:tcPr>
          <w:p w:rsidR="00CB01F3" w:rsidRPr="003731C0" w:rsidRDefault="00CB01F3" w:rsidP="0006140A">
            <w:pPr>
              <w:pStyle w:val="TableText"/>
              <w:tabs>
                <w:tab w:val="decimal" w:pos="694"/>
              </w:tabs>
              <w:jc w:val="right"/>
              <w:rPr>
                <w:sz w:val="17"/>
                <w:szCs w:val="17"/>
              </w:rPr>
            </w:pPr>
            <w:r w:rsidRPr="003731C0">
              <w:rPr>
                <w:sz w:val="17"/>
                <w:szCs w:val="17"/>
              </w:rPr>
              <w:t>61</w:t>
            </w:r>
          </w:p>
        </w:tc>
        <w:tc>
          <w:tcPr>
            <w:tcW w:w="409" w:type="pct"/>
            <w:vAlign w:val="bottom"/>
          </w:tcPr>
          <w:p w:rsidR="00CB01F3" w:rsidRPr="003731C0" w:rsidRDefault="00CB01F3" w:rsidP="00CB01F3">
            <w:pPr>
              <w:pStyle w:val="TableText"/>
              <w:tabs>
                <w:tab w:val="decimal" w:pos="694"/>
              </w:tabs>
              <w:jc w:val="right"/>
              <w:rPr>
                <w:sz w:val="17"/>
                <w:szCs w:val="17"/>
              </w:rPr>
            </w:pPr>
            <w:r>
              <w:rPr>
                <w:sz w:val="17"/>
                <w:szCs w:val="17"/>
              </w:rPr>
              <w:t>20.3</w:t>
            </w:r>
          </w:p>
        </w:tc>
        <w:tc>
          <w:tcPr>
            <w:tcW w:w="597" w:type="pct"/>
            <w:vAlign w:val="bottom"/>
          </w:tcPr>
          <w:p w:rsidR="00CB01F3" w:rsidRPr="003731C0" w:rsidRDefault="00CB01F3" w:rsidP="0006140A">
            <w:pPr>
              <w:pStyle w:val="TableText"/>
              <w:tabs>
                <w:tab w:val="decimal" w:pos="694"/>
              </w:tabs>
              <w:jc w:val="right"/>
              <w:rPr>
                <w:sz w:val="17"/>
                <w:szCs w:val="17"/>
              </w:rPr>
            </w:pPr>
            <w:r w:rsidRPr="003731C0">
              <w:rPr>
                <w:sz w:val="17"/>
                <w:szCs w:val="17"/>
              </w:rPr>
              <w:t>$44.79</w:t>
            </w:r>
          </w:p>
        </w:tc>
        <w:tc>
          <w:tcPr>
            <w:tcW w:w="636" w:type="pct"/>
            <w:vAlign w:val="bottom"/>
          </w:tcPr>
          <w:p w:rsidR="00CB01F3" w:rsidRPr="003731C0" w:rsidRDefault="00CB01F3" w:rsidP="0006140A">
            <w:pPr>
              <w:pStyle w:val="TableText"/>
              <w:tabs>
                <w:tab w:val="decimal" w:pos="694"/>
              </w:tabs>
              <w:jc w:val="both"/>
              <w:rPr>
                <w:sz w:val="17"/>
                <w:szCs w:val="17"/>
              </w:rPr>
            </w:pPr>
            <w:r w:rsidRPr="003731C0">
              <w:rPr>
                <w:sz w:val="17"/>
                <w:szCs w:val="17"/>
              </w:rPr>
              <w:t>$2,732.19</w:t>
            </w:r>
          </w:p>
        </w:tc>
      </w:tr>
      <w:tr w:rsidR="00CB01F3" w:rsidRPr="003731C0" w:rsidTr="00302E4A">
        <w:trPr>
          <w:cantSplit/>
        </w:trPr>
        <w:tc>
          <w:tcPr>
            <w:tcW w:w="1372" w:type="pct"/>
            <w:vAlign w:val="bottom"/>
          </w:tcPr>
          <w:p w:rsidR="00CB01F3" w:rsidRPr="003731C0" w:rsidRDefault="00CB01F3" w:rsidP="0006140A">
            <w:pPr>
              <w:pStyle w:val="TableText"/>
              <w:ind w:left="288"/>
              <w:rPr>
                <w:sz w:val="17"/>
                <w:szCs w:val="17"/>
              </w:rPr>
            </w:pPr>
            <w:r>
              <w:rPr>
                <w:sz w:val="17"/>
                <w:szCs w:val="17"/>
              </w:rPr>
              <w:t>Part B program for preschool-age children</w:t>
            </w:r>
            <w:r w:rsidRPr="003731C0">
              <w:rPr>
                <w:sz w:val="17"/>
                <w:szCs w:val="17"/>
              </w:rPr>
              <w:t xml:space="preserve"> state survey</w:t>
            </w:r>
          </w:p>
        </w:tc>
        <w:tc>
          <w:tcPr>
            <w:tcW w:w="442" w:type="pct"/>
            <w:vAlign w:val="bottom"/>
          </w:tcPr>
          <w:p w:rsidR="00CB01F3" w:rsidRPr="003731C0" w:rsidRDefault="00CB01F3" w:rsidP="0006140A">
            <w:pPr>
              <w:pStyle w:val="TableText"/>
              <w:tabs>
                <w:tab w:val="decimal" w:pos="694"/>
              </w:tabs>
              <w:jc w:val="right"/>
              <w:rPr>
                <w:sz w:val="17"/>
                <w:szCs w:val="17"/>
              </w:rPr>
            </w:pPr>
            <w:r w:rsidRPr="003731C0">
              <w:rPr>
                <w:sz w:val="17"/>
                <w:szCs w:val="17"/>
              </w:rPr>
              <w:t>61</w:t>
            </w:r>
          </w:p>
        </w:tc>
        <w:tc>
          <w:tcPr>
            <w:tcW w:w="370" w:type="pct"/>
            <w:vAlign w:val="bottom"/>
          </w:tcPr>
          <w:p w:rsidR="00CB01F3" w:rsidRPr="003731C0" w:rsidRDefault="00CB01F3" w:rsidP="0006140A">
            <w:pPr>
              <w:pStyle w:val="TableText"/>
              <w:tabs>
                <w:tab w:val="decimal" w:pos="694"/>
              </w:tabs>
              <w:ind w:right="21"/>
              <w:jc w:val="right"/>
              <w:rPr>
                <w:sz w:val="17"/>
                <w:szCs w:val="17"/>
              </w:rPr>
            </w:pPr>
            <w:r w:rsidRPr="003731C0">
              <w:rPr>
                <w:sz w:val="17"/>
                <w:szCs w:val="17"/>
              </w:rPr>
              <w:t>100</w:t>
            </w:r>
          </w:p>
        </w:tc>
        <w:tc>
          <w:tcPr>
            <w:tcW w:w="404" w:type="pct"/>
            <w:vAlign w:val="bottom"/>
          </w:tcPr>
          <w:p w:rsidR="00CB01F3" w:rsidRPr="003731C0" w:rsidRDefault="00CB01F3" w:rsidP="0006140A">
            <w:pPr>
              <w:pStyle w:val="TableText"/>
              <w:tabs>
                <w:tab w:val="decimal" w:pos="694"/>
              </w:tabs>
              <w:jc w:val="right"/>
              <w:rPr>
                <w:sz w:val="17"/>
                <w:szCs w:val="17"/>
              </w:rPr>
            </w:pPr>
            <w:r w:rsidRPr="003731C0">
              <w:rPr>
                <w:sz w:val="17"/>
                <w:szCs w:val="17"/>
              </w:rPr>
              <w:t>61</w:t>
            </w:r>
          </w:p>
        </w:tc>
        <w:tc>
          <w:tcPr>
            <w:tcW w:w="385" w:type="pct"/>
            <w:vAlign w:val="bottom"/>
          </w:tcPr>
          <w:p w:rsidR="00CB01F3" w:rsidRPr="003731C0" w:rsidRDefault="00CB01F3" w:rsidP="0006140A">
            <w:pPr>
              <w:pStyle w:val="TableText"/>
              <w:tabs>
                <w:tab w:val="decimal" w:pos="694"/>
              </w:tabs>
              <w:jc w:val="right"/>
              <w:rPr>
                <w:sz w:val="17"/>
                <w:szCs w:val="17"/>
              </w:rPr>
            </w:pPr>
            <w:r w:rsidRPr="003731C0">
              <w:rPr>
                <w:sz w:val="17"/>
                <w:szCs w:val="17"/>
              </w:rPr>
              <w:t>1.00</w:t>
            </w:r>
          </w:p>
        </w:tc>
        <w:tc>
          <w:tcPr>
            <w:tcW w:w="385" w:type="pct"/>
            <w:vAlign w:val="bottom"/>
          </w:tcPr>
          <w:p w:rsidR="00CB01F3" w:rsidRPr="003731C0" w:rsidRDefault="00CB01F3" w:rsidP="0006140A">
            <w:pPr>
              <w:pStyle w:val="TableText"/>
              <w:tabs>
                <w:tab w:val="decimal" w:pos="694"/>
              </w:tabs>
              <w:jc w:val="right"/>
              <w:rPr>
                <w:sz w:val="17"/>
                <w:szCs w:val="17"/>
              </w:rPr>
            </w:pPr>
            <w:r w:rsidRPr="003731C0">
              <w:rPr>
                <w:sz w:val="17"/>
                <w:szCs w:val="17"/>
              </w:rPr>
              <w:t>61</w:t>
            </w:r>
          </w:p>
        </w:tc>
        <w:tc>
          <w:tcPr>
            <w:tcW w:w="409" w:type="pct"/>
            <w:vAlign w:val="bottom"/>
          </w:tcPr>
          <w:p w:rsidR="00CB01F3" w:rsidRPr="003731C0" w:rsidRDefault="00CB01F3" w:rsidP="00CB01F3">
            <w:pPr>
              <w:pStyle w:val="TableText"/>
              <w:tabs>
                <w:tab w:val="decimal" w:pos="694"/>
              </w:tabs>
              <w:jc w:val="right"/>
              <w:rPr>
                <w:sz w:val="17"/>
                <w:szCs w:val="17"/>
              </w:rPr>
            </w:pPr>
            <w:r>
              <w:rPr>
                <w:sz w:val="17"/>
                <w:szCs w:val="17"/>
              </w:rPr>
              <w:t>20.3</w:t>
            </w:r>
          </w:p>
        </w:tc>
        <w:tc>
          <w:tcPr>
            <w:tcW w:w="597" w:type="pct"/>
            <w:vAlign w:val="bottom"/>
          </w:tcPr>
          <w:p w:rsidR="00CB01F3" w:rsidRPr="003731C0" w:rsidRDefault="00CB01F3" w:rsidP="0006140A">
            <w:pPr>
              <w:pStyle w:val="TableText"/>
              <w:tabs>
                <w:tab w:val="decimal" w:pos="694"/>
              </w:tabs>
              <w:jc w:val="right"/>
              <w:rPr>
                <w:sz w:val="17"/>
                <w:szCs w:val="17"/>
              </w:rPr>
            </w:pPr>
            <w:r w:rsidRPr="003731C0">
              <w:rPr>
                <w:sz w:val="17"/>
                <w:szCs w:val="17"/>
              </w:rPr>
              <w:t>$44.79</w:t>
            </w:r>
          </w:p>
        </w:tc>
        <w:tc>
          <w:tcPr>
            <w:tcW w:w="636" w:type="pct"/>
            <w:vAlign w:val="bottom"/>
          </w:tcPr>
          <w:p w:rsidR="00CB01F3" w:rsidRPr="003731C0" w:rsidRDefault="00CB01F3" w:rsidP="0006140A">
            <w:pPr>
              <w:pStyle w:val="TableText"/>
              <w:tabs>
                <w:tab w:val="decimal" w:pos="694"/>
              </w:tabs>
              <w:jc w:val="both"/>
              <w:rPr>
                <w:sz w:val="17"/>
                <w:szCs w:val="17"/>
              </w:rPr>
            </w:pPr>
            <w:r w:rsidRPr="003731C0">
              <w:rPr>
                <w:sz w:val="17"/>
                <w:szCs w:val="17"/>
              </w:rPr>
              <w:t>$2,732.19</w:t>
            </w:r>
          </w:p>
        </w:tc>
      </w:tr>
      <w:tr w:rsidR="00CB01F3" w:rsidRPr="003731C0" w:rsidTr="00302E4A">
        <w:trPr>
          <w:cantSplit/>
        </w:trPr>
        <w:tc>
          <w:tcPr>
            <w:tcW w:w="1372" w:type="pct"/>
            <w:vAlign w:val="bottom"/>
          </w:tcPr>
          <w:p w:rsidR="00CB01F3" w:rsidRPr="003731C0" w:rsidRDefault="00CB01F3" w:rsidP="0006140A">
            <w:pPr>
              <w:pStyle w:val="TableText"/>
              <w:ind w:left="288"/>
              <w:rPr>
                <w:sz w:val="17"/>
                <w:szCs w:val="17"/>
              </w:rPr>
            </w:pPr>
            <w:r>
              <w:rPr>
                <w:sz w:val="17"/>
                <w:szCs w:val="17"/>
              </w:rPr>
              <w:t>Part B program for school-age children</w:t>
            </w:r>
            <w:r w:rsidRPr="003731C0">
              <w:rPr>
                <w:sz w:val="17"/>
                <w:szCs w:val="17"/>
              </w:rPr>
              <w:t xml:space="preserve"> state survey</w:t>
            </w:r>
          </w:p>
        </w:tc>
        <w:tc>
          <w:tcPr>
            <w:tcW w:w="442" w:type="pct"/>
            <w:vAlign w:val="bottom"/>
          </w:tcPr>
          <w:p w:rsidR="00CB01F3" w:rsidRPr="003731C0" w:rsidRDefault="00CB01F3" w:rsidP="0006140A">
            <w:pPr>
              <w:pStyle w:val="TableText"/>
              <w:tabs>
                <w:tab w:val="decimal" w:pos="694"/>
              </w:tabs>
              <w:jc w:val="right"/>
              <w:rPr>
                <w:sz w:val="17"/>
                <w:szCs w:val="17"/>
              </w:rPr>
            </w:pPr>
            <w:r w:rsidRPr="003731C0">
              <w:rPr>
                <w:sz w:val="17"/>
                <w:szCs w:val="17"/>
              </w:rPr>
              <w:t>61</w:t>
            </w:r>
          </w:p>
        </w:tc>
        <w:tc>
          <w:tcPr>
            <w:tcW w:w="370" w:type="pct"/>
            <w:vAlign w:val="bottom"/>
          </w:tcPr>
          <w:p w:rsidR="00CB01F3" w:rsidRPr="003731C0" w:rsidRDefault="00CB01F3" w:rsidP="0006140A">
            <w:pPr>
              <w:pStyle w:val="TableText"/>
              <w:tabs>
                <w:tab w:val="decimal" w:pos="694"/>
              </w:tabs>
              <w:ind w:right="21"/>
              <w:jc w:val="right"/>
              <w:rPr>
                <w:sz w:val="17"/>
                <w:szCs w:val="17"/>
              </w:rPr>
            </w:pPr>
            <w:r w:rsidRPr="003731C0">
              <w:rPr>
                <w:sz w:val="17"/>
                <w:szCs w:val="17"/>
              </w:rPr>
              <w:t>100</w:t>
            </w:r>
          </w:p>
        </w:tc>
        <w:tc>
          <w:tcPr>
            <w:tcW w:w="404" w:type="pct"/>
            <w:vAlign w:val="bottom"/>
          </w:tcPr>
          <w:p w:rsidR="00CB01F3" w:rsidRPr="003731C0" w:rsidRDefault="00CB01F3" w:rsidP="0006140A">
            <w:pPr>
              <w:pStyle w:val="TableText"/>
              <w:tabs>
                <w:tab w:val="decimal" w:pos="694"/>
              </w:tabs>
              <w:jc w:val="right"/>
              <w:rPr>
                <w:sz w:val="17"/>
                <w:szCs w:val="17"/>
              </w:rPr>
            </w:pPr>
            <w:r w:rsidRPr="003731C0">
              <w:rPr>
                <w:sz w:val="17"/>
                <w:szCs w:val="17"/>
              </w:rPr>
              <w:t>61</w:t>
            </w:r>
          </w:p>
        </w:tc>
        <w:tc>
          <w:tcPr>
            <w:tcW w:w="385" w:type="pct"/>
            <w:vAlign w:val="bottom"/>
          </w:tcPr>
          <w:p w:rsidR="00CB01F3" w:rsidRPr="003731C0" w:rsidRDefault="00CB01F3" w:rsidP="0006140A">
            <w:pPr>
              <w:pStyle w:val="TableText"/>
              <w:tabs>
                <w:tab w:val="decimal" w:pos="694"/>
              </w:tabs>
              <w:jc w:val="right"/>
              <w:rPr>
                <w:sz w:val="17"/>
                <w:szCs w:val="17"/>
              </w:rPr>
            </w:pPr>
            <w:r w:rsidRPr="003731C0">
              <w:rPr>
                <w:sz w:val="17"/>
                <w:szCs w:val="17"/>
              </w:rPr>
              <w:t>1.00</w:t>
            </w:r>
          </w:p>
        </w:tc>
        <w:tc>
          <w:tcPr>
            <w:tcW w:w="385" w:type="pct"/>
            <w:vAlign w:val="bottom"/>
          </w:tcPr>
          <w:p w:rsidR="00CB01F3" w:rsidRPr="003731C0" w:rsidRDefault="00CB01F3" w:rsidP="0006140A">
            <w:pPr>
              <w:pStyle w:val="TableText"/>
              <w:tabs>
                <w:tab w:val="decimal" w:pos="694"/>
              </w:tabs>
              <w:jc w:val="right"/>
              <w:rPr>
                <w:sz w:val="17"/>
                <w:szCs w:val="17"/>
              </w:rPr>
            </w:pPr>
            <w:r w:rsidRPr="003731C0">
              <w:rPr>
                <w:sz w:val="17"/>
                <w:szCs w:val="17"/>
              </w:rPr>
              <w:t>61</w:t>
            </w:r>
          </w:p>
        </w:tc>
        <w:tc>
          <w:tcPr>
            <w:tcW w:w="409" w:type="pct"/>
            <w:vAlign w:val="bottom"/>
          </w:tcPr>
          <w:p w:rsidR="00CB01F3" w:rsidRPr="003731C0" w:rsidRDefault="00CB01F3" w:rsidP="00CB01F3">
            <w:pPr>
              <w:pStyle w:val="TableText"/>
              <w:tabs>
                <w:tab w:val="decimal" w:pos="694"/>
              </w:tabs>
              <w:jc w:val="right"/>
              <w:rPr>
                <w:sz w:val="17"/>
                <w:szCs w:val="17"/>
              </w:rPr>
            </w:pPr>
            <w:r>
              <w:rPr>
                <w:sz w:val="17"/>
                <w:szCs w:val="17"/>
              </w:rPr>
              <w:t>20.3</w:t>
            </w:r>
          </w:p>
        </w:tc>
        <w:tc>
          <w:tcPr>
            <w:tcW w:w="597" w:type="pct"/>
            <w:vAlign w:val="bottom"/>
          </w:tcPr>
          <w:p w:rsidR="00CB01F3" w:rsidRPr="003731C0" w:rsidRDefault="00CB01F3" w:rsidP="0006140A">
            <w:pPr>
              <w:pStyle w:val="TableText"/>
              <w:tabs>
                <w:tab w:val="decimal" w:pos="694"/>
              </w:tabs>
              <w:jc w:val="right"/>
              <w:rPr>
                <w:sz w:val="17"/>
                <w:szCs w:val="17"/>
              </w:rPr>
            </w:pPr>
            <w:r w:rsidRPr="003731C0">
              <w:rPr>
                <w:sz w:val="17"/>
                <w:szCs w:val="17"/>
              </w:rPr>
              <w:t>$44.79</w:t>
            </w:r>
          </w:p>
        </w:tc>
        <w:tc>
          <w:tcPr>
            <w:tcW w:w="636" w:type="pct"/>
            <w:vAlign w:val="bottom"/>
          </w:tcPr>
          <w:p w:rsidR="00CB01F3" w:rsidRPr="003731C0" w:rsidRDefault="00CB01F3" w:rsidP="0006140A">
            <w:pPr>
              <w:pStyle w:val="TableText"/>
              <w:tabs>
                <w:tab w:val="decimal" w:pos="694"/>
              </w:tabs>
              <w:jc w:val="both"/>
              <w:rPr>
                <w:sz w:val="17"/>
                <w:szCs w:val="17"/>
              </w:rPr>
            </w:pPr>
            <w:r w:rsidRPr="003731C0">
              <w:rPr>
                <w:sz w:val="17"/>
                <w:szCs w:val="17"/>
              </w:rPr>
              <w:t>$2,732.19</w:t>
            </w:r>
          </w:p>
        </w:tc>
      </w:tr>
      <w:tr w:rsidR="00CB01F3" w:rsidRPr="003731C0" w:rsidTr="00302E4A">
        <w:trPr>
          <w:cantSplit/>
        </w:trPr>
        <w:tc>
          <w:tcPr>
            <w:tcW w:w="1372" w:type="pct"/>
            <w:vAlign w:val="bottom"/>
          </w:tcPr>
          <w:p w:rsidR="00CB01F3" w:rsidRPr="003731C0" w:rsidRDefault="00CB01F3" w:rsidP="0006140A">
            <w:pPr>
              <w:pStyle w:val="TableText"/>
              <w:spacing w:before="120"/>
              <w:rPr>
                <w:b/>
                <w:sz w:val="17"/>
                <w:szCs w:val="17"/>
              </w:rPr>
            </w:pPr>
            <w:r w:rsidRPr="003731C0">
              <w:rPr>
                <w:b/>
                <w:sz w:val="17"/>
                <w:szCs w:val="17"/>
              </w:rPr>
              <w:t>District-level staff</w:t>
            </w:r>
          </w:p>
        </w:tc>
        <w:tc>
          <w:tcPr>
            <w:tcW w:w="442" w:type="pct"/>
            <w:vAlign w:val="bottom"/>
          </w:tcPr>
          <w:p w:rsidR="00CB01F3" w:rsidRPr="003731C0" w:rsidRDefault="00CB01F3" w:rsidP="0006140A">
            <w:pPr>
              <w:pStyle w:val="TableText"/>
              <w:tabs>
                <w:tab w:val="decimal" w:pos="694"/>
              </w:tabs>
              <w:spacing w:before="120"/>
              <w:jc w:val="right"/>
              <w:rPr>
                <w:b/>
                <w:sz w:val="17"/>
                <w:szCs w:val="17"/>
              </w:rPr>
            </w:pPr>
          </w:p>
        </w:tc>
        <w:tc>
          <w:tcPr>
            <w:tcW w:w="370" w:type="pct"/>
            <w:vAlign w:val="bottom"/>
          </w:tcPr>
          <w:p w:rsidR="00CB01F3" w:rsidRPr="003731C0" w:rsidRDefault="00CB01F3" w:rsidP="0006140A">
            <w:pPr>
              <w:pStyle w:val="TableText"/>
              <w:tabs>
                <w:tab w:val="decimal" w:pos="694"/>
              </w:tabs>
              <w:spacing w:before="120"/>
              <w:ind w:right="21"/>
              <w:jc w:val="right"/>
              <w:rPr>
                <w:b/>
                <w:sz w:val="17"/>
                <w:szCs w:val="17"/>
              </w:rPr>
            </w:pPr>
          </w:p>
        </w:tc>
        <w:tc>
          <w:tcPr>
            <w:tcW w:w="404" w:type="pct"/>
            <w:vAlign w:val="bottom"/>
          </w:tcPr>
          <w:p w:rsidR="00CB01F3" w:rsidRPr="003731C0" w:rsidRDefault="00CB01F3" w:rsidP="0006140A">
            <w:pPr>
              <w:pStyle w:val="TableText"/>
              <w:tabs>
                <w:tab w:val="decimal" w:pos="694"/>
              </w:tabs>
              <w:spacing w:before="120"/>
              <w:jc w:val="right"/>
              <w:rPr>
                <w:b/>
                <w:sz w:val="17"/>
                <w:szCs w:val="17"/>
              </w:rPr>
            </w:pPr>
          </w:p>
        </w:tc>
        <w:tc>
          <w:tcPr>
            <w:tcW w:w="385" w:type="pct"/>
            <w:vAlign w:val="bottom"/>
          </w:tcPr>
          <w:p w:rsidR="00CB01F3" w:rsidRPr="003731C0" w:rsidRDefault="00CB01F3" w:rsidP="0006140A">
            <w:pPr>
              <w:pStyle w:val="TableText"/>
              <w:tabs>
                <w:tab w:val="decimal" w:pos="694"/>
              </w:tabs>
              <w:spacing w:before="120"/>
              <w:jc w:val="right"/>
              <w:rPr>
                <w:b/>
                <w:sz w:val="17"/>
                <w:szCs w:val="17"/>
              </w:rPr>
            </w:pPr>
          </w:p>
        </w:tc>
        <w:tc>
          <w:tcPr>
            <w:tcW w:w="385" w:type="pct"/>
            <w:vAlign w:val="bottom"/>
          </w:tcPr>
          <w:p w:rsidR="00CB01F3" w:rsidRPr="003731C0" w:rsidRDefault="00CB01F3" w:rsidP="0006140A">
            <w:pPr>
              <w:pStyle w:val="TableText"/>
              <w:tabs>
                <w:tab w:val="decimal" w:pos="694"/>
              </w:tabs>
              <w:spacing w:before="120"/>
              <w:jc w:val="right"/>
              <w:rPr>
                <w:b/>
                <w:sz w:val="17"/>
                <w:szCs w:val="17"/>
              </w:rPr>
            </w:pPr>
          </w:p>
        </w:tc>
        <w:tc>
          <w:tcPr>
            <w:tcW w:w="409" w:type="pct"/>
            <w:vAlign w:val="bottom"/>
          </w:tcPr>
          <w:p w:rsidR="00CB01F3" w:rsidRPr="00302E4A" w:rsidRDefault="00CB01F3" w:rsidP="00302E4A">
            <w:pPr>
              <w:pStyle w:val="TableText"/>
              <w:tabs>
                <w:tab w:val="decimal" w:pos="694"/>
              </w:tabs>
              <w:jc w:val="right"/>
              <w:rPr>
                <w:sz w:val="17"/>
                <w:szCs w:val="17"/>
              </w:rPr>
            </w:pPr>
          </w:p>
        </w:tc>
        <w:tc>
          <w:tcPr>
            <w:tcW w:w="597" w:type="pct"/>
            <w:vAlign w:val="bottom"/>
          </w:tcPr>
          <w:p w:rsidR="00CB01F3" w:rsidRPr="003731C0" w:rsidRDefault="00CB01F3" w:rsidP="0006140A">
            <w:pPr>
              <w:pStyle w:val="TableText"/>
              <w:tabs>
                <w:tab w:val="decimal" w:pos="694"/>
              </w:tabs>
              <w:spacing w:before="120"/>
              <w:jc w:val="right"/>
              <w:rPr>
                <w:b/>
                <w:sz w:val="17"/>
                <w:szCs w:val="17"/>
              </w:rPr>
            </w:pPr>
          </w:p>
        </w:tc>
        <w:tc>
          <w:tcPr>
            <w:tcW w:w="636" w:type="pct"/>
            <w:vAlign w:val="bottom"/>
          </w:tcPr>
          <w:p w:rsidR="00CB01F3" w:rsidRPr="003731C0" w:rsidRDefault="00CB01F3" w:rsidP="0006140A">
            <w:pPr>
              <w:pStyle w:val="TableText"/>
              <w:tabs>
                <w:tab w:val="decimal" w:pos="694"/>
              </w:tabs>
              <w:spacing w:before="120"/>
              <w:jc w:val="both"/>
              <w:rPr>
                <w:b/>
                <w:sz w:val="17"/>
                <w:szCs w:val="17"/>
              </w:rPr>
            </w:pPr>
          </w:p>
        </w:tc>
      </w:tr>
      <w:tr w:rsidR="00CB01F3" w:rsidRPr="003731C0" w:rsidTr="00302E4A">
        <w:trPr>
          <w:cantSplit/>
          <w:trHeight w:val="243"/>
        </w:trPr>
        <w:tc>
          <w:tcPr>
            <w:tcW w:w="1372" w:type="pct"/>
            <w:vAlign w:val="bottom"/>
          </w:tcPr>
          <w:p w:rsidR="00CB01F3" w:rsidRPr="003731C0" w:rsidRDefault="00CB01F3" w:rsidP="0006140A">
            <w:pPr>
              <w:pStyle w:val="TableText"/>
              <w:ind w:left="245"/>
              <w:rPr>
                <w:sz w:val="17"/>
                <w:szCs w:val="17"/>
              </w:rPr>
            </w:pPr>
            <w:r>
              <w:rPr>
                <w:sz w:val="17"/>
                <w:szCs w:val="17"/>
              </w:rPr>
              <w:t>Part B program for preschool-age children</w:t>
            </w:r>
            <w:r w:rsidRPr="003731C0">
              <w:rPr>
                <w:sz w:val="17"/>
                <w:szCs w:val="17"/>
              </w:rPr>
              <w:t xml:space="preserve"> district survey</w:t>
            </w:r>
          </w:p>
        </w:tc>
        <w:tc>
          <w:tcPr>
            <w:tcW w:w="442" w:type="pct"/>
            <w:vAlign w:val="bottom"/>
          </w:tcPr>
          <w:p w:rsidR="00CB01F3" w:rsidRPr="003731C0" w:rsidRDefault="00CB01F3">
            <w:pPr>
              <w:pStyle w:val="TableText"/>
              <w:tabs>
                <w:tab w:val="decimal" w:pos="694"/>
              </w:tabs>
              <w:jc w:val="right"/>
              <w:rPr>
                <w:sz w:val="17"/>
                <w:szCs w:val="17"/>
              </w:rPr>
            </w:pPr>
            <w:r w:rsidRPr="003731C0">
              <w:rPr>
                <w:sz w:val="17"/>
                <w:szCs w:val="17"/>
              </w:rPr>
              <w:t>6</w:t>
            </w:r>
            <w:r>
              <w:rPr>
                <w:sz w:val="17"/>
                <w:szCs w:val="17"/>
              </w:rPr>
              <w:t>02</w:t>
            </w:r>
          </w:p>
        </w:tc>
        <w:tc>
          <w:tcPr>
            <w:tcW w:w="370" w:type="pct"/>
            <w:vAlign w:val="bottom"/>
          </w:tcPr>
          <w:p w:rsidR="00CB01F3" w:rsidRPr="003731C0" w:rsidRDefault="00CB01F3" w:rsidP="0006140A">
            <w:pPr>
              <w:pStyle w:val="TableText"/>
              <w:tabs>
                <w:tab w:val="decimal" w:pos="694"/>
              </w:tabs>
              <w:ind w:right="21"/>
              <w:jc w:val="right"/>
              <w:rPr>
                <w:sz w:val="17"/>
                <w:szCs w:val="17"/>
              </w:rPr>
            </w:pPr>
            <w:r w:rsidRPr="003731C0">
              <w:rPr>
                <w:sz w:val="17"/>
                <w:szCs w:val="17"/>
              </w:rPr>
              <w:t>85</w:t>
            </w:r>
          </w:p>
        </w:tc>
        <w:tc>
          <w:tcPr>
            <w:tcW w:w="404" w:type="pct"/>
            <w:vAlign w:val="bottom"/>
          </w:tcPr>
          <w:p w:rsidR="00CB01F3" w:rsidRPr="003731C0" w:rsidRDefault="00CB01F3">
            <w:pPr>
              <w:pStyle w:val="TableText"/>
              <w:tabs>
                <w:tab w:val="decimal" w:pos="694"/>
              </w:tabs>
              <w:jc w:val="right"/>
              <w:rPr>
                <w:sz w:val="17"/>
                <w:szCs w:val="17"/>
              </w:rPr>
            </w:pPr>
            <w:r w:rsidRPr="003731C0">
              <w:rPr>
                <w:sz w:val="17"/>
                <w:szCs w:val="17"/>
              </w:rPr>
              <w:t>5</w:t>
            </w:r>
            <w:r>
              <w:rPr>
                <w:sz w:val="17"/>
                <w:szCs w:val="17"/>
              </w:rPr>
              <w:t>12</w:t>
            </w:r>
          </w:p>
        </w:tc>
        <w:tc>
          <w:tcPr>
            <w:tcW w:w="385" w:type="pct"/>
            <w:vAlign w:val="bottom"/>
          </w:tcPr>
          <w:p w:rsidR="00CB01F3" w:rsidRPr="003731C0" w:rsidRDefault="00CB01F3" w:rsidP="0006140A">
            <w:pPr>
              <w:pStyle w:val="TableText"/>
              <w:tabs>
                <w:tab w:val="decimal" w:pos="694"/>
              </w:tabs>
              <w:jc w:val="right"/>
              <w:rPr>
                <w:sz w:val="17"/>
                <w:szCs w:val="17"/>
              </w:rPr>
            </w:pPr>
            <w:r w:rsidRPr="003731C0">
              <w:rPr>
                <w:sz w:val="17"/>
                <w:szCs w:val="17"/>
              </w:rPr>
              <w:t>1.00</w:t>
            </w:r>
          </w:p>
        </w:tc>
        <w:tc>
          <w:tcPr>
            <w:tcW w:w="385" w:type="pct"/>
            <w:vAlign w:val="bottom"/>
          </w:tcPr>
          <w:p w:rsidR="00CB01F3" w:rsidRPr="003731C0" w:rsidRDefault="00CB01F3">
            <w:pPr>
              <w:pStyle w:val="TableText"/>
              <w:tabs>
                <w:tab w:val="decimal" w:pos="694"/>
              </w:tabs>
              <w:jc w:val="right"/>
              <w:rPr>
                <w:sz w:val="17"/>
                <w:szCs w:val="17"/>
              </w:rPr>
            </w:pPr>
            <w:r w:rsidRPr="003731C0">
              <w:rPr>
                <w:sz w:val="17"/>
                <w:szCs w:val="17"/>
              </w:rPr>
              <w:t>5</w:t>
            </w:r>
            <w:r>
              <w:rPr>
                <w:sz w:val="17"/>
                <w:szCs w:val="17"/>
              </w:rPr>
              <w:t>12</w:t>
            </w:r>
          </w:p>
        </w:tc>
        <w:tc>
          <w:tcPr>
            <w:tcW w:w="409" w:type="pct"/>
            <w:vAlign w:val="bottom"/>
          </w:tcPr>
          <w:p w:rsidR="00CB01F3" w:rsidRPr="003731C0" w:rsidRDefault="00CB01F3" w:rsidP="00CB01F3">
            <w:pPr>
              <w:pStyle w:val="TableText"/>
              <w:tabs>
                <w:tab w:val="decimal" w:pos="694"/>
              </w:tabs>
              <w:jc w:val="right"/>
              <w:rPr>
                <w:sz w:val="17"/>
                <w:szCs w:val="17"/>
              </w:rPr>
            </w:pPr>
            <w:r>
              <w:rPr>
                <w:sz w:val="17"/>
                <w:szCs w:val="17"/>
              </w:rPr>
              <w:t>170.7</w:t>
            </w:r>
          </w:p>
        </w:tc>
        <w:tc>
          <w:tcPr>
            <w:tcW w:w="597" w:type="pct"/>
            <w:vAlign w:val="bottom"/>
          </w:tcPr>
          <w:p w:rsidR="00CB01F3" w:rsidRPr="003731C0" w:rsidRDefault="00CB01F3" w:rsidP="0006140A">
            <w:pPr>
              <w:pStyle w:val="TableText"/>
              <w:tabs>
                <w:tab w:val="decimal" w:pos="694"/>
              </w:tabs>
              <w:jc w:val="right"/>
              <w:rPr>
                <w:sz w:val="17"/>
                <w:szCs w:val="17"/>
              </w:rPr>
            </w:pPr>
            <w:r w:rsidRPr="003731C0">
              <w:rPr>
                <w:sz w:val="17"/>
                <w:szCs w:val="17"/>
              </w:rPr>
              <w:t>$44.79</w:t>
            </w:r>
          </w:p>
        </w:tc>
        <w:tc>
          <w:tcPr>
            <w:tcW w:w="636" w:type="pct"/>
            <w:vAlign w:val="bottom"/>
          </w:tcPr>
          <w:p w:rsidR="00CB01F3" w:rsidRPr="003731C0" w:rsidRDefault="00CB01F3">
            <w:pPr>
              <w:pStyle w:val="TableText"/>
              <w:tabs>
                <w:tab w:val="decimal" w:pos="694"/>
              </w:tabs>
              <w:jc w:val="both"/>
              <w:rPr>
                <w:sz w:val="17"/>
                <w:szCs w:val="17"/>
              </w:rPr>
            </w:pPr>
            <w:r w:rsidRPr="003731C0">
              <w:rPr>
                <w:sz w:val="17"/>
                <w:szCs w:val="17"/>
              </w:rPr>
              <w:t>$2</w:t>
            </w:r>
            <w:r>
              <w:rPr>
                <w:sz w:val="17"/>
                <w:szCs w:val="17"/>
              </w:rPr>
              <w:t>2,932.48</w:t>
            </w:r>
          </w:p>
        </w:tc>
      </w:tr>
      <w:tr w:rsidR="00CB01F3" w:rsidRPr="003731C0" w:rsidTr="00302E4A">
        <w:trPr>
          <w:cantSplit/>
        </w:trPr>
        <w:tc>
          <w:tcPr>
            <w:tcW w:w="1372" w:type="pct"/>
            <w:vAlign w:val="bottom"/>
          </w:tcPr>
          <w:p w:rsidR="00CB01F3" w:rsidRPr="003731C0" w:rsidRDefault="00CB01F3" w:rsidP="0006140A">
            <w:pPr>
              <w:pStyle w:val="TableText"/>
              <w:ind w:left="245"/>
              <w:rPr>
                <w:sz w:val="17"/>
                <w:szCs w:val="17"/>
              </w:rPr>
            </w:pPr>
            <w:r>
              <w:rPr>
                <w:sz w:val="17"/>
                <w:szCs w:val="17"/>
              </w:rPr>
              <w:t>Part B program for school-age children</w:t>
            </w:r>
            <w:r w:rsidRPr="003731C0">
              <w:rPr>
                <w:sz w:val="17"/>
                <w:szCs w:val="17"/>
              </w:rPr>
              <w:t xml:space="preserve"> district survey</w:t>
            </w:r>
          </w:p>
        </w:tc>
        <w:tc>
          <w:tcPr>
            <w:tcW w:w="442" w:type="pct"/>
            <w:vAlign w:val="bottom"/>
          </w:tcPr>
          <w:p w:rsidR="00CB01F3" w:rsidRPr="003731C0" w:rsidRDefault="00CB01F3" w:rsidP="0006140A">
            <w:pPr>
              <w:pStyle w:val="TableText"/>
              <w:tabs>
                <w:tab w:val="decimal" w:pos="694"/>
              </w:tabs>
              <w:jc w:val="right"/>
              <w:rPr>
                <w:sz w:val="17"/>
                <w:szCs w:val="17"/>
                <w:vertAlign w:val="superscript"/>
              </w:rPr>
            </w:pPr>
            <w:r w:rsidRPr="003731C0">
              <w:rPr>
                <w:sz w:val="17"/>
                <w:szCs w:val="17"/>
              </w:rPr>
              <w:t>6</w:t>
            </w:r>
            <w:r>
              <w:rPr>
                <w:sz w:val="17"/>
                <w:szCs w:val="17"/>
              </w:rPr>
              <w:t>65</w:t>
            </w:r>
          </w:p>
        </w:tc>
        <w:tc>
          <w:tcPr>
            <w:tcW w:w="370" w:type="pct"/>
            <w:vAlign w:val="bottom"/>
          </w:tcPr>
          <w:p w:rsidR="00CB01F3" w:rsidRPr="003731C0" w:rsidRDefault="00CB01F3" w:rsidP="0006140A">
            <w:pPr>
              <w:pStyle w:val="TableText"/>
              <w:tabs>
                <w:tab w:val="decimal" w:pos="694"/>
              </w:tabs>
              <w:ind w:right="21"/>
              <w:jc w:val="right"/>
              <w:rPr>
                <w:sz w:val="17"/>
                <w:szCs w:val="17"/>
              </w:rPr>
            </w:pPr>
            <w:r w:rsidRPr="003731C0">
              <w:rPr>
                <w:sz w:val="17"/>
                <w:szCs w:val="17"/>
              </w:rPr>
              <w:t>85</w:t>
            </w:r>
          </w:p>
        </w:tc>
        <w:tc>
          <w:tcPr>
            <w:tcW w:w="404" w:type="pct"/>
            <w:vAlign w:val="bottom"/>
          </w:tcPr>
          <w:p w:rsidR="00CB01F3" w:rsidRPr="003731C0" w:rsidRDefault="00CB01F3" w:rsidP="0006140A">
            <w:pPr>
              <w:pStyle w:val="TableText"/>
              <w:tabs>
                <w:tab w:val="decimal" w:pos="694"/>
              </w:tabs>
              <w:jc w:val="right"/>
              <w:rPr>
                <w:sz w:val="17"/>
                <w:szCs w:val="17"/>
              </w:rPr>
            </w:pPr>
            <w:r w:rsidRPr="003731C0">
              <w:rPr>
                <w:sz w:val="17"/>
                <w:szCs w:val="17"/>
              </w:rPr>
              <w:t>5</w:t>
            </w:r>
            <w:r>
              <w:rPr>
                <w:sz w:val="17"/>
                <w:szCs w:val="17"/>
              </w:rPr>
              <w:t>6</w:t>
            </w:r>
            <w:r w:rsidRPr="003731C0">
              <w:rPr>
                <w:sz w:val="17"/>
                <w:szCs w:val="17"/>
              </w:rPr>
              <w:t>5</w:t>
            </w:r>
          </w:p>
        </w:tc>
        <w:tc>
          <w:tcPr>
            <w:tcW w:w="385" w:type="pct"/>
            <w:vAlign w:val="bottom"/>
          </w:tcPr>
          <w:p w:rsidR="00CB01F3" w:rsidRPr="003731C0" w:rsidRDefault="00CB01F3" w:rsidP="0006140A">
            <w:pPr>
              <w:pStyle w:val="TableText"/>
              <w:tabs>
                <w:tab w:val="decimal" w:pos="694"/>
              </w:tabs>
              <w:jc w:val="right"/>
              <w:rPr>
                <w:sz w:val="17"/>
                <w:szCs w:val="17"/>
              </w:rPr>
            </w:pPr>
            <w:r w:rsidRPr="003731C0">
              <w:rPr>
                <w:sz w:val="17"/>
                <w:szCs w:val="17"/>
              </w:rPr>
              <w:t>1.00</w:t>
            </w:r>
          </w:p>
        </w:tc>
        <w:tc>
          <w:tcPr>
            <w:tcW w:w="385" w:type="pct"/>
            <w:vAlign w:val="bottom"/>
          </w:tcPr>
          <w:p w:rsidR="00CB01F3" w:rsidRPr="003731C0" w:rsidRDefault="00CB01F3" w:rsidP="0006140A">
            <w:pPr>
              <w:pStyle w:val="TableText"/>
              <w:tabs>
                <w:tab w:val="decimal" w:pos="694"/>
              </w:tabs>
              <w:jc w:val="right"/>
              <w:rPr>
                <w:sz w:val="17"/>
                <w:szCs w:val="17"/>
              </w:rPr>
            </w:pPr>
            <w:r w:rsidRPr="003731C0">
              <w:rPr>
                <w:sz w:val="17"/>
                <w:szCs w:val="17"/>
              </w:rPr>
              <w:t>5</w:t>
            </w:r>
            <w:r>
              <w:rPr>
                <w:sz w:val="17"/>
                <w:szCs w:val="17"/>
              </w:rPr>
              <w:t>65</w:t>
            </w:r>
          </w:p>
        </w:tc>
        <w:tc>
          <w:tcPr>
            <w:tcW w:w="409" w:type="pct"/>
            <w:vAlign w:val="bottom"/>
          </w:tcPr>
          <w:p w:rsidR="00CB01F3" w:rsidRPr="003731C0" w:rsidRDefault="00CB01F3" w:rsidP="00CB01F3">
            <w:pPr>
              <w:pStyle w:val="TableText"/>
              <w:tabs>
                <w:tab w:val="decimal" w:pos="694"/>
              </w:tabs>
              <w:jc w:val="right"/>
              <w:rPr>
                <w:sz w:val="17"/>
                <w:szCs w:val="17"/>
              </w:rPr>
            </w:pPr>
            <w:r>
              <w:rPr>
                <w:sz w:val="17"/>
                <w:szCs w:val="17"/>
              </w:rPr>
              <w:t>188.3</w:t>
            </w:r>
          </w:p>
        </w:tc>
        <w:tc>
          <w:tcPr>
            <w:tcW w:w="597" w:type="pct"/>
            <w:vAlign w:val="bottom"/>
          </w:tcPr>
          <w:p w:rsidR="00CB01F3" w:rsidRPr="003731C0" w:rsidRDefault="00CB01F3" w:rsidP="0006140A">
            <w:pPr>
              <w:pStyle w:val="TableText"/>
              <w:tabs>
                <w:tab w:val="decimal" w:pos="694"/>
              </w:tabs>
              <w:jc w:val="right"/>
              <w:rPr>
                <w:sz w:val="17"/>
                <w:szCs w:val="17"/>
              </w:rPr>
            </w:pPr>
            <w:r w:rsidRPr="003731C0">
              <w:rPr>
                <w:sz w:val="17"/>
                <w:szCs w:val="17"/>
              </w:rPr>
              <w:t>$44.79</w:t>
            </w:r>
          </w:p>
        </w:tc>
        <w:tc>
          <w:tcPr>
            <w:tcW w:w="636" w:type="pct"/>
            <w:vAlign w:val="bottom"/>
          </w:tcPr>
          <w:p w:rsidR="00CB01F3" w:rsidRPr="003731C0" w:rsidRDefault="00CB01F3" w:rsidP="0006140A">
            <w:pPr>
              <w:pStyle w:val="TableText"/>
              <w:tabs>
                <w:tab w:val="decimal" w:pos="694"/>
              </w:tabs>
              <w:jc w:val="both"/>
              <w:rPr>
                <w:sz w:val="17"/>
                <w:szCs w:val="17"/>
              </w:rPr>
            </w:pPr>
            <w:r w:rsidRPr="003731C0">
              <w:rPr>
                <w:sz w:val="17"/>
                <w:szCs w:val="17"/>
              </w:rPr>
              <w:t>$2</w:t>
            </w:r>
            <w:r>
              <w:rPr>
                <w:sz w:val="17"/>
                <w:szCs w:val="17"/>
              </w:rPr>
              <w:t>5,306.35</w:t>
            </w:r>
          </w:p>
        </w:tc>
      </w:tr>
      <w:tr w:rsidR="00CB01F3" w:rsidRPr="003731C0" w:rsidTr="00302E4A">
        <w:trPr>
          <w:cantSplit/>
        </w:trPr>
        <w:tc>
          <w:tcPr>
            <w:tcW w:w="1372" w:type="pct"/>
            <w:vAlign w:val="bottom"/>
          </w:tcPr>
          <w:p w:rsidR="00CB01F3" w:rsidRPr="003731C0" w:rsidRDefault="00CB01F3" w:rsidP="0006140A">
            <w:pPr>
              <w:pStyle w:val="TableText"/>
              <w:spacing w:before="120"/>
              <w:rPr>
                <w:b/>
                <w:sz w:val="17"/>
                <w:szCs w:val="17"/>
              </w:rPr>
            </w:pPr>
            <w:r w:rsidRPr="003731C0">
              <w:rPr>
                <w:b/>
                <w:sz w:val="17"/>
                <w:szCs w:val="17"/>
              </w:rPr>
              <w:t>School-level staff</w:t>
            </w:r>
          </w:p>
        </w:tc>
        <w:tc>
          <w:tcPr>
            <w:tcW w:w="442" w:type="pct"/>
            <w:vAlign w:val="bottom"/>
          </w:tcPr>
          <w:p w:rsidR="00CB01F3" w:rsidRPr="003731C0" w:rsidRDefault="00CB01F3" w:rsidP="0006140A">
            <w:pPr>
              <w:pStyle w:val="TableText"/>
              <w:tabs>
                <w:tab w:val="decimal" w:pos="694"/>
              </w:tabs>
              <w:spacing w:before="120"/>
              <w:jc w:val="right"/>
              <w:rPr>
                <w:b/>
                <w:sz w:val="17"/>
                <w:szCs w:val="17"/>
              </w:rPr>
            </w:pPr>
          </w:p>
        </w:tc>
        <w:tc>
          <w:tcPr>
            <w:tcW w:w="370" w:type="pct"/>
            <w:vAlign w:val="bottom"/>
          </w:tcPr>
          <w:p w:rsidR="00CB01F3" w:rsidRPr="003731C0" w:rsidRDefault="00CB01F3" w:rsidP="0006140A">
            <w:pPr>
              <w:pStyle w:val="TableText"/>
              <w:tabs>
                <w:tab w:val="decimal" w:pos="694"/>
              </w:tabs>
              <w:spacing w:before="120"/>
              <w:ind w:right="21"/>
              <w:jc w:val="right"/>
              <w:rPr>
                <w:b/>
                <w:sz w:val="17"/>
                <w:szCs w:val="17"/>
              </w:rPr>
            </w:pPr>
          </w:p>
        </w:tc>
        <w:tc>
          <w:tcPr>
            <w:tcW w:w="404" w:type="pct"/>
            <w:vAlign w:val="bottom"/>
          </w:tcPr>
          <w:p w:rsidR="00CB01F3" w:rsidRPr="003731C0" w:rsidRDefault="00CB01F3" w:rsidP="0006140A">
            <w:pPr>
              <w:pStyle w:val="TableText"/>
              <w:tabs>
                <w:tab w:val="decimal" w:pos="694"/>
              </w:tabs>
              <w:spacing w:before="120"/>
              <w:jc w:val="right"/>
              <w:rPr>
                <w:b/>
                <w:sz w:val="17"/>
                <w:szCs w:val="17"/>
              </w:rPr>
            </w:pPr>
          </w:p>
        </w:tc>
        <w:tc>
          <w:tcPr>
            <w:tcW w:w="385" w:type="pct"/>
            <w:vAlign w:val="bottom"/>
          </w:tcPr>
          <w:p w:rsidR="00CB01F3" w:rsidRPr="003731C0" w:rsidRDefault="00CB01F3" w:rsidP="0006140A">
            <w:pPr>
              <w:pStyle w:val="TableText"/>
              <w:tabs>
                <w:tab w:val="decimal" w:pos="694"/>
              </w:tabs>
              <w:spacing w:before="120"/>
              <w:jc w:val="right"/>
              <w:rPr>
                <w:b/>
                <w:sz w:val="17"/>
                <w:szCs w:val="17"/>
              </w:rPr>
            </w:pPr>
          </w:p>
        </w:tc>
        <w:tc>
          <w:tcPr>
            <w:tcW w:w="385" w:type="pct"/>
            <w:vAlign w:val="bottom"/>
          </w:tcPr>
          <w:p w:rsidR="00CB01F3" w:rsidRPr="003731C0" w:rsidRDefault="00CB01F3" w:rsidP="0006140A">
            <w:pPr>
              <w:pStyle w:val="TableText"/>
              <w:tabs>
                <w:tab w:val="decimal" w:pos="694"/>
              </w:tabs>
              <w:spacing w:before="120"/>
              <w:jc w:val="right"/>
              <w:rPr>
                <w:b/>
                <w:sz w:val="17"/>
                <w:szCs w:val="17"/>
              </w:rPr>
            </w:pPr>
          </w:p>
        </w:tc>
        <w:tc>
          <w:tcPr>
            <w:tcW w:w="409" w:type="pct"/>
            <w:vAlign w:val="bottom"/>
          </w:tcPr>
          <w:p w:rsidR="00CB01F3" w:rsidRPr="00302E4A" w:rsidRDefault="00CB01F3" w:rsidP="00302E4A">
            <w:pPr>
              <w:pStyle w:val="TableText"/>
              <w:tabs>
                <w:tab w:val="decimal" w:pos="694"/>
              </w:tabs>
              <w:jc w:val="right"/>
              <w:rPr>
                <w:sz w:val="17"/>
                <w:szCs w:val="17"/>
              </w:rPr>
            </w:pPr>
          </w:p>
        </w:tc>
        <w:tc>
          <w:tcPr>
            <w:tcW w:w="597" w:type="pct"/>
            <w:vAlign w:val="bottom"/>
          </w:tcPr>
          <w:p w:rsidR="00CB01F3" w:rsidRPr="003731C0" w:rsidRDefault="00CB01F3" w:rsidP="0006140A">
            <w:pPr>
              <w:pStyle w:val="TableText"/>
              <w:tabs>
                <w:tab w:val="decimal" w:pos="694"/>
              </w:tabs>
              <w:spacing w:before="120"/>
              <w:jc w:val="right"/>
              <w:rPr>
                <w:b/>
                <w:sz w:val="17"/>
                <w:szCs w:val="17"/>
              </w:rPr>
            </w:pPr>
          </w:p>
        </w:tc>
        <w:tc>
          <w:tcPr>
            <w:tcW w:w="636" w:type="pct"/>
            <w:vAlign w:val="bottom"/>
          </w:tcPr>
          <w:p w:rsidR="00CB01F3" w:rsidRPr="003731C0" w:rsidRDefault="00CB01F3" w:rsidP="0006140A">
            <w:pPr>
              <w:pStyle w:val="TableText"/>
              <w:tabs>
                <w:tab w:val="decimal" w:pos="694"/>
              </w:tabs>
              <w:spacing w:before="120"/>
              <w:jc w:val="both"/>
              <w:rPr>
                <w:b/>
                <w:sz w:val="17"/>
                <w:szCs w:val="17"/>
              </w:rPr>
            </w:pPr>
          </w:p>
        </w:tc>
      </w:tr>
      <w:tr w:rsidR="00CB01F3" w:rsidRPr="003731C0" w:rsidTr="00302E4A">
        <w:trPr>
          <w:cantSplit/>
        </w:trPr>
        <w:tc>
          <w:tcPr>
            <w:tcW w:w="1372" w:type="pct"/>
            <w:vAlign w:val="bottom"/>
          </w:tcPr>
          <w:p w:rsidR="00CB01F3" w:rsidRPr="003731C0" w:rsidRDefault="00CB01F3" w:rsidP="0006140A">
            <w:pPr>
              <w:pStyle w:val="TableText"/>
              <w:spacing w:after="60"/>
              <w:ind w:left="245"/>
              <w:rPr>
                <w:sz w:val="17"/>
                <w:szCs w:val="17"/>
              </w:rPr>
            </w:pPr>
            <w:r w:rsidRPr="003731C0">
              <w:rPr>
                <w:sz w:val="17"/>
                <w:szCs w:val="17"/>
              </w:rPr>
              <w:t>Part B school survey</w:t>
            </w:r>
          </w:p>
        </w:tc>
        <w:tc>
          <w:tcPr>
            <w:tcW w:w="442" w:type="pct"/>
            <w:vAlign w:val="bottom"/>
          </w:tcPr>
          <w:p w:rsidR="00CB01F3" w:rsidRPr="003731C0" w:rsidRDefault="00CB01F3" w:rsidP="0006140A">
            <w:pPr>
              <w:pStyle w:val="TableText"/>
              <w:tabs>
                <w:tab w:val="decimal" w:pos="694"/>
              </w:tabs>
              <w:spacing w:after="60"/>
              <w:jc w:val="right"/>
              <w:rPr>
                <w:sz w:val="17"/>
                <w:szCs w:val="17"/>
              </w:rPr>
            </w:pPr>
            <w:r w:rsidRPr="003731C0">
              <w:rPr>
                <w:sz w:val="17"/>
                <w:szCs w:val="17"/>
              </w:rPr>
              <w:t>2,750</w:t>
            </w:r>
          </w:p>
        </w:tc>
        <w:tc>
          <w:tcPr>
            <w:tcW w:w="370" w:type="pct"/>
            <w:vAlign w:val="bottom"/>
          </w:tcPr>
          <w:p w:rsidR="00CB01F3" w:rsidRPr="003731C0" w:rsidRDefault="00CB01F3" w:rsidP="0006140A">
            <w:pPr>
              <w:pStyle w:val="TableText"/>
              <w:tabs>
                <w:tab w:val="decimal" w:pos="694"/>
              </w:tabs>
              <w:spacing w:after="60"/>
              <w:ind w:right="21"/>
              <w:jc w:val="right"/>
              <w:rPr>
                <w:sz w:val="17"/>
                <w:szCs w:val="17"/>
              </w:rPr>
            </w:pPr>
            <w:r w:rsidRPr="003731C0">
              <w:rPr>
                <w:sz w:val="17"/>
                <w:szCs w:val="17"/>
              </w:rPr>
              <w:t>80</w:t>
            </w:r>
          </w:p>
        </w:tc>
        <w:tc>
          <w:tcPr>
            <w:tcW w:w="404" w:type="pct"/>
            <w:vAlign w:val="bottom"/>
          </w:tcPr>
          <w:p w:rsidR="00CB01F3" w:rsidRPr="003731C0" w:rsidRDefault="00CB01F3" w:rsidP="0006140A">
            <w:pPr>
              <w:pStyle w:val="TableText"/>
              <w:tabs>
                <w:tab w:val="decimal" w:pos="694"/>
              </w:tabs>
              <w:spacing w:after="60"/>
              <w:jc w:val="right"/>
              <w:rPr>
                <w:sz w:val="17"/>
                <w:szCs w:val="17"/>
              </w:rPr>
            </w:pPr>
            <w:r w:rsidRPr="003731C0">
              <w:rPr>
                <w:sz w:val="17"/>
                <w:szCs w:val="17"/>
              </w:rPr>
              <w:t>2,200</w:t>
            </w:r>
          </w:p>
        </w:tc>
        <w:tc>
          <w:tcPr>
            <w:tcW w:w="385" w:type="pct"/>
            <w:vAlign w:val="bottom"/>
          </w:tcPr>
          <w:p w:rsidR="00CB01F3" w:rsidRPr="003731C0" w:rsidRDefault="00CB01F3" w:rsidP="0006140A">
            <w:pPr>
              <w:pStyle w:val="TableText"/>
              <w:tabs>
                <w:tab w:val="decimal" w:pos="694"/>
              </w:tabs>
              <w:spacing w:after="60"/>
              <w:jc w:val="right"/>
              <w:rPr>
                <w:sz w:val="17"/>
                <w:szCs w:val="17"/>
              </w:rPr>
            </w:pPr>
            <w:r w:rsidRPr="003731C0">
              <w:rPr>
                <w:sz w:val="17"/>
                <w:szCs w:val="17"/>
              </w:rPr>
              <w:t xml:space="preserve">0.75 </w:t>
            </w:r>
          </w:p>
        </w:tc>
        <w:tc>
          <w:tcPr>
            <w:tcW w:w="385" w:type="pct"/>
            <w:vAlign w:val="bottom"/>
          </w:tcPr>
          <w:p w:rsidR="00CB01F3" w:rsidRPr="003731C0" w:rsidRDefault="00CB01F3" w:rsidP="0006140A">
            <w:pPr>
              <w:pStyle w:val="TableText"/>
              <w:tabs>
                <w:tab w:val="decimal" w:pos="694"/>
              </w:tabs>
              <w:spacing w:after="60"/>
              <w:jc w:val="right"/>
              <w:rPr>
                <w:sz w:val="17"/>
                <w:szCs w:val="17"/>
              </w:rPr>
            </w:pPr>
            <w:r w:rsidRPr="003731C0">
              <w:rPr>
                <w:sz w:val="17"/>
                <w:szCs w:val="17"/>
              </w:rPr>
              <w:t>1,650</w:t>
            </w:r>
          </w:p>
        </w:tc>
        <w:tc>
          <w:tcPr>
            <w:tcW w:w="409" w:type="pct"/>
          </w:tcPr>
          <w:p w:rsidR="00CB01F3" w:rsidRPr="003731C0" w:rsidRDefault="00CB01F3" w:rsidP="00302E4A">
            <w:pPr>
              <w:pStyle w:val="TableText"/>
              <w:tabs>
                <w:tab w:val="decimal" w:pos="694"/>
              </w:tabs>
              <w:jc w:val="right"/>
              <w:rPr>
                <w:sz w:val="17"/>
                <w:szCs w:val="17"/>
              </w:rPr>
            </w:pPr>
            <w:r>
              <w:rPr>
                <w:sz w:val="17"/>
                <w:szCs w:val="17"/>
              </w:rPr>
              <w:t>550</w:t>
            </w:r>
          </w:p>
        </w:tc>
        <w:tc>
          <w:tcPr>
            <w:tcW w:w="597" w:type="pct"/>
            <w:vAlign w:val="bottom"/>
          </w:tcPr>
          <w:p w:rsidR="00CB01F3" w:rsidRPr="003731C0" w:rsidRDefault="00CB01F3" w:rsidP="0006140A">
            <w:pPr>
              <w:pStyle w:val="TableText"/>
              <w:tabs>
                <w:tab w:val="decimal" w:pos="694"/>
              </w:tabs>
              <w:spacing w:after="60"/>
              <w:jc w:val="right"/>
              <w:rPr>
                <w:sz w:val="17"/>
                <w:szCs w:val="17"/>
              </w:rPr>
            </w:pPr>
            <w:r w:rsidRPr="003731C0">
              <w:rPr>
                <w:sz w:val="17"/>
                <w:szCs w:val="17"/>
              </w:rPr>
              <w:t>$44.79</w:t>
            </w:r>
          </w:p>
        </w:tc>
        <w:tc>
          <w:tcPr>
            <w:tcW w:w="636" w:type="pct"/>
            <w:vAlign w:val="bottom"/>
          </w:tcPr>
          <w:p w:rsidR="00CB01F3" w:rsidRPr="003731C0" w:rsidRDefault="00CB01F3" w:rsidP="0006140A">
            <w:pPr>
              <w:pStyle w:val="TableText"/>
              <w:tabs>
                <w:tab w:val="decimal" w:pos="694"/>
              </w:tabs>
              <w:spacing w:after="60"/>
              <w:jc w:val="both"/>
              <w:rPr>
                <w:sz w:val="17"/>
                <w:szCs w:val="17"/>
              </w:rPr>
            </w:pPr>
            <w:r w:rsidRPr="003731C0">
              <w:rPr>
                <w:sz w:val="17"/>
                <w:szCs w:val="17"/>
              </w:rPr>
              <w:t>$73,903.50</w:t>
            </w:r>
          </w:p>
        </w:tc>
      </w:tr>
      <w:tr w:rsidR="00CB01F3" w:rsidRPr="003731C0" w:rsidTr="00D04174">
        <w:trPr>
          <w:cantSplit/>
          <w:trHeight w:val="20"/>
        </w:trPr>
        <w:tc>
          <w:tcPr>
            <w:tcW w:w="1372" w:type="pct"/>
            <w:tcBorders>
              <w:top w:val="single" w:sz="4" w:space="0" w:color="auto"/>
              <w:left w:val="nil"/>
              <w:bottom w:val="single" w:sz="4" w:space="0" w:color="44546A"/>
              <w:right w:val="nil"/>
            </w:tcBorders>
            <w:vAlign w:val="bottom"/>
          </w:tcPr>
          <w:p w:rsidR="00CB01F3" w:rsidRPr="003731C0" w:rsidRDefault="00CB01F3" w:rsidP="0006140A">
            <w:pPr>
              <w:pStyle w:val="TableText"/>
              <w:spacing w:before="60" w:after="60"/>
              <w:rPr>
                <w:b/>
                <w:sz w:val="17"/>
                <w:szCs w:val="17"/>
              </w:rPr>
            </w:pPr>
            <w:r w:rsidRPr="003731C0">
              <w:rPr>
                <w:b/>
                <w:sz w:val="17"/>
                <w:szCs w:val="17"/>
              </w:rPr>
              <w:t xml:space="preserve">Total </w:t>
            </w:r>
          </w:p>
        </w:tc>
        <w:tc>
          <w:tcPr>
            <w:tcW w:w="442" w:type="pct"/>
            <w:tcBorders>
              <w:top w:val="single" w:sz="4" w:space="0" w:color="auto"/>
              <w:left w:val="nil"/>
              <w:bottom w:val="single" w:sz="4" w:space="0" w:color="44546A"/>
              <w:right w:val="nil"/>
            </w:tcBorders>
            <w:vAlign w:val="bottom"/>
          </w:tcPr>
          <w:p w:rsidR="00CB01F3" w:rsidRPr="003731C0" w:rsidRDefault="00CB01F3">
            <w:pPr>
              <w:pStyle w:val="TableText"/>
              <w:tabs>
                <w:tab w:val="decimal" w:pos="694"/>
              </w:tabs>
              <w:spacing w:before="60" w:after="60"/>
              <w:jc w:val="both"/>
              <w:rPr>
                <w:b/>
                <w:sz w:val="17"/>
                <w:szCs w:val="17"/>
              </w:rPr>
            </w:pPr>
            <w:r w:rsidRPr="003731C0">
              <w:rPr>
                <w:b/>
                <w:sz w:val="17"/>
                <w:szCs w:val="17"/>
              </w:rPr>
              <w:t>4,</w:t>
            </w:r>
            <w:r>
              <w:rPr>
                <w:b/>
                <w:sz w:val="17"/>
                <w:szCs w:val="17"/>
              </w:rPr>
              <w:t>200</w:t>
            </w:r>
          </w:p>
        </w:tc>
        <w:tc>
          <w:tcPr>
            <w:tcW w:w="370" w:type="pct"/>
            <w:tcBorders>
              <w:top w:val="single" w:sz="4" w:space="0" w:color="auto"/>
              <w:left w:val="nil"/>
              <w:bottom w:val="single" w:sz="4" w:space="0" w:color="44546A"/>
              <w:right w:val="nil"/>
            </w:tcBorders>
            <w:vAlign w:val="bottom"/>
          </w:tcPr>
          <w:p w:rsidR="00CB01F3" w:rsidRPr="003731C0" w:rsidRDefault="00CB01F3" w:rsidP="0006140A">
            <w:pPr>
              <w:pStyle w:val="TableText"/>
              <w:tabs>
                <w:tab w:val="decimal" w:pos="694"/>
              </w:tabs>
              <w:spacing w:before="60" w:after="60"/>
              <w:jc w:val="both"/>
              <w:rPr>
                <w:b/>
                <w:sz w:val="17"/>
                <w:szCs w:val="17"/>
              </w:rPr>
            </w:pPr>
          </w:p>
        </w:tc>
        <w:tc>
          <w:tcPr>
            <w:tcW w:w="404" w:type="pct"/>
            <w:tcBorders>
              <w:top w:val="single" w:sz="4" w:space="0" w:color="auto"/>
              <w:left w:val="nil"/>
              <w:bottom w:val="single" w:sz="4" w:space="0" w:color="44546A"/>
              <w:right w:val="nil"/>
            </w:tcBorders>
            <w:vAlign w:val="center"/>
          </w:tcPr>
          <w:p w:rsidR="00CB01F3" w:rsidRPr="003731C0" w:rsidRDefault="00CB01F3">
            <w:pPr>
              <w:pStyle w:val="TableText"/>
              <w:spacing w:before="60" w:after="60"/>
              <w:ind w:right="-123"/>
              <w:jc w:val="center"/>
              <w:rPr>
                <w:b/>
                <w:sz w:val="17"/>
                <w:szCs w:val="17"/>
              </w:rPr>
            </w:pPr>
            <w:r w:rsidRPr="003731C0">
              <w:rPr>
                <w:b/>
                <w:sz w:val="17"/>
                <w:szCs w:val="17"/>
              </w:rPr>
              <w:t>3,</w:t>
            </w:r>
            <w:r>
              <w:rPr>
                <w:b/>
                <w:sz w:val="17"/>
                <w:szCs w:val="17"/>
              </w:rPr>
              <w:t>460</w:t>
            </w:r>
          </w:p>
        </w:tc>
        <w:tc>
          <w:tcPr>
            <w:tcW w:w="385" w:type="pct"/>
            <w:tcBorders>
              <w:top w:val="single" w:sz="4" w:space="0" w:color="auto"/>
              <w:left w:val="nil"/>
              <w:bottom w:val="single" w:sz="4" w:space="0" w:color="44546A"/>
              <w:right w:val="nil"/>
            </w:tcBorders>
          </w:tcPr>
          <w:p w:rsidR="00CB01F3" w:rsidRPr="003731C0" w:rsidRDefault="00CB01F3" w:rsidP="0006140A">
            <w:pPr>
              <w:pStyle w:val="TableText"/>
              <w:tabs>
                <w:tab w:val="decimal" w:pos="694"/>
              </w:tabs>
              <w:spacing w:before="60" w:after="60"/>
              <w:jc w:val="both"/>
              <w:rPr>
                <w:b/>
                <w:sz w:val="17"/>
                <w:szCs w:val="17"/>
              </w:rPr>
            </w:pPr>
          </w:p>
        </w:tc>
        <w:tc>
          <w:tcPr>
            <w:tcW w:w="385" w:type="pct"/>
            <w:tcBorders>
              <w:top w:val="single" w:sz="4" w:space="0" w:color="auto"/>
              <w:left w:val="nil"/>
              <w:bottom w:val="single" w:sz="4" w:space="0" w:color="44546A"/>
              <w:right w:val="nil"/>
            </w:tcBorders>
          </w:tcPr>
          <w:p w:rsidR="00CB01F3" w:rsidRPr="003731C0" w:rsidRDefault="00CB01F3">
            <w:pPr>
              <w:pStyle w:val="TableText"/>
              <w:tabs>
                <w:tab w:val="decimal" w:pos="694"/>
              </w:tabs>
              <w:spacing w:before="60" w:after="60"/>
              <w:jc w:val="both"/>
              <w:rPr>
                <w:b/>
                <w:sz w:val="17"/>
                <w:szCs w:val="17"/>
              </w:rPr>
            </w:pPr>
            <w:r>
              <w:rPr>
                <w:b/>
                <w:sz w:val="17"/>
                <w:szCs w:val="17"/>
              </w:rPr>
              <w:t>2</w:t>
            </w:r>
            <w:r w:rsidRPr="003731C0">
              <w:rPr>
                <w:b/>
                <w:sz w:val="17"/>
                <w:szCs w:val="17"/>
              </w:rPr>
              <w:t>,</w:t>
            </w:r>
            <w:r>
              <w:rPr>
                <w:b/>
                <w:sz w:val="17"/>
                <w:szCs w:val="17"/>
              </w:rPr>
              <w:t>910</w:t>
            </w:r>
          </w:p>
        </w:tc>
        <w:tc>
          <w:tcPr>
            <w:tcW w:w="409" w:type="pct"/>
            <w:tcBorders>
              <w:top w:val="single" w:sz="4" w:space="0" w:color="auto"/>
              <w:left w:val="nil"/>
              <w:bottom w:val="single" w:sz="4" w:space="0" w:color="44546A"/>
              <w:right w:val="nil"/>
            </w:tcBorders>
            <w:vAlign w:val="center"/>
          </w:tcPr>
          <w:p w:rsidR="00CB01F3" w:rsidRPr="0000616B" w:rsidRDefault="00CB01F3" w:rsidP="00302E4A">
            <w:pPr>
              <w:pStyle w:val="TableText"/>
              <w:tabs>
                <w:tab w:val="decimal" w:pos="694"/>
              </w:tabs>
              <w:jc w:val="right"/>
              <w:rPr>
                <w:b/>
                <w:sz w:val="17"/>
                <w:szCs w:val="17"/>
              </w:rPr>
            </w:pPr>
            <w:r w:rsidRPr="00302E4A">
              <w:rPr>
                <w:b/>
                <w:sz w:val="17"/>
                <w:szCs w:val="17"/>
              </w:rPr>
              <w:t>970</w:t>
            </w:r>
          </w:p>
        </w:tc>
        <w:tc>
          <w:tcPr>
            <w:tcW w:w="597" w:type="pct"/>
            <w:tcBorders>
              <w:top w:val="single" w:sz="4" w:space="0" w:color="auto"/>
              <w:left w:val="nil"/>
              <w:bottom w:val="single" w:sz="4" w:space="0" w:color="44546A"/>
              <w:right w:val="nil"/>
            </w:tcBorders>
          </w:tcPr>
          <w:p w:rsidR="00CB01F3" w:rsidRPr="003731C0" w:rsidRDefault="00CB01F3" w:rsidP="0006140A">
            <w:pPr>
              <w:pStyle w:val="TableText"/>
              <w:tabs>
                <w:tab w:val="decimal" w:pos="694"/>
              </w:tabs>
              <w:spacing w:before="60" w:after="60"/>
              <w:jc w:val="both"/>
              <w:rPr>
                <w:b/>
                <w:sz w:val="17"/>
                <w:szCs w:val="17"/>
              </w:rPr>
            </w:pPr>
          </w:p>
        </w:tc>
        <w:tc>
          <w:tcPr>
            <w:tcW w:w="636" w:type="pct"/>
            <w:tcBorders>
              <w:top w:val="single" w:sz="4" w:space="0" w:color="auto"/>
              <w:left w:val="nil"/>
              <w:bottom w:val="single" w:sz="4" w:space="0" w:color="44546A"/>
              <w:right w:val="nil"/>
            </w:tcBorders>
          </w:tcPr>
          <w:p w:rsidR="00CB01F3" w:rsidRPr="003731C0" w:rsidRDefault="00CB01F3">
            <w:pPr>
              <w:pStyle w:val="TableText"/>
              <w:tabs>
                <w:tab w:val="decimal" w:pos="694"/>
              </w:tabs>
              <w:spacing w:before="60" w:after="60"/>
              <w:jc w:val="both"/>
              <w:rPr>
                <w:b/>
                <w:sz w:val="17"/>
                <w:szCs w:val="17"/>
              </w:rPr>
            </w:pPr>
            <w:r w:rsidRPr="003731C0">
              <w:rPr>
                <w:b/>
                <w:sz w:val="17"/>
                <w:szCs w:val="17"/>
              </w:rPr>
              <w:t>$1</w:t>
            </w:r>
            <w:r>
              <w:rPr>
                <w:b/>
                <w:sz w:val="17"/>
                <w:szCs w:val="17"/>
              </w:rPr>
              <w:t>30</w:t>
            </w:r>
            <w:r w:rsidRPr="003731C0">
              <w:rPr>
                <w:b/>
                <w:sz w:val="17"/>
                <w:szCs w:val="17"/>
              </w:rPr>
              <w:t>,</w:t>
            </w:r>
            <w:r>
              <w:rPr>
                <w:b/>
                <w:sz w:val="17"/>
                <w:szCs w:val="17"/>
              </w:rPr>
              <w:t>338</w:t>
            </w:r>
            <w:r w:rsidRPr="003731C0">
              <w:rPr>
                <w:b/>
                <w:sz w:val="17"/>
                <w:szCs w:val="17"/>
              </w:rPr>
              <w:t>.</w:t>
            </w:r>
            <w:r>
              <w:rPr>
                <w:b/>
                <w:sz w:val="17"/>
                <w:szCs w:val="17"/>
              </w:rPr>
              <w:t>90</w:t>
            </w:r>
            <w:r w:rsidRPr="003731C0">
              <w:rPr>
                <w:b/>
                <w:sz w:val="17"/>
                <w:szCs w:val="17"/>
              </w:rPr>
              <w:t xml:space="preserve"> </w:t>
            </w:r>
          </w:p>
        </w:tc>
      </w:tr>
    </w:tbl>
    <w:p w:rsidR="00E80C53" w:rsidRPr="00081C91" w:rsidRDefault="00E80C53" w:rsidP="00E80C53">
      <w:pPr>
        <w:pStyle w:val="TableSourceCaption"/>
        <w:rPr>
          <w:sz w:val="17"/>
          <w:szCs w:val="17"/>
        </w:rPr>
      </w:pPr>
      <w:r w:rsidRPr="00081C91">
        <w:rPr>
          <w:sz w:val="17"/>
          <w:szCs w:val="17"/>
        </w:rPr>
        <w:t>Note:</w:t>
      </w:r>
      <w:r w:rsidRPr="00081C91">
        <w:rPr>
          <w:sz w:val="17"/>
          <w:szCs w:val="17"/>
        </w:rPr>
        <w:tab/>
        <w:t>The 61 state respondents include the 50 states, the District of Columbia, eight U.S. territories, the Bureau of Indian Education, and the Department of Defense Education Activity.</w:t>
      </w:r>
    </w:p>
    <w:p w:rsidR="00E80C53" w:rsidRPr="001000F4" w:rsidRDefault="00E80C53" w:rsidP="00E80C53">
      <w:pPr>
        <w:pStyle w:val="TableText"/>
        <w:ind w:left="425" w:hanging="137"/>
      </w:pPr>
    </w:p>
    <w:p w:rsidR="00E80C53" w:rsidRPr="005B47E9" w:rsidRDefault="00E80C53" w:rsidP="00E80C53">
      <w:pPr>
        <w:pStyle w:val="NormalSS"/>
      </w:pPr>
      <w:r w:rsidRPr="001000F4">
        <w:t xml:space="preserve">The number of targeted respondents and the </w:t>
      </w:r>
      <w:r>
        <w:t>expected</w:t>
      </w:r>
      <w:r w:rsidRPr="001000F4">
        <w:t xml:space="preserve"> number of responses are 4,</w:t>
      </w:r>
      <w:r>
        <w:t>20</w:t>
      </w:r>
      <w:r w:rsidR="00531BA8">
        <w:t>0</w:t>
      </w:r>
      <w:r w:rsidRPr="001000F4">
        <w:t xml:space="preserve"> and 3,</w:t>
      </w:r>
      <w:r>
        <w:t>4</w:t>
      </w:r>
      <w:r w:rsidR="00531BA8">
        <w:t>60</w:t>
      </w:r>
      <w:r w:rsidRPr="001000F4">
        <w:t xml:space="preserve">, respectively. The total estimated burden is estimated at </w:t>
      </w:r>
      <w:r>
        <w:t>2</w:t>
      </w:r>
      <w:r w:rsidRPr="001000F4">
        <w:t>,</w:t>
      </w:r>
      <w:r>
        <w:t>9</w:t>
      </w:r>
      <w:r w:rsidR="002D636D">
        <w:t>10</w:t>
      </w:r>
      <w:r w:rsidRPr="001000F4">
        <w:t xml:space="preserve"> hours</w:t>
      </w:r>
      <w:r w:rsidRPr="005B47E9">
        <w:t xml:space="preserve">. </w:t>
      </w:r>
    </w:p>
    <w:p w:rsidR="00E80C53" w:rsidRPr="00586F7E" w:rsidRDefault="00E80C53" w:rsidP="00E80C53">
      <w:pPr>
        <w:pStyle w:val="NormalSS"/>
        <w:keepLines/>
      </w:pPr>
      <w:r w:rsidRPr="005B47E9">
        <w:t xml:space="preserve">The total </w:t>
      </w:r>
      <w:r>
        <w:t xml:space="preserve">estimate </w:t>
      </w:r>
      <w:r w:rsidRPr="005B47E9">
        <w:t xml:space="preserve">of </w:t>
      </w:r>
      <w:r>
        <w:t>2,9</w:t>
      </w:r>
      <w:r w:rsidR="002D636D">
        <w:t>10</w:t>
      </w:r>
      <w:r w:rsidRPr="005B47E9">
        <w:t xml:space="preserve"> hours </w:t>
      </w:r>
      <w:r>
        <w:t xml:space="preserve">of burden </w:t>
      </w:r>
      <w:r w:rsidRPr="005B47E9">
        <w:t xml:space="preserve">includes the following efforts: one hour for each of the three state surveys, which will be administered to 61 coordinators in the 50 states, District of Columbia, U.S. territories, the Bureau of Indian Education, and the Department of Defense Education </w:t>
      </w:r>
      <w:r>
        <w:t>Activity</w:t>
      </w:r>
      <w:r w:rsidRPr="005B47E9">
        <w:t xml:space="preserve">; one hour for the </w:t>
      </w:r>
      <w:r w:rsidR="00B104D6">
        <w:t xml:space="preserve">preschool-age </w:t>
      </w:r>
      <w:r w:rsidRPr="005B47E9">
        <w:t>district survey, to be administered to 5</w:t>
      </w:r>
      <w:r w:rsidR="00B104D6">
        <w:t>12</w:t>
      </w:r>
      <w:r w:rsidRPr="005B47E9">
        <w:t xml:space="preserve"> district coordinators</w:t>
      </w:r>
      <w:r w:rsidR="00B104D6">
        <w:t xml:space="preserve"> and one hour for the school-age district survey, to be administered to 565 district coordinators</w:t>
      </w:r>
      <w:r w:rsidRPr="005B47E9">
        <w:t>; and 45 minutes (0.75 hours) for each school survey, to be administered to 2</w:t>
      </w:r>
      <w:r>
        <w:t>,</w:t>
      </w:r>
      <w:r w:rsidRPr="005B47E9">
        <w:t>200 school principals or special education directors.</w:t>
      </w:r>
      <w:r>
        <w:t xml:space="preserve"> The estimated cost to respondents is $1</w:t>
      </w:r>
      <w:r w:rsidR="000D0F86">
        <w:t>30</w:t>
      </w:r>
      <w:r>
        <w:t>,</w:t>
      </w:r>
      <w:r w:rsidR="000D0F86">
        <w:t>338</w:t>
      </w:r>
      <w:r>
        <w:t>.</w:t>
      </w:r>
      <w:r w:rsidR="000D0F86">
        <w:t>90</w:t>
      </w:r>
      <w:r>
        <w:t>, which is based on the 2016 Bureau of Labor Statistics average hourly salary of $44.79 for Education Administrators.</w:t>
      </w:r>
    </w:p>
    <w:p w:rsidR="00E80C53" w:rsidRPr="00AF13B2" w:rsidRDefault="00E80C53" w:rsidP="00E80C53">
      <w:pPr>
        <w:pStyle w:val="H4Number"/>
        <w:rPr>
          <w:i/>
        </w:rPr>
      </w:pPr>
      <w:bookmarkStart w:id="54" w:name="_Toc2194229"/>
      <w:bookmarkStart w:id="55" w:name="_Toc63827186"/>
      <w:bookmarkStart w:id="56" w:name="_Toc70752935"/>
      <w:bookmarkStart w:id="57" w:name="_Toc213228327"/>
      <w:bookmarkStart w:id="58" w:name="_Toc276390675"/>
      <w:bookmarkStart w:id="59" w:name="_Toc276988164"/>
      <w:bookmarkStart w:id="60" w:name="_Toc277079583"/>
      <w:bookmarkStart w:id="61" w:name="_Toc283908723"/>
      <w:bookmarkStart w:id="62" w:name="_Toc298415693"/>
      <w:bookmarkStart w:id="63" w:name="_Toc298418574"/>
      <w:bookmarkStart w:id="64" w:name="_Toc351102437"/>
      <w:r w:rsidRPr="00AF13B2">
        <w:t>A13.</w:t>
      </w:r>
      <w:r>
        <w:t xml:space="preserve"> </w:t>
      </w:r>
      <w:r w:rsidRPr="00AF13B2">
        <w:t>Estimate of cost burden to respondents</w:t>
      </w:r>
      <w:bookmarkEnd w:id="54"/>
      <w:r w:rsidRPr="00AF13B2">
        <w:t xml:space="preserve"> </w:t>
      </w:r>
      <w:bookmarkEnd w:id="55"/>
      <w:bookmarkEnd w:id="56"/>
      <w:bookmarkEnd w:id="57"/>
      <w:bookmarkEnd w:id="58"/>
      <w:bookmarkEnd w:id="59"/>
      <w:bookmarkEnd w:id="60"/>
      <w:bookmarkEnd w:id="61"/>
      <w:bookmarkEnd w:id="62"/>
      <w:bookmarkEnd w:id="63"/>
      <w:bookmarkEnd w:id="64"/>
    </w:p>
    <w:p w:rsidR="00E80C53" w:rsidRDefault="00E80C53" w:rsidP="00E80C53">
      <w:pPr>
        <w:pStyle w:val="NormalSS"/>
      </w:pPr>
      <w:bookmarkStart w:id="65" w:name="_Toc351102438"/>
      <w:r w:rsidRPr="003B59DF">
        <w:t xml:space="preserve">There are no additional respondent costs associated with this data collection beyond the burden </w:t>
      </w:r>
      <w:r>
        <w:t xml:space="preserve">of staff time </w:t>
      </w:r>
      <w:r w:rsidRPr="003B59DF">
        <w:t>estimated in item A</w:t>
      </w:r>
      <w:r>
        <w:t>.</w:t>
      </w:r>
      <w:r w:rsidRPr="003B59DF">
        <w:t>12.</w:t>
      </w:r>
    </w:p>
    <w:p w:rsidR="00E80C53" w:rsidRPr="00AF13B2" w:rsidRDefault="00E80C53" w:rsidP="00E80C53">
      <w:pPr>
        <w:pStyle w:val="H4Number"/>
        <w:rPr>
          <w:i/>
        </w:rPr>
      </w:pPr>
      <w:bookmarkStart w:id="66" w:name="_Toc2194230"/>
      <w:r w:rsidRPr="00AF13B2">
        <w:t>A14.</w:t>
      </w:r>
      <w:r>
        <w:t xml:space="preserve"> </w:t>
      </w:r>
      <w:r w:rsidRPr="00AF13B2">
        <w:t>Annualized cost to the federal government</w:t>
      </w:r>
      <w:bookmarkEnd w:id="65"/>
      <w:bookmarkEnd w:id="66"/>
      <w:r w:rsidRPr="00AF13B2">
        <w:t xml:space="preserve"> </w:t>
      </w:r>
    </w:p>
    <w:p w:rsidR="00E80C53" w:rsidRPr="00586F7E" w:rsidRDefault="00E80C53" w:rsidP="00E80C53">
      <w:pPr>
        <w:pStyle w:val="NormalSS"/>
      </w:pPr>
      <w:r>
        <w:t xml:space="preserve">The total cost to the federal government for this study is $3,453,247. </w:t>
      </w:r>
      <w:r w:rsidRPr="00586F7E">
        <w:t xml:space="preserve">The estimated average annual cost—including recruiting districts, designing and administering all collection instruments, processing and analyzing the data, and preparing </w:t>
      </w:r>
      <w:r w:rsidRPr="00586F7E">
        <w:rPr>
          <w:bCs/>
        </w:rPr>
        <w:t>reports—is $</w:t>
      </w:r>
      <w:r>
        <w:rPr>
          <w:bCs/>
        </w:rPr>
        <w:t>986,642</w:t>
      </w:r>
      <w:r w:rsidRPr="00586F7E">
        <w:rPr>
          <w:bCs/>
        </w:rPr>
        <w:t xml:space="preserve"> (the total cost divided by the </w:t>
      </w:r>
      <w:r>
        <w:rPr>
          <w:bCs/>
        </w:rPr>
        <w:t>3.5</w:t>
      </w:r>
      <w:r w:rsidRPr="00586F7E">
        <w:rPr>
          <w:bCs/>
        </w:rPr>
        <w:t xml:space="preserve"> years of the study). </w:t>
      </w:r>
    </w:p>
    <w:p w:rsidR="00E80C53" w:rsidRPr="00AF13B2" w:rsidRDefault="00E80C53" w:rsidP="00E80C53">
      <w:pPr>
        <w:pStyle w:val="H4Number"/>
        <w:spacing w:before="480"/>
        <w:rPr>
          <w:i/>
        </w:rPr>
      </w:pPr>
      <w:bookmarkStart w:id="67" w:name="_Toc298415695"/>
      <w:bookmarkStart w:id="68" w:name="_Toc298418576"/>
      <w:bookmarkStart w:id="69" w:name="_Toc351102439"/>
      <w:bookmarkStart w:id="70" w:name="_Toc2194231"/>
      <w:r w:rsidRPr="00AF13B2">
        <w:t>A15.</w:t>
      </w:r>
      <w:r>
        <w:t xml:space="preserve"> </w:t>
      </w:r>
      <w:r w:rsidRPr="00AF13B2">
        <w:t>Reasons for program changes or adjustments</w:t>
      </w:r>
      <w:bookmarkEnd w:id="67"/>
      <w:bookmarkEnd w:id="68"/>
      <w:bookmarkEnd w:id="69"/>
      <w:bookmarkEnd w:id="70"/>
      <w:r w:rsidRPr="00AF13B2">
        <w:t xml:space="preserve"> </w:t>
      </w:r>
    </w:p>
    <w:p w:rsidR="00E80C53" w:rsidRPr="00586F7E" w:rsidRDefault="00E80C53" w:rsidP="00E80C53">
      <w:pPr>
        <w:pStyle w:val="NormalSS"/>
      </w:pPr>
      <w:r w:rsidRPr="00586F7E">
        <w:t>This is a new collection.</w:t>
      </w:r>
    </w:p>
    <w:p w:rsidR="00E80C53" w:rsidRPr="00AB7464" w:rsidRDefault="00E80C53" w:rsidP="00E80C53">
      <w:pPr>
        <w:pStyle w:val="H4Number"/>
      </w:pPr>
      <w:bookmarkStart w:id="71" w:name="_Toc2194232"/>
      <w:r w:rsidRPr="00AB7464">
        <w:t>A16. Plans for tabulation and publication of results</w:t>
      </w:r>
      <w:bookmarkEnd w:id="71"/>
    </w:p>
    <w:p w:rsidR="00E80C53" w:rsidRPr="00AB7464" w:rsidRDefault="00E80C53" w:rsidP="00E80C53">
      <w:pPr>
        <w:pStyle w:val="NormalSS"/>
      </w:pPr>
      <w:r w:rsidRPr="00AB7464">
        <w:t xml:space="preserve">The report from the data collection will provide nationally representative, descriptive information on IDEA implementation that can inform future actions of policymakers and educators. </w:t>
      </w:r>
    </w:p>
    <w:p w:rsidR="00E80C53" w:rsidRPr="00DF71B8" w:rsidRDefault="00E80C53" w:rsidP="00E80C53">
      <w:pPr>
        <w:pStyle w:val="H5Lower"/>
      </w:pPr>
      <w:r w:rsidRPr="00AB7464">
        <w:t>a. Analysis plan</w:t>
      </w:r>
    </w:p>
    <w:p w:rsidR="00E80C53" w:rsidRPr="00AB7464" w:rsidRDefault="00E80C53" w:rsidP="00E80C53">
      <w:pPr>
        <w:pStyle w:val="NormalSS"/>
      </w:pPr>
      <w:r w:rsidRPr="00AB7464">
        <w:rPr>
          <w:b/>
        </w:rPr>
        <w:t>Applying appropriate methods.</w:t>
      </w:r>
      <w:r w:rsidRPr="00AB7464">
        <w:t xml:space="preserve"> The study team will use descriptive methods to tabulate the data. The primary method will be to report point-in-time estimates of mean values for state, district, and school data. The analysis will also compare means for subgroups of schools and, where possible, examine trends across time. </w:t>
      </w:r>
      <w:r w:rsidRPr="00CC3B4D">
        <w:t>(See Part B, Section B.</w:t>
      </w:r>
      <w:r>
        <w:t>3</w:t>
      </w:r>
      <w:r w:rsidRPr="00CC3B4D">
        <w:t xml:space="preserve">.2 of the OMB package for </w:t>
      </w:r>
      <w:r>
        <w:t>informati</w:t>
      </w:r>
      <w:r w:rsidRPr="00CC3B4D">
        <w:t xml:space="preserve">on on the </w:t>
      </w:r>
      <w:r>
        <w:t>application of weights for selection probability and nonresponse</w:t>
      </w:r>
      <w:r w:rsidRPr="00CC3B4D">
        <w:t>.)</w:t>
      </w:r>
    </w:p>
    <w:p w:rsidR="00E80C53" w:rsidRPr="00AB7464" w:rsidRDefault="00E80C53" w:rsidP="00E80C53">
      <w:pPr>
        <w:pStyle w:val="Bullet"/>
      </w:pPr>
      <w:r w:rsidRPr="00AB7464">
        <w:rPr>
          <w:b/>
        </w:rPr>
        <w:t>Point-in-time estimates.</w:t>
      </w:r>
      <w:r w:rsidRPr="00AB7464">
        <w:t xml:space="preserve"> For state data, the study will report numbers of states and unweighted means. For district and school data, the study will report weighted means for survey variables and unweighted means from extant sources such as ED</w:t>
      </w:r>
      <w:r w:rsidRPr="00AB7464">
        <w:rPr>
          <w:i/>
        </w:rPr>
        <w:t>Facts</w:t>
      </w:r>
      <w:r w:rsidRPr="00AB7464">
        <w:t xml:space="preserve"> where data exist for nearly all districts. </w:t>
      </w:r>
      <w:r w:rsidR="001E6EB2">
        <w:t>Weights will reflect the probability of selection for districts and schools, with adjustments for survey nonresponse.</w:t>
      </w:r>
    </w:p>
    <w:p w:rsidR="00E80C53" w:rsidRPr="00AB7464" w:rsidRDefault="00E80C53" w:rsidP="00E80C53">
      <w:pPr>
        <w:pStyle w:val="Bullet"/>
      </w:pPr>
      <w:r w:rsidRPr="00AB7464">
        <w:rPr>
          <w:b/>
        </w:rPr>
        <w:t>Point-in-time estimates for school subgroups.</w:t>
      </w:r>
      <w:r w:rsidRPr="00AB7464">
        <w:t xml:space="preserve"> Subgroup analyses will provide a fuller understanding of how IDEA implementation varies across types of schools. </w:t>
      </w:r>
      <w:r>
        <w:t>For example, t</w:t>
      </w:r>
      <w:r w:rsidRPr="00AB7464">
        <w:t xml:space="preserve">he sampling strategy will permit the study to document (and statistically test for) differences between </w:t>
      </w:r>
      <w:r>
        <w:t>charter</w:t>
      </w:r>
      <w:r w:rsidRPr="00AB7464">
        <w:t xml:space="preserve"> schools and traditional </w:t>
      </w:r>
      <w:r>
        <w:t xml:space="preserve">public </w:t>
      </w:r>
      <w:r w:rsidRPr="00AB7464">
        <w:t xml:space="preserve">schools in how they identify and support children with disabilities. </w:t>
      </w:r>
      <w:r w:rsidR="00985B14">
        <w:t>T</w:t>
      </w:r>
      <w:r w:rsidRPr="00AB7464">
        <w:t xml:space="preserve">he sampling approach will </w:t>
      </w:r>
      <w:r w:rsidR="00985B14">
        <w:t xml:space="preserve">also </w:t>
      </w:r>
      <w:r w:rsidRPr="00AB7464">
        <w:t>allow the study team to precisely estimate means for topics applicable only to specified</w:t>
      </w:r>
      <w:r>
        <w:t xml:space="preserve"> school</w:t>
      </w:r>
      <w:r w:rsidRPr="00AB7464">
        <w:t xml:space="preserve"> subgroups, such as on preschool inclusion for elementary schools with pre-kindergartens or on post–high school transition planning for secondary schools.</w:t>
      </w:r>
    </w:p>
    <w:p w:rsidR="00E80C53" w:rsidRPr="00AB7464" w:rsidRDefault="00E80C53" w:rsidP="00E80C53">
      <w:pPr>
        <w:pStyle w:val="BulletLastSS"/>
      </w:pPr>
      <w:r w:rsidRPr="00AB7464">
        <w:rPr>
          <w:b/>
        </w:rPr>
        <w:t>Trend analyses.</w:t>
      </w:r>
      <w:r w:rsidRPr="00AB7464">
        <w:t xml:space="preserve"> The study team will document trends relative to the IDEA-NAIS </w:t>
      </w:r>
      <w:r w:rsidR="000A5FFF">
        <w:t>on</w:t>
      </w:r>
      <w:r w:rsidRPr="00AB7464">
        <w:t xml:space="preserve"> measures </w:t>
      </w:r>
      <w:r w:rsidR="000A5FFF">
        <w:t xml:space="preserve">related to topics </w:t>
      </w:r>
      <w:r w:rsidRPr="00AB7464">
        <w:t xml:space="preserve">such as </w:t>
      </w:r>
      <w:r w:rsidR="00302E4A">
        <w:t xml:space="preserve">the development and quality of </w:t>
      </w:r>
      <w:r w:rsidR="000A5FFF">
        <w:t>individualized education program</w:t>
      </w:r>
      <w:r w:rsidR="00302E4A">
        <w:t>s (IEPs)</w:t>
      </w:r>
      <w:r w:rsidR="00302E4A" w:rsidDel="00302E4A">
        <w:t xml:space="preserve"> </w:t>
      </w:r>
      <w:r w:rsidRPr="00AB7464">
        <w:t xml:space="preserve">, provided item universes and framing are the same. </w:t>
      </w:r>
      <w:bookmarkStart w:id="72" w:name="_Toc351102441"/>
      <w:r>
        <w:t xml:space="preserve">Comparisons will be made across select items in the state and district surveys. (IDEA-NAIS did not include a school survey.) </w:t>
      </w:r>
    </w:p>
    <w:p w:rsidR="00E80C53" w:rsidRPr="00AB7464" w:rsidRDefault="00E80C53" w:rsidP="00E80C53">
      <w:pPr>
        <w:pStyle w:val="H5Lower"/>
      </w:pPr>
      <w:r w:rsidRPr="00AB7464">
        <w:t>b. Publication of results</w:t>
      </w:r>
    </w:p>
    <w:p w:rsidR="00E80C53" w:rsidRPr="00AB7464" w:rsidRDefault="00F82FD0" w:rsidP="00E80C53">
      <w:pPr>
        <w:pStyle w:val="NormalSS"/>
      </w:pPr>
      <w:r>
        <w:t>Study reports</w:t>
      </w:r>
      <w:r w:rsidR="00E80C53" w:rsidRPr="00AB7464">
        <w:t xml:space="preserve"> will use plain language, feature accessible tables and figure formats, and emphasize higher-level findings. The study team will work closely with content experts </w:t>
      </w:r>
      <w:r w:rsidR="00E80C53">
        <w:t xml:space="preserve">and IES </w:t>
      </w:r>
      <w:r w:rsidR="00E80C53" w:rsidRPr="00AB7464">
        <w:t xml:space="preserve">on approaches for communicating findings in useful ways. </w:t>
      </w:r>
    </w:p>
    <w:p w:rsidR="00E80C53" w:rsidRPr="00AB7464" w:rsidRDefault="00F82FD0" w:rsidP="00E80C53">
      <w:pPr>
        <w:pStyle w:val="NormalSS"/>
      </w:pPr>
      <w:r>
        <w:t>R</w:t>
      </w:r>
      <w:r w:rsidR="00E80C53" w:rsidRPr="00AB7464">
        <w:t>eport</w:t>
      </w:r>
      <w:r>
        <w:t>s</w:t>
      </w:r>
      <w:r w:rsidR="00E80C53" w:rsidRPr="00AB7464">
        <w:t xml:space="preserve"> will be accessible to a broad audience</w:t>
      </w:r>
      <w:r>
        <w:t xml:space="preserve"> and</w:t>
      </w:r>
      <w:r w:rsidR="00E80C53" w:rsidRPr="00AB7464">
        <w:t xml:space="preserve"> will be no longer than </w:t>
      </w:r>
      <w:r w:rsidR="00E80C53">
        <w:t>15</w:t>
      </w:r>
      <w:r w:rsidR="00E80C53" w:rsidRPr="00AB7464">
        <w:t xml:space="preserve"> pages. </w:t>
      </w:r>
      <w:r>
        <w:t>R</w:t>
      </w:r>
      <w:r w:rsidR="00E80C53" w:rsidRPr="00AB7464">
        <w:t>eport</w:t>
      </w:r>
      <w:r w:rsidR="00665E52">
        <w:t>s</w:t>
      </w:r>
      <w:r w:rsidR="00E80C53" w:rsidRPr="00AB7464">
        <w:t xml:space="preserve"> will comply fully with the standards set by NCES</w:t>
      </w:r>
      <w:r>
        <w:t xml:space="preserve"> and</w:t>
      </w:r>
      <w:r w:rsidR="00E80C53" w:rsidRPr="00AB7464">
        <w:t xml:space="preserve"> be Section 508-compliant.</w:t>
      </w:r>
    </w:p>
    <w:p w:rsidR="00E80C53" w:rsidRPr="00AF13B2" w:rsidRDefault="00E80C53" w:rsidP="00D04174">
      <w:pPr>
        <w:pStyle w:val="H4Number"/>
      </w:pPr>
      <w:bookmarkStart w:id="73" w:name="_Toc2194233"/>
      <w:r w:rsidRPr="00AF13B2">
        <w:t>A17.</w:t>
      </w:r>
      <w:r>
        <w:t xml:space="preserve"> </w:t>
      </w:r>
      <w:r w:rsidRPr="00AF13B2">
        <w:t>Approval not to display the expiration date for OMB approval</w:t>
      </w:r>
      <w:bookmarkEnd w:id="72"/>
      <w:bookmarkEnd w:id="73"/>
    </w:p>
    <w:p w:rsidR="00E80C53" w:rsidRPr="00586F7E" w:rsidRDefault="00E80C53" w:rsidP="00E80C53">
      <w:pPr>
        <w:pStyle w:val="NormalSS"/>
      </w:pPr>
      <w:r>
        <w:t>IES</w:t>
      </w:r>
      <w:r w:rsidRPr="00586F7E">
        <w:t xml:space="preserve"> is not requesting a waiver for the display of the OMB approval number and expiration date</w:t>
      </w:r>
      <w:r>
        <w:t>. The study will display the OMB expiration date.</w:t>
      </w:r>
    </w:p>
    <w:p w:rsidR="00E80C53" w:rsidRPr="00AF13B2" w:rsidRDefault="00E80C53" w:rsidP="00E80C53">
      <w:pPr>
        <w:pStyle w:val="H4Number"/>
      </w:pPr>
      <w:bookmarkStart w:id="74" w:name="_Toc351102442"/>
      <w:bookmarkStart w:id="75" w:name="_Toc2194234"/>
      <w:r w:rsidRPr="00AF13B2">
        <w:t>A18.</w:t>
      </w:r>
      <w:r>
        <w:t xml:space="preserve"> </w:t>
      </w:r>
      <w:r w:rsidRPr="00AF13B2">
        <w:t>Exception to the certification statement</w:t>
      </w:r>
      <w:bookmarkEnd w:id="74"/>
      <w:bookmarkEnd w:id="75"/>
    </w:p>
    <w:p w:rsidR="00E80C53" w:rsidRDefault="00E80C53" w:rsidP="00E80C53">
      <w:pPr>
        <w:pStyle w:val="NormalSS"/>
      </w:pPr>
      <w:r w:rsidRPr="00586F7E">
        <w:t>No exceptions to the certification statement are requested or required.</w:t>
      </w:r>
    </w:p>
    <w:p w:rsidR="00E80C53" w:rsidRDefault="00E80C53" w:rsidP="00E80C53">
      <w:pPr>
        <w:pStyle w:val="NormalSS"/>
      </w:pPr>
    </w:p>
    <w:p w:rsidR="00E80C53" w:rsidRDefault="00E80C53" w:rsidP="00E80C53">
      <w:pPr>
        <w:spacing w:after="240" w:line="240" w:lineRule="auto"/>
        <w:ind w:firstLine="0"/>
        <w:rPr>
          <w:szCs w:val="24"/>
        </w:rPr>
        <w:sectPr w:rsidR="00E80C53" w:rsidSect="009F5484">
          <w:headerReference w:type="default" r:id="rId19"/>
          <w:footerReference w:type="default" r:id="rId20"/>
          <w:pgSz w:w="12240" w:h="15840"/>
          <w:pgMar w:top="1440" w:right="1440" w:bottom="1440" w:left="1440" w:header="720" w:footer="720" w:gutter="0"/>
          <w:pgNumType w:start="1"/>
          <w:cols w:space="720"/>
          <w:docGrid w:linePitch="360"/>
        </w:sectPr>
      </w:pPr>
    </w:p>
    <w:p w:rsidR="00E80C53" w:rsidRDefault="00E80C53" w:rsidP="00E80C53">
      <w:pPr>
        <w:pStyle w:val="H2Chapter"/>
        <w:rPr>
          <w:caps w:val="0"/>
        </w:rPr>
      </w:pPr>
      <w:bookmarkStart w:id="76" w:name="_Toc2194235"/>
      <w:r>
        <w:rPr>
          <w:caps w:val="0"/>
        </w:rPr>
        <w:t>REFERENCES</w:t>
      </w:r>
      <w:bookmarkEnd w:id="76"/>
    </w:p>
    <w:p w:rsidR="00E80C53" w:rsidRPr="00992F09" w:rsidRDefault="00E80C53" w:rsidP="00E80C53">
      <w:pPr>
        <w:pStyle w:val="References"/>
      </w:pPr>
      <w:r w:rsidRPr="00992F09">
        <w:t xml:space="preserve">American Statistical Association and American Association for Public Opinion Research. “Joint American Statistical Association/AAPOR Statement on Use of Incentives in Survey Participation.” 2016. Available at </w:t>
      </w:r>
      <w:hyperlink r:id="rId21" w:history="1">
        <w:r w:rsidRPr="00992F09">
          <w:rPr>
            <w:rStyle w:val="Hyperlink"/>
            <w:rFonts w:eastAsiaTheme="minorHAnsi"/>
          </w:rPr>
          <w:t>https://www.aapor.org/Publications-Media/Public-Statements/AAPOR-Statement-on-Use-of-Incentives-in-Survey-Par.aspx</w:t>
        </w:r>
      </w:hyperlink>
      <w:r w:rsidRPr="00992F09">
        <w:t>. Accessed August</w:t>
      </w:r>
      <w:r>
        <w:t> </w:t>
      </w:r>
      <w:r w:rsidRPr="00992F09">
        <w:t>17, 2017.</w:t>
      </w:r>
    </w:p>
    <w:p w:rsidR="00E80C53" w:rsidRDefault="00E80C53" w:rsidP="00E80C53">
      <w:pPr>
        <w:pStyle w:val="References"/>
      </w:pPr>
      <w:r w:rsidRPr="004B4039">
        <w:t xml:space="preserve">Dillman, Don A. </w:t>
      </w:r>
      <w:r w:rsidRPr="00F53BA0">
        <w:rPr>
          <w:i/>
        </w:rPr>
        <w:t xml:space="preserve">Mail and Internet Surveys: The Tailored Design, </w:t>
      </w:r>
      <w:r>
        <w:t>s</w:t>
      </w:r>
      <w:r w:rsidRPr="002E0829">
        <w:t xml:space="preserve">econd </w:t>
      </w:r>
      <w:r>
        <w:t>e</w:t>
      </w:r>
      <w:r w:rsidRPr="002E0829">
        <w:t>dition</w:t>
      </w:r>
      <w:r>
        <w:t xml:space="preserve">, </w:t>
      </w:r>
      <w:r w:rsidRPr="002E0829">
        <w:t xml:space="preserve">2007 </w:t>
      </w:r>
      <w:r>
        <w:t>u</w:t>
      </w:r>
      <w:r w:rsidRPr="002E0829">
        <w:t>pdate.</w:t>
      </w:r>
      <w:r w:rsidRPr="004B4039">
        <w:t xml:space="preserve"> Hoboken, NJ</w:t>
      </w:r>
      <w:r>
        <w:t>:</w:t>
      </w:r>
      <w:r w:rsidRPr="004B4039">
        <w:t xml:space="preserve"> John Wiley</w:t>
      </w:r>
      <w:r>
        <w:t>, 2007</w:t>
      </w:r>
      <w:r w:rsidRPr="004B4039">
        <w:t xml:space="preserve">. ISBN: 0-470-03856-x. </w:t>
      </w:r>
    </w:p>
    <w:p w:rsidR="00E80C53" w:rsidRDefault="00E80C53" w:rsidP="00E80C53">
      <w:pPr>
        <w:pStyle w:val="References"/>
      </w:pPr>
      <w:r w:rsidRPr="00543109">
        <w:t xml:space="preserve">Griffith, Michael. “A Look at Funding for Students with Disabilities.” </w:t>
      </w:r>
      <w:r w:rsidRPr="00543109">
        <w:rPr>
          <w:i/>
        </w:rPr>
        <w:t>The Progress of Education Reform,</w:t>
      </w:r>
      <w:r w:rsidRPr="00543109">
        <w:t xml:space="preserve"> vol. 16, no. 1, March 2015.</w:t>
      </w:r>
    </w:p>
    <w:p w:rsidR="00E80C53" w:rsidRDefault="00E80C53" w:rsidP="00E80C53">
      <w:pPr>
        <w:pStyle w:val="References"/>
      </w:pPr>
      <w:r w:rsidRPr="00D33E83">
        <w:t xml:space="preserve">Jacob, R.T., and B. Jacob. “Prenotification, Incentives, and Survey Modality: An Experimental Test of Methods to Increase Survey Response Rates of School Principals.” </w:t>
      </w:r>
      <w:r w:rsidRPr="00D33E83">
        <w:rPr>
          <w:i/>
        </w:rPr>
        <w:t>Journal of Research on Educational Effectiveness</w:t>
      </w:r>
      <w:r>
        <w:rPr>
          <w:i/>
        </w:rPr>
        <w:t>,</w:t>
      </w:r>
      <w:r w:rsidRPr="00D33E83">
        <w:t xml:space="preserve"> vol. 5, no. 4, 2012, pp. 401–418.</w:t>
      </w:r>
    </w:p>
    <w:p w:rsidR="00E80C53" w:rsidRPr="00543109" w:rsidRDefault="00E80C53" w:rsidP="00E80C53">
      <w:pPr>
        <w:pStyle w:val="References"/>
        <w:rPr>
          <w:u w:val="single"/>
        </w:rPr>
      </w:pPr>
      <w:r w:rsidRPr="00F53BA0">
        <w:t>Lav, Iris, and Michael Leachman. “At Risk: Federal Grants to State and Local Governments.” Washington, DC: Center on Budget and Policy Priorities, March 13, 2017. Available at</w:t>
      </w:r>
      <w:r w:rsidRPr="00543109">
        <w:rPr>
          <w:u w:val="single"/>
        </w:rPr>
        <w:t xml:space="preserve"> </w:t>
      </w:r>
      <w:hyperlink r:id="rId22" w:history="1">
        <w:r w:rsidRPr="00543109">
          <w:rPr>
            <w:rStyle w:val="Hyperlink"/>
            <w:rFonts w:eastAsiaTheme="minorHAnsi"/>
          </w:rPr>
          <w:t>https://www.cbpp.org/research/state-budget-and-tax/at-risk-federal-grants-to-state-and-local-governments</w:t>
        </w:r>
      </w:hyperlink>
      <w:r w:rsidRPr="00543109">
        <w:t>. Accessed August 15</w:t>
      </w:r>
      <w:r w:rsidRPr="00F53BA0">
        <w:t>, 2017.</w:t>
      </w:r>
    </w:p>
    <w:p w:rsidR="00E80C53" w:rsidRDefault="00E80C53" w:rsidP="00E80C53">
      <w:pPr>
        <w:pStyle w:val="References"/>
        <w:rPr>
          <w:u w:val="single"/>
        </w:rPr>
      </w:pPr>
      <w:r w:rsidRPr="00543109">
        <w:t xml:space="preserve">Leachman, M., N. Albares, K. Masterson, and M. Wallace. “Most States Have Cut School Funding, and Some Continue Cutting.” </w:t>
      </w:r>
      <w:r w:rsidRPr="00F53BA0">
        <w:t xml:space="preserve">Washington, DC: Center on Budget and Policy Priorities, </w:t>
      </w:r>
      <w:r w:rsidRPr="00543109">
        <w:t xml:space="preserve">January 25, 2016. Available at </w:t>
      </w:r>
      <w:hyperlink r:id="rId23" w:history="1">
        <w:r w:rsidRPr="00543109">
          <w:rPr>
            <w:rStyle w:val="Hyperlink"/>
            <w:rFonts w:eastAsiaTheme="minorHAnsi"/>
          </w:rPr>
          <w:t>https://www.cbpp.org/research/state-budget-and-tax/most-states-have-cut-school-funding-and-some-continue-cutting</w:t>
        </w:r>
      </w:hyperlink>
      <w:r w:rsidRPr="00F53BA0">
        <w:t>. Accessed August 15,</w:t>
      </w:r>
      <w:r w:rsidRPr="00543109">
        <w:rPr>
          <w:u w:val="single"/>
        </w:rPr>
        <w:t xml:space="preserve"> </w:t>
      </w:r>
      <w:r w:rsidRPr="00F53BA0">
        <w:t>2017.</w:t>
      </w:r>
    </w:p>
    <w:p w:rsidR="00E80C53" w:rsidRDefault="00E80C53" w:rsidP="00E80C53">
      <w:pPr>
        <w:pStyle w:val="References"/>
        <w:rPr>
          <w:bCs/>
        </w:rPr>
      </w:pPr>
      <w:r w:rsidRPr="00543109">
        <w:rPr>
          <w:bCs/>
        </w:rPr>
        <w:t>Rhim, Lauren</w:t>
      </w:r>
      <w:r>
        <w:rPr>
          <w:bCs/>
        </w:rPr>
        <w:t>.</w:t>
      </w:r>
      <w:r w:rsidRPr="00543109">
        <w:rPr>
          <w:bCs/>
        </w:rPr>
        <w:t xml:space="preserve"> “Charter Schools in Special Education.” In </w:t>
      </w:r>
      <w:r w:rsidRPr="00543109">
        <w:rPr>
          <w:bCs/>
          <w:i/>
        </w:rPr>
        <w:t>Charting the Course: Special Education in Charter Schools,</w:t>
      </w:r>
      <w:r w:rsidRPr="00543109">
        <w:rPr>
          <w:bCs/>
        </w:rPr>
        <w:t xml:space="preserve"> edited by Azure D.S. Angelov and David Bateman</w:t>
      </w:r>
      <w:r w:rsidRPr="00F53BA0">
        <w:rPr>
          <w:bCs/>
        </w:rPr>
        <w:t xml:space="preserve">. </w:t>
      </w:r>
      <w:r w:rsidRPr="00543109">
        <w:rPr>
          <w:bCs/>
        </w:rPr>
        <w:t>Arlington, VA: Council for Exceptional Children, 2016.</w:t>
      </w:r>
    </w:p>
    <w:p w:rsidR="00E80C53" w:rsidRDefault="00E80C53" w:rsidP="00E80C53">
      <w:pPr>
        <w:pStyle w:val="References"/>
      </w:pPr>
      <w:r>
        <w:rPr>
          <w:bCs/>
        </w:rPr>
        <w:t>Rhim, Lauren</w:t>
      </w:r>
      <w:r w:rsidRPr="00D460E3">
        <w:t xml:space="preserve"> </w:t>
      </w:r>
      <w:r w:rsidRPr="00D460E3">
        <w:rPr>
          <w:bCs/>
        </w:rPr>
        <w:t>Morando</w:t>
      </w:r>
      <w:r>
        <w:rPr>
          <w:bCs/>
        </w:rPr>
        <w:t>,</w:t>
      </w:r>
      <w:r w:rsidRPr="00D460E3">
        <w:rPr>
          <w:bCs/>
        </w:rPr>
        <w:t xml:space="preserve"> </w:t>
      </w:r>
      <w:r>
        <w:rPr>
          <w:bCs/>
        </w:rPr>
        <w:t xml:space="preserve">and </w:t>
      </w:r>
      <w:r w:rsidRPr="00D460E3">
        <w:rPr>
          <w:bCs/>
        </w:rPr>
        <w:t>Shaini Kothari</w:t>
      </w:r>
      <w:r>
        <w:rPr>
          <w:bCs/>
        </w:rPr>
        <w:t>. “</w:t>
      </w:r>
      <w:r w:rsidRPr="003B71B7">
        <w:rPr>
          <w:bCs/>
        </w:rPr>
        <w:t>Key Trends</w:t>
      </w:r>
      <w:r>
        <w:rPr>
          <w:bCs/>
        </w:rPr>
        <w:t xml:space="preserve"> </w:t>
      </w:r>
      <w:r w:rsidRPr="003B71B7">
        <w:rPr>
          <w:bCs/>
        </w:rPr>
        <w:t>in Special</w:t>
      </w:r>
      <w:r>
        <w:rPr>
          <w:bCs/>
        </w:rPr>
        <w:t xml:space="preserve"> </w:t>
      </w:r>
      <w:r w:rsidRPr="003B71B7">
        <w:rPr>
          <w:bCs/>
        </w:rPr>
        <w:t>Education in</w:t>
      </w:r>
      <w:r>
        <w:rPr>
          <w:bCs/>
        </w:rPr>
        <w:t xml:space="preserve"> </w:t>
      </w:r>
      <w:r w:rsidRPr="003B71B7">
        <w:rPr>
          <w:bCs/>
        </w:rPr>
        <w:t>Charter Schools:</w:t>
      </w:r>
      <w:r>
        <w:rPr>
          <w:bCs/>
        </w:rPr>
        <w:t xml:space="preserve"> </w:t>
      </w:r>
      <w:r w:rsidRPr="003B71B7">
        <w:rPr>
          <w:bCs/>
        </w:rPr>
        <w:t>A Secondary</w:t>
      </w:r>
      <w:r>
        <w:rPr>
          <w:bCs/>
        </w:rPr>
        <w:t xml:space="preserve"> </w:t>
      </w:r>
      <w:r w:rsidRPr="003B71B7">
        <w:rPr>
          <w:bCs/>
        </w:rPr>
        <w:t>Analysis of the</w:t>
      </w:r>
      <w:r>
        <w:rPr>
          <w:bCs/>
        </w:rPr>
        <w:t xml:space="preserve"> </w:t>
      </w:r>
      <w:r w:rsidRPr="003B71B7">
        <w:rPr>
          <w:bCs/>
        </w:rPr>
        <w:t>Civil Rights</w:t>
      </w:r>
      <w:r>
        <w:rPr>
          <w:bCs/>
        </w:rPr>
        <w:t xml:space="preserve"> </w:t>
      </w:r>
      <w:r w:rsidRPr="003B71B7">
        <w:rPr>
          <w:bCs/>
        </w:rPr>
        <w:t>Data Collection</w:t>
      </w:r>
      <w:r>
        <w:rPr>
          <w:bCs/>
        </w:rPr>
        <w:t xml:space="preserve">.” </w:t>
      </w:r>
      <w:r w:rsidRPr="003B71B7">
        <w:rPr>
          <w:bCs/>
        </w:rPr>
        <w:t>National Center for Speci</w:t>
      </w:r>
      <w:r>
        <w:rPr>
          <w:bCs/>
        </w:rPr>
        <w:t>al Education in Charter Schools, 2018.</w:t>
      </w:r>
    </w:p>
    <w:p w:rsidR="00E80C53" w:rsidRDefault="00E80C53" w:rsidP="00E80C53">
      <w:pPr>
        <w:pStyle w:val="References"/>
      </w:pPr>
      <w:r w:rsidRPr="00AF685B">
        <w:t>U.S. Congress. “</w:t>
      </w:r>
      <w:r>
        <w:t xml:space="preserve">Individuals with </w:t>
      </w:r>
      <w:r w:rsidRPr="00707B4F">
        <w:t>Disabilities Education Improvement Act of 2004</w:t>
      </w:r>
      <w:r w:rsidRPr="00AF685B">
        <w:t>.” Pub. Law 108-446, 11</w:t>
      </w:r>
      <w:r>
        <w:t>8</w:t>
      </w:r>
      <w:r w:rsidRPr="00AF685B">
        <w:t xml:space="preserve"> Stat. 2647. </w:t>
      </w:r>
      <w:r>
        <w:t>December 3, 2004</w:t>
      </w:r>
      <w:r w:rsidRPr="00707B4F">
        <w:t>.</w:t>
      </w:r>
    </w:p>
    <w:p w:rsidR="00E80C53" w:rsidRDefault="00E80C53" w:rsidP="00E80C53">
      <w:pPr>
        <w:pStyle w:val="References"/>
        <w:rPr>
          <w:spacing w:val="-1"/>
        </w:rPr>
      </w:pPr>
      <w:r>
        <w:rPr>
          <w:spacing w:val="-1"/>
        </w:rPr>
        <w:t>U.S. Department of Education. “</w:t>
      </w:r>
      <w:r w:rsidRPr="00720857">
        <w:rPr>
          <w:spacing w:val="-1"/>
        </w:rPr>
        <w:t>Education Department General Administrative Regulations (EDGAR</w:t>
      </w:r>
      <w:r>
        <w:rPr>
          <w:spacing w:val="-1"/>
        </w:rPr>
        <w:t xml:space="preserve">).” </w:t>
      </w:r>
      <w:r w:rsidRPr="00720857">
        <w:rPr>
          <w:spacing w:val="-1"/>
        </w:rPr>
        <w:t>Sec. 75.591, 20 U.S.C. 1221e-3 and 3474</w:t>
      </w:r>
      <w:r>
        <w:rPr>
          <w:spacing w:val="-1"/>
        </w:rPr>
        <w:t>. December 19, 2014.</w:t>
      </w:r>
    </w:p>
    <w:p w:rsidR="00E80C53" w:rsidRDefault="00E80C53" w:rsidP="00E80C53">
      <w:pPr>
        <w:pStyle w:val="References"/>
      </w:pPr>
      <w:r w:rsidRPr="00F53BA0">
        <w:rPr>
          <w:spacing w:val="-1"/>
        </w:rPr>
        <w:t>U.S. Department of Education, Office for Civil Rights. “2013–2014 Civil Rights Data Collection,</w:t>
      </w:r>
      <w:r>
        <w:t xml:space="preserve"> A First Look: Key Data Highlights on Equity and Opportunity Gaps in Our Nation’s Public Schools. 2016.” Available at </w:t>
      </w:r>
      <w:hyperlink r:id="rId24" w:history="1">
        <w:r w:rsidRPr="007117B9">
          <w:rPr>
            <w:rStyle w:val="Hyperlink"/>
          </w:rPr>
          <w:t>https://www2.ed.gov/about/offices/list/ocr/docs/2013-14-first-look.pdf</w:t>
        </w:r>
      </w:hyperlink>
      <w:r>
        <w:t xml:space="preserve">. Accessed </w:t>
      </w:r>
      <w:r w:rsidRPr="00BE7BF5">
        <w:t>March 7, 2018.</w:t>
      </w:r>
    </w:p>
    <w:p w:rsidR="00E80C53" w:rsidRDefault="00E80C53" w:rsidP="00E80C53">
      <w:pPr>
        <w:pStyle w:val="References"/>
      </w:pPr>
      <w:r w:rsidRPr="004D7FE3">
        <w:t>U.S. Department of Education, National Center for Education Statistics</w:t>
      </w:r>
      <w:r>
        <w:t xml:space="preserve">. Digest of Education Statistics: </w:t>
      </w:r>
      <w:r w:rsidRPr="004D7FE3">
        <w:t xml:space="preserve">Children 3 to 21 </w:t>
      </w:r>
      <w:r>
        <w:t>Y</w:t>
      </w:r>
      <w:r w:rsidRPr="004D7FE3">
        <w:t xml:space="preserve">ears </w:t>
      </w:r>
      <w:r>
        <w:t>O</w:t>
      </w:r>
      <w:r w:rsidRPr="004D7FE3">
        <w:t xml:space="preserve">ld </w:t>
      </w:r>
      <w:r>
        <w:t>S</w:t>
      </w:r>
      <w:r w:rsidRPr="004D7FE3">
        <w:t xml:space="preserve">erved </w:t>
      </w:r>
      <w:r>
        <w:t>U</w:t>
      </w:r>
      <w:r w:rsidRPr="004D7FE3">
        <w:t xml:space="preserve">nder Individuals with Disabilities Education Act (IDEA), Part B, by </w:t>
      </w:r>
      <w:r>
        <w:t>R</w:t>
      </w:r>
      <w:r w:rsidRPr="004D7FE3">
        <w:t>ace/</w:t>
      </w:r>
      <w:r>
        <w:t>E</w:t>
      </w:r>
      <w:r w:rsidRPr="004D7FE3">
        <w:t xml:space="preserve">thnicity and </w:t>
      </w:r>
      <w:r>
        <w:t>A</w:t>
      </w:r>
      <w:r w:rsidRPr="004D7FE3">
        <w:t xml:space="preserve">ge </w:t>
      </w:r>
      <w:r>
        <w:t>G</w:t>
      </w:r>
      <w:r w:rsidRPr="004D7FE3">
        <w:t>roup: 2000</w:t>
      </w:r>
      <w:r>
        <w:t>–</w:t>
      </w:r>
      <w:r w:rsidRPr="004D7FE3">
        <w:t xml:space="preserve">01 </w:t>
      </w:r>
      <w:r>
        <w:t>T</w:t>
      </w:r>
      <w:r w:rsidRPr="004D7FE3">
        <w:t>hrough 2015</w:t>
      </w:r>
      <w:r>
        <w:t>–</w:t>
      </w:r>
      <w:r w:rsidRPr="004D7FE3">
        <w:t>16</w:t>
      </w:r>
      <w:r>
        <w:t xml:space="preserve">. 2017. Retrieved from </w:t>
      </w:r>
      <w:hyperlink r:id="rId25" w:history="1">
        <w:r w:rsidRPr="007117B9">
          <w:rPr>
            <w:rStyle w:val="Hyperlink"/>
          </w:rPr>
          <w:t>https://nces.ed.gov/programs/digest/d17/tables/dt17_204.40.asp</w:t>
        </w:r>
      </w:hyperlink>
      <w:r>
        <w:t>. Accessed March 7, 2018.</w:t>
      </w:r>
    </w:p>
    <w:p w:rsidR="00E80C53" w:rsidRDefault="00E80C53" w:rsidP="00E80C53">
      <w:pPr>
        <w:pStyle w:val="References"/>
      </w:pPr>
      <w:r>
        <w:t xml:space="preserve">U.S. Department of Education, Office of Special Education and Rehabilitative Services, Office of Special Education Programs. “39th Annual Report to Congress on the Implementation of the </w:t>
      </w:r>
      <w:r w:rsidRPr="00F53BA0">
        <w:rPr>
          <w:i/>
        </w:rPr>
        <w:t>Individuals with Disabilities Education Act,</w:t>
      </w:r>
      <w:r>
        <w:t xml:space="preserve"> 2017.” Washington, DC: 2017.</w:t>
      </w:r>
    </w:p>
    <w:p w:rsidR="00E80C53" w:rsidRPr="00993ED5" w:rsidRDefault="00E80C53" w:rsidP="00E80C53">
      <w:pPr>
        <w:pStyle w:val="References"/>
      </w:pPr>
      <w:r w:rsidRPr="00D460E3">
        <w:t xml:space="preserve">Wolf, P. J., </w:t>
      </w:r>
      <w:r>
        <w:t>and</w:t>
      </w:r>
      <w:r w:rsidRPr="00D460E3">
        <w:t xml:space="preserve"> </w:t>
      </w:r>
      <w:r>
        <w:t xml:space="preserve">S. </w:t>
      </w:r>
      <w:r w:rsidRPr="00D460E3">
        <w:t xml:space="preserve">Lasserre-Cortez. </w:t>
      </w:r>
      <w:r w:rsidRPr="00D460E3">
        <w:rPr>
          <w:i/>
          <w:iCs/>
        </w:rPr>
        <w:t xml:space="preserve">Special </w:t>
      </w:r>
      <w:r>
        <w:rPr>
          <w:i/>
          <w:iCs/>
        </w:rPr>
        <w:t>E</w:t>
      </w:r>
      <w:r w:rsidRPr="00D460E3">
        <w:rPr>
          <w:i/>
          <w:iCs/>
        </w:rPr>
        <w:t xml:space="preserve">ducation </w:t>
      </w:r>
      <w:r>
        <w:rPr>
          <w:i/>
          <w:iCs/>
        </w:rPr>
        <w:t>E</w:t>
      </w:r>
      <w:r w:rsidRPr="00D460E3">
        <w:rPr>
          <w:i/>
          <w:iCs/>
        </w:rPr>
        <w:t xml:space="preserve">nrollment and </w:t>
      </w:r>
      <w:r>
        <w:rPr>
          <w:i/>
          <w:iCs/>
        </w:rPr>
        <w:t>C</w:t>
      </w:r>
      <w:r w:rsidRPr="00D460E3">
        <w:rPr>
          <w:i/>
          <w:iCs/>
        </w:rPr>
        <w:t xml:space="preserve">lassification in Louisiana </w:t>
      </w:r>
      <w:r>
        <w:rPr>
          <w:i/>
          <w:iCs/>
        </w:rPr>
        <w:t>C</w:t>
      </w:r>
      <w:r w:rsidRPr="00D460E3">
        <w:rPr>
          <w:i/>
          <w:iCs/>
        </w:rPr>
        <w:t xml:space="preserve">harter </w:t>
      </w:r>
      <w:r>
        <w:rPr>
          <w:i/>
          <w:iCs/>
        </w:rPr>
        <w:t>S</w:t>
      </w:r>
      <w:r w:rsidRPr="00D460E3">
        <w:rPr>
          <w:i/>
          <w:iCs/>
        </w:rPr>
        <w:t xml:space="preserve">chools and </w:t>
      </w:r>
      <w:r>
        <w:rPr>
          <w:i/>
          <w:iCs/>
        </w:rPr>
        <w:t>T</w:t>
      </w:r>
      <w:r w:rsidRPr="00D460E3">
        <w:rPr>
          <w:i/>
          <w:iCs/>
        </w:rPr>
        <w:t xml:space="preserve">raditional </w:t>
      </w:r>
      <w:r>
        <w:rPr>
          <w:i/>
          <w:iCs/>
        </w:rPr>
        <w:t>S</w:t>
      </w:r>
      <w:r w:rsidRPr="00D460E3">
        <w:rPr>
          <w:i/>
          <w:iCs/>
        </w:rPr>
        <w:t xml:space="preserve">chools </w:t>
      </w:r>
      <w:r w:rsidRPr="00D460E3">
        <w:t>(REL 2018–288). Washington, DC: U.S. Department of Education, Institute of Education Sciences, National Center for Education Evaluation and Regional Assistance, Regional Educational Laboratory Southwest</w:t>
      </w:r>
      <w:r>
        <w:t>, 2018</w:t>
      </w:r>
      <w:r w:rsidRPr="00D460E3">
        <w:t xml:space="preserve">. </w:t>
      </w:r>
      <w:r>
        <w:t>Available at</w:t>
      </w:r>
      <w:r w:rsidRPr="00D460E3">
        <w:t xml:space="preserve"> http://ies.ed.gov/ncee/edlabs.</w:t>
      </w:r>
    </w:p>
    <w:p w:rsidR="00E80C53" w:rsidRDefault="00E80C53" w:rsidP="00E80C53">
      <w:pPr>
        <w:spacing w:after="240" w:line="240" w:lineRule="auto"/>
        <w:ind w:firstLine="0"/>
        <w:sectPr w:rsidR="00E80C53" w:rsidSect="004A4DBD">
          <w:headerReference w:type="default" r:id="rId26"/>
          <w:footerReference w:type="default" r:id="rId27"/>
          <w:pgSz w:w="12240" w:h="15840"/>
          <w:pgMar w:top="1440" w:right="1440" w:bottom="1440" w:left="1440" w:header="720" w:footer="720" w:gutter="0"/>
          <w:cols w:space="720"/>
          <w:docGrid w:linePitch="360"/>
        </w:sectPr>
      </w:pPr>
    </w:p>
    <w:p w:rsidR="00E80C53" w:rsidRPr="0098753B" w:rsidRDefault="00E80C53" w:rsidP="00E80C53">
      <w:pPr>
        <w:pStyle w:val="wwwmathematica-mprcom"/>
        <w:spacing w:before="1200"/>
        <w:rPr>
          <w:rFonts w:ascii="Arial" w:hAnsi="Arial" w:cs="Arial"/>
        </w:rPr>
      </w:pPr>
      <w:r w:rsidRPr="0098753B">
        <w:rPr>
          <w:rFonts w:ascii="Arial" w:hAnsi="Arial" w:cs="Arial"/>
        </w:rPr>
        <w:t>www.mathematica-mpr.com</w:t>
      </w:r>
    </w:p>
    <w:p w:rsidR="00E80C53" w:rsidRPr="009B0D53" w:rsidRDefault="00E80C53" w:rsidP="00E80C53">
      <w:pPr>
        <w:pStyle w:val="backcovertitle"/>
        <w:spacing w:after="100"/>
      </w:pPr>
      <w:r w:rsidRPr="009B0D53">
        <w:t xml:space="preserve">Improving public well-being by conducting high quality, </w:t>
      </w:r>
      <w:r w:rsidRPr="009B0D53">
        <w:br/>
        <w:t>objective research and data collection</w:t>
      </w:r>
    </w:p>
    <w:p w:rsidR="00E80C53" w:rsidRPr="00104BBF" w:rsidRDefault="00E80C53" w:rsidP="00E80C53">
      <w:pPr>
        <w:pStyle w:val="backcovercities"/>
        <w:rPr>
          <w:rFonts w:ascii="Arial Bold" w:hAnsi="Arial Bold"/>
          <w:b/>
          <w:sz w:val="16"/>
          <w:szCs w:val="13"/>
        </w:rPr>
      </w:pPr>
      <w:r w:rsidRPr="003832A2">
        <w:rPr>
          <w:rFonts w:ascii="Arial Bold" w:hAnsi="Arial Bold"/>
          <w:b/>
          <w:sz w:val="16"/>
          <w:szCs w:val="13"/>
        </w:rPr>
        <w:t xml:space="preserve">Princeton, NJ  </w:t>
      </w:r>
      <w:r w:rsidRPr="003832A2">
        <w:rPr>
          <w:rFonts w:ascii="Arial Bold" w:hAnsi="Arial Bold" w:cs="Arial"/>
          <w:b/>
          <w:sz w:val="16"/>
          <w:szCs w:val="13"/>
        </w:rPr>
        <w:t>■</w:t>
      </w:r>
      <w:r w:rsidRPr="003832A2">
        <w:rPr>
          <w:rFonts w:ascii="Arial Bold" w:hAnsi="Arial Bold"/>
          <w:b/>
          <w:sz w:val="16"/>
          <w:szCs w:val="13"/>
        </w:rPr>
        <w:t xml:space="preserve">  Ann Arbor, MI  </w:t>
      </w:r>
      <w:r w:rsidRPr="003832A2">
        <w:rPr>
          <w:rFonts w:ascii="Arial Bold" w:hAnsi="Arial Bold" w:cs="Arial"/>
          <w:b/>
          <w:sz w:val="16"/>
          <w:szCs w:val="13"/>
        </w:rPr>
        <w:t>■</w:t>
      </w:r>
      <w:r w:rsidRPr="003832A2">
        <w:rPr>
          <w:rFonts w:ascii="Arial Bold" w:hAnsi="Arial Bold"/>
          <w:b/>
          <w:sz w:val="16"/>
          <w:szCs w:val="13"/>
        </w:rPr>
        <w:t xml:space="preserve">  Cambridge, MA  </w:t>
      </w:r>
      <w:r w:rsidRPr="003832A2">
        <w:rPr>
          <w:rFonts w:ascii="Arial Bold" w:hAnsi="Arial Bold" w:cs="Arial"/>
          <w:b/>
          <w:sz w:val="16"/>
          <w:szCs w:val="13"/>
        </w:rPr>
        <w:t xml:space="preserve">■  </w:t>
      </w:r>
      <w:r w:rsidRPr="003832A2">
        <w:rPr>
          <w:rFonts w:ascii="Arial Bold" w:hAnsi="Arial Bold"/>
          <w:b/>
          <w:sz w:val="16"/>
          <w:szCs w:val="13"/>
        </w:rPr>
        <w:t xml:space="preserve">Chicago, IL  </w:t>
      </w:r>
      <w:r w:rsidRPr="003832A2">
        <w:rPr>
          <w:rFonts w:ascii="Arial Bold" w:hAnsi="Arial Bold" w:cs="Arial"/>
          <w:b/>
          <w:sz w:val="16"/>
          <w:szCs w:val="13"/>
        </w:rPr>
        <w:t xml:space="preserve">■  </w:t>
      </w:r>
      <w:r w:rsidRPr="003832A2">
        <w:rPr>
          <w:rFonts w:ascii="Arial Bold" w:hAnsi="Arial Bold"/>
          <w:b/>
          <w:sz w:val="16"/>
          <w:szCs w:val="13"/>
        </w:rPr>
        <w:t xml:space="preserve">Oakland, CA  </w:t>
      </w:r>
      <w:r w:rsidRPr="003832A2">
        <w:rPr>
          <w:rFonts w:ascii="Arial Bold" w:hAnsi="Arial Bold" w:cs="Arial"/>
          <w:b/>
          <w:sz w:val="16"/>
          <w:szCs w:val="13"/>
        </w:rPr>
        <w:t xml:space="preserve">■  </w:t>
      </w:r>
      <w:r>
        <w:rPr>
          <w:rFonts w:ascii="Arial Bold" w:hAnsi="Arial Bold" w:cs="Arial"/>
          <w:b/>
          <w:sz w:val="16"/>
          <w:szCs w:val="13"/>
        </w:rPr>
        <w:t xml:space="preserve">seattle, wa </w:t>
      </w:r>
      <w:r>
        <w:rPr>
          <w:rFonts w:ascii="Arial Bold" w:hAnsi="Arial Bold"/>
          <w:b/>
          <w:sz w:val="16"/>
          <w:szCs w:val="13"/>
        </w:rPr>
        <w:t xml:space="preserve"> </w:t>
      </w:r>
      <w:r w:rsidRPr="003832A2">
        <w:rPr>
          <w:rFonts w:ascii="Arial Bold" w:hAnsi="Arial Bold" w:cs="Arial"/>
          <w:b/>
          <w:sz w:val="16"/>
          <w:szCs w:val="13"/>
        </w:rPr>
        <w:t xml:space="preserve">■  </w:t>
      </w:r>
      <w:r w:rsidRPr="003832A2">
        <w:rPr>
          <w:rFonts w:ascii="Arial Bold" w:hAnsi="Arial Bold"/>
          <w:b/>
          <w:sz w:val="16"/>
          <w:szCs w:val="13"/>
        </w:rPr>
        <w:t xml:space="preserve">TUCSON, AZ </w:t>
      </w:r>
      <w:r>
        <w:rPr>
          <w:rFonts w:ascii="Arial Bold" w:hAnsi="Arial Bold"/>
          <w:b/>
          <w:sz w:val="16"/>
          <w:szCs w:val="13"/>
        </w:rPr>
        <w:t xml:space="preserve"> </w:t>
      </w:r>
      <w:r w:rsidRPr="003832A2">
        <w:rPr>
          <w:rFonts w:ascii="Arial Bold" w:hAnsi="Arial Bold" w:cs="Arial"/>
          <w:b/>
          <w:sz w:val="16"/>
          <w:szCs w:val="13"/>
        </w:rPr>
        <w:t xml:space="preserve">■  </w:t>
      </w:r>
      <w:r w:rsidRPr="003832A2">
        <w:rPr>
          <w:rFonts w:ascii="Arial Bold" w:hAnsi="Arial Bold"/>
          <w:b/>
          <w:sz w:val="16"/>
          <w:szCs w:val="13"/>
        </w:rPr>
        <w:t>Washington, DC</w:t>
      </w:r>
      <w:r w:rsidRPr="00C80B3C">
        <w:t xml:space="preserve"> </w:t>
      </w:r>
      <w:r>
        <w:t xml:space="preserve"> </w:t>
      </w:r>
      <w:r w:rsidRPr="00104BBF">
        <w:rPr>
          <w:rFonts w:ascii="Arial Bold" w:hAnsi="Arial Bold"/>
          <w:b/>
          <w:sz w:val="16"/>
          <w:szCs w:val="13"/>
        </w:rPr>
        <w:t xml:space="preserve">■  WOODLAWN, MD </w:t>
      </w:r>
    </w:p>
    <w:p w:rsidR="00E80C53" w:rsidRPr="00714D3C" w:rsidRDefault="00E80C53" w:rsidP="00E80C53">
      <w:pPr>
        <w:pStyle w:val="ProprietaryStatement"/>
      </w:pPr>
    </w:p>
    <w:p w:rsidR="00E80C53" w:rsidRPr="00A03EC5" w:rsidRDefault="00E80C53" w:rsidP="00E80C53">
      <w:pPr>
        <w:spacing w:after="960" w:line="264" w:lineRule="auto"/>
        <w:rPr>
          <w:sz w:val="22"/>
          <w:szCs w:val="22"/>
        </w:rPr>
      </w:pPr>
      <w:r>
        <w:rPr>
          <w:rFonts w:ascii="Arial Bold" w:hAnsi="Arial Bold"/>
          <w:b/>
          <w:noProof/>
          <w:sz w:val="16"/>
          <w:szCs w:val="13"/>
        </w:rPr>
        <w:drawing>
          <wp:anchor distT="0" distB="0" distL="114300" distR="114300" simplePos="0" relativeHeight="251662336" behindDoc="0" locked="0" layoutInCell="1" allowOverlap="1" wp14:anchorId="5D90064E" wp14:editId="794EBDCB">
            <wp:simplePos x="0" y="0"/>
            <wp:positionH relativeFrom="column">
              <wp:posOffset>-1634490</wp:posOffset>
            </wp:positionH>
            <wp:positionV relativeFrom="paragraph">
              <wp:posOffset>3714750</wp:posOffset>
            </wp:positionV>
            <wp:extent cx="1316736" cy="951963"/>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thematica Anniverary Logo.jpg"/>
                    <pic:cNvPicPr/>
                  </pic:nvPicPr>
                  <pic:blipFill>
                    <a:blip r:embed="rId12">
                      <a:extLst>
                        <a:ext uri="{28A0092B-C50C-407E-A947-70E740481C1C}">
                          <a14:useLocalDpi xmlns:a14="http://schemas.microsoft.com/office/drawing/2010/main" val="0"/>
                        </a:ext>
                      </a:extLst>
                    </a:blip>
                    <a:stretch>
                      <a:fillRect/>
                    </a:stretch>
                  </pic:blipFill>
                  <pic:spPr>
                    <a:xfrm>
                      <a:off x="0" y="0"/>
                      <a:ext cx="1316736" cy="951963"/>
                    </a:xfrm>
                    <a:prstGeom prst="rect">
                      <a:avLst/>
                    </a:prstGeom>
                  </pic:spPr>
                </pic:pic>
              </a:graphicData>
            </a:graphic>
            <wp14:sizeRelH relativeFrom="margin">
              <wp14:pctWidth>0</wp14:pctWidth>
            </wp14:sizeRelH>
            <wp14:sizeRelV relativeFrom="margin">
              <wp14:pctHeight>0</wp14:pctHeight>
            </wp14:sizeRelV>
          </wp:anchor>
        </w:drawing>
      </w:r>
    </w:p>
    <w:p w:rsidR="00F6210E" w:rsidRPr="00E80C53" w:rsidRDefault="00F6210E" w:rsidP="00E80C53"/>
    <w:sectPr w:rsidR="00F6210E" w:rsidRPr="00E80C53" w:rsidSect="00DF71B8">
      <w:headerReference w:type="default" r:id="rId28"/>
      <w:footerReference w:type="default" r:id="rId29"/>
      <w:pgSz w:w="12240" w:h="15840"/>
      <w:pgMar w:top="4320" w:right="965" w:bottom="1195" w:left="362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3CD" w:rsidRDefault="002423CD" w:rsidP="002E3E35">
      <w:pPr>
        <w:spacing w:line="240" w:lineRule="auto"/>
      </w:pPr>
      <w:r>
        <w:separator/>
      </w:r>
    </w:p>
  </w:endnote>
  <w:endnote w:type="continuationSeparator" w:id="0">
    <w:p w:rsidR="002423CD" w:rsidRDefault="002423CD" w:rsidP="002E3E35">
      <w:pPr>
        <w:spacing w:line="240" w:lineRule="auto"/>
      </w:pPr>
      <w:r>
        <w:continuationSeparator/>
      </w:r>
    </w:p>
  </w:endnote>
  <w:endnote w:type="continuationNotice" w:id="1">
    <w:p w:rsidR="002423CD" w:rsidRDefault="002423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CD" w:rsidRPr="001A5310" w:rsidRDefault="002423CD" w:rsidP="00612546">
    <w:pPr>
      <w:pStyle w:val="disclosure"/>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CD" w:rsidRPr="00A12B64" w:rsidRDefault="002423CD"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2423CD" w:rsidRDefault="002423CD" w:rsidP="00455D47">
    <w:pPr>
      <w:pStyle w:val="Footer"/>
      <w:pBdr>
        <w:top w:val="single" w:sz="2" w:space="1" w:color="auto"/>
        <w:bottom w:val="none" w:sz="0" w:space="0" w:color="auto"/>
      </w:pBdr>
      <w:spacing w:line="192" w:lineRule="auto"/>
      <w:rPr>
        <w:rStyle w:val="PageNumber"/>
      </w:rPr>
    </w:pPr>
  </w:p>
  <w:p w:rsidR="002423CD" w:rsidRPr="00964AB7" w:rsidRDefault="002423CD" w:rsidP="006808E1">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803FF">
      <w:rPr>
        <w:rStyle w:val="PageNumber"/>
        <w:noProof/>
      </w:rPr>
      <w:t>ii</w:t>
    </w:r>
    <w:r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CD" w:rsidRPr="00A12B64" w:rsidRDefault="002423CD"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2423CD" w:rsidRDefault="002423CD" w:rsidP="00455D47">
    <w:pPr>
      <w:pStyle w:val="Footer"/>
      <w:pBdr>
        <w:top w:val="single" w:sz="2" w:space="1" w:color="auto"/>
        <w:bottom w:val="none" w:sz="0" w:space="0" w:color="auto"/>
      </w:pBdr>
      <w:spacing w:line="192" w:lineRule="auto"/>
      <w:rPr>
        <w:rStyle w:val="PageNumber"/>
      </w:rPr>
    </w:pPr>
  </w:p>
  <w:p w:rsidR="002423CD" w:rsidRPr="00964AB7" w:rsidRDefault="002423CD" w:rsidP="006808E1">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93DF3">
      <w:rPr>
        <w:rStyle w:val="PageNumber"/>
        <w:noProof/>
      </w:rPr>
      <w:t>iii</w:t>
    </w:r>
    <w:r w:rsidRPr="00964AB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CD" w:rsidRPr="00A12B64" w:rsidRDefault="002423CD"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2423CD" w:rsidRDefault="002423CD" w:rsidP="00455D47">
    <w:pPr>
      <w:pStyle w:val="Footer"/>
      <w:pBdr>
        <w:top w:val="single" w:sz="2" w:space="1" w:color="auto"/>
        <w:bottom w:val="none" w:sz="0" w:space="0" w:color="auto"/>
      </w:pBdr>
      <w:spacing w:line="192" w:lineRule="auto"/>
      <w:rPr>
        <w:rStyle w:val="PageNumber"/>
      </w:rPr>
    </w:pPr>
  </w:p>
  <w:p w:rsidR="002423CD" w:rsidRPr="00964AB7" w:rsidRDefault="002423CD" w:rsidP="006808E1">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93DF3">
      <w:rPr>
        <w:rStyle w:val="PageNumber"/>
        <w:noProof/>
      </w:rPr>
      <w:t>11</w:t>
    </w:r>
    <w:r w:rsidRPr="00964AB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CD" w:rsidRPr="00A12B64" w:rsidRDefault="002423CD"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2423CD" w:rsidRDefault="002423CD" w:rsidP="00455D47">
    <w:pPr>
      <w:pStyle w:val="Footer"/>
      <w:pBdr>
        <w:top w:val="single" w:sz="2" w:space="1" w:color="auto"/>
        <w:bottom w:val="none" w:sz="0" w:space="0" w:color="auto"/>
      </w:pBdr>
      <w:spacing w:line="192" w:lineRule="auto"/>
      <w:rPr>
        <w:rStyle w:val="PageNumber"/>
      </w:rPr>
    </w:pPr>
  </w:p>
  <w:p w:rsidR="002423CD" w:rsidRPr="00964AB7" w:rsidRDefault="002423CD" w:rsidP="006808E1">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93DF3">
      <w:rPr>
        <w:rStyle w:val="PageNumber"/>
        <w:noProof/>
      </w:rPr>
      <w:t>13</w:t>
    </w:r>
    <w:r w:rsidRPr="00964AB7">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CD" w:rsidRPr="001B2926" w:rsidRDefault="002423CD" w:rsidP="00DF71B8">
    <w:pPr>
      <w:pStyle w:val="Footer"/>
      <w:pBdr>
        <w:bottom w:val="none" w:sz="0" w:space="0" w:color="auto"/>
      </w:pBdr>
      <w:rPr>
        <w:rStyle w:val="PageNumber"/>
      </w:rPr>
    </w:pPr>
    <w:r>
      <w:rPr>
        <w:noProof/>
      </w:rPr>
      <mc:AlternateContent>
        <mc:Choice Requires="wps">
          <w:drawing>
            <wp:anchor distT="0" distB="0" distL="114300" distR="114300" simplePos="0" relativeHeight="251660288" behindDoc="0" locked="1" layoutInCell="1" allowOverlap="1" wp14:anchorId="311D4117" wp14:editId="4A56E54C">
              <wp:simplePos x="0" y="0"/>
              <wp:positionH relativeFrom="leftMargin">
                <wp:posOffset>629285</wp:posOffset>
              </wp:positionH>
              <wp:positionV relativeFrom="paragraph">
                <wp:posOffset>-99060</wp:posOffset>
              </wp:positionV>
              <wp:extent cx="1531620" cy="320040"/>
              <wp:effectExtent l="0" t="0" r="11430" b="3810"/>
              <wp:wrapTight wrapText="bothSides">
                <wp:wrapPolygon edited="0">
                  <wp:start x="0" y="0"/>
                  <wp:lineTo x="0" y="20571"/>
                  <wp:lineTo x="21493" y="20571"/>
                  <wp:lineTo x="21493" y="0"/>
                  <wp:lineTo x="0"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3CD" w:rsidRPr="00AB1DD1" w:rsidRDefault="002423CD" w:rsidP="00DF71B8">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9.55pt;margin-top:-7.8pt;width:120.6pt;height:25.2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mNWrQIAAKk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" filled="f" stroked="f">
              <v:textbox inset="0,0,0,0">
                <w:txbxContent>
                  <w:p w:rsidR="002423CD" w:rsidRPr="00AB1DD1" w:rsidRDefault="002423CD" w:rsidP="00DF71B8">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v:textbox>
              <w10:wrap type="tight" anchorx="margin"/>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3CD" w:rsidRDefault="002423CD" w:rsidP="00203E3B">
      <w:pPr>
        <w:spacing w:line="240" w:lineRule="auto"/>
        <w:ind w:firstLine="0"/>
      </w:pPr>
      <w:r>
        <w:separator/>
      </w:r>
    </w:p>
  </w:footnote>
  <w:footnote w:type="continuationSeparator" w:id="0">
    <w:p w:rsidR="002423CD" w:rsidRDefault="002423CD" w:rsidP="00203E3B">
      <w:pPr>
        <w:spacing w:line="240" w:lineRule="auto"/>
        <w:ind w:firstLine="0"/>
      </w:pPr>
      <w:r>
        <w:separator/>
      </w:r>
    </w:p>
    <w:p w:rsidR="002423CD" w:rsidRPr="00157CA2" w:rsidRDefault="002423CD" w:rsidP="00203E3B">
      <w:pPr>
        <w:spacing w:after="120" w:line="240" w:lineRule="auto"/>
        <w:ind w:firstLine="0"/>
        <w:rPr>
          <w:sz w:val="20"/>
        </w:rPr>
      </w:pPr>
      <w:r w:rsidRPr="00157CA2">
        <w:rPr>
          <w:i/>
          <w:sz w:val="20"/>
        </w:rPr>
        <w:t>(continued)</w:t>
      </w:r>
    </w:p>
  </w:footnote>
  <w:footnote w:type="continuationNotice" w:id="1">
    <w:p w:rsidR="002423CD" w:rsidRDefault="002423CD">
      <w:pPr>
        <w:spacing w:line="240" w:lineRule="auto"/>
      </w:pPr>
    </w:p>
  </w:footnote>
  <w:footnote w:id="2">
    <w:p w:rsidR="002423CD" w:rsidRDefault="002423CD" w:rsidP="002F3530">
      <w:pPr>
        <w:pStyle w:val="FootnoteText"/>
      </w:pPr>
      <w:r>
        <w:rPr>
          <w:rStyle w:val="FootnoteReference"/>
        </w:rPr>
        <w:footnoteRef/>
      </w:r>
      <w:r>
        <w:t xml:space="preserve"> </w:t>
      </w:r>
      <w:r w:rsidRPr="00A9617D">
        <w:t xml:space="preserve">Of the 665 districts selected overall, 63 did not offer pre-kindergarten instruction and are not eligible for the preschool-age district survey. </w:t>
      </w:r>
    </w:p>
  </w:footnote>
  <w:footnote w:id="3">
    <w:p w:rsidR="002423CD" w:rsidRDefault="002423CD">
      <w:pPr>
        <w:pStyle w:val="FootnoteText"/>
      </w:pPr>
      <w:r>
        <w:rPr>
          <w:rStyle w:val="FootnoteReference"/>
        </w:rPr>
        <w:footnoteRef/>
      </w:r>
      <w:r>
        <w:t xml:space="preserve"> Subsequent to providing input on this study, Laurie VanderPloeg became the Director of the Office of Special Education Programs (OSEP), U.S. Department of Education.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CD" w:rsidRPr="00C44B5B" w:rsidRDefault="002423CD" w:rsidP="002E3E35">
    <w:pPr>
      <w:pStyle w:val="Header"/>
      <w:rPr>
        <w:rFonts w:cs="Arial"/>
        <w:i/>
        <w:szCs w:val="14"/>
      </w:rPr>
    </w:pPr>
    <w:r>
      <w:t>IDEA omb part a</w:t>
    </w:r>
    <w:r>
      <w:tab/>
      <w:t>CONTRACT NUMBER: ED-IES-17</w:t>
    </w:r>
    <w:r w:rsidRPr="0024685E">
      <w:t>-C-00</w:t>
    </w:r>
    <w:r>
      <w:t>69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CD" w:rsidRPr="006808E1" w:rsidRDefault="002423CD" w:rsidP="002E3E35">
    <w:pPr>
      <w:pStyle w:val="Header"/>
      <w:rPr>
        <w:rFonts w:cs="Arial"/>
        <w:szCs w:val="14"/>
      </w:rPr>
    </w:pPr>
    <w:r w:rsidRPr="006808E1">
      <w:rPr>
        <w:rFonts w:cs="Arial"/>
        <w:szCs w:val="14"/>
      </w:rPr>
      <w:t>IDEA omb part a</w:t>
    </w:r>
    <w:r w:rsidRPr="006808E1">
      <w:rPr>
        <w:rFonts w:cs="Arial"/>
        <w:szCs w:val="14"/>
      </w:rPr>
      <w:tab/>
      <w:t>CONTRACT NUMBER: ED-IES-17-C-0069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CD" w:rsidRPr="006808E1" w:rsidRDefault="002423CD" w:rsidP="006808E1">
    <w:pPr>
      <w:pStyle w:val="Header"/>
    </w:pPr>
    <w:r w:rsidRPr="006808E1">
      <w:t>IDEA omb part a</w:t>
    </w:r>
    <w:r w:rsidRPr="006808E1">
      <w:tab/>
      <w:t>CONTRACT NUMBER: ED-IES-17-C-0069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CD" w:rsidRPr="006808E1" w:rsidRDefault="002423CD" w:rsidP="006808E1">
    <w:pPr>
      <w:pStyle w:val="Header"/>
    </w:pPr>
    <w:r w:rsidRPr="006808E1">
      <w:t>IDEA omb part a</w:t>
    </w:r>
    <w:r w:rsidRPr="006808E1">
      <w:tab/>
      <w:t>CONTRACT NUMBER: ED-IES-17-C-0069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CD" w:rsidRPr="00EB08B4" w:rsidRDefault="002423CD" w:rsidP="00DF71B8">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6DCC884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EE4CCF"/>
    <w:multiLevelType w:val="multilevel"/>
    <w:tmpl w:val="BA62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18743F"/>
    <w:multiLevelType w:val="hybridMultilevel"/>
    <w:tmpl w:val="28E6746E"/>
    <w:lvl w:ilvl="0" w:tplc="0409001B">
      <w:start w:val="1"/>
      <w:numFmt w:val="lowerRoman"/>
      <w:lvlText w:val="%1."/>
      <w:lvlJc w:val="right"/>
      <w:pPr>
        <w:ind w:left="852" w:hanging="360"/>
      </w:pPr>
      <w:rPr>
        <w:rFonts w:hint="default"/>
      </w:rPr>
    </w:lvl>
    <w:lvl w:ilvl="1" w:tplc="04090019">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6">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B00EAB"/>
    <w:multiLevelType w:val="hybridMultilevel"/>
    <w:tmpl w:val="E56858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
    <w:nsid w:val="0F0F688F"/>
    <w:multiLevelType w:val="multilevel"/>
    <w:tmpl w:val="E33AD5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68779FF"/>
    <w:multiLevelType w:val="hybridMultilevel"/>
    <w:tmpl w:val="C60415C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75F4639"/>
    <w:multiLevelType w:val="hybridMultilevel"/>
    <w:tmpl w:val="28C46A90"/>
    <w:lvl w:ilvl="0" w:tplc="C8BEA310">
      <w:start w:val="1"/>
      <w:numFmt w:val="bullet"/>
      <w:pStyle w:val="Dash"/>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nsid w:val="1D23117D"/>
    <w:multiLevelType w:val="hybridMultilevel"/>
    <w:tmpl w:val="37541F60"/>
    <w:lvl w:ilvl="0" w:tplc="04090001">
      <w:start w:val="1"/>
      <w:numFmt w:val="bullet"/>
      <w:lvlText w:val=""/>
      <w:lvlJc w:val="left"/>
      <w:pPr>
        <w:ind w:left="1209" w:hanging="360"/>
      </w:pPr>
      <w:rPr>
        <w:rFonts w:ascii="Symbol" w:hAnsi="Symbol"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14">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874979"/>
    <w:multiLevelType w:val="hybridMultilevel"/>
    <w:tmpl w:val="BC105CFE"/>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1A4579"/>
    <w:multiLevelType w:val="hybridMultilevel"/>
    <w:tmpl w:val="DAFC88DC"/>
    <w:lvl w:ilvl="0" w:tplc="09DA2C2E">
      <w:start w:val="1"/>
      <w:numFmt w:val="decimal"/>
      <w:lvlText w:val="%1."/>
      <w:lvlJc w:val="left"/>
      <w:pPr>
        <w:ind w:left="720" w:hanging="360"/>
      </w:pPr>
      <w:rPr>
        <w:rFonts w:ascii="Garamond" w:hAnsi="Garamond" w:hint="default"/>
        <w:b w:val="0"/>
        <w:i w:val="0"/>
        <w:caps w:val="0"/>
        <w:strike w:val="0"/>
        <w:dstrike w:val="0"/>
        <w:vanish w:val="0"/>
        <w:webHidden w:val="0"/>
        <w:sz w:val="18"/>
        <w:u w:val="none"/>
        <w:effect w:val="none"/>
        <w:vertAlign w:val="baseli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8500ECC"/>
    <w:multiLevelType w:val="hybridMultilevel"/>
    <w:tmpl w:val="9D14B3F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0">
    <w:nsid w:val="386C4573"/>
    <w:multiLevelType w:val="hybridMultilevel"/>
    <w:tmpl w:val="FDC294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3DB7446E"/>
    <w:multiLevelType w:val="multilevel"/>
    <w:tmpl w:val="9084C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A20756"/>
    <w:multiLevelType w:val="hybridMultilevel"/>
    <w:tmpl w:val="3392C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C6048B"/>
    <w:multiLevelType w:val="singleLevel"/>
    <w:tmpl w:val="D1FA07A6"/>
    <w:lvl w:ilvl="0">
      <w:start w:val="1"/>
      <w:numFmt w:val="decimal"/>
      <w:pStyle w:val="NumberedBullet"/>
      <w:lvlText w:val="%1."/>
      <w:lvlJc w:val="left"/>
      <w:pPr>
        <w:tabs>
          <w:tab w:val="num" w:pos="360"/>
        </w:tabs>
        <w:ind w:left="360" w:hanging="360"/>
      </w:pPr>
      <w:rPr>
        <w:rFonts w:hint="default"/>
        <w:b w:val="0"/>
      </w:rPr>
    </w:lvl>
  </w:abstractNum>
  <w:abstractNum w:abstractNumId="26">
    <w:nsid w:val="4A654237"/>
    <w:multiLevelType w:val="hybridMultilevel"/>
    <w:tmpl w:val="F1A273C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613525"/>
    <w:multiLevelType w:val="hybridMultilevel"/>
    <w:tmpl w:val="1B7E155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79528D"/>
    <w:multiLevelType w:val="hybridMultilevel"/>
    <w:tmpl w:val="83062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5F1B5929"/>
    <w:multiLevelType w:val="multilevel"/>
    <w:tmpl w:val="96941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FDC40E2"/>
    <w:multiLevelType w:val="hybridMultilevel"/>
    <w:tmpl w:val="C14C058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nsid w:val="69942869"/>
    <w:multiLevelType w:val="hybridMultilevel"/>
    <w:tmpl w:val="0EC6019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nsid w:val="6A866306"/>
    <w:multiLevelType w:val="hybridMultilevel"/>
    <w:tmpl w:val="35AA3752"/>
    <w:lvl w:ilvl="0" w:tplc="D0DE4BD6">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D05F0E"/>
    <w:multiLevelType w:val="hybridMultilevel"/>
    <w:tmpl w:val="D08659B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4">
    <w:nsid w:val="7BD56DA4"/>
    <w:multiLevelType w:val="hybridMultilevel"/>
    <w:tmpl w:val="D622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6">
    <w:nsid w:val="7E4020D7"/>
    <w:multiLevelType w:val="hybridMultilevel"/>
    <w:tmpl w:val="2096A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0"/>
  </w:num>
  <w:num w:numId="2">
    <w:abstractNumId w:val="27"/>
  </w:num>
  <w:num w:numId="3">
    <w:abstractNumId w:val="42"/>
  </w:num>
  <w:num w:numId="4">
    <w:abstractNumId w:val="12"/>
  </w:num>
  <w:num w:numId="5">
    <w:abstractNumId w:val="41"/>
  </w:num>
  <w:num w:numId="6">
    <w:abstractNumId w:val="45"/>
  </w:num>
  <w:num w:numId="7">
    <w:abstractNumId w:val="35"/>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5"/>
  </w:num>
  <w:num w:numId="18">
    <w:abstractNumId w:val="17"/>
  </w:num>
  <w:num w:numId="19">
    <w:abstractNumId w:val="29"/>
  </w:num>
  <w:num w:numId="20">
    <w:abstractNumId w:val="8"/>
  </w:num>
  <w:num w:numId="21">
    <w:abstractNumId w:val="31"/>
  </w:num>
  <w:num w:numId="22">
    <w:abstractNumId w:val="4"/>
  </w:num>
  <w:num w:numId="23">
    <w:abstractNumId w:val="22"/>
  </w:num>
  <w:num w:numId="24">
    <w:abstractNumId w:val="39"/>
  </w:num>
  <w:num w:numId="25">
    <w:abstractNumId w:val="9"/>
  </w:num>
  <w:num w:numId="26">
    <w:abstractNumId w:val="3"/>
  </w:num>
  <w:num w:numId="27">
    <w:abstractNumId w:val="14"/>
  </w:num>
  <w:num w:numId="28">
    <w:abstractNumId w:val="23"/>
  </w:num>
  <w:num w:numId="29">
    <w:abstractNumId w:val="36"/>
  </w:num>
  <w:num w:numId="30">
    <w:abstractNumId w:val="32"/>
  </w:num>
  <w:num w:numId="31">
    <w:abstractNumId w:val="6"/>
  </w:num>
  <w:num w:numId="32">
    <w:abstractNumId w:val="25"/>
    <w:lvlOverride w:ilvl="0">
      <w:startOverride w:val="1"/>
    </w:lvlOverride>
  </w:num>
  <w:num w:numId="33">
    <w:abstractNumId w:val="16"/>
  </w:num>
  <w:num w:numId="34">
    <w:abstractNumId w:val="28"/>
  </w:num>
  <w:num w:numId="35">
    <w:abstractNumId w:val="38"/>
  </w:num>
  <w:num w:numId="36">
    <w:abstractNumId w:val="15"/>
  </w:num>
  <w:num w:numId="37">
    <w:abstractNumId w:val="43"/>
  </w:num>
  <w:num w:numId="38">
    <w:abstractNumId w:val="11"/>
  </w:num>
  <w:num w:numId="39">
    <w:abstractNumId w:val="26"/>
  </w:num>
  <w:num w:numId="40">
    <w:abstractNumId w:val="13"/>
  </w:num>
  <w:num w:numId="41">
    <w:abstractNumId w:val="20"/>
  </w:num>
  <w:num w:numId="42">
    <w:abstractNumId w:val="5"/>
  </w:num>
  <w:num w:numId="43">
    <w:abstractNumId w:val="21"/>
  </w:num>
  <w:num w:numId="44">
    <w:abstractNumId w:val="44"/>
  </w:num>
  <w:num w:numId="45">
    <w:abstractNumId w:val="19"/>
  </w:num>
  <w:num w:numId="46">
    <w:abstractNumId w:val="25"/>
    <w:lvlOverride w:ilvl="0">
      <w:startOverride w:val="1"/>
    </w:lvlOverride>
  </w:num>
  <w:num w:numId="47">
    <w:abstractNumId w:val="33"/>
    <w:lvlOverride w:ilvl="0">
      <w:startOverride w:val="1"/>
    </w:lvlOverride>
  </w:num>
  <w:num w:numId="48">
    <w:abstractNumId w:val="25"/>
    <w:lvlOverride w:ilvl="0">
      <w:startOverride w:val="1"/>
    </w:lvlOverride>
  </w:num>
  <w:num w:numId="49">
    <w:abstractNumId w:val="30"/>
  </w:num>
  <w:num w:numId="50">
    <w:abstractNumId w:val="24"/>
  </w:num>
  <w:num w:numId="51">
    <w:abstractNumId w:val="7"/>
  </w:num>
  <w:num w:numId="52">
    <w:abstractNumId w:val="34"/>
  </w:num>
  <w:num w:numId="53">
    <w:abstractNumId w:val="1"/>
  </w:num>
  <w:num w:numId="54">
    <w:abstractNumId w:val="2"/>
  </w:num>
  <w:num w:numId="55">
    <w:abstractNumId w:val="37"/>
  </w:num>
  <w:num w:numId="56">
    <w:abstractNumId w:val="10"/>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num>
  <w:num w:numId="59">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F7E"/>
    <w:rsid w:val="0000039E"/>
    <w:rsid w:val="0000053C"/>
    <w:rsid w:val="00001870"/>
    <w:rsid w:val="000030B1"/>
    <w:rsid w:val="000044D1"/>
    <w:rsid w:val="00004959"/>
    <w:rsid w:val="00004CD4"/>
    <w:rsid w:val="00004EEA"/>
    <w:rsid w:val="00005843"/>
    <w:rsid w:val="000059CF"/>
    <w:rsid w:val="0000616B"/>
    <w:rsid w:val="00007301"/>
    <w:rsid w:val="00007514"/>
    <w:rsid w:val="00010BC3"/>
    <w:rsid w:val="00010CEE"/>
    <w:rsid w:val="00011527"/>
    <w:rsid w:val="0001182F"/>
    <w:rsid w:val="00011BC8"/>
    <w:rsid w:val="00012400"/>
    <w:rsid w:val="00012528"/>
    <w:rsid w:val="000125CF"/>
    <w:rsid w:val="00013109"/>
    <w:rsid w:val="0001336E"/>
    <w:rsid w:val="0001348C"/>
    <w:rsid w:val="000144A7"/>
    <w:rsid w:val="000148E1"/>
    <w:rsid w:val="00014991"/>
    <w:rsid w:val="00014F62"/>
    <w:rsid w:val="0001587F"/>
    <w:rsid w:val="000168F9"/>
    <w:rsid w:val="00016A81"/>
    <w:rsid w:val="00016D34"/>
    <w:rsid w:val="000212FC"/>
    <w:rsid w:val="00021302"/>
    <w:rsid w:val="00022A0A"/>
    <w:rsid w:val="0002322B"/>
    <w:rsid w:val="00023EB6"/>
    <w:rsid w:val="00024026"/>
    <w:rsid w:val="0002529E"/>
    <w:rsid w:val="00025692"/>
    <w:rsid w:val="00025C29"/>
    <w:rsid w:val="000263A5"/>
    <w:rsid w:val="00026505"/>
    <w:rsid w:val="0002754E"/>
    <w:rsid w:val="00030229"/>
    <w:rsid w:val="00030642"/>
    <w:rsid w:val="0003078D"/>
    <w:rsid w:val="000307FF"/>
    <w:rsid w:val="0003161C"/>
    <w:rsid w:val="00031E31"/>
    <w:rsid w:val="0003203F"/>
    <w:rsid w:val="0003265D"/>
    <w:rsid w:val="00032A2E"/>
    <w:rsid w:val="00032E4E"/>
    <w:rsid w:val="00033064"/>
    <w:rsid w:val="000340C1"/>
    <w:rsid w:val="00034667"/>
    <w:rsid w:val="00036E7F"/>
    <w:rsid w:val="00037B53"/>
    <w:rsid w:val="00037E72"/>
    <w:rsid w:val="00040AD5"/>
    <w:rsid w:val="00040B2C"/>
    <w:rsid w:val="000423BE"/>
    <w:rsid w:val="00042419"/>
    <w:rsid w:val="00042B47"/>
    <w:rsid w:val="00042FA8"/>
    <w:rsid w:val="00043329"/>
    <w:rsid w:val="00043B27"/>
    <w:rsid w:val="00044069"/>
    <w:rsid w:val="00044C02"/>
    <w:rsid w:val="00044FB8"/>
    <w:rsid w:val="0004675D"/>
    <w:rsid w:val="00047A09"/>
    <w:rsid w:val="00047BDD"/>
    <w:rsid w:val="00047D7F"/>
    <w:rsid w:val="000505BB"/>
    <w:rsid w:val="00050858"/>
    <w:rsid w:val="0005152E"/>
    <w:rsid w:val="000531FB"/>
    <w:rsid w:val="000551B1"/>
    <w:rsid w:val="000556A0"/>
    <w:rsid w:val="00056BC1"/>
    <w:rsid w:val="0005719C"/>
    <w:rsid w:val="000575D5"/>
    <w:rsid w:val="000578BB"/>
    <w:rsid w:val="00060386"/>
    <w:rsid w:val="00060579"/>
    <w:rsid w:val="000612CE"/>
    <w:rsid w:val="0006140A"/>
    <w:rsid w:val="00061E78"/>
    <w:rsid w:val="000633AA"/>
    <w:rsid w:val="00063655"/>
    <w:rsid w:val="000663CD"/>
    <w:rsid w:val="00067844"/>
    <w:rsid w:val="000678F0"/>
    <w:rsid w:val="0007034D"/>
    <w:rsid w:val="0007041A"/>
    <w:rsid w:val="00072888"/>
    <w:rsid w:val="00073D11"/>
    <w:rsid w:val="000748B7"/>
    <w:rsid w:val="000750BC"/>
    <w:rsid w:val="00075FE6"/>
    <w:rsid w:val="00076598"/>
    <w:rsid w:val="00077551"/>
    <w:rsid w:val="000777DB"/>
    <w:rsid w:val="000777E5"/>
    <w:rsid w:val="000801B1"/>
    <w:rsid w:val="00081C91"/>
    <w:rsid w:val="00081CED"/>
    <w:rsid w:val="00081E16"/>
    <w:rsid w:val="000837E5"/>
    <w:rsid w:val="000840F4"/>
    <w:rsid w:val="00084451"/>
    <w:rsid w:val="000855BD"/>
    <w:rsid w:val="00085906"/>
    <w:rsid w:val="00086066"/>
    <w:rsid w:val="00086333"/>
    <w:rsid w:val="00086BF3"/>
    <w:rsid w:val="0009143A"/>
    <w:rsid w:val="00091C19"/>
    <w:rsid w:val="00092179"/>
    <w:rsid w:val="000921BE"/>
    <w:rsid w:val="00092670"/>
    <w:rsid w:val="00095543"/>
    <w:rsid w:val="0009564C"/>
    <w:rsid w:val="00095F0B"/>
    <w:rsid w:val="00097177"/>
    <w:rsid w:val="000972E1"/>
    <w:rsid w:val="000A0C1C"/>
    <w:rsid w:val="000A1D93"/>
    <w:rsid w:val="000A1FA6"/>
    <w:rsid w:val="000A2181"/>
    <w:rsid w:val="000A2330"/>
    <w:rsid w:val="000A34D3"/>
    <w:rsid w:val="000A38CA"/>
    <w:rsid w:val="000A4FEB"/>
    <w:rsid w:val="000A57FC"/>
    <w:rsid w:val="000A5976"/>
    <w:rsid w:val="000A5A77"/>
    <w:rsid w:val="000A5A8D"/>
    <w:rsid w:val="000A5FFF"/>
    <w:rsid w:val="000A6591"/>
    <w:rsid w:val="000A6622"/>
    <w:rsid w:val="000A7604"/>
    <w:rsid w:val="000A7FB4"/>
    <w:rsid w:val="000B0825"/>
    <w:rsid w:val="000B0E7D"/>
    <w:rsid w:val="000B1BB2"/>
    <w:rsid w:val="000B3A4F"/>
    <w:rsid w:val="000B3AA8"/>
    <w:rsid w:val="000B3D86"/>
    <w:rsid w:val="000B4A91"/>
    <w:rsid w:val="000B521D"/>
    <w:rsid w:val="000B555A"/>
    <w:rsid w:val="000B5AFB"/>
    <w:rsid w:val="000B5F64"/>
    <w:rsid w:val="000B74CA"/>
    <w:rsid w:val="000B764C"/>
    <w:rsid w:val="000B7BC1"/>
    <w:rsid w:val="000C0F13"/>
    <w:rsid w:val="000C1052"/>
    <w:rsid w:val="000C20D5"/>
    <w:rsid w:val="000C2D0D"/>
    <w:rsid w:val="000C2E3B"/>
    <w:rsid w:val="000C3861"/>
    <w:rsid w:val="000C413E"/>
    <w:rsid w:val="000C4BAC"/>
    <w:rsid w:val="000C5775"/>
    <w:rsid w:val="000C5ED3"/>
    <w:rsid w:val="000C6C8C"/>
    <w:rsid w:val="000C6D2C"/>
    <w:rsid w:val="000C7182"/>
    <w:rsid w:val="000C7D4D"/>
    <w:rsid w:val="000D086F"/>
    <w:rsid w:val="000D0DE6"/>
    <w:rsid w:val="000D0F86"/>
    <w:rsid w:val="000D4826"/>
    <w:rsid w:val="000D492B"/>
    <w:rsid w:val="000D542C"/>
    <w:rsid w:val="000D5B34"/>
    <w:rsid w:val="000D6D72"/>
    <w:rsid w:val="000D6D88"/>
    <w:rsid w:val="000D70A0"/>
    <w:rsid w:val="000D751A"/>
    <w:rsid w:val="000D7E7D"/>
    <w:rsid w:val="000E0694"/>
    <w:rsid w:val="000E0EB2"/>
    <w:rsid w:val="000E1C2B"/>
    <w:rsid w:val="000E1E21"/>
    <w:rsid w:val="000E1EE3"/>
    <w:rsid w:val="000E204C"/>
    <w:rsid w:val="000E2169"/>
    <w:rsid w:val="000E4821"/>
    <w:rsid w:val="000E4C3F"/>
    <w:rsid w:val="000E50B1"/>
    <w:rsid w:val="000E694A"/>
    <w:rsid w:val="000F0548"/>
    <w:rsid w:val="000F07B5"/>
    <w:rsid w:val="000F0FB1"/>
    <w:rsid w:val="000F237A"/>
    <w:rsid w:val="000F4D0E"/>
    <w:rsid w:val="000F677B"/>
    <w:rsid w:val="000F6CE5"/>
    <w:rsid w:val="000F72F4"/>
    <w:rsid w:val="001000F4"/>
    <w:rsid w:val="00100305"/>
    <w:rsid w:val="001004A7"/>
    <w:rsid w:val="00100C08"/>
    <w:rsid w:val="00101B75"/>
    <w:rsid w:val="00102BF1"/>
    <w:rsid w:val="001039FE"/>
    <w:rsid w:val="00105FEF"/>
    <w:rsid w:val="00106104"/>
    <w:rsid w:val="001079D5"/>
    <w:rsid w:val="00107F7A"/>
    <w:rsid w:val="001103AA"/>
    <w:rsid w:val="001119F8"/>
    <w:rsid w:val="001120AB"/>
    <w:rsid w:val="00112A5E"/>
    <w:rsid w:val="00112A8F"/>
    <w:rsid w:val="00113CC8"/>
    <w:rsid w:val="00115584"/>
    <w:rsid w:val="00115EF3"/>
    <w:rsid w:val="001166AB"/>
    <w:rsid w:val="00116B0A"/>
    <w:rsid w:val="00116BDE"/>
    <w:rsid w:val="001202A4"/>
    <w:rsid w:val="00120812"/>
    <w:rsid w:val="0012142E"/>
    <w:rsid w:val="001221BA"/>
    <w:rsid w:val="00122315"/>
    <w:rsid w:val="00122C2C"/>
    <w:rsid w:val="001236BC"/>
    <w:rsid w:val="00123B69"/>
    <w:rsid w:val="00125CE7"/>
    <w:rsid w:val="001263C5"/>
    <w:rsid w:val="00126A35"/>
    <w:rsid w:val="00127707"/>
    <w:rsid w:val="00127C07"/>
    <w:rsid w:val="00130C03"/>
    <w:rsid w:val="00130CFD"/>
    <w:rsid w:val="001311F7"/>
    <w:rsid w:val="00131586"/>
    <w:rsid w:val="0013184F"/>
    <w:rsid w:val="00131D22"/>
    <w:rsid w:val="00131F00"/>
    <w:rsid w:val="00131F30"/>
    <w:rsid w:val="00132277"/>
    <w:rsid w:val="00132508"/>
    <w:rsid w:val="00132800"/>
    <w:rsid w:val="00132BBE"/>
    <w:rsid w:val="00132F3E"/>
    <w:rsid w:val="00133303"/>
    <w:rsid w:val="0013346F"/>
    <w:rsid w:val="00133757"/>
    <w:rsid w:val="00134876"/>
    <w:rsid w:val="00135671"/>
    <w:rsid w:val="00135EB7"/>
    <w:rsid w:val="00136899"/>
    <w:rsid w:val="0013709C"/>
    <w:rsid w:val="001405C9"/>
    <w:rsid w:val="001416D0"/>
    <w:rsid w:val="001423E5"/>
    <w:rsid w:val="00143BB6"/>
    <w:rsid w:val="001459E1"/>
    <w:rsid w:val="00146639"/>
    <w:rsid w:val="00146CE3"/>
    <w:rsid w:val="00147515"/>
    <w:rsid w:val="00147A74"/>
    <w:rsid w:val="00151792"/>
    <w:rsid w:val="001519A1"/>
    <w:rsid w:val="00152F4F"/>
    <w:rsid w:val="0015334E"/>
    <w:rsid w:val="00154DF1"/>
    <w:rsid w:val="00154E91"/>
    <w:rsid w:val="00155D06"/>
    <w:rsid w:val="00155EA2"/>
    <w:rsid w:val="00156866"/>
    <w:rsid w:val="0015763C"/>
    <w:rsid w:val="00157CA2"/>
    <w:rsid w:val="00157FEC"/>
    <w:rsid w:val="0016065F"/>
    <w:rsid w:val="00160991"/>
    <w:rsid w:val="00161190"/>
    <w:rsid w:val="00162970"/>
    <w:rsid w:val="001649D5"/>
    <w:rsid w:val="00164BC2"/>
    <w:rsid w:val="001652ED"/>
    <w:rsid w:val="001653A6"/>
    <w:rsid w:val="00166867"/>
    <w:rsid w:val="00166CB7"/>
    <w:rsid w:val="00170398"/>
    <w:rsid w:val="001711F3"/>
    <w:rsid w:val="001715E1"/>
    <w:rsid w:val="001718E8"/>
    <w:rsid w:val="00172FC0"/>
    <w:rsid w:val="001739F1"/>
    <w:rsid w:val="00174E2C"/>
    <w:rsid w:val="00175C98"/>
    <w:rsid w:val="00176EA3"/>
    <w:rsid w:val="00177D17"/>
    <w:rsid w:val="00177DEC"/>
    <w:rsid w:val="0018035F"/>
    <w:rsid w:val="00180C51"/>
    <w:rsid w:val="00181953"/>
    <w:rsid w:val="00181AC8"/>
    <w:rsid w:val="00181CD0"/>
    <w:rsid w:val="00182863"/>
    <w:rsid w:val="00182C11"/>
    <w:rsid w:val="00183FFB"/>
    <w:rsid w:val="00184421"/>
    <w:rsid w:val="0018448E"/>
    <w:rsid w:val="001850B6"/>
    <w:rsid w:val="00185CEF"/>
    <w:rsid w:val="001867BB"/>
    <w:rsid w:val="00186C39"/>
    <w:rsid w:val="00186F4D"/>
    <w:rsid w:val="00187943"/>
    <w:rsid w:val="00190CE2"/>
    <w:rsid w:val="0019129B"/>
    <w:rsid w:val="00191994"/>
    <w:rsid w:val="001921A4"/>
    <w:rsid w:val="00192A73"/>
    <w:rsid w:val="0019354D"/>
    <w:rsid w:val="001949ED"/>
    <w:rsid w:val="00194A0E"/>
    <w:rsid w:val="0019580B"/>
    <w:rsid w:val="001969F1"/>
    <w:rsid w:val="00196E5A"/>
    <w:rsid w:val="00197503"/>
    <w:rsid w:val="001A3120"/>
    <w:rsid w:val="001A3247"/>
    <w:rsid w:val="001A3781"/>
    <w:rsid w:val="001A3E55"/>
    <w:rsid w:val="001A3FEA"/>
    <w:rsid w:val="001A4E20"/>
    <w:rsid w:val="001A7724"/>
    <w:rsid w:val="001A7F10"/>
    <w:rsid w:val="001B107D"/>
    <w:rsid w:val="001B10C5"/>
    <w:rsid w:val="001B1521"/>
    <w:rsid w:val="001B4842"/>
    <w:rsid w:val="001C06C1"/>
    <w:rsid w:val="001C22F3"/>
    <w:rsid w:val="001C2921"/>
    <w:rsid w:val="001C5EB8"/>
    <w:rsid w:val="001C5F51"/>
    <w:rsid w:val="001C643A"/>
    <w:rsid w:val="001C7FBE"/>
    <w:rsid w:val="001D08D2"/>
    <w:rsid w:val="001D14E3"/>
    <w:rsid w:val="001D1B69"/>
    <w:rsid w:val="001D3544"/>
    <w:rsid w:val="001D39AA"/>
    <w:rsid w:val="001D39EC"/>
    <w:rsid w:val="001D3B09"/>
    <w:rsid w:val="001D418D"/>
    <w:rsid w:val="001D426E"/>
    <w:rsid w:val="001D661F"/>
    <w:rsid w:val="001D7B65"/>
    <w:rsid w:val="001E0504"/>
    <w:rsid w:val="001E1C69"/>
    <w:rsid w:val="001E2E32"/>
    <w:rsid w:val="001E33F7"/>
    <w:rsid w:val="001E5E54"/>
    <w:rsid w:val="001E6A60"/>
    <w:rsid w:val="001E6E5A"/>
    <w:rsid w:val="001E6EB2"/>
    <w:rsid w:val="001E7BDF"/>
    <w:rsid w:val="001F08A6"/>
    <w:rsid w:val="001F2BF1"/>
    <w:rsid w:val="001F409F"/>
    <w:rsid w:val="001F429B"/>
    <w:rsid w:val="001F7059"/>
    <w:rsid w:val="0020060B"/>
    <w:rsid w:val="00200E22"/>
    <w:rsid w:val="002014B2"/>
    <w:rsid w:val="00201E7E"/>
    <w:rsid w:val="0020278D"/>
    <w:rsid w:val="00203435"/>
    <w:rsid w:val="00203488"/>
    <w:rsid w:val="00203E3B"/>
    <w:rsid w:val="0020447F"/>
    <w:rsid w:val="00204AB9"/>
    <w:rsid w:val="00204B23"/>
    <w:rsid w:val="00204EA8"/>
    <w:rsid w:val="002050B7"/>
    <w:rsid w:val="00206383"/>
    <w:rsid w:val="0020656C"/>
    <w:rsid w:val="002066CA"/>
    <w:rsid w:val="00207AD7"/>
    <w:rsid w:val="0021066A"/>
    <w:rsid w:val="00210AD3"/>
    <w:rsid w:val="002121C1"/>
    <w:rsid w:val="00212762"/>
    <w:rsid w:val="00212C37"/>
    <w:rsid w:val="00212E03"/>
    <w:rsid w:val="002139BA"/>
    <w:rsid w:val="002139F9"/>
    <w:rsid w:val="00214268"/>
    <w:rsid w:val="00214E0B"/>
    <w:rsid w:val="0021551D"/>
    <w:rsid w:val="00215C5A"/>
    <w:rsid w:val="00215E4D"/>
    <w:rsid w:val="002166BC"/>
    <w:rsid w:val="00216C39"/>
    <w:rsid w:val="00217FA0"/>
    <w:rsid w:val="00221D4D"/>
    <w:rsid w:val="0022252E"/>
    <w:rsid w:val="00225954"/>
    <w:rsid w:val="00225C2E"/>
    <w:rsid w:val="0022714B"/>
    <w:rsid w:val="002272CB"/>
    <w:rsid w:val="00230360"/>
    <w:rsid w:val="00230918"/>
    <w:rsid w:val="00231607"/>
    <w:rsid w:val="002329FB"/>
    <w:rsid w:val="00232DBE"/>
    <w:rsid w:val="00233124"/>
    <w:rsid w:val="00233670"/>
    <w:rsid w:val="0023399B"/>
    <w:rsid w:val="00234079"/>
    <w:rsid w:val="002341CE"/>
    <w:rsid w:val="0023586F"/>
    <w:rsid w:val="0023638D"/>
    <w:rsid w:val="00237E22"/>
    <w:rsid w:val="00240250"/>
    <w:rsid w:val="00241716"/>
    <w:rsid w:val="002423CD"/>
    <w:rsid w:val="0024343B"/>
    <w:rsid w:val="00244754"/>
    <w:rsid w:val="00245AEA"/>
    <w:rsid w:val="0024613F"/>
    <w:rsid w:val="002475F6"/>
    <w:rsid w:val="00247945"/>
    <w:rsid w:val="00247CFD"/>
    <w:rsid w:val="002501DD"/>
    <w:rsid w:val="00250878"/>
    <w:rsid w:val="00251433"/>
    <w:rsid w:val="002542DD"/>
    <w:rsid w:val="00254C89"/>
    <w:rsid w:val="00254E2D"/>
    <w:rsid w:val="00256B1D"/>
    <w:rsid w:val="00256D04"/>
    <w:rsid w:val="002571BF"/>
    <w:rsid w:val="0026025C"/>
    <w:rsid w:val="0026185A"/>
    <w:rsid w:val="00261BB0"/>
    <w:rsid w:val="002625FD"/>
    <w:rsid w:val="00265A9C"/>
    <w:rsid w:val="00265EF9"/>
    <w:rsid w:val="00265FBF"/>
    <w:rsid w:val="00267132"/>
    <w:rsid w:val="0026713B"/>
    <w:rsid w:val="002704A9"/>
    <w:rsid w:val="00271C83"/>
    <w:rsid w:val="002722F0"/>
    <w:rsid w:val="0027245E"/>
    <w:rsid w:val="0027262E"/>
    <w:rsid w:val="00272B66"/>
    <w:rsid w:val="002733A4"/>
    <w:rsid w:val="00274688"/>
    <w:rsid w:val="00274EAD"/>
    <w:rsid w:val="00275801"/>
    <w:rsid w:val="002806C3"/>
    <w:rsid w:val="002808BF"/>
    <w:rsid w:val="002811F8"/>
    <w:rsid w:val="002817A6"/>
    <w:rsid w:val="00281997"/>
    <w:rsid w:val="00281FEC"/>
    <w:rsid w:val="00282055"/>
    <w:rsid w:val="00282861"/>
    <w:rsid w:val="00282F9C"/>
    <w:rsid w:val="00283304"/>
    <w:rsid w:val="0028360E"/>
    <w:rsid w:val="00283B88"/>
    <w:rsid w:val="00285B3F"/>
    <w:rsid w:val="00285D5C"/>
    <w:rsid w:val="002869EF"/>
    <w:rsid w:val="0028733B"/>
    <w:rsid w:val="00287643"/>
    <w:rsid w:val="0029011D"/>
    <w:rsid w:val="0029042C"/>
    <w:rsid w:val="002913E1"/>
    <w:rsid w:val="00292A7F"/>
    <w:rsid w:val="00292B1A"/>
    <w:rsid w:val="00292B7B"/>
    <w:rsid w:val="00293E76"/>
    <w:rsid w:val="00294B21"/>
    <w:rsid w:val="00295853"/>
    <w:rsid w:val="00296CCD"/>
    <w:rsid w:val="00297266"/>
    <w:rsid w:val="002A00E4"/>
    <w:rsid w:val="002A1145"/>
    <w:rsid w:val="002A2808"/>
    <w:rsid w:val="002A2E57"/>
    <w:rsid w:val="002A3728"/>
    <w:rsid w:val="002A3D5D"/>
    <w:rsid w:val="002A410A"/>
    <w:rsid w:val="002A4F27"/>
    <w:rsid w:val="002A64F9"/>
    <w:rsid w:val="002A6552"/>
    <w:rsid w:val="002A7090"/>
    <w:rsid w:val="002B0E82"/>
    <w:rsid w:val="002B1111"/>
    <w:rsid w:val="002B23E8"/>
    <w:rsid w:val="002B25CD"/>
    <w:rsid w:val="002B49C4"/>
    <w:rsid w:val="002B71CD"/>
    <w:rsid w:val="002B72E0"/>
    <w:rsid w:val="002B738C"/>
    <w:rsid w:val="002B76AB"/>
    <w:rsid w:val="002B7C37"/>
    <w:rsid w:val="002C0ED5"/>
    <w:rsid w:val="002C111E"/>
    <w:rsid w:val="002C1507"/>
    <w:rsid w:val="002C1DEC"/>
    <w:rsid w:val="002C361E"/>
    <w:rsid w:val="002C3679"/>
    <w:rsid w:val="002C3CA5"/>
    <w:rsid w:val="002C40A9"/>
    <w:rsid w:val="002C4227"/>
    <w:rsid w:val="002C598D"/>
    <w:rsid w:val="002C5DF2"/>
    <w:rsid w:val="002C6543"/>
    <w:rsid w:val="002C70D5"/>
    <w:rsid w:val="002C71CA"/>
    <w:rsid w:val="002D04EB"/>
    <w:rsid w:val="002D090D"/>
    <w:rsid w:val="002D262A"/>
    <w:rsid w:val="002D3E81"/>
    <w:rsid w:val="002D468C"/>
    <w:rsid w:val="002D519D"/>
    <w:rsid w:val="002D636D"/>
    <w:rsid w:val="002D6763"/>
    <w:rsid w:val="002D68B4"/>
    <w:rsid w:val="002D6D4A"/>
    <w:rsid w:val="002D79FD"/>
    <w:rsid w:val="002D7B94"/>
    <w:rsid w:val="002E05F6"/>
    <w:rsid w:val="002E06F1"/>
    <w:rsid w:val="002E0829"/>
    <w:rsid w:val="002E121D"/>
    <w:rsid w:val="002E1DB2"/>
    <w:rsid w:val="002E226E"/>
    <w:rsid w:val="002E3E35"/>
    <w:rsid w:val="002E5E09"/>
    <w:rsid w:val="002E70D2"/>
    <w:rsid w:val="002E7784"/>
    <w:rsid w:val="002F0A19"/>
    <w:rsid w:val="002F22DD"/>
    <w:rsid w:val="002F297B"/>
    <w:rsid w:val="002F3530"/>
    <w:rsid w:val="002F3A96"/>
    <w:rsid w:val="002F471C"/>
    <w:rsid w:val="002F4A87"/>
    <w:rsid w:val="002F51A4"/>
    <w:rsid w:val="002F536F"/>
    <w:rsid w:val="002F54BB"/>
    <w:rsid w:val="002F60A6"/>
    <w:rsid w:val="002F62BA"/>
    <w:rsid w:val="002F6304"/>
    <w:rsid w:val="002F6E35"/>
    <w:rsid w:val="0030242C"/>
    <w:rsid w:val="00302890"/>
    <w:rsid w:val="00302B80"/>
    <w:rsid w:val="00302E4A"/>
    <w:rsid w:val="003034A9"/>
    <w:rsid w:val="00303B94"/>
    <w:rsid w:val="0030436A"/>
    <w:rsid w:val="00304970"/>
    <w:rsid w:val="00306242"/>
    <w:rsid w:val="003062BC"/>
    <w:rsid w:val="00306C95"/>
    <w:rsid w:val="00306F1E"/>
    <w:rsid w:val="00310AF3"/>
    <w:rsid w:val="00310CBE"/>
    <w:rsid w:val="00311698"/>
    <w:rsid w:val="003123A9"/>
    <w:rsid w:val="0031341B"/>
    <w:rsid w:val="00314369"/>
    <w:rsid w:val="00315366"/>
    <w:rsid w:val="003156CC"/>
    <w:rsid w:val="00315DEC"/>
    <w:rsid w:val="00317299"/>
    <w:rsid w:val="0031740A"/>
    <w:rsid w:val="003176C1"/>
    <w:rsid w:val="00317FDB"/>
    <w:rsid w:val="00321220"/>
    <w:rsid w:val="0032195B"/>
    <w:rsid w:val="003222F3"/>
    <w:rsid w:val="00322444"/>
    <w:rsid w:val="00324CD5"/>
    <w:rsid w:val="003250D8"/>
    <w:rsid w:val="003258AC"/>
    <w:rsid w:val="00325A32"/>
    <w:rsid w:val="00325DAA"/>
    <w:rsid w:val="00325FF2"/>
    <w:rsid w:val="00326958"/>
    <w:rsid w:val="0033012A"/>
    <w:rsid w:val="003308C3"/>
    <w:rsid w:val="00330F06"/>
    <w:rsid w:val="0033120B"/>
    <w:rsid w:val="00331870"/>
    <w:rsid w:val="00331ADC"/>
    <w:rsid w:val="00331D11"/>
    <w:rsid w:val="0033273C"/>
    <w:rsid w:val="00332CA6"/>
    <w:rsid w:val="0033359B"/>
    <w:rsid w:val="00335664"/>
    <w:rsid w:val="00336D47"/>
    <w:rsid w:val="00337258"/>
    <w:rsid w:val="00337785"/>
    <w:rsid w:val="0034001E"/>
    <w:rsid w:val="00340C00"/>
    <w:rsid w:val="00341682"/>
    <w:rsid w:val="00342540"/>
    <w:rsid w:val="003426BF"/>
    <w:rsid w:val="00342994"/>
    <w:rsid w:val="003444C7"/>
    <w:rsid w:val="00344A82"/>
    <w:rsid w:val="00345556"/>
    <w:rsid w:val="00345CF4"/>
    <w:rsid w:val="00345F1D"/>
    <w:rsid w:val="00345F85"/>
    <w:rsid w:val="0034611F"/>
    <w:rsid w:val="00346E5F"/>
    <w:rsid w:val="00347180"/>
    <w:rsid w:val="003472C5"/>
    <w:rsid w:val="00347484"/>
    <w:rsid w:val="00347EDC"/>
    <w:rsid w:val="00350454"/>
    <w:rsid w:val="003506A6"/>
    <w:rsid w:val="0035070F"/>
    <w:rsid w:val="00350834"/>
    <w:rsid w:val="00352020"/>
    <w:rsid w:val="0035211F"/>
    <w:rsid w:val="00352309"/>
    <w:rsid w:val="0035305E"/>
    <w:rsid w:val="00353758"/>
    <w:rsid w:val="0035526C"/>
    <w:rsid w:val="00355848"/>
    <w:rsid w:val="0035584C"/>
    <w:rsid w:val="00355854"/>
    <w:rsid w:val="0035603C"/>
    <w:rsid w:val="00356D12"/>
    <w:rsid w:val="0035745C"/>
    <w:rsid w:val="003578C2"/>
    <w:rsid w:val="00357B5C"/>
    <w:rsid w:val="003600CD"/>
    <w:rsid w:val="003617DA"/>
    <w:rsid w:val="00361FA2"/>
    <w:rsid w:val="00362AAB"/>
    <w:rsid w:val="00363410"/>
    <w:rsid w:val="00363A19"/>
    <w:rsid w:val="00364781"/>
    <w:rsid w:val="003656C4"/>
    <w:rsid w:val="00366F93"/>
    <w:rsid w:val="003677DE"/>
    <w:rsid w:val="00370490"/>
    <w:rsid w:val="00370985"/>
    <w:rsid w:val="00370BC5"/>
    <w:rsid w:val="00370D5B"/>
    <w:rsid w:val="003715A9"/>
    <w:rsid w:val="00372A67"/>
    <w:rsid w:val="00372F9F"/>
    <w:rsid w:val="00373179"/>
    <w:rsid w:val="003731C0"/>
    <w:rsid w:val="003743AD"/>
    <w:rsid w:val="00376B8B"/>
    <w:rsid w:val="00380367"/>
    <w:rsid w:val="00380941"/>
    <w:rsid w:val="00381727"/>
    <w:rsid w:val="00381AB0"/>
    <w:rsid w:val="00382C7B"/>
    <w:rsid w:val="003831DB"/>
    <w:rsid w:val="003838A3"/>
    <w:rsid w:val="00384A00"/>
    <w:rsid w:val="00384E5E"/>
    <w:rsid w:val="003852A1"/>
    <w:rsid w:val="00385492"/>
    <w:rsid w:val="00387C3D"/>
    <w:rsid w:val="00390537"/>
    <w:rsid w:val="00390E35"/>
    <w:rsid w:val="0039188F"/>
    <w:rsid w:val="003920DF"/>
    <w:rsid w:val="003921CA"/>
    <w:rsid w:val="00392614"/>
    <w:rsid w:val="00394544"/>
    <w:rsid w:val="00394950"/>
    <w:rsid w:val="00394DAA"/>
    <w:rsid w:val="003954CC"/>
    <w:rsid w:val="00395D58"/>
    <w:rsid w:val="0039603D"/>
    <w:rsid w:val="003969F2"/>
    <w:rsid w:val="00396FD7"/>
    <w:rsid w:val="00397BED"/>
    <w:rsid w:val="003A0C7A"/>
    <w:rsid w:val="003A125B"/>
    <w:rsid w:val="003A1388"/>
    <w:rsid w:val="003A16DA"/>
    <w:rsid w:val="003A3ADA"/>
    <w:rsid w:val="003A501E"/>
    <w:rsid w:val="003A63C1"/>
    <w:rsid w:val="003A6AEE"/>
    <w:rsid w:val="003A79BC"/>
    <w:rsid w:val="003B0971"/>
    <w:rsid w:val="003B1B06"/>
    <w:rsid w:val="003B1E33"/>
    <w:rsid w:val="003B2655"/>
    <w:rsid w:val="003B298A"/>
    <w:rsid w:val="003B2ADA"/>
    <w:rsid w:val="003B42E9"/>
    <w:rsid w:val="003B71B7"/>
    <w:rsid w:val="003C032E"/>
    <w:rsid w:val="003C052F"/>
    <w:rsid w:val="003C0A1E"/>
    <w:rsid w:val="003C0F4E"/>
    <w:rsid w:val="003C28F0"/>
    <w:rsid w:val="003C2A53"/>
    <w:rsid w:val="003C2A56"/>
    <w:rsid w:val="003C3464"/>
    <w:rsid w:val="003C38EC"/>
    <w:rsid w:val="003C3D79"/>
    <w:rsid w:val="003C3F14"/>
    <w:rsid w:val="003C43DE"/>
    <w:rsid w:val="003C4529"/>
    <w:rsid w:val="003C4C18"/>
    <w:rsid w:val="003C4EAC"/>
    <w:rsid w:val="003C597F"/>
    <w:rsid w:val="003C5A01"/>
    <w:rsid w:val="003C6328"/>
    <w:rsid w:val="003D1BE8"/>
    <w:rsid w:val="003D31F4"/>
    <w:rsid w:val="003D37C2"/>
    <w:rsid w:val="003D4842"/>
    <w:rsid w:val="003D5C7E"/>
    <w:rsid w:val="003D748F"/>
    <w:rsid w:val="003D7997"/>
    <w:rsid w:val="003D7CBF"/>
    <w:rsid w:val="003E1520"/>
    <w:rsid w:val="003E21DB"/>
    <w:rsid w:val="003E2414"/>
    <w:rsid w:val="003E3505"/>
    <w:rsid w:val="003E418E"/>
    <w:rsid w:val="003E4644"/>
    <w:rsid w:val="003E6C61"/>
    <w:rsid w:val="003E6D33"/>
    <w:rsid w:val="003E73C9"/>
    <w:rsid w:val="003E7979"/>
    <w:rsid w:val="003F17E4"/>
    <w:rsid w:val="003F252A"/>
    <w:rsid w:val="003F3A35"/>
    <w:rsid w:val="003F4ADD"/>
    <w:rsid w:val="003F4E29"/>
    <w:rsid w:val="003F4E8E"/>
    <w:rsid w:val="003F4F16"/>
    <w:rsid w:val="003F60E0"/>
    <w:rsid w:val="003F69D1"/>
    <w:rsid w:val="003F7027"/>
    <w:rsid w:val="003F71F8"/>
    <w:rsid w:val="003F7D6D"/>
    <w:rsid w:val="00400699"/>
    <w:rsid w:val="00402232"/>
    <w:rsid w:val="00403024"/>
    <w:rsid w:val="0040467A"/>
    <w:rsid w:val="00404F17"/>
    <w:rsid w:val="004050D9"/>
    <w:rsid w:val="0040522F"/>
    <w:rsid w:val="00405C6F"/>
    <w:rsid w:val="0040643C"/>
    <w:rsid w:val="00406760"/>
    <w:rsid w:val="0041023B"/>
    <w:rsid w:val="0041026A"/>
    <w:rsid w:val="004107DD"/>
    <w:rsid w:val="0041134E"/>
    <w:rsid w:val="00412C4D"/>
    <w:rsid w:val="00413779"/>
    <w:rsid w:val="00414E3E"/>
    <w:rsid w:val="00416C45"/>
    <w:rsid w:val="00421391"/>
    <w:rsid w:val="00421605"/>
    <w:rsid w:val="0042439B"/>
    <w:rsid w:val="00426137"/>
    <w:rsid w:val="0042704C"/>
    <w:rsid w:val="004270AD"/>
    <w:rsid w:val="00427131"/>
    <w:rsid w:val="00430A83"/>
    <w:rsid w:val="00431084"/>
    <w:rsid w:val="0043251A"/>
    <w:rsid w:val="00432D19"/>
    <w:rsid w:val="00433643"/>
    <w:rsid w:val="00433FB5"/>
    <w:rsid w:val="004353FA"/>
    <w:rsid w:val="00435539"/>
    <w:rsid w:val="00436B58"/>
    <w:rsid w:val="00436BEA"/>
    <w:rsid w:val="00437868"/>
    <w:rsid w:val="00437BDF"/>
    <w:rsid w:val="004406E3"/>
    <w:rsid w:val="00441094"/>
    <w:rsid w:val="004423FE"/>
    <w:rsid w:val="0044280C"/>
    <w:rsid w:val="0044335E"/>
    <w:rsid w:val="00444BF3"/>
    <w:rsid w:val="00445C0E"/>
    <w:rsid w:val="00445E39"/>
    <w:rsid w:val="00446718"/>
    <w:rsid w:val="00446C1B"/>
    <w:rsid w:val="00447EF7"/>
    <w:rsid w:val="004515E6"/>
    <w:rsid w:val="004533DB"/>
    <w:rsid w:val="00453E27"/>
    <w:rsid w:val="00455D47"/>
    <w:rsid w:val="00456170"/>
    <w:rsid w:val="004568F3"/>
    <w:rsid w:val="00457218"/>
    <w:rsid w:val="004620FF"/>
    <w:rsid w:val="00462212"/>
    <w:rsid w:val="00464B7F"/>
    <w:rsid w:val="004655C1"/>
    <w:rsid w:val="00465789"/>
    <w:rsid w:val="00465BB8"/>
    <w:rsid w:val="004662C5"/>
    <w:rsid w:val="00466491"/>
    <w:rsid w:val="004664F6"/>
    <w:rsid w:val="004705DC"/>
    <w:rsid w:val="00472371"/>
    <w:rsid w:val="004729D8"/>
    <w:rsid w:val="0047328A"/>
    <w:rsid w:val="00473BE0"/>
    <w:rsid w:val="00476271"/>
    <w:rsid w:val="00476856"/>
    <w:rsid w:val="00476FF2"/>
    <w:rsid w:val="00480779"/>
    <w:rsid w:val="00483E10"/>
    <w:rsid w:val="00484065"/>
    <w:rsid w:val="0048482F"/>
    <w:rsid w:val="00484AAB"/>
    <w:rsid w:val="0048597E"/>
    <w:rsid w:val="00486798"/>
    <w:rsid w:val="004867C2"/>
    <w:rsid w:val="00486E14"/>
    <w:rsid w:val="00487A54"/>
    <w:rsid w:val="00490A93"/>
    <w:rsid w:val="004918F9"/>
    <w:rsid w:val="0049195D"/>
    <w:rsid w:val="00491AB9"/>
    <w:rsid w:val="004934BE"/>
    <w:rsid w:val="0049370B"/>
    <w:rsid w:val="00493C5F"/>
    <w:rsid w:val="00493DF3"/>
    <w:rsid w:val="004958A5"/>
    <w:rsid w:val="00495DE3"/>
    <w:rsid w:val="004964E5"/>
    <w:rsid w:val="00496E1A"/>
    <w:rsid w:val="0049744E"/>
    <w:rsid w:val="004975BF"/>
    <w:rsid w:val="004A0751"/>
    <w:rsid w:val="004A15B1"/>
    <w:rsid w:val="004A1EBC"/>
    <w:rsid w:val="004A2011"/>
    <w:rsid w:val="004A33B7"/>
    <w:rsid w:val="004A40FA"/>
    <w:rsid w:val="004A4935"/>
    <w:rsid w:val="004A4DBD"/>
    <w:rsid w:val="004A5330"/>
    <w:rsid w:val="004A55AC"/>
    <w:rsid w:val="004A57EC"/>
    <w:rsid w:val="004A6188"/>
    <w:rsid w:val="004B17EE"/>
    <w:rsid w:val="004B1C3C"/>
    <w:rsid w:val="004B3937"/>
    <w:rsid w:val="004B4039"/>
    <w:rsid w:val="004B43E2"/>
    <w:rsid w:val="004B47D3"/>
    <w:rsid w:val="004B5912"/>
    <w:rsid w:val="004B6BB5"/>
    <w:rsid w:val="004B6E46"/>
    <w:rsid w:val="004C0715"/>
    <w:rsid w:val="004C09BF"/>
    <w:rsid w:val="004C21CC"/>
    <w:rsid w:val="004C2299"/>
    <w:rsid w:val="004C2A2F"/>
    <w:rsid w:val="004C2A6B"/>
    <w:rsid w:val="004C44EF"/>
    <w:rsid w:val="004C498B"/>
    <w:rsid w:val="004C66C2"/>
    <w:rsid w:val="004C67B1"/>
    <w:rsid w:val="004C77A5"/>
    <w:rsid w:val="004D0395"/>
    <w:rsid w:val="004D04BC"/>
    <w:rsid w:val="004D0F34"/>
    <w:rsid w:val="004D169B"/>
    <w:rsid w:val="004D1AC8"/>
    <w:rsid w:val="004D1DCB"/>
    <w:rsid w:val="004D1EAA"/>
    <w:rsid w:val="004D2C04"/>
    <w:rsid w:val="004D2C35"/>
    <w:rsid w:val="004D3A69"/>
    <w:rsid w:val="004D4440"/>
    <w:rsid w:val="004D5051"/>
    <w:rsid w:val="004D6B97"/>
    <w:rsid w:val="004D7FE3"/>
    <w:rsid w:val="004E049B"/>
    <w:rsid w:val="004E1A17"/>
    <w:rsid w:val="004E1B20"/>
    <w:rsid w:val="004E2769"/>
    <w:rsid w:val="004E2C98"/>
    <w:rsid w:val="004E513B"/>
    <w:rsid w:val="004E529E"/>
    <w:rsid w:val="004E54F8"/>
    <w:rsid w:val="004E65BC"/>
    <w:rsid w:val="004E69F7"/>
    <w:rsid w:val="004E7409"/>
    <w:rsid w:val="004E74D1"/>
    <w:rsid w:val="004E7731"/>
    <w:rsid w:val="004E7A50"/>
    <w:rsid w:val="004E7C04"/>
    <w:rsid w:val="004F034F"/>
    <w:rsid w:val="004F039D"/>
    <w:rsid w:val="004F1AC2"/>
    <w:rsid w:val="004F2BAC"/>
    <w:rsid w:val="004F3692"/>
    <w:rsid w:val="004F36C4"/>
    <w:rsid w:val="004F582E"/>
    <w:rsid w:val="004F6FB1"/>
    <w:rsid w:val="004F7564"/>
    <w:rsid w:val="004F793E"/>
    <w:rsid w:val="00500104"/>
    <w:rsid w:val="0050038C"/>
    <w:rsid w:val="00500A0C"/>
    <w:rsid w:val="00500ACD"/>
    <w:rsid w:val="0050114A"/>
    <w:rsid w:val="00502669"/>
    <w:rsid w:val="0050290D"/>
    <w:rsid w:val="00502ECB"/>
    <w:rsid w:val="0050386F"/>
    <w:rsid w:val="005047BF"/>
    <w:rsid w:val="005054CC"/>
    <w:rsid w:val="00505804"/>
    <w:rsid w:val="00505EA0"/>
    <w:rsid w:val="00506E85"/>
    <w:rsid w:val="00506F79"/>
    <w:rsid w:val="00507BCB"/>
    <w:rsid w:val="00510828"/>
    <w:rsid w:val="00511240"/>
    <w:rsid w:val="00511D22"/>
    <w:rsid w:val="00513051"/>
    <w:rsid w:val="0051490E"/>
    <w:rsid w:val="0051511D"/>
    <w:rsid w:val="00516B78"/>
    <w:rsid w:val="00521D64"/>
    <w:rsid w:val="005228DF"/>
    <w:rsid w:val="00522A60"/>
    <w:rsid w:val="005231A0"/>
    <w:rsid w:val="005239BE"/>
    <w:rsid w:val="00523A24"/>
    <w:rsid w:val="00524A4B"/>
    <w:rsid w:val="00524C68"/>
    <w:rsid w:val="005257EC"/>
    <w:rsid w:val="005264F4"/>
    <w:rsid w:val="00526576"/>
    <w:rsid w:val="00526A91"/>
    <w:rsid w:val="00526B2F"/>
    <w:rsid w:val="00526D08"/>
    <w:rsid w:val="00526E73"/>
    <w:rsid w:val="00527CDC"/>
    <w:rsid w:val="00530886"/>
    <w:rsid w:val="00531BA8"/>
    <w:rsid w:val="0053361E"/>
    <w:rsid w:val="00533EB2"/>
    <w:rsid w:val="005341D8"/>
    <w:rsid w:val="0053481F"/>
    <w:rsid w:val="00535221"/>
    <w:rsid w:val="0053540D"/>
    <w:rsid w:val="005357D1"/>
    <w:rsid w:val="005367FC"/>
    <w:rsid w:val="00536F08"/>
    <w:rsid w:val="005377CA"/>
    <w:rsid w:val="00537E01"/>
    <w:rsid w:val="005400FC"/>
    <w:rsid w:val="00540352"/>
    <w:rsid w:val="005403E8"/>
    <w:rsid w:val="00540E81"/>
    <w:rsid w:val="0054178C"/>
    <w:rsid w:val="00541EDF"/>
    <w:rsid w:val="00542A97"/>
    <w:rsid w:val="00543DA3"/>
    <w:rsid w:val="005471DD"/>
    <w:rsid w:val="005478F8"/>
    <w:rsid w:val="00547D11"/>
    <w:rsid w:val="00550153"/>
    <w:rsid w:val="00550D4F"/>
    <w:rsid w:val="00551D48"/>
    <w:rsid w:val="00552707"/>
    <w:rsid w:val="00552783"/>
    <w:rsid w:val="00552A96"/>
    <w:rsid w:val="00553975"/>
    <w:rsid w:val="005547CA"/>
    <w:rsid w:val="005554FE"/>
    <w:rsid w:val="00555F68"/>
    <w:rsid w:val="00556480"/>
    <w:rsid w:val="005565EC"/>
    <w:rsid w:val="005570CE"/>
    <w:rsid w:val="005575F8"/>
    <w:rsid w:val="005576F8"/>
    <w:rsid w:val="00557740"/>
    <w:rsid w:val="005600C8"/>
    <w:rsid w:val="00560D9D"/>
    <w:rsid w:val="00561604"/>
    <w:rsid w:val="00561F0C"/>
    <w:rsid w:val="005620CE"/>
    <w:rsid w:val="005629F1"/>
    <w:rsid w:val="005647B1"/>
    <w:rsid w:val="0056559A"/>
    <w:rsid w:val="00567678"/>
    <w:rsid w:val="00571FCD"/>
    <w:rsid w:val="005720EB"/>
    <w:rsid w:val="00572DC8"/>
    <w:rsid w:val="00574689"/>
    <w:rsid w:val="00574A16"/>
    <w:rsid w:val="00575B6D"/>
    <w:rsid w:val="00577DE3"/>
    <w:rsid w:val="00580A6C"/>
    <w:rsid w:val="00580F3D"/>
    <w:rsid w:val="00581968"/>
    <w:rsid w:val="00582BCA"/>
    <w:rsid w:val="00582C15"/>
    <w:rsid w:val="005837E2"/>
    <w:rsid w:val="00583A37"/>
    <w:rsid w:val="00585271"/>
    <w:rsid w:val="0058551C"/>
    <w:rsid w:val="00585C0F"/>
    <w:rsid w:val="00585F60"/>
    <w:rsid w:val="005860D2"/>
    <w:rsid w:val="0058633A"/>
    <w:rsid w:val="00586F7E"/>
    <w:rsid w:val="0058778F"/>
    <w:rsid w:val="005903AC"/>
    <w:rsid w:val="00592A74"/>
    <w:rsid w:val="00593034"/>
    <w:rsid w:val="00593BF9"/>
    <w:rsid w:val="005956DC"/>
    <w:rsid w:val="00595A38"/>
    <w:rsid w:val="00596FC0"/>
    <w:rsid w:val="005975FE"/>
    <w:rsid w:val="005A151B"/>
    <w:rsid w:val="005A20D0"/>
    <w:rsid w:val="005A34DD"/>
    <w:rsid w:val="005A36A3"/>
    <w:rsid w:val="005A380B"/>
    <w:rsid w:val="005A3D6A"/>
    <w:rsid w:val="005A6629"/>
    <w:rsid w:val="005A6D42"/>
    <w:rsid w:val="005A7821"/>
    <w:rsid w:val="005A7F69"/>
    <w:rsid w:val="005B1D1F"/>
    <w:rsid w:val="005B3137"/>
    <w:rsid w:val="005B3BFB"/>
    <w:rsid w:val="005B3EE0"/>
    <w:rsid w:val="005B47E9"/>
    <w:rsid w:val="005B575B"/>
    <w:rsid w:val="005B676A"/>
    <w:rsid w:val="005C0915"/>
    <w:rsid w:val="005C091F"/>
    <w:rsid w:val="005C1121"/>
    <w:rsid w:val="005C1896"/>
    <w:rsid w:val="005C21BC"/>
    <w:rsid w:val="005C2DD9"/>
    <w:rsid w:val="005C2E96"/>
    <w:rsid w:val="005C326E"/>
    <w:rsid w:val="005C40D5"/>
    <w:rsid w:val="005C40E0"/>
    <w:rsid w:val="005C4C56"/>
    <w:rsid w:val="005C619B"/>
    <w:rsid w:val="005D0CA3"/>
    <w:rsid w:val="005D0CF6"/>
    <w:rsid w:val="005D1DEB"/>
    <w:rsid w:val="005D43D1"/>
    <w:rsid w:val="005D4DC0"/>
    <w:rsid w:val="005D51C5"/>
    <w:rsid w:val="005D56F0"/>
    <w:rsid w:val="005D5D21"/>
    <w:rsid w:val="005D60BD"/>
    <w:rsid w:val="005D68D8"/>
    <w:rsid w:val="005D6BE7"/>
    <w:rsid w:val="005D71BC"/>
    <w:rsid w:val="005E0760"/>
    <w:rsid w:val="005E0BB0"/>
    <w:rsid w:val="005E1EE6"/>
    <w:rsid w:val="005E1FDA"/>
    <w:rsid w:val="005E20A5"/>
    <w:rsid w:val="005E296A"/>
    <w:rsid w:val="005E2B24"/>
    <w:rsid w:val="005E2CE2"/>
    <w:rsid w:val="005E3828"/>
    <w:rsid w:val="005E3961"/>
    <w:rsid w:val="005E3B50"/>
    <w:rsid w:val="005E3F94"/>
    <w:rsid w:val="005E4527"/>
    <w:rsid w:val="005E454D"/>
    <w:rsid w:val="005E474F"/>
    <w:rsid w:val="005E6124"/>
    <w:rsid w:val="005E6240"/>
    <w:rsid w:val="005F08C0"/>
    <w:rsid w:val="005F16D8"/>
    <w:rsid w:val="005F2746"/>
    <w:rsid w:val="005F28ED"/>
    <w:rsid w:val="005F3182"/>
    <w:rsid w:val="005F44E2"/>
    <w:rsid w:val="005F5DC1"/>
    <w:rsid w:val="005F69E7"/>
    <w:rsid w:val="005F6F8C"/>
    <w:rsid w:val="005F7ADD"/>
    <w:rsid w:val="005F7FEA"/>
    <w:rsid w:val="005F7FFD"/>
    <w:rsid w:val="006050B3"/>
    <w:rsid w:val="00606620"/>
    <w:rsid w:val="006075CC"/>
    <w:rsid w:val="00610A7B"/>
    <w:rsid w:val="00610C34"/>
    <w:rsid w:val="006116F3"/>
    <w:rsid w:val="00612546"/>
    <w:rsid w:val="006127CB"/>
    <w:rsid w:val="00612A5D"/>
    <w:rsid w:val="00615050"/>
    <w:rsid w:val="006150C6"/>
    <w:rsid w:val="00616A5F"/>
    <w:rsid w:val="00616DE6"/>
    <w:rsid w:val="006174CD"/>
    <w:rsid w:val="00617BE7"/>
    <w:rsid w:val="0062141B"/>
    <w:rsid w:val="0062179D"/>
    <w:rsid w:val="00621E80"/>
    <w:rsid w:val="00622372"/>
    <w:rsid w:val="00622B3B"/>
    <w:rsid w:val="00622B75"/>
    <w:rsid w:val="00623E13"/>
    <w:rsid w:val="0062513E"/>
    <w:rsid w:val="0062545D"/>
    <w:rsid w:val="00625E6B"/>
    <w:rsid w:val="00627720"/>
    <w:rsid w:val="00630F4E"/>
    <w:rsid w:val="0063218D"/>
    <w:rsid w:val="00633365"/>
    <w:rsid w:val="00633E77"/>
    <w:rsid w:val="0063575C"/>
    <w:rsid w:val="0063644E"/>
    <w:rsid w:val="00636C27"/>
    <w:rsid w:val="00636D6D"/>
    <w:rsid w:val="006371A1"/>
    <w:rsid w:val="00637B8B"/>
    <w:rsid w:val="006404FF"/>
    <w:rsid w:val="006409C9"/>
    <w:rsid w:val="0064102B"/>
    <w:rsid w:val="006417C0"/>
    <w:rsid w:val="00645033"/>
    <w:rsid w:val="00645287"/>
    <w:rsid w:val="00646C30"/>
    <w:rsid w:val="00651B4D"/>
    <w:rsid w:val="00651B7E"/>
    <w:rsid w:val="00653A47"/>
    <w:rsid w:val="006546CD"/>
    <w:rsid w:val="0065488C"/>
    <w:rsid w:val="00655763"/>
    <w:rsid w:val="006560BB"/>
    <w:rsid w:val="006565C3"/>
    <w:rsid w:val="00656E40"/>
    <w:rsid w:val="00657018"/>
    <w:rsid w:val="0066014E"/>
    <w:rsid w:val="0066062F"/>
    <w:rsid w:val="006612ED"/>
    <w:rsid w:val="0066148A"/>
    <w:rsid w:val="00661C88"/>
    <w:rsid w:val="0066273C"/>
    <w:rsid w:val="006627FE"/>
    <w:rsid w:val="00663FB4"/>
    <w:rsid w:val="00664A49"/>
    <w:rsid w:val="00665E52"/>
    <w:rsid w:val="0067089B"/>
    <w:rsid w:val="00670999"/>
    <w:rsid w:val="00670CE3"/>
    <w:rsid w:val="00670EB8"/>
    <w:rsid w:val="00671099"/>
    <w:rsid w:val="0067358F"/>
    <w:rsid w:val="00673705"/>
    <w:rsid w:val="0067395C"/>
    <w:rsid w:val="00676086"/>
    <w:rsid w:val="00676831"/>
    <w:rsid w:val="00676A56"/>
    <w:rsid w:val="0067717B"/>
    <w:rsid w:val="0068040D"/>
    <w:rsid w:val="006808E1"/>
    <w:rsid w:val="00680EDB"/>
    <w:rsid w:val="0068215C"/>
    <w:rsid w:val="0068230E"/>
    <w:rsid w:val="00682455"/>
    <w:rsid w:val="006825ED"/>
    <w:rsid w:val="00682E19"/>
    <w:rsid w:val="006844A8"/>
    <w:rsid w:val="00687A31"/>
    <w:rsid w:val="00692E2C"/>
    <w:rsid w:val="00694129"/>
    <w:rsid w:val="00695E4E"/>
    <w:rsid w:val="00696B0B"/>
    <w:rsid w:val="006976A3"/>
    <w:rsid w:val="00697987"/>
    <w:rsid w:val="0069799C"/>
    <w:rsid w:val="00697E5B"/>
    <w:rsid w:val="006A0BDF"/>
    <w:rsid w:val="006A1D3F"/>
    <w:rsid w:val="006A2233"/>
    <w:rsid w:val="006A419C"/>
    <w:rsid w:val="006A465C"/>
    <w:rsid w:val="006A4ADA"/>
    <w:rsid w:val="006A4D38"/>
    <w:rsid w:val="006A4FFC"/>
    <w:rsid w:val="006A629F"/>
    <w:rsid w:val="006A6990"/>
    <w:rsid w:val="006A6D7D"/>
    <w:rsid w:val="006A73F8"/>
    <w:rsid w:val="006A7AB3"/>
    <w:rsid w:val="006B0F48"/>
    <w:rsid w:val="006B1180"/>
    <w:rsid w:val="006B119C"/>
    <w:rsid w:val="006B1367"/>
    <w:rsid w:val="006B2425"/>
    <w:rsid w:val="006B2483"/>
    <w:rsid w:val="006B2838"/>
    <w:rsid w:val="006B3A54"/>
    <w:rsid w:val="006B4C3F"/>
    <w:rsid w:val="006B4E3F"/>
    <w:rsid w:val="006B5200"/>
    <w:rsid w:val="006B54EA"/>
    <w:rsid w:val="006B6D4A"/>
    <w:rsid w:val="006B78A9"/>
    <w:rsid w:val="006C03BB"/>
    <w:rsid w:val="006C0769"/>
    <w:rsid w:val="006C1D90"/>
    <w:rsid w:val="006C2620"/>
    <w:rsid w:val="006C2D3C"/>
    <w:rsid w:val="006C31C9"/>
    <w:rsid w:val="006C32AC"/>
    <w:rsid w:val="006C3304"/>
    <w:rsid w:val="006C344F"/>
    <w:rsid w:val="006C3BD7"/>
    <w:rsid w:val="006C3F7F"/>
    <w:rsid w:val="006C4B56"/>
    <w:rsid w:val="006C56A5"/>
    <w:rsid w:val="006C718B"/>
    <w:rsid w:val="006C7956"/>
    <w:rsid w:val="006D03BB"/>
    <w:rsid w:val="006D0540"/>
    <w:rsid w:val="006D21FF"/>
    <w:rsid w:val="006D2635"/>
    <w:rsid w:val="006D2B81"/>
    <w:rsid w:val="006D30E1"/>
    <w:rsid w:val="006D40E5"/>
    <w:rsid w:val="006D583F"/>
    <w:rsid w:val="006D680C"/>
    <w:rsid w:val="006D6E0A"/>
    <w:rsid w:val="006D7B28"/>
    <w:rsid w:val="006E0C8A"/>
    <w:rsid w:val="006E16AF"/>
    <w:rsid w:val="006E18C4"/>
    <w:rsid w:val="006E28DA"/>
    <w:rsid w:val="006E2D64"/>
    <w:rsid w:val="006E3BD4"/>
    <w:rsid w:val="006E413A"/>
    <w:rsid w:val="006E4164"/>
    <w:rsid w:val="006E4B45"/>
    <w:rsid w:val="006E4DEE"/>
    <w:rsid w:val="006E4E0C"/>
    <w:rsid w:val="006E504E"/>
    <w:rsid w:val="006E5B0A"/>
    <w:rsid w:val="006E5CBB"/>
    <w:rsid w:val="006E6BC0"/>
    <w:rsid w:val="006E75FE"/>
    <w:rsid w:val="006E7C6F"/>
    <w:rsid w:val="006F088B"/>
    <w:rsid w:val="006F265F"/>
    <w:rsid w:val="006F3FEB"/>
    <w:rsid w:val="006F4AFC"/>
    <w:rsid w:val="006F50EA"/>
    <w:rsid w:val="006F730C"/>
    <w:rsid w:val="006F73F3"/>
    <w:rsid w:val="006F7753"/>
    <w:rsid w:val="006F7E43"/>
    <w:rsid w:val="00700AB3"/>
    <w:rsid w:val="00700DDD"/>
    <w:rsid w:val="00700E7A"/>
    <w:rsid w:val="00701834"/>
    <w:rsid w:val="00701851"/>
    <w:rsid w:val="00702794"/>
    <w:rsid w:val="00702EB1"/>
    <w:rsid w:val="00702F11"/>
    <w:rsid w:val="007031B1"/>
    <w:rsid w:val="007043FD"/>
    <w:rsid w:val="00705609"/>
    <w:rsid w:val="00706DEE"/>
    <w:rsid w:val="00706FEB"/>
    <w:rsid w:val="00707736"/>
    <w:rsid w:val="00707B4F"/>
    <w:rsid w:val="00707BA6"/>
    <w:rsid w:val="00711B96"/>
    <w:rsid w:val="0071359E"/>
    <w:rsid w:val="00714872"/>
    <w:rsid w:val="007148E8"/>
    <w:rsid w:val="00716DB7"/>
    <w:rsid w:val="00717BC6"/>
    <w:rsid w:val="00720857"/>
    <w:rsid w:val="007212DB"/>
    <w:rsid w:val="007222A0"/>
    <w:rsid w:val="00722F86"/>
    <w:rsid w:val="00726C3A"/>
    <w:rsid w:val="00726EAC"/>
    <w:rsid w:val="0072736F"/>
    <w:rsid w:val="0073116B"/>
    <w:rsid w:val="00731A83"/>
    <w:rsid w:val="00733834"/>
    <w:rsid w:val="0073526A"/>
    <w:rsid w:val="00735339"/>
    <w:rsid w:val="0073605A"/>
    <w:rsid w:val="007372DD"/>
    <w:rsid w:val="00740318"/>
    <w:rsid w:val="00740AD3"/>
    <w:rsid w:val="00740C9D"/>
    <w:rsid w:val="007422CD"/>
    <w:rsid w:val="00743CA5"/>
    <w:rsid w:val="0074433F"/>
    <w:rsid w:val="007447DA"/>
    <w:rsid w:val="00744A1C"/>
    <w:rsid w:val="00746378"/>
    <w:rsid w:val="007469FA"/>
    <w:rsid w:val="00746F27"/>
    <w:rsid w:val="0075037D"/>
    <w:rsid w:val="0075419B"/>
    <w:rsid w:val="0075488B"/>
    <w:rsid w:val="00755D60"/>
    <w:rsid w:val="00756044"/>
    <w:rsid w:val="007569DC"/>
    <w:rsid w:val="00756C4A"/>
    <w:rsid w:val="00756E06"/>
    <w:rsid w:val="00756F9D"/>
    <w:rsid w:val="00757FD8"/>
    <w:rsid w:val="0076028C"/>
    <w:rsid w:val="007614D4"/>
    <w:rsid w:val="00761C9D"/>
    <w:rsid w:val="00761D60"/>
    <w:rsid w:val="00761DA6"/>
    <w:rsid w:val="0076202D"/>
    <w:rsid w:val="00762CBA"/>
    <w:rsid w:val="00763C22"/>
    <w:rsid w:val="007643CE"/>
    <w:rsid w:val="00764A19"/>
    <w:rsid w:val="00767128"/>
    <w:rsid w:val="007700B1"/>
    <w:rsid w:val="00770B44"/>
    <w:rsid w:val="00772FA4"/>
    <w:rsid w:val="00772FD0"/>
    <w:rsid w:val="0077323D"/>
    <w:rsid w:val="00775247"/>
    <w:rsid w:val="00775966"/>
    <w:rsid w:val="00780B38"/>
    <w:rsid w:val="007815D9"/>
    <w:rsid w:val="00781AF6"/>
    <w:rsid w:val="00781F52"/>
    <w:rsid w:val="00782032"/>
    <w:rsid w:val="007825D9"/>
    <w:rsid w:val="00783E48"/>
    <w:rsid w:val="00783FB6"/>
    <w:rsid w:val="00785DDF"/>
    <w:rsid w:val="00786A1B"/>
    <w:rsid w:val="00787CE7"/>
    <w:rsid w:val="007901C6"/>
    <w:rsid w:val="00792E8F"/>
    <w:rsid w:val="0079436C"/>
    <w:rsid w:val="007943B4"/>
    <w:rsid w:val="00794E58"/>
    <w:rsid w:val="007953A5"/>
    <w:rsid w:val="00795605"/>
    <w:rsid w:val="00796184"/>
    <w:rsid w:val="0079618D"/>
    <w:rsid w:val="007963EB"/>
    <w:rsid w:val="00797313"/>
    <w:rsid w:val="007A01EB"/>
    <w:rsid w:val="007A1493"/>
    <w:rsid w:val="007A1CE4"/>
    <w:rsid w:val="007A23EF"/>
    <w:rsid w:val="007A2446"/>
    <w:rsid w:val="007A2D95"/>
    <w:rsid w:val="007A2E39"/>
    <w:rsid w:val="007A2EDF"/>
    <w:rsid w:val="007A3105"/>
    <w:rsid w:val="007A4251"/>
    <w:rsid w:val="007A4790"/>
    <w:rsid w:val="007A4FD7"/>
    <w:rsid w:val="007A5399"/>
    <w:rsid w:val="007A608F"/>
    <w:rsid w:val="007B0341"/>
    <w:rsid w:val="007B0C6E"/>
    <w:rsid w:val="007B1192"/>
    <w:rsid w:val="007B1305"/>
    <w:rsid w:val="007B1CDA"/>
    <w:rsid w:val="007B1E87"/>
    <w:rsid w:val="007B58DB"/>
    <w:rsid w:val="007B7D1D"/>
    <w:rsid w:val="007C0B43"/>
    <w:rsid w:val="007C0F48"/>
    <w:rsid w:val="007C2507"/>
    <w:rsid w:val="007C3039"/>
    <w:rsid w:val="007C47DF"/>
    <w:rsid w:val="007C595C"/>
    <w:rsid w:val="007C5B31"/>
    <w:rsid w:val="007C63A1"/>
    <w:rsid w:val="007C6B92"/>
    <w:rsid w:val="007C6C0D"/>
    <w:rsid w:val="007C6E2E"/>
    <w:rsid w:val="007C7035"/>
    <w:rsid w:val="007C7719"/>
    <w:rsid w:val="007D102C"/>
    <w:rsid w:val="007D1138"/>
    <w:rsid w:val="007D1C17"/>
    <w:rsid w:val="007D2AD5"/>
    <w:rsid w:val="007D2F0E"/>
    <w:rsid w:val="007D32E8"/>
    <w:rsid w:val="007D3E3A"/>
    <w:rsid w:val="007D4D08"/>
    <w:rsid w:val="007D5F33"/>
    <w:rsid w:val="007D64B3"/>
    <w:rsid w:val="007D666F"/>
    <w:rsid w:val="007D6AE7"/>
    <w:rsid w:val="007D6CFB"/>
    <w:rsid w:val="007E0A4D"/>
    <w:rsid w:val="007E0C31"/>
    <w:rsid w:val="007E0F31"/>
    <w:rsid w:val="007E1607"/>
    <w:rsid w:val="007E1B6C"/>
    <w:rsid w:val="007E3EAE"/>
    <w:rsid w:val="007E400E"/>
    <w:rsid w:val="007E4C91"/>
    <w:rsid w:val="007E5489"/>
    <w:rsid w:val="007E54A4"/>
    <w:rsid w:val="007E574B"/>
    <w:rsid w:val="007E5750"/>
    <w:rsid w:val="007E6923"/>
    <w:rsid w:val="007E7117"/>
    <w:rsid w:val="007E7703"/>
    <w:rsid w:val="007F23C8"/>
    <w:rsid w:val="007F2C20"/>
    <w:rsid w:val="007F3B7A"/>
    <w:rsid w:val="007F4F0C"/>
    <w:rsid w:val="007F6B16"/>
    <w:rsid w:val="007F71A9"/>
    <w:rsid w:val="007F79A3"/>
    <w:rsid w:val="007F7D37"/>
    <w:rsid w:val="008009D9"/>
    <w:rsid w:val="00800C02"/>
    <w:rsid w:val="0080264C"/>
    <w:rsid w:val="008037C1"/>
    <w:rsid w:val="00805941"/>
    <w:rsid w:val="008059AC"/>
    <w:rsid w:val="00806324"/>
    <w:rsid w:val="008065F4"/>
    <w:rsid w:val="008076F9"/>
    <w:rsid w:val="0081092C"/>
    <w:rsid w:val="008111C4"/>
    <w:rsid w:val="00811638"/>
    <w:rsid w:val="00811D26"/>
    <w:rsid w:val="008130BD"/>
    <w:rsid w:val="00813152"/>
    <w:rsid w:val="00813700"/>
    <w:rsid w:val="00813737"/>
    <w:rsid w:val="00813E7C"/>
    <w:rsid w:val="00814043"/>
    <w:rsid w:val="00814AE7"/>
    <w:rsid w:val="00815012"/>
    <w:rsid w:val="008150E8"/>
    <w:rsid w:val="00815382"/>
    <w:rsid w:val="00815EE5"/>
    <w:rsid w:val="00815FF9"/>
    <w:rsid w:val="008174C9"/>
    <w:rsid w:val="0081771F"/>
    <w:rsid w:val="00821341"/>
    <w:rsid w:val="00823D63"/>
    <w:rsid w:val="00826E0C"/>
    <w:rsid w:val="00830296"/>
    <w:rsid w:val="00830819"/>
    <w:rsid w:val="00831372"/>
    <w:rsid w:val="00832038"/>
    <w:rsid w:val="008321D0"/>
    <w:rsid w:val="00832679"/>
    <w:rsid w:val="00833546"/>
    <w:rsid w:val="0083360F"/>
    <w:rsid w:val="00833920"/>
    <w:rsid w:val="00833B51"/>
    <w:rsid w:val="00834331"/>
    <w:rsid w:val="008360D1"/>
    <w:rsid w:val="0083615E"/>
    <w:rsid w:val="00836166"/>
    <w:rsid w:val="008369EF"/>
    <w:rsid w:val="00836B9D"/>
    <w:rsid w:val="008374FF"/>
    <w:rsid w:val="0083763E"/>
    <w:rsid w:val="008403EE"/>
    <w:rsid w:val="008405D8"/>
    <w:rsid w:val="00840658"/>
    <w:rsid w:val="00840EF7"/>
    <w:rsid w:val="00841251"/>
    <w:rsid w:val="00841518"/>
    <w:rsid w:val="00841793"/>
    <w:rsid w:val="00841829"/>
    <w:rsid w:val="00841A26"/>
    <w:rsid w:val="00841AAA"/>
    <w:rsid w:val="00841E34"/>
    <w:rsid w:val="00841F86"/>
    <w:rsid w:val="0084339A"/>
    <w:rsid w:val="008453D2"/>
    <w:rsid w:val="00845E3B"/>
    <w:rsid w:val="0085028F"/>
    <w:rsid w:val="00850425"/>
    <w:rsid w:val="0085068A"/>
    <w:rsid w:val="00850CD8"/>
    <w:rsid w:val="00850EB4"/>
    <w:rsid w:val="00850F24"/>
    <w:rsid w:val="00852D7A"/>
    <w:rsid w:val="00853382"/>
    <w:rsid w:val="00853683"/>
    <w:rsid w:val="00853CD7"/>
    <w:rsid w:val="008540D9"/>
    <w:rsid w:val="00854CC7"/>
    <w:rsid w:val="00854FD1"/>
    <w:rsid w:val="00857027"/>
    <w:rsid w:val="00860C6F"/>
    <w:rsid w:val="00865AD4"/>
    <w:rsid w:val="00865E7D"/>
    <w:rsid w:val="00866213"/>
    <w:rsid w:val="00872621"/>
    <w:rsid w:val="00872A9C"/>
    <w:rsid w:val="00872EF2"/>
    <w:rsid w:val="008739C8"/>
    <w:rsid w:val="00873A64"/>
    <w:rsid w:val="008746F0"/>
    <w:rsid w:val="00875346"/>
    <w:rsid w:val="008763B1"/>
    <w:rsid w:val="00877634"/>
    <w:rsid w:val="00877B02"/>
    <w:rsid w:val="00877D39"/>
    <w:rsid w:val="008813AB"/>
    <w:rsid w:val="0088174A"/>
    <w:rsid w:val="0088299D"/>
    <w:rsid w:val="00882E5C"/>
    <w:rsid w:val="0088336C"/>
    <w:rsid w:val="00883C4B"/>
    <w:rsid w:val="00884ADA"/>
    <w:rsid w:val="00885C02"/>
    <w:rsid w:val="008874B7"/>
    <w:rsid w:val="00890627"/>
    <w:rsid w:val="00890B78"/>
    <w:rsid w:val="00891A9E"/>
    <w:rsid w:val="00891D7A"/>
    <w:rsid w:val="00892FFC"/>
    <w:rsid w:val="008949FE"/>
    <w:rsid w:val="008950C3"/>
    <w:rsid w:val="0089611E"/>
    <w:rsid w:val="008965D1"/>
    <w:rsid w:val="00896E31"/>
    <w:rsid w:val="00896F38"/>
    <w:rsid w:val="00897391"/>
    <w:rsid w:val="008976CB"/>
    <w:rsid w:val="008A0552"/>
    <w:rsid w:val="008A0ECF"/>
    <w:rsid w:val="008A1353"/>
    <w:rsid w:val="008A180A"/>
    <w:rsid w:val="008A1D31"/>
    <w:rsid w:val="008A2D5D"/>
    <w:rsid w:val="008A3EF1"/>
    <w:rsid w:val="008A4C98"/>
    <w:rsid w:val="008A705A"/>
    <w:rsid w:val="008A7CEF"/>
    <w:rsid w:val="008B07B5"/>
    <w:rsid w:val="008B09D6"/>
    <w:rsid w:val="008B0EC9"/>
    <w:rsid w:val="008B23DD"/>
    <w:rsid w:val="008B2B4C"/>
    <w:rsid w:val="008B2BAC"/>
    <w:rsid w:val="008B30CE"/>
    <w:rsid w:val="008B3520"/>
    <w:rsid w:val="008B4482"/>
    <w:rsid w:val="008B4E7B"/>
    <w:rsid w:val="008B5ADA"/>
    <w:rsid w:val="008C0044"/>
    <w:rsid w:val="008C0520"/>
    <w:rsid w:val="008C0DD3"/>
    <w:rsid w:val="008C16FA"/>
    <w:rsid w:val="008C18F8"/>
    <w:rsid w:val="008C1B35"/>
    <w:rsid w:val="008C227A"/>
    <w:rsid w:val="008C26A2"/>
    <w:rsid w:val="008C2F3F"/>
    <w:rsid w:val="008C39E1"/>
    <w:rsid w:val="008C42DA"/>
    <w:rsid w:val="008C48EA"/>
    <w:rsid w:val="008C5268"/>
    <w:rsid w:val="008C5D23"/>
    <w:rsid w:val="008C792F"/>
    <w:rsid w:val="008D19C5"/>
    <w:rsid w:val="008D1F85"/>
    <w:rsid w:val="008D2CFB"/>
    <w:rsid w:val="008D332A"/>
    <w:rsid w:val="008D374E"/>
    <w:rsid w:val="008D44A3"/>
    <w:rsid w:val="008D4B48"/>
    <w:rsid w:val="008D574D"/>
    <w:rsid w:val="008D61B4"/>
    <w:rsid w:val="008D65E1"/>
    <w:rsid w:val="008D680C"/>
    <w:rsid w:val="008D6854"/>
    <w:rsid w:val="008D68B9"/>
    <w:rsid w:val="008D6AB9"/>
    <w:rsid w:val="008D7247"/>
    <w:rsid w:val="008E00E9"/>
    <w:rsid w:val="008E0151"/>
    <w:rsid w:val="008E0475"/>
    <w:rsid w:val="008E2336"/>
    <w:rsid w:val="008E25AA"/>
    <w:rsid w:val="008E390E"/>
    <w:rsid w:val="008E45FD"/>
    <w:rsid w:val="008E48C6"/>
    <w:rsid w:val="008E4EA7"/>
    <w:rsid w:val="008E5C06"/>
    <w:rsid w:val="008E608E"/>
    <w:rsid w:val="008E6391"/>
    <w:rsid w:val="008E6544"/>
    <w:rsid w:val="008E725C"/>
    <w:rsid w:val="008E7562"/>
    <w:rsid w:val="008F0E5D"/>
    <w:rsid w:val="008F2984"/>
    <w:rsid w:val="008F29CC"/>
    <w:rsid w:val="008F42A0"/>
    <w:rsid w:val="008F4559"/>
    <w:rsid w:val="008F5E1B"/>
    <w:rsid w:val="008F5F47"/>
    <w:rsid w:val="008F751D"/>
    <w:rsid w:val="008F7DA8"/>
    <w:rsid w:val="00900BD2"/>
    <w:rsid w:val="00900C09"/>
    <w:rsid w:val="00900ECE"/>
    <w:rsid w:val="00901CA4"/>
    <w:rsid w:val="00902F42"/>
    <w:rsid w:val="00902FF8"/>
    <w:rsid w:val="009032C3"/>
    <w:rsid w:val="00903C0A"/>
    <w:rsid w:val="009059B9"/>
    <w:rsid w:val="00906A11"/>
    <w:rsid w:val="00907EDA"/>
    <w:rsid w:val="00910973"/>
    <w:rsid w:val="00910B00"/>
    <w:rsid w:val="00910B09"/>
    <w:rsid w:val="00910D24"/>
    <w:rsid w:val="00911490"/>
    <w:rsid w:val="00911578"/>
    <w:rsid w:val="009116CB"/>
    <w:rsid w:val="00912357"/>
    <w:rsid w:val="0091313F"/>
    <w:rsid w:val="00913168"/>
    <w:rsid w:val="00914549"/>
    <w:rsid w:val="009147A0"/>
    <w:rsid w:val="009148A4"/>
    <w:rsid w:val="009157C5"/>
    <w:rsid w:val="009160C9"/>
    <w:rsid w:val="00916365"/>
    <w:rsid w:val="0091711A"/>
    <w:rsid w:val="009172B5"/>
    <w:rsid w:val="009179BA"/>
    <w:rsid w:val="00917F77"/>
    <w:rsid w:val="00921590"/>
    <w:rsid w:val="00922763"/>
    <w:rsid w:val="0092292E"/>
    <w:rsid w:val="009234BD"/>
    <w:rsid w:val="00924AF3"/>
    <w:rsid w:val="009250ED"/>
    <w:rsid w:val="009254E9"/>
    <w:rsid w:val="009259C2"/>
    <w:rsid w:val="0092674F"/>
    <w:rsid w:val="00927400"/>
    <w:rsid w:val="009306A9"/>
    <w:rsid w:val="00930899"/>
    <w:rsid w:val="00931483"/>
    <w:rsid w:val="009315B2"/>
    <w:rsid w:val="0093204A"/>
    <w:rsid w:val="00932372"/>
    <w:rsid w:val="00932C3F"/>
    <w:rsid w:val="00932E4E"/>
    <w:rsid w:val="00933358"/>
    <w:rsid w:val="009351C5"/>
    <w:rsid w:val="00935598"/>
    <w:rsid w:val="009360FB"/>
    <w:rsid w:val="00936C05"/>
    <w:rsid w:val="00937A38"/>
    <w:rsid w:val="00937D1E"/>
    <w:rsid w:val="00940BA2"/>
    <w:rsid w:val="00941407"/>
    <w:rsid w:val="0094155C"/>
    <w:rsid w:val="0094463C"/>
    <w:rsid w:val="00944643"/>
    <w:rsid w:val="00944C5E"/>
    <w:rsid w:val="009505D5"/>
    <w:rsid w:val="00951523"/>
    <w:rsid w:val="00951820"/>
    <w:rsid w:val="009522C0"/>
    <w:rsid w:val="009528C1"/>
    <w:rsid w:val="0095369C"/>
    <w:rsid w:val="00953E9F"/>
    <w:rsid w:val="00954477"/>
    <w:rsid w:val="00954F0A"/>
    <w:rsid w:val="00954FC1"/>
    <w:rsid w:val="009555B9"/>
    <w:rsid w:val="00955DD6"/>
    <w:rsid w:val="0095642D"/>
    <w:rsid w:val="00957A7A"/>
    <w:rsid w:val="009602C7"/>
    <w:rsid w:val="0096196C"/>
    <w:rsid w:val="00962492"/>
    <w:rsid w:val="009625E7"/>
    <w:rsid w:val="00963DB1"/>
    <w:rsid w:val="00964824"/>
    <w:rsid w:val="00964B48"/>
    <w:rsid w:val="00965009"/>
    <w:rsid w:val="0096522C"/>
    <w:rsid w:val="00965A22"/>
    <w:rsid w:val="00966A30"/>
    <w:rsid w:val="009674E5"/>
    <w:rsid w:val="00970390"/>
    <w:rsid w:val="00970A65"/>
    <w:rsid w:val="00971D46"/>
    <w:rsid w:val="00972684"/>
    <w:rsid w:val="00972C11"/>
    <w:rsid w:val="0097665D"/>
    <w:rsid w:val="009766F4"/>
    <w:rsid w:val="00976BF5"/>
    <w:rsid w:val="009772C8"/>
    <w:rsid w:val="009777AC"/>
    <w:rsid w:val="00980007"/>
    <w:rsid w:val="0098031D"/>
    <w:rsid w:val="00980A5F"/>
    <w:rsid w:val="00980D00"/>
    <w:rsid w:val="00981574"/>
    <w:rsid w:val="00981615"/>
    <w:rsid w:val="00981FE2"/>
    <w:rsid w:val="00982052"/>
    <w:rsid w:val="00982410"/>
    <w:rsid w:val="00983BED"/>
    <w:rsid w:val="00983C14"/>
    <w:rsid w:val="00983C4C"/>
    <w:rsid w:val="009840A0"/>
    <w:rsid w:val="009855BD"/>
    <w:rsid w:val="00985B14"/>
    <w:rsid w:val="0098645C"/>
    <w:rsid w:val="00990F56"/>
    <w:rsid w:val="0099391C"/>
    <w:rsid w:val="00993ED5"/>
    <w:rsid w:val="009941DE"/>
    <w:rsid w:val="00994B10"/>
    <w:rsid w:val="00995358"/>
    <w:rsid w:val="00995D54"/>
    <w:rsid w:val="009979C8"/>
    <w:rsid w:val="009A0FA4"/>
    <w:rsid w:val="009A2846"/>
    <w:rsid w:val="009A29B9"/>
    <w:rsid w:val="009A2FD9"/>
    <w:rsid w:val="009A3B44"/>
    <w:rsid w:val="009A3F78"/>
    <w:rsid w:val="009A5344"/>
    <w:rsid w:val="009A590E"/>
    <w:rsid w:val="009A5B76"/>
    <w:rsid w:val="009B0C08"/>
    <w:rsid w:val="009B0CCA"/>
    <w:rsid w:val="009B11C3"/>
    <w:rsid w:val="009B173D"/>
    <w:rsid w:val="009B1A44"/>
    <w:rsid w:val="009B2C6A"/>
    <w:rsid w:val="009B3A22"/>
    <w:rsid w:val="009B44CC"/>
    <w:rsid w:val="009B4D37"/>
    <w:rsid w:val="009B54B3"/>
    <w:rsid w:val="009B56AD"/>
    <w:rsid w:val="009B5A3E"/>
    <w:rsid w:val="009B6721"/>
    <w:rsid w:val="009B69E2"/>
    <w:rsid w:val="009B6CDF"/>
    <w:rsid w:val="009B6D8C"/>
    <w:rsid w:val="009B6E36"/>
    <w:rsid w:val="009B76DA"/>
    <w:rsid w:val="009B77D2"/>
    <w:rsid w:val="009C0118"/>
    <w:rsid w:val="009C13E5"/>
    <w:rsid w:val="009C17F5"/>
    <w:rsid w:val="009C1C4A"/>
    <w:rsid w:val="009C2DD9"/>
    <w:rsid w:val="009C4062"/>
    <w:rsid w:val="009C40AE"/>
    <w:rsid w:val="009C46AA"/>
    <w:rsid w:val="009C591B"/>
    <w:rsid w:val="009C73FF"/>
    <w:rsid w:val="009D523A"/>
    <w:rsid w:val="009D58E7"/>
    <w:rsid w:val="009D5A6A"/>
    <w:rsid w:val="009D5B1E"/>
    <w:rsid w:val="009E047A"/>
    <w:rsid w:val="009E2852"/>
    <w:rsid w:val="009E33B5"/>
    <w:rsid w:val="009E39EC"/>
    <w:rsid w:val="009E485F"/>
    <w:rsid w:val="009E56F3"/>
    <w:rsid w:val="009E69BF"/>
    <w:rsid w:val="009E6C29"/>
    <w:rsid w:val="009E715C"/>
    <w:rsid w:val="009E756D"/>
    <w:rsid w:val="009E7B5A"/>
    <w:rsid w:val="009E7C89"/>
    <w:rsid w:val="009F11EC"/>
    <w:rsid w:val="009F33C2"/>
    <w:rsid w:val="009F4014"/>
    <w:rsid w:val="009F45A2"/>
    <w:rsid w:val="009F46AE"/>
    <w:rsid w:val="009F5484"/>
    <w:rsid w:val="009F5AE0"/>
    <w:rsid w:val="009F5B7A"/>
    <w:rsid w:val="009F63CC"/>
    <w:rsid w:val="009F67CD"/>
    <w:rsid w:val="009F6C83"/>
    <w:rsid w:val="009F7C94"/>
    <w:rsid w:val="00A00A10"/>
    <w:rsid w:val="00A01047"/>
    <w:rsid w:val="00A02F46"/>
    <w:rsid w:val="00A03330"/>
    <w:rsid w:val="00A034EC"/>
    <w:rsid w:val="00A0475A"/>
    <w:rsid w:val="00A049BD"/>
    <w:rsid w:val="00A05E0C"/>
    <w:rsid w:val="00A064A6"/>
    <w:rsid w:val="00A0685E"/>
    <w:rsid w:val="00A0772F"/>
    <w:rsid w:val="00A1093F"/>
    <w:rsid w:val="00A10FB6"/>
    <w:rsid w:val="00A10FB7"/>
    <w:rsid w:val="00A11916"/>
    <w:rsid w:val="00A123D0"/>
    <w:rsid w:val="00A1484A"/>
    <w:rsid w:val="00A15BF5"/>
    <w:rsid w:val="00A160D8"/>
    <w:rsid w:val="00A1629E"/>
    <w:rsid w:val="00A17E6D"/>
    <w:rsid w:val="00A2132E"/>
    <w:rsid w:val="00A21722"/>
    <w:rsid w:val="00A219A4"/>
    <w:rsid w:val="00A22FCD"/>
    <w:rsid w:val="00A23043"/>
    <w:rsid w:val="00A24716"/>
    <w:rsid w:val="00A247E3"/>
    <w:rsid w:val="00A25844"/>
    <w:rsid w:val="00A26E0C"/>
    <w:rsid w:val="00A270F8"/>
    <w:rsid w:val="00A27BE0"/>
    <w:rsid w:val="00A27F97"/>
    <w:rsid w:val="00A301F0"/>
    <w:rsid w:val="00A30C7E"/>
    <w:rsid w:val="00A311C2"/>
    <w:rsid w:val="00A31239"/>
    <w:rsid w:val="00A31260"/>
    <w:rsid w:val="00A33711"/>
    <w:rsid w:val="00A343A5"/>
    <w:rsid w:val="00A345C8"/>
    <w:rsid w:val="00A35633"/>
    <w:rsid w:val="00A35A34"/>
    <w:rsid w:val="00A35DBF"/>
    <w:rsid w:val="00A3715B"/>
    <w:rsid w:val="00A371DC"/>
    <w:rsid w:val="00A3782D"/>
    <w:rsid w:val="00A408DA"/>
    <w:rsid w:val="00A40FBE"/>
    <w:rsid w:val="00A44304"/>
    <w:rsid w:val="00A44F48"/>
    <w:rsid w:val="00A45298"/>
    <w:rsid w:val="00A45379"/>
    <w:rsid w:val="00A469D3"/>
    <w:rsid w:val="00A47178"/>
    <w:rsid w:val="00A471BD"/>
    <w:rsid w:val="00A47791"/>
    <w:rsid w:val="00A47DC0"/>
    <w:rsid w:val="00A504A6"/>
    <w:rsid w:val="00A5058F"/>
    <w:rsid w:val="00A51214"/>
    <w:rsid w:val="00A5479B"/>
    <w:rsid w:val="00A54A07"/>
    <w:rsid w:val="00A54E90"/>
    <w:rsid w:val="00A55199"/>
    <w:rsid w:val="00A55E31"/>
    <w:rsid w:val="00A560B4"/>
    <w:rsid w:val="00A56388"/>
    <w:rsid w:val="00A56EDD"/>
    <w:rsid w:val="00A573E9"/>
    <w:rsid w:val="00A57C58"/>
    <w:rsid w:val="00A60379"/>
    <w:rsid w:val="00A606CF"/>
    <w:rsid w:val="00A608FA"/>
    <w:rsid w:val="00A61CC8"/>
    <w:rsid w:val="00A62B17"/>
    <w:rsid w:val="00A63CB9"/>
    <w:rsid w:val="00A64381"/>
    <w:rsid w:val="00A64727"/>
    <w:rsid w:val="00A64F98"/>
    <w:rsid w:val="00A65145"/>
    <w:rsid w:val="00A66515"/>
    <w:rsid w:val="00A66A4E"/>
    <w:rsid w:val="00A6757B"/>
    <w:rsid w:val="00A70D6E"/>
    <w:rsid w:val="00A70EF5"/>
    <w:rsid w:val="00A72583"/>
    <w:rsid w:val="00A72ED1"/>
    <w:rsid w:val="00A730EF"/>
    <w:rsid w:val="00A739FF"/>
    <w:rsid w:val="00A7440E"/>
    <w:rsid w:val="00A74498"/>
    <w:rsid w:val="00A74AFC"/>
    <w:rsid w:val="00A75C23"/>
    <w:rsid w:val="00A76C2C"/>
    <w:rsid w:val="00A80306"/>
    <w:rsid w:val="00A808DD"/>
    <w:rsid w:val="00A80AD8"/>
    <w:rsid w:val="00A817C2"/>
    <w:rsid w:val="00A817F0"/>
    <w:rsid w:val="00A81E86"/>
    <w:rsid w:val="00A81EC9"/>
    <w:rsid w:val="00A8223F"/>
    <w:rsid w:val="00A82882"/>
    <w:rsid w:val="00A8295A"/>
    <w:rsid w:val="00A83AE4"/>
    <w:rsid w:val="00A85731"/>
    <w:rsid w:val="00A8612A"/>
    <w:rsid w:val="00A8684E"/>
    <w:rsid w:val="00A87CB2"/>
    <w:rsid w:val="00A900BC"/>
    <w:rsid w:val="00A90254"/>
    <w:rsid w:val="00A90879"/>
    <w:rsid w:val="00A90D6A"/>
    <w:rsid w:val="00A92089"/>
    <w:rsid w:val="00A9296A"/>
    <w:rsid w:val="00A93045"/>
    <w:rsid w:val="00A93D81"/>
    <w:rsid w:val="00A945D9"/>
    <w:rsid w:val="00A95FD9"/>
    <w:rsid w:val="00A960CD"/>
    <w:rsid w:val="00A9624C"/>
    <w:rsid w:val="00A96528"/>
    <w:rsid w:val="00A96CD2"/>
    <w:rsid w:val="00A96D18"/>
    <w:rsid w:val="00A96E47"/>
    <w:rsid w:val="00AA0236"/>
    <w:rsid w:val="00AA0C8F"/>
    <w:rsid w:val="00AA0E4B"/>
    <w:rsid w:val="00AA1231"/>
    <w:rsid w:val="00AA174B"/>
    <w:rsid w:val="00AA4273"/>
    <w:rsid w:val="00AA75FF"/>
    <w:rsid w:val="00AA795E"/>
    <w:rsid w:val="00AB1364"/>
    <w:rsid w:val="00AB18B5"/>
    <w:rsid w:val="00AB1CD0"/>
    <w:rsid w:val="00AB3594"/>
    <w:rsid w:val="00AB37F9"/>
    <w:rsid w:val="00AB496C"/>
    <w:rsid w:val="00AB4BA5"/>
    <w:rsid w:val="00AB57EE"/>
    <w:rsid w:val="00AB5CD8"/>
    <w:rsid w:val="00AB6339"/>
    <w:rsid w:val="00AB7464"/>
    <w:rsid w:val="00AB7AB9"/>
    <w:rsid w:val="00AB7DAD"/>
    <w:rsid w:val="00AC1448"/>
    <w:rsid w:val="00AC1CF5"/>
    <w:rsid w:val="00AC27CD"/>
    <w:rsid w:val="00AC3AEB"/>
    <w:rsid w:val="00AC5EBC"/>
    <w:rsid w:val="00AC603E"/>
    <w:rsid w:val="00AD1EC6"/>
    <w:rsid w:val="00AD2206"/>
    <w:rsid w:val="00AD24F3"/>
    <w:rsid w:val="00AD27B8"/>
    <w:rsid w:val="00AD2E6C"/>
    <w:rsid w:val="00AD3075"/>
    <w:rsid w:val="00AD375E"/>
    <w:rsid w:val="00AD43B9"/>
    <w:rsid w:val="00AD5484"/>
    <w:rsid w:val="00AD6D59"/>
    <w:rsid w:val="00AD6DE6"/>
    <w:rsid w:val="00AD70C9"/>
    <w:rsid w:val="00AD73A1"/>
    <w:rsid w:val="00AE069F"/>
    <w:rsid w:val="00AE12CA"/>
    <w:rsid w:val="00AE1F52"/>
    <w:rsid w:val="00AE1FC3"/>
    <w:rsid w:val="00AE21B3"/>
    <w:rsid w:val="00AE34D1"/>
    <w:rsid w:val="00AE3DBB"/>
    <w:rsid w:val="00AE4F7E"/>
    <w:rsid w:val="00AE6280"/>
    <w:rsid w:val="00AE7947"/>
    <w:rsid w:val="00AE7BC1"/>
    <w:rsid w:val="00AF0545"/>
    <w:rsid w:val="00AF13B2"/>
    <w:rsid w:val="00AF266C"/>
    <w:rsid w:val="00AF275E"/>
    <w:rsid w:val="00AF3BAB"/>
    <w:rsid w:val="00AF52F8"/>
    <w:rsid w:val="00AF55EA"/>
    <w:rsid w:val="00AF654F"/>
    <w:rsid w:val="00AF65EC"/>
    <w:rsid w:val="00AF685B"/>
    <w:rsid w:val="00AF6981"/>
    <w:rsid w:val="00AF7CFE"/>
    <w:rsid w:val="00B000BE"/>
    <w:rsid w:val="00B00784"/>
    <w:rsid w:val="00B00CE3"/>
    <w:rsid w:val="00B00D8F"/>
    <w:rsid w:val="00B01117"/>
    <w:rsid w:val="00B019F7"/>
    <w:rsid w:val="00B01CB5"/>
    <w:rsid w:val="00B01E93"/>
    <w:rsid w:val="00B023D9"/>
    <w:rsid w:val="00B02A26"/>
    <w:rsid w:val="00B02C9E"/>
    <w:rsid w:val="00B02F39"/>
    <w:rsid w:val="00B039D1"/>
    <w:rsid w:val="00B04DDB"/>
    <w:rsid w:val="00B05BD1"/>
    <w:rsid w:val="00B05F2C"/>
    <w:rsid w:val="00B06779"/>
    <w:rsid w:val="00B06BB3"/>
    <w:rsid w:val="00B076AD"/>
    <w:rsid w:val="00B076D2"/>
    <w:rsid w:val="00B104D6"/>
    <w:rsid w:val="00B11994"/>
    <w:rsid w:val="00B11C13"/>
    <w:rsid w:val="00B11F80"/>
    <w:rsid w:val="00B14F37"/>
    <w:rsid w:val="00B15EA2"/>
    <w:rsid w:val="00B1627C"/>
    <w:rsid w:val="00B16436"/>
    <w:rsid w:val="00B175E0"/>
    <w:rsid w:val="00B176FD"/>
    <w:rsid w:val="00B21B5D"/>
    <w:rsid w:val="00B21BFE"/>
    <w:rsid w:val="00B25020"/>
    <w:rsid w:val="00B27F18"/>
    <w:rsid w:val="00B30019"/>
    <w:rsid w:val="00B301CA"/>
    <w:rsid w:val="00B30B05"/>
    <w:rsid w:val="00B30F06"/>
    <w:rsid w:val="00B3147C"/>
    <w:rsid w:val="00B32A18"/>
    <w:rsid w:val="00B331F4"/>
    <w:rsid w:val="00B33530"/>
    <w:rsid w:val="00B33BD4"/>
    <w:rsid w:val="00B34982"/>
    <w:rsid w:val="00B3551F"/>
    <w:rsid w:val="00B360EC"/>
    <w:rsid w:val="00B36B26"/>
    <w:rsid w:val="00B372B7"/>
    <w:rsid w:val="00B40A1C"/>
    <w:rsid w:val="00B40B23"/>
    <w:rsid w:val="00B40B88"/>
    <w:rsid w:val="00B41B43"/>
    <w:rsid w:val="00B420F0"/>
    <w:rsid w:val="00B42423"/>
    <w:rsid w:val="00B425E0"/>
    <w:rsid w:val="00B439F2"/>
    <w:rsid w:val="00B44ECA"/>
    <w:rsid w:val="00B45465"/>
    <w:rsid w:val="00B455AD"/>
    <w:rsid w:val="00B455AF"/>
    <w:rsid w:val="00B45B86"/>
    <w:rsid w:val="00B479AB"/>
    <w:rsid w:val="00B509A0"/>
    <w:rsid w:val="00B5154F"/>
    <w:rsid w:val="00B518EB"/>
    <w:rsid w:val="00B520A9"/>
    <w:rsid w:val="00B53DE1"/>
    <w:rsid w:val="00B57DCF"/>
    <w:rsid w:val="00B6037C"/>
    <w:rsid w:val="00B611ED"/>
    <w:rsid w:val="00B61560"/>
    <w:rsid w:val="00B61CBD"/>
    <w:rsid w:val="00B62345"/>
    <w:rsid w:val="00B62D76"/>
    <w:rsid w:val="00B63D3D"/>
    <w:rsid w:val="00B64D64"/>
    <w:rsid w:val="00B658EA"/>
    <w:rsid w:val="00B663BA"/>
    <w:rsid w:val="00B6763B"/>
    <w:rsid w:val="00B705D4"/>
    <w:rsid w:val="00B72C2C"/>
    <w:rsid w:val="00B73433"/>
    <w:rsid w:val="00B73D4C"/>
    <w:rsid w:val="00B73F5A"/>
    <w:rsid w:val="00B74750"/>
    <w:rsid w:val="00B7549D"/>
    <w:rsid w:val="00B75CF8"/>
    <w:rsid w:val="00B7703D"/>
    <w:rsid w:val="00B7767A"/>
    <w:rsid w:val="00B800F9"/>
    <w:rsid w:val="00B80400"/>
    <w:rsid w:val="00B83B64"/>
    <w:rsid w:val="00B84BB5"/>
    <w:rsid w:val="00B85D64"/>
    <w:rsid w:val="00B86797"/>
    <w:rsid w:val="00B86E7E"/>
    <w:rsid w:val="00B87017"/>
    <w:rsid w:val="00B87772"/>
    <w:rsid w:val="00B9069A"/>
    <w:rsid w:val="00B909C6"/>
    <w:rsid w:val="00B90E1D"/>
    <w:rsid w:val="00B91126"/>
    <w:rsid w:val="00B91B09"/>
    <w:rsid w:val="00B9221A"/>
    <w:rsid w:val="00B9263C"/>
    <w:rsid w:val="00B928FC"/>
    <w:rsid w:val="00B92A83"/>
    <w:rsid w:val="00B92CE1"/>
    <w:rsid w:val="00B949A7"/>
    <w:rsid w:val="00B95CB6"/>
    <w:rsid w:val="00B969F6"/>
    <w:rsid w:val="00B972C9"/>
    <w:rsid w:val="00B973C9"/>
    <w:rsid w:val="00B97743"/>
    <w:rsid w:val="00B97B2C"/>
    <w:rsid w:val="00BA0343"/>
    <w:rsid w:val="00BA12E9"/>
    <w:rsid w:val="00BA2422"/>
    <w:rsid w:val="00BA36B1"/>
    <w:rsid w:val="00BA3A0D"/>
    <w:rsid w:val="00BA6044"/>
    <w:rsid w:val="00BA79D9"/>
    <w:rsid w:val="00BA7FE4"/>
    <w:rsid w:val="00BB000E"/>
    <w:rsid w:val="00BB05DA"/>
    <w:rsid w:val="00BB076D"/>
    <w:rsid w:val="00BB0FE7"/>
    <w:rsid w:val="00BB23CA"/>
    <w:rsid w:val="00BB25AD"/>
    <w:rsid w:val="00BB4F38"/>
    <w:rsid w:val="00BB4F8E"/>
    <w:rsid w:val="00BB5573"/>
    <w:rsid w:val="00BB5649"/>
    <w:rsid w:val="00BB6CED"/>
    <w:rsid w:val="00BB74AC"/>
    <w:rsid w:val="00BB7648"/>
    <w:rsid w:val="00BC13D1"/>
    <w:rsid w:val="00BC1DE2"/>
    <w:rsid w:val="00BC2237"/>
    <w:rsid w:val="00BC2562"/>
    <w:rsid w:val="00BC3468"/>
    <w:rsid w:val="00BC3A53"/>
    <w:rsid w:val="00BC3AE4"/>
    <w:rsid w:val="00BC3E8E"/>
    <w:rsid w:val="00BC5296"/>
    <w:rsid w:val="00BC54E7"/>
    <w:rsid w:val="00BC55BE"/>
    <w:rsid w:val="00BC580F"/>
    <w:rsid w:val="00BC6DDB"/>
    <w:rsid w:val="00BC7A45"/>
    <w:rsid w:val="00BD014D"/>
    <w:rsid w:val="00BD214D"/>
    <w:rsid w:val="00BD2CCC"/>
    <w:rsid w:val="00BD3011"/>
    <w:rsid w:val="00BD3511"/>
    <w:rsid w:val="00BD49FF"/>
    <w:rsid w:val="00BD51B0"/>
    <w:rsid w:val="00BD5766"/>
    <w:rsid w:val="00BD5A09"/>
    <w:rsid w:val="00BD6CA1"/>
    <w:rsid w:val="00BD7553"/>
    <w:rsid w:val="00BD7DB2"/>
    <w:rsid w:val="00BE054F"/>
    <w:rsid w:val="00BE0DEB"/>
    <w:rsid w:val="00BE18A5"/>
    <w:rsid w:val="00BE1BE9"/>
    <w:rsid w:val="00BE2262"/>
    <w:rsid w:val="00BE266D"/>
    <w:rsid w:val="00BE33C8"/>
    <w:rsid w:val="00BE385E"/>
    <w:rsid w:val="00BE408C"/>
    <w:rsid w:val="00BE53E9"/>
    <w:rsid w:val="00BE557D"/>
    <w:rsid w:val="00BE6894"/>
    <w:rsid w:val="00BE6A1A"/>
    <w:rsid w:val="00BE7BF5"/>
    <w:rsid w:val="00BF1CE7"/>
    <w:rsid w:val="00BF2D65"/>
    <w:rsid w:val="00BF2F43"/>
    <w:rsid w:val="00BF39D4"/>
    <w:rsid w:val="00BF3F82"/>
    <w:rsid w:val="00BF5426"/>
    <w:rsid w:val="00BF5B09"/>
    <w:rsid w:val="00BF5FA3"/>
    <w:rsid w:val="00BF6C25"/>
    <w:rsid w:val="00BF7326"/>
    <w:rsid w:val="00C00482"/>
    <w:rsid w:val="00C00487"/>
    <w:rsid w:val="00C013B0"/>
    <w:rsid w:val="00C01B00"/>
    <w:rsid w:val="00C0354B"/>
    <w:rsid w:val="00C03960"/>
    <w:rsid w:val="00C04CC6"/>
    <w:rsid w:val="00C055CE"/>
    <w:rsid w:val="00C119AA"/>
    <w:rsid w:val="00C11FA9"/>
    <w:rsid w:val="00C12836"/>
    <w:rsid w:val="00C138B9"/>
    <w:rsid w:val="00C14871"/>
    <w:rsid w:val="00C1492B"/>
    <w:rsid w:val="00C14A81"/>
    <w:rsid w:val="00C156CF"/>
    <w:rsid w:val="00C2077D"/>
    <w:rsid w:val="00C22C27"/>
    <w:rsid w:val="00C22C89"/>
    <w:rsid w:val="00C24773"/>
    <w:rsid w:val="00C247F2"/>
    <w:rsid w:val="00C24DCD"/>
    <w:rsid w:val="00C25C52"/>
    <w:rsid w:val="00C271F6"/>
    <w:rsid w:val="00C272BF"/>
    <w:rsid w:val="00C2798C"/>
    <w:rsid w:val="00C27D89"/>
    <w:rsid w:val="00C309E2"/>
    <w:rsid w:val="00C32039"/>
    <w:rsid w:val="00C32C03"/>
    <w:rsid w:val="00C33F3C"/>
    <w:rsid w:val="00C351EF"/>
    <w:rsid w:val="00C35D74"/>
    <w:rsid w:val="00C3656F"/>
    <w:rsid w:val="00C401ED"/>
    <w:rsid w:val="00C4078A"/>
    <w:rsid w:val="00C40C96"/>
    <w:rsid w:val="00C4142C"/>
    <w:rsid w:val="00C423DC"/>
    <w:rsid w:val="00C43119"/>
    <w:rsid w:val="00C43E69"/>
    <w:rsid w:val="00C4421C"/>
    <w:rsid w:val="00C44D41"/>
    <w:rsid w:val="00C452E9"/>
    <w:rsid w:val="00C45871"/>
    <w:rsid w:val="00C45A45"/>
    <w:rsid w:val="00C45D90"/>
    <w:rsid w:val="00C46019"/>
    <w:rsid w:val="00C46D5F"/>
    <w:rsid w:val="00C46DC5"/>
    <w:rsid w:val="00C4735A"/>
    <w:rsid w:val="00C47A9D"/>
    <w:rsid w:val="00C5023B"/>
    <w:rsid w:val="00C50508"/>
    <w:rsid w:val="00C50DF4"/>
    <w:rsid w:val="00C51094"/>
    <w:rsid w:val="00C52406"/>
    <w:rsid w:val="00C526A2"/>
    <w:rsid w:val="00C536C6"/>
    <w:rsid w:val="00C55342"/>
    <w:rsid w:val="00C55EEC"/>
    <w:rsid w:val="00C5619C"/>
    <w:rsid w:val="00C5662D"/>
    <w:rsid w:val="00C56C25"/>
    <w:rsid w:val="00C56F84"/>
    <w:rsid w:val="00C60C38"/>
    <w:rsid w:val="00C6126B"/>
    <w:rsid w:val="00C61E2D"/>
    <w:rsid w:val="00C622A4"/>
    <w:rsid w:val="00C62485"/>
    <w:rsid w:val="00C635D2"/>
    <w:rsid w:val="00C642B0"/>
    <w:rsid w:val="00C6450B"/>
    <w:rsid w:val="00C64BF1"/>
    <w:rsid w:val="00C652B0"/>
    <w:rsid w:val="00C67906"/>
    <w:rsid w:val="00C67B37"/>
    <w:rsid w:val="00C67DEA"/>
    <w:rsid w:val="00C70ADB"/>
    <w:rsid w:val="00C72179"/>
    <w:rsid w:val="00C729C5"/>
    <w:rsid w:val="00C73D19"/>
    <w:rsid w:val="00C740D5"/>
    <w:rsid w:val="00C7488A"/>
    <w:rsid w:val="00C749D7"/>
    <w:rsid w:val="00C75136"/>
    <w:rsid w:val="00C755A1"/>
    <w:rsid w:val="00C76937"/>
    <w:rsid w:val="00C77E7C"/>
    <w:rsid w:val="00C8182D"/>
    <w:rsid w:val="00C81C15"/>
    <w:rsid w:val="00C81CE4"/>
    <w:rsid w:val="00C82FEC"/>
    <w:rsid w:val="00C83353"/>
    <w:rsid w:val="00C84633"/>
    <w:rsid w:val="00C86283"/>
    <w:rsid w:val="00C86F1D"/>
    <w:rsid w:val="00C90D32"/>
    <w:rsid w:val="00C90FA2"/>
    <w:rsid w:val="00C92065"/>
    <w:rsid w:val="00C92677"/>
    <w:rsid w:val="00C92D9E"/>
    <w:rsid w:val="00C9490E"/>
    <w:rsid w:val="00C94B60"/>
    <w:rsid w:val="00C95148"/>
    <w:rsid w:val="00C955EA"/>
    <w:rsid w:val="00C95DE3"/>
    <w:rsid w:val="00C9681B"/>
    <w:rsid w:val="00C971DE"/>
    <w:rsid w:val="00CA1FFC"/>
    <w:rsid w:val="00CA26DD"/>
    <w:rsid w:val="00CA2C47"/>
    <w:rsid w:val="00CA2F35"/>
    <w:rsid w:val="00CA3249"/>
    <w:rsid w:val="00CA4182"/>
    <w:rsid w:val="00CA4C3D"/>
    <w:rsid w:val="00CA4DA9"/>
    <w:rsid w:val="00CA54BB"/>
    <w:rsid w:val="00CA556F"/>
    <w:rsid w:val="00CA6471"/>
    <w:rsid w:val="00CA73BC"/>
    <w:rsid w:val="00CA7F45"/>
    <w:rsid w:val="00CB01F3"/>
    <w:rsid w:val="00CB088D"/>
    <w:rsid w:val="00CB0B35"/>
    <w:rsid w:val="00CB0B37"/>
    <w:rsid w:val="00CB0BCD"/>
    <w:rsid w:val="00CB0F42"/>
    <w:rsid w:val="00CB1CB6"/>
    <w:rsid w:val="00CB256B"/>
    <w:rsid w:val="00CB3367"/>
    <w:rsid w:val="00CB3552"/>
    <w:rsid w:val="00CB4407"/>
    <w:rsid w:val="00CB4AFD"/>
    <w:rsid w:val="00CB5665"/>
    <w:rsid w:val="00CB62ED"/>
    <w:rsid w:val="00CB77C1"/>
    <w:rsid w:val="00CC0DBB"/>
    <w:rsid w:val="00CC0E63"/>
    <w:rsid w:val="00CC1601"/>
    <w:rsid w:val="00CC1B89"/>
    <w:rsid w:val="00CC2B56"/>
    <w:rsid w:val="00CC2E71"/>
    <w:rsid w:val="00CC3B4D"/>
    <w:rsid w:val="00CC3F60"/>
    <w:rsid w:val="00CC4746"/>
    <w:rsid w:val="00CC4A77"/>
    <w:rsid w:val="00CC6101"/>
    <w:rsid w:val="00CC6141"/>
    <w:rsid w:val="00CC66B4"/>
    <w:rsid w:val="00CC799E"/>
    <w:rsid w:val="00CC79C4"/>
    <w:rsid w:val="00CD098C"/>
    <w:rsid w:val="00CD0A1A"/>
    <w:rsid w:val="00CD0D49"/>
    <w:rsid w:val="00CD13C9"/>
    <w:rsid w:val="00CD148B"/>
    <w:rsid w:val="00CD14D3"/>
    <w:rsid w:val="00CD30C4"/>
    <w:rsid w:val="00CD3139"/>
    <w:rsid w:val="00CD3F57"/>
    <w:rsid w:val="00CD435B"/>
    <w:rsid w:val="00CD5937"/>
    <w:rsid w:val="00CD6D2E"/>
    <w:rsid w:val="00CE18EF"/>
    <w:rsid w:val="00CE1C34"/>
    <w:rsid w:val="00CE2646"/>
    <w:rsid w:val="00CE347E"/>
    <w:rsid w:val="00CE4BB9"/>
    <w:rsid w:val="00CE538D"/>
    <w:rsid w:val="00CE55BF"/>
    <w:rsid w:val="00CE5B12"/>
    <w:rsid w:val="00CE614C"/>
    <w:rsid w:val="00CE72AC"/>
    <w:rsid w:val="00CF13F1"/>
    <w:rsid w:val="00CF1C4B"/>
    <w:rsid w:val="00CF2283"/>
    <w:rsid w:val="00CF2C1B"/>
    <w:rsid w:val="00CF3C30"/>
    <w:rsid w:val="00CF429F"/>
    <w:rsid w:val="00CF5AE1"/>
    <w:rsid w:val="00CF606B"/>
    <w:rsid w:val="00CF6E72"/>
    <w:rsid w:val="00CF70AA"/>
    <w:rsid w:val="00CF773F"/>
    <w:rsid w:val="00CF7C68"/>
    <w:rsid w:val="00D0170E"/>
    <w:rsid w:val="00D02FDF"/>
    <w:rsid w:val="00D03EE9"/>
    <w:rsid w:val="00D04174"/>
    <w:rsid w:val="00D04A91"/>
    <w:rsid w:val="00D04B5A"/>
    <w:rsid w:val="00D05BD4"/>
    <w:rsid w:val="00D07F5A"/>
    <w:rsid w:val="00D129C5"/>
    <w:rsid w:val="00D13A18"/>
    <w:rsid w:val="00D1492E"/>
    <w:rsid w:val="00D154AE"/>
    <w:rsid w:val="00D15E8A"/>
    <w:rsid w:val="00D1702D"/>
    <w:rsid w:val="00D170E4"/>
    <w:rsid w:val="00D17675"/>
    <w:rsid w:val="00D17BAD"/>
    <w:rsid w:val="00D206F1"/>
    <w:rsid w:val="00D22AC2"/>
    <w:rsid w:val="00D2496E"/>
    <w:rsid w:val="00D262ED"/>
    <w:rsid w:val="00D2692E"/>
    <w:rsid w:val="00D26B5D"/>
    <w:rsid w:val="00D2737F"/>
    <w:rsid w:val="00D277CE"/>
    <w:rsid w:val="00D3011C"/>
    <w:rsid w:val="00D3148E"/>
    <w:rsid w:val="00D3206B"/>
    <w:rsid w:val="00D32492"/>
    <w:rsid w:val="00D32D01"/>
    <w:rsid w:val="00D33E83"/>
    <w:rsid w:val="00D3411D"/>
    <w:rsid w:val="00D35F08"/>
    <w:rsid w:val="00D36A2A"/>
    <w:rsid w:val="00D36CD0"/>
    <w:rsid w:val="00D37650"/>
    <w:rsid w:val="00D426AD"/>
    <w:rsid w:val="00D43D2E"/>
    <w:rsid w:val="00D43FF3"/>
    <w:rsid w:val="00D44594"/>
    <w:rsid w:val="00D4471F"/>
    <w:rsid w:val="00D44A26"/>
    <w:rsid w:val="00D460E3"/>
    <w:rsid w:val="00D46343"/>
    <w:rsid w:val="00D46CC5"/>
    <w:rsid w:val="00D475AE"/>
    <w:rsid w:val="00D47F54"/>
    <w:rsid w:val="00D50DC3"/>
    <w:rsid w:val="00D5110E"/>
    <w:rsid w:val="00D533AF"/>
    <w:rsid w:val="00D541E7"/>
    <w:rsid w:val="00D544D4"/>
    <w:rsid w:val="00D54B00"/>
    <w:rsid w:val="00D56173"/>
    <w:rsid w:val="00D56A9C"/>
    <w:rsid w:val="00D56DD4"/>
    <w:rsid w:val="00D57B6A"/>
    <w:rsid w:val="00D62A81"/>
    <w:rsid w:val="00D62E39"/>
    <w:rsid w:val="00D6300B"/>
    <w:rsid w:val="00D63215"/>
    <w:rsid w:val="00D6325E"/>
    <w:rsid w:val="00D63718"/>
    <w:rsid w:val="00D63C23"/>
    <w:rsid w:val="00D65573"/>
    <w:rsid w:val="00D71B98"/>
    <w:rsid w:val="00D71C0E"/>
    <w:rsid w:val="00D71EB8"/>
    <w:rsid w:val="00D764B6"/>
    <w:rsid w:val="00D769D7"/>
    <w:rsid w:val="00D80099"/>
    <w:rsid w:val="00D803FF"/>
    <w:rsid w:val="00D80F8F"/>
    <w:rsid w:val="00D81694"/>
    <w:rsid w:val="00D82030"/>
    <w:rsid w:val="00D820F1"/>
    <w:rsid w:val="00D849EE"/>
    <w:rsid w:val="00D84DBC"/>
    <w:rsid w:val="00D854D7"/>
    <w:rsid w:val="00D864BC"/>
    <w:rsid w:val="00D8659F"/>
    <w:rsid w:val="00D865F2"/>
    <w:rsid w:val="00D86CF1"/>
    <w:rsid w:val="00D87C73"/>
    <w:rsid w:val="00D9256E"/>
    <w:rsid w:val="00D92A76"/>
    <w:rsid w:val="00D9439C"/>
    <w:rsid w:val="00D946F9"/>
    <w:rsid w:val="00D9574A"/>
    <w:rsid w:val="00D961C8"/>
    <w:rsid w:val="00D96826"/>
    <w:rsid w:val="00D975CC"/>
    <w:rsid w:val="00DA0335"/>
    <w:rsid w:val="00DA2EB5"/>
    <w:rsid w:val="00DA37FA"/>
    <w:rsid w:val="00DA3AA2"/>
    <w:rsid w:val="00DA4BA4"/>
    <w:rsid w:val="00DA4E74"/>
    <w:rsid w:val="00DA61F6"/>
    <w:rsid w:val="00DA6A47"/>
    <w:rsid w:val="00DA74C3"/>
    <w:rsid w:val="00DB0CFD"/>
    <w:rsid w:val="00DB1AF1"/>
    <w:rsid w:val="00DB2235"/>
    <w:rsid w:val="00DB2324"/>
    <w:rsid w:val="00DB2377"/>
    <w:rsid w:val="00DB34B7"/>
    <w:rsid w:val="00DB374D"/>
    <w:rsid w:val="00DB50C7"/>
    <w:rsid w:val="00DB6592"/>
    <w:rsid w:val="00DB7C09"/>
    <w:rsid w:val="00DC02C5"/>
    <w:rsid w:val="00DC0518"/>
    <w:rsid w:val="00DC1F96"/>
    <w:rsid w:val="00DC2044"/>
    <w:rsid w:val="00DC531F"/>
    <w:rsid w:val="00DC57DB"/>
    <w:rsid w:val="00DD092A"/>
    <w:rsid w:val="00DD1A62"/>
    <w:rsid w:val="00DD219B"/>
    <w:rsid w:val="00DD2ADB"/>
    <w:rsid w:val="00DD2CE1"/>
    <w:rsid w:val="00DD2F52"/>
    <w:rsid w:val="00DD2F7D"/>
    <w:rsid w:val="00DD4BE5"/>
    <w:rsid w:val="00DD53AF"/>
    <w:rsid w:val="00DD548E"/>
    <w:rsid w:val="00DD6302"/>
    <w:rsid w:val="00DD692A"/>
    <w:rsid w:val="00DD7322"/>
    <w:rsid w:val="00DE061D"/>
    <w:rsid w:val="00DE0CA1"/>
    <w:rsid w:val="00DE222B"/>
    <w:rsid w:val="00DE3031"/>
    <w:rsid w:val="00DE42CD"/>
    <w:rsid w:val="00DE4BDB"/>
    <w:rsid w:val="00DE4FC5"/>
    <w:rsid w:val="00DE5E9A"/>
    <w:rsid w:val="00DE68D4"/>
    <w:rsid w:val="00DF1749"/>
    <w:rsid w:val="00DF1FD5"/>
    <w:rsid w:val="00DF2DB9"/>
    <w:rsid w:val="00DF30BB"/>
    <w:rsid w:val="00DF3111"/>
    <w:rsid w:val="00DF3B14"/>
    <w:rsid w:val="00DF4330"/>
    <w:rsid w:val="00DF449C"/>
    <w:rsid w:val="00DF4F75"/>
    <w:rsid w:val="00DF511F"/>
    <w:rsid w:val="00DF52E6"/>
    <w:rsid w:val="00DF586A"/>
    <w:rsid w:val="00DF5A39"/>
    <w:rsid w:val="00DF683E"/>
    <w:rsid w:val="00DF7006"/>
    <w:rsid w:val="00DF71B8"/>
    <w:rsid w:val="00DF7E61"/>
    <w:rsid w:val="00E00F53"/>
    <w:rsid w:val="00E03DB4"/>
    <w:rsid w:val="00E06D68"/>
    <w:rsid w:val="00E0741C"/>
    <w:rsid w:val="00E07E55"/>
    <w:rsid w:val="00E1000E"/>
    <w:rsid w:val="00E11A03"/>
    <w:rsid w:val="00E122F3"/>
    <w:rsid w:val="00E139B3"/>
    <w:rsid w:val="00E141D5"/>
    <w:rsid w:val="00E146F3"/>
    <w:rsid w:val="00E14748"/>
    <w:rsid w:val="00E15479"/>
    <w:rsid w:val="00E1579A"/>
    <w:rsid w:val="00E15AD4"/>
    <w:rsid w:val="00E15B3B"/>
    <w:rsid w:val="00E15E6C"/>
    <w:rsid w:val="00E163E8"/>
    <w:rsid w:val="00E16443"/>
    <w:rsid w:val="00E170B5"/>
    <w:rsid w:val="00E202FA"/>
    <w:rsid w:val="00E20BAD"/>
    <w:rsid w:val="00E218CA"/>
    <w:rsid w:val="00E2257A"/>
    <w:rsid w:val="00E23370"/>
    <w:rsid w:val="00E23B6F"/>
    <w:rsid w:val="00E23D23"/>
    <w:rsid w:val="00E23FF8"/>
    <w:rsid w:val="00E2458E"/>
    <w:rsid w:val="00E24EFE"/>
    <w:rsid w:val="00E252E5"/>
    <w:rsid w:val="00E253D5"/>
    <w:rsid w:val="00E25645"/>
    <w:rsid w:val="00E25BF3"/>
    <w:rsid w:val="00E26325"/>
    <w:rsid w:val="00E26E42"/>
    <w:rsid w:val="00E27A77"/>
    <w:rsid w:val="00E27BDB"/>
    <w:rsid w:val="00E31200"/>
    <w:rsid w:val="00E313D0"/>
    <w:rsid w:val="00E31809"/>
    <w:rsid w:val="00E32D0D"/>
    <w:rsid w:val="00E3350E"/>
    <w:rsid w:val="00E34E74"/>
    <w:rsid w:val="00E354CE"/>
    <w:rsid w:val="00E374C2"/>
    <w:rsid w:val="00E400CD"/>
    <w:rsid w:val="00E4054A"/>
    <w:rsid w:val="00E4096D"/>
    <w:rsid w:val="00E41FF2"/>
    <w:rsid w:val="00E42427"/>
    <w:rsid w:val="00E42570"/>
    <w:rsid w:val="00E42BDA"/>
    <w:rsid w:val="00E43F7F"/>
    <w:rsid w:val="00E4482D"/>
    <w:rsid w:val="00E463A9"/>
    <w:rsid w:val="00E4661F"/>
    <w:rsid w:val="00E50C9B"/>
    <w:rsid w:val="00E51310"/>
    <w:rsid w:val="00E51414"/>
    <w:rsid w:val="00E51657"/>
    <w:rsid w:val="00E525BB"/>
    <w:rsid w:val="00E52FE5"/>
    <w:rsid w:val="00E538C9"/>
    <w:rsid w:val="00E5472D"/>
    <w:rsid w:val="00E54D33"/>
    <w:rsid w:val="00E55240"/>
    <w:rsid w:val="00E556F9"/>
    <w:rsid w:val="00E55F03"/>
    <w:rsid w:val="00E56206"/>
    <w:rsid w:val="00E56592"/>
    <w:rsid w:val="00E56831"/>
    <w:rsid w:val="00E56D1D"/>
    <w:rsid w:val="00E56F26"/>
    <w:rsid w:val="00E57389"/>
    <w:rsid w:val="00E5791F"/>
    <w:rsid w:val="00E5795E"/>
    <w:rsid w:val="00E57A14"/>
    <w:rsid w:val="00E60EE2"/>
    <w:rsid w:val="00E60EEA"/>
    <w:rsid w:val="00E62D5B"/>
    <w:rsid w:val="00E62F37"/>
    <w:rsid w:val="00E6337E"/>
    <w:rsid w:val="00E63554"/>
    <w:rsid w:val="00E63746"/>
    <w:rsid w:val="00E63FFF"/>
    <w:rsid w:val="00E64671"/>
    <w:rsid w:val="00E655FB"/>
    <w:rsid w:val="00E65FF3"/>
    <w:rsid w:val="00E67AF9"/>
    <w:rsid w:val="00E71EDC"/>
    <w:rsid w:val="00E7295F"/>
    <w:rsid w:val="00E72B4C"/>
    <w:rsid w:val="00E73FB6"/>
    <w:rsid w:val="00E742E4"/>
    <w:rsid w:val="00E75714"/>
    <w:rsid w:val="00E7583F"/>
    <w:rsid w:val="00E767D1"/>
    <w:rsid w:val="00E76DF7"/>
    <w:rsid w:val="00E77097"/>
    <w:rsid w:val="00E77099"/>
    <w:rsid w:val="00E777D6"/>
    <w:rsid w:val="00E77EEF"/>
    <w:rsid w:val="00E801C4"/>
    <w:rsid w:val="00E80C53"/>
    <w:rsid w:val="00E812B3"/>
    <w:rsid w:val="00E81A32"/>
    <w:rsid w:val="00E81DAA"/>
    <w:rsid w:val="00E82E56"/>
    <w:rsid w:val="00E84DB4"/>
    <w:rsid w:val="00E85F06"/>
    <w:rsid w:val="00E86677"/>
    <w:rsid w:val="00E8685F"/>
    <w:rsid w:val="00E877DB"/>
    <w:rsid w:val="00E902AF"/>
    <w:rsid w:val="00E9259E"/>
    <w:rsid w:val="00E92C3C"/>
    <w:rsid w:val="00E93595"/>
    <w:rsid w:val="00E9594D"/>
    <w:rsid w:val="00E9623D"/>
    <w:rsid w:val="00E96A45"/>
    <w:rsid w:val="00E96B78"/>
    <w:rsid w:val="00E97688"/>
    <w:rsid w:val="00E9779A"/>
    <w:rsid w:val="00E97838"/>
    <w:rsid w:val="00E97F0F"/>
    <w:rsid w:val="00EA0144"/>
    <w:rsid w:val="00EA0D4C"/>
    <w:rsid w:val="00EA2B0E"/>
    <w:rsid w:val="00EA2F43"/>
    <w:rsid w:val="00EA3559"/>
    <w:rsid w:val="00EA3AAB"/>
    <w:rsid w:val="00EA418E"/>
    <w:rsid w:val="00EA421E"/>
    <w:rsid w:val="00EA4E3D"/>
    <w:rsid w:val="00EA4E7C"/>
    <w:rsid w:val="00EA54FB"/>
    <w:rsid w:val="00EA64CA"/>
    <w:rsid w:val="00EA6594"/>
    <w:rsid w:val="00EA6A1C"/>
    <w:rsid w:val="00EA7592"/>
    <w:rsid w:val="00EB175C"/>
    <w:rsid w:val="00EB3004"/>
    <w:rsid w:val="00EB3847"/>
    <w:rsid w:val="00EB456C"/>
    <w:rsid w:val="00EB468B"/>
    <w:rsid w:val="00EB4FB0"/>
    <w:rsid w:val="00EB5364"/>
    <w:rsid w:val="00EB5BAC"/>
    <w:rsid w:val="00EB6E65"/>
    <w:rsid w:val="00EB72CB"/>
    <w:rsid w:val="00EB7A57"/>
    <w:rsid w:val="00EB7B14"/>
    <w:rsid w:val="00EB7B68"/>
    <w:rsid w:val="00EC0018"/>
    <w:rsid w:val="00EC0F42"/>
    <w:rsid w:val="00EC1999"/>
    <w:rsid w:val="00EC2B81"/>
    <w:rsid w:val="00EC3FBC"/>
    <w:rsid w:val="00EC4062"/>
    <w:rsid w:val="00EC4A25"/>
    <w:rsid w:val="00EC5AEA"/>
    <w:rsid w:val="00EC5B31"/>
    <w:rsid w:val="00EC6B62"/>
    <w:rsid w:val="00EC6ECF"/>
    <w:rsid w:val="00ED2FEC"/>
    <w:rsid w:val="00ED3064"/>
    <w:rsid w:val="00ED34E4"/>
    <w:rsid w:val="00ED4000"/>
    <w:rsid w:val="00ED54A0"/>
    <w:rsid w:val="00ED5DFF"/>
    <w:rsid w:val="00ED6A16"/>
    <w:rsid w:val="00ED7E02"/>
    <w:rsid w:val="00EE118E"/>
    <w:rsid w:val="00EE11F8"/>
    <w:rsid w:val="00EE146C"/>
    <w:rsid w:val="00EE2F8F"/>
    <w:rsid w:val="00EE3A7A"/>
    <w:rsid w:val="00EE3AD5"/>
    <w:rsid w:val="00EE3C1D"/>
    <w:rsid w:val="00EE6222"/>
    <w:rsid w:val="00EE63BF"/>
    <w:rsid w:val="00EE649F"/>
    <w:rsid w:val="00EE6A15"/>
    <w:rsid w:val="00EF0B1C"/>
    <w:rsid w:val="00EF14AC"/>
    <w:rsid w:val="00EF2082"/>
    <w:rsid w:val="00EF2AEE"/>
    <w:rsid w:val="00EF2C52"/>
    <w:rsid w:val="00EF2FDF"/>
    <w:rsid w:val="00EF36E8"/>
    <w:rsid w:val="00EF4EFB"/>
    <w:rsid w:val="00EF52D2"/>
    <w:rsid w:val="00EF5D1A"/>
    <w:rsid w:val="00EF6B9D"/>
    <w:rsid w:val="00EF6D71"/>
    <w:rsid w:val="00EF7E9E"/>
    <w:rsid w:val="00F00873"/>
    <w:rsid w:val="00F01EB3"/>
    <w:rsid w:val="00F0402A"/>
    <w:rsid w:val="00F04524"/>
    <w:rsid w:val="00F0490D"/>
    <w:rsid w:val="00F06DE5"/>
    <w:rsid w:val="00F07599"/>
    <w:rsid w:val="00F07D02"/>
    <w:rsid w:val="00F1029B"/>
    <w:rsid w:val="00F1052B"/>
    <w:rsid w:val="00F113C2"/>
    <w:rsid w:val="00F11DF4"/>
    <w:rsid w:val="00F122D1"/>
    <w:rsid w:val="00F12333"/>
    <w:rsid w:val="00F12CA6"/>
    <w:rsid w:val="00F13474"/>
    <w:rsid w:val="00F13E88"/>
    <w:rsid w:val="00F14680"/>
    <w:rsid w:val="00F14FDC"/>
    <w:rsid w:val="00F17B77"/>
    <w:rsid w:val="00F20C85"/>
    <w:rsid w:val="00F220AC"/>
    <w:rsid w:val="00F227FA"/>
    <w:rsid w:val="00F22FE5"/>
    <w:rsid w:val="00F2315C"/>
    <w:rsid w:val="00F3006A"/>
    <w:rsid w:val="00F30105"/>
    <w:rsid w:val="00F318F6"/>
    <w:rsid w:val="00F31D44"/>
    <w:rsid w:val="00F31F86"/>
    <w:rsid w:val="00F326A0"/>
    <w:rsid w:val="00F32F35"/>
    <w:rsid w:val="00F332F5"/>
    <w:rsid w:val="00F33E47"/>
    <w:rsid w:val="00F34898"/>
    <w:rsid w:val="00F354CF"/>
    <w:rsid w:val="00F3561A"/>
    <w:rsid w:val="00F405E6"/>
    <w:rsid w:val="00F4167F"/>
    <w:rsid w:val="00F42003"/>
    <w:rsid w:val="00F43593"/>
    <w:rsid w:val="00F44272"/>
    <w:rsid w:val="00F4714C"/>
    <w:rsid w:val="00F50097"/>
    <w:rsid w:val="00F504A9"/>
    <w:rsid w:val="00F50DE4"/>
    <w:rsid w:val="00F514F0"/>
    <w:rsid w:val="00F52070"/>
    <w:rsid w:val="00F52370"/>
    <w:rsid w:val="00F52F6D"/>
    <w:rsid w:val="00F53BA0"/>
    <w:rsid w:val="00F553C3"/>
    <w:rsid w:val="00F567E2"/>
    <w:rsid w:val="00F56E05"/>
    <w:rsid w:val="00F57F05"/>
    <w:rsid w:val="00F60389"/>
    <w:rsid w:val="00F6063A"/>
    <w:rsid w:val="00F60738"/>
    <w:rsid w:val="00F61242"/>
    <w:rsid w:val="00F61D1A"/>
    <w:rsid w:val="00F6210E"/>
    <w:rsid w:val="00F6274E"/>
    <w:rsid w:val="00F64BBC"/>
    <w:rsid w:val="00F65BE8"/>
    <w:rsid w:val="00F667A4"/>
    <w:rsid w:val="00F66A81"/>
    <w:rsid w:val="00F67B5D"/>
    <w:rsid w:val="00F70118"/>
    <w:rsid w:val="00F70777"/>
    <w:rsid w:val="00F70AAA"/>
    <w:rsid w:val="00F71095"/>
    <w:rsid w:val="00F71412"/>
    <w:rsid w:val="00F71AD9"/>
    <w:rsid w:val="00F71DE3"/>
    <w:rsid w:val="00F751B7"/>
    <w:rsid w:val="00F756FE"/>
    <w:rsid w:val="00F770B2"/>
    <w:rsid w:val="00F801A8"/>
    <w:rsid w:val="00F80A85"/>
    <w:rsid w:val="00F81C42"/>
    <w:rsid w:val="00F81D3B"/>
    <w:rsid w:val="00F8276A"/>
    <w:rsid w:val="00F829B5"/>
    <w:rsid w:val="00F82FD0"/>
    <w:rsid w:val="00F837F0"/>
    <w:rsid w:val="00F83EE6"/>
    <w:rsid w:val="00F84B6A"/>
    <w:rsid w:val="00F85145"/>
    <w:rsid w:val="00F85358"/>
    <w:rsid w:val="00F85583"/>
    <w:rsid w:val="00F86B9B"/>
    <w:rsid w:val="00F878AA"/>
    <w:rsid w:val="00F90A26"/>
    <w:rsid w:val="00F90D0F"/>
    <w:rsid w:val="00F91405"/>
    <w:rsid w:val="00F92064"/>
    <w:rsid w:val="00F9218C"/>
    <w:rsid w:val="00F93A13"/>
    <w:rsid w:val="00F94765"/>
    <w:rsid w:val="00F94C0B"/>
    <w:rsid w:val="00F957AF"/>
    <w:rsid w:val="00F95B83"/>
    <w:rsid w:val="00F96D46"/>
    <w:rsid w:val="00F977FE"/>
    <w:rsid w:val="00FA03B3"/>
    <w:rsid w:val="00FA0EB0"/>
    <w:rsid w:val="00FA1B1B"/>
    <w:rsid w:val="00FA39A4"/>
    <w:rsid w:val="00FA39E7"/>
    <w:rsid w:val="00FA4727"/>
    <w:rsid w:val="00FA586A"/>
    <w:rsid w:val="00FA5F48"/>
    <w:rsid w:val="00FA6FED"/>
    <w:rsid w:val="00FA73CD"/>
    <w:rsid w:val="00FA749F"/>
    <w:rsid w:val="00FA7B6F"/>
    <w:rsid w:val="00FB0194"/>
    <w:rsid w:val="00FB0524"/>
    <w:rsid w:val="00FB2D09"/>
    <w:rsid w:val="00FB2FC5"/>
    <w:rsid w:val="00FB3799"/>
    <w:rsid w:val="00FB402D"/>
    <w:rsid w:val="00FB5ABE"/>
    <w:rsid w:val="00FB644E"/>
    <w:rsid w:val="00FB695E"/>
    <w:rsid w:val="00FB6BBB"/>
    <w:rsid w:val="00FB7273"/>
    <w:rsid w:val="00FC1AE0"/>
    <w:rsid w:val="00FC241B"/>
    <w:rsid w:val="00FC50A5"/>
    <w:rsid w:val="00FC6324"/>
    <w:rsid w:val="00FC6557"/>
    <w:rsid w:val="00FC7950"/>
    <w:rsid w:val="00FC7F31"/>
    <w:rsid w:val="00FD1958"/>
    <w:rsid w:val="00FD276A"/>
    <w:rsid w:val="00FD327B"/>
    <w:rsid w:val="00FD6038"/>
    <w:rsid w:val="00FD66C3"/>
    <w:rsid w:val="00FD70FD"/>
    <w:rsid w:val="00FE0C3B"/>
    <w:rsid w:val="00FE1900"/>
    <w:rsid w:val="00FE2D7D"/>
    <w:rsid w:val="00FE3270"/>
    <w:rsid w:val="00FE348A"/>
    <w:rsid w:val="00FE4210"/>
    <w:rsid w:val="00FE5257"/>
    <w:rsid w:val="00FE6FDA"/>
    <w:rsid w:val="00FE7B3B"/>
    <w:rsid w:val="00FE7BE8"/>
    <w:rsid w:val="00FE7DA9"/>
    <w:rsid w:val="00FF0E9F"/>
    <w:rsid w:val="00FF1155"/>
    <w:rsid w:val="00FF27A7"/>
    <w:rsid w:val="00FF2B0E"/>
    <w:rsid w:val="00FF374D"/>
    <w:rsid w:val="00FF3C16"/>
    <w:rsid w:val="00FF4446"/>
    <w:rsid w:val="00FF4717"/>
    <w:rsid w:val="00FF4E01"/>
    <w:rsid w:val="00FF6A9B"/>
    <w:rsid w:val="00FF6E3F"/>
    <w:rsid w:val="00FF7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F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C53"/>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EA421E"/>
    <w:pPr>
      <w:tabs>
        <w:tab w:val="right" w:leader="dot" w:pos="9360"/>
      </w:tabs>
      <w:spacing w:after="140" w:line="240" w:lineRule="exact"/>
      <w:ind w:left="1080" w:right="720" w:hanging="1080"/>
    </w:pPr>
    <w:rPr>
      <w:rFonts w:ascii="Arial" w:eastAsia="Times New Roman" w:hAnsi="Arial" w:cs="Times New Roman"/>
      <w:caps/>
      <w:sz w:val="20"/>
      <w:szCs w:val="20"/>
    </w:rPr>
  </w:style>
  <w:style w:type="paragraph" w:styleId="TOC2">
    <w:name w:val="toc 2"/>
    <w:next w:val="Normal"/>
    <w:autoRedefine/>
    <w:uiPriority w:val="39"/>
    <w:qFormat/>
    <w:rsid w:val="00EA421E"/>
    <w:pPr>
      <w:tabs>
        <w:tab w:val="right" w:leader="dot" w:pos="9360"/>
      </w:tabs>
      <w:spacing w:after="140" w:line="240" w:lineRule="exact"/>
      <w:ind w:left="1656" w:right="720" w:hanging="576"/>
    </w:pPr>
    <w:rPr>
      <w:rFonts w:ascii="Arial" w:eastAsia="Times New Roman" w:hAnsi="Arial" w:cs="Times New Roman"/>
      <w:noProof/>
      <w:sz w:val="20"/>
      <w:szCs w:val="20"/>
    </w:rPr>
  </w:style>
  <w:style w:type="paragraph" w:styleId="TOC3">
    <w:name w:val="toc 3"/>
    <w:basedOn w:val="TOC2"/>
    <w:next w:val="Normal"/>
    <w:autoRedefine/>
    <w:uiPriority w:val="39"/>
    <w:qFormat/>
    <w:rsid w:val="00F90A26"/>
    <w:pPr>
      <w:tabs>
        <w:tab w:val="left" w:pos="1440"/>
      </w:tabs>
      <w:spacing w:after="120"/>
      <w:ind w:left="1872"/>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1E1C69"/>
    <w:pPr>
      <w:tabs>
        <w:tab w:val="right" w:leader="dot" w:pos="9360"/>
      </w:tabs>
      <w:spacing w:after="140" w:line="240" w:lineRule="exact"/>
      <w:ind w:left="1584" w:right="720" w:hanging="1584"/>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numPr>
        <w:numId w:val="0"/>
      </w:num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2141B"/>
    <w:pPr>
      <w:framePr w:wrap="auto" w:vAnchor="margin" w:yAlign="inline"/>
      <w:pBdr>
        <w:bottom w:val="none" w:sz="0" w:space="0" w:color="auto"/>
      </w:pBdr>
      <w:tabs>
        <w:tab w:val="clear" w:pos="432"/>
      </w:tabs>
      <w:spacing w:before="0" w:after="120"/>
      <w:ind w:left="720" w:hanging="720"/>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62141B"/>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90A26"/>
    <w:pPr>
      <w:tabs>
        <w:tab w:val="clear" w:pos="432"/>
      </w:tabs>
      <w:ind w:left="576" w:hanging="576"/>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927400"/>
    <w:pPr>
      <w:ind w:left="432" w:hanging="432"/>
      <w:outlineLvl w:val="9"/>
    </w:pPr>
  </w:style>
  <w:style w:type="character" w:customStyle="1" w:styleId="H4NumberChar">
    <w:name w:val="H4_Number Char"/>
    <w:basedOn w:val="Heading3Char"/>
    <w:link w:val="H4Number"/>
    <w:rsid w:val="00F90A26"/>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90A26"/>
    <w:pPr>
      <w:tabs>
        <w:tab w:val="clear" w:pos="432"/>
      </w:tabs>
      <w:ind w:left="576" w:hanging="576"/>
      <w:outlineLvl w:val="4"/>
    </w:pPr>
  </w:style>
  <w:style w:type="character" w:customStyle="1" w:styleId="H4NumberNoTOCChar">
    <w:name w:val="H4_Number_No TOC Char"/>
    <w:basedOn w:val="H4NumberChar"/>
    <w:link w:val="H4NumberNoTOC"/>
    <w:rsid w:val="00927400"/>
    <w:rPr>
      <w:rFonts w:ascii="Arial Black" w:eastAsia="Times New Roman" w:hAnsi="Arial Black" w:cs="Times New Roman"/>
      <w:b/>
      <w:sz w:val="22"/>
      <w:szCs w:val="20"/>
    </w:rPr>
  </w:style>
  <w:style w:type="character" w:customStyle="1" w:styleId="H5LowerChar">
    <w:name w:val="H5_Lower Char"/>
    <w:basedOn w:val="Heading4Char"/>
    <w:link w:val="H5Lower"/>
    <w:rsid w:val="00F90A26"/>
    <w:rPr>
      <w:rFonts w:eastAsia="Times New Roman" w:cs="Times New Roman"/>
      <w:b/>
      <w:szCs w:val="20"/>
    </w:rPr>
  </w:style>
  <w:style w:type="table" w:customStyle="1" w:styleId="SMPRTableBlue">
    <w:name w:val="SMPR_Table_Blue"/>
    <w:basedOn w:val="TableNormal"/>
    <w:uiPriority w:val="99"/>
    <w:rsid w:val="00586F7E"/>
    <w:pPr>
      <w:spacing w:after="0"/>
    </w:pPr>
    <w:rPr>
      <w:rFonts w:ascii="Lucida Sans" w:eastAsia="Times New Roman" w:hAnsi="Lucida Sans" w:cs="Times New Roman"/>
      <w:sz w:val="20"/>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CommentText">
    <w:name w:val="annotation text"/>
    <w:basedOn w:val="Normal"/>
    <w:link w:val="CommentTextChar"/>
    <w:uiPriority w:val="99"/>
    <w:unhideWhenUsed/>
    <w:rsid w:val="00AD70C9"/>
    <w:pPr>
      <w:spacing w:line="240" w:lineRule="auto"/>
    </w:pPr>
    <w:rPr>
      <w:sz w:val="20"/>
    </w:rPr>
  </w:style>
  <w:style w:type="character" w:customStyle="1" w:styleId="CommentTextChar">
    <w:name w:val="Comment Text Char"/>
    <w:basedOn w:val="DefaultParagraphFont"/>
    <w:link w:val="CommentText"/>
    <w:uiPriority w:val="99"/>
    <w:rsid w:val="00AD70C9"/>
    <w:rPr>
      <w:rFonts w:eastAsia="Times New Roman" w:cs="Times New Roman"/>
      <w:sz w:val="20"/>
      <w:szCs w:val="20"/>
    </w:rPr>
  </w:style>
  <w:style w:type="character" w:styleId="CommentReference">
    <w:name w:val="annotation reference"/>
    <w:basedOn w:val="DefaultParagraphFont"/>
    <w:uiPriority w:val="99"/>
    <w:unhideWhenUsed/>
    <w:rsid w:val="00AD70C9"/>
    <w:rPr>
      <w:sz w:val="16"/>
      <w:szCs w:val="16"/>
    </w:rPr>
  </w:style>
  <w:style w:type="character" w:customStyle="1" w:styleId="NormalSSChar">
    <w:name w:val="NormalSS Char"/>
    <w:basedOn w:val="DefaultParagraphFont"/>
    <w:link w:val="NormalSS"/>
    <w:locked/>
    <w:rsid w:val="00AF266C"/>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9C0118"/>
    <w:rPr>
      <w:b/>
      <w:bCs/>
    </w:rPr>
  </w:style>
  <w:style w:type="character" w:customStyle="1" w:styleId="CommentSubjectChar">
    <w:name w:val="Comment Subject Char"/>
    <w:basedOn w:val="CommentTextChar"/>
    <w:link w:val="CommentSubject"/>
    <w:uiPriority w:val="99"/>
    <w:semiHidden/>
    <w:rsid w:val="009C0118"/>
    <w:rPr>
      <w:rFonts w:eastAsia="Times New Roman" w:cs="Times New Roman"/>
      <w:b/>
      <w:bCs/>
      <w:sz w:val="20"/>
      <w:szCs w:val="20"/>
    </w:rPr>
  </w:style>
  <w:style w:type="paragraph" w:customStyle="1" w:styleId="ParagraphLASTSS">
    <w:name w:val="Paragraph (LAST SS)"/>
    <w:basedOn w:val="Normal"/>
    <w:qFormat/>
    <w:rsid w:val="005C1121"/>
    <w:pPr>
      <w:tabs>
        <w:tab w:val="left" w:pos="432"/>
      </w:tabs>
      <w:spacing w:after="480" w:line="240" w:lineRule="auto"/>
      <w:jc w:val="both"/>
    </w:pPr>
  </w:style>
  <w:style w:type="paragraph" w:customStyle="1" w:styleId="MarkforTableHeading">
    <w:name w:val="Mark for Table Heading"/>
    <w:basedOn w:val="Normal"/>
    <w:next w:val="Normal"/>
    <w:qFormat/>
    <w:rsid w:val="00C156CF"/>
    <w:pPr>
      <w:keepNext/>
      <w:tabs>
        <w:tab w:val="left" w:pos="432"/>
      </w:tabs>
      <w:spacing w:after="60" w:line="240" w:lineRule="auto"/>
      <w:ind w:firstLine="0"/>
      <w:jc w:val="both"/>
    </w:pPr>
    <w:rPr>
      <w:rFonts w:ascii="Lucida Sans" w:hAnsi="Lucida Sans"/>
      <w:b/>
      <w:sz w:val="18"/>
      <w:szCs w:val="24"/>
    </w:rPr>
  </w:style>
  <w:style w:type="paragraph" w:styleId="BlockText">
    <w:name w:val="Block Text"/>
    <w:basedOn w:val="Normal"/>
    <w:semiHidden/>
    <w:rsid w:val="009F46AE"/>
    <w:pPr>
      <w:spacing w:line="240" w:lineRule="auto"/>
      <w:ind w:left="2880" w:right="2880" w:firstLine="0"/>
    </w:pPr>
    <w:rPr>
      <w:b/>
      <w:snapToGrid w:val="0"/>
      <w:sz w:val="32"/>
      <w:szCs w:val="24"/>
    </w:rPr>
  </w:style>
  <w:style w:type="paragraph" w:styleId="Revision">
    <w:name w:val="Revision"/>
    <w:hidden/>
    <w:uiPriority w:val="99"/>
    <w:semiHidden/>
    <w:rsid w:val="006E4B45"/>
    <w:pPr>
      <w:spacing w:after="0"/>
    </w:pPr>
    <w:rPr>
      <w:rFonts w:eastAsia="Times New Roman" w:cs="Times New Roman"/>
      <w:szCs w:val="20"/>
    </w:rPr>
  </w:style>
  <w:style w:type="paragraph" w:customStyle="1" w:styleId="disclosure">
    <w:name w:val="disclosure"/>
    <w:basedOn w:val="Footer"/>
    <w:qFormat/>
    <w:rsid w:val="00030229"/>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4A4DBD"/>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4A4DBD"/>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styleId="NormalWeb">
    <w:name w:val="Normal (Web)"/>
    <w:basedOn w:val="Normal"/>
    <w:uiPriority w:val="99"/>
    <w:unhideWhenUsed/>
    <w:rsid w:val="00957A7A"/>
    <w:pPr>
      <w:spacing w:before="100" w:beforeAutospacing="1" w:after="100" w:afterAutospacing="1" w:line="240" w:lineRule="auto"/>
      <w:ind w:firstLine="0"/>
    </w:pPr>
    <w:rPr>
      <w:szCs w:val="24"/>
    </w:rPr>
  </w:style>
  <w:style w:type="table" w:customStyle="1" w:styleId="TableGrid1">
    <w:name w:val="Table Grid1"/>
    <w:basedOn w:val="TableNormal"/>
    <w:next w:val="TableGrid"/>
    <w:uiPriority w:val="59"/>
    <w:rsid w:val="00C32C03"/>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uiPriority w:val="99"/>
    <w:unhideWhenUsed/>
    <w:rsid w:val="008F0E5D"/>
    <w:pPr>
      <w:numPr>
        <w:numId w:val="53"/>
      </w:numPr>
      <w:contextualSpacing/>
    </w:pPr>
  </w:style>
  <w:style w:type="character" w:styleId="Strong">
    <w:name w:val="Strong"/>
    <w:basedOn w:val="DefaultParagraphFont"/>
    <w:uiPriority w:val="22"/>
    <w:qFormat/>
    <w:rsid w:val="00AF65EC"/>
    <w:rPr>
      <w:b/>
      <w:bCs/>
    </w:rPr>
  </w:style>
  <w:style w:type="character" w:styleId="Hyperlink">
    <w:name w:val="Hyperlink"/>
    <w:basedOn w:val="DefaultParagraphFont"/>
    <w:uiPriority w:val="99"/>
    <w:unhideWhenUsed/>
    <w:rsid w:val="00D33E83"/>
    <w:rPr>
      <w:color w:val="0000FF" w:themeColor="hyperlink"/>
      <w:u w:val="single"/>
    </w:rPr>
  </w:style>
  <w:style w:type="character" w:styleId="FollowedHyperlink">
    <w:name w:val="FollowedHyperlink"/>
    <w:basedOn w:val="DefaultParagraphFont"/>
    <w:semiHidden/>
    <w:unhideWhenUsed/>
    <w:rsid w:val="003E6D33"/>
    <w:rPr>
      <w:color w:val="800080" w:themeColor="followedHyperlink"/>
      <w:u w:val="single"/>
    </w:rPr>
  </w:style>
  <w:style w:type="paragraph" w:customStyle="1" w:styleId="ProprietaryStatement">
    <w:name w:val="Proprietary Statement"/>
    <w:basedOn w:val="NormalSS"/>
    <w:qFormat/>
    <w:rsid w:val="006808E1"/>
    <w:pPr>
      <w:spacing w:before="120" w:after="0"/>
      <w:ind w:firstLine="0"/>
    </w:pPr>
    <w:rPr>
      <w:rFonts w:ascii="Arial" w:hAnsi="Arial" w:cs="Arial"/>
      <w:sz w:val="16"/>
      <w:szCs w:val="16"/>
    </w:rPr>
  </w:style>
  <w:style w:type="paragraph" w:customStyle="1" w:styleId="m-3771849752992489003m-2983994143334823113gmail-msolistparagraph">
    <w:name w:val="m_-3771849752992489003m-2983994143334823113gmail-msolistparagraph"/>
    <w:basedOn w:val="Normal"/>
    <w:rsid w:val="004C2299"/>
    <w:pPr>
      <w:spacing w:before="100" w:beforeAutospacing="1" w:after="100" w:afterAutospacing="1" w:line="240" w:lineRule="auto"/>
      <w:ind w:firstLine="0"/>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C53"/>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EA421E"/>
    <w:pPr>
      <w:tabs>
        <w:tab w:val="right" w:leader="dot" w:pos="9360"/>
      </w:tabs>
      <w:spacing w:after="140" w:line="240" w:lineRule="exact"/>
      <w:ind w:left="1080" w:right="720" w:hanging="1080"/>
    </w:pPr>
    <w:rPr>
      <w:rFonts w:ascii="Arial" w:eastAsia="Times New Roman" w:hAnsi="Arial" w:cs="Times New Roman"/>
      <w:caps/>
      <w:sz w:val="20"/>
      <w:szCs w:val="20"/>
    </w:rPr>
  </w:style>
  <w:style w:type="paragraph" w:styleId="TOC2">
    <w:name w:val="toc 2"/>
    <w:next w:val="Normal"/>
    <w:autoRedefine/>
    <w:uiPriority w:val="39"/>
    <w:qFormat/>
    <w:rsid w:val="00EA421E"/>
    <w:pPr>
      <w:tabs>
        <w:tab w:val="right" w:leader="dot" w:pos="9360"/>
      </w:tabs>
      <w:spacing w:after="140" w:line="240" w:lineRule="exact"/>
      <w:ind w:left="1656" w:right="720" w:hanging="576"/>
    </w:pPr>
    <w:rPr>
      <w:rFonts w:ascii="Arial" w:eastAsia="Times New Roman" w:hAnsi="Arial" w:cs="Times New Roman"/>
      <w:noProof/>
      <w:sz w:val="20"/>
      <w:szCs w:val="20"/>
    </w:rPr>
  </w:style>
  <w:style w:type="paragraph" w:styleId="TOC3">
    <w:name w:val="toc 3"/>
    <w:basedOn w:val="TOC2"/>
    <w:next w:val="Normal"/>
    <w:autoRedefine/>
    <w:uiPriority w:val="39"/>
    <w:qFormat/>
    <w:rsid w:val="00F90A26"/>
    <w:pPr>
      <w:tabs>
        <w:tab w:val="left" w:pos="1440"/>
      </w:tabs>
      <w:spacing w:after="120"/>
      <w:ind w:left="1872"/>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1E1C69"/>
    <w:pPr>
      <w:tabs>
        <w:tab w:val="right" w:leader="dot" w:pos="9360"/>
      </w:tabs>
      <w:spacing w:after="140" w:line="240" w:lineRule="exact"/>
      <w:ind w:left="1584" w:right="720" w:hanging="1584"/>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numPr>
        <w:numId w:val="0"/>
      </w:num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2141B"/>
    <w:pPr>
      <w:framePr w:wrap="auto" w:vAnchor="margin" w:yAlign="inline"/>
      <w:pBdr>
        <w:bottom w:val="none" w:sz="0" w:space="0" w:color="auto"/>
      </w:pBdr>
      <w:tabs>
        <w:tab w:val="clear" w:pos="432"/>
      </w:tabs>
      <w:spacing w:before="0" w:after="120"/>
      <w:ind w:left="720" w:hanging="720"/>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62141B"/>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90A26"/>
    <w:pPr>
      <w:tabs>
        <w:tab w:val="clear" w:pos="432"/>
      </w:tabs>
      <w:ind w:left="576" w:hanging="576"/>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927400"/>
    <w:pPr>
      <w:ind w:left="432" w:hanging="432"/>
      <w:outlineLvl w:val="9"/>
    </w:pPr>
  </w:style>
  <w:style w:type="character" w:customStyle="1" w:styleId="H4NumberChar">
    <w:name w:val="H4_Number Char"/>
    <w:basedOn w:val="Heading3Char"/>
    <w:link w:val="H4Number"/>
    <w:rsid w:val="00F90A26"/>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90A26"/>
    <w:pPr>
      <w:tabs>
        <w:tab w:val="clear" w:pos="432"/>
      </w:tabs>
      <w:ind w:left="576" w:hanging="576"/>
      <w:outlineLvl w:val="4"/>
    </w:pPr>
  </w:style>
  <w:style w:type="character" w:customStyle="1" w:styleId="H4NumberNoTOCChar">
    <w:name w:val="H4_Number_No TOC Char"/>
    <w:basedOn w:val="H4NumberChar"/>
    <w:link w:val="H4NumberNoTOC"/>
    <w:rsid w:val="00927400"/>
    <w:rPr>
      <w:rFonts w:ascii="Arial Black" w:eastAsia="Times New Roman" w:hAnsi="Arial Black" w:cs="Times New Roman"/>
      <w:b/>
      <w:sz w:val="22"/>
      <w:szCs w:val="20"/>
    </w:rPr>
  </w:style>
  <w:style w:type="character" w:customStyle="1" w:styleId="H5LowerChar">
    <w:name w:val="H5_Lower Char"/>
    <w:basedOn w:val="Heading4Char"/>
    <w:link w:val="H5Lower"/>
    <w:rsid w:val="00F90A26"/>
    <w:rPr>
      <w:rFonts w:eastAsia="Times New Roman" w:cs="Times New Roman"/>
      <w:b/>
      <w:szCs w:val="20"/>
    </w:rPr>
  </w:style>
  <w:style w:type="table" w:customStyle="1" w:styleId="SMPRTableBlue">
    <w:name w:val="SMPR_Table_Blue"/>
    <w:basedOn w:val="TableNormal"/>
    <w:uiPriority w:val="99"/>
    <w:rsid w:val="00586F7E"/>
    <w:pPr>
      <w:spacing w:after="0"/>
    </w:pPr>
    <w:rPr>
      <w:rFonts w:ascii="Lucida Sans" w:eastAsia="Times New Roman" w:hAnsi="Lucida Sans" w:cs="Times New Roman"/>
      <w:sz w:val="20"/>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CommentText">
    <w:name w:val="annotation text"/>
    <w:basedOn w:val="Normal"/>
    <w:link w:val="CommentTextChar"/>
    <w:uiPriority w:val="99"/>
    <w:unhideWhenUsed/>
    <w:rsid w:val="00AD70C9"/>
    <w:pPr>
      <w:spacing w:line="240" w:lineRule="auto"/>
    </w:pPr>
    <w:rPr>
      <w:sz w:val="20"/>
    </w:rPr>
  </w:style>
  <w:style w:type="character" w:customStyle="1" w:styleId="CommentTextChar">
    <w:name w:val="Comment Text Char"/>
    <w:basedOn w:val="DefaultParagraphFont"/>
    <w:link w:val="CommentText"/>
    <w:uiPriority w:val="99"/>
    <w:rsid w:val="00AD70C9"/>
    <w:rPr>
      <w:rFonts w:eastAsia="Times New Roman" w:cs="Times New Roman"/>
      <w:sz w:val="20"/>
      <w:szCs w:val="20"/>
    </w:rPr>
  </w:style>
  <w:style w:type="character" w:styleId="CommentReference">
    <w:name w:val="annotation reference"/>
    <w:basedOn w:val="DefaultParagraphFont"/>
    <w:uiPriority w:val="99"/>
    <w:unhideWhenUsed/>
    <w:rsid w:val="00AD70C9"/>
    <w:rPr>
      <w:sz w:val="16"/>
      <w:szCs w:val="16"/>
    </w:rPr>
  </w:style>
  <w:style w:type="character" w:customStyle="1" w:styleId="NormalSSChar">
    <w:name w:val="NormalSS Char"/>
    <w:basedOn w:val="DefaultParagraphFont"/>
    <w:link w:val="NormalSS"/>
    <w:locked/>
    <w:rsid w:val="00AF266C"/>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9C0118"/>
    <w:rPr>
      <w:b/>
      <w:bCs/>
    </w:rPr>
  </w:style>
  <w:style w:type="character" w:customStyle="1" w:styleId="CommentSubjectChar">
    <w:name w:val="Comment Subject Char"/>
    <w:basedOn w:val="CommentTextChar"/>
    <w:link w:val="CommentSubject"/>
    <w:uiPriority w:val="99"/>
    <w:semiHidden/>
    <w:rsid w:val="009C0118"/>
    <w:rPr>
      <w:rFonts w:eastAsia="Times New Roman" w:cs="Times New Roman"/>
      <w:b/>
      <w:bCs/>
      <w:sz w:val="20"/>
      <w:szCs w:val="20"/>
    </w:rPr>
  </w:style>
  <w:style w:type="paragraph" w:customStyle="1" w:styleId="ParagraphLASTSS">
    <w:name w:val="Paragraph (LAST SS)"/>
    <w:basedOn w:val="Normal"/>
    <w:qFormat/>
    <w:rsid w:val="005C1121"/>
    <w:pPr>
      <w:tabs>
        <w:tab w:val="left" w:pos="432"/>
      </w:tabs>
      <w:spacing w:after="480" w:line="240" w:lineRule="auto"/>
      <w:jc w:val="both"/>
    </w:pPr>
  </w:style>
  <w:style w:type="paragraph" w:customStyle="1" w:styleId="MarkforTableHeading">
    <w:name w:val="Mark for Table Heading"/>
    <w:basedOn w:val="Normal"/>
    <w:next w:val="Normal"/>
    <w:qFormat/>
    <w:rsid w:val="00C156CF"/>
    <w:pPr>
      <w:keepNext/>
      <w:tabs>
        <w:tab w:val="left" w:pos="432"/>
      </w:tabs>
      <w:spacing w:after="60" w:line="240" w:lineRule="auto"/>
      <w:ind w:firstLine="0"/>
      <w:jc w:val="both"/>
    </w:pPr>
    <w:rPr>
      <w:rFonts w:ascii="Lucida Sans" w:hAnsi="Lucida Sans"/>
      <w:b/>
      <w:sz w:val="18"/>
      <w:szCs w:val="24"/>
    </w:rPr>
  </w:style>
  <w:style w:type="paragraph" w:styleId="BlockText">
    <w:name w:val="Block Text"/>
    <w:basedOn w:val="Normal"/>
    <w:semiHidden/>
    <w:rsid w:val="009F46AE"/>
    <w:pPr>
      <w:spacing w:line="240" w:lineRule="auto"/>
      <w:ind w:left="2880" w:right="2880" w:firstLine="0"/>
    </w:pPr>
    <w:rPr>
      <w:b/>
      <w:snapToGrid w:val="0"/>
      <w:sz w:val="32"/>
      <w:szCs w:val="24"/>
    </w:rPr>
  </w:style>
  <w:style w:type="paragraph" w:styleId="Revision">
    <w:name w:val="Revision"/>
    <w:hidden/>
    <w:uiPriority w:val="99"/>
    <w:semiHidden/>
    <w:rsid w:val="006E4B45"/>
    <w:pPr>
      <w:spacing w:after="0"/>
    </w:pPr>
    <w:rPr>
      <w:rFonts w:eastAsia="Times New Roman" w:cs="Times New Roman"/>
      <w:szCs w:val="20"/>
    </w:rPr>
  </w:style>
  <w:style w:type="paragraph" w:customStyle="1" w:styleId="disclosure">
    <w:name w:val="disclosure"/>
    <w:basedOn w:val="Footer"/>
    <w:qFormat/>
    <w:rsid w:val="00030229"/>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4A4DBD"/>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4A4DBD"/>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styleId="NormalWeb">
    <w:name w:val="Normal (Web)"/>
    <w:basedOn w:val="Normal"/>
    <w:uiPriority w:val="99"/>
    <w:unhideWhenUsed/>
    <w:rsid w:val="00957A7A"/>
    <w:pPr>
      <w:spacing w:before="100" w:beforeAutospacing="1" w:after="100" w:afterAutospacing="1" w:line="240" w:lineRule="auto"/>
      <w:ind w:firstLine="0"/>
    </w:pPr>
    <w:rPr>
      <w:szCs w:val="24"/>
    </w:rPr>
  </w:style>
  <w:style w:type="table" w:customStyle="1" w:styleId="TableGrid1">
    <w:name w:val="Table Grid1"/>
    <w:basedOn w:val="TableNormal"/>
    <w:next w:val="TableGrid"/>
    <w:uiPriority w:val="59"/>
    <w:rsid w:val="00C32C03"/>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uiPriority w:val="99"/>
    <w:unhideWhenUsed/>
    <w:rsid w:val="008F0E5D"/>
    <w:pPr>
      <w:numPr>
        <w:numId w:val="53"/>
      </w:numPr>
      <w:contextualSpacing/>
    </w:pPr>
  </w:style>
  <w:style w:type="character" w:styleId="Strong">
    <w:name w:val="Strong"/>
    <w:basedOn w:val="DefaultParagraphFont"/>
    <w:uiPriority w:val="22"/>
    <w:qFormat/>
    <w:rsid w:val="00AF65EC"/>
    <w:rPr>
      <w:b/>
      <w:bCs/>
    </w:rPr>
  </w:style>
  <w:style w:type="character" w:styleId="Hyperlink">
    <w:name w:val="Hyperlink"/>
    <w:basedOn w:val="DefaultParagraphFont"/>
    <w:uiPriority w:val="99"/>
    <w:unhideWhenUsed/>
    <w:rsid w:val="00D33E83"/>
    <w:rPr>
      <w:color w:val="0000FF" w:themeColor="hyperlink"/>
      <w:u w:val="single"/>
    </w:rPr>
  </w:style>
  <w:style w:type="character" w:styleId="FollowedHyperlink">
    <w:name w:val="FollowedHyperlink"/>
    <w:basedOn w:val="DefaultParagraphFont"/>
    <w:semiHidden/>
    <w:unhideWhenUsed/>
    <w:rsid w:val="003E6D33"/>
    <w:rPr>
      <w:color w:val="800080" w:themeColor="followedHyperlink"/>
      <w:u w:val="single"/>
    </w:rPr>
  </w:style>
  <w:style w:type="paragraph" w:customStyle="1" w:styleId="ProprietaryStatement">
    <w:name w:val="Proprietary Statement"/>
    <w:basedOn w:val="NormalSS"/>
    <w:qFormat/>
    <w:rsid w:val="006808E1"/>
    <w:pPr>
      <w:spacing w:before="120" w:after="0"/>
      <w:ind w:firstLine="0"/>
    </w:pPr>
    <w:rPr>
      <w:rFonts w:ascii="Arial" w:hAnsi="Arial" w:cs="Arial"/>
      <w:sz w:val="16"/>
      <w:szCs w:val="16"/>
    </w:rPr>
  </w:style>
  <w:style w:type="paragraph" w:customStyle="1" w:styleId="m-3771849752992489003m-2983994143334823113gmail-msolistparagraph">
    <w:name w:val="m_-3771849752992489003m-2983994143334823113gmail-msolistparagraph"/>
    <w:basedOn w:val="Normal"/>
    <w:rsid w:val="004C2299"/>
    <w:pPr>
      <w:spacing w:before="100" w:beforeAutospacing="1" w:after="100" w:afterAutospacing="1" w:line="240" w:lineRule="auto"/>
      <w:ind w:firstLine="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5273">
      <w:bodyDiv w:val="1"/>
      <w:marLeft w:val="0"/>
      <w:marRight w:val="0"/>
      <w:marTop w:val="0"/>
      <w:marBottom w:val="0"/>
      <w:divBdr>
        <w:top w:val="none" w:sz="0" w:space="0" w:color="auto"/>
        <w:left w:val="none" w:sz="0" w:space="0" w:color="auto"/>
        <w:bottom w:val="none" w:sz="0" w:space="0" w:color="auto"/>
        <w:right w:val="none" w:sz="0" w:space="0" w:color="auto"/>
      </w:divBdr>
    </w:div>
    <w:div w:id="123890439">
      <w:bodyDiv w:val="1"/>
      <w:marLeft w:val="0"/>
      <w:marRight w:val="0"/>
      <w:marTop w:val="0"/>
      <w:marBottom w:val="0"/>
      <w:divBdr>
        <w:top w:val="none" w:sz="0" w:space="0" w:color="auto"/>
        <w:left w:val="none" w:sz="0" w:space="0" w:color="auto"/>
        <w:bottom w:val="none" w:sz="0" w:space="0" w:color="auto"/>
        <w:right w:val="none" w:sz="0" w:space="0" w:color="auto"/>
      </w:divBdr>
    </w:div>
    <w:div w:id="228463328">
      <w:bodyDiv w:val="1"/>
      <w:marLeft w:val="0"/>
      <w:marRight w:val="0"/>
      <w:marTop w:val="0"/>
      <w:marBottom w:val="0"/>
      <w:divBdr>
        <w:top w:val="none" w:sz="0" w:space="0" w:color="auto"/>
        <w:left w:val="none" w:sz="0" w:space="0" w:color="auto"/>
        <w:bottom w:val="none" w:sz="0" w:space="0" w:color="auto"/>
        <w:right w:val="none" w:sz="0" w:space="0" w:color="auto"/>
      </w:divBdr>
    </w:div>
    <w:div w:id="373048131">
      <w:bodyDiv w:val="1"/>
      <w:marLeft w:val="0"/>
      <w:marRight w:val="0"/>
      <w:marTop w:val="0"/>
      <w:marBottom w:val="0"/>
      <w:divBdr>
        <w:top w:val="none" w:sz="0" w:space="0" w:color="auto"/>
        <w:left w:val="none" w:sz="0" w:space="0" w:color="auto"/>
        <w:bottom w:val="none" w:sz="0" w:space="0" w:color="auto"/>
        <w:right w:val="none" w:sz="0" w:space="0" w:color="auto"/>
      </w:divBdr>
    </w:div>
    <w:div w:id="508955214">
      <w:bodyDiv w:val="1"/>
      <w:marLeft w:val="0"/>
      <w:marRight w:val="0"/>
      <w:marTop w:val="0"/>
      <w:marBottom w:val="0"/>
      <w:divBdr>
        <w:top w:val="none" w:sz="0" w:space="0" w:color="auto"/>
        <w:left w:val="none" w:sz="0" w:space="0" w:color="auto"/>
        <w:bottom w:val="none" w:sz="0" w:space="0" w:color="auto"/>
        <w:right w:val="none" w:sz="0" w:space="0" w:color="auto"/>
      </w:divBdr>
    </w:div>
    <w:div w:id="542136811">
      <w:bodyDiv w:val="1"/>
      <w:marLeft w:val="0"/>
      <w:marRight w:val="0"/>
      <w:marTop w:val="0"/>
      <w:marBottom w:val="0"/>
      <w:divBdr>
        <w:top w:val="none" w:sz="0" w:space="0" w:color="auto"/>
        <w:left w:val="none" w:sz="0" w:space="0" w:color="auto"/>
        <w:bottom w:val="none" w:sz="0" w:space="0" w:color="auto"/>
        <w:right w:val="none" w:sz="0" w:space="0" w:color="auto"/>
      </w:divBdr>
    </w:div>
    <w:div w:id="648175726">
      <w:bodyDiv w:val="1"/>
      <w:marLeft w:val="0"/>
      <w:marRight w:val="0"/>
      <w:marTop w:val="0"/>
      <w:marBottom w:val="0"/>
      <w:divBdr>
        <w:top w:val="none" w:sz="0" w:space="0" w:color="auto"/>
        <w:left w:val="none" w:sz="0" w:space="0" w:color="auto"/>
        <w:bottom w:val="none" w:sz="0" w:space="0" w:color="auto"/>
        <w:right w:val="none" w:sz="0" w:space="0" w:color="auto"/>
      </w:divBdr>
    </w:div>
    <w:div w:id="700597143">
      <w:bodyDiv w:val="1"/>
      <w:marLeft w:val="0"/>
      <w:marRight w:val="0"/>
      <w:marTop w:val="0"/>
      <w:marBottom w:val="0"/>
      <w:divBdr>
        <w:top w:val="none" w:sz="0" w:space="0" w:color="auto"/>
        <w:left w:val="none" w:sz="0" w:space="0" w:color="auto"/>
        <w:bottom w:val="none" w:sz="0" w:space="0" w:color="auto"/>
        <w:right w:val="none" w:sz="0" w:space="0" w:color="auto"/>
      </w:divBdr>
    </w:div>
    <w:div w:id="702707037">
      <w:bodyDiv w:val="1"/>
      <w:marLeft w:val="0"/>
      <w:marRight w:val="0"/>
      <w:marTop w:val="0"/>
      <w:marBottom w:val="0"/>
      <w:divBdr>
        <w:top w:val="none" w:sz="0" w:space="0" w:color="auto"/>
        <w:left w:val="none" w:sz="0" w:space="0" w:color="auto"/>
        <w:bottom w:val="none" w:sz="0" w:space="0" w:color="auto"/>
        <w:right w:val="none" w:sz="0" w:space="0" w:color="auto"/>
      </w:divBdr>
    </w:div>
    <w:div w:id="758059067">
      <w:bodyDiv w:val="1"/>
      <w:marLeft w:val="0"/>
      <w:marRight w:val="0"/>
      <w:marTop w:val="0"/>
      <w:marBottom w:val="0"/>
      <w:divBdr>
        <w:top w:val="none" w:sz="0" w:space="0" w:color="auto"/>
        <w:left w:val="none" w:sz="0" w:space="0" w:color="auto"/>
        <w:bottom w:val="none" w:sz="0" w:space="0" w:color="auto"/>
        <w:right w:val="none" w:sz="0" w:space="0" w:color="auto"/>
      </w:divBdr>
    </w:div>
    <w:div w:id="782310143">
      <w:bodyDiv w:val="1"/>
      <w:marLeft w:val="0"/>
      <w:marRight w:val="0"/>
      <w:marTop w:val="0"/>
      <w:marBottom w:val="0"/>
      <w:divBdr>
        <w:top w:val="none" w:sz="0" w:space="0" w:color="auto"/>
        <w:left w:val="none" w:sz="0" w:space="0" w:color="auto"/>
        <w:bottom w:val="none" w:sz="0" w:space="0" w:color="auto"/>
        <w:right w:val="none" w:sz="0" w:space="0" w:color="auto"/>
      </w:divBdr>
    </w:div>
    <w:div w:id="895316118">
      <w:bodyDiv w:val="1"/>
      <w:marLeft w:val="0"/>
      <w:marRight w:val="0"/>
      <w:marTop w:val="0"/>
      <w:marBottom w:val="0"/>
      <w:divBdr>
        <w:top w:val="none" w:sz="0" w:space="0" w:color="auto"/>
        <w:left w:val="none" w:sz="0" w:space="0" w:color="auto"/>
        <w:bottom w:val="none" w:sz="0" w:space="0" w:color="auto"/>
        <w:right w:val="none" w:sz="0" w:space="0" w:color="auto"/>
      </w:divBdr>
    </w:div>
    <w:div w:id="967932926">
      <w:bodyDiv w:val="1"/>
      <w:marLeft w:val="0"/>
      <w:marRight w:val="0"/>
      <w:marTop w:val="0"/>
      <w:marBottom w:val="0"/>
      <w:divBdr>
        <w:top w:val="none" w:sz="0" w:space="0" w:color="auto"/>
        <w:left w:val="none" w:sz="0" w:space="0" w:color="auto"/>
        <w:bottom w:val="none" w:sz="0" w:space="0" w:color="auto"/>
        <w:right w:val="none" w:sz="0" w:space="0" w:color="auto"/>
      </w:divBdr>
    </w:div>
    <w:div w:id="1009915952">
      <w:bodyDiv w:val="1"/>
      <w:marLeft w:val="0"/>
      <w:marRight w:val="0"/>
      <w:marTop w:val="0"/>
      <w:marBottom w:val="0"/>
      <w:divBdr>
        <w:top w:val="none" w:sz="0" w:space="0" w:color="auto"/>
        <w:left w:val="none" w:sz="0" w:space="0" w:color="auto"/>
        <w:bottom w:val="none" w:sz="0" w:space="0" w:color="auto"/>
        <w:right w:val="none" w:sz="0" w:space="0" w:color="auto"/>
      </w:divBdr>
    </w:div>
    <w:div w:id="1155947573">
      <w:bodyDiv w:val="1"/>
      <w:marLeft w:val="0"/>
      <w:marRight w:val="0"/>
      <w:marTop w:val="0"/>
      <w:marBottom w:val="0"/>
      <w:divBdr>
        <w:top w:val="none" w:sz="0" w:space="0" w:color="auto"/>
        <w:left w:val="none" w:sz="0" w:space="0" w:color="auto"/>
        <w:bottom w:val="none" w:sz="0" w:space="0" w:color="auto"/>
        <w:right w:val="none" w:sz="0" w:space="0" w:color="auto"/>
      </w:divBdr>
    </w:div>
    <w:div w:id="1189565289">
      <w:bodyDiv w:val="1"/>
      <w:marLeft w:val="0"/>
      <w:marRight w:val="0"/>
      <w:marTop w:val="0"/>
      <w:marBottom w:val="0"/>
      <w:divBdr>
        <w:top w:val="none" w:sz="0" w:space="0" w:color="auto"/>
        <w:left w:val="none" w:sz="0" w:space="0" w:color="auto"/>
        <w:bottom w:val="none" w:sz="0" w:space="0" w:color="auto"/>
        <w:right w:val="none" w:sz="0" w:space="0" w:color="auto"/>
      </w:divBdr>
      <w:divsChild>
        <w:div w:id="773212684">
          <w:marLeft w:val="0"/>
          <w:marRight w:val="0"/>
          <w:marTop w:val="0"/>
          <w:marBottom w:val="0"/>
          <w:divBdr>
            <w:top w:val="none" w:sz="0" w:space="0" w:color="auto"/>
            <w:left w:val="none" w:sz="0" w:space="0" w:color="auto"/>
            <w:bottom w:val="none" w:sz="0" w:space="0" w:color="auto"/>
            <w:right w:val="none" w:sz="0" w:space="0" w:color="auto"/>
          </w:divBdr>
        </w:div>
      </w:divsChild>
    </w:div>
    <w:div w:id="1193374119">
      <w:bodyDiv w:val="1"/>
      <w:marLeft w:val="0"/>
      <w:marRight w:val="0"/>
      <w:marTop w:val="0"/>
      <w:marBottom w:val="0"/>
      <w:divBdr>
        <w:top w:val="none" w:sz="0" w:space="0" w:color="auto"/>
        <w:left w:val="none" w:sz="0" w:space="0" w:color="auto"/>
        <w:bottom w:val="none" w:sz="0" w:space="0" w:color="auto"/>
        <w:right w:val="none" w:sz="0" w:space="0" w:color="auto"/>
      </w:divBdr>
    </w:div>
    <w:div w:id="1224440387">
      <w:bodyDiv w:val="1"/>
      <w:marLeft w:val="0"/>
      <w:marRight w:val="0"/>
      <w:marTop w:val="0"/>
      <w:marBottom w:val="0"/>
      <w:divBdr>
        <w:top w:val="none" w:sz="0" w:space="0" w:color="auto"/>
        <w:left w:val="none" w:sz="0" w:space="0" w:color="auto"/>
        <w:bottom w:val="none" w:sz="0" w:space="0" w:color="auto"/>
        <w:right w:val="none" w:sz="0" w:space="0" w:color="auto"/>
      </w:divBdr>
    </w:div>
    <w:div w:id="1236091160">
      <w:bodyDiv w:val="1"/>
      <w:marLeft w:val="0"/>
      <w:marRight w:val="0"/>
      <w:marTop w:val="0"/>
      <w:marBottom w:val="0"/>
      <w:divBdr>
        <w:top w:val="none" w:sz="0" w:space="0" w:color="auto"/>
        <w:left w:val="none" w:sz="0" w:space="0" w:color="auto"/>
        <w:bottom w:val="none" w:sz="0" w:space="0" w:color="auto"/>
        <w:right w:val="none" w:sz="0" w:space="0" w:color="auto"/>
      </w:divBdr>
      <w:divsChild>
        <w:div w:id="231626263">
          <w:marLeft w:val="0"/>
          <w:marRight w:val="0"/>
          <w:marTop w:val="0"/>
          <w:marBottom w:val="375"/>
          <w:divBdr>
            <w:top w:val="none" w:sz="0" w:space="0" w:color="auto"/>
            <w:left w:val="none" w:sz="0" w:space="0" w:color="auto"/>
            <w:bottom w:val="none" w:sz="0" w:space="0" w:color="auto"/>
            <w:right w:val="none" w:sz="0" w:space="0" w:color="auto"/>
          </w:divBdr>
          <w:divsChild>
            <w:div w:id="318505661">
              <w:marLeft w:val="0"/>
              <w:marRight w:val="0"/>
              <w:marTop w:val="0"/>
              <w:marBottom w:val="375"/>
              <w:divBdr>
                <w:top w:val="none" w:sz="0" w:space="0" w:color="auto"/>
                <w:left w:val="none" w:sz="0" w:space="0" w:color="auto"/>
                <w:bottom w:val="none" w:sz="0" w:space="0" w:color="auto"/>
                <w:right w:val="none" w:sz="0" w:space="0" w:color="auto"/>
              </w:divBdr>
              <w:divsChild>
                <w:div w:id="1054112624">
                  <w:marLeft w:val="0"/>
                  <w:marRight w:val="0"/>
                  <w:marTop w:val="225"/>
                  <w:marBottom w:val="0"/>
                  <w:divBdr>
                    <w:top w:val="none" w:sz="0" w:space="0" w:color="auto"/>
                    <w:left w:val="none" w:sz="0" w:space="0" w:color="auto"/>
                    <w:bottom w:val="none" w:sz="0" w:space="0" w:color="auto"/>
                    <w:right w:val="none" w:sz="0" w:space="0" w:color="auto"/>
                  </w:divBdr>
                  <w:divsChild>
                    <w:div w:id="923957672">
                      <w:marLeft w:val="0"/>
                      <w:marRight w:val="0"/>
                      <w:marTop w:val="0"/>
                      <w:marBottom w:val="0"/>
                      <w:divBdr>
                        <w:top w:val="none" w:sz="0" w:space="0" w:color="auto"/>
                        <w:left w:val="none" w:sz="0" w:space="0" w:color="auto"/>
                        <w:bottom w:val="none" w:sz="0" w:space="0" w:color="auto"/>
                        <w:right w:val="none" w:sz="0" w:space="0" w:color="auto"/>
                      </w:divBdr>
                      <w:divsChild>
                        <w:div w:id="94986785">
                          <w:marLeft w:val="0"/>
                          <w:marRight w:val="0"/>
                          <w:marTop w:val="0"/>
                          <w:marBottom w:val="0"/>
                          <w:divBdr>
                            <w:top w:val="none" w:sz="0" w:space="0" w:color="auto"/>
                            <w:left w:val="none" w:sz="0" w:space="0" w:color="auto"/>
                            <w:bottom w:val="none" w:sz="0" w:space="0" w:color="auto"/>
                            <w:right w:val="none" w:sz="0" w:space="0" w:color="auto"/>
                          </w:divBdr>
                          <w:divsChild>
                            <w:div w:id="13379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10294">
      <w:bodyDiv w:val="1"/>
      <w:marLeft w:val="0"/>
      <w:marRight w:val="0"/>
      <w:marTop w:val="0"/>
      <w:marBottom w:val="0"/>
      <w:divBdr>
        <w:top w:val="none" w:sz="0" w:space="0" w:color="auto"/>
        <w:left w:val="none" w:sz="0" w:space="0" w:color="auto"/>
        <w:bottom w:val="none" w:sz="0" w:space="0" w:color="auto"/>
        <w:right w:val="none" w:sz="0" w:space="0" w:color="auto"/>
      </w:divBdr>
    </w:div>
    <w:div w:id="1410738160">
      <w:bodyDiv w:val="1"/>
      <w:marLeft w:val="0"/>
      <w:marRight w:val="0"/>
      <w:marTop w:val="0"/>
      <w:marBottom w:val="0"/>
      <w:divBdr>
        <w:top w:val="none" w:sz="0" w:space="0" w:color="auto"/>
        <w:left w:val="none" w:sz="0" w:space="0" w:color="auto"/>
        <w:bottom w:val="none" w:sz="0" w:space="0" w:color="auto"/>
        <w:right w:val="none" w:sz="0" w:space="0" w:color="auto"/>
      </w:divBdr>
    </w:div>
    <w:div w:id="1665161947">
      <w:bodyDiv w:val="1"/>
      <w:marLeft w:val="0"/>
      <w:marRight w:val="0"/>
      <w:marTop w:val="0"/>
      <w:marBottom w:val="0"/>
      <w:divBdr>
        <w:top w:val="none" w:sz="0" w:space="0" w:color="auto"/>
        <w:left w:val="none" w:sz="0" w:space="0" w:color="auto"/>
        <w:bottom w:val="none" w:sz="0" w:space="0" w:color="auto"/>
        <w:right w:val="none" w:sz="0" w:space="0" w:color="auto"/>
      </w:divBdr>
    </w:div>
    <w:div w:id="1674382208">
      <w:bodyDiv w:val="1"/>
      <w:marLeft w:val="0"/>
      <w:marRight w:val="0"/>
      <w:marTop w:val="0"/>
      <w:marBottom w:val="0"/>
      <w:divBdr>
        <w:top w:val="none" w:sz="0" w:space="0" w:color="auto"/>
        <w:left w:val="none" w:sz="0" w:space="0" w:color="auto"/>
        <w:bottom w:val="none" w:sz="0" w:space="0" w:color="auto"/>
        <w:right w:val="none" w:sz="0" w:space="0" w:color="auto"/>
      </w:divBdr>
    </w:div>
    <w:div w:id="1728260029">
      <w:bodyDiv w:val="1"/>
      <w:marLeft w:val="0"/>
      <w:marRight w:val="0"/>
      <w:marTop w:val="0"/>
      <w:marBottom w:val="0"/>
      <w:divBdr>
        <w:top w:val="none" w:sz="0" w:space="0" w:color="auto"/>
        <w:left w:val="none" w:sz="0" w:space="0" w:color="auto"/>
        <w:bottom w:val="none" w:sz="0" w:space="0" w:color="auto"/>
        <w:right w:val="none" w:sz="0" w:space="0" w:color="auto"/>
      </w:divBdr>
    </w:div>
    <w:div w:id="1732339764">
      <w:bodyDiv w:val="1"/>
      <w:marLeft w:val="0"/>
      <w:marRight w:val="0"/>
      <w:marTop w:val="0"/>
      <w:marBottom w:val="0"/>
      <w:divBdr>
        <w:top w:val="none" w:sz="0" w:space="0" w:color="auto"/>
        <w:left w:val="none" w:sz="0" w:space="0" w:color="auto"/>
        <w:bottom w:val="none" w:sz="0" w:space="0" w:color="auto"/>
        <w:right w:val="none" w:sz="0" w:space="0" w:color="auto"/>
      </w:divBdr>
      <w:divsChild>
        <w:div w:id="2040281401">
          <w:marLeft w:val="0"/>
          <w:marRight w:val="0"/>
          <w:marTop w:val="0"/>
          <w:marBottom w:val="375"/>
          <w:divBdr>
            <w:top w:val="none" w:sz="0" w:space="0" w:color="auto"/>
            <w:left w:val="none" w:sz="0" w:space="0" w:color="auto"/>
            <w:bottom w:val="none" w:sz="0" w:space="0" w:color="auto"/>
            <w:right w:val="none" w:sz="0" w:space="0" w:color="auto"/>
          </w:divBdr>
          <w:divsChild>
            <w:div w:id="306056066">
              <w:marLeft w:val="0"/>
              <w:marRight w:val="0"/>
              <w:marTop w:val="0"/>
              <w:marBottom w:val="375"/>
              <w:divBdr>
                <w:top w:val="none" w:sz="0" w:space="0" w:color="auto"/>
                <w:left w:val="none" w:sz="0" w:space="0" w:color="auto"/>
                <w:bottom w:val="none" w:sz="0" w:space="0" w:color="auto"/>
                <w:right w:val="none" w:sz="0" w:space="0" w:color="auto"/>
              </w:divBdr>
              <w:divsChild>
                <w:div w:id="1306666694">
                  <w:marLeft w:val="0"/>
                  <w:marRight w:val="0"/>
                  <w:marTop w:val="225"/>
                  <w:marBottom w:val="0"/>
                  <w:divBdr>
                    <w:top w:val="none" w:sz="0" w:space="0" w:color="auto"/>
                    <w:left w:val="none" w:sz="0" w:space="0" w:color="auto"/>
                    <w:bottom w:val="none" w:sz="0" w:space="0" w:color="auto"/>
                    <w:right w:val="none" w:sz="0" w:space="0" w:color="auto"/>
                  </w:divBdr>
                  <w:divsChild>
                    <w:div w:id="528763841">
                      <w:marLeft w:val="0"/>
                      <w:marRight w:val="0"/>
                      <w:marTop w:val="0"/>
                      <w:marBottom w:val="0"/>
                      <w:divBdr>
                        <w:top w:val="none" w:sz="0" w:space="0" w:color="auto"/>
                        <w:left w:val="none" w:sz="0" w:space="0" w:color="auto"/>
                        <w:bottom w:val="none" w:sz="0" w:space="0" w:color="auto"/>
                        <w:right w:val="none" w:sz="0" w:space="0" w:color="auto"/>
                      </w:divBdr>
                      <w:divsChild>
                        <w:div w:id="2037198372">
                          <w:marLeft w:val="0"/>
                          <w:marRight w:val="0"/>
                          <w:marTop w:val="0"/>
                          <w:marBottom w:val="0"/>
                          <w:divBdr>
                            <w:top w:val="none" w:sz="0" w:space="0" w:color="auto"/>
                            <w:left w:val="none" w:sz="0" w:space="0" w:color="auto"/>
                            <w:bottom w:val="none" w:sz="0" w:space="0" w:color="auto"/>
                            <w:right w:val="none" w:sz="0" w:space="0" w:color="auto"/>
                          </w:divBdr>
                          <w:divsChild>
                            <w:div w:id="118798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750223">
      <w:bodyDiv w:val="1"/>
      <w:marLeft w:val="0"/>
      <w:marRight w:val="0"/>
      <w:marTop w:val="0"/>
      <w:marBottom w:val="0"/>
      <w:divBdr>
        <w:top w:val="none" w:sz="0" w:space="0" w:color="auto"/>
        <w:left w:val="none" w:sz="0" w:space="0" w:color="auto"/>
        <w:bottom w:val="none" w:sz="0" w:space="0" w:color="auto"/>
        <w:right w:val="none" w:sz="0" w:space="0" w:color="auto"/>
      </w:divBdr>
    </w:div>
    <w:div w:id="1960644176">
      <w:bodyDiv w:val="1"/>
      <w:marLeft w:val="0"/>
      <w:marRight w:val="0"/>
      <w:marTop w:val="0"/>
      <w:marBottom w:val="0"/>
      <w:divBdr>
        <w:top w:val="none" w:sz="0" w:space="0" w:color="auto"/>
        <w:left w:val="none" w:sz="0" w:space="0" w:color="auto"/>
        <w:bottom w:val="none" w:sz="0" w:space="0" w:color="auto"/>
        <w:right w:val="none" w:sz="0" w:space="0" w:color="auto"/>
      </w:divBdr>
    </w:div>
    <w:div w:id="2042245379">
      <w:bodyDiv w:val="1"/>
      <w:marLeft w:val="0"/>
      <w:marRight w:val="0"/>
      <w:marTop w:val="0"/>
      <w:marBottom w:val="0"/>
      <w:divBdr>
        <w:top w:val="none" w:sz="0" w:space="0" w:color="auto"/>
        <w:left w:val="none" w:sz="0" w:space="0" w:color="auto"/>
        <w:bottom w:val="none" w:sz="0" w:space="0" w:color="auto"/>
        <w:right w:val="none" w:sz="0" w:space="0" w:color="auto"/>
      </w:divBdr>
      <w:divsChild>
        <w:div w:id="1017542150">
          <w:marLeft w:val="0"/>
          <w:marRight w:val="0"/>
          <w:marTop w:val="0"/>
          <w:marBottom w:val="0"/>
          <w:divBdr>
            <w:top w:val="none" w:sz="0" w:space="0" w:color="auto"/>
            <w:left w:val="none" w:sz="0" w:space="0" w:color="auto"/>
            <w:bottom w:val="none" w:sz="0" w:space="0" w:color="auto"/>
            <w:right w:val="none" w:sz="0" w:space="0" w:color="auto"/>
          </w:divBdr>
          <w:divsChild>
            <w:div w:id="1778987810">
              <w:marLeft w:val="0"/>
              <w:marRight w:val="0"/>
              <w:marTop w:val="90"/>
              <w:marBottom w:val="0"/>
              <w:divBdr>
                <w:top w:val="none" w:sz="0" w:space="0" w:color="auto"/>
                <w:left w:val="none" w:sz="0" w:space="0" w:color="auto"/>
                <w:bottom w:val="none" w:sz="0" w:space="0" w:color="auto"/>
                <w:right w:val="none" w:sz="0" w:space="0" w:color="auto"/>
              </w:divBdr>
              <w:divsChild>
                <w:div w:id="8107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242644">
      <w:bodyDiv w:val="1"/>
      <w:marLeft w:val="0"/>
      <w:marRight w:val="0"/>
      <w:marTop w:val="0"/>
      <w:marBottom w:val="0"/>
      <w:divBdr>
        <w:top w:val="none" w:sz="0" w:space="0" w:color="auto"/>
        <w:left w:val="none" w:sz="0" w:space="0" w:color="auto"/>
        <w:bottom w:val="none" w:sz="0" w:space="0" w:color="auto"/>
        <w:right w:val="none" w:sz="0" w:space="0" w:color="auto"/>
      </w:divBdr>
    </w:div>
    <w:div w:id="207893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aapor.org/Publications-Media/Public-Statements/AAPOR-Statement-on-Use-of-Incentives-in-Survey-Par.aspx" TargetMode="Externa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hyperlink" Target="https://nces.ed.gov/programs/digest/d17/tables/dt17_204.40.as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2.ed.gov/about/offices/list/ocr/docs/2013-14-first-look.pdf"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cbpp.org/research/state-budget-and-tax/most-states-have-cut-school-funding-and-some-continue-cutting" TargetMode="Externa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cbpp.org/research/state-budget-and-tax/at-risk-federal-grants-to-state-and-local-governments" TargetMode="External"/><Relationship Id="rId27" Type="http://schemas.openxmlformats.org/officeDocument/2006/relationships/footer" Target="foot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8F44C36E1649438E428CE455E00B28" ma:contentTypeVersion="0" ma:contentTypeDescription="Create a new document." ma:contentTypeScope="" ma:versionID="683520738c5f32573dccd361f623811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FCE80-DF21-4624-B7C6-B21845271FE2}">
  <ds:schemaRefs>
    <ds:schemaRef ds:uri="http://schemas.microsoft.com/sharepoint/v3/contenttype/forms"/>
  </ds:schemaRefs>
</ds:datastoreItem>
</file>

<file path=customXml/itemProps2.xml><?xml version="1.0" encoding="utf-8"?>
<ds:datastoreItem xmlns:ds="http://schemas.openxmlformats.org/officeDocument/2006/customXml" ds:itemID="{81D8F27A-3F3E-4D0E-92EE-06C445816E3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157D263-FACA-4BC8-8689-9F7D3FB78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52111E3-9E7F-44EC-9B1C-5041C6F44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5294</Words>
  <Characters>30180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Impact Study of Feedback for Teachers Based on Classroom Videos: Part A, Supporting Statement for Paperwork Reduction Act Submission</vt:lpstr>
    </vt:vector>
  </TitlesOfParts>
  <Company>Mathematica, Inc</Company>
  <LinksUpToDate>false</LinksUpToDate>
  <CharactersWithSpaces>35404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Study of Feedback for Teachers Based on Classroom Videos: Part A, Supporting Statement for Paperwork Reduction Act Submission</dc:title>
  <dc:subject>OMB</dc:subject>
  <dc:creator>MATHEMATICA</dc:creator>
  <cp:lastModifiedBy>SYSTEM</cp:lastModifiedBy>
  <cp:revision>2</cp:revision>
  <cp:lastPrinted>2019-04-04T16:03:00Z</cp:lastPrinted>
  <dcterms:created xsi:type="dcterms:W3CDTF">2019-08-19T14:23:00Z</dcterms:created>
  <dcterms:modified xsi:type="dcterms:W3CDTF">2019-08-19T14:23:00Z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0x010100498F44C36E1649438E428CE455E00B28</vt:lpwstr>
  </property>
</Properties>
</file>