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3F44D" w14:textId="77777777" w:rsidR="00252E9B" w:rsidRPr="005D5FA4" w:rsidRDefault="00252E9B" w:rsidP="00252E9B">
      <w:pPr>
        <w:spacing w:before="2040" w:line="560" w:lineRule="exact"/>
        <w:ind w:firstLine="0"/>
        <w:rPr>
          <w:rFonts w:ascii="Arial" w:hAnsi="Arial"/>
          <w:caps/>
          <w:spacing w:val="28"/>
          <w:sz w:val="17"/>
          <w:szCs w:val="26"/>
        </w:rPr>
      </w:pPr>
      <w:bookmarkStart w:id="0" w:name="_GoBack"/>
      <w:bookmarkEnd w:id="0"/>
      <w:r w:rsidRPr="005D5FA4">
        <w:rPr>
          <w:rFonts w:ascii="Arial" w:hAnsi="Arial"/>
          <w:caps/>
          <w:noProof/>
          <w:spacing w:val="28"/>
          <w:sz w:val="17"/>
          <w:szCs w:val="26"/>
        </w:rPr>
        <w:drawing>
          <wp:anchor distT="0" distB="0" distL="114300" distR="114300" simplePos="0" relativeHeight="251661312" behindDoc="0" locked="0" layoutInCell="1" allowOverlap="1" wp14:anchorId="4F3D543A" wp14:editId="7ED5199F">
            <wp:simplePos x="0" y="0"/>
            <wp:positionH relativeFrom="column">
              <wp:posOffset>-1701800</wp:posOffset>
            </wp:positionH>
            <wp:positionV relativeFrom="paragraph">
              <wp:posOffset>-76835</wp:posOffset>
            </wp:positionV>
            <wp:extent cx="1316736" cy="951963"/>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thematica Anniverary Logo.jpg"/>
                    <pic:cNvPicPr/>
                  </pic:nvPicPr>
                  <pic:blipFill>
                    <a:blip r:embed="rId12">
                      <a:extLst>
                        <a:ext uri="{28A0092B-C50C-407E-A947-70E740481C1C}">
                          <a14:useLocalDpi xmlns:a14="http://schemas.microsoft.com/office/drawing/2010/main" val="0"/>
                        </a:ext>
                      </a:extLst>
                    </a:blip>
                    <a:stretch>
                      <a:fillRect/>
                    </a:stretch>
                  </pic:blipFill>
                  <pic:spPr>
                    <a:xfrm>
                      <a:off x="0" y="0"/>
                      <a:ext cx="1316736" cy="951963"/>
                    </a:xfrm>
                    <a:prstGeom prst="rect">
                      <a:avLst/>
                    </a:prstGeom>
                  </pic:spPr>
                </pic:pic>
              </a:graphicData>
            </a:graphic>
            <wp14:sizeRelH relativeFrom="margin">
              <wp14:pctWidth>0</wp14:pctWidth>
            </wp14:sizeRelH>
            <wp14:sizeRelV relativeFrom="margin">
              <wp14:pctHeight>0</wp14:pctHeight>
            </wp14:sizeRelV>
          </wp:anchor>
        </w:drawing>
      </w:r>
      <w:r w:rsidRPr="005D5FA4">
        <w:rPr>
          <w:rFonts w:ascii="Arial" w:hAnsi="Arial"/>
          <w:caps/>
          <w:noProof/>
          <w:spacing w:val="28"/>
          <w:sz w:val="17"/>
          <w:szCs w:val="26"/>
        </w:rPr>
        <w:drawing>
          <wp:anchor distT="0" distB="0" distL="114300" distR="114300" simplePos="0" relativeHeight="251660288" behindDoc="0" locked="1" layoutInCell="1" allowOverlap="1" wp14:anchorId="5044DFD2" wp14:editId="7D4B6D40">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4876800" cy="1247775"/>
                    </a:xfrm>
                    <a:prstGeom prst="rect">
                      <a:avLst/>
                    </a:prstGeom>
                    <a:noFill/>
                  </pic:spPr>
                </pic:pic>
              </a:graphicData>
            </a:graphic>
          </wp:anchor>
        </w:drawing>
      </w:r>
    </w:p>
    <w:p w14:paraId="4D90069D" w14:textId="77777777" w:rsidR="00252E9B" w:rsidRPr="005D5FA4" w:rsidRDefault="00491D6F" w:rsidP="00252E9B">
      <w:pPr>
        <w:pBdr>
          <w:top w:val="single" w:sz="4" w:space="5" w:color="auto"/>
          <w:bottom w:val="single" w:sz="4" w:space="5" w:color="auto"/>
        </w:pBdr>
        <w:spacing w:after="184" w:line="440" w:lineRule="exact"/>
        <w:ind w:firstLine="0"/>
        <w:outlineLvl w:val="0"/>
        <w:rPr>
          <w:rFonts w:ascii="Arial Black" w:hAnsi="Arial Black"/>
          <w:color w:val="E70033"/>
          <w:sz w:val="37"/>
        </w:rPr>
      </w:pPr>
      <w:bookmarkStart w:id="1" w:name="RepTitle"/>
      <w:bookmarkEnd w:id="1"/>
      <w:r>
        <w:rPr>
          <w:rFonts w:ascii="Arial Black" w:hAnsi="Arial Black"/>
          <w:color w:val="E70033"/>
          <w:sz w:val="37"/>
          <w:lang w:val="en"/>
        </w:rPr>
        <w:t>T</w:t>
      </w:r>
      <w:r w:rsidR="00252E9B" w:rsidRPr="005D5FA4">
        <w:rPr>
          <w:rFonts w:ascii="Arial Black" w:hAnsi="Arial Black"/>
          <w:color w:val="E70033"/>
          <w:sz w:val="37"/>
          <w:lang w:val="en"/>
        </w:rPr>
        <w:t>he Individuals with Disabilities Education Act (</w:t>
      </w:r>
      <w:r w:rsidR="00252E9B" w:rsidRPr="005D5FA4">
        <w:rPr>
          <w:rFonts w:ascii="Arial Black" w:hAnsi="Arial Black"/>
          <w:color w:val="E70033"/>
          <w:sz w:val="37"/>
        </w:rPr>
        <w:t>IDEA)</w:t>
      </w:r>
      <w:r w:rsidRPr="00491D6F">
        <w:rPr>
          <w:rFonts w:ascii="Arial Black" w:hAnsi="Arial Black"/>
          <w:color w:val="E70033"/>
          <w:sz w:val="37"/>
          <w:lang w:val="en"/>
        </w:rPr>
        <w:t xml:space="preserve"> </w:t>
      </w:r>
      <w:r w:rsidRPr="005D5FA4">
        <w:rPr>
          <w:rFonts w:ascii="Arial Black" w:hAnsi="Arial Black"/>
          <w:color w:val="E70033"/>
          <w:sz w:val="37"/>
          <w:lang w:val="en"/>
        </w:rPr>
        <w:t>State and Local Implementation</w:t>
      </w:r>
      <w:r>
        <w:rPr>
          <w:rFonts w:ascii="Arial Black" w:hAnsi="Arial Black"/>
          <w:color w:val="E70033"/>
          <w:sz w:val="37"/>
          <w:lang w:val="en"/>
        </w:rPr>
        <w:t xml:space="preserve"> Study 2019</w:t>
      </w:r>
    </w:p>
    <w:p w14:paraId="295A8A4E" w14:textId="77777777" w:rsidR="00252E9B" w:rsidRPr="005D5FA4" w:rsidRDefault="00252E9B" w:rsidP="00252E9B">
      <w:pPr>
        <w:pBdr>
          <w:top w:val="single" w:sz="4" w:space="5" w:color="auto"/>
          <w:bottom w:val="single" w:sz="4" w:space="5" w:color="auto"/>
        </w:pBdr>
        <w:spacing w:after="184" w:line="440" w:lineRule="exact"/>
        <w:ind w:firstLine="0"/>
        <w:outlineLvl w:val="0"/>
        <w:rPr>
          <w:rFonts w:ascii="Arial Black" w:hAnsi="Arial Black"/>
          <w:color w:val="E70033"/>
          <w:sz w:val="37"/>
        </w:rPr>
      </w:pPr>
      <w:r>
        <w:rPr>
          <w:rFonts w:ascii="Arial Black" w:hAnsi="Arial Black"/>
          <w:color w:val="E70033"/>
          <w:sz w:val="37"/>
        </w:rPr>
        <w:t>Part B</w:t>
      </w:r>
      <w:r w:rsidRPr="005D5FA4">
        <w:rPr>
          <w:rFonts w:ascii="Arial Black" w:hAnsi="Arial Black"/>
          <w:color w:val="E70033"/>
          <w:sz w:val="37"/>
        </w:rPr>
        <w:t xml:space="preserve">: </w:t>
      </w:r>
      <w:r w:rsidRPr="005D5FA4">
        <w:rPr>
          <w:rFonts w:ascii="Arial Black" w:hAnsi="Arial Black"/>
          <w:noProof/>
          <w:color w:val="E70033"/>
          <w:sz w:val="37"/>
        </w:rPr>
        <w:drawing>
          <wp:anchor distT="0" distB="0" distL="114300" distR="114300" simplePos="0" relativeHeight="251659264" behindDoc="0" locked="1" layoutInCell="1" allowOverlap="1" wp14:anchorId="51AB3B04" wp14:editId="3103F194">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4876800" cy="1247775"/>
                    </a:xfrm>
                    <a:prstGeom prst="rect">
                      <a:avLst/>
                    </a:prstGeom>
                    <a:noFill/>
                  </pic:spPr>
                </pic:pic>
              </a:graphicData>
            </a:graphic>
          </wp:anchor>
        </w:drawing>
      </w:r>
      <w:r w:rsidRPr="004F6D63">
        <w:rPr>
          <w:rFonts w:ascii="Arial Black" w:hAnsi="Arial Black"/>
          <w:color w:val="E70033"/>
          <w:sz w:val="37"/>
        </w:rPr>
        <w:t xml:space="preserve"> </w:t>
      </w:r>
      <w:r>
        <w:rPr>
          <w:rFonts w:ascii="Arial Black" w:hAnsi="Arial Black"/>
          <w:color w:val="E70033"/>
          <w:sz w:val="37"/>
        </w:rPr>
        <w:t>Collection o</w:t>
      </w:r>
      <w:r w:rsidRPr="00A140E0">
        <w:rPr>
          <w:rFonts w:ascii="Arial Black" w:hAnsi="Arial Black"/>
          <w:color w:val="E70033"/>
          <w:sz w:val="37"/>
        </w:rPr>
        <w:t>f Information Employing Statistical Methods</w:t>
      </w:r>
    </w:p>
    <w:p w14:paraId="1178A0F0" w14:textId="77777777" w:rsidR="00252E9B" w:rsidRPr="005D5FA4" w:rsidRDefault="003251BF" w:rsidP="00252E9B">
      <w:pPr>
        <w:spacing w:line="440" w:lineRule="exact"/>
        <w:ind w:firstLine="0"/>
        <w:rPr>
          <w:rFonts w:ascii="Arial" w:hAnsi="Arial"/>
          <w:sz w:val="34"/>
          <w:szCs w:val="26"/>
        </w:rPr>
      </w:pPr>
      <w:bookmarkStart w:id="2" w:name="DateMark"/>
      <w:bookmarkEnd w:id="2"/>
      <w:r>
        <w:rPr>
          <w:rFonts w:ascii="Arial" w:hAnsi="Arial"/>
          <w:sz w:val="34"/>
          <w:szCs w:val="26"/>
        </w:rPr>
        <w:t>April 8</w:t>
      </w:r>
      <w:r w:rsidR="005B572B" w:rsidRPr="0030151A">
        <w:rPr>
          <w:rFonts w:ascii="Arial" w:hAnsi="Arial"/>
          <w:sz w:val="34"/>
          <w:szCs w:val="26"/>
        </w:rPr>
        <w:t>, 2019</w:t>
      </w:r>
    </w:p>
    <w:p w14:paraId="5BC2DF6B" w14:textId="77777777" w:rsidR="00252E9B" w:rsidRPr="005D5FA4" w:rsidRDefault="00252E9B" w:rsidP="00252E9B">
      <w:pPr>
        <w:pBdr>
          <w:bottom w:val="single" w:sz="4" w:space="1" w:color="auto"/>
        </w:pBdr>
        <w:spacing w:line="440" w:lineRule="exact"/>
        <w:ind w:firstLine="0"/>
        <w:rPr>
          <w:rFonts w:ascii="Arial" w:hAnsi="Arial"/>
          <w:sz w:val="34"/>
          <w:szCs w:val="26"/>
        </w:rPr>
      </w:pPr>
    </w:p>
    <w:p w14:paraId="5E01E99B" w14:textId="77777777" w:rsidR="00252E9B" w:rsidRPr="005D5FA4" w:rsidRDefault="00252E9B" w:rsidP="00252E9B">
      <w:pPr>
        <w:spacing w:before="120" w:line="260" w:lineRule="exact"/>
        <w:ind w:firstLine="0"/>
        <w:rPr>
          <w:rFonts w:ascii="Arial Black" w:hAnsi="Arial Black"/>
          <w:noProof/>
          <w:sz w:val="16"/>
          <w:szCs w:val="19"/>
        </w:rPr>
      </w:pPr>
      <w:r w:rsidRPr="005D5FA4">
        <w:rPr>
          <w:rFonts w:ascii="Arial Black" w:hAnsi="Arial Black"/>
          <w:noProof/>
          <w:sz w:val="16"/>
          <w:szCs w:val="19"/>
        </w:rPr>
        <w:t>Submitted to:</w:t>
      </w:r>
    </w:p>
    <w:p w14:paraId="0A6BC211" w14:textId="77777777" w:rsidR="00252E9B" w:rsidRPr="005D5FA4" w:rsidRDefault="00252E9B" w:rsidP="00252E9B">
      <w:pPr>
        <w:spacing w:line="260" w:lineRule="exact"/>
        <w:ind w:firstLine="0"/>
        <w:rPr>
          <w:rFonts w:ascii="Arial" w:hAnsi="Arial"/>
          <w:sz w:val="16"/>
          <w:szCs w:val="19"/>
        </w:rPr>
      </w:pPr>
      <w:bookmarkStart w:id="3" w:name="Agency"/>
      <w:bookmarkStart w:id="4" w:name="AgencyDept"/>
      <w:bookmarkStart w:id="5" w:name="AgencyAddress1"/>
      <w:bookmarkEnd w:id="3"/>
      <w:bookmarkEnd w:id="4"/>
      <w:bookmarkEnd w:id="5"/>
      <w:r w:rsidRPr="005D5FA4">
        <w:rPr>
          <w:rFonts w:ascii="Arial" w:hAnsi="Arial"/>
          <w:sz w:val="16"/>
          <w:szCs w:val="19"/>
        </w:rPr>
        <w:t>Institute of Education Sciences</w:t>
      </w:r>
    </w:p>
    <w:p w14:paraId="6300C916" w14:textId="77777777" w:rsidR="00252E9B" w:rsidRPr="005D5FA4" w:rsidRDefault="00252E9B" w:rsidP="00252E9B">
      <w:pPr>
        <w:spacing w:after="60" w:line="260" w:lineRule="exact"/>
        <w:ind w:firstLine="0"/>
        <w:contextualSpacing/>
        <w:rPr>
          <w:rFonts w:ascii="Arial" w:hAnsi="Arial"/>
          <w:sz w:val="16"/>
          <w:szCs w:val="19"/>
        </w:rPr>
      </w:pPr>
      <w:bookmarkStart w:id="6" w:name="AgencyAddress2"/>
      <w:bookmarkEnd w:id="6"/>
      <w:r w:rsidRPr="005D5FA4">
        <w:rPr>
          <w:rFonts w:ascii="Arial" w:hAnsi="Arial"/>
          <w:sz w:val="16"/>
          <w:szCs w:val="19"/>
        </w:rPr>
        <w:t>550 12th Street, S.W.</w:t>
      </w:r>
    </w:p>
    <w:p w14:paraId="302F32B3" w14:textId="77777777" w:rsidR="00252E9B" w:rsidRPr="005D5FA4" w:rsidRDefault="00252E9B" w:rsidP="00252E9B">
      <w:pPr>
        <w:spacing w:after="60" w:line="260" w:lineRule="exact"/>
        <w:ind w:firstLine="0"/>
        <w:contextualSpacing/>
        <w:rPr>
          <w:rFonts w:ascii="Arial" w:hAnsi="Arial"/>
          <w:sz w:val="16"/>
          <w:szCs w:val="19"/>
        </w:rPr>
      </w:pPr>
      <w:r>
        <w:rPr>
          <w:rFonts w:ascii="Arial" w:hAnsi="Arial"/>
          <w:sz w:val="16"/>
          <w:szCs w:val="19"/>
        </w:rPr>
        <w:t xml:space="preserve">Washington, DC </w:t>
      </w:r>
      <w:r w:rsidRPr="005D5FA4">
        <w:rPr>
          <w:rFonts w:ascii="Arial" w:hAnsi="Arial"/>
          <w:sz w:val="16"/>
          <w:szCs w:val="19"/>
        </w:rPr>
        <w:t>20202</w:t>
      </w:r>
    </w:p>
    <w:p w14:paraId="1DB8D179" w14:textId="77777777" w:rsidR="00252E9B" w:rsidRPr="005D5FA4" w:rsidRDefault="00252E9B" w:rsidP="00252E9B">
      <w:pPr>
        <w:pBdr>
          <w:bottom w:val="single" w:sz="4" w:space="1" w:color="auto"/>
        </w:pBdr>
        <w:spacing w:after="60" w:line="260" w:lineRule="exact"/>
        <w:ind w:firstLine="0"/>
        <w:contextualSpacing/>
        <w:rPr>
          <w:rFonts w:ascii="Arial" w:hAnsi="Arial"/>
          <w:sz w:val="16"/>
          <w:szCs w:val="19"/>
        </w:rPr>
      </w:pPr>
      <w:r w:rsidRPr="005D5FA4">
        <w:rPr>
          <w:rFonts w:ascii="Arial" w:hAnsi="Arial"/>
          <w:sz w:val="16"/>
          <w:szCs w:val="19"/>
        </w:rPr>
        <w:t xml:space="preserve">Project Officer: </w:t>
      </w:r>
      <w:bookmarkStart w:id="7" w:name="ProjOff"/>
      <w:bookmarkEnd w:id="7"/>
      <w:r w:rsidRPr="005D5FA4">
        <w:rPr>
          <w:rFonts w:ascii="Arial" w:hAnsi="Arial"/>
          <w:sz w:val="16"/>
          <w:szCs w:val="19"/>
        </w:rPr>
        <w:t>Erica Johnson</w:t>
      </w:r>
      <w:r w:rsidRPr="005D5FA4">
        <w:rPr>
          <w:rFonts w:ascii="Arial" w:hAnsi="Arial"/>
          <w:sz w:val="16"/>
          <w:szCs w:val="19"/>
        </w:rPr>
        <w:br/>
        <w:t>Contract Number:</w:t>
      </w:r>
      <w:r w:rsidRPr="005D5FA4">
        <w:rPr>
          <w:rFonts w:ascii="Arial" w:hAnsi="Arial" w:cs="Arial"/>
          <w:color w:val="1A1818"/>
          <w:sz w:val="21"/>
          <w:szCs w:val="21"/>
          <w:lang w:val="en"/>
        </w:rPr>
        <w:t xml:space="preserve"> </w:t>
      </w:r>
      <w:r w:rsidRPr="005D5FA4">
        <w:rPr>
          <w:rFonts w:ascii="Arial" w:hAnsi="Arial"/>
          <w:sz w:val="16"/>
          <w:szCs w:val="19"/>
          <w:lang w:val="en"/>
        </w:rPr>
        <w:t>ED-IES-17-C-0069</w:t>
      </w:r>
    </w:p>
    <w:p w14:paraId="5648DDA1" w14:textId="77777777" w:rsidR="00252E9B" w:rsidRPr="005D5FA4" w:rsidRDefault="00252E9B" w:rsidP="00252E9B">
      <w:pPr>
        <w:spacing w:line="260" w:lineRule="exact"/>
        <w:ind w:firstLine="0"/>
        <w:rPr>
          <w:rFonts w:ascii="Arial Black" w:hAnsi="Arial Black"/>
          <w:noProof/>
          <w:sz w:val="16"/>
          <w:szCs w:val="19"/>
        </w:rPr>
      </w:pPr>
      <w:r w:rsidRPr="005D5FA4">
        <w:rPr>
          <w:rFonts w:ascii="Arial Black" w:hAnsi="Arial Black"/>
          <w:noProof/>
          <w:sz w:val="16"/>
          <w:szCs w:val="19"/>
        </w:rPr>
        <w:t>Submitted by:</w:t>
      </w:r>
    </w:p>
    <w:p w14:paraId="446B5F0D" w14:textId="77777777" w:rsidR="00252E9B" w:rsidRPr="005D5FA4" w:rsidRDefault="00252E9B" w:rsidP="00252E9B">
      <w:pPr>
        <w:spacing w:after="100" w:line="260" w:lineRule="exact"/>
        <w:ind w:firstLine="0"/>
        <w:contextualSpacing/>
        <w:rPr>
          <w:rFonts w:ascii="Arial" w:hAnsi="Arial"/>
          <w:sz w:val="16"/>
          <w:szCs w:val="19"/>
        </w:rPr>
      </w:pPr>
      <w:r w:rsidRPr="005D5FA4">
        <w:rPr>
          <w:rFonts w:ascii="Arial" w:hAnsi="Arial"/>
          <w:sz w:val="16"/>
          <w:szCs w:val="19"/>
        </w:rPr>
        <w:t>Mathematica Policy Research</w:t>
      </w:r>
    </w:p>
    <w:p w14:paraId="662A4F56" w14:textId="77777777" w:rsidR="00252E9B" w:rsidRPr="005D5FA4" w:rsidRDefault="00252E9B" w:rsidP="00252E9B">
      <w:pPr>
        <w:spacing w:after="60" w:line="260" w:lineRule="exact"/>
        <w:ind w:firstLine="0"/>
        <w:rPr>
          <w:rFonts w:ascii="Arial" w:hAnsi="Arial"/>
          <w:sz w:val="16"/>
          <w:szCs w:val="19"/>
        </w:rPr>
      </w:pPr>
      <w:bookmarkStart w:id="8" w:name="Address2"/>
      <w:bookmarkEnd w:id="8"/>
      <w:r w:rsidRPr="005D5FA4">
        <w:rPr>
          <w:rFonts w:ascii="Arial" w:hAnsi="Arial"/>
          <w:sz w:val="16"/>
          <w:szCs w:val="19"/>
        </w:rPr>
        <w:t>P.O. Box 2393</w:t>
      </w:r>
      <w:r w:rsidRPr="005D5FA4">
        <w:rPr>
          <w:rFonts w:ascii="Arial" w:hAnsi="Arial"/>
          <w:sz w:val="16"/>
          <w:szCs w:val="19"/>
        </w:rPr>
        <w:br/>
        <w:t>Princeton, NJ 08543-2393</w:t>
      </w:r>
      <w:r w:rsidRPr="005D5FA4">
        <w:rPr>
          <w:rFonts w:ascii="Arial" w:hAnsi="Arial"/>
          <w:sz w:val="16"/>
          <w:szCs w:val="19"/>
        </w:rPr>
        <w:br/>
        <w:t>Telephone: (609) 799-3535</w:t>
      </w:r>
      <w:r w:rsidRPr="005D5FA4">
        <w:rPr>
          <w:rFonts w:ascii="Arial" w:hAnsi="Arial"/>
          <w:sz w:val="16"/>
          <w:szCs w:val="19"/>
        </w:rPr>
        <w:br/>
        <w:t>Facsimile: (609) 799-0005</w:t>
      </w:r>
    </w:p>
    <w:p w14:paraId="00327960" w14:textId="77777777" w:rsidR="00252E9B" w:rsidRPr="005D5FA4" w:rsidRDefault="00252E9B" w:rsidP="00252E9B">
      <w:pPr>
        <w:pBdr>
          <w:bottom w:val="single" w:sz="2" w:space="6" w:color="auto"/>
        </w:pBdr>
        <w:spacing w:after="100" w:line="260" w:lineRule="exact"/>
        <w:ind w:firstLine="0"/>
        <w:rPr>
          <w:rFonts w:ascii="Arial" w:hAnsi="Arial"/>
          <w:sz w:val="16"/>
          <w:szCs w:val="19"/>
        </w:rPr>
      </w:pPr>
      <w:r w:rsidRPr="005D5FA4">
        <w:rPr>
          <w:rFonts w:ascii="Arial" w:hAnsi="Arial"/>
          <w:sz w:val="16"/>
          <w:szCs w:val="19"/>
        </w:rPr>
        <w:t xml:space="preserve">Project Director: </w:t>
      </w:r>
      <w:bookmarkStart w:id="9" w:name="ProjDir"/>
      <w:bookmarkEnd w:id="9"/>
      <w:r w:rsidRPr="005D5FA4">
        <w:rPr>
          <w:rFonts w:ascii="Arial" w:hAnsi="Arial"/>
          <w:sz w:val="16"/>
          <w:szCs w:val="19"/>
        </w:rPr>
        <w:t>Amy Johnson</w:t>
      </w:r>
      <w:r w:rsidRPr="005D5FA4">
        <w:rPr>
          <w:rFonts w:ascii="Arial" w:hAnsi="Arial"/>
          <w:sz w:val="16"/>
          <w:szCs w:val="19"/>
        </w:rPr>
        <w:br/>
        <w:t xml:space="preserve">Reference Number: </w:t>
      </w:r>
      <w:bookmarkStart w:id="10" w:name="MPRRef"/>
      <w:bookmarkEnd w:id="10"/>
      <w:r w:rsidRPr="005D5FA4">
        <w:rPr>
          <w:rFonts w:ascii="Arial" w:hAnsi="Arial"/>
          <w:sz w:val="16"/>
          <w:szCs w:val="19"/>
        </w:rPr>
        <w:t>50538</w:t>
      </w:r>
    </w:p>
    <w:p w14:paraId="2B671744" w14:textId="77777777" w:rsidR="00252E9B" w:rsidRPr="005D5FA4" w:rsidRDefault="00252E9B" w:rsidP="00252E9B">
      <w:pPr>
        <w:spacing w:after="100" w:line="260" w:lineRule="exact"/>
        <w:ind w:firstLine="0"/>
        <w:rPr>
          <w:rFonts w:ascii="Arial" w:hAnsi="Arial"/>
          <w:sz w:val="16"/>
          <w:szCs w:val="19"/>
        </w:rPr>
        <w:sectPr w:rsidR="00252E9B" w:rsidRPr="005D5FA4">
          <w:footerReference w:type="default" r:id="rId14"/>
          <w:pgSz w:w="12240" w:h="15840"/>
          <w:pgMar w:top="1008" w:right="965" w:bottom="1195" w:left="3629" w:header="864" w:footer="576" w:gutter="0"/>
          <w:cols w:space="720"/>
          <w:docGrid w:linePitch="326"/>
        </w:sectPr>
      </w:pPr>
    </w:p>
    <w:p w14:paraId="2CF458CF" w14:textId="77777777" w:rsidR="00252E9B" w:rsidRPr="005D5FA4" w:rsidRDefault="00252E9B" w:rsidP="00252E9B">
      <w:pPr>
        <w:keepNext/>
        <w:pBdr>
          <w:bottom w:val="single" w:sz="2" w:space="1" w:color="auto"/>
        </w:pBdr>
        <w:tabs>
          <w:tab w:val="left" w:pos="432"/>
        </w:tabs>
        <w:spacing w:after="240" w:line="240" w:lineRule="auto"/>
        <w:ind w:left="432" w:hanging="432"/>
        <w:outlineLvl w:val="1"/>
        <w:rPr>
          <w:rFonts w:ascii="Arial Black" w:hAnsi="Arial Black"/>
          <w:caps/>
          <w:sz w:val="22"/>
        </w:rPr>
      </w:pPr>
      <w:bookmarkStart w:id="11" w:name="_Toc508874203"/>
      <w:r w:rsidRPr="005D5FA4">
        <w:rPr>
          <w:rFonts w:ascii="Arial Black" w:hAnsi="Arial Black"/>
          <w:caps/>
          <w:sz w:val="22"/>
        </w:rPr>
        <w:lastRenderedPageBreak/>
        <w:t>CONTENTS</w:t>
      </w:r>
      <w:bookmarkEnd w:id="11"/>
    </w:p>
    <w:p w14:paraId="34FFBB8A" w14:textId="77777777" w:rsidR="000A08C3" w:rsidRDefault="00252E9B">
      <w:pPr>
        <w:pStyle w:val="TOC1"/>
        <w:rPr>
          <w:rFonts w:asciiTheme="minorHAnsi" w:eastAsiaTheme="minorEastAsia" w:hAnsiTheme="minorHAnsi" w:cstheme="minorBidi"/>
          <w:caps w:val="0"/>
          <w:noProof/>
          <w:sz w:val="22"/>
          <w:szCs w:val="22"/>
        </w:rPr>
      </w:pPr>
      <w:r w:rsidRPr="005D5FA4">
        <w:rPr>
          <w:caps w:val="0"/>
        </w:rPr>
        <w:fldChar w:fldCharType="begin"/>
      </w:r>
      <w:r w:rsidRPr="005D5FA4">
        <w:rPr>
          <w:caps w:val="0"/>
        </w:rPr>
        <w:instrText xml:space="preserve"> TOC \o "2-4" \z \t "H2_Chapter,1,H3_Alpha,2,H4_Number,3,Mark for Attachment Title,8,Mark for Appendix Title,8" </w:instrText>
      </w:r>
      <w:r w:rsidRPr="005D5FA4">
        <w:rPr>
          <w:caps w:val="0"/>
        </w:rPr>
        <w:fldChar w:fldCharType="separate"/>
      </w:r>
      <w:r w:rsidR="000A08C3">
        <w:rPr>
          <w:noProof/>
        </w:rPr>
        <w:t>Overview of the Study</w:t>
      </w:r>
      <w:r w:rsidR="000A08C3">
        <w:rPr>
          <w:noProof/>
          <w:webHidden/>
        </w:rPr>
        <w:tab/>
      </w:r>
      <w:r w:rsidR="000A08C3">
        <w:rPr>
          <w:noProof/>
          <w:webHidden/>
        </w:rPr>
        <w:fldChar w:fldCharType="begin"/>
      </w:r>
      <w:r w:rsidR="000A08C3">
        <w:rPr>
          <w:noProof/>
          <w:webHidden/>
        </w:rPr>
        <w:instrText xml:space="preserve"> PAGEREF _Toc529535871 \h </w:instrText>
      </w:r>
      <w:r w:rsidR="000A08C3">
        <w:rPr>
          <w:noProof/>
          <w:webHidden/>
        </w:rPr>
      </w:r>
      <w:r w:rsidR="000A08C3">
        <w:rPr>
          <w:noProof/>
          <w:webHidden/>
        </w:rPr>
        <w:fldChar w:fldCharType="separate"/>
      </w:r>
      <w:r w:rsidR="000A08C3">
        <w:rPr>
          <w:noProof/>
          <w:webHidden/>
        </w:rPr>
        <w:t>1</w:t>
      </w:r>
      <w:r w:rsidR="000A08C3">
        <w:rPr>
          <w:noProof/>
          <w:webHidden/>
        </w:rPr>
        <w:fldChar w:fldCharType="end"/>
      </w:r>
    </w:p>
    <w:p w14:paraId="51CA7BC4" w14:textId="77777777" w:rsidR="000A08C3" w:rsidRDefault="000A08C3">
      <w:pPr>
        <w:pStyle w:val="TOC1"/>
        <w:rPr>
          <w:rFonts w:asciiTheme="minorHAnsi" w:eastAsiaTheme="minorEastAsia" w:hAnsiTheme="minorHAnsi" w:cstheme="minorBidi"/>
          <w:caps w:val="0"/>
          <w:noProof/>
          <w:sz w:val="22"/>
          <w:szCs w:val="22"/>
        </w:rPr>
      </w:pPr>
      <w:r>
        <w:rPr>
          <w:noProof/>
        </w:rPr>
        <w:t>B.1. Respondent Universe and Sampling Methods</w:t>
      </w:r>
      <w:r>
        <w:rPr>
          <w:noProof/>
          <w:webHidden/>
        </w:rPr>
        <w:tab/>
      </w:r>
      <w:r>
        <w:rPr>
          <w:noProof/>
          <w:webHidden/>
        </w:rPr>
        <w:fldChar w:fldCharType="begin"/>
      </w:r>
      <w:r>
        <w:rPr>
          <w:noProof/>
          <w:webHidden/>
        </w:rPr>
        <w:instrText xml:space="preserve"> PAGEREF _Toc529535872 \h </w:instrText>
      </w:r>
      <w:r>
        <w:rPr>
          <w:noProof/>
          <w:webHidden/>
        </w:rPr>
      </w:r>
      <w:r>
        <w:rPr>
          <w:noProof/>
          <w:webHidden/>
        </w:rPr>
        <w:fldChar w:fldCharType="separate"/>
      </w:r>
      <w:r>
        <w:rPr>
          <w:noProof/>
          <w:webHidden/>
        </w:rPr>
        <w:t>2</w:t>
      </w:r>
      <w:r>
        <w:rPr>
          <w:noProof/>
          <w:webHidden/>
        </w:rPr>
        <w:fldChar w:fldCharType="end"/>
      </w:r>
    </w:p>
    <w:p w14:paraId="5FFAF7DA" w14:textId="77777777" w:rsidR="000A08C3" w:rsidRDefault="000A08C3">
      <w:pPr>
        <w:pStyle w:val="TOC2"/>
        <w:rPr>
          <w:rFonts w:asciiTheme="minorHAnsi" w:eastAsiaTheme="minorEastAsia" w:hAnsiTheme="minorHAnsi" w:cstheme="minorBidi"/>
          <w:sz w:val="22"/>
          <w:szCs w:val="22"/>
        </w:rPr>
      </w:pPr>
      <w:r>
        <w:t>B.1.1. States</w:t>
      </w:r>
      <w:r>
        <w:rPr>
          <w:webHidden/>
        </w:rPr>
        <w:tab/>
      </w:r>
      <w:r>
        <w:rPr>
          <w:webHidden/>
        </w:rPr>
        <w:fldChar w:fldCharType="begin"/>
      </w:r>
      <w:r>
        <w:rPr>
          <w:webHidden/>
        </w:rPr>
        <w:instrText xml:space="preserve"> PAGEREF _Toc529535873 \h </w:instrText>
      </w:r>
      <w:r>
        <w:rPr>
          <w:webHidden/>
        </w:rPr>
      </w:r>
      <w:r>
        <w:rPr>
          <w:webHidden/>
        </w:rPr>
        <w:fldChar w:fldCharType="separate"/>
      </w:r>
      <w:r>
        <w:rPr>
          <w:webHidden/>
        </w:rPr>
        <w:t>2</w:t>
      </w:r>
      <w:r>
        <w:rPr>
          <w:webHidden/>
        </w:rPr>
        <w:fldChar w:fldCharType="end"/>
      </w:r>
    </w:p>
    <w:p w14:paraId="3A034462" w14:textId="77777777" w:rsidR="000A08C3" w:rsidRDefault="000A08C3">
      <w:pPr>
        <w:pStyle w:val="TOC2"/>
        <w:rPr>
          <w:rFonts w:asciiTheme="minorHAnsi" w:eastAsiaTheme="minorEastAsia" w:hAnsiTheme="minorHAnsi" w:cstheme="minorBidi"/>
          <w:sz w:val="22"/>
          <w:szCs w:val="22"/>
        </w:rPr>
      </w:pPr>
      <w:r>
        <w:t>B.1.2. District sample</w:t>
      </w:r>
      <w:r>
        <w:rPr>
          <w:webHidden/>
        </w:rPr>
        <w:tab/>
      </w:r>
      <w:r>
        <w:rPr>
          <w:webHidden/>
        </w:rPr>
        <w:fldChar w:fldCharType="begin"/>
      </w:r>
      <w:r>
        <w:rPr>
          <w:webHidden/>
        </w:rPr>
        <w:instrText xml:space="preserve"> PAGEREF _Toc529535874 \h </w:instrText>
      </w:r>
      <w:r>
        <w:rPr>
          <w:webHidden/>
        </w:rPr>
      </w:r>
      <w:r>
        <w:rPr>
          <w:webHidden/>
        </w:rPr>
        <w:fldChar w:fldCharType="separate"/>
      </w:r>
      <w:r>
        <w:rPr>
          <w:webHidden/>
        </w:rPr>
        <w:t>2</w:t>
      </w:r>
      <w:r>
        <w:rPr>
          <w:webHidden/>
        </w:rPr>
        <w:fldChar w:fldCharType="end"/>
      </w:r>
    </w:p>
    <w:p w14:paraId="2A632371" w14:textId="77777777" w:rsidR="000A08C3" w:rsidRDefault="000A08C3">
      <w:pPr>
        <w:pStyle w:val="TOC2"/>
        <w:rPr>
          <w:rFonts w:asciiTheme="minorHAnsi" w:eastAsiaTheme="minorEastAsia" w:hAnsiTheme="minorHAnsi" w:cstheme="minorBidi"/>
          <w:sz w:val="22"/>
          <w:szCs w:val="22"/>
        </w:rPr>
      </w:pPr>
      <w:r>
        <w:t>B.1.3. School sample</w:t>
      </w:r>
      <w:r>
        <w:rPr>
          <w:webHidden/>
        </w:rPr>
        <w:tab/>
      </w:r>
      <w:r>
        <w:rPr>
          <w:webHidden/>
        </w:rPr>
        <w:fldChar w:fldCharType="begin"/>
      </w:r>
      <w:r>
        <w:rPr>
          <w:webHidden/>
        </w:rPr>
        <w:instrText xml:space="preserve"> PAGEREF _Toc529535875 \h </w:instrText>
      </w:r>
      <w:r>
        <w:rPr>
          <w:webHidden/>
        </w:rPr>
      </w:r>
      <w:r>
        <w:rPr>
          <w:webHidden/>
        </w:rPr>
        <w:fldChar w:fldCharType="separate"/>
      </w:r>
      <w:r>
        <w:rPr>
          <w:webHidden/>
        </w:rPr>
        <w:t>3</w:t>
      </w:r>
      <w:r>
        <w:rPr>
          <w:webHidden/>
        </w:rPr>
        <w:fldChar w:fldCharType="end"/>
      </w:r>
    </w:p>
    <w:p w14:paraId="38537699" w14:textId="77777777" w:rsidR="000A08C3" w:rsidRDefault="000A08C3">
      <w:pPr>
        <w:pStyle w:val="TOC1"/>
        <w:rPr>
          <w:rFonts w:asciiTheme="minorHAnsi" w:eastAsiaTheme="minorEastAsia" w:hAnsiTheme="minorHAnsi" w:cstheme="minorBidi"/>
          <w:caps w:val="0"/>
          <w:noProof/>
          <w:sz w:val="22"/>
          <w:szCs w:val="22"/>
        </w:rPr>
      </w:pPr>
      <w:r>
        <w:rPr>
          <w:noProof/>
        </w:rPr>
        <w:t>B.2. Procedures for the Collection of Information</w:t>
      </w:r>
      <w:r>
        <w:rPr>
          <w:noProof/>
          <w:webHidden/>
        </w:rPr>
        <w:tab/>
      </w:r>
      <w:r>
        <w:rPr>
          <w:noProof/>
          <w:webHidden/>
        </w:rPr>
        <w:fldChar w:fldCharType="begin"/>
      </w:r>
      <w:r>
        <w:rPr>
          <w:noProof/>
          <w:webHidden/>
        </w:rPr>
        <w:instrText xml:space="preserve"> PAGEREF _Toc529535876 \h </w:instrText>
      </w:r>
      <w:r>
        <w:rPr>
          <w:noProof/>
          <w:webHidden/>
        </w:rPr>
      </w:r>
      <w:r>
        <w:rPr>
          <w:noProof/>
          <w:webHidden/>
        </w:rPr>
        <w:fldChar w:fldCharType="separate"/>
      </w:r>
      <w:r>
        <w:rPr>
          <w:noProof/>
          <w:webHidden/>
        </w:rPr>
        <w:t>4</w:t>
      </w:r>
      <w:r>
        <w:rPr>
          <w:noProof/>
          <w:webHidden/>
        </w:rPr>
        <w:fldChar w:fldCharType="end"/>
      </w:r>
    </w:p>
    <w:p w14:paraId="74F9AF89" w14:textId="77777777" w:rsidR="000A08C3" w:rsidRDefault="000A08C3">
      <w:pPr>
        <w:pStyle w:val="TOC2"/>
        <w:rPr>
          <w:rFonts w:asciiTheme="minorHAnsi" w:eastAsiaTheme="minorEastAsia" w:hAnsiTheme="minorHAnsi" w:cstheme="minorBidi"/>
          <w:sz w:val="22"/>
          <w:szCs w:val="22"/>
        </w:rPr>
      </w:pPr>
      <w:r>
        <w:t>B.2.1. Notification of the sample, recruitment, and data collection</w:t>
      </w:r>
      <w:r>
        <w:rPr>
          <w:webHidden/>
        </w:rPr>
        <w:tab/>
      </w:r>
      <w:r>
        <w:rPr>
          <w:webHidden/>
        </w:rPr>
        <w:fldChar w:fldCharType="begin"/>
      </w:r>
      <w:r>
        <w:rPr>
          <w:webHidden/>
        </w:rPr>
        <w:instrText xml:space="preserve"> PAGEREF _Toc529535877 \h </w:instrText>
      </w:r>
      <w:r>
        <w:rPr>
          <w:webHidden/>
        </w:rPr>
      </w:r>
      <w:r>
        <w:rPr>
          <w:webHidden/>
        </w:rPr>
        <w:fldChar w:fldCharType="separate"/>
      </w:r>
      <w:r>
        <w:rPr>
          <w:webHidden/>
        </w:rPr>
        <w:t>4</w:t>
      </w:r>
      <w:r>
        <w:rPr>
          <w:webHidden/>
        </w:rPr>
        <w:fldChar w:fldCharType="end"/>
      </w:r>
    </w:p>
    <w:p w14:paraId="29D00073" w14:textId="77777777" w:rsidR="000A08C3" w:rsidRDefault="000A08C3">
      <w:pPr>
        <w:pStyle w:val="TOC3"/>
        <w:rPr>
          <w:rFonts w:asciiTheme="minorHAnsi" w:eastAsiaTheme="minorEastAsia" w:hAnsiTheme="minorHAnsi" w:cstheme="minorBidi"/>
          <w:sz w:val="22"/>
          <w:szCs w:val="22"/>
        </w:rPr>
      </w:pPr>
      <w:r>
        <w:t>State surveys</w:t>
      </w:r>
      <w:r>
        <w:rPr>
          <w:webHidden/>
        </w:rPr>
        <w:tab/>
      </w:r>
      <w:r>
        <w:rPr>
          <w:webHidden/>
        </w:rPr>
        <w:fldChar w:fldCharType="begin"/>
      </w:r>
      <w:r>
        <w:rPr>
          <w:webHidden/>
        </w:rPr>
        <w:instrText xml:space="preserve"> PAGEREF _Toc529535878 \h </w:instrText>
      </w:r>
      <w:r>
        <w:rPr>
          <w:webHidden/>
        </w:rPr>
      </w:r>
      <w:r>
        <w:rPr>
          <w:webHidden/>
        </w:rPr>
        <w:fldChar w:fldCharType="separate"/>
      </w:r>
      <w:r>
        <w:rPr>
          <w:webHidden/>
        </w:rPr>
        <w:t>4</w:t>
      </w:r>
      <w:r>
        <w:rPr>
          <w:webHidden/>
        </w:rPr>
        <w:fldChar w:fldCharType="end"/>
      </w:r>
    </w:p>
    <w:p w14:paraId="2BAE01FD" w14:textId="77777777" w:rsidR="000A08C3" w:rsidRDefault="000A08C3">
      <w:pPr>
        <w:pStyle w:val="TOC3"/>
        <w:rPr>
          <w:rFonts w:asciiTheme="minorHAnsi" w:eastAsiaTheme="minorEastAsia" w:hAnsiTheme="minorHAnsi" w:cstheme="minorBidi"/>
          <w:sz w:val="22"/>
          <w:szCs w:val="22"/>
        </w:rPr>
      </w:pPr>
      <w:r>
        <w:t>District surveys</w:t>
      </w:r>
      <w:r>
        <w:rPr>
          <w:webHidden/>
        </w:rPr>
        <w:tab/>
      </w:r>
      <w:r w:rsidR="00284BAA">
        <w:rPr>
          <w:webHidden/>
        </w:rPr>
        <w:t>5</w:t>
      </w:r>
    </w:p>
    <w:p w14:paraId="4D8F01F4" w14:textId="77777777" w:rsidR="000A08C3" w:rsidRDefault="000A08C3">
      <w:pPr>
        <w:pStyle w:val="TOC3"/>
        <w:rPr>
          <w:rFonts w:asciiTheme="minorHAnsi" w:eastAsiaTheme="minorEastAsia" w:hAnsiTheme="minorHAnsi" w:cstheme="minorBidi"/>
          <w:sz w:val="22"/>
          <w:szCs w:val="22"/>
        </w:rPr>
      </w:pPr>
      <w:r>
        <w:t>School survey</w:t>
      </w:r>
      <w:r>
        <w:rPr>
          <w:webHidden/>
        </w:rPr>
        <w:tab/>
      </w:r>
      <w:r w:rsidR="00284BAA">
        <w:rPr>
          <w:webHidden/>
        </w:rPr>
        <w:t>6</w:t>
      </w:r>
    </w:p>
    <w:p w14:paraId="024ACC94" w14:textId="77777777" w:rsidR="000A08C3" w:rsidRDefault="000A08C3">
      <w:pPr>
        <w:pStyle w:val="TOC2"/>
        <w:rPr>
          <w:rFonts w:asciiTheme="minorHAnsi" w:eastAsiaTheme="minorEastAsia" w:hAnsiTheme="minorHAnsi" w:cstheme="minorBidi"/>
          <w:sz w:val="22"/>
          <w:szCs w:val="22"/>
        </w:rPr>
      </w:pPr>
      <w:r>
        <w:t>B.2.2. Statistical methodology for stratification and sample selection</w:t>
      </w:r>
      <w:r>
        <w:rPr>
          <w:webHidden/>
        </w:rPr>
        <w:tab/>
      </w:r>
      <w:r w:rsidR="00284BAA">
        <w:rPr>
          <w:webHidden/>
        </w:rPr>
        <w:t>7</w:t>
      </w:r>
    </w:p>
    <w:p w14:paraId="0A970291" w14:textId="77777777" w:rsidR="000A08C3" w:rsidRDefault="000A08C3">
      <w:pPr>
        <w:pStyle w:val="TOC3"/>
        <w:rPr>
          <w:rFonts w:asciiTheme="minorHAnsi" w:eastAsiaTheme="minorEastAsia" w:hAnsiTheme="minorHAnsi" w:cstheme="minorBidi"/>
          <w:sz w:val="22"/>
          <w:szCs w:val="22"/>
        </w:rPr>
      </w:pPr>
      <w:r>
        <w:t>B.2.2.1. States</w:t>
      </w:r>
      <w:r>
        <w:rPr>
          <w:webHidden/>
        </w:rPr>
        <w:tab/>
      </w:r>
      <w:r w:rsidR="00284BAA">
        <w:rPr>
          <w:webHidden/>
        </w:rPr>
        <w:t>7</w:t>
      </w:r>
    </w:p>
    <w:p w14:paraId="5E4A1C04" w14:textId="77777777" w:rsidR="000A08C3" w:rsidRDefault="000A08C3">
      <w:pPr>
        <w:pStyle w:val="TOC3"/>
        <w:rPr>
          <w:rFonts w:asciiTheme="minorHAnsi" w:eastAsiaTheme="minorEastAsia" w:hAnsiTheme="minorHAnsi" w:cstheme="minorBidi"/>
          <w:sz w:val="22"/>
          <w:szCs w:val="22"/>
        </w:rPr>
      </w:pPr>
      <w:r>
        <w:t>B.2.2.2. District sample</w:t>
      </w:r>
      <w:r>
        <w:rPr>
          <w:webHidden/>
        </w:rPr>
        <w:tab/>
      </w:r>
      <w:r w:rsidR="00284BAA">
        <w:rPr>
          <w:webHidden/>
        </w:rPr>
        <w:t>7</w:t>
      </w:r>
    </w:p>
    <w:p w14:paraId="5C219DC8" w14:textId="77777777" w:rsidR="000A08C3" w:rsidRDefault="000A08C3">
      <w:pPr>
        <w:pStyle w:val="TOC3"/>
        <w:rPr>
          <w:rFonts w:asciiTheme="minorHAnsi" w:eastAsiaTheme="minorEastAsia" w:hAnsiTheme="minorHAnsi" w:cstheme="minorBidi"/>
          <w:sz w:val="22"/>
          <w:szCs w:val="22"/>
        </w:rPr>
      </w:pPr>
      <w:r>
        <w:t>B.2.2.3. School sample</w:t>
      </w:r>
      <w:r>
        <w:rPr>
          <w:webHidden/>
        </w:rPr>
        <w:tab/>
      </w:r>
      <w:r>
        <w:rPr>
          <w:webHidden/>
        </w:rPr>
        <w:fldChar w:fldCharType="begin"/>
      </w:r>
      <w:r>
        <w:rPr>
          <w:webHidden/>
        </w:rPr>
        <w:instrText xml:space="preserve"> PAGEREF _Toc529535884 \h </w:instrText>
      </w:r>
      <w:r>
        <w:rPr>
          <w:webHidden/>
        </w:rPr>
      </w:r>
      <w:r>
        <w:rPr>
          <w:webHidden/>
        </w:rPr>
        <w:fldChar w:fldCharType="separate"/>
      </w:r>
      <w:r>
        <w:rPr>
          <w:webHidden/>
        </w:rPr>
        <w:t>8</w:t>
      </w:r>
      <w:r>
        <w:rPr>
          <w:webHidden/>
        </w:rPr>
        <w:fldChar w:fldCharType="end"/>
      </w:r>
    </w:p>
    <w:p w14:paraId="10AEF87F" w14:textId="77777777" w:rsidR="000A08C3" w:rsidRDefault="000A08C3">
      <w:pPr>
        <w:pStyle w:val="TOC2"/>
        <w:rPr>
          <w:rFonts w:asciiTheme="minorHAnsi" w:eastAsiaTheme="minorEastAsia" w:hAnsiTheme="minorHAnsi" w:cstheme="minorBidi"/>
          <w:sz w:val="22"/>
          <w:szCs w:val="22"/>
        </w:rPr>
      </w:pPr>
      <w:r>
        <w:t>B.2.3. Estimation procedure</w:t>
      </w:r>
      <w:r>
        <w:rPr>
          <w:webHidden/>
        </w:rPr>
        <w:tab/>
      </w:r>
      <w:r w:rsidR="00284BAA">
        <w:rPr>
          <w:webHidden/>
        </w:rPr>
        <w:t>9</w:t>
      </w:r>
    </w:p>
    <w:p w14:paraId="237FD6C3" w14:textId="77777777" w:rsidR="000A08C3" w:rsidRDefault="000A08C3">
      <w:pPr>
        <w:pStyle w:val="TOC2"/>
        <w:rPr>
          <w:rFonts w:asciiTheme="minorHAnsi" w:eastAsiaTheme="minorEastAsia" w:hAnsiTheme="minorHAnsi" w:cstheme="minorBidi"/>
          <w:sz w:val="22"/>
          <w:szCs w:val="22"/>
        </w:rPr>
      </w:pPr>
      <w:r>
        <w:t>B.2.4. Degree of accuracy needed</w:t>
      </w:r>
      <w:r>
        <w:rPr>
          <w:webHidden/>
        </w:rPr>
        <w:tab/>
      </w:r>
      <w:r w:rsidR="00284BAA">
        <w:rPr>
          <w:webHidden/>
        </w:rPr>
        <w:t>10</w:t>
      </w:r>
    </w:p>
    <w:p w14:paraId="7A5EBA46" w14:textId="77777777" w:rsidR="000A08C3" w:rsidRDefault="000A08C3">
      <w:pPr>
        <w:pStyle w:val="TOC2"/>
        <w:rPr>
          <w:rFonts w:asciiTheme="minorHAnsi" w:eastAsiaTheme="minorEastAsia" w:hAnsiTheme="minorHAnsi" w:cstheme="minorBidi"/>
          <w:sz w:val="22"/>
          <w:szCs w:val="22"/>
        </w:rPr>
      </w:pPr>
      <w:r>
        <w:t>B.2.5. Unusual problems requiring specialized sampling procedures</w:t>
      </w:r>
      <w:r>
        <w:rPr>
          <w:webHidden/>
        </w:rPr>
        <w:tab/>
      </w:r>
      <w:r w:rsidR="00284BAA">
        <w:rPr>
          <w:webHidden/>
        </w:rPr>
        <w:t>11</w:t>
      </w:r>
    </w:p>
    <w:p w14:paraId="1F1CFB8E" w14:textId="77777777" w:rsidR="000A08C3" w:rsidRDefault="000A08C3">
      <w:pPr>
        <w:pStyle w:val="TOC2"/>
        <w:rPr>
          <w:rFonts w:asciiTheme="minorHAnsi" w:eastAsiaTheme="minorEastAsia" w:hAnsiTheme="minorHAnsi" w:cstheme="minorBidi"/>
          <w:sz w:val="22"/>
          <w:szCs w:val="22"/>
        </w:rPr>
      </w:pPr>
      <w:r>
        <w:t>B.2.6. Use of periodic data collection cycles to reduce burden</w:t>
      </w:r>
      <w:r>
        <w:rPr>
          <w:webHidden/>
        </w:rPr>
        <w:tab/>
      </w:r>
      <w:r w:rsidR="00284BAA">
        <w:rPr>
          <w:webHidden/>
        </w:rPr>
        <w:t>11</w:t>
      </w:r>
    </w:p>
    <w:p w14:paraId="35EB2E42" w14:textId="77777777" w:rsidR="000A08C3" w:rsidRDefault="000A08C3">
      <w:pPr>
        <w:pStyle w:val="TOC1"/>
        <w:rPr>
          <w:rFonts w:asciiTheme="minorHAnsi" w:eastAsiaTheme="minorEastAsia" w:hAnsiTheme="minorHAnsi" w:cstheme="minorBidi"/>
          <w:caps w:val="0"/>
          <w:noProof/>
          <w:sz w:val="22"/>
          <w:szCs w:val="22"/>
        </w:rPr>
      </w:pPr>
      <w:r>
        <w:rPr>
          <w:noProof/>
        </w:rPr>
        <w:t>B.3. Methods to Maximize Response Rates and Deal with Nonresponse</w:t>
      </w:r>
      <w:r>
        <w:rPr>
          <w:noProof/>
          <w:webHidden/>
        </w:rPr>
        <w:tab/>
      </w:r>
      <w:r w:rsidR="00284BAA">
        <w:rPr>
          <w:noProof/>
          <w:webHidden/>
        </w:rPr>
        <w:t>11</w:t>
      </w:r>
    </w:p>
    <w:p w14:paraId="1A5A723F" w14:textId="77777777" w:rsidR="000A08C3" w:rsidRDefault="000A08C3">
      <w:pPr>
        <w:pStyle w:val="TOC2"/>
        <w:rPr>
          <w:rFonts w:asciiTheme="minorHAnsi" w:eastAsiaTheme="minorEastAsia" w:hAnsiTheme="minorHAnsi" w:cstheme="minorBidi"/>
          <w:sz w:val="22"/>
          <w:szCs w:val="22"/>
        </w:rPr>
      </w:pPr>
      <w:r>
        <w:t>B.3.1. Maximizing response rates</w:t>
      </w:r>
      <w:r>
        <w:rPr>
          <w:webHidden/>
        </w:rPr>
        <w:tab/>
      </w:r>
      <w:r w:rsidR="00284BAA">
        <w:rPr>
          <w:webHidden/>
        </w:rPr>
        <w:t>11</w:t>
      </w:r>
    </w:p>
    <w:p w14:paraId="1ADD8D51" w14:textId="77777777" w:rsidR="000A08C3" w:rsidRDefault="000A08C3">
      <w:pPr>
        <w:pStyle w:val="TOC2"/>
        <w:rPr>
          <w:rFonts w:asciiTheme="minorHAnsi" w:eastAsiaTheme="minorEastAsia" w:hAnsiTheme="minorHAnsi" w:cstheme="minorBidi"/>
          <w:sz w:val="22"/>
          <w:szCs w:val="22"/>
        </w:rPr>
      </w:pPr>
      <w:r>
        <w:t>B.3.2. Weighting the district and school samples</w:t>
      </w:r>
      <w:r>
        <w:rPr>
          <w:webHidden/>
        </w:rPr>
        <w:tab/>
      </w:r>
      <w:r w:rsidR="00284BAA">
        <w:rPr>
          <w:webHidden/>
        </w:rPr>
        <w:t>11</w:t>
      </w:r>
    </w:p>
    <w:p w14:paraId="40831945" w14:textId="77777777" w:rsidR="000A08C3" w:rsidRDefault="000A08C3">
      <w:pPr>
        <w:pStyle w:val="TOC1"/>
        <w:rPr>
          <w:rFonts w:asciiTheme="minorHAnsi" w:eastAsiaTheme="minorEastAsia" w:hAnsiTheme="minorHAnsi" w:cstheme="minorBidi"/>
          <w:caps w:val="0"/>
          <w:noProof/>
          <w:sz w:val="22"/>
          <w:szCs w:val="22"/>
        </w:rPr>
      </w:pPr>
      <w:r>
        <w:rPr>
          <w:noProof/>
        </w:rPr>
        <w:t>B.4. Tests of Procedures or Methods to be Undertaken</w:t>
      </w:r>
      <w:r>
        <w:rPr>
          <w:noProof/>
          <w:webHidden/>
        </w:rPr>
        <w:tab/>
      </w:r>
      <w:r w:rsidR="00284BAA">
        <w:rPr>
          <w:noProof/>
          <w:webHidden/>
        </w:rPr>
        <w:t>12</w:t>
      </w:r>
    </w:p>
    <w:p w14:paraId="006D326E" w14:textId="77777777" w:rsidR="000A08C3" w:rsidRDefault="000A08C3">
      <w:pPr>
        <w:pStyle w:val="TOC1"/>
        <w:rPr>
          <w:rFonts w:asciiTheme="minorHAnsi" w:eastAsiaTheme="minorEastAsia" w:hAnsiTheme="minorHAnsi" w:cstheme="minorBidi"/>
          <w:caps w:val="0"/>
          <w:noProof/>
          <w:sz w:val="22"/>
          <w:szCs w:val="22"/>
        </w:rPr>
      </w:pPr>
      <w:r>
        <w:rPr>
          <w:noProof/>
        </w:rPr>
        <w:t>B.5. Individuals Consulted on Statistical Aspects of the design and on Collecting and/or Analyzing Data</w:t>
      </w:r>
      <w:r>
        <w:rPr>
          <w:noProof/>
          <w:webHidden/>
        </w:rPr>
        <w:tab/>
      </w:r>
      <w:r w:rsidR="00284BAA">
        <w:rPr>
          <w:noProof/>
          <w:webHidden/>
        </w:rPr>
        <w:t>13</w:t>
      </w:r>
    </w:p>
    <w:p w14:paraId="78344893" w14:textId="77777777" w:rsidR="000A08C3" w:rsidRDefault="000A08C3">
      <w:pPr>
        <w:pStyle w:val="TOC8"/>
        <w:rPr>
          <w:rFonts w:asciiTheme="minorHAnsi" w:eastAsiaTheme="minorEastAsia" w:hAnsiTheme="minorHAnsi" w:cstheme="minorBidi"/>
          <w:caps w:val="0"/>
          <w:noProof/>
          <w:sz w:val="22"/>
          <w:szCs w:val="22"/>
        </w:rPr>
      </w:pPr>
    </w:p>
    <w:p w14:paraId="08D12C76" w14:textId="77777777" w:rsidR="00252E9B" w:rsidRPr="005D5FA4" w:rsidRDefault="00252E9B" w:rsidP="00252E9B">
      <w:r w:rsidRPr="005D5FA4">
        <w:fldChar w:fldCharType="end"/>
      </w:r>
    </w:p>
    <w:p w14:paraId="5BA37006" w14:textId="77777777" w:rsidR="00252E9B" w:rsidRPr="005D5FA4" w:rsidRDefault="00252E9B" w:rsidP="00252E9B">
      <w:pPr>
        <w:spacing w:after="240" w:line="240" w:lineRule="auto"/>
        <w:ind w:firstLine="0"/>
        <w:rPr>
          <w:rFonts w:ascii="Arial" w:hAnsi="Arial" w:cs="Arial"/>
          <w:caps/>
          <w:sz w:val="20"/>
        </w:rPr>
        <w:sectPr w:rsidR="00252E9B" w:rsidRPr="005D5FA4" w:rsidSect="005D5FA4">
          <w:headerReference w:type="default" r:id="rId15"/>
          <w:footerReference w:type="default" r:id="rId16"/>
          <w:pgSz w:w="12240" w:h="15840"/>
          <w:pgMar w:top="1440" w:right="1440" w:bottom="1440" w:left="1440" w:header="720" w:footer="720" w:gutter="0"/>
          <w:pgNumType w:fmt="lowerRoman"/>
          <w:cols w:space="720"/>
          <w:docGrid w:linePitch="360"/>
        </w:sectPr>
      </w:pPr>
    </w:p>
    <w:p w14:paraId="280D891F" w14:textId="77777777" w:rsidR="00252E9B" w:rsidRPr="005D5FA4" w:rsidRDefault="00252E9B" w:rsidP="00252E9B">
      <w:pPr>
        <w:pBdr>
          <w:bottom w:val="single" w:sz="2" w:space="1" w:color="auto"/>
        </w:pBdr>
        <w:spacing w:before="240" w:after="240" w:line="240" w:lineRule="auto"/>
        <w:ind w:firstLine="0"/>
        <w:jc w:val="both"/>
        <w:rPr>
          <w:rFonts w:ascii="Arial Black" w:hAnsi="Arial Black"/>
          <w:sz w:val="22"/>
        </w:rPr>
      </w:pPr>
      <w:r w:rsidRPr="005D5FA4">
        <w:rPr>
          <w:rFonts w:ascii="Arial Black" w:hAnsi="Arial Black"/>
          <w:sz w:val="22"/>
        </w:rPr>
        <w:lastRenderedPageBreak/>
        <w:t>TABLES</w:t>
      </w:r>
    </w:p>
    <w:p w14:paraId="2A52362A" w14:textId="77777777" w:rsidR="00252E9B" w:rsidRDefault="00252E9B" w:rsidP="00252E9B">
      <w:pPr>
        <w:pStyle w:val="TableofFigures"/>
        <w:rPr>
          <w:rFonts w:asciiTheme="minorHAnsi" w:eastAsiaTheme="minorEastAsia" w:hAnsiTheme="minorHAnsi" w:cstheme="minorBidi"/>
          <w:noProof/>
          <w:sz w:val="22"/>
          <w:szCs w:val="22"/>
        </w:rPr>
      </w:pPr>
      <w:r w:rsidRPr="005D5FA4">
        <w:rPr>
          <w:rFonts w:cs="Arial"/>
        </w:rPr>
        <w:fldChar w:fldCharType="begin"/>
      </w:r>
      <w:r w:rsidRPr="005D5FA4">
        <w:rPr>
          <w:rFonts w:cs="Arial"/>
        </w:rPr>
        <w:instrText xml:space="preserve"> TOC \z \t "Mark for Table Title,1" \c "Figure" </w:instrText>
      </w:r>
      <w:r w:rsidRPr="005D5FA4">
        <w:rPr>
          <w:rFonts w:cs="Arial"/>
        </w:rPr>
        <w:fldChar w:fldCharType="separate"/>
      </w:r>
      <w:r>
        <w:rPr>
          <w:noProof/>
        </w:rPr>
        <w:t>Table B.1. District strata</w:t>
      </w:r>
      <w:r>
        <w:rPr>
          <w:noProof/>
          <w:webHidden/>
        </w:rPr>
        <w:tab/>
      </w:r>
      <w:r w:rsidR="00284BAA">
        <w:rPr>
          <w:noProof/>
          <w:webHidden/>
        </w:rPr>
        <w:t>8</w:t>
      </w:r>
    </w:p>
    <w:p w14:paraId="2EF4C32C" w14:textId="77777777" w:rsidR="00252E9B" w:rsidRDefault="00252E9B" w:rsidP="00252E9B">
      <w:pPr>
        <w:pStyle w:val="TableofFigures"/>
        <w:rPr>
          <w:rFonts w:asciiTheme="minorHAnsi" w:eastAsiaTheme="minorEastAsia" w:hAnsiTheme="minorHAnsi" w:cstheme="minorBidi"/>
          <w:noProof/>
          <w:sz w:val="22"/>
          <w:szCs w:val="22"/>
        </w:rPr>
      </w:pPr>
      <w:r>
        <w:rPr>
          <w:noProof/>
        </w:rPr>
        <w:t>Table B.2. School strata within district test sample</w:t>
      </w:r>
      <w:r>
        <w:rPr>
          <w:noProof/>
          <w:webHidden/>
        </w:rPr>
        <w:tab/>
      </w:r>
      <w:r w:rsidR="00284BAA">
        <w:rPr>
          <w:noProof/>
          <w:webHidden/>
        </w:rPr>
        <w:t>9</w:t>
      </w:r>
    </w:p>
    <w:p w14:paraId="7EF0479F" w14:textId="77777777" w:rsidR="00252E9B" w:rsidRDefault="00252E9B" w:rsidP="00252E9B">
      <w:pPr>
        <w:pStyle w:val="TableofFigures"/>
        <w:rPr>
          <w:rFonts w:asciiTheme="minorHAnsi" w:eastAsiaTheme="minorEastAsia" w:hAnsiTheme="minorHAnsi" w:cstheme="minorBidi"/>
          <w:noProof/>
          <w:sz w:val="22"/>
          <w:szCs w:val="22"/>
        </w:rPr>
      </w:pPr>
      <w:r>
        <w:rPr>
          <w:noProof/>
        </w:rPr>
        <w:t>Table B.3. Estimated precision for district and school samples</w:t>
      </w:r>
      <w:r>
        <w:rPr>
          <w:noProof/>
          <w:webHidden/>
        </w:rPr>
        <w:tab/>
      </w:r>
      <w:r w:rsidR="00284BAA">
        <w:rPr>
          <w:noProof/>
          <w:webHidden/>
        </w:rPr>
        <w:t>10</w:t>
      </w:r>
    </w:p>
    <w:p w14:paraId="62F89A64" w14:textId="77777777" w:rsidR="00252E9B" w:rsidRDefault="00252E9B" w:rsidP="00252E9B">
      <w:pPr>
        <w:pStyle w:val="TableofFigures"/>
        <w:rPr>
          <w:rFonts w:asciiTheme="minorHAnsi" w:eastAsiaTheme="minorEastAsia" w:hAnsiTheme="minorHAnsi" w:cstheme="minorBidi"/>
          <w:noProof/>
          <w:sz w:val="22"/>
          <w:szCs w:val="22"/>
        </w:rPr>
      </w:pPr>
      <w:r>
        <w:rPr>
          <w:noProof/>
        </w:rPr>
        <w:t>Table B.4. Individuals consulted on study design</w:t>
      </w:r>
      <w:r>
        <w:rPr>
          <w:noProof/>
          <w:webHidden/>
        </w:rPr>
        <w:tab/>
      </w:r>
      <w:r w:rsidR="00284BAA">
        <w:rPr>
          <w:noProof/>
          <w:webHidden/>
        </w:rPr>
        <w:t>13</w:t>
      </w:r>
    </w:p>
    <w:p w14:paraId="7647E370" w14:textId="77777777" w:rsidR="00252E9B" w:rsidRPr="005D5FA4" w:rsidRDefault="00252E9B" w:rsidP="00252E9B">
      <w:pPr>
        <w:spacing w:before="240" w:after="240" w:line="240" w:lineRule="auto"/>
        <w:ind w:firstLine="0"/>
        <w:jc w:val="both"/>
        <w:rPr>
          <w:rFonts w:ascii="Arial" w:hAnsi="Arial" w:cs="Arial"/>
          <w:sz w:val="20"/>
        </w:rPr>
      </w:pPr>
      <w:r w:rsidRPr="005D5FA4">
        <w:rPr>
          <w:rFonts w:ascii="Arial" w:hAnsi="Arial" w:cs="Arial"/>
          <w:sz w:val="20"/>
        </w:rPr>
        <w:fldChar w:fldCharType="end"/>
      </w:r>
    </w:p>
    <w:p w14:paraId="3EED3C38" w14:textId="77777777" w:rsidR="00252E9B" w:rsidRDefault="00252E9B" w:rsidP="00252E9B">
      <w:pPr>
        <w:sectPr w:rsidR="00252E9B" w:rsidSect="005D5FA4">
          <w:headerReference w:type="default" r:id="rId17"/>
          <w:footerReference w:type="default" r:id="rId18"/>
          <w:pgSz w:w="12240" w:h="15840"/>
          <w:pgMar w:top="1440" w:right="1440" w:bottom="1440" w:left="1440" w:header="720" w:footer="720" w:gutter="0"/>
          <w:pgNumType w:fmt="lowerRoman"/>
          <w:cols w:space="720"/>
          <w:docGrid w:linePitch="360"/>
        </w:sectPr>
      </w:pPr>
    </w:p>
    <w:p w14:paraId="2E2C05FD" w14:textId="77777777" w:rsidR="00252E9B" w:rsidRDefault="00252E9B" w:rsidP="00252E9B">
      <w:pPr>
        <w:pStyle w:val="H2Chapter"/>
        <w:spacing w:before="0"/>
      </w:pPr>
      <w:bookmarkStart w:id="12" w:name="_Toc529535871"/>
      <w:r>
        <w:t>Overview of the Study</w:t>
      </w:r>
      <w:bookmarkEnd w:id="12"/>
    </w:p>
    <w:p w14:paraId="69EE85FC" w14:textId="77777777" w:rsidR="00252E9B" w:rsidRDefault="00252E9B" w:rsidP="00252E9B">
      <w:pPr>
        <w:pStyle w:val="NormalSS"/>
      </w:pPr>
      <w:r w:rsidRPr="00AD70C9">
        <w:t xml:space="preserve">This </w:t>
      </w:r>
      <w:r>
        <w:t xml:space="preserve">Office of Management and Budget (OMB) </w:t>
      </w:r>
      <w:r w:rsidRPr="00AD70C9">
        <w:t xml:space="preserve">package requests clearance for data collection activities to support </w:t>
      </w:r>
      <w:r w:rsidRPr="00557F35">
        <w:rPr>
          <w:lang w:val="en"/>
        </w:rPr>
        <w:t>the Individuals with Disabilities Education Act (</w:t>
      </w:r>
      <w:r w:rsidRPr="00557F35">
        <w:t xml:space="preserve">IDEA) </w:t>
      </w:r>
      <w:r w:rsidR="0059427D">
        <w:t xml:space="preserve">State and Local </w:t>
      </w:r>
      <w:r w:rsidRPr="00557F35">
        <w:t>Implementation Study</w:t>
      </w:r>
      <w:r w:rsidR="00557F35" w:rsidRPr="006232CF">
        <w:t xml:space="preserve"> 2019</w:t>
      </w:r>
      <w:r w:rsidRPr="00557F35">
        <w:t xml:space="preserve">. </w:t>
      </w:r>
      <w:r>
        <w:t>T</w:t>
      </w:r>
      <w:r w:rsidRPr="00AD70C9">
        <w:t>he Institute of Education Sciences (IES)</w:t>
      </w:r>
      <w:r>
        <w:t xml:space="preserve"> within the U.S. Department of Education (ED) has contracted with </w:t>
      </w:r>
      <w:r w:rsidRPr="00AD70C9">
        <w:t xml:space="preserve">Mathematica Policy Research </w:t>
      </w:r>
      <w:r>
        <w:t>and its partners the National Center for Special Education in Charter Schools, Inc. and Walsh Taylor, Inc</w:t>
      </w:r>
      <w:r w:rsidR="00E70D29">
        <w:t>.</w:t>
      </w:r>
      <w:r>
        <w:t xml:space="preserve"> to conduct this study</w:t>
      </w:r>
      <w:r w:rsidRPr="00AD70C9">
        <w:t xml:space="preserve">. </w:t>
      </w:r>
    </w:p>
    <w:p w14:paraId="7E9714E5" w14:textId="77777777" w:rsidR="00252E9B" w:rsidRPr="0085068A" w:rsidRDefault="00252E9B" w:rsidP="00252E9B">
      <w:pPr>
        <w:pStyle w:val="NormalSS"/>
      </w:pPr>
      <w:r>
        <w:t>IDEA, which was last reauthorized in 2004, is</w:t>
      </w:r>
      <w:r w:rsidRPr="0085068A">
        <w:t xml:space="preserve"> a </w:t>
      </w:r>
      <w:r>
        <w:t xml:space="preserve">federal </w:t>
      </w:r>
      <w:r w:rsidRPr="0085068A">
        <w:t xml:space="preserve">law </w:t>
      </w:r>
      <w:r>
        <w:t xml:space="preserve">first </w:t>
      </w:r>
      <w:r w:rsidRPr="0085068A">
        <w:t xml:space="preserve">passed in 1975 to </w:t>
      </w:r>
      <w:r>
        <w:t xml:space="preserve">support the needs of </w:t>
      </w:r>
      <w:r w:rsidRPr="0085068A">
        <w:t>children with disabilities. IDEA supports early intervention services for infants and toddlers identified as having a disability or at risk of substantial developmental delay. IDEA also supports special education and related services for children and youth ages 3 through 21 identified as having a disability</w:t>
      </w:r>
      <w:r>
        <w:t>,</w:t>
      </w:r>
      <w:r w:rsidRPr="0085068A">
        <w:t xml:space="preserve"> as well as coordinated early interven</w:t>
      </w:r>
      <w:r>
        <w:t>ing</w:t>
      </w:r>
      <w:r w:rsidRPr="0085068A">
        <w:t xml:space="preserve"> services for children and youth who </w:t>
      </w:r>
      <w:r>
        <w:t>do not require</w:t>
      </w:r>
      <w:r w:rsidRPr="0085068A">
        <w:t xml:space="preserve"> special education, but who need additional support to succeed in a general education environment.  </w:t>
      </w:r>
    </w:p>
    <w:p w14:paraId="05099B2B" w14:textId="77777777" w:rsidR="00252E9B" w:rsidRPr="006232CF" w:rsidRDefault="00252E9B" w:rsidP="006232CF">
      <w:pPr>
        <w:spacing w:after="240" w:line="240" w:lineRule="auto"/>
        <w:rPr>
          <w:szCs w:val="24"/>
        </w:rPr>
      </w:pPr>
      <w:r w:rsidRPr="00DD5A32">
        <w:rPr>
          <w:szCs w:val="24"/>
          <w:lang w:val="en"/>
        </w:rPr>
        <w:t>IDEA</w:t>
      </w:r>
      <w:r w:rsidRPr="00DD5A32">
        <w:rPr>
          <w:szCs w:val="24"/>
        </w:rPr>
        <w:t xml:space="preserve"> mandates that IES assess national activities under the law, known as the National Assessment of IDEA. The study that is the focus here—the </w:t>
      </w:r>
      <w:r w:rsidRPr="00557F35">
        <w:rPr>
          <w:szCs w:val="24"/>
        </w:rPr>
        <w:t>IDEA State and Local Implementation Study 2019</w:t>
      </w:r>
      <w:r w:rsidRPr="00DD5A32">
        <w:rPr>
          <w:szCs w:val="24"/>
        </w:rPr>
        <w:t xml:space="preserve">—is one aspect of this assessment and will develop a national picture of how states, districts, and schools are implementing IDEA. It will provide (1) ED, Congress, and other stakeholders with knowledge that can inform the next reauthorization of IDEA and, ultimately, how services </w:t>
      </w:r>
      <w:r>
        <w:rPr>
          <w:szCs w:val="24"/>
        </w:rPr>
        <w:t xml:space="preserve">are provided </w:t>
      </w:r>
      <w:r w:rsidRPr="00DD5A32">
        <w:rPr>
          <w:szCs w:val="24"/>
        </w:rPr>
        <w:t>to children; and (2) states, districts, and schools with an understanding of how others are implementing IDEA.</w:t>
      </w:r>
      <w:r w:rsidR="00BA4764">
        <w:rPr>
          <w:szCs w:val="24"/>
        </w:rPr>
        <w:t xml:space="preserve"> This study will build on an earlier IDEA National Assessment Implementation Study (IDEA-NAIS), which surveyed states and a nationally representative sample of districts in 2009.</w:t>
      </w:r>
    </w:p>
    <w:p w14:paraId="5C926B67" w14:textId="77777777" w:rsidR="00252E9B" w:rsidRPr="00AD70C9" w:rsidRDefault="00252E9B" w:rsidP="00252E9B">
      <w:pPr>
        <w:pStyle w:val="NormalSS"/>
      </w:pPr>
      <w:r w:rsidRPr="00AD70C9">
        <w:t xml:space="preserve">The </w:t>
      </w:r>
      <w:r>
        <w:t>study</w:t>
      </w:r>
      <w:r w:rsidRPr="00AD70C9">
        <w:t xml:space="preserve"> </w:t>
      </w:r>
      <w:r w:rsidR="009D3B5F">
        <w:t xml:space="preserve">will </w:t>
      </w:r>
      <w:r w:rsidRPr="00AD70C9">
        <w:t xml:space="preserve">examine </w:t>
      </w:r>
      <w:r>
        <w:t xml:space="preserve">IDEA </w:t>
      </w:r>
      <w:r w:rsidR="009D3B5F">
        <w:t xml:space="preserve">implementation </w:t>
      </w:r>
      <w:r>
        <w:t xml:space="preserve">at the state, district, and school levels. Specifically, the study will describe how state and local agencies identify infants, toddlers, children, and youth for early intervention and special education and related services. It will also examine the policies and programs these agencies have in place, and the learning supports that schools provide, to assist those identified for services. Finally, the study will investigate the extent to which state and local agencies use evidence from research on children with disabilities and how they allocate resources to support children with disabilities. </w:t>
      </w:r>
    </w:p>
    <w:p w14:paraId="782F43C1" w14:textId="77777777" w:rsidR="00252E9B" w:rsidRDefault="009D3B5F" w:rsidP="00252E9B">
      <w:pPr>
        <w:pStyle w:val="NormalSS"/>
      </w:pPr>
      <w:r>
        <w:t>T</w:t>
      </w:r>
      <w:r w:rsidR="00252E9B">
        <w:t xml:space="preserve">he study team will conduct </w:t>
      </w:r>
      <w:r w:rsidR="00252E9B" w:rsidRPr="00640448">
        <w:t xml:space="preserve">surveys </w:t>
      </w:r>
      <w:r w:rsidR="00252E9B" w:rsidRPr="006232CF">
        <w:t xml:space="preserve">in </w:t>
      </w:r>
      <w:r>
        <w:t>F</w:t>
      </w:r>
      <w:r w:rsidRPr="006232CF">
        <w:t xml:space="preserve">all </w:t>
      </w:r>
      <w:r w:rsidR="00252E9B" w:rsidRPr="006232CF">
        <w:t>2019</w:t>
      </w:r>
      <w:r w:rsidR="00252E9B" w:rsidRPr="00640448">
        <w:t xml:space="preserve"> of a census of state</w:t>
      </w:r>
      <w:r w:rsidR="00252E9B" w:rsidRPr="00BB7BAA">
        <w:t>s and territories receiving IDEA funding and of national samples of districts and schools. The survey data will provide a snapshot of current implementation</w:t>
      </w:r>
      <w:r w:rsidR="00252E9B">
        <w:t xml:space="preserve"> and, where possible, allow the study team to examine trends over time. </w:t>
      </w:r>
      <w:r w:rsidR="00252E9B" w:rsidRPr="00AD70C9">
        <w:t xml:space="preserve">This package provides a detailed discussion of the procedures for these data collection activities and the </w:t>
      </w:r>
      <w:r w:rsidR="00252E9B">
        <w:t xml:space="preserve">data collection </w:t>
      </w:r>
      <w:r w:rsidR="00252E9B" w:rsidRPr="00AD70C9">
        <w:t>forms and instruments</w:t>
      </w:r>
      <w:r w:rsidR="00252E9B">
        <w:t xml:space="preserve">. </w:t>
      </w:r>
    </w:p>
    <w:p w14:paraId="48472E30" w14:textId="77777777" w:rsidR="00252E9B" w:rsidRDefault="00252E9B" w:rsidP="00252E9B">
      <w:pPr>
        <w:pStyle w:val="NormalSS"/>
        <w:sectPr w:rsidR="00252E9B" w:rsidSect="00BE318A">
          <w:headerReference w:type="default" r:id="rId19"/>
          <w:footerReference w:type="default" r:id="rId20"/>
          <w:pgSz w:w="12240" w:h="15840"/>
          <w:pgMar w:top="1440" w:right="1440" w:bottom="1440" w:left="1440" w:header="720" w:footer="720" w:gutter="0"/>
          <w:pgNumType w:start="1"/>
          <w:cols w:space="720"/>
          <w:docGrid w:linePitch="360"/>
        </w:sectPr>
      </w:pPr>
      <w:r>
        <w:t xml:space="preserve">The </w:t>
      </w:r>
      <w:r w:rsidR="00557F35">
        <w:t xml:space="preserve">IDEA </w:t>
      </w:r>
      <w:r w:rsidRPr="00557F35">
        <w:t>State and Local Implementation study</w:t>
      </w:r>
      <w:r w:rsidR="00557F35">
        <w:t xml:space="preserve"> 2019 </w:t>
      </w:r>
      <w:r>
        <w:t xml:space="preserve">includes a potential follow-up data collection in the same states, districts, and schools in 2022. If IES proceeds with the second round, it will submit a separate package requesting OMB clearance for the follow-up surveys. </w:t>
      </w:r>
    </w:p>
    <w:p w14:paraId="6DC3B0A4" w14:textId="77777777" w:rsidR="00252E9B" w:rsidRDefault="00252E9B" w:rsidP="00252E9B">
      <w:pPr>
        <w:pStyle w:val="H2Chapter"/>
      </w:pPr>
      <w:bookmarkStart w:id="13" w:name="_Toc529535872"/>
      <w:r>
        <w:t>B.1. Respondent Universe and Sampling Methods</w:t>
      </w:r>
      <w:bookmarkEnd w:id="13"/>
    </w:p>
    <w:p w14:paraId="075C6F2E" w14:textId="77777777" w:rsidR="00252E9B" w:rsidRDefault="00252E9B" w:rsidP="00252E9B">
      <w:pPr>
        <w:pStyle w:val="NormalSS"/>
      </w:pPr>
      <w:r>
        <w:t>This study includes multiple survey data collection efforts. States, districts, and schools have important and non-overlapping roles in how IDEA is implemented, which necessitates data collection at each level. The study team will survey a census of state administrators receiving IDEA funding, as well as staff from nationally representative samples of school districts and schools. The school sample is nested within the selected district sample.</w:t>
      </w:r>
    </w:p>
    <w:p w14:paraId="0021E4E6" w14:textId="77777777" w:rsidR="00252E9B" w:rsidRDefault="00252E9B" w:rsidP="00252E9B">
      <w:pPr>
        <w:pStyle w:val="H3Alpha"/>
      </w:pPr>
      <w:bookmarkStart w:id="14" w:name="_Toc529535873"/>
      <w:r>
        <w:t>B.1.1. States</w:t>
      </w:r>
      <w:bookmarkEnd w:id="14"/>
      <w:r>
        <w:t xml:space="preserve"> </w:t>
      </w:r>
    </w:p>
    <w:p w14:paraId="2F56ECF9" w14:textId="77777777" w:rsidR="00252E9B" w:rsidRPr="00FA7B08" w:rsidRDefault="00252E9B" w:rsidP="00252E9B">
      <w:pPr>
        <w:pStyle w:val="NormalSS"/>
      </w:pPr>
      <w:r>
        <w:t>The study team will collect data from a census of the 61 state-level entities that receive IDEA funding; therefore, no sampling methods are required. These entities are all</w:t>
      </w:r>
      <w:r w:rsidRPr="005B47E9">
        <w:t xml:space="preserve"> 50 states, </w:t>
      </w:r>
      <w:r>
        <w:t xml:space="preserve">the </w:t>
      </w:r>
      <w:r w:rsidRPr="005B47E9">
        <w:t xml:space="preserve">District of Columbia, </w:t>
      </w:r>
      <w:r>
        <w:t xml:space="preserve">eight </w:t>
      </w:r>
      <w:r w:rsidRPr="005B47E9">
        <w:t xml:space="preserve">U.S. territories, the Bureau of Indian Education, and the Department of Defense Education </w:t>
      </w:r>
      <w:r>
        <w:t>Activity.</w:t>
      </w:r>
      <w:r w:rsidR="001B1BA9">
        <w:t xml:space="preserve"> </w:t>
      </w:r>
    </w:p>
    <w:p w14:paraId="34CDE6C0" w14:textId="77777777" w:rsidR="00252E9B" w:rsidRDefault="00252E9B" w:rsidP="00252E9B">
      <w:pPr>
        <w:pStyle w:val="H3Alpha"/>
      </w:pPr>
      <w:bookmarkStart w:id="15" w:name="_Toc529535874"/>
      <w:r>
        <w:t>B.1.2. District sample</w:t>
      </w:r>
      <w:bookmarkEnd w:id="15"/>
    </w:p>
    <w:p w14:paraId="5A1A10E4" w14:textId="77777777" w:rsidR="00252E9B" w:rsidRDefault="00252E9B" w:rsidP="00252E9B">
      <w:pPr>
        <w:pStyle w:val="NormalSS"/>
      </w:pPr>
      <w:r>
        <w:t xml:space="preserve">The sample frame for the IDEA district surveys was derived from the list of public school districts provided by IES’s National Center for Education Statistics in its Common Core of Data (CCD). The study team used the CCD district files </w:t>
      </w:r>
      <w:r w:rsidRPr="0039018C">
        <w:t>for the 2015</w:t>
      </w:r>
      <w:r>
        <w:t>–</w:t>
      </w:r>
      <w:r w:rsidRPr="0039018C">
        <w:t>16</w:t>
      </w:r>
      <w:r>
        <w:t xml:space="preserve"> school year, as this was the latest available year with all the data necessary for sample selection. The sample frame for the IDEA district surveys is the subset of the full list of school districts that meet all the following criteria</w:t>
      </w:r>
      <w:r w:rsidR="005A5827">
        <w:t>.</w:t>
      </w:r>
      <w:r w:rsidR="00D4760F">
        <w:t xml:space="preserve"> </w:t>
      </w:r>
      <w:r w:rsidR="00D4760F" w:rsidRPr="00D4760F">
        <w:t>Applying the criteria below restricts the sample frame to a set of districts that is currently operational with</w:t>
      </w:r>
      <w:r w:rsidR="00312E18">
        <w:t xml:space="preserve"> students enrolled in</w:t>
      </w:r>
      <w:r w:rsidR="00D4760F" w:rsidRPr="00D4760F">
        <w:t xml:space="preserve"> </w:t>
      </w:r>
      <w:r w:rsidR="00312E18">
        <w:t>pre-kindergarten to grade 12</w:t>
      </w:r>
      <w:r w:rsidR="00D4760F" w:rsidRPr="00D4760F">
        <w:t xml:space="preserve"> and is eligible for IDEA funding</w:t>
      </w:r>
      <w:r w:rsidR="005A5827">
        <w:t>.</w:t>
      </w:r>
    </w:p>
    <w:p w14:paraId="3506DD0F" w14:textId="77777777" w:rsidR="00252E9B" w:rsidRPr="00615EC1" w:rsidRDefault="00252E9B" w:rsidP="00252E9B">
      <w:pPr>
        <w:pStyle w:val="NormalSS"/>
        <w:numPr>
          <w:ilvl w:val="0"/>
          <w:numId w:val="36"/>
        </w:numPr>
        <w:spacing w:after="120"/>
      </w:pPr>
      <w:r w:rsidRPr="00615EC1">
        <w:t xml:space="preserve">Districts must have </w:t>
      </w:r>
      <w:r w:rsidRPr="002A15EE">
        <w:rPr>
          <w:b/>
        </w:rPr>
        <w:t>reported student enrollment greater than zero</w:t>
      </w:r>
      <w:r>
        <w:rPr>
          <w:b/>
        </w:rPr>
        <w:t>.</w:t>
      </w:r>
      <w:r w:rsidRPr="00615EC1">
        <w:t xml:space="preserve"> Districts with no students reported as enrolled </w:t>
      </w:r>
      <w:r>
        <w:t xml:space="preserve">in the 2015–16 school year </w:t>
      </w:r>
      <w:r w:rsidRPr="00615EC1">
        <w:t>w</w:t>
      </w:r>
      <w:r>
        <w:t>ere</w:t>
      </w:r>
      <w:r w:rsidRPr="00615EC1">
        <w:t xml:space="preserve"> excluded from the sample frame.</w:t>
      </w:r>
    </w:p>
    <w:p w14:paraId="635B674E" w14:textId="77777777" w:rsidR="00252E9B" w:rsidRDefault="00252E9B" w:rsidP="00252E9B">
      <w:pPr>
        <w:pStyle w:val="NormalSS"/>
        <w:numPr>
          <w:ilvl w:val="0"/>
          <w:numId w:val="36"/>
        </w:numPr>
        <w:spacing w:after="120"/>
      </w:pPr>
      <w:r>
        <w:t>Districts</w:t>
      </w:r>
      <w:r w:rsidRPr="00754F6A">
        <w:t xml:space="preserve"> must have </w:t>
      </w:r>
      <w:r w:rsidRPr="00754F6A">
        <w:rPr>
          <w:b/>
        </w:rPr>
        <w:t xml:space="preserve">low and high grades </w:t>
      </w:r>
      <w:r>
        <w:rPr>
          <w:b/>
        </w:rPr>
        <w:t>within the span of</w:t>
      </w:r>
      <w:r w:rsidRPr="00754F6A">
        <w:rPr>
          <w:b/>
        </w:rPr>
        <w:t xml:space="preserve"> pre-kindergarten</w:t>
      </w:r>
      <w:r>
        <w:rPr>
          <w:b/>
        </w:rPr>
        <w:t xml:space="preserve"> </w:t>
      </w:r>
      <w:r w:rsidRPr="00754F6A">
        <w:rPr>
          <w:b/>
        </w:rPr>
        <w:t xml:space="preserve">through </w:t>
      </w:r>
      <w:r>
        <w:rPr>
          <w:b/>
        </w:rPr>
        <w:t xml:space="preserve">grade </w:t>
      </w:r>
      <w:r w:rsidRPr="00754F6A">
        <w:rPr>
          <w:b/>
        </w:rPr>
        <w:t>13.</w:t>
      </w:r>
      <w:r w:rsidR="0038458B">
        <w:rPr>
          <w:rStyle w:val="FootnoteReference"/>
          <w:b/>
        </w:rPr>
        <w:footnoteReference w:id="2"/>
      </w:r>
      <w:r w:rsidRPr="00754F6A">
        <w:t xml:space="preserve"> </w:t>
      </w:r>
      <w:r>
        <w:t>Districts</w:t>
      </w:r>
      <w:r w:rsidRPr="00754F6A">
        <w:t xml:space="preserve"> with low </w:t>
      </w:r>
      <w:r>
        <w:t>and</w:t>
      </w:r>
      <w:r w:rsidRPr="00754F6A">
        <w:t xml:space="preserve"> high grades of ungraded or missing, or with adult education as their reported low grade</w:t>
      </w:r>
      <w:r>
        <w:t>,</w:t>
      </w:r>
      <w:r w:rsidRPr="00754F6A">
        <w:t xml:space="preserve"> w</w:t>
      </w:r>
      <w:r>
        <w:t>ere</w:t>
      </w:r>
      <w:r w:rsidRPr="00754F6A">
        <w:t xml:space="preserve"> excluded from the sample frame.</w:t>
      </w:r>
    </w:p>
    <w:p w14:paraId="449719E4" w14:textId="77777777" w:rsidR="00252E9B" w:rsidRDefault="00252E9B" w:rsidP="00252E9B">
      <w:pPr>
        <w:pStyle w:val="NormalSS"/>
        <w:numPr>
          <w:ilvl w:val="0"/>
          <w:numId w:val="36"/>
        </w:numPr>
        <w:spacing w:after="120"/>
      </w:pPr>
      <w:r w:rsidRPr="00615EC1">
        <w:t xml:space="preserve">Districts must be categorized as </w:t>
      </w:r>
      <w:r w:rsidRPr="000C00C1">
        <w:rPr>
          <w:b/>
        </w:rPr>
        <w:t>regular local school districts, local school districts that are part of a supervisory union,</w:t>
      </w:r>
      <w:r>
        <w:rPr>
          <w:b/>
        </w:rPr>
        <w:t xml:space="preserve"> </w:t>
      </w:r>
      <w:r w:rsidRPr="00170410">
        <w:rPr>
          <w:b/>
        </w:rPr>
        <w:t>supervisory union</w:t>
      </w:r>
      <w:r>
        <w:rPr>
          <w:b/>
        </w:rPr>
        <w:t>s,</w:t>
      </w:r>
      <w:r w:rsidRPr="000C00C1">
        <w:rPr>
          <w:b/>
        </w:rPr>
        <w:t xml:space="preserve"> or charter education agencies</w:t>
      </w:r>
      <w:r>
        <w:rPr>
          <w:b/>
        </w:rPr>
        <w:t>.</w:t>
      </w:r>
      <w:r w:rsidRPr="00615EC1">
        <w:t xml:space="preserve"> Districts categorized as </w:t>
      </w:r>
      <w:r>
        <w:t xml:space="preserve">(1) </w:t>
      </w:r>
      <w:r w:rsidRPr="00615EC1">
        <w:t xml:space="preserve">regional education service agencies, </w:t>
      </w:r>
      <w:r>
        <w:t xml:space="preserve">(2) </w:t>
      </w:r>
      <w:r w:rsidRPr="00615EC1">
        <w:t xml:space="preserve">state-operated agencies, </w:t>
      </w:r>
      <w:r>
        <w:t xml:space="preserve">(3) </w:t>
      </w:r>
      <w:r w:rsidRPr="00615EC1">
        <w:t>federal</w:t>
      </w:r>
      <w:r>
        <w:t xml:space="preserve">ly </w:t>
      </w:r>
      <w:r w:rsidRPr="00615EC1">
        <w:t xml:space="preserve">operated agencies, or </w:t>
      </w:r>
      <w:r>
        <w:t xml:space="preserve">(4) </w:t>
      </w:r>
      <w:r w:rsidRPr="00615EC1">
        <w:t>other types of agencies w</w:t>
      </w:r>
      <w:r>
        <w:t>ere</w:t>
      </w:r>
      <w:r w:rsidRPr="00615EC1">
        <w:t xml:space="preserve"> excluded from the frame. </w:t>
      </w:r>
      <w:r>
        <w:t>The study team decided to include supervisory unions (</w:t>
      </w:r>
      <w:r w:rsidRPr="009D77B2">
        <w:t xml:space="preserve">typically </w:t>
      </w:r>
      <w:r w:rsidRPr="00336E9B">
        <w:t>administrative</w:t>
      </w:r>
      <w:r w:rsidRPr="009D77B2">
        <w:t xml:space="preserve"> offices) as a district type for this study because two such local education</w:t>
      </w:r>
      <w:r>
        <w:t xml:space="preserve"> agencies in the CCD have non-zero enrollment and appear to be regular local school districts. All other supervisory unions are effectively excluded because they report zero students enrolled.</w:t>
      </w:r>
      <w:r w:rsidRPr="0039018C">
        <w:t xml:space="preserve"> </w:t>
      </w:r>
    </w:p>
    <w:p w14:paraId="73C911A6" w14:textId="77777777" w:rsidR="00252E9B" w:rsidRDefault="00252E9B" w:rsidP="00252E9B">
      <w:pPr>
        <w:pStyle w:val="NormalSS"/>
        <w:numPr>
          <w:ilvl w:val="0"/>
          <w:numId w:val="36"/>
        </w:numPr>
      </w:pPr>
      <w:r w:rsidRPr="00615EC1">
        <w:t xml:space="preserve">Districts must have </w:t>
      </w:r>
      <w:r w:rsidRPr="002A15EE">
        <w:rPr>
          <w:b/>
        </w:rPr>
        <w:t>at least one school that is eligible for selection</w:t>
      </w:r>
      <w:r w:rsidRPr="00615EC1">
        <w:t xml:space="preserve"> (see school eligibility below). Districts with no schools eligible for selection w</w:t>
      </w:r>
      <w:r>
        <w:t>ere</w:t>
      </w:r>
      <w:r w:rsidRPr="00615EC1">
        <w:t xml:space="preserve"> excluded from the sample frame.</w:t>
      </w:r>
    </w:p>
    <w:p w14:paraId="03B6F4A3" w14:textId="77777777" w:rsidR="00252E9B" w:rsidRPr="00615EC1" w:rsidRDefault="00252E9B" w:rsidP="00252E9B">
      <w:pPr>
        <w:pStyle w:val="NormalSS"/>
        <w:numPr>
          <w:ilvl w:val="0"/>
          <w:numId w:val="36"/>
        </w:numPr>
      </w:pPr>
      <w:r>
        <w:t>Charter districts must be considered a local education agency (LEA) for the purposes of IDEA funding. Charter districts that are not considered an LEA for IDEA funding cannot receive IDEA funding and were excluded from the sample frame.</w:t>
      </w:r>
    </w:p>
    <w:p w14:paraId="1CD3B0E9" w14:textId="77777777" w:rsidR="00252E9B" w:rsidRDefault="00252E9B" w:rsidP="00252E9B">
      <w:pPr>
        <w:pStyle w:val="NormalSS"/>
        <w:keepNext/>
        <w:keepLines/>
      </w:pPr>
      <w:r>
        <w:t>The district sample frame consists of the 16,108 districts satisfying the criteria listed above. These districts serve 99.4 percent of the total district enrollment in the CCD district file. The districts in the sample frame come from 54</w:t>
      </w:r>
      <w:r w:rsidRPr="00DE0C50">
        <w:t xml:space="preserve"> states and territories</w:t>
      </w:r>
      <w:r>
        <w:t>. Seven state-level entities have no eligible districts (American Samoa, Bureau of Indian Education, Department of Defense Education Activity, Federated States of Micronesia, Marshall Islands, Northern Mariana Islands, and Palau)</w:t>
      </w:r>
      <w:r w:rsidRPr="00DE0C50">
        <w:t>.</w:t>
      </w:r>
      <w:r>
        <w:t xml:space="preserve"> </w:t>
      </w:r>
    </w:p>
    <w:p w14:paraId="0036AE1E" w14:textId="77777777" w:rsidR="00252E9B" w:rsidRPr="00615EC1" w:rsidRDefault="00252E9B" w:rsidP="00252E9B">
      <w:pPr>
        <w:pStyle w:val="NormalSS"/>
      </w:pPr>
      <w:r>
        <w:t xml:space="preserve">The study team selected </w:t>
      </w:r>
      <w:r w:rsidR="00A919FE">
        <w:t xml:space="preserve">a nationally representative sample of </w:t>
      </w:r>
      <w:r>
        <w:t xml:space="preserve">665 districts. </w:t>
      </w:r>
      <w:r w:rsidR="00113057">
        <w:t>The preschool-age district survey</w:t>
      </w:r>
      <w:r w:rsidR="009F32D6">
        <w:t xml:space="preserve"> </w:t>
      </w:r>
      <w:r w:rsidR="00E86D32">
        <w:t xml:space="preserve">will be administered in 602 of the 665 districts. </w:t>
      </w:r>
      <w:r>
        <w:t xml:space="preserve">Section B.2 discusses the district sampling approach in more detail. </w:t>
      </w:r>
    </w:p>
    <w:p w14:paraId="4CC275B6" w14:textId="77777777" w:rsidR="00252E9B" w:rsidRDefault="00252E9B" w:rsidP="00252E9B">
      <w:pPr>
        <w:pStyle w:val="H3Alpha"/>
      </w:pPr>
      <w:bookmarkStart w:id="16" w:name="_Toc529535875"/>
      <w:r>
        <w:t>B.1.3. School sample</w:t>
      </w:r>
      <w:bookmarkEnd w:id="16"/>
    </w:p>
    <w:p w14:paraId="5B2AA587" w14:textId="77777777" w:rsidR="00252E9B" w:rsidRPr="005843AE" w:rsidRDefault="00252E9B" w:rsidP="00252E9B">
      <w:pPr>
        <w:pStyle w:val="NormalSS"/>
      </w:pPr>
      <w:r w:rsidRPr="00F941BB">
        <w:t>The sample frame for the IDEA school survey w</w:t>
      </w:r>
      <w:r>
        <w:t>as</w:t>
      </w:r>
      <w:r w:rsidRPr="00F941BB">
        <w:t xml:space="preserve"> derived from the list of public schools provided by the CCD</w:t>
      </w:r>
      <w:r>
        <w:t xml:space="preserve"> </w:t>
      </w:r>
      <w:r w:rsidRPr="00F941BB">
        <w:t>files for the 2015</w:t>
      </w:r>
      <w:r>
        <w:t>–</w:t>
      </w:r>
      <w:r w:rsidRPr="00F941BB">
        <w:t xml:space="preserve">16 school year. </w:t>
      </w:r>
      <w:r>
        <w:t xml:space="preserve">Eligible schools </w:t>
      </w:r>
      <w:r w:rsidRPr="00F941BB">
        <w:t>for the school sample</w:t>
      </w:r>
      <w:r>
        <w:t xml:space="preserve"> include the subset of </w:t>
      </w:r>
      <w:r w:rsidR="00352C71">
        <w:t xml:space="preserve"> schools</w:t>
      </w:r>
      <w:r>
        <w:t xml:space="preserve"> that </w:t>
      </w:r>
      <w:r w:rsidRPr="00F941BB">
        <w:t>meet all the following criteria</w:t>
      </w:r>
      <w:r w:rsidR="005A5827" w:rsidRPr="005A5827">
        <w:rPr>
          <w:rStyle w:val="CommentReference"/>
          <w:sz w:val="24"/>
          <w:szCs w:val="24"/>
        </w:rPr>
        <w:t xml:space="preserve">. </w:t>
      </w:r>
      <w:r w:rsidR="009D5406">
        <w:rPr>
          <w:rStyle w:val="CommentReference"/>
          <w:sz w:val="24"/>
          <w:szCs w:val="24"/>
        </w:rPr>
        <w:t xml:space="preserve">These criteria ensure we selected </w:t>
      </w:r>
      <w:r w:rsidR="005A5827" w:rsidRPr="005A5827">
        <w:rPr>
          <w:rStyle w:val="CommentReference"/>
          <w:sz w:val="24"/>
          <w:szCs w:val="24"/>
        </w:rPr>
        <w:t xml:space="preserve">only currently operational schools eligible for IDEA funding, with </w:t>
      </w:r>
      <w:r w:rsidR="00312E18" w:rsidRPr="005A5827">
        <w:rPr>
          <w:rStyle w:val="CommentReference"/>
          <w:sz w:val="24"/>
          <w:szCs w:val="24"/>
        </w:rPr>
        <w:t>students enrolled</w:t>
      </w:r>
      <w:r w:rsidR="00312E18" w:rsidRPr="00312E18">
        <w:rPr>
          <w:rStyle w:val="CommentReference"/>
          <w:sz w:val="24"/>
          <w:szCs w:val="24"/>
        </w:rPr>
        <w:t xml:space="preserve"> </w:t>
      </w:r>
      <w:r w:rsidR="00312E18">
        <w:rPr>
          <w:rStyle w:val="CommentReference"/>
          <w:sz w:val="24"/>
          <w:szCs w:val="24"/>
        </w:rPr>
        <w:t xml:space="preserve">in </w:t>
      </w:r>
      <w:r w:rsidR="00312E18" w:rsidRPr="00312E18">
        <w:rPr>
          <w:rStyle w:val="CommentReference"/>
          <w:sz w:val="24"/>
          <w:szCs w:val="24"/>
        </w:rPr>
        <w:t>pre-kindergarten to grade 12</w:t>
      </w:r>
      <w:r w:rsidR="005A5827" w:rsidRPr="005A5827">
        <w:rPr>
          <w:szCs w:val="24"/>
        </w:rPr>
        <w:t>.</w:t>
      </w:r>
    </w:p>
    <w:p w14:paraId="0E1D0F2D" w14:textId="77777777" w:rsidR="00252E9B" w:rsidRPr="00615EC1" w:rsidRDefault="00252E9B" w:rsidP="00252E9B">
      <w:pPr>
        <w:pStyle w:val="NormalSS"/>
        <w:numPr>
          <w:ilvl w:val="0"/>
          <w:numId w:val="39"/>
        </w:numPr>
        <w:spacing w:after="120"/>
      </w:pPr>
      <w:r w:rsidRPr="00615EC1">
        <w:t xml:space="preserve">Schools must have </w:t>
      </w:r>
      <w:r w:rsidRPr="007040DD">
        <w:rPr>
          <w:b/>
        </w:rPr>
        <w:t xml:space="preserve">low and high grades </w:t>
      </w:r>
      <w:r>
        <w:rPr>
          <w:b/>
        </w:rPr>
        <w:t>within the span of</w:t>
      </w:r>
      <w:r w:rsidRPr="007040DD">
        <w:rPr>
          <w:b/>
        </w:rPr>
        <w:t xml:space="preserve"> pre-kindergarten through</w:t>
      </w:r>
      <w:r>
        <w:rPr>
          <w:b/>
        </w:rPr>
        <w:t xml:space="preserve"> grade</w:t>
      </w:r>
      <w:r w:rsidRPr="007040DD">
        <w:rPr>
          <w:b/>
        </w:rPr>
        <w:t xml:space="preserve"> 13</w:t>
      </w:r>
      <w:r>
        <w:rPr>
          <w:b/>
        </w:rPr>
        <w:t>.</w:t>
      </w:r>
      <w:r w:rsidRPr="00615EC1">
        <w:t xml:space="preserve"> Schools with low </w:t>
      </w:r>
      <w:r>
        <w:t>and</w:t>
      </w:r>
      <w:r w:rsidRPr="00615EC1">
        <w:t xml:space="preserve"> high grades of ungraded or missing, or with adult education as their reported low grade</w:t>
      </w:r>
      <w:r>
        <w:t>,</w:t>
      </w:r>
      <w:r w:rsidRPr="00615EC1">
        <w:t xml:space="preserve"> w</w:t>
      </w:r>
      <w:r>
        <w:t>ere</w:t>
      </w:r>
      <w:r w:rsidRPr="00615EC1">
        <w:t xml:space="preserve"> excluded from the sample frame.</w:t>
      </w:r>
    </w:p>
    <w:p w14:paraId="0BDBF0BE" w14:textId="77777777" w:rsidR="00252E9B" w:rsidRDefault="00252E9B" w:rsidP="00252E9B">
      <w:pPr>
        <w:pStyle w:val="NormalSS"/>
        <w:numPr>
          <w:ilvl w:val="0"/>
          <w:numId w:val="39"/>
        </w:numPr>
        <w:spacing w:after="120"/>
      </w:pPr>
      <w:r w:rsidRPr="00615EC1">
        <w:t>Schools must be</w:t>
      </w:r>
      <w:r>
        <w:t xml:space="preserve"> listed as</w:t>
      </w:r>
      <w:r w:rsidRPr="00615EC1">
        <w:t xml:space="preserve"> </w:t>
      </w:r>
      <w:r w:rsidRPr="007040DD">
        <w:rPr>
          <w:b/>
        </w:rPr>
        <w:t>currently operational</w:t>
      </w:r>
      <w:r>
        <w:rPr>
          <w:b/>
        </w:rPr>
        <w:t xml:space="preserve"> </w:t>
      </w:r>
      <w:r w:rsidRPr="002A2E96">
        <w:t>in the 2015</w:t>
      </w:r>
      <w:r>
        <w:t>–</w:t>
      </w:r>
      <w:r w:rsidRPr="002A2E96">
        <w:t>16 CCD file</w:t>
      </w:r>
      <w:r w:rsidRPr="00615EC1">
        <w:t xml:space="preserve">, defined as </w:t>
      </w:r>
      <w:r>
        <w:t xml:space="preserve">a school that (1) is </w:t>
      </w:r>
      <w:r w:rsidRPr="00615EC1">
        <w:t xml:space="preserve">continuing operation </w:t>
      </w:r>
      <w:r>
        <w:t>from</w:t>
      </w:r>
      <w:r w:rsidRPr="00615EC1">
        <w:t xml:space="preserve"> the previous year, </w:t>
      </w:r>
      <w:r>
        <w:t>(2)</w:t>
      </w:r>
      <w:r w:rsidRPr="00615EC1">
        <w:t xml:space="preserve"> </w:t>
      </w:r>
      <w:r>
        <w:t xml:space="preserve">is </w:t>
      </w:r>
      <w:r w:rsidRPr="00615EC1">
        <w:t>newly</w:t>
      </w:r>
      <w:r>
        <w:t xml:space="preserve"> </w:t>
      </w:r>
      <w:r w:rsidRPr="00615EC1">
        <w:t>opened or added</w:t>
      </w:r>
      <w:r>
        <w:t>, (3)</w:t>
      </w:r>
      <w:r w:rsidRPr="00615EC1">
        <w:t xml:space="preserve"> changed districts, or </w:t>
      </w:r>
      <w:r>
        <w:t xml:space="preserve">(4) </w:t>
      </w:r>
      <w:r w:rsidRPr="00615EC1">
        <w:t>re-opened. Schools that are closed, inactive, or scheduled to be opened within</w:t>
      </w:r>
      <w:r>
        <w:t xml:space="preserve"> the next</w:t>
      </w:r>
      <w:r w:rsidRPr="00615EC1">
        <w:t xml:space="preserve"> two years </w:t>
      </w:r>
      <w:r>
        <w:t>were</w:t>
      </w:r>
      <w:r w:rsidRPr="00615EC1">
        <w:t xml:space="preserve"> excluded from the sample frame.</w:t>
      </w:r>
    </w:p>
    <w:p w14:paraId="0FAF4FC4" w14:textId="77777777" w:rsidR="00252E9B" w:rsidRPr="00615EC1" w:rsidRDefault="00252E9B" w:rsidP="00252E9B">
      <w:pPr>
        <w:pStyle w:val="NormalSS"/>
        <w:numPr>
          <w:ilvl w:val="0"/>
          <w:numId w:val="39"/>
        </w:numPr>
        <w:spacing w:after="120"/>
      </w:pPr>
      <w:r>
        <w:t xml:space="preserve">Schools must have </w:t>
      </w:r>
      <w:r w:rsidRPr="00336E9B">
        <w:rPr>
          <w:b/>
        </w:rPr>
        <w:t xml:space="preserve">at least one student </w:t>
      </w:r>
      <w:r w:rsidRPr="008F2633">
        <w:rPr>
          <w:b/>
        </w:rPr>
        <w:t>enrolled</w:t>
      </w:r>
      <w:r>
        <w:t xml:space="preserve"> in the 2015–16 school year. Schools with zero students enrolled or unreported enrollment were excluded from the sample frame.</w:t>
      </w:r>
    </w:p>
    <w:p w14:paraId="5393C228" w14:textId="77777777" w:rsidR="00252E9B" w:rsidRPr="00615EC1" w:rsidRDefault="00252E9B" w:rsidP="00252E9B">
      <w:pPr>
        <w:pStyle w:val="NormalSS"/>
        <w:numPr>
          <w:ilvl w:val="0"/>
          <w:numId w:val="39"/>
        </w:numPr>
        <w:spacing w:after="120"/>
      </w:pPr>
      <w:r w:rsidRPr="00615EC1">
        <w:t xml:space="preserve">Schools must have a </w:t>
      </w:r>
      <w:r w:rsidRPr="007040DD">
        <w:rPr>
          <w:b/>
        </w:rPr>
        <w:t>physical location where students receive at least part of their education</w:t>
      </w:r>
      <w:r w:rsidRPr="00615EC1">
        <w:t xml:space="preserve"> and cannot be identified as virtual schools. All virtual schools w</w:t>
      </w:r>
      <w:r>
        <w:t>ere</w:t>
      </w:r>
      <w:r w:rsidRPr="00615EC1">
        <w:t xml:space="preserve"> excluded from the sample frame.</w:t>
      </w:r>
    </w:p>
    <w:p w14:paraId="668C5BF6" w14:textId="77777777" w:rsidR="00252E9B" w:rsidRPr="00615EC1" w:rsidRDefault="00252E9B" w:rsidP="00252E9B">
      <w:pPr>
        <w:pStyle w:val="NormalSS"/>
        <w:numPr>
          <w:ilvl w:val="0"/>
          <w:numId w:val="39"/>
        </w:numPr>
      </w:pPr>
      <w:r w:rsidRPr="00615EC1">
        <w:t xml:space="preserve">Eligible schools include </w:t>
      </w:r>
      <w:r w:rsidRPr="007040DD">
        <w:rPr>
          <w:b/>
        </w:rPr>
        <w:t>regular schools, special education schools,</w:t>
      </w:r>
      <w:r>
        <w:rPr>
          <w:b/>
        </w:rPr>
        <w:t xml:space="preserve"> vocational education schools,</w:t>
      </w:r>
      <w:r w:rsidRPr="007040DD">
        <w:rPr>
          <w:b/>
        </w:rPr>
        <w:t xml:space="preserve"> and other/alternative schools</w:t>
      </w:r>
      <w:r>
        <w:rPr>
          <w:b/>
        </w:rPr>
        <w:t>.</w:t>
      </w:r>
      <w:r w:rsidRPr="00615EC1">
        <w:t xml:space="preserve"> </w:t>
      </w:r>
    </w:p>
    <w:p w14:paraId="31B0C7A2" w14:textId="77777777" w:rsidR="00252E9B" w:rsidRPr="00615EC1" w:rsidRDefault="00252E9B" w:rsidP="00252E9B">
      <w:pPr>
        <w:pStyle w:val="NormalSS"/>
      </w:pPr>
      <w:r>
        <w:t xml:space="preserve">The school sample was nested within the 665 districts selected for participation in the study, as discussed further in Section B.2. </w:t>
      </w:r>
    </w:p>
    <w:p w14:paraId="65E74E77" w14:textId="77777777" w:rsidR="00252E9B" w:rsidRDefault="00252E9B" w:rsidP="00252E9B">
      <w:pPr>
        <w:pStyle w:val="H2Chapter"/>
      </w:pPr>
      <w:bookmarkStart w:id="17" w:name="_Toc529535876"/>
      <w:r>
        <w:t>B.2. Procedures for the Collection of Information</w:t>
      </w:r>
      <w:bookmarkEnd w:id="17"/>
    </w:p>
    <w:p w14:paraId="75BA2968" w14:textId="77777777" w:rsidR="00252E9B" w:rsidRDefault="00252E9B" w:rsidP="00252E9B">
      <w:pPr>
        <w:pStyle w:val="H3Alpha"/>
      </w:pPr>
      <w:bookmarkStart w:id="18" w:name="_Toc529535877"/>
      <w:r>
        <w:t>B.2.1. Notification of the sample, recruitment, and data collection</w:t>
      </w:r>
      <w:bookmarkEnd w:id="18"/>
    </w:p>
    <w:p w14:paraId="01D3767E" w14:textId="77777777" w:rsidR="00252E9B" w:rsidRPr="00EA2B0E" w:rsidRDefault="00252E9B" w:rsidP="00252E9B">
      <w:pPr>
        <w:pStyle w:val="H4Number"/>
      </w:pPr>
      <w:bookmarkStart w:id="19" w:name="_Toc529535878"/>
      <w:r w:rsidRPr="00EA2B0E">
        <w:t>State surveys</w:t>
      </w:r>
      <w:bookmarkEnd w:id="19"/>
    </w:p>
    <w:p w14:paraId="28756F0E" w14:textId="77777777" w:rsidR="0027101E" w:rsidRDefault="00252E9B" w:rsidP="002E68EB">
      <w:pPr>
        <w:pStyle w:val="NormalSS"/>
      </w:pPr>
      <w:r>
        <w:t xml:space="preserve">In </w:t>
      </w:r>
      <w:r w:rsidR="000D0364">
        <w:t>F</w:t>
      </w:r>
      <w:r>
        <w:t xml:space="preserve">all 2019, the study team will administer </w:t>
      </w:r>
      <w:r w:rsidR="0027101E">
        <w:t xml:space="preserve">three different </w:t>
      </w:r>
      <w:r w:rsidR="005A1F2D">
        <w:t xml:space="preserve">state </w:t>
      </w:r>
      <w:r>
        <w:t>surveys</w:t>
      </w:r>
      <w:r w:rsidR="002E68EB">
        <w:t xml:space="preserve"> that focus on the Part C program for infants and toddlers, the Part B program for preschool-age children, and the Part B program for school-age children and youth, respectively. Three surveys are necessary because different state administrators are likely to oversee IDEA programs for children at those different age levels. The surveys will be administered</w:t>
      </w:r>
      <w:r>
        <w:t xml:space="preserve"> to</w:t>
      </w:r>
      <w:r w:rsidR="0027101E">
        <w:t>:</w:t>
      </w:r>
      <w:r>
        <w:t xml:space="preserve"> </w:t>
      </w:r>
    </w:p>
    <w:p w14:paraId="3C32372B" w14:textId="77777777" w:rsidR="0027101E" w:rsidRDefault="00252E9B" w:rsidP="00103F29">
      <w:pPr>
        <w:pStyle w:val="NormalSS"/>
        <w:numPr>
          <w:ilvl w:val="0"/>
          <w:numId w:val="41"/>
        </w:numPr>
      </w:pPr>
      <w:r>
        <w:t>the IDEA Part C i</w:t>
      </w:r>
      <w:r w:rsidRPr="004C2299">
        <w:t xml:space="preserve">nfants and </w:t>
      </w:r>
      <w:r>
        <w:t>t</w:t>
      </w:r>
      <w:r w:rsidRPr="004C2299">
        <w:t xml:space="preserve">oddlers </w:t>
      </w:r>
      <w:r>
        <w:t>p</w:t>
      </w:r>
      <w:r w:rsidRPr="004C2299">
        <w:t xml:space="preserve">rogram </w:t>
      </w:r>
      <w:r>
        <w:t xml:space="preserve">coordinator, </w:t>
      </w:r>
    </w:p>
    <w:p w14:paraId="6D7B373F" w14:textId="77777777" w:rsidR="0027101E" w:rsidRDefault="0027101E" w:rsidP="00103F29">
      <w:pPr>
        <w:pStyle w:val="NormalSS"/>
        <w:numPr>
          <w:ilvl w:val="0"/>
          <w:numId w:val="41"/>
        </w:numPr>
      </w:pPr>
      <w:r>
        <w:t xml:space="preserve">the </w:t>
      </w:r>
      <w:r w:rsidR="00252E9B">
        <w:t xml:space="preserve">IDEA Part B program for preschool-age children coordinator, and </w:t>
      </w:r>
    </w:p>
    <w:p w14:paraId="2B0368CB" w14:textId="77777777" w:rsidR="0027101E" w:rsidRDefault="0027101E" w:rsidP="00103F29">
      <w:pPr>
        <w:pStyle w:val="NormalSS"/>
        <w:numPr>
          <w:ilvl w:val="0"/>
          <w:numId w:val="41"/>
        </w:numPr>
      </w:pPr>
      <w:r>
        <w:t xml:space="preserve">the </w:t>
      </w:r>
      <w:r w:rsidR="00252E9B">
        <w:t>special education director</w:t>
      </w:r>
      <w:r w:rsidR="00C3062E">
        <w:t>, who will respond</w:t>
      </w:r>
      <w:r>
        <w:t xml:space="preserve"> for </w:t>
      </w:r>
      <w:r w:rsidR="00502328">
        <w:t xml:space="preserve">the </w:t>
      </w:r>
      <w:r>
        <w:t>IDEA Part B program for school-age children.</w:t>
      </w:r>
    </w:p>
    <w:p w14:paraId="3CD805CB" w14:textId="77777777" w:rsidR="002E68EB" w:rsidRDefault="0027101E" w:rsidP="0027101E">
      <w:pPr>
        <w:pStyle w:val="NormalSS"/>
      </w:pPr>
      <w:r>
        <w:t xml:space="preserve">The surveys will be administered to respondents </w:t>
      </w:r>
      <w:r w:rsidR="00252E9B">
        <w:t>in each state, the District of Columbia, and other territories. The expected time to complete the surveys will be 60 minutes, the same as for the IDEA-NAIS state surveys</w:t>
      </w:r>
      <w:r w:rsidR="00E028C6">
        <w:t xml:space="preserve"> administered in 2009</w:t>
      </w:r>
      <w:r w:rsidR="00252E9B">
        <w:t xml:space="preserve">. </w:t>
      </w:r>
      <w:r w:rsidR="00F01916">
        <w:t xml:space="preserve">IDEA is a comprehensive law, and the </w:t>
      </w:r>
      <w:r w:rsidR="00F47BA5">
        <w:t>information collected on the surveys (</w:t>
      </w:r>
      <w:r w:rsidR="00F01916">
        <w:t>state policies on identification and supports for children with disabilities and use of evidence from research, and the allocation of special education resources</w:t>
      </w:r>
      <w:r w:rsidR="009B6505">
        <w:t>)</w:t>
      </w:r>
      <w:r w:rsidR="00F01916">
        <w:t xml:space="preserve"> </w:t>
      </w:r>
      <w:r w:rsidR="002E68EB">
        <w:t>is</w:t>
      </w:r>
      <w:r w:rsidR="00F01916">
        <w:t xml:space="preserve"> complex. Obtaining information on such issues requires survey</w:t>
      </w:r>
      <w:r w:rsidR="000070A1">
        <w:t>s</w:t>
      </w:r>
      <w:r w:rsidR="00F01916">
        <w:t xml:space="preserve"> of this length. </w:t>
      </w:r>
    </w:p>
    <w:p w14:paraId="4663129D" w14:textId="77777777" w:rsidR="00252E9B" w:rsidRDefault="00252E9B" w:rsidP="0027101E">
      <w:pPr>
        <w:pStyle w:val="NormalSS"/>
      </w:pPr>
      <w:r>
        <w:t xml:space="preserve">Contact information for respondents will be obtained from up-to-date online lists. The National Association of State Directors of Special Education maintains a list of state special education directors, and the Early Childhood Technical Assistance Center maintains lists of </w:t>
      </w:r>
      <w:r w:rsidR="002E3643">
        <w:t xml:space="preserve">state coordinators for </w:t>
      </w:r>
      <w:r w:rsidRPr="007E2AD4">
        <w:t>IDEA</w:t>
      </w:r>
      <w:r w:rsidR="002E3643">
        <w:t>’s</w:t>
      </w:r>
      <w:r w:rsidRPr="007E2AD4">
        <w:t xml:space="preserve"> Part C infants and toddlers program </w:t>
      </w:r>
      <w:r>
        <w:t>and</w:t>
      </w:r>
      <w:r w:rsidRPr="007E2AD4">
        <w:t xml:space="preserve"> Part B </w:t>
      </w:r>
      <w:r>
        <w:t xml:space="preserve">program for </w:t>
      </w:r>
      <w:r w:rsidRPr="007E2AD4">
        <w:t>preschool-age children</w:t>
      </w:r>
      <w:r>
        <w:t xml:space="preserve">. </w:t>
      </w:r>
    </w:p>
    <w:p w14:paraId="61CDF104" w14:textId="77777777" w:rsidR="009A70F1" w:rsidRDefault="00252E9B" w:rsidP="00252E9B">
      <w:pPr>
        <w:pStyle w:val="NormalSS"/>
      </w:pPr>
      <w:r w:rsidRPr="00CB0758">
        <w:t xml:space="preserve">To build interest in completing the surveys, the </w:t>
      </w:r>
      <w:r w:rsidR="008D6E6B">
        <w:t xml:space="preserve">study team will send a letter to each state to introduce the study (Appendix B.1). </w:t>
      </w:r>
      <w:r w:rsidR="00502328">
        <w:t>P</w:t>
      </w:r>
      <w:r>
        <w:t>rior to the start of data collection, the study team will mail a letter that will describe the study and survey</w:t>
      </w:r>
      <w:r w:rsidR="001F4895">
        <w:t xml:space="preserve"> (</w:t>
      </w:r>
      <w:r w:rsidR="001F4895" w:rsidRPr="003961C3">
        <w:t xml:space="preserve">Appendix </w:t>
      </w:r>
      <w:r w:rsidR="008D6E6B">
        <w:t>B.2</w:t>
      </w:r>
      <w:r w:rsidR="00957FE7" w:rsidRPr="003961C3">
        <w:t>)</w:t>
      </w:r>
      <w:r w:rsidRPr="003961C3">
        <w:t>.</w:t>
      </w:r>
      <w:r>
        <w:t xml:space="preserve"> </w:t>
      </w:r>
      <w:r w:rsidR="009A70F1">
        <w:t xml:space="preserve">The study team will also provide additional information, answer questions about the study, and obtain feedback from state directors/coordinators at meetings sponsored by </w:t>
      </w:r>
      <w:r w:rsidR="006C3595">
        <w:t>ED</w:t>
      </w:r>
      <w:r w:rsidR="009A70F1">
        <w:t>, such as the Office of Special Education Programs Leadership Conference.</w:t>
      </w:r>
    </w:p>
    <w:p w14:paraId="34A41A71" w14:textId="77777777" w:rsidR="00252E9B" w:rsidRDefault="006F2ED1" w:rsidP="00252E9B">
      <w:pPr>
        <w:pStyle w:val="NormalSS"/>
      </w:pPr>
      <w:r>
        <w:t>In Fall 2019, the study team will send</w:t>
      </w:r>
      <w:r w:rsidR="00252E9B">
        <w:t xml:space="preserve"> an email with a link to the electronic survey and instructions for completing it. Recognizing that the coordinators and directors may need to consult others in order to complete the survey, they will also be provided, for reference, a hard-copy survey that they can share with people with whom they consult. </w:t>
      </w:r>
    </w:p>
    <w:p w14:paraId="169741C9" w14:textId="77777777" w:rsidR="00252E9B" w:rsidRDefault="00252E9B" w:rsidP="00252E9B">
      <w:pPr>
        <w:pStyle w:val="NormalSS"/>
      </w:pPr>
      <w:r>
        <w:t xml:space="preserve">The study team will send reminder emails every two weeks and, after six weeks, will make weekly phone calls. Because states receive IDEA funds and are therefore </w:t>
      </w:r>
      <w:r w:rsidR="00C3062E">
        <w:t xml:space="preserve">expected </w:t>
      </w:r>
      <w:r>
        <w:t xml:space="preserve">to </w:t>
      </w:r>
      <w:r w:rsidR="00502328">
        <w:t>participate in</w:t>
      </w:r>
      <w:r>
        <w:t xml:space="preserve"> the study, it is expected that nearly all states will respond.</w:t>
      </w:r>
      <w:r w:rsidR="00E03213">
        <w:t xml:space="preserve"> </w:t>
      </w:r>
    </w:p>
    <w:p w14:paraId="43C3829A" w14:textId="77777777" w:rsidR="00252E9B" w:rsidRPr="00EA2B0E" w:rsidRDefault="00252E9B" w:rsidP="00252E9B">
      <w:pPr>
        <w:pStyle w:val="H4Number"/>
      </w:pPr>
      <w:bookmarkStart w:id="20" w:name="_Toc529535879"/>
      <w:r w:rsidRPr="00EA2B0E">
        <w:t>District surveys</w:t>
      </w:r>
      <w:bookmarkEnd w:id="20"/>
    </w:p>
    <w:p w14:paraId="3E762BD5" w14:textId="77777777" w:rsidR="003F0082" w:rsidRDefault="003F0082" w:rsidP="00252E9B">
      <w:pPr>
        <w:pStyle w:val="NormalSS"/>
      </w:pPr>
      <w:r>
        <w:t xml:space="preserve">In Fall 2019, the study team will administer two different district </w:t>
      </w:r>
      <w:r w:rsidR="002E68EB">
        <w:t>that focus on the IDEA Part B program for preschool-age children and the IDEA Part B program for school-age children. Two surveys are necessary</w:t>
      </w:r>
      <w:r w:rsidR="004348F8">
        <w:t xml:space="preserve"> because different district staff members are likely to oversee IDEA programs for students at those different age levels. </w:t>
      </w:r>
      <w:r w:rsidR="00651202">
        <w:t>The surveys will be administered</w:t>
      </w:r>
      <w:r>
        <w:t xml:space="preserve"> to: </w:t>
      </w:r>
    </w:p>
    <w:p w14:paraId="567C54B5" w14:textId="77777777" w:rsidR="00132544" w:rsidRDefault="00872A9B" w:rsidP="00BE3898">
      <w:pPr>
        <w:pStyle w:val="NormalSS"/>
        <w:numPr>
          <w:ilvl w:val="0"/>
          <w:numId w:val="42"/>
        </w:numPr>
      </w:pPr>
      <w:r>
        <w:t xml:space="preserve">coordinators of </w:t>
      </w:r>
      <w:r w:rsidR="00132544">
        <w:t>the I</w:t>
      </w:r>
      <w:r w:rsidR="00132544" w:rsidRPr="00132544">
        <w:t xml:space="preserve">DEA Part B program for preschool-age children </w:t>
      </w:r>
      <w:r w:rsidR="00030A9F">
        <w:t>in 602 districts</w:t>
      </w:r>
      <w:r w:rsidR="002E68EB">
        <w:t>, and</w:t>
      </w:r>
    </w:p>
    <w:p w14:paraId="7ACA84C8" w14:textId="77777777" w:rsidR="002E68EB" w:rsidRDefault="002E68EB" w:rsidP="002E68EB">
      <w:pPr>
        <w:pStyle w:val="NormalSS"/>
        <w:numPr>
          <w:ilvl w:val="0"/>
          <w:numId w:val="42"/>
        </w:numPr>
      </w:pPr>
      <w:r w:rsidRPr="00132544">
        <w:t>the district special education director</w:t>
      </w:r>
      <w:r>
        <w:t>s in 665 districts, who will respond for the IDEA Part B program for school-age children.</w:t>
      </w:r>
    </w:p>
    <w:p w14:paraId="4654F57A" w14:textId="77777777" w:rsidR="00252E9B" w:rsidRDefault="00B2634D" w:rsidP="00252E9B">
      <w:pPr>
        <w:pStyle w:val="NormalSS"/>
      </w:pPr>
      <w:r>
        <w:t xml:space="preserve">If a district does not have an IDEA Part B program for preschool-age children coordinator, the study team will work with the district to identify the survey’s most appropriate respondent, likely someone in the pre-school special education leadership. </w:t>
      </w:r>
      <w:r w:rsidR="00252E9B">
        <w:t>Study team recruiters will reach out</w:t>
      </w:r>
      <w:r w:rsidR="00252E9B" w:rsidRPr="0035211F">
        <w:t xml:space="preserve"> to district </w:t>
      </w:r>
      <w:r w:rsidR="00252E9B">
        <w:t>special education directors and superintendents</w:t>
      </w:r>
      <w:r w:rsidR="00252E9B" w:rsidRPr="0035211F">
        <w:t xml:space="preserve"> to secure t</w:t>
      </w:r>
      <w:r w:rsidR="00252E9B">
        <w:t>heir district’s participation.</w:t>
      </w:r>
      <w:r w:rsidR="00252E9B" w:rsidRPr="0035211F">
        <w:t xml:space="preserve"> </w:t>
      </w:r>
      <w:r w:rsidR="00252E9B">
        <w:t xml:space="preserve">During this first outreach, the districts will receive a letter </w:t>
      </w:r>
      <w:r w:rsidR="003553D6">
        <w:t>(Appendix B.3)</w:t>
      </w:r>
      <w:r w:rsidR="00252E9B">
        <w:t xml:space="preserve"> and a brochure </w:t>
      </w:r>
      <w:r w:rsidR="00766220">
        <w:t xml:space="preserve">(Appendix B.4) </w:t>
      </w:r>
      <w:r w:rsidR="00252E9B">
        <w:t xml:space="preserve">that describe the need for the study and what is </w:t>
      </w:r>
      <w:r w:rsidR="005B572B">
        <w:t xml:space="preserve">expected </w:t>
      </w:r>
      <w:r w:rsidR="00252E9B">
        <w:t>of the school district. The initial outreach will also include a</w:t>
      </w:r>
      <w:r w:rsidR="00EC4809">
        <w:t xml:space="preserve"> participation</w:t>
      </w:r>
      <w:r w:rsidR="00252E9B">
        <w:t xml:space="preserve"> letter (Appendix B.</w:t>
      </w:r>
      <w:r w:rsidR="00703B27">
        <w:t>5</w:t>
      </w:r>
      <w:r w:rsidR="00252E9B">
        <w:t xml:space="preserve">). The study team plans to include </w:t>
      </w:r>
      <w:r w:rsidR="00BE2A5A">
        <w:t xml:space="preserve">a </w:t>
      </w:r>
      <w:r w:rsidR="00252E9B">
        <w:t xml:space="preserve">letter of endorsement from </w:t>
      </w:r>
      <w:r w:rsidR="00BE2A5A">
        <w:t xml:space="preserve">a </w:t>
      </w:r>
      <w:r w:rsidR="00252E9B">
        <w:t xml:space="preserve">key stakeholder in special education: </w:t>
      </w:r>
      <w:r w:rsidR="00252E9B" w:rsidRPr="003267C4">
        <w:t>the Council of Administrators of Special Education, a Division of the Council</w:t>
      </w:r>
      <w:r w:rsidR="00252E9B">
        <w:t xml:space="preserve"> for Exceptional Children (CEC)</w:t>
      </w:r>
      <w:r w:rsidR="002240C8">
        <w:t xml:space="preserve"> (Appendix B.6). </w:t>
      </w:r>
      <w:r w:rsidR="00A22884">
        <w:t>The study team will also involve the state directors</w:t>
      </w:r>
      <w:r w:rsidR="00DD3F21">
        <w:t xml:space="preserve"> in district recruitment where relevant</w:t>
      </w:r>
      <w:r w:rsidR="009E7DF4">
        <w:t xml:space="preserve"> and feasible</w:t>
      </w:r>
      <w:r w:rsidR="00DD3F21">
        <w:t>.</w:t>
      </w:r>
    </w:p>
    <w:p w14:paraId="445A16DF" w14:textId="77777777" w:rsidR="00252E9B" w:rsidRDefault="00252E9B" w:rsidP="00252E9B">
      <w:pPr>
        <w:pStyle w:val="NormalSS"/>
      </w:pPr>
      <w:r>
        <w:t xml:space="preserve">The preliminary outreach </w:t>
      </w:r>
      <w:r w:rsidRPr="008B09A9">
        <w:t>will focus on securing a</w:t>
      </w:r>
      <w:r>
        <w:t xml:space="preserve"> </w:t>
      </w:r>
      <w:r w:rsidR="00EC4809">
        <w:t xml:space="preserve">participation </w:t>
      </w:r>
      <w:r>
        <w:t xml:space="preserve">letter </w:t>
      </w:r>
      <w:r w:rsidRPr="008B09A9">
        <w:t xml:space="preserve">from each district </w:t>
      </w:r>
      <w:r w:rsidR="009B68FB">
        <w:t xml:space="preserve">and </w:t>
      </w:r>
      <w:r w:rsidRPr="008B09A9">
        <w:t>determining whether a formal research application is needed</w:t>
      </w:r>
      <w:r>
        <w:t>.</w:t>
      </w:r>
      <w:r w:rsidRPr="008B09A9">
        <w:t xml:space="preserve"> </w:t>
      </w:r>
      <w:r>
        <w:t xml:space="preserve">The study team estimates </w:t>
      </w:r>
      <w:r w:rsidRPr="0035211F">
        <w:t>that one-</w:t>
      </w:r>
      <w:r>
        <w:t>fourth</w:t>
      </w:r>
      <w:r w:rsidRPr="0035211F">
        <w:t xml:space="preserve"> of the sampled districts will require a formal research application. </w:t>
      </w:r>
      <w:r>
        <w:t>The</w:t>
      </w:r>
      <w:r w:rsidR="00EC4809">
        <w:t xml:space="preserve"> participation</w:t>
      </w:r>
      <w:r>
        <w:t xml:space="preserve"> </w:t>
      </w:r>
      <w:r w:rsidRPr="00C76B05">
        <w:t>letter will document a district’s intended cooperation with the study for both the</w:t>
      </w:r>
      <w:r w:rsidRPr="00A45054">
        <w:t xml:space="preserve"> current and </w:t>
      </w:r>
      <w:r>
        <w:t xml:space="preserve">the potential </w:t>
      </w:r>
      <w:r w:rsidRPr="00A45054">
        <w:t>subsequent round of data collection</w:t>
      </w:r>
      <w:r>
        <w:t xml:space="preserve"> (for which a second OMB package would be submitted)</w:t>
      </w:r>
      <w:r w:rsidRPr="0035211F">
        <w:t>.</w:t>
      </w:r>
      <w:r w:rsidRPr="00A45054">
        <w:t xml:space="preserve"> </w:t>
      </w:r>
      <w:r>
        <w:t xml:space="preserve">It will also ask district staff to identify the </w:t>
      </w:r>
      <w:r w:rsidR="00911813">
        <w:t xml:space="preserve">coordinator for the </w:t>
      </w:r>
      <w:r w:rsidRPr="007E2AD4">
        <w:t>IDEA Part B program for preschool-age children</w:t>
      </w:r>
      <w:r>
        <w:t xml:space="preserve">. (As noted above, the district special education director will respond to the </w:t>
      </w:r>
      <w:r w:rsidRPr="00685A73">
        <w:t>IDEA Part B program for school-age children</w:t>
      </w:r>
      <w:r>
        <w:t xml:space="preserve"> survey, so there is no need to ask the district to identify that survey respondent.) The study team will contact the district again </w:t>
      </w:r>
      <w:r w:rsidR="002C3798" w:rsidRPr="006232CF">
        <w:t>at the beginning of the 2019-2020 school year</w:t>
      </w:r>
      <w:r w:rsidRPr="002C3798">
        <w:t xml:space="preserve"> to introduce the </w:t>
      </w:r>
      <w:r w:rsidR="00911813">
        <w:t xml:space="preserve">study to the coordinator of the </w:t>
      </w:r>
      <w:r w:rsidRPr="002C3798">
        <w:t xml:space="preserve">IDEA Part B program for preschool-age children </w:t>
      </w:r>
      <w:r w:rsidRPr="00110480">
        <w:t xml:space="preserve">and to </w:t>
      </w:r>
      <w:r w:rsidRPr="00704940">
        <w:t>ask the district special education director to identify the most appropriate school survey respondent at each study school.</w:t>
      </w:r>
      <w:r>
        <w:t xml:space="preserve"> The school survey respondent </w:t>
      </w:r>
      <w:r w:rsidRPr="00A0705D">
        <w:t>could be the school’s principal or lead special education staff.</w:t>
      </w:r>
    </w:p>
    <w:p w14:paraId="4F2C42C6" w14:textId="77777777" w:rsidR="002E68EB" w:rsidRDefault="00252E9B" w:rsidP="00252E9B">
      <w:pPr>
        <w:pStyle w:val="NormalSS"/>
      </w:pPr>
      <w:r w:rsidRPr="006232CF">
        <w:t xml:space="preserve">In </w:t>
      </w:r>
      <w:r w:rsidR="000D0364">
        <w:t>F</w:t>
      </w:r>
      <w:r w:rsidRPr="006232CF">
        <w:t>all 2019</w:t>
      </w:r>
      <w:r w:rsidRPr="00640448">
        <w:t>, the</w:t>
      </w:r>
      <w:r>
        <w:t xml:space="preserve"> study team will administer </w:t>
      </w:r>
      <w:r w:rsidR="00D27D08">
        <w:t xml:space="preserve">a survey about the </w:t>
      </w:r>
      <w:r>
        <w:t xml:space="preserve">IDEA Part B program for </w:t>
      </w:r>
      <w:r w:rsidR="00D27D08">
        <w:t>pre</w:t>
      </w:r>
      <w:r>
        <w:t xml:space="preserve">school-age children to a nationally representative sample of </w:t>
      </w:r>
      <w:r w:rsidR="00D27D08">
        <w:t>602</w:t>
      </w:r>
      <w:r>
        <w:t xml:space="preserve"> school districts</w:t>
      </w:r>
      <w:r w:rsidR="002E68EB">
        <w:t xml:space="preserve"> and a survey about the IDEA Part B program for school-age children</w:t>
      </w:r>
      <w:r w:rsidR="002E68EB" w:rsidRPr="003731C0">
        <w:t xml:space="preserve"> </w:t>
      </w:r>
      <w:r w:rsidR="002E68EB">
        <w:t>to a nationally representative sample of 665 school districts</w:t>
      </w:r>
      <w:r>
        <w:t>.</w:t>
      </w:r>
      <w:r w:rsidR="00F847F4">
        <w:rPr>
          <w:rStyle w:val="FootnoteReference"/>
        </w:rPr>
        <w:footnoteReference w:id="3"/>
      </w:r>
      <w:r>
        <w:t xml:space="preserve"> </w:t>
      </w:r>
      <w:r w:rsidR="003B310F">
        <w:t>B</w:t>
      </w:r>
      <w:r w:rsidRPr="00923757">
        <w:t xml:space="preserve">efore data collection begins, </w:t>
      </w:r>
      <w:r>
        <w:t>the study team</w:t>
      </w:r>
      <w:r w:rsidRPr="00923757">
        <w:t xml:space="preserve"> will again </w:t>
      </w:r>
      <w:r>
        <w:t>contact</w:t>
      </w:r>
      <w:r w:rsidRPr="00923757">
        <w:t xml:space="preserve"> </w:t>
      </w:r>
      <w:r>
        <w:t xml:space="preserve">each district special education director and the identified </w:t>
      </w:r>
      <w:r w:rsidRPr="00685A73">
        <w:t>IDEA Part B program for preschool-age children</w:t>
      </w:r>
      <w:r w:rsidR="00551EFE">
        <w:t xml:space="preserve"> </w:t>
      </w:r>
      <w:r>
        <w:t xml:space="preserve">survey respondent </w:t>
      </w:r>
      <w:r w:rsidRPr="00923757">
        <w:t xml:space="preserve">to remind them of the study and alert them to our impending request for their </w:t>
      </w:r>
      <w:r w:rsidRPr="003961C3">
        <w:t>participation</w:t>
      </w:r>
      <w:r w:rsidR="001F4895" w:rsidRPr="003961C3">
        <w:t xml:space="preserve"> (Appendix </w:t>
      </w:r>
      <w:r w:rsidR="00957FE7" w:rsidRPr="006232CF">
        <w:t>B.</w:t>
      </w:r>
      <w:r w:rsidR="003A1FF5">
        <w:t>7</w:t>
      </w:r>
      <w:r w:rsidR="001F4895" w:rsidRPr="003961C3">
        <w:t>)</w:t>
      </w:r>
      <w:r w:rsidRPr="003961C3">
        <w:t>. The</w:t>
      </w:r>
      <w:r>
        <w:t xml:space="preserve"> study team</w:t>
      </w:r>
      <w:r w:rsidRPr="00923757">
        <w:t xml:space="preserve"> will then send an email with instructions and a link to the survey. </w:t>
      </w:r>
      <w:r>
        <w:t>A hard copy of the survey will also be mailed to each district respondent. The two surveys will be administered online, and each is expected to take about 60 minutes, the same as the district surveys for IDEA-NAIS</w:t>
      </w:r>
      <w:r w:rsidR="00F22254">
        <w:t xml:space="preserve"> administered in 2009</w:t>
      </w:r>
      <w:r>
        <w:t xml:space="preserve">. </w:t>
      </w:r>
      <w:r w:rsidR="00A52772">
        <w:t xml:space="preserve">As stated above, IDEA is a comprehensive law, and </w:t>
      </w:r>
      <w:r w:rsidR="009B6505">
        <w:t>the information collected on the district surveys (</w:t>
      </w:r>
      <w:r w:rsidR="00A52772">
        <w:t>districts’ policies and programs related to IDEA</w:t>
      </w:r>
      <w:r w:rsidR="009B6505">
        <w:t>)</w:t>
      </w:r>
      <w:r w:rsidR="002E68EB">
        <w:t xml:space="preserve"> is</w:t>
      </w:r>
      <w:r w:rsidR="00A52772">
        <w:t xml:space="preserve"> complex. Obtaining information on such issues requires </w:t>
      </w:r>
      <w:r w:rsidR="000070A1">
        <w:t xml:space="preserve">surveys </w:t>
      </w:r>
      <w:r w:rsidR="00A52772">
        <w:t xml:space="preserve">of this length. </w:t>
      </w:r>
    </w:p>
    <w:p w14:paraId="700A96FE" w14:textId="77777777" w:rsidR="00252E9B" w:rsidRDefault="00252E9B" w:rsidP="00252E9B">
      <w:pPr>
        <w:pStyle w:val="NormalSS"/>
        <w:rPr>
          <w:sz w:val="23"/>
          <w:szCs w:val="23"/>
        </w:rPr>
      </w:pPr>
      <w:r w:rsidRPr="00D57908">
        <w:t>Shortly after send</w:t>
      </w:r>
      <w:r>
        <w:t>ing</w:t>
      </w:r>
      <w:r w:rsidRPr="00D57908">
        <w:t xml:space="preserve"> the </w:t>
      </w:r>
      <w:r>
        <w:t xml:space="preserve">survey </w:t>
      </w:r>
      <w:r w:rsidRPr="00D57908">
        <w:t>link</w:t>
      </w:r>
      <w:r>
        <w:t>s</w:t>
      </w:r>
      <w:r w:rsidRPr="00D57908">
        <w:t xml:space="preserve">, </w:t>
      </w:r>
      <w:r>
        <w:t>the study team</w:t>
      </w:r>
      <w:r w:rsidRPr="00D57908">
        <w:t xml:space="preserve"> will follow up with a telephone call to </w:t>
      </w:r>
      <w:r w:rsidRPr="00876DA4">
        <w:t xml:space="preserve">each </w:t>
      </w:r>
      <w:r>
        <w:t>district</w:t>
      </w:r>
      <w:r w:rsidRPr="00876DA4">
        <w:t xml:space="preserve"> sample member to ensure they received the email, </w:t>
      </w:r>
      <w:r>
        <w:t xml:space="preserve">to </w:t>
      </w:r>
      <w:r w:rsidRPr="00876DA4">
        <w:t xml:space="preserve">address questions, </w:t>
      </w:r>
      <w:r>
        <w:t xml:space="preserve">to </w:t>
      </w:r>
      <w:r w:rsidRPr="00876DA4">
        <w:t>troubleshoot any issues they m</w:t>
      </w:r>
      <w:r>
        <w:t>ight</w:t>
      </w:r>
      <w:r w:rsidRPr="00876DA4">
        <w:t xml:space="preserve"> have, and </w:t>
      </w:r>
      <w:r>
        <w:t xml:space="preserve">to </w:t>
      </w:r>
      <w:r w:rsidRPr="00876DA4">
        <w:t>encourage participat</w:t>
      </w:r>
      <w:r>
        <w:t>ion</w:t>
      </w:r>
      <w:r w:rsidRPr="00876DA4">
        <w:t xml:space="preserve">. The surveys will be optimized for mobile phones and will allow respondents to start and stop as needed to accommodate schedules and gather data needed </w:t>
      </w:r>
      <w:r>
        <w:t>for</w:t>
      </w:r>
      <w:r w:rsidRPr="00876DA4">
        <w:t xml:space="preserve"> complet</w:t>
      </w:r>
      <w:r>
        <w:t>ion</w:t>
      </w:r>
      <w:r w:rsidRPr="00876DA4">
        <w:t>.</w:t>
      </w:r>
      <w:r>
        <w:t xml:space="preserve"> </w:t>
      </w:r>
      <w:r w:rsidRPr="004572DF">
        <w:t xml:space="preserve">Because </w:t>
      </w:r>
      <w:r>
        <w:t>districts</w:t>
      </w:r>
      <w:r w:rsidRPr="004572DF">
        <w:t xml:space="preserve"> receive IDEA funds</w:t>
      </w:r>
      <w:r w:rsidR="00551EFE">
        <w:t xml:space="preserve"> and thus their participation is expected</w:t>
      </w:r>
      <w:r w:rsidRPr="004572DF">
        <w:t>,</w:t>
      </w:r>
      <w:r w:rsidRPr="00876DA4">
        <w:t xml:space="preserve"> </w:t>
      </w:r>
      <w:r>
        <w:t>a response rate of a</w:t>
      </w:r>
      <w:r w:rsidRPr="00876DA4">
        <w:t>t least 85 percent is expected (</w:t>
      </w:r>
      <w:r w:rsidR="00777ED5">
        <w:t xml:space="preserve">512 school districts for the preschool-age form and </w:t>
      </w:r>
      <w:r w:rsidRPr="00876DA4">
        <w:t>5</w:t>
      </w:r>
      <w:r>
        <w:t>6</w:t>
      </w:r>
      <w:r w:rsidRPr="00876DA4">
        <w:t>5 school districts</w:t>
      </w:r>
      <w:r w:rsidR="00777ED5">
        <w:t xml:space="preserve"> for the school-age form</w:t>
      </w:r>
      <w:r w:rsidRPr="00876DA4">
        <w:t>).</w:t>
      </w:r>
    </w:p>
    <w:p w14:paraId="614F9225" w14:textId="77777777" w:rsidR="00252E9B" w:rsidRPr="00B97743" w:rsidRDefault="00252E9B" w:rsidP="00252E9B">
      <w:pPr>
        <w:pStyle w:val="H4Number"/>
      </w:pPr>
      <w:bookmarkStart w:id="21" w:name="_Toc529535880"/>
      <w:r w:rsidRPr="00B97743">
        <w:t>School survey</w:t>
      </w:r>
      <w:bookmarkEnd w:id="21"/>
    </w:p>
    <w:p w14:paraId="44A689A8" w14:textId="77777777" w:rsidR="00252E9B" w:rsidRDefault="00252E9B" w:rsidP="00252E9B">
      <w:pPr>
        <w:pStyle w:val="NormalSS"/>
      </w:pPr>
      <w:r w:rsidRPr="00640448">
        <w:t xml:space="preserve">In </w:t>
      </w:r>
      <w:r w:rsidR="000D0364">
        <w:t>F</w:t>
      </w:r>
      <w:r w:rsidRPr="006232CF">
        <w:t>all 2019</w:t>
      </w:r>
      <w:r w:rsidRPr="00640448">
        <w:t>,</w:t>
      </w:r>
      <w:r>
        <w:t xml:space="preserve"> the study team will administer an electronic survey on Part B to a nationally representative sample of 2,750 schools from the 665 selected districts. </w:t>
      </w:r>
      <w:r w:rsidR="003B310F">
        <w:t>B</w:t>
      </w:r>
      <w:r>
        <w:t>efore the start of data collection</w:t>
      </w:r>
      <w:r w:rsidRPr="002528FC">
        <w:t xml:space="preserve">, the study team recruiters will </w:t>
      </w:r>
      <w:r>
        <w:t>call</w:t>
      </w:r>
      <w:r w:rsidRPr="002528FC">
        <w:t xml:space="preserve"> </w:t>
      </w:r>
      <w:r>
        <w:t>each school survey respondent identified by the district special education director to secure his/her</w:t>
      </w:r>
      <w:r w:rsidRPr="002528FC">
        <w:t xml:space="preserve"> participation. </w:t>
      </w:r>
      <w:r>
        <w:t xml:space="preserve">This person could be the school’s principal or lead special education staff. </w:t>
      </w:r>
      <w:r w:rsidRPr="00433E77">
        <w:t xml:space="preserve">If </w:t>
      </w:r>
      <w:r>
        <w:t>the identified school respondent</w:t>
      </w:r>
      <w:r w:rsidRPr="00433E77">
        <w:t xml:space="preserve"> </w:t>
      </w:r>
      <w:r>
        <w:t>has left the school or position</w:t>
      </w:r>
      <w:r w:rsidRPr="00433E77">
        <w:t xml:space="preserve">, </w:t>
      </w:r>
      <w:r>
        <w:t>the study team</w:t>
      </w:r>
      <w:r w:rsidRPr="00433E77">
        <w:t xml:space="preserve"> will work with the appropriate administrator at the school to identify the correct respondent. </w:t>
      </w:r>
      <w:r w:rsidRPr="002528FC">
        <w:t xml:space="preserve">The study team will also send </w:t>
      </w:r>
      <w:r>
        <w:t xml:space="preserve">each school </w:t>
      </w:r>
      <w:r w:rsidRPr="002528FC">
        <w:t xml:space="preserve">a letter </w:t>
      </w:r>
      <w:r w:rsidR="001F4895" w:rsidRPr="003961C3">
        <w:t xml:space="preserve">(Appendix </w:t>
      </w:r>
      <w:r w:rsidR="00957FE7" w:rsidRPr="006232CF">
        <w:t>B.</w:t>
      </w:r>
      <w:r w:rsidR="00703B27">
        <w:t>8</w:t>
      </w:r>
      <w:r w:rsidR="001F4895" w:rsidRPr="003961C3">
        <w:t>)</w:t>
      </w:r>
      <w:r w:rsidR="001F4895">
        <w:t xml:space="preserve"> </w:t>
      </w:r>
      <w:r w:rsidRPr="002528FC">
        <w:t xml:space="preserve">and a brochure detailing </w:t>
      </w:r>
      <w:r>
        <w:t>why</w:t>
      </w:r>
      <w:r w:rsidRPr="002528FC">
        <w:t xml:space="preserve"> the study </w:t>
      </w:r>
      <w:r>
        <w:t xml:space="preserve">is needed </w:t>
      </w:r>
      <w:r w:rsidRPr="002528FC">
        <w:t xml:space="preserve">and what is </w:t>
      </w:r>
      <w:r w:rsidR="005B572B">
        <w:t>expected</w:t>
      </w:r>
      <w:r w:rsidR="005B572B" w:rsidRPr="002528FC">
        <w:t xml:space="preserve"> </w:t>
      </w:r>
      <w:r w:rsidRPr="002528FC">
        <w:t>of the school</w:t>
      </w:r>
      <w:r>
        <w:t>.</w:t>
      </w:r>
      <w:r>
        <w:rPr>
          <w:rStyle w:val="FootnoteReference"/>
        </w:rPr>
        <w:footnoteReference w:id="4"/>
      </w:r>
      <w:r>
        <w:t xml:space="preserve"> Once the school agrees to participate and the respondent has been confirmed, t</w:t>
      </w:r>
      <w:r w:rsidRPr="00581BD5">
        <w:t xml:space="preserve">he study team will send an email with instructions and a link to the survey. The </w:t>
      </w:r>
      <w:r>
        <w:t>survey</w:t>
      </w:r>
      <w:r w:rsidRPr="00581BD5">
        <w:t xml:space="preserve"> will be administered online and </w:t>
      </w:r>
      <w:r>
        <w:t>will</w:t>
      </w:r>
      <w:r w:rsidRPr="00581BD5">
        <w:t xml:space="preserve"> take a</w:t>
      </w:r>
      <w:r>
        <w:t>bout</w:t>
      </w:r>
      <w:r w:rsidRPr="00581BD5">
        <w:t xml:space="preserve"> </w:t>
      </w:r>
      <w:r>
        <w:t>45</w:t>
      </w:r>
      <w:r w:rsidRPr="00581BD5">
        <w:t xml:space="preserve"> minutes to complete</w:t>
      </w:r>
      <w:r>
        <w:t>.</w:t>
      </w:r>
      <w:r w:rsidRPr="002C1104">
        <w:t xml:space="preserve"> </w:t>
      </w:r>
      <w:r>
        <w:t xml:space="preserve">An 80 percent response rate, or responses from 2,200 schools, is expected. Because district and school surveys will be fielded simultaneously, it will be possible to obtain school survey responses even if the district respondents do not respond (provided a </w:t>
      </w:r>
      <w:r w:rsidR="00EC4809">
        <w:t xml:space="preserve">participation </w:t>
      </w:r>
      <w:r>
        <w:t>letter from the district is secured).</w:t>
      </w:r>
    </w:p>
    <w:p w14:paraId="43FBC14E" w14:textId="77777777" w:rsidR="00252E9B" w:rsidRDefault="00252E9B" w:rsidP="00252E9B">
      <w:pPr>
        <w:pStyle w:val="NormalSS"/>
      </w:pPr>
      <w:r>
        <w:t>Because school staff are busy and schools are not direct recipients of IDEA funds, o</w:t>
      </w:r>
      <w:r w:rsidRPr="00555AA2">
        <w:t xml:space="preserve">btaining cooperation with the survey from school-level staff (either principals or special education </w:t>
      </w:r>
      <w:r>
        <w:t>staff</w:t>
      </w:r>
      <w:r w:rsidRPr="00555AA2">
        <w:t>) is likely to be challenging</w:t>
      </w:r>
      <w:r>
        <w:t>. Therefore</w:t>
      </w:r>
      <w:r w:rsidRPr="00555AA2">
        <w:t xml:space="preserve">, </w:t>
      </w:r>
      <w:r>
        <w:t>the study team</w:t>
      </w:r>
      <w:r w:rsidRPr="00555AA2">
        <w:t xml:space="preserve"> will take several additional steps</w:t>
      </w:r>
      <w:r>
        <w:t xml:space="preserve"> to encourage participation</w:t>
      </w:r>
      <w:r w:rsidRPr="00555AA2">
        <w:t>. As described in Part A, a $</w:t>
      </w:r>
      <w:r>
        <w:t>3</w:t>
      </w:r>
      <w:r w:rsidRPr="00555AA2">
        <w:t>0 incentive</w:t>
      </w:r>
      <w:r>
        <w:t xml:space="preserve"> will be offered</w:t>
      </w:r>
      <w:r w:rsidRPr="00555AA2">
        <w:t xml:space="preserve"> to each school respondent.</w:t>
      </w:r>
      <w:r w:rsidRPr="0081092A">
        <w:t xml:space="preserve"> </w:t>
      </w:r>
      <w:r>
        <w:t xml:space="preserve">In addition, </w:t>
      </w:r>
      <w:r w:rsidR="00BE2A5A">
        <w:t xml:space="preserve">a </w:t>
      </w:r>
      <w:r w:rsidRPr="0081092A">
        <w:t xml:space="preserve">note of endorsement secured for the study from the Council of Administrators of Special Education, a Division of </w:t>
      </w:r>
      <w:r w:rsidR="00A12CF9">
        <w:t>the Council for Exceptional Children (</w:t>
      </w:r>
      <w:r w:rsidRPr="0081092A">
        <w:t>CEC</w:t>
      </w:r>
      <w:r w:rsidR="00A12CF9">
        <w:t>)</w:t>
      </w:r>
      <w:r w:rsidRPr="00F85E6B">
        <w:t xml:space="preserve"> </w:t>
      </w:r>
      <w:r>
        <w:t>will be sent to schools</w:t>
      </w:r>
      <w:r w:rsidRPr="0081092A">
        <w:t>.</w:t>
      </w:r>
      <w:r w:rsidR="003553D6">
        <w:rPr>
          <w:rStyle w:val="FootnoteReference"/>
        </w:rPr>
        <w:footnoteReference w:id="5"/>
      </w:r>
      <w:r w:rsidRPr="0081092A">
        <w:t xml:space="preserve"> Hearing about the value of participation from a known and </w:t>
      </w:r>
      <w:r w:rsidRPr="009D77B2">
        <w:t xml:space="preserve">trusted </w:t>
      </w:r>
      <w:r w:rsidRPr="00336E9B">
        <w:t>source</w:t>
      </w:r>
      <w:r w:rsidRPr="0081092A">
        <w:t xml:space="preserve"> can greatly increase cooperation</w:t>
      </w:r>
      <w:r w:rsidR="00E43E17">
        <w:t xml:space="preserve"> (Groves, Cialdini, &amp; Couper, 1992)</w:t>
      </w:r>
      <w:r w:rsidRPr="0081092A">
        <w:t>. Shortly after send</w:t>
      </w:r>
      <w:r>
        <w:t>ing</w:t>
      </w:r>
      <w:r w:rsidRPr="0081092A">
        <w:t xml:space="preserve"> the link to the survey, </w:t>
      </w:r>
      <w:r>
        <w:t>the study team</w:t>
      </w:r>
      <w:r w:rsidRPr="0081092A">
        <w:t xml:space="preserve"> will follow up with a telephone call to each </w:t>
      </w:r>
      <w:r>
        <w:t xml:space="preserve">school </w:t>
      </w:r>
      <w:r w:rsidRPr="0081092A">
        <w:t xml:space="preserve">sample member to ensure they received the email, </w:t>
      </w:r>
      <w:r>
        <w:t xml:space="preserve">to </w:t>
      </w:r>
      <w:r w:rsidRPr="0081092A">
        <w:t xml:space="preserve">address questions, </w:t>
      </w:r>
      <w:r>
        <w:t xml:space="preserve">to </w:t>
      </w:r>
      <w:r w:rsidRPr="0081092A">
        <w:t>troubleshoot any issues they m</w:t>
      </w:r>
      <w:r>
        <w:t>ight</w:t>
      </w:r>
      <w:r w:rsidRPr="0081092A">
        <w:t xml:space="preserve"> have, and </w:t>
      </w:r>
      <w:r>
        <w:t xml:space="preserve">to </w:t>
      </w:r>
      <w:r w:rsidRPr="0081092A">
        <w:t>encourage them to participate.</w:t>
      </w:r>
    </w:p>
    <w:p w14:paraId="2C33ADEC" w14:textId="77777777" w:rsidR="00252E9B" w:rsidRDefault="00252E9B" w:rsidP="00252E9B">
      <w:pPr>
        <w:pStyle w:val="H3Alpha"/>
      </w:pPr>
      <w:bookmarkStart w:id="22" w:name="_Toc529535881"/>
      <w:r>
        <w:t>B.2.2. Statistical methodology for stratification and sample selection</w:t>
      </w:r>
      <w:bookmarkEnd w:id="22"/>
    </w:p>
    <w:p w14:paraId="55A3EF61" w14:textId="77777777" w:rsidR="00252E9B" w:rsidRDefault="00252E9B" w:rsidP="00252E9B">
      <w:pPr>
        <w:pStyle w:val="H4Number"/>
      </w:pPr>
      <w:bookmarkStart w:id="23" w:name="_Toc529535882"/>
      <w:r>
        <w:t>B.2.2.1. States</w:t>
      </w:r>
      <w:bookmarkEnd w:id="23"/>
    </w:p>
    <w:p w14:paraId="0D23425E" w14:textId="77777777" w:rsidR="00252E9B" w:rsidRPr="001F1CBB" w:rsidRDefault="00252E9B" w:rsidP="00252E9B">
      <w:pPr>
        <w:pStyle w:val="NormalSS"/>
      </w:pPr>
      <w:r>
        <w:t>The state sample includes</w:t>
      </w:r>
      <w:r w:rsidRPr="008A0B17">
        <w:t xml:space="preserve"> </w:t>
      </w:r>
      <w:r>
        <w:t xml:space="preserve">the </w:t>
      </w:r>
      <w:r w:rsidRPr="008A0B17">
        <w:t xml:space="preserve">61 </w:t>
      </w:r>
      <w:r>
        <w:t xml:space="preserve">state-level </w:t>
      </w:r>
      <w:r w:rsidRPr="008A0B17">
        <w:t>ent</w:t>
      </w:r>
      <w:r>
        <w:t>ities that receive IDEA funding</w:t>
      </w:r>
      <w:r w:rsidRPr="008A0B17">
        <w:t xml:space="preserve">: all 50 states, the District of Columbia, </w:t>
      </w:r>
      <w:r>
        <w:t xml:space="preserve">eight </w:t>
      </w:r>
      <w:r w:rsidRPr="008A0B17">
        <w:t xml:space="preserve">U.S. territories, the Bureau of Indian Education, and the Department of Defense Education </w:t>
      </w:r>
      <w:r>
        <w:t>Activity</w:t>
      </w:r>
      <w:r w:rsidRPr="008A0B17">
        <w:t>.</w:t>
      </w:r>
      <w:r>
        <w:t xml:space="preserve"> The study design assumes that nearly all state entities will respond. Therefore, the study team does not plan to construct weights to account for state-level nonresponse.</w:t>
      </w:r>
    </w:p>
    <w:p w14:paraId="1CB5D9BB" w14:textId="77777777" w:rsidR="00252E9B" w:rsidRDefault="00252E9B" w:rsidP="00252E9B">
      <w:pPr>
        <w:pStyle w:val="H4Number"/>
      </w:pPr>
      <w:r>
        <w:t xml:space="preserve"> </w:t>
      </w:r>
      <w:bookmarkStart w:id="24" w:name="_Toc529535883"/>
      <w:r>
        <w:t>B.2.2.2. District sample</w:t>
      </w:r>
      <w:bookmarkEnd w:id="24"/>
    </w:p>
    <w:p w14:paraId="076E9CA6" w14:textId="77777777" w:rsidR="00252E9B" w:rsidRDefault="00252E9B" w:rsidP="00252E9B">
      <w:pPr>
        <w:pStyle w:val="NormalSS"/>
      </w:pPr>
      <w:r>
        <w:t xml:space="preserve">The district sample frame </w:t>
      </w:r>
      <w:r w:rsidRPr="00876DA4">
        <w:t>includes 25 strata</w:t>
      </w:r>
      <w:r>
        <w:t xml:space="preserve"> from which the study team will select a total of 665 districts for the study. The first 24 strata are </w:t>
      </w:r>
      <w:r w:rsidRPr="00EE7080">
        <w:t xml:space="preserve">based on </w:t>
      </w:r>
      <w:r>
        <w:t xml:space="preserve">combinations of </w:t>
      </w:r>
      <w:r w:rsidRPr="00EE7080">
        <w:t>census region</w:t>
      </w:r>
      <w:r>
        <w:t xml:space="preserve"> (Northeast, South, Midwest, West)</w:t>
      </w:r>
      <w:r w:rsidRPr="00EE7080">
        <w:t>, urbanicity</w:t>
      </w:r>
      <w:r>
        <w:t xml:space="preserve"> (urban, suburban, town/rural area)</w:t>
      </w:r>
      <w:r w:rsidRPr="00EE7080">
        <w:t>, and total enrollment (above/below median</w:t>
      </w:r>
      <w:r>
        <w:t xml:space="preserve"> enrollment for each urbanicity type</w:t>
      </w:r>
      <w:r w:rsidRPr="00EE7080">
        <w:t xml:space="preserve">). </w:t>
      </w:r>
      <w:r>
        <w:t xml:space="preserve">Only districts with no charter schools are included in these 24 strata. The final stratum is </w:t>
      </w:r>
      <w:r w:rsidRPr="00EE7080">
        <w:t xml:space="preserve">for </w:t>
      </w:r>
      <w:r>
        <w:t xml:space="preserve">districts with at least one </w:t>
      </w:r>
      <w:r w:rsidRPr="00EE7080">
        <w:t>charter school</w:t>
      </w:r>
      <w:r>
        <w:t xml:space="preserve">, which includes charter school agencies </w:t>
      </w:r>
      <w:r w:rsidRPr="00EE7080">
        <w:t xml:space="preserve">and traditional districts with </w:t>
      </w:r>
      <w:r>
        <w:t xml:space="preserve">at least one </w:t>
      </w:r>
      <w:r w:rsidRPr="00EE7080">
        <w:t>charter school</w:t>
      </w:r>
      <w:r>
        <w:t>. T</w:t>
      </w:r>
      <w:r w:rsidRPr="0036228E">
        <w:t xml:space="preserve">o ensure </w:t>
      </w:r>
      <w:r>
        <w:t>enough</w:t>
      </w:r>
      <w:r w:rsidRPr="0036228E">
        <w:t xml:space="preserve"> schools for the school sample</w:t>
      </w:r>
      <w:r>
        <w:t>,</w:t>
      </w:r>
      <w:r w:rsidRPr="0036228E">
        <w:t xml:space="preserve"> </w:t>
      </w:r>
      <w:r>
        <w:t>t</w:t>
      </w:r>
      <w:r w:rsidRPr="0036228E">
        <w:t>he team oversample</w:t>
      </w:r>
      <w:r>
        <w:t>d</w:t>
      </w:r>
      <w:r w:rsidRPr="0036228E">
        <w:t xml:space="preserve"> charter school districts, traditional districts with charter schools, and larger urban and suburban districts</w:t>
      </w:r>
      <w:r>
        <w:t xml:space="preserve"> by increasing the allocation of sample to these district strata beyond the number determined by a proportional allocation</w:t>
      </w:r>
      <w:r w:rsidRPr="0036228E">
        <w:t>.</w:t>
      </w:r>
      <w:r>
        <w:rPr>
          <w:rStyle w:val="FootnoteReference"/>
        </w:rPr>
        <w:footnoteReference w:id="6"/>
      </w:r>
      <w:r>
        <w:t xml:space="preserve"> Large districts were oversampled by approximately 1.4:1. The district sample from the remaining strata was proportionally allocated. </w:t>
      </w:r>
    </w:p>
    <w:p w14:paraId="397C4B3F" w14:textId="77777777" w:rsidR="00252E9B" w:rsidRDefault="00252E9B" w:rsidP="00252E9B">
      <w:pPr>
        <w:pStyle w:val="NormalSS"/>
      </w:pPr>
      <w:r>
        <w:t xml:space="preserve">Districts </w:t>
      </w:r>
      <w:r w:rsidRPr="00876DA4">
        <w:t>w</w:t>
      </w:r>
      <w:r>
        <w:t>ere</w:t>
      </w:r>
      <w:r w:rsidRPr="00876DA4">
        <w:t xml:space="preserve"> selected with probability proportional to size, with a transformation of the number of schools as the measure of size. For districts in the first 24 strata, this measure w</w:t>
      </w:r>
      <w:r>
        <w:t xml:space="preserve">as </w:t>
      </w:r>
      <w:r w:rsidRPr="00876DA4">
        <w:t>capped at 200 schools</w:t>
      </w:r>
      <w:r>
        <w:t>,</w:t>
      </w:r>
      <w:r w:rsidRPr="00876DA4">
        <w:t xml:space="preserve"> and then the square root</w:t>
      </w:r>
      <w:r>
        <w:t xml:space="preserve"> </w:t>
      </w:r>
      <w:r w:rsidRPr="00876DA4">
        <w:t>taken to reduce design effects for the district survey.</w:t>
      </w:r>
      <w:r>
        <w:rPr>
          <w:rStyle w:val="FootnoteReference"/>
        </w:rPr>
        <w:footnoteReference w:id="7"/>
      </w:r>
      <w:r w:rsidRPr="00876DA4">
        <w:t xml:space="preserve"> In the 25th stratum, the square root of the number of charter schools w</w:t>
      </w:r>
      <w:r>
        <w:t>as</w:t>
      </w:r>
      <w:r w:rsidRPr="00876DA4">
        <w:t xml:space="preserve"> used as the measure of size for regular school districts, while the raw number of charter schools w</w:t>
      </w:r>
      <w:r>
        <w:t>as</w:t>
      </w:r>
      <w:r w:rsidRPr="00876DA4">
        <w:t xml:space="preserve"> used for the charter school agencies. </w:t>
      </w:r>
      <w:r>
        <w:t xml:space="preserve">This approach was used in the 25th stratum in order to increase the number of charter schools within the selected districts; using all schools consistently resulted in too few charter schools within the selected districts. The study team plans to collect data from at least 565 of the 665 selected districts, assuming a response rate of at least 85 percent. </w:t>
      </w:r>
    </w:p>
    <w:p w14:paraId="705F798A" w14:textId="77777777" w:rsidR="00252E9B" w:rsidRDefault="00252E9B" w:rsidP="00252E9B">
      <w:pPr>
        <w:pStyle w:val="NormalSS"/>
      </w:pPr>
      <w:r>
        <w:t>Table B.1 presents the strata details for the district sample frame and the selected sample.</w:t>
      </w:r>
    </w:p>
    <w:p w14:paraId="19C6922E" w14:textId="77777777" w:rsidR="00252E9B" w:rsidRPr="00586F7E" w:rsidRDefault="00252E9B" w:rsidP="00252E9B">
      <w:pPr>
        <w:pStyle w:val="MarkforTableTitle"/>
        <w:spacing w:after="0"/>
      </w:pPr>
      <w:bookmarkStart w:id="25" w:name="_Toc504047540"/>
      <w:bookmarkStart w:id="26" w:name="_Toc508880746"/>
      <w:bookmarkStart w:id="27" w:name="_Toc296974057"/>
      <w:bookmarkStart w:id="28" w:name="_Toc296974238"/>
      <w:bookmarkStart w:id="29" w:name="_Toc470011285"/>
      <w:r w:rsidRPr="00586F7E">
        <w:t xml:space="preserve">Table </w:t>
      </w:r>
      <w:r>
        <w:t>B.</w:t>
      </w:r>
      <w:r w:rsidRPr="00586F7E">
        <w:t xml:space="preserve">1. </w:t>
      </w:r>
      <w:bookmarkEnd w:id="25"/>
      <w:r>
        <w:t>District strata</w:t>
      </w:r>
      <w:bookmarkEnd w:id="26"/>
      <w:r>
        <w:t xml:space="preserve"> </w:t>
      </w:r>
      <w:bookmarkEnd w:id="27"/>
      <w:bookmarkEnd w:id="28"/>
      <w:bookmarkEnd w:id="29"/>
    </w:p>
    <w:tbl>
      <w:tblPr>
        <w:tblStyle w:val="MPRBaseTable"/>
        <w:tblW w:w="5000" w:type="pct"/>
        <w:tblLook w:val="04A0" w:firstRow="1" w:lastRow="0" w:firstColumn="1" w:lastColumn="0" w:noHBand="0" w:noVBand="1"/>
      </w:tblPr>
      <w:tblGrid>
        <w:gridCol w:w="724"/>
        <w:gridCol w:w="5263"/>
        <w:gridCol w:w="1197"/>
        <w:gridCol w:w="1105"/>
        <w:gridCol w:w="1287"/>
      </w:tblGrid>
      <w:tr w:rsidR="00252E9B" w:rsidRPr="003E30E0" w14:paraId="76721E7D" w14:textId="77777777" w:rsidTr="00113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 w:type="pct"/>
          </w:tcPr>
          <w:p w14:paraId="71E2A9AD" w14:textId="77777777" w:rsidR="00252E9B" w:rsidRPr="003E30E0" w:rsidRDefault="00252E9B" w:rsidP="00113057">
            <w:pPr>
              <w:pStyle w:val="TableText"/>
              <w:spacing w:after="60"/>
              <w:ind w:left="288"/>
              <w:rPr>
                <w:szCs w:val="18"/>
              </w:rPr>
            </w:pPr>
          </w:p>
        </w:tc>
        <w:tc>
          <w:tcPr>
            <w:tcW w:w="2748" w:type="pct"/>
          </w:tcPr>
          <w:p w14:paraId="1F94502E" w14:textId="77777777" w:rsidR="00252E9B" w:rsidRPr="003E30E0" w:rsidRDefault="00252E9B" w:rsidP="00113057">
            <w:pPr>
              <w:pStyle w:val="TableText"/>
              <w:spacing w:after="60"/>
              <w:ind w:left="288"/>
              <w:cnfStyle w:val="100000000000" w:firstRow="1" w:lastRow="0" w:firstColumn="0" w:lastColumn="0" w:oddVBand="0" w:evenVBand="0" w:oddHBand="0" w:evenHBand="0" w:firstRowFirstColumn="0" w:firstRowLastColumn="0" w:lastRowFirstColumn="0" w:lastRowLastColumn="0"/>
              <w:rPr>
                <w:szCs w:val="18"/>
              </w:rPr>
            </w:pPr>
            <w:r w:rsidRPr="003E30E0">
              <w:rPr>
                <w:szCs w:val="18"/>
              </w:rPr>
              <w:t>Stratum</w:t>
            </w:r>
          </w:p>
        </w:tc>
        <w:tc>
          <w:tcPr>
            <w:tcW w:w="625" w:type="pct"/>
          </w:tcPr>
          <w:p w14:paraId="17D4B1C8" w14:textId="77777777" w:rsidR="00252E9B" w:rsidRPr="003E30E0" w:rsidRDefault="00252E9B" w:rsidP="00113057">
            <w:pPr>
              <w:pStyle w:val="TableText"/>
              <w:spacing w:after="60"/>
              <w:cnfStyle w:val="100000000000" w:firstRow="1" w:lastRow="0" w:firstColumn="0" w:lastColumn="0" w:oddVBand="0" w:evenVBand="0" w:oddHBand="0" w:evenHBand="0" w:firstRowFirstColumn="0" w:firstRowLastColumn="0" w:lastRowFirstColumn="0" w:lastRowLastColumn="0"/>
              <w:rPr>
                <w:rFonts w:eastAsia="Calibri"/>
                <w:szCs w:val="18"/>
              </w:rPr>
            </w:pPr>
            <w:r w:rsidRPr="003E30E0">
              <w:rPr>
                <w:szCs w:val="18"/>
              </w:rPr>
              <w:t>Sampling rate</w:t>
            </w:r>
          </w:p>
        </w:tc>
        <w:tc>
          <w:tcPr>
            <w:tcW w:w="577" w:type="pct"/>
          </w:tcPr>
          <w:p w14:paraId="55B4FA8E" w14:textId="77777777" w:rsidR="00252E9B" w:rsidRPr="003E30E0" w:rsidRDefault="00252E9B" w:rsidP="00113057">
            <w:pPr>
              <w:pStyle w:val="TableText"/>
              <w:spacing w:after="60"/>
              <w:cnfStyle w:val="100000000000" w:firstRow="1" w:lastRow="0" w:firstColumn="0" w:lastColumn="0" w:oddVBand="0" w:evenVBand="0" w:oddHBand="0" w:evenHBand="0" w:firstRowFirstColumn="0" w:firstRowLastColumn="0" w:lastRowFirstColumn="0" w:lastRowLastColumn="0"/>
              <w:rPr>
                <w:rFonts w:eastAsia="Calibri"/>
                <w:szCs w:val="18"/>
              </w:rPr>
            </w:pPr>
            <w:r w:rsidRPr="003E30E0">
              <w:rPr>
                <w:szCs w:val="18"/>
              </w:rPr>
              <w:t>Number of districts selected</w:t>
            </w:r>
          </w:p>
        </w:tc>
        <w:tc>
          <w:tcPr>
            <w:tcW w:w="672" w:type="pct"/>
          </w:tcPr>
          <w:p w14:paraId="1AFCFC92" w14:textId="77777777" w:rsidR="00252E9B" w:rsidRPr="003E30E0" w:rsidRDefault="00252E9B" w:rsidP="00113057">
            <w:pPr>
              <w:pStyle w:val="TableText"/>
              <w:spacing w:after="60"/>
              <w:cnfStyle w:val="100000000000" w:firstRow="1" w:lastRow="0" w:firstColumn="0" w:lastColumn="0" w:oddVBand="0" w:evenVBand="0" w:oddHBand="0" w:evenHBand="0" w:firstRowFirstColumn="0" w:firstRowLastColumn="0" w:lastRowFirstColumn="0" w:lastRowLastColumn="0"/>
              <w:rPr>
                <w:rFonts w:eastAsia="Calibri"/>
                <w:szCs w:val="18"/>
              </w:rPr>
            </w:pPr>
            <w:r w:rsidRPr="003E30E0">
              <w:rPr>
                <w:szCs w:val="18"/>
              </w:rPr>
              <w:t>Anticipated number of districts responding</w:t>
            </w:r>
          </w:p>
        </w:tc>
      </w:tr>
      <w:tr w:rsidR="00252E9B" w:rsidRPr="003E30E0" w14:paraId="176AE835"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13089D1F" w14:textId="77777777" w:rsidR="00252E9B" w:rsidRPr="003E30E0" w:rsidRDefault="00252E9B" w:rsidP="00113057">
            <w:pPr>
              <w:pStyle w:val="TableText"/>
              <w:jc w:val="right"/>
              <w:rPr>
                <w:szCs w:val="18"/>
              </w:rPr>
            </w:pPr>
            <w:r w:rsidRPr="003E30E0">
              <w:rPr>
                <w:szCs w:val="18"/>
              </w:rPr>
              <w:t>1</w:t>
            </w:r>
          </w:p>
        </w:tc>
        <w:tc>
          <w:tcPr>
            <w:tcW w:w="2748" w:type="pct"/>
          </w:tcPr>
          <w:p w14:paraId="4C805D8B"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Midwest, low student enrollment, urban</w:t>
            </w:r>
          </w:p>
        </w:tc>
        <w:tc>
          <w:tcPr>
            <w:tcW w:w="625" w:type="pct"/>
          </w:tcPr>
          <w:p w14:paraId="73916892"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2.6%</w:t>
            </w:r>
          </w:p>
        </w:tc>
        <w:tc>
          <w:tcPr>
            <w:tcW w:w="577" w:type="pct"/>
          </w:tcPr>
          <w:p w14:paraId="2C65A965" w14:textId="77777777" w:rsidR="00252E9B" w:rsidRPr="003E30E0" w:rsidRDefault="00252E9B" w:rsidP="00113057">
            <w:pPr>
              <w:pStyle w:val="TableText"/>
              <w:tabs>
                <w:tab w:val="decimal" w:pos="52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53204103"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69FFE71A"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7B5B041B" w14:textId="77777777" w:rsidR="00252E9B" w:rsidRPr="003E30E0" w:rsidRDefault="00252E9B" w:rsidP="00113057">
            <w:pPr>
              <w:pStyle w:val="TableText"/>
              <w:jc w:val="right"/>
              <w:rPr>
                <w:szCs w:val="18"/>
              </w:rPr>
            </w:pPr>
            <w:r w:rsidRPr="003E30E0">
              <w:rPr>
                <w:szCs w:val="18"/>
              </w:rPr>
              <w:t>2</w:t>
            </w:r>
          </w:p>
        </w:tc>
        <w:tc>
          <w:tcPr>
            <w:tcW w:w="2748" w:type="pct"/>
          </w:tcPr>
          <w:p w14:paraId="6DB96B41"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Midwest, high student enrollment, urban</w:t>
            </w:r>
          </w:p>
        </w:tc>
        <w:tc>
          <w:tcPr>
            <w:tcW w:w="625" w:type="pct"/>
          </w:tcPr>
          <w:p w14:paraId="7D5488BB"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3.7%</w:t>
            </w:r>
          </w:p>
        </w:tc>
        <w:tc>
          <w:tcPr>
            <w:tcW w:w="577" w:type="pct"/>
          </w:tcPr>
          <w:p w14:paraId="2F0E7255"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5844FF38"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47DEEBEE"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1951AF88" w14:textId="77777777" w:rsidR="00252E9B" w:rsidRPr="003E30E0" w:rsidRDefault="00252E9B" w:rsidP="00113057">
            <w:pPr>
              <w:pStyle w:val="TableText"/>
              <w:jc w:val="right"/>
              <w:rPr>
                <w:szCs w:val="18"/>
              </w:rPr>
            </w:pPr>
            <w:r w:rsidRPr="003E30E0">
              <w:rPr>
                <w:szCs w:val="18"/>
              </w:rPr>
              <w:t>3</w:t>
            </w:r>
          </w:p>
        </w:tc>
        <w:tc>
          <w:tcPr>
            <w:tcW w:w="2748" w:type="pct"/>
          </w:tcPr>
          <w:p w14:paraId="6DC7BB23"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Midwest, low student enrollment, suburban</w:t>
            </w:r>
          </w:p>
        </w:tc>
        <w:tc>
          <w:tcPr>
            <w:tcW w:w="625" w:type="pct"/>
          </w:tcPr>
          <w:p w14:paraId="2263198A"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3.4%</w:t>
            </w:r>
          </w:p>
        </w:tc>
        <w:tc>
          <w:tcPr>
            <w:tcW w:w="577" w:type="pct"/>
          </w:tcPr>
          <w:p w14:paraId="4ED7854B"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11</w:t>
            </w:r>
          </w:p>
        </w:tc>
        <w:tc>
          <w:tcPr>
            <w:tcW w:w="672" w:type="pct"/>
          </w:tcPr>
          <w:p w14:paraId="3D2176FF"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9.4</w:t>
            </w:r>
          </w:p>
        </w:tc>
      </w:tr>
      <w:tr w:rsidR="00252E9B" w:rsidRPr="003E30E0" w14:paraId="16FBECE9"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4E0DD464" w14:textId="77777777" w:rsidR="00252E9B" w:rsidRPr="003E30E0" w:rsidRDefault="00252E9B" w:rsidP="00113057">
            <w:pPr>
              <w:pStyle w:val="TableText"/>
              <w:jc w:val="right"/>
              <w:rPr>
                <w:szCs w:val="18"/>
              </w:rPr>
            </w:pPr>
            <w:r w:rsidRPr="003E30E0">
              <w:rPr>
                <w:szCs w:val="18"/>
              </w:rPr>
              <w:t>4</w:t>
            </w:r>
          </w:p>
        </w:tc>
        <w:tc>
          <w:tcPr>
            <w:tcW w:w="2748" w:type="pct"/>
          </w:tcPr>
          <w:p w14:paraId="0399CC62"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Midwest, high student enrollment, suburban</w:t>
            </w:r>
          </w:p>
        </w:tc>
        <w:tc>
          <w:tcPr>
            <w:tcW w:w="625" w:type="pct"/>
          </w:tcPr>
          <w:p w14:paraId="3E428D17"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4.6%</w:t>
            </w:r>
          </w:p>
        </w:tc>
        <w:tc>
          <w:tcPr>
            <w:tcW w:w="577" w:type="pct"/>
          </w:tcPr>
          <w:p w14:paraId="1A2B7BC2"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13</w:t>
            </w:r>
          </w:p>
        </w:tc>
        <w:tc>
          <w:tcPr>
            <w:tcW w:w="672" w:type="pct"/>
          </w:tcPr>
          <w:p w14:paraId="11377122"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11.1</w:t>
            </w:r>
          </w:p>
        </w:tc>
      </w:tr>
      <w:tr w:rsidR="00252E9B" w:rsidRPr="003E30E0" w14:paraId="7A749E57"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59BC6C07" w14:textId="77777777" w:rsidR="00252E9B" w:rsidRPr="003E30E0" w:rsidRDefault="00252E9B" w:rsidP="00113057">
            <w:pPr>
              <w:pStyle w:val="TableText"/>
              <w:jc w:val="right"/>
              <w:rPr>
                <w:szCs w:val="18"/>
              </w:rPr>
            </w:pPr>
            <w:r w:rsidRPr="003E30E0">
              <w:rPr>
                <w:szCs w:val="18"/>
              </w:rPr>
              <w:t>5</w:t>
            </w:r>
          </w:p>
        </w:tc>
        <w:tc>
          <w:tcPr>
            <w:tcW w:w="2748" w:type="pct"/>
          </w:tcPr>
          <w:p w14:paraId="2C892A07"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Midwest, low student enrollment, town/rural</w:t>
            </w:r>
          </w:p>
        </w:tc>
        <w:tc>
          <w:tcPr>
            <w:tcW w:w="625" w:type="pct"/>
          </w:tcPr>
          <w:p w14:paraId="251E0E16"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3.3%</w:t>
            </w:r>
          </w:p>
        </w:tc>
        <w:tc>
          <w:tcPr>
            <w:tcW w:w="577" w:type="pct"/>
          </w:tcPr>
          <w:p w14:paraId="0D0F16AC"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69</w:t>
            </w:r>
          </w:p>
        </w:tc>
        <w:tc>
          <w:tcPr>
            <w:tcW w:w="672" w:type="pct"/>
          </w:tcPr>
          <w:p w14:paraId="16E56C33"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58.7</w:t>
            </w:r>
          </w:p>
        </w:tc>
      </w:tr>
      <w:tr w:rsidR="00252E9B" w:rsidRPr="003E30E0" w14:paraId="3FB7B571"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66EB6A30" w14:textId="77777777" w:rsidR="00252E9B" w:rsidRPr="003E30E0" w:rsidRDefault="00252E9B" w:rsidP="00113057">
            <w:pPr>
              <w:pStyle w:val="TableText"/>
              <w:jc w:val="right"/>
              <w:rPr>
                <w:szCs w:val="18"/>
              </w:rPr>
            </w:pPr>
            <w:r w:rsidRPr="003E30E0">
              <w:rPr>
                <w:szCs w:val="18"/>
              </w:rPr>
              <w:t>6</w:t>
            </w:r>
          </w:p>
        </w:tc>
        <w:tc>
          <w:tcPr>
            <w:tcW w:w="2748" w:type="pct"/>
          </w:tcPr>
          <w:p w14:paraId="70559391"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Midwest, high student enrollment, town/rural</w:t>
            </w:r>
          </w:p>
        </w:tc>
        <w:tc>
          <w:tcPr>
            <w:tcW w:w="625" w:type="pct"/>
          </w:tcPr>
          <w:p w14:paraId="1E0B239B"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3.3%</w:t>
            </w:r>
          </w:p>
        </w:tc>
        <w:tc>
          <w:tcPr>
            <w:tcW w:w="577" w:type="pct"/>
          </w:tcPr>
          <w:p w14:paraId="2C61A396"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60</w:t>
            </w:r>
          </w:p>
        </w:tc>
        <w:tc>
          <w:tcPr>
            <w:tcW w:w="672" w:type="pct"/>
          </w:tcPr>
          <w:p w14:paraId="38CD86C3"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51.0</w:t>
            </w:r>
          </w:p>
        </w:tc>
      </w:tr>
      <w:tr w:rsidR="00252E9B" w:rsidRPr="003E30E0" w14:paraId="558FA211"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05B87849" w14:textId="77777777" w:rsidR="00252E9B" w:rsidRPr="003E30E0" w:rsidRDefault="00252E9B" w:rsidP="00113057">
            <w:pPr>
              <w:pStyle w:val="TableText"/>
              <w:jc w:val="right"/>
              <w:rPr>
                <w:szCs w:val="18"/>
              </w:rPr>
            </w:pPr>
            <w:r w:rsidRPr="003E30E0">
              <w:rPr>
                <w:szCs w:val="18"/>
              </w:rPr>
              <w:t>7</w:t>
            </w:r>
          </w:p>
        </w:tc>
        <w:tc>
          <w:tcPr>
            <w:tcW w:w="2748" w:type="pct"/>
          </w:tcPr>
          <w:p w14:paraId="10EB3FE5"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Northeast, low student enrollment, urban</w:t>
            </w:r>
          </w:p>
        </w:tc>
        <w:tc>
          <w:tcPr>
            <w:tcW w:w="625" w:type="pct"/>
          </w:tcPr>
          <w:p w14:paraId="2BFEF096"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5.6%</w:t>
            </w:r>
          </w:p>
        </w:tc>
        <w:tc>
          <w:tcPr>
            <w:tcW w:w="577" w:type="pct"/>
          </w:tcPr>
          <w:p w14:paraId="6E606D67"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0451EA21"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3459042E"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02495B38" w14:textId="77777777" w:rsidR="00252E9B" w:rsidRPr="003E30E0" w:rsidRDefault="00252E9B" w:rsidP="00113057">
            <w:pPr>
              <w:pStyle w:val="TableText"/>
              <w:jc w:val="right"/>
              <w:rPr>
                <w:szCs w:val="18"/>
              </w:rPr>
            </w:pPr>
            <w:r w:rsidRPr="003E30E0">
              <w:rPr>
                <w:szCs w:val="18"/>
              </w:rPr>
              <w:t>8</w:t>
            </w:r>
          </w:p>
        </w:tc>
        <w:tc>
          <w:tcPr>
            <w:tcW w:w="2748" w:type="pct"/>
          </w:tcPr>
          <w:p w14:paraId="533D1C2E"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szCs w:val="18"/>
              </w:rPr>
            </w:pPr>
            <w:r w:rsidRPr="003E30E0">
              <w:rPr>
                <w:szCs w:val="18"/>
              </w:rPr>
              <w:t>Northeast, high student enrollment, urban</w:t>
            </w:r>
          </w:p>
        </w:tc>
        <w:tc>
          <w:tcPr>
            <w:tcW w:w="625" w:type="pct"/>
          </w:tcPr>
          <w:p w14:paraId="6A6EEA53"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7.4%</w:t>
            </w:r>
          </w:p>
        </w:tc>
        <w:tc>
          <w:tcPr>
            <w:tcW w:w="577" w:type="pct"/>
          </w:tcPr>
          <w:p w14:paraId="3C206C49"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42E70935"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302DC208"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56022EF4" w14:textId="77777777" w:rsidR="00252E9B" w:rsidRPr="003E30E0" w:rsidRDefault="00252E9B" w:rsidP="00113057">
            <w:pPr>
              <w:pStyle w:val="TableText"/>
              <w:jc w:val="right"/>
              <w:rPr>
                <w:szCs w:val="18"/>
              </w:rPr>
            </w:pPr>
            <w:r w:rsidRPr="003E30E0">
              <w:rPr>
                <w:szCs w:val="18"/>
              </w:rPr>
              <w:t>9</w:t>
            </w:r>
          </w:p>
        </w:tc>
        <w:tc>
          <w:tcPr>
            <w:tcW w:w="2748" w:type="pct"/>
          </w:tcPr>
          <w:p w14:paraId="2CD0231B"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Northeast, low student enrollment, suburban</w:t>
            </w:r>
          </w:p>
        </w:tc>
        <w:tc>
          <w:tcPr>
            <w:tcW w:w="625" w:type="pct"/>
          </w:tcPr>
          <w:p w14:paraId="47DF7BD4"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3.4%</w:t>
            </w:r>
          </w:p>
        </w:tc>
        <w:tc>
          <w:tcPr>
            <w:tcW w:w="577" w:type="pct"/>
          </w:tcPr>
          <w:p w14:paraId="639E569F"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19</w:t>
            </w:r>
          </w:p>
        </w:tc>
        <w:tc>
          <w:tcPr>
            <w:tcW w:w="672" w:type="pct"/>
          </w:tcPr>
          <w:p w14:paraId="4C6DED19"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16.2</w:t>
            </w:r>
          </w:p>
        </w:tc>
      </w:tr>
      <w:tr w:rsidR="00252E9B" w:rsidRPr="003E30E0" w14:paraId="5EE8493E"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66798099" w14:textId="77777777" w:rsidR="00252E9B" w:rsidRPr="003E30E0" w:rsidRDefault="00252E9B" w:rsidP="00113057">
            <w:pPr>
              <w:pStyle w:val="TableText"/>
              <w:jc w:val="right"/>
              <w:rPr>
                <w:szCs w:val="18"/>
              </w:rPr>
            </w:pPr>
            <w:r w:rsidRPr="003E30E0">
              <w:rPr>
                <w:szCs w:val="18"/>
              </w:rPr>
              <w:t>10</w:t>
            </w:r>
          </w:p>
        </w:tc>
        <w:tc>
          <w:tcPr>
            <w:tcW w:w="2748" w:type="pct"/>
          </w:tcPr>
          <w:p w14:paraId="5E4769A9"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Northeast, high student enrollment, suburban</w:t>
            </w:r>
          </w:p>
        </w:tc>
        <w:tc>
          <w:tcPr>
            <w:tcW w:w="625" w:type="pct"/>
          </w:tcPr>
          <w:p w14:paraId="74AD70CD"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4.5%</w:t>
            </w:r>
          </w:p>
        </w:tc>
        <w:tc>
          <w:tcPr>
            <w:tcW w:w="577" w:type="pct"/>
          </w:tcPr>
          <w:p w14:paraId="3CCD64B4"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19</w:t>
            </w:r>
          </w:p>
        </w:tc>
        <w:tc>
          <w:tcPr>
            <w:tcW w:w="672" w:type="pct"/>
          </w:tcPr>
          <w:p w14:paraId="2E9D2D86"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16.2</w:t>
            </w:r>
          </w:p>
        </w:tc>
      </w:tr>
      <w:tr w:rsidR="00252E9B" w:rsidRPr="003E30E0" w14:paraId="5D9457C9"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104EA804" w14:textId="77777777" w:rsidR="00252E9B" w:rsidRPr="003E30E0" w:rsidRDefault="00252E9B" w:rsidP="00113057">
            <w:pPr>
              <w:pStyle w:val="TableText"/>
              <w:jc w:val="right"/>
              <w:rPr>
                <w:szCs w:val="18"/>
              </w:rPr>
            </w:pPr>
            <w:r w:rsidRPr="003E30E0">
              <w:rPr>
                <w:szCs w:val="18"/>
              </w:rPr>
              <w:t>11</w:t>
            </w:r>
          </w:p>
        </w:tc>
        <w:tc>
          <w:tcPr>
            <w:tcW w:w="2748" w:type="pct"/>
          </w:tcPr>
          <w:p w14:paraId="349068C9"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Northeast, low student enrollment, town/rural</w:t>
            </w:r>
          </w:p>
        </w:tc>
        <w:tc>
          <w:tcPr>
            <w:tcW w:w="625" w:type="pct"/>
          </w:tcPr>
          <w:p w14:paraId="2310BDDD"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3.3%</w:t>
            </w:r>
          </w:p>
        </w:tc>
        <w:tc>
          <w:tcPr>
            <w:tcW w:w="577" w:type="pct"/>
          </w:tcPr>
          <w:p w14:paraId="54508EC4"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27</w:t>
            </w:r>
          </w:p>
        </w:tc>
        <w:tc>
          <w:tcPr>
            <w:tcW w:w="672" w:type="pct"/>
          </w:tcPr>
          <w:p w14:paraId="3181D9FC"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23.0</w:t>
            </w:r>
          </w:p>
        </w:tc>
      </w:tr>
      <w:tr w:rsidR="00252E9B" w:rsidRPr="003E30E0" w14:paraId="0FEB2D16"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1EF89F8D" w14:textId="77777777" w:rsidR="00252E9B" w:rsidRPr="003E30E0" w:rsidRDefault="00252E9B" w:rsidP="00113057">
            <w:pPr>
              <w:pStyle w:val="TableText"/>
              <w:jc w:val="right"/>
              <w:rPr>
                <w:szCs w:val="18"/>
              </w:rPr>
            </w:pPr>
            <w:r w:rsidRPr="003E30E0">
              <w:rPr>
                <w:szCs w:val="18"/>
              </w:rPr>
              <w:t>12</w:t>
            </w:r>
          </w:p>
        </w:tc>
        <w:tc>
          <w:tcPr>
            <w:tcW w:w="2748" w:type="pct"/>
          </w:tcPr>
          <w:p w14:paraId="430D9C6B"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Northeast, high student enrollment, town/rural</w:t>
            </w:r>
          </w:p>
        </w:tc>
        <w:tc>
          <w:tcPr>
            <w:tcW w:w="625" w:type="pct"/>
          </w:tcPr>
          <w:p w14:paraId="7C36978C"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3.2%</w:t>
            </w:r>
          </w:p>
        </w:tc>
        <w:tc>
          <w:tcPr>
            <w:tcW w:w="577" w:type="pct"/>
          </w:tcPr>
          <w:p w14:paraId="5560DE87"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29</w:t>
            </w:r>
          </w:p>
        </w:tc>
        <w:tc>
          <w:tcPr>
            <w:tcW w:w="672" w:type="pct"/>
          </w:tcPr>
          <w:p w14:paraId="0045C6E0"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24.7</w:t>
            </w:r>
          </w:p>
        </w:tc>
      </w:tr>
      <w:tr w:rsidR="00252E9B" w:rsidRPr="003E30E0" w14:paraId="4AA5F4D8"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4C2D50D4" w14:textId="77777777" w:rsidR="00252E9B" w:rsidRPr="003E30E0" w:rsidRDefault="00252E9B" w:rsidP="00113057">
            <w:pPr>
              <w:pStyle w:val="TableText"/>
              <w:jc w:val="right"/>
              <w:rPr>
                <w:szCs w:val="18"/>
              </w:rPr>
            </w:pPr>
            <w:r w:rsidRPr="003E30E0">
              <w:rPr>
                <w:szCs w:val="18"/>
              </w:rPr>
              <w:t>13</w:t>
            </w:r>
          </w:p>
        </w:tc>
        <w:tc>
          <w:tcPr>
            <w:tcW w:w="2748" w:type="pct"/>
          </w:tcPr>
          <w:p w14:paraId="0182A0D4"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South, low student enrollment, urban</w:t>
            </w:r>
          </w:p>
        </w:tc>
        <w:tc>
          <w:tcPr>
            <w:tcW w:w="625" w:type="pct"/>
          </w:tcPr>
          <w:p w14:paraId="0B609978"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7.4%</w:t>
            </w:r>
          </w:p>
        </w:tc>
        <w:tc>
          <w:tcPr>
            <w:tcW w:w="577" w:type="pct"/>
          </w:tcPr>
          <w:p w14:paraId="13EC49C5"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6AD6B9E2"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11669071"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5BAEEDB1" w14:textId="77777777" w:rsidR="00252E9B" w:rsidRPr="003E30E0" w:rsidRDefault="00252E9B" w:rsidP="00113057">
            <w:pPr>
              <w:pStyle w:val="TableText"/>
              <w:jc w:val="right"/>
              <w:rPr>
                <w:szCs w:val="18"/>
              </w:rPr>
            </w:pPr>
            <w:r w:rsidRPr="003E30E0">
              <w:rPr>
                <w:szCs w:val="18"/>
              </w:rPr>
              <w:t>14</w:t>
            </w:r>
          </w:p>
        </w:tc>
        <w:tc>
          <w:tcPr>
            <w:tcW w:w="2748" w:type="pct"/>
          </w:tcPr>
          <w:p w14:paraId="60E1765E"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South, high student enrollment, urban</w:t>
            </w:r>
          </w:p>
        </w:tc>
        <w:tc>
          <w:tcPr>
            <w:tcW w:w="625" w:type="pct"/>
          </w:tcPr>
          <w:p w14:paraId="4486D089"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4.8%</w:t>
            </w:r>
          </w:p>
        </w:tc>
        <w:tc>
          <w:tcPr>
            <w:tcW w:w="577" w:type="pct"/>
          </w:tcPr>
          <w:p w14:paraId="02FAF030"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3</w:t>
            </w:r>
          </w:p>
        </w:tc>
        <w:tc>
          <w:tcPr>
            <w:tcW w:w="672" w:type="pct"/>
          </w:tcPr>
          <w:p w14:paraId="6FDD21CC"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2.6</w:t>
            </w:r>
          </w:p>
        </w:tc>
      </w:tr>
      <w:tr w:rsidR="00252E9B" w:rsidRPr="003E30E0" w14:paraId="3917C88F"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26BFF6E0" w14:textId="77777777" w:rsidR="00252E9B" w:rsidRPr="003E30E0" w:rsidRDefault="00252E9B" w:rsidP="00113057">
            <w:pPr>
              <w:pStyle w:val="TableText"/>
              <w:jc w:val="right"/>
              <w:rPr>
                <w:szCs w:val="18"/>
              </w:rPr>
            </w:pPr>
            <w:r w:rsidRPr="003E30E0">
              <w:rPr>
                <w:szCs w:val="18"/>
              </w:rPr>
              <w:t>15</w:t>
            </w:r>
          </w:p>
        </w:tc>
        <w:tc>
          <w:tcPr>
            <w:tcW w:w="2748" w:type="pct"/>
          </w:tcPr>
          <w:p w14:paraId="2D6EAF37"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South, low student enrollment, suburban</w:t>
            </w:r>
          </w:p>
        </w:tc>
        <w:tc>
          <w:tcPr>
            <w:tcW w:w="625" w:type="pct"/>
          </w:tcPr>
          <w:p w14:paraId="0A44A188"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5.9%</w:t>
            </w:r>
          </w:p>
        </w:tc>
        <w:tc>
          <w:tcPr>
            <w:tcW w:w="577" w:type="pct"/>
          </w:tcPr>
          <w:p w14:paraId="05F59C00"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3A6E6B51"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4F216243"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6075F063" w14:textId="77777777" w:rsidR="00252E9B" w:rsidRPr="003E30E0" w:rsidRDefault="00252E9B" w:rsidP="00113057">
            <w:pPr>
              <w:pStyle w:val="TableText"/>
              <w:jc w:val="right"/>
              <w:rPr>
                <w:szCs w:val="18"/>
              </w:rPr>
            </w:pPr>
            <w:r w:rsidRPr="003E30E0">
              <w:rPr>
                <w:szCs w:val="18"/>
              </w:rPr>
              <w:t>16</w:t>
            </w:r>
          </w:p>
        </w:tc>
        <w:tc>
          <w:tcPr>
            <w:tcW w:w="2748" w:type="pct"/>
          </w:tcPr>
          <w:p w14:paraId="2793E906"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South, high student enrollment, suburban</w:t>
            </w:r>
          </w:p>
        </w:tc>
        <w:tc>
          <w:tcPr>
            <w:tcW w:w="625" w:type="pct"/>
          </w:tcPr>
          <w:p w14:paraId="705F4399"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4.6%</w:t>
            </w:r>
          </w:p>
        </w:tc>
        <w:tc>
          <w:tcPr>
            <w:tcW w:w="577" w:type="pct"/>
          </w:tcPr>
          <w:p w14:paraId="11B13C2C"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5</w:t>
            </w:r>
          </w:p>
        </w:tc>
        <w:tc>
          <w:tcPr>
            <w:tcW w:w="672" w:type="pct"/>
          </w:tcPr>
          <w:p w14:paraId="575E1390"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4.3</w:t>
            </w:r>
          </w:p>
        </w:tc>
      </w:tr>
      <w:tr w:rsidR="00252E9B" w:rsidRPr="003E30E0" w14:paraId="6FB66415"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4EC39435" w14:textId="77777777" w:rsidR="00252E9B" w:rsidRPr="003E30E0" w:rsidRDefault="00252E9B" w:rsidP="00113057">
            <w:pPr>
              <w:pStyle w:val="TableText"/>
              <w:jc w:val="right"/>
              <w:rPr>
                <w:szCs w:val="18"/>
              </w:rPr>
            </w:pPr>
            <w:r w:rsidRPr="003E30E0">
              <w:rPr>
                <w:szCs w:val="18"/>
              </w:rPr>
              <w:t>17</w:t>
            </w:r>
          </w:p>
        </w:tc>
        <w:tc>
          <w:tcPr>
            <w:tcW w:w="2748" w:type="pct"/>
          </w:tcPr>
          <w:p w14:paraId="4019965C"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South, low student enrollment, town/rural</w:t>
            </w:r>
          </w:p>
        </w:tc>
        <w:tc>
          <w:tcPr>
            <w:tcW w:w="625" w:type="pct"/>
          </w:tcPr>
          <w:p w14:paraId="30AA30D9"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3.2%</w:t>
            </w:r>
          </w:p>
        </w:tc>
        <w:tc>
          <w:tcPr>
            <w:tcW w:w="577" w:type="pct"/>
          </w:tcPr>
          <w:p w14:paraId="0C20BE1E"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32</w:t>
            </w:r>
          </w:p>
        </w:tc>
        <w:tc>
          <w:tcPr>
            <w:tcW w:w="672" w:type="pct"/>
          </w:tcPr>
          <w:p w14:paraId="5F2A2ABC"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27.2</w:t>
            </w:r>
          </w:p>
        </w:tc>
      </w:tr>
      <w:tr w:rsidR="00252E9B" w:rsidRPr="003E30E0" w14:paraId="694854A5"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432A6826" w14:textId="77777777" w:rsidR="00252E9B" w:rsidRPr="003E30E0" w:rsidRDefault="00252E9B" w:rsidP="00113057">
            <w:pPr>
              <w:pStyle w:val="TableText"/>
              <w:jc w:val="right"/>
              <w:rPr>
                <w:szCs w:val="18"/>
              </w:rPr>
            </w:pPr>
            <w:r w:rsidRPr="003E30E0">
              <w:rPr>
                <w:szCs w:val="18"/>
              </w:rPr>
              <w:t>18</w:t>
            </w:r>
          </w:p>
        </w:tc>
        <w:tc>
          <w:tcPr>
            <w:tcW w:w="2748" w:type="pct"/>
          </w:tcPr>
          <w:p w14:paraId="4CEA50A5"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South, high student enrollment, town/rural</w:t>
            </w:r>
          </w:p>
        </w:tc>
        <w:tc>
          <w:tcPr>
            <w:tcW w:w="625" w:type="pct"/>
          </w:tcPr>
          <w:p w14:paraId="5424B7C9"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3.3%</w:t>
            </w:r>
          </w:p>
        </w:tc>
        <w:tc>
          <w:tcPr>
            <w:tcW w:w="577" w:type="pct"/>
          </w:tcPr>
          <w:p w14:paraId="1FAB7ECD"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58</w:t>
            </w:r>
          </w:p>
        </w:tc>
        <w:tc>
          <w:tcPr>
            <w:tcW w:w="672" w:type="pct"/>
          </w:tcPr>
          <w:p w14:paraId="112C3DB7"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49.3</w:t>
            </w:r>
          </w:p>
        </w:tc>
      </w:tr>
      <w:tr w:rsidR="00252E9B" w:rsidRPr="003E30E0" w14:paraId="531A3023"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16E41C81" w14:textId="77777777" w:rsidR="00252E9B" w:rsidRPr="003E30E0" w:rsidRDefault="00252E9B" w:rsidP="00113057">
            <w:pPr>
              <w:pStyle w:val="TableText"/>
              <w:jc w:val="right"/>
              <w:rPr>
                <w:szCs w:val="18"/>
              </w:rPr>
            </w:pPr>
            <w:r w:rsidRPr="003E30E0">
              <w:rPr>
                <w:szCs w:val="18"/>
              </w:rPr>
              <w:t>19</w:t>
            </w:r>
          </w:p>
        </w:tc>
        <w:tc>
          <w:tcPr>
            <w:tcW w:w="2748" w:type="pct"/>
          </w:tcPr>
          <w:p w14:paraId="48263D2E"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West, low student enrollment, urban</w:t>
            </w:r>
          </w:p>
        </w:tc>
        <w:tc>
          <w:tcPr>
            <w:tcW w:w="625" w:type="pct"/>
          </w:tcPr>
          <w:p w14:paraId="7E05F003"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3.3%</w:t>
            </w:r>
          </w:p>
        </w:tc>
        <w:tc>
          <w:tcPr>
            <w:tcW w:w="577" w:type="pct"/>
          </w:tcPr>
          <w:p w14:paraId="44D5AF48"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54B2314D"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59600B2B"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2EB58E66" w14:textId="77777777" w:rsidR="00252E9B" w:rsidRPr="003E30E0" w:rsidRDefault="00252E9B" w:rsidP="00113057">
            <w:pPr>
              <w:pStyle w:val="TableText"/>
              <w:jc w:val="right"/>
              <w:rPr>
                <w:szCs w:val="18"/>
              </w:rPr>
            </w:pPr>
            <w:r w:rsidRPr="003E30E0">
              <w:rPr>
                <w:szCs w:val="18"/>
              </w:rPr>
              <w:t>20</w:t>
            </w:r>
          </w:p>
        </w:tc>
        <w:tc>
          <w:tcPr>
            <w:tcW w:w="2748" w:type="pct"/>
          </w:tcPr>
          <w:p w14:paraId="0624B72D"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West, high student enrollment, urban</w:t>
            </w:r>
          </w:p>
        </w:tc>
        <w:tc>
          <w:tcPr>
            <w:tcW w:w="625" w:type="pct"/>
          </w:tcPr>
          <w:p w14:paraId="4993DDD6"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3.5%</w:t>
            </w:r>
          </w:p>
        </w:tc>
        <w:tc>
          <w:tcPr>
            <w:tcW w:w="577" w:type="pct"/>
          </w:tcPr>
          <w:p w14:paraId="48B24630"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7A3B8B68"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328F809F"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54994A29" w14:textId="77777777" w:rsidR="00252E9B" w:rsidRPr="003E30E0" w:rsidRDefault="00252E9B" w:rsidP="00113057">
            <w:pPr>
              <w:pStyle w:val="TableText"/>
              <w:jc w:val="right"/>
              <w:rPr>
                <w:szCs w:val="18"/>
              </w:rPr>
            </w:pPr>
            <w:r w:rsidRPr="003E30E0">
              <w:rPr>
                <w:szCs w:val="18"/>
              </w:rPr>
              <w:t>21</w:t>
            </w:r>
          </w:p>
        </w:tc>
        <w:tc>
          <w:tcPr>
            <w:tcW w:w="2748" w:type="pct"/>
          </w:tcPr>
          <w:p w14:paraId="17BEE30F"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West, low student enrollment, suburban</w:t>
            </w:r>
          </w:p>
        </w:tc>
        <w:tc>
          <w:tcPr>
            <w:tcW w:w="625" w:type="pct"/>
          </w:tcPr>
          <w:p w14:paraId="111979F6"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4.8%</w:t>
            </w:r>
          </w:p>
        </w:tc>
        <w:tc>
          <w:tcPr>
            <w:tcW w:w="577" w:type="pct"/>
          </w:tcPr>
          <w:p w14:paraId="19689F19"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w:t>
            </w:r>
          </w:p>
        </w:tc>
        <w:tc>
          <w:tcPr>
            <w:tcW w:w="672" w:type="pct"/>
          </w:tcPr>
          <w:p w14:paraId="5DAC358E"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1.7</w:t>
            </w:r>
          </w:p>
        </w:tc>
      </w:tr>
      <w:tr w:rsidR="00252E9B" w:rsidRPr="003E30E0" w14:paraId="5C17B323"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46462D27" w14:textId="77777777" w:rsidR="00252E9B" w:rsidRPr="003E30E0" w:rsidRDefault="00252E9B" w:rsidP="00113057">
            <w:pPr>
              <w:pStyle w:val="TableText"/>
              <w:jc w:val="right"/>
              <w:rPr>
                <w:szCs w:val="18"/>
              </w:rPr>
            </w:pPr>
            <w:r w:rsidRPr="003E30E0">
              <w:rPr>
                <w:szCs w:val="18"/>
              </w:rPr>
              <w:t>22</w:t>
            </w:r>
          </w:p>
        </w:tc>
        <w:tc>
          <w:tcPr>
            <w:tcW w:w="2748" w:type="pct"/>
          </w:tcPr>
          <w:p w14:paraId="0D3EFF66"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West, high student enrollment, suburban</w:t>
            </w:r>
          </w:p>
        </w:tc>
        <w:tc>
          <w:tcPr>
            <w:tcW w:w="625" w:type="pct"/>
          </w:tcPr>
          <w:p w14:paraId="44D89172"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4.3%</w:t>
            </w:r>
          </w:p>
        </w:tc>
        <w:tc>
          <w:tcPr>
            <w:tcW w:w="577" w:type="pct"/>
          </w:tcPr>
          <w:p w14:paraId="43508E64"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6</w:t>
            </w:r>
          </w:p>
        </w:tc>
        <w:tc>
          <w:tcPr>
            <w:tcW w:w="672" w:type="pct"/>
          </w:tcPr>
          <w:p w14:paraId="04737337"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5.1</w:t>
            </w:r>
          </w:p>
        </w:tc>
      </w:tr>
      <w:tr w:rsidR="00252E9B" w:rsidRPr="003E30E0" w14:paraId="4C513A98"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14401B5C" w14:textId="77777777" w:rsidR="00252E9B" w:rsidRPr="003E30E0" w:rsidRDefault="00252E9B" w:rsidP="00113057">
            <w:pPr>
              <w:pStyle w:val="TableText"/>
              <w:jc w:val="right"/>
              <w:rPr>
                <w:szCs w:val="18"/>
              </w:rPr>
            </w:pPr>
            <w:r w:rsidRPr="003E30E0">
              <w:rPr>
                <w:szCs w:val="18"/>
              </w:rPr>
              <w:t>23</w:t>
            </w:r>
          </w:p>
        </w:tc>
        <w:tc>
          <w:tcPr>
            <w:tcW w:w="2748" w:type="pct"/>
          </w:tcPr>
          <w:p w14:paraId="7A66637F"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West, low student enrollment, town/rural</w:t>
            </w:r>
          </w:p>
        </w:tc>
        <w:tc>
          <w:tcPr>
            <w:tcW w:w="625" w:type="pct"/>
          </w:tcPr>
          <w:p w14:paraId="4503FF7D"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3.3%</w:t>
            </w:r>
          </w:p>
        </w:tc>
        <w:tc>
          <w:tcPr>
            <w:tcW w:w="577" w:type="pct"/>
          </w:tcPr>
          <w:p w14:paraId="456D3E18"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41</w:t>
            </w:r>
          </w:p>
        </w:tc>
        <w:tc>
          <w:tcPr>
            <w:tcW w:w="672" w:type="pct"/>
          </w:tcPr>
          <w:p w14:paraId="0AF3F6D7"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34.9</w:t>
            </w:r>
          </w:p>
        </w:tc>
      </w:tr>
      <w:tr w:rsidR="00252E9B" w:rsidRPr="003E30E0" w14:paraId="79BF28E7"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6341C4AA" w14:textId="77777777" w:rsidR="00252E9B" w:rsidRPr="003E30E0" w:rsidRDefault="00252E9B" w:rsidP="00113057">
            <w:pPr>
              <w:pStyle w:val="TableText"/>
              <w:jc w:val="right"/>
              <w:rPr>
                <w:szCs w:val="18"/>
              </w:rPr>
            </w:pPr>
            <w:r w:rsidRPr="003E30E0">
              <w:rPr>
                <w:szCs w:val="18"/>
              </w:rPr>
              <w:t>24</w:t>
            </w:r>
          </w:p>
        </w:tc>
        <w:tc>
          <w:tcPr>
            <w:tcW w:w="2748" w:type="pct"/>
          </w:tcPr>
          <w:p w14:paraId="6D2299BA" w14:textId="77777777" w:rsidR="00252E9B" w:rsidRPr="003E30E0" w:rsidRDefault="00252E9B" w:rsidP="00113057">
            <w:pPr>
              <w:pStyle w:val="TableText"/>
              <w:ind w:left="288"/>
              <w:cnfStyle w:val="000000010000" w:firstRow="0" w:lastRow="0" w:firstColumn="0" w:lastColumn="0" w:oddVBand="0" w:evenVBand="0" w:oddHBand="0" w:evenHBand="1" w:firstRowFirstColumn="0" w:firstRowLastColumn="0" w:lastRowFirstColumn="0" w:lastRowLastColumn="0"/>
              <w:rPr>
                <w:szCs w:val="18"/>
              </w:rPr>
            </w:pPr>
            <w:r w:rsidRPr="003E30E0">
              <w:rPr>
                <w:szCs w:val="18"/>
              </w:rPr>
              <w:t>West, high student enrollment, town/rural</w:t>
            </w:r>
          </w:p>
        </w:tc>
        <w:tc>
          <w:tcPr>
            <w:tcW w:w="625" w:type="pct"/>
          </w:tcPr>
          <w:p w14:paraId="63706AF5" w14:textId="77777777" w:rsidR="00252E9B" w:rsidRPr="003E30E0" w:rsidRDefault="00252E9B" w:rsidP="00113057">
            <w:pPr>
              <w:pStyle w:val="TableText"/>
              <w:ind w:right="134"/>
              <w:jc w:val="center"/>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3.3%</w:t>
            </w:r>
          </w:p>
        </w:tc>
        <w:tc>
          <w:tcPr>
            <w:tcW w:w="577" w:type="pct"/>
          </w:tcPr>
          <w:p w14:paraId="6AC4128A" w14:textId="77777777" w:rsidR="00252E9B" w:rsidRPr="003E30E0" w:rsidRDefault="00252E9B" w:rsidP="00113057">
            <w:pPr>
              <w:pStyle w:val="TableText"/>
              <w:tabs>
                <w:tab w:val="decimal" w:pos="520"/>
              </w:tabs>
              <w:ind w:right="44"/>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21</w:t>
            </w:r>
          </w:p>
        </w:tc>
        <w:tc>
          <w:tcPr>
            <w:tcW w:w="672" w:type="pct"/>
          </w:tcPr>
          <w:p w14:paraId="7F083AA8" w14:textId="77777777" w:rsidR="00252E9B" w:rsidRPr="003E30E0" w:rsidRDefault="00252E9B" w:rsidP="00113057">
            <w:pPr>
              <w:pStyle w:val="TableText"/>
              <w:tabs>
                <w:tab w:val="decimal" w:pos="610"/>
              </w:tabs>
              <w:cnfStyle w:val="000000010000" w:firstRow="0" w:lastRow="0" w:firstColumn="0" w:lastColumn="0" w:oddVBand="0" w:evenVBand="0" w:oddHBand="0" w:evenHBand="1" w:firstRowFirstColumn="0" w:firstRowLastColumn="0" w:lastRowFirstColumn="0" w:lastRowLastColumn="0"/>
              <w:rPr>
                <w:rFonts w:eastAsia="Calibri" w:cs="Arial"/>
                <w:szCs w:val="18"/>
              </w:rPr>
            </w:pPr>
            <w:r w:rsidRPr="003E30E0">
              <w:rPr>
                <w:rFonts w:cs="Arial"/>
                <w:color w:val="000000"/>
                <w:szCs w:val="18"/>
              </w:rPr>
              <w:t>17.9</w:t>
            </w:r>
          </w:p>
        </w:tc>
      </w:tr>
      <w:tr w:rsidR="00252E9B" w:rsidRPr="003E30E0" w14:paraId="25EC615B"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pct"/>
          </w:tcPr>
          <w:p w14:paraId="35911915" w14:textId="77777777" w:rsidR="00252E9B" w:rsidRPr="003E30E0" w:rsidRDefault="00252E9B" w:rsidP="00113057">
            <w:pPr>
              <w:pStyle w:val="TableText"/>
              <w:jc w:val="right"/>
              <w:rPr>
                <w:szCs w:val="18"/>
              </w:rPr>
            </w:pPr>
            <w:r w:rsidRPr="003E30E0">
              <w:rPr>
                <w:szCs w:val="18"/>
              </w:rPr>
              <w:t>25</w:t>
            </w:r>
          </w:p>
        </w:tc>
        <w:tc>
          <w:tcPr>
            <w:tcW w:w="2748" w:type="pct"/>
          </w:tcPr>
          <w:p w14:paraId="1A7C1B84" w14:textId="77777777" w:rsidR="00252E9B" w:rsidRPr="003E30E0" w:rsidRDefault="00252E9B" w:rsidP="00113057">
            <w:pPr>
              <w:pStyle w:val="TableText"/>
              <w:ind w:left="288"/>
              <w:cnfStyle w:val="000000100000" w:firstRow="0" w:lastRow="0" w:firstColumn="0" w:lastColumn="0" w:oddVBand="0" w:evenVBand="0" w:oddHBand="1" w:evenHBand="0" w:firstRowFirstColumn="0" w:firstRowLastColumn="0" w:lastRowFirstColumn="0" w:lastRowLastColumn="0"/>
              <w:rPr>
                <w:szCs w:val="18"/>
              </w:rPr>
            </w:pPr>
            <w:r w:rsidRPr="003E30E0">
              <w:rPr>
                <w:szCs w:val="18"/>
              </w:rPr>
              <w:t>One or more charter schools</w:t>
            </w:r>
          </w:p>
        </w:tc>
        <w:tc>
          <w:tcPr>
            <w:tcW w:w="625" w:type="pct"/>
          </w:tcPr>
          <w:p w14:paraId="2638451C" w14:textId="77777777" w:rsidR="00252E9B" w:rsidRPr="003E30E0" w:rsidRDefault="00252E9B" w:rsidP="00113057">
            <w:pPr>
              <w:pStyle w:val="TableText"/>
              <w:ind w:right="134"/>
              <w:jc w:val="center"/>
              <w:cnfStyle w:val="000000100000" w:firstRow="0" w:lastRow="0" w:firstColumn="0" w:lastColumn="0" w:oddVBand="0" w:evenVBand="0" w:oddHBand="1" w:evenHBand="0" w:firstRowFirstColumn="0" w:firstRowLastColumn="0" w:lastRowFirstColumn="0" w:lastRowLastColumn="0"/>
              <w:rPr>
                <w:rFonts w:eastAsia="Calibri" w:cs="Arial"/>
                <w:szCs w:val="18"/>
              </w:rPr>
            </w:pPr>
            <w:r>
              <w:rPr>
                <w:rFonts w:cs="Arial"/>
                <w:color w:val="000000"/>
                <w:szCs w:val="18"/>
              </w:rPr>
              <w:t>7.4</w:t>
            </w:r>
            <w:r w:rsidRPr="003E30E0">
              <w:rPr>
                <w:rFonts w:cs="Arial"/>
                <w:color w:val="000000"/>
                <w:szCs w:val="18"/>
              </w:rPr>
              <w:t>%</w:t>
            </w:r>
          </w:p>
        </w:tc>
        <w:tc>
          <w:tcPr>
            <w:tcW w:w="577" w:type="pct"/>
          </w:tcPr>
          <w:p w14:paraId="57C018D0" w14:textId="77777777" w:rsidR="00252E9B" w:rsidRPr="003E30E0" w:rsidRDefault="00252E9B" w:rsidP="00113057">
            <w:pPr>
              <w:pStyle w:val="TableText"/>
              <w:tabs>
                <w:tab w:val="decimal" w:pos="520"/>
              </w:tabs>
              <w:ind w:right="44"/>
              <w:cnfStyle w:val="000000100000" w:firstRow="0" w:lastRow="0" w:firstColumn="0" w:lastColumn="0" w:oddVBand="0" w:evenVBand="0" w:oddHBand="1" w:evenHBand="0" w:firstRowFirstColumn="0" w:firstRowLastColumn="0" w:lastRowFirstColumn="0" w:lastRowLastColumn="0"/>
              <w:rPr>
                <w:rFonts w:eastAsia="Calibri" w:cs="Arial"/>
                <w:szCs w:val="18"/>
              </w:rPr>
            </w:pPr>
            <w:r w:rsidRPr="003E30E0">
              <w:rPr>
                <w:rFonts w:cs="Arial"/>
                <w:color w:val="000000"/>
                <w:szCs w:val="18"/>
              </w:rPr>
              <w:t>2</w:t>
            </w:r>
            <w:r>
              <w:rPr>
                <w:rFonts w:cs="Arial"/>
                <w:color w:val="000000"/>
                <w:szCs w:val="18"/>
              </w:rPr>
              <w:t>34</w:t>
            </w:r>
          </w:p>
        </w:tc>
        <w:tc>
          <w:tcPr>
            <w:tcW w:w="672" w:type="pct"/>
          </w:tcPr>
          <w:p w14:paraId="7F84D500" w14:textId="77777777" w:rsidR="00252E9B" w:rsidRPr="003E30E0" w:rsidRDefault="00252E9B" w:rsidP="00113057">
            <w:pPr>
              <w:pStyle w:val="TableText"/>
              <w:tabs>
                <w:tab w:val="decimal" w:pos="610"/>
              </w:tabs>
              <w:cnfStyle w:val="000000100000" w:firstRow="0" w:lastRow="0" w:firstColumn="0" w:lastColumn="0" w:oddVBand="0" w:evenVBand="0" w:oddHBand="1" w:evenHBand="0" w:firstRowFirstColumn="0" w:firstRowLastColumn="0" w:lastRowFirstColumn="0" w:lastRowLastColumn="0"/>
              <w:rPr>
                <w:rFonts w:eastAsia="Calibri" w:cs="Arial"/>
                <w:szCs w:val="18"/>
              </w:rPr>
            </w:pPr>
            <w:r>
              <w:rPr>
                <w:rFonts w:cs="Arial"/>
                <w:color w:val="000000"/>
                <w:szCs w:val="18"/>
              </w:rPr>
              <w:t>198.9</w:t>
            </w:r>
          </w:p>
        </w:tc>
      </w:tr>
    </w:tbl>
    <w:p w14:paraId="785F9960" w14:textId="77777777" w:rsidR="00252E9B" w:rsidRDefault="00252E9B" w:rsidP="00252E9B">
      <w:pPr>
        <w:pStyle w:val="TableSourceCaption"/>
      </w:pPr>
      <w:r w:rsidRPr="005B0AC1">
        <w:t>Note:</w:t>
      </w:r>
      <w:r>
        <w:tab/>
      </w:r>
      <w:r w:rsidRPr="00336E9B">
        <w:t>The sampling rate is the number of districts to be selected within the stratum divided by the total number of districts in that stratum.</w:t>
      </w:r>
    </w:p>
    <w:p w14:paraId="068BF65C" w14:textId="77777777" w:rsidR="00252E9B" w:rsidRDefault="00252E9B" w:rsidP="00252E9B">
      <w:pPr>
        <w:pStyle w:val="NormalSS"/>
        <w:spacing w:after="0"/>
        <w:ind w:left="634" w:hanging="634"/>
        <w:rPr>
          <w:b/>
        </w:rPr>
      </w:pPr>
    </w:p>
    <w:p w14:paraId="4276CBEA" w14:textId="77777777" w:rsidR="00252E9B" w:rsidRPr="007C64EE" w:rsidRDefault="00252E9B" w:rsidP="00252E9B">
      <w:pPr>
        <w:pStyle w:val="H4Number"/>
      </w:pPr>
      <w:bookmarkStart w:id="30" w:name="_Toc529535884"/>
      <w:r w:rsidRPr="007C64EE">
        <w:t>B.2.2.3.</w:t>
      </w:r>
      <w:r>
        <w:t xml:space="preserve"> </w:t>
      </w:r>
      <w:r w:rsidRPr="007C64EE">
        <w:t>School sample</w:t>
      </w:r>
      <w:bookmarkEnd w:id="30"/>
    </w:p>
    <w:p w14:paraId="62799517" w14:textId="77777777" w:rsidR="00D22362" w:rsidRPr="00D22362" w:rsidRDefault="00252E9B" w:rsidP="00D22362">
      <w:pPr>
        <w:pStyle w:val="NormalSS"/>
      </w:pPr>
      <w:r>
        <w:t>Within each sampled district, there were</w:t>
      </w:r>
      <w:r w:rsidRPr="004D5996">
        <w:t xml:space="preserve"> </w:t>
      </w:r>
      <w:r>
        <w:t xml:space="preserve">up to </w:t>
      </w:r>
      <w:r w:rsidRPr="004D5996">
        <w:t>six school strata</w:t>
      </w:r>
      <w:r w:rsidR="00405259">
        <w:t xml:space="preserve"> for sampling purposes</w:t>
      </w:r>
      <w:r w:rsidRPr="004D5996">
        <w:t xml:space="preserve">: (1) </w:t>
      </w:r>
      <w:r>
        <w:t xml:space="preserve">traditional </w:t>
      </w:r>
      <w:r w:rsidRPr="004D5996">
        <w:t xml:space="preserve">elementary with pre-kindergarten, (2) </w:t>
      </w:r>
      <w:r>
        <w:t xml:space="preserve">traditional </w:t>
      </w:r>
      <w:r w:rsidRPr="004D5996">
        <w:t>elementary</w:t>
      </w:r>
      <w:r w:rsidR="00405259">
        <w:t xml:space="preserve"> without pre-kindergarten</w:t>
      </w:r>
      <w:r w:rsidRPr="004D5996">
        <w:t xml:space="preserve">, (3) </w:t>
      </w:r>
      <w:r>
        <w:t xml:space="preserve">traditional </w:t>
      </w:r>
      <w:r w:rsidRPr="004D5996">
        <w:t xml:space="preserve">secondary </w:t>
      </w:r>
      <w:r>
        <w:t>(middle and high schools)</w:t>
      </w:r>
      <w:r w:rsidRPr="004D5996">
        <w:t>, (4) charter elementary with pre-kindergarten, (5) charter elementary</w:t>
      </w:r>
      <w:r w:rsidR="00405259">
        <w:t xml:space="preserve"> without pre-kindergarten</w:t>
      </w:r>
      <w:r w:rsidRPr="004D5996">
        <w:t>, and (6</w:t>
      </w:r>
      <w:r>
        <w:t>) </w:t>
      </w:r>
      <w:r w:rsidRPr="004D5996">
        <w:t xml:space="preserve">charter secondary. </w:t>
      </w:r>
      <w:r w:rsidR="00717E90">
        <w:t>The study team</w:t>
      </w:r>
      <w:r w:rsidR="00534F5A">
        <w:t xml:space="preserve"> chose</w:t>
      </w:r>
      <w:r w:rsidR="00D22362" w:rsidRPr="00D22362">
        <w:t xml:space="preserve"> these six strata to ensure adequate sample </w:t>
      </w:r>
      <w:r w:rsidR="00405259">
        <w:t xml:space="preserve">not only to provide </w:t>
      </w:r>
      <w:r w:rsidR="00D22362" w:rsidRPr="00D22362">
        <w:t>nationa</w:t>
      </w:r>
      <w:r w:rsidR="00534F5A">
        <w:t xml:space="preserve">lly representative </w:t>
      </w:r>
      <w:r w:rsidR="00405259">
        <w:t xml:space="preserve">estimates for schools overall but also to separately examine analytic subgroups of schools that are important for IDEA implementation. The </w:t>
      </w:r>
      <w:r w:rsidR="007C1004">
        <w:t xml:space="preserve">analytic </w:t>
      </w:r>
      <w:r w:rsidR="00405259">
        <w:t xml:space="preserve">subgroups include </w:t>
      </w:r>
      <w:r w:rsidR="00534F5A" w:rsidRPr="00534F5A">
        <w:t xml:space="preserve">charter </w:t>
      </w:r>
      <w:r w:rsidR="00405259">
        <w:t xml:space="preserve">schools, </w:t>
      </w:r>
      <w:r w:rsidR="00534F5A" w:rsidRPr="00534F5A">
        <w:t xml:space="preserve">traditional public schools, elementary </w:t>
      </w:r>
      <w:r w:rsidR="00405259">
        <w:t xml:space="preserve">schools, </w:t>
      </w:r>
      <w:r w:rsidR="00534F5A" w:rsidRPr="00534F5A">
        <w:t xml:space="preserve">secondary schools, and </w:t>
      </w:r>
      <w:r w:rsidR="00405259">
        <w:t xml:space="preserve">just those </w:t>
      </w:r>
      <w:r w:rsidR="00534F5A" w:rsidRPr="00534F5A">
        <w:t>elementary schools</w:t>
      </w:r>
      <w:r w:rsidR="00405259">
        <w:t xml:space="preserve"> that offer pre-kindergarten</w:t>
      </w:r>
      <w:r w:rsidR="00D22362" w:rsidRPr="00D22362">
        <w:t>.</w:t>
      </w:r>
      <w:r w:rsidR="00405259" w:rsidRPr="00405259">
        <w:rPr>
          <w:vertAlign w:val="superscript"/>
        </w:rPr>
        <w:footnoteReference w:id="8"/>
      </w:r>
      <w:r w:rsidR="00405259">
        <w:t xml:space="preserve"> For instance, the school sample design allow</w:t>
      </w:r>
      <w:r w:rsidR="00987596">
        <w:t>s</w:t>
      </w:r>
      <w:r w:rsidR="00405259">
        <w:t xml:space="preserve"> for comparisons between charter schools and traditional public schools, providing a key source of nationally-representative data about school choice for students with disabilities. </w:t>
      </w:r>
      <w:r w:rsidR="00405259" w:rsidRPr="00405259">
        <w:t>Similarly, the school sample design allow</w:t>
      </w:r>
      <w:r w:rsidR="00987596">
        <w:t>s</w:t>
      </w:r>
      <w:r w:rsidR="00405259" w:rsidRPr="00405259">
        <w:t xml:space="preserve"> for separate nationally-representative estimates for elementary schools and secondary schools. This is important for not only for making comparisons across grade ranges but also for examining a topic like youth transition from school that is only relevant at the secondary level. Finally, combining the two strata </w:t>
      </w:r>
      <w:r w:rsidR="00987596">
        <w:t>that include</w:t>
      </w:r>
      <w:r w:rsidR="00405259" w:rsidRPr="00405259">
        <w:t xml:space="preserve"> elementary schools with pre-kindergarten allow</w:t>
      </w:r>
      <w:r w:rsidR="00987596">
        <w:t>s</w:t>
      </w:r>
      <w:r w:rsidR="00405259" w:rsidRPr="00405259">
        <w:t xml:space="preserve"> the study to examine school-level implementation of IDEA for preschool-age children with disabilities.</w:t>
      </w:r>
      <w:r w:rsidR="00405259">
        <w:t xml:space="preserve"> </w:t>
      </w:r>
      <w:r w:rsidR="00D22362" w:rsidRPr="00D22362">
        <w:t xml:space="preserve"> </w:t>
      </w:r>
    </w:p>
    <w:p w14:paraId="6D597F53" w14:textId="77777777" w:rsidR="00252E9B" w:rsidRDefault="00252E9B" w:rsidP="00252E9B">
      <w:pPr>
        <w:pStyle w:val="NormalSS"/>
      </w:pPr>
      <w:r w:rsidRPr="004D5996">
        <w:t xml:space="preserve">Charter schools and elementary schools with pre-kindergarten classes </w:t>
      </w:r>
      <w:r>
        <w:t>were</w:t>
      </w:r>
      <w:r w:rsidRPr="004D5996">
        <w:t xml:space="preserve"> oversampled to maximize precision for those subgroups. </w:t>
      </w:r>
      <w:r w:rsidRPr="00CB0758">
        <w:t>For the school selection, strata w</w:t>
      </w:r>
      <w:r>
        <w:t>ere</w:t>
      </w:r>
      <w:r w:rsidRPr="00CB0758">
        <w:t xml:space="preserve"> defined as the combination of the </w:t>
      </w:r>
      <w:r w:rsidR="00A653EB">
        <w:t xml:space="preserve">sampled </w:t>
      </w:r>
      <w:r w:rsidRPr="00CB0758">
        <w:t xml:space="preserve">district and the </w:t>
      </w:r>
      <w:r>
        <w:t>six</w:t>
      </w:r>
      <w:r w:rsidRPr="00CB0758">
        <w:t>-level school strata</w:t>
      </w:r>
      <w:r w:rsidR="00A653EB">
        <w:t>, described above</w:t>
      </w:r>
      <w:r w:rsidRPr="00CB0758">
        <w:t xml:space="preserve">. </w:t>
      </w:r>
      <w:r>
        <w:t xml:space="preserve">Therefore, </w:t>
      </w:r>
      <w:r w:rsidRPr="0097739A">
        <w:t xml:space="preserve">each district can have a minimum of </w:t>
      </w:r>
      <w:r>
        <w:t>one</w:t>
      </w:r>
      <w:r w:rsidRPr="0097739A">
        <w:t xml:space="preserve"> school stratum and a maximum of </w:t>
      </w:r>
      <w:r>
        <w:t>six school strata</w:t>
      </w:r>
      <w:r w:rsidR="00A653EB">
        <w:t xml:space="preserve">, depending on the mix of eligible schools </w:t>
      </w:r>
      <w:r w:rsidR="00C0547C">
        <w:t>located within each district</w:t>
      </w:r>
      <w:r w:rsidRPr="0097739A">
        <w:t xml:space="preserve">. </w:t>
      </w:r>
    </w:p>
    <w:p w14:paraId="1D76898B" w14:textId="77777777" w:rsidR="00252E9B" w:rsidRDefault="00252E9B" w:rsidP="00252E9B">
      <w:pPr>
        <w:pStyle w:val="NormalSS"/>
      </w:pPr>
      <w:r w:rsidRPr="001A66DE">
        <w:t>The study team select</w:t>
      </w:r>
      <w:r>
        <w:t>ed</w:t>
      </w:r>
      <w:r w:rsidRPr="001A66DE">
        <w:t xml:space="preserve"> 2,750 schools to yield at least 2,200 responding schools (80 percent). </w:t>
      </w:r>
      <w:r>
        <w:t xml:space="preserve">To achieve precision targets for </w:t>
      </w:r>
      <w:r w:rsidR="00F0606D">
        <w:t xml:space="preserve">the </w:t>
      </w:r>
      <w:r>
        <w:t xml:space="preserve">key </w:t>
      </w:r>
      <w:r w:rsidR="00F0606D">
        <w:t xml:space="preserve">analytic </w:t>
      </w:r>
      <w:r>
        <w:t xml:space="preserve">subgroups of schools, the number </w:t>
      </w:r>
      <w:r w:rsidR="00F0606D">
        <w:t xml:space="preserve">of schools </w:t>
      </w:r>
      <w:r>
        <w:t xml:space="preserve">selected from each district was determined separately for each school type. For each </w:t>
      </w:r>
      <w:r w:rsidR="00FA3BCD">
        <w:t>school stratum</w:t>
      </w:r>
      <w:r>
        <w:t>, the study team allocated the school sample across districts by initially assigning a sample size of 1 for each district where the school type is located. Then, the remaining sample for each type not already assigned was proportionally allocated by the relative size of the school stratum for that type of school in each district.</w:t>
      </w:r>
      <w:r w:rsidRPr="00F438B1">
        <w:t xml:space="preserve"> </w:t>
      </w:r>
      <w:r>
        <w:t>F</w:t>
      </w:r>
      <w:r w:rsidRPr="00F438B1">
        <w:t>or example, if a given district ha</w:t>
      </w:r>
      <w:r>
        <w:t>d</w:t>
      </w:r>
      <w:r w:rsidRPr="00F438B1">
        <w:t xml:space="preserve"> 5</w:t>
      </w:r>
      <w:r>
        <w:t xml:space="preserve"> percent</w:t>
      </w:r>
      <w:r w:rsidRPr="00F438B1">
        <w:t xml:space="preserve"> of the elementary with pre-k</w:t>
      </w:r>
      <w:r>
        <w:t>indergarten</w:t>
      </w:r>
      <w:r w:rsidRPr="00F438B1">
        <w:t xml:space="preserve"> schools, 5</w:t>
      </w:r>
      <w:r>
        <w:t xml:space="preserve"> percent</w:t>
      </w:r>
      <w:r w:rsidRPr="00F438B1">
        <w:t xml:space="preserve"> of the remaining number of </w:t>
      </w:r>
      <w:r>
        <w:t>these</w:t>
      </w:r>
      <w:r w:rsidRPr="00F438B1">
        <w:t xml:space="preserve"> schools </w:t>
      </w:r>
      <w:r>
        <w:t>was</w:t>
      </w:r>
      <w:r w:rsidRPr="00F438B1">
        <w:t xml:space="preserve"> allocated to that district</w:t>
      </w:r>
      <w:r>
        <w:t xml:space="preserve">. In the selected sample, a total of 1,433 schools were allocated in order to select a minimum of 1 school per stratum, with the remaining 1,317 schools proportionally allocated to strata. About 95 percent of districts had three or fewer school strata, and about 1 percent had the maximum of 6 school strata. </w:t>
      </w:r>
      <w:r w:rsidRPr="004D5996">
        <w:t xml:space="preserve">Schools </w:t>
      </w:r>
      <w:r>
        <w:t>were</w:t>
      </w:r>
      <w:r w:rsidRPr="004D5996">
        <w:t xml:space="preserve"> selected with equal probability within each district-school stratum combination.</w:t>
      </w:r>
    </w:p>
    <w:p w14:paraId="67874CAC" w14:textId="77777777" w:rsidR="00252E9B" w:rsidRPr="00514EEA" w:rsidRDefault="00252E9B" w:rsidP="00252E9B">
      <w:pPr>
        <w:pStyle w:val="NormalSS"/>
      </w:pPr>
      <w:r w:rsidRPr="00514EEA">
        <w:t>Table B.</w:t>
      </w:r>
      <w:r>
        <w:t>2</w:t>
      </w:r>
      <w:r w:rsidRPr="00514EEA">
        <w:t xml:space="preserve"> presents the strata details for the </w:t>
      </w:r>
      <w:r>
        <w:t>school</w:t>
      </w:r>
      <w:r w:rsidRPr="00514EEA">
        <w:t xml:space="preserve"> sample frame</w:t>
      </w:r>
      <w:r>
        <w:t xml:space="preserve"> and the selected sample</w:t>
      </w:r>
      <w:r w:rsidRPr="00514EEA">
        <w:t xml:space="preserve">. </w:t>
      </w:r>
    </w:p>
    <w:p w14:paraId="4C953EA5" w14:textId="77777777" w:rsidR="00252E9B" w:rsidRPr="00586F7E" w:rsidRDefault="00252E9B" w:rsidP="00252E9B">
      <w:pPr>
        <w:pStyle w:val="MarkforTableTitle"/>
      </w:pPr>
      <w:bookmarkStart w:id="31" w:name="_Toc508880747"/>
      <w:r w:rsidRPr="00586F7E">
        <w:t xml:space="preserve">Table </w:t>
      </w:r>
      <w:r>
        <w:t>B.2</w:t>
      </w:r>
      <w:r w:rsidRPr="00586F7E">
        <w:t xml:space="preserve">. </w:t>
      </w:r>
      <w:r>
        <w:t>School strata within district sample</w:t>
      </w:r>
      <w:bookmarkEnd w:id="31"/>
      <w:r w:rsidRPr="00586F7E">
        <w:t xml:space="preserve"> </w:t>
      </w:r>
    </w:p>
    <w:tbl>
      <w:tblPr>
        <w:tblStyle w:val="MPRBaseTable"/>
        <w:tblW w:w="5000" w:type="pct"/>
        <w:tblLook w:val="04A0" w:firstRow="1" w:lastRow="0" w:firstColumn="1" w:lastColumn="0" w:noHBand="0" w:noVBand="1"/>
      </w:tblPr>
      <w:tblGrid>
        <w:gridCol w:w="3164"/>
        <w:gridCol w:w="1674"/>
        <w:gridCol w:w="2369"/>
        <w:gridCol w:w="2369"/>
      </w:tblGrid>
      <w:tr w:rsidR="00252E9B" w:rsidRPr="005D667F" w14:paraId="339DDC18" w14:textId="77777777" w:rsidTr="001130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52" w:type="pct"/>
          </w:tcPr>
          <w:p w14:paraId="149129D1" w14:textId="77777777" w:rsidR="00252E9B" w:rsidRPr="005D667F" w:rsidRDefault="00252E9B" w:rsidP="00113057">
            <w:pPr>
              <w:pStyle w:val="TableHeaderLeft"/>
              <w:rPr>
                <w:b/>
                <w:sz w:val="17"/>
                <w:szCs w:val="17"/>
              </w:rPr>
            </w:pPr>
            <w:r w:rsidRPr="005D667F">
              <w:rPr>
                <w:b/>
                <w:sz w:val="17"/>
                <w:szCs w:val="17"/>
              </w:rPr>
              <w:t>Stratum</w:t>
            </w:r>
          </w:p>
        </w:tc>
        <w:tc>
          <w:tcPr>
            <w:tcW w:w="874" w:type="pct"/>
          </w:tcPr>
          <w:p w14:paraId="1FFE03A8" w14:textId="77777777" w:rsidR="00252E9B" w:rsidRPr="005D667F" w:rsidRDefault="00252E9B" w:rsidP="00113057">
            <w:pPr>
              <w:pStyle w:val="TableHeaderCenter"/>
              <w:cnfStyle w:val="100000000000" w:firstRow="1" w:lastRow="0" w:firstColumn="0" w:lastColumn="0" w:oddVBand="0" w:evenVBand="0" w:oddHBand="0" w:evenHBand="0" w:firstRowFirstColumn="0" w:firstRowLastColumn="0" w:lastRowFirstColumn="0" w:lastRowLastColumn="0"/>
              <w:rPr>
                <w:b/>
                <w:sz w:val="17"/>
                <w:szCs w:val="17"/>
              </w:rPr>
            </w:pPr>
            <w:r w:rsidRPr="005D667F">
              <w:rPr>
                <w:b/>
                <w:sz w:val="17"/>
                <w:szCs w:val="17"/>
              </w:rPr>
              <w:t>Sampling rate</w:t>
            </w:r>
          </w:p>
        </w:tc>
        <w:tc>
          <w:tcPr>
            <w:tcW w:w="1237" w:type="pct"/>
          </w:tcPr>
          <w:p w14:paraId="6EDEF781" w14:textId="77777777" w:rsidR="00252E9B" w:rsidRPr="005D667F" w:rsidRDefault="00252E9B" w:rsidP="00113057">
            <w:pPr>
              <w:pStyle w:val="TableHeaderCenter"/>
              <w:cnfStyle w:val="100000000000" w:firstRow="1" w:lastRow="0" w:firstColumn="0" w:lastColumn="0" w:oddVBand="0" w:evenVBand="0" w:oddHBand="0" w:evenHBand="0" w:firstRowFirstColumn="0" w:firstRowLastColumn="0" w:lastRowFirstColumn="0" w:lastRowLastColumn="0"/>
              <w:rPr>
                <w:b/>
                <w:sz w:val="17"/>
                <w:szCs w:val="17"/>
              </w:rPr>
            </w:pPr>
            <w:r w:rsidRPr="005D667F">
              <w:rPr>
                <w:b/>
                <w:sz w:val="17"/>
                <w:szCs w:val="17"/>
              </w:rPr>
              <w:t xml:space="preserve">Number of schools selected across </w:t>
            </w:r>
            <w:r w:rsidRPr="005D667F">
              <w:rPr>
                <w:b/>
                <w:sz w:val="17"/>
                <w:szCs w:val="17"/>
              </w:rPr>
              <w:br/>
              <w:t>selected districts</w:t>
            </w:r>
          </w:p>
        </w:tc>
        <w:tc>
          <w:tcPr>
            <w:tcW w:w="1237" w:type="pct"/>
          </w:tcPr>
          <w:p w14:paraId="7ACA07E5" w14:textId="77777777" w:rsidR="00252E9B" w:rsidRPr="005D667F" w:rsidRDefault="00252E9B" w:rsidP="00113057">
            <w:pPr>
              <w:pStyle w:val="TableHeaderCenter"/>
              <w:cnfStyle w:val="100000000000" w:firstRow="1" w:lastRow="0" w:firstColumn="0" w:lastColumn="0" w:oddVBand="0" w:evenVBand="0" w:oddHBand="0" w:evenHBand="0" w:firstRowFirstColumn="0" w:firstRowLastColumn="0" w:lastRowFirstColumn="0" w:lastRowLastColumn="0"/>
              <w:rPr>
                <w:b/>
                <w:sz w:val="17"/>
                <w:szCs w:val="17"/>
              </w:rPr>
            </w:pPr>
            <w:r w:rsidRPr="005D667F">
              <w:rPr>
                <w:b/>
                <w:sz w:val="17"/>
                <w:szCs w:val="17"/>
              </w:rPr>
              <w:t xml:space="preserve">Anticipated number of schools responding </w:t>
            </w:r>
            <w:r w:rsidRPr="005D667F">
              <w:rPr>
                <w:b/>
                <w:sz w:val="17"/>
                <w:szCs w:val="17"/>
              </w:rPr>
              <w:br/>
              <w:t>across selected districts</w:t>
            </w:r>
          </w:p>
        </w:tc>
      </w:tr>
      <w:tr w:rsidR="00252E9B" w:rsidRPr="005D667F" w14:paraId="6B08F640"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pct"/>
          </w:tcPr>
          <w:p w14:paraId="4A1160F5" w14:textId="77777777" w:rsidR="00252E9B" w:rsidRPr="005D667F" w:rsidRDefault="00252E9B" w:rsidP="00113057">
            <w:pPr>
              <w:pStyle w:val="TableText"/>
              <w:rPr>
                <w:rFonts w:eastAsia="Calibri" w:cs="Arial"/>
                <w:sz w:val="17"/>
                <w:szCs w:val="17"/>
              </w:rPr>
            </w:pPr>
            <w:r w:rsidRPr="005D667F">
              <w:rPr>
                <w:rFonts w:eastAsia="Calibri" w:cs="Arial"/>
                <w:sz w:val="17"/>
                <w:szCs w:val="17"/>
              </w:rPr>
              <w:t>Traditional elementary without pre-K</w:t>
            </w:r>
          </w:p>
        </w:tc>
        <w:tc>
          <w:tcPr>
            <w:tcW w:w="874" w:type="pct"/>
          </w:tcPr>
          <w:p w14:paraId="17C1617C" w14:textId="77777777" w:rsidR="00252E9B" w:rsidRPr="005D667F" w:rsidRDefault="00252E9B" w:rsidP="00113057">
            <w:pPr>
              <w:pStyle w:val="TableText"/>
              <w:ind w:right="390"/>
              <w:jc w:val="right"/>
              <w:cnfStyle w:val="000000100000" w:firstRow="0" w:lastRow="0" w:firstColumn="0" w:lastColumn="0" w:oddVBand="0" w:evenVBand="0" w:oddHBand="1" w:evenHBand="0" w:firstRowFirstColumn="0" w:firstRowLastColumn="0" w:lastRowFirstColumn="0" w:lastRowLastColumn="0"/>
              <w:rPr>
                <w:rFonts w:eastAsia="Calibri" w:cs="Arial"/>
                <w:sz w:val="17"/>
                <w:szCs w:val="17"/>
              </w:rPr>
            </w:pPr>
            <w:r w:rsidRPr="005D667F">
              <w:rPr>
                <w:rFonts w:cs="Arial"/>
                <w:color w:val="000000"/>
                <w:sz w:val="17"/>
                <w:szCs w:val="17"/>
              </w:rPr>
              <w:t>15.2%</w:t>
            </w:r>
          </w:p>
        </w:tc>
        <w:tc>
          <w:tcPr>
            <w:tcW w:w="1237" w:type="pct"/>
          </w:tcPr>
          <w:p w14:paraId="70C59AA6" w14:textId="77777777" w:rsidR="00252E9B" w:rsidRPr="005D667F" w:rsidRDefault="00252E9B" w:rsidP="00113057">
            <w:pPr>
              <w:pStyle w:val="TableText"/>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5D667F">
              <w:rPr>
                <w:rFonts w:cs="Arial"/>
                <w:color w:val="000000"/>
                <w:sz w:val="17"/>
                <w:szCs w:val="17"/>
              </w:rPr>
              <w:t>323</w:t>
            </w:r>
          </w:p>
        </w:tc>
        <w:tc>
          <w:tcPr>
            <w:tcW w:w="1237" w:type="pct"/>
          </w:tcPr>
          <w:p w14:paraId="67CAD2E1" w14:textId="77777777" w:rsidR="00252E9B" w:rsidRPr="005D667F" w:rsidRDefault="00252E9B" w:rsidP="00113057">
            <w:pPr>
              <w:pStyle w:val="TableText"/>
              <w:ind w:right="882"/>
              <w:jc w:val="right"/>
              <w:cnfStyle w:val="000000100000" w:firstRow="0" w:lastRow="0" w:firstColumn="0" w:lastColumn="0" w:oddVBand="0" w:evenVBand="0" w:oddHBand="1" w:evenHBand="0" w:firstRowFirstColumn="0" w:firstRowLastColumn="0" w:lastRowFirstColumn="0" w:lastRowLastColumn="0"/>
              <w:rPr>
                <w:rFonts w:eastAsia="Calibri" w:cs="Arial"/>
                <w:sz w:val="17"/>
                <w:szCs w:val="17"/>
              </w:rPr>
            </w:pPr>
            <w:r w:rsidRPr="005D667F">
              <w:rPr>
                <w:rFonts w:cs="Arial"/>
                <w:color w:val="000000"/>
                <w:sz w:val="17"/>
                <w:szCs w:val="17"/>
              </w:rPr>
              <w:t>258.4</w:t>
            </w:r>
          </w:p>
        </w:tc>
      </w:tr>
      <w:tr w:rsidR="00252E9B" w:rsidRPr="005D667F" w14:paraId="7D3B57DB"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pct"/>
          </w:tcPr>
          <w:p w14:paraId="51DBE066" w14:textId="77777777" w:rsidR="00252E9B" w:rsidRPr="005D667F" w:rsidRDefault="00252E9B" w:rsidP="00113057">
            <w:pPr>
              <w:pStyle w:val="TableText"/>
              <w:rPr>
                <w:rFonts w:eastAsia="Calibri" w:cs="Arial"/>
                <w:sz w:val="17"/>
                <w:szCs w:val="17"/>
              </w:rPr>
            </w:pPr>
            <w:r w:rsidRPr="005D667F">
              <w:rPr>
                <w:rFonts w:eastAsia="Calibri" w:cs="Arial"/>
                <w:sz w:val="17"/>
                <w:szCs w:val="17"/>
              </w:rPr>
              <w:t>Traditional elementary with pre-K</w:t>
            </w:r>
          </w:p>
        </w:tc>
        <w:tc>
          <w:tcPr>
            <w:tcW w:w="874" w:type="pct"/>
          </w:tcPr>
          <w:p w14:paraId="7B3C794D" w14:textId="77777777" w:rsidR="00252E9B" w:rsidRPr="005D667F" w:rsidRDefault="00252E9B" w:rsidP="00113057">
            <w:pPr>
              <w:pStyle w:val="TableText"/>
              <w:ind w:right="390"/>
              <w:jc w:val="right"/>
              <w:cnfStyle w:val="000000010000" w:firstRow="0" w:lastRow="0" w:firstColumn="0" w:lastColumn="0" w:oddVBand="0" w:evenVBand="0" w:oddHBand="0" w:evenHBand="1" w:firstRowFirstColumn="0" w:firstRowLastColumn="0" w:lastRowFirstColumn="0" w:lastRowLastColumn="0"/>
              <w:rPr>
                <w:rFonts w:eastAsia="Calibri" w:cs="Arial"/>
                <w:sz w:val="17"/>
                <w:szCs w:val="17"/>
              </w:rPr>
            </w:pPr>
            <w:r w:rsidRPr="005D667F">
              <w:rPr>
                <w:rFonts w:cs="Arial"/>
                <w:color w:val="000000"/>
                <w:sz w:val="17"/>
                <w:szCs w:val="17"/>
              </w:rPr>
              <w:t>30.4%</w:t>
            </w:r>
          </w:p>
        </w:tc>
        <w:tc>
          <w:tcPr>
            <w:tcW w:w="1237" w:type="pct"/>
          </w:tcPr>
          <w:p w14:paraId="5A066D6A" w14:textId="77777777" w:rsidR="00252E9B" w:rsidRPr="005D667F" w:rsidRDefault="00252E9B" w:rsidP="00113057">
            <w:pPr>
              <w:pStyle w:val="TableText"/>
              <w:jc w:val="center"/>
              <w:cnfStyle w:val="000000010000" w:firstRow="0" w:lastRow="0" w:firstColumn="0" w:lastColumn="0" w:oddVBand="0" w:evenVBand="0" w:oddHBand="0" w:evenHBand="1" w:firstRowFirstColumn="0" w:firstRowLastColumn="0" w:lastRowFirstColumn="0" w:lastRowLastColumn="0"/>
              <w:rPr>
                <w:rFonts w:cs="Arial"/>
                <w:sz w:val="17"/>
                <w:szCs w:val="17"/>
              </w:rPr>
            </w:pPr>
            <w:r w:rsidRPr="005D667F">
              <w:rPr>
                <w:rFonts w:cs="Arial"/>
                <w:color w:val="000000"/>
                <w:sz w:val="17"/>
                <w:szCs w:val="17"/>
              </w:rPr>
              <w:t>812</w:t>
            </w:r>
          </w:p>
        </w:tc>
        <w:tc>
          <w:tcPr>
            <w:tcW w:w="1237" w:type="pct"/>
          </w:tcPr>
          <w:p w14:paraId="43A071D2" w14:textId="77777777" w:rsidR="00252E9B" w:rsidRPr="005D667F" w:rsidRDefault="00252E9B" w:rsidP="00113057">
            <w:pPr>
              <w:pStyle w:val="TableText"/>
              <w:ind w:right="882"/>
              <w:jc w:val="right"/>
              <w:cnfStyle w:val="000000010000" w:firstRow="0" w:lastRow="0" w:firstColumn="0" w:lastColumn="0" w:oddVBand="0" w:evenVBand="0" w:oddHBand="0" w:evenHBand="1" w:firstRowFirstColumn="0" w:firstRowLastColumn="0" w:lastRowFirstColumn="0" w:lastRowLastColumn="0"/>
              <w:rPr>
                <w:rFonts w:eastAsia="Calibri" w:cs="Arial"/>
                <w:sz w:val="17"/>
                <w:szCs w:val="17"/>
              </w:rPr>
            </w:pPr>
            <w:r w:rsidRPr="005D667F">
              <w:rPr>
                <w:rFonts w:cs="Arial"/>
                <w:color w:val="000000"/>
                <w:sz w:val="17"/>
                <w:szCs w:val="17"/>
              </w:rPr>
              <w:t>649.6</w:t>
            </w:r>
          </w:p>
        </w:tc>
      </w:tr>
      <w:tr w:rsidR="00252E9B" w:rsidRPr="005D667F" w14:paraId="052A38D6"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pct"/>
          </w:tcPr>
          <w:p w14:paraId="68A67334" w14:textId="77777777" w:rsidR="00252E9B" w:rsidRPr="005D667F" w:rsidRDefault="00252E9B" w:rsidP="00113057">
            <w:pPr>
              <w:pStyle w:val="TableText"/>
              <w:rPr>
                <w:rFonts w:eastAsia="Calibri" w:cs="Arial"/>
                <w:b/>
                <w:sz w:val="17"/>
                <w:szCs w:val="17"/>
              </w:rPr>
            </w:pPr>
            <w:r w:rsidRPr="005D667F">
              <w:rPr>
                <w:rFonts w:eastAsia="Calibri" w:cs="Arial"/>
                <w:sz w:val="17"/>
                <w:szCs w:val="17"/>
              </w:rPr>
              <w:t>Traditional middle and high school</w:t>
            </w:r>
          </w:p>
        </w:tc>
        <w:tc>
          <w:tcPr>
            <w:tcW w:w="874" w:type="pct"/>
          </w:tcPr>
          <w:p w14:paraId="549E7B77" w14:textId="77777777" w:rsidR="00252E9B" w:rsidRPr="005D667F" w:rsidRDefault="00252E9B" w:rsidP="00113057">
            <w:pPr>
              <w:pStyle w:val="TableText"/>
              <w:ind w:right="390"/>
              <w:jc w:val="right"/>
              <w:cnfStyle w:val="000000100000" w:firstRow="0" w:lastRow="0" w:firstColumn="0" w:lastColumn="0" w:oddVBand="0" w:evenVBand="0" w:oddHBand="1" w:evenHBand="0" w:firstRowFirstColumn="0" w:firstRowLastColumn="0" w:lastRowFirstColumn="0" w:lastRowLastColumn="0"/>
              <w:rPr>
                <w:rFonts w:eastAsia="Calibri" w:cs="Arial"/>
                <w:sz w:val="17"/>
                <w:szCs w:val="17"/>
              </w:rPr>
            </w:pPr>
            <w:r w:rsidRPr="005D667F">
              <w:rPr>
                <w:rFonts w:cs="Arial"/>
                <w:color w:val="000000"/>
                <w:sz w:val="17"/>
                <w:szCs w:val="17"/>
              </w:rPr>
              <w:t>25.8%</w:t>
            </w:r>
          </w:p>
        </w:tc>
        <w:tc>
          <w:tcPr>
            <w:tcW w:w="1237" w:type="pct"/>
          </w:tcPr>
          <w:p w14:paraId="5EF35B72" w14:textId="77777777" w:rsidR="00252E9B" w:rsidRPr="005D667F" w:rsidRDefault="00252E9B" w:rsidP="00113057">
            <w:pPr>
              <w:pStyle w:val="TableText"/>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5D667F">
              <w:rPr>
                <w:rFonts w:cs="Arial"/>
                <w:color w:val="000000"/>
                <w:sz w:val="17"/>
                <w:szCs w:val="17"/>
              </w:rPr>
              <w:t>790</w:t>
            </w:r>
          </w:p>
        </w:tc>
        <w:tc>
          <w:tcPr>
            <w:tcW w:w="1237" w:type="pct"/>
          </w:tcPr>
          <w:p w14:paraId="39080EBD" w14:textId="77777777" w:rsidR="00252E9B" w:rsidRPr="005D667F" w:rsidRDefault="00252E9B" w:rsidP="00113057">
            <w:pPr>
              <w:pStyle w:val="TableText"/>
              <w:ind w:right="882"/>
              <w:jc w:val="right"/>
              <w:cnfStyle w:val="000000100000" w:firstRow="0" w:lastRow="0" w:firstColumn="0" w:lastColumn="0" w:oddVBand="0" w:evenVBand="0" w:oddHBand="1" w:evenHBand="0" w:firstRowFirstColumn="0" w:firstRowLastColumn="0" w:lastRowFirstColumn="0" w:lastRowLastColumn="0"/>
              <w:rPr>
                <w:rFonts w:eastAsia="Calibri" w:cs="Arial"/>
                <w:sz w:val="17"/>
                <w:szCs w:val="17"/>
              </w:rPr>
            </w:pPr>
            <w:r w:rsidRPr="005D667F">
              <w:rPr>
                <w:rFonts w:cs="Arial"/>
                <w:color w:val="000000"/>
                <w:sz w:val="17"/>
                <w:szCs w:val="17"/>
              </w:rPr>
              <w:t>632</w:t>
            </w:r>
          </w:p>
        </w:tc>
      </w:tr>
      <w:tr w:rsidR="00252E9B" w:rsidRPr="005D667F" w14:paraId="65C9CE92"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pct"/>
          </w:tcPr>
          <w:p w14:paraId="3FD32ADB" w14:textId="77777777" w:rsidR="00252E9B" w:rsidRPr="005D667F" w:rsidRDefault="00252E9B" w:rsidP="00113057">
            <w:pPr>
              <w:pStyle w:val="TableText"/>
              <w:rPr>
                <w:rFonts w:eastAsia="Calibri" w:cs="Arial"/>
                <w:sz w:val="17"/>
                <w:szCs w:val="17"/>
              </w:rPr>
            </w:pPr>
            <w:r w:rsidRPr="005D667F">
              <w:rPr>
                <w:rFonts w:eastAsia="Calibri" w:cs="Arial"/>
                <w:sz w:val="17"/>
                <w:szCs w:val="17"/>
              </w:rPr>
              <w:t>Charter elementary without pre-K</w:t>
            </w:r>
          </w:p>
        </w:tc>
        <w:tc>
          <w:tcPr>
            <w:tcW w:w="874" w:type="pct"/>
          </w:tcPr>
          <w:p w14:paraId="231FE77B" w14:textId="77777777" w:rsidR="00252E9B" w:rsidRPr="005D667F" w:rsidRDefault="00252E9B" w:rsidP="00113057">
            <w:pPr>
              <w:pStyle w:val="TableText"/>
              <w:ind w:right="390"/>
              <w:jc w:val="right"/>
              <w:cnfStyle w:val="000000010000" w:firstRow="0" w:lastRow="0" w:firstColumn="0" w:lastColumn="0" w:oddVBand="0" w:evenVBand="0" w:oddHBand="0" w:evenHBand="1" w:firstRowFirstColumn="0" w:firstRowLastColumn="0" w:lastRowFirstColumn="0" w:lastRowLastColumn="0"/>
              <w:rPr>
                <w:rFonts w:eastAsia="Calibri" w:cs="Arial"/>
                <w:sz w:val="17"/>
                <w:szCs w:val="17"/>
              </w:rPr>
            </w:pPr>
            <w:r w:rsidRPr="005D667F">
              <w:rPr>
                <w:rFonts w:cs="Arial"/>
                <w:color w:val="000000"/>
                <w:sz w:val="17"/>
                <w:szCs w:val="17"/>
              </w:rPr>
              <w:t>65.2%</w:t>
            </w:r>
          </w:p>
        </w:tc>
        <w:tc>
          <w:tcPr>
            <w:tcW w:w="1237" w:type="pct"/>
          </w:tcPr>
          <w:p w14:paraId="1A001DF2" w14:textId="77777777" w:rsidR="00252E9B" w:rsidRPr="005D667F" w:rsidRDefault="00252E9B" w:rsidP="00113057">
            <w:pPr>
              <w:pStyle w:val="TableText"/>
              <w:jc w:val="center"/>
              <w:cnfStyle w:val="000000010000" w:firstRow="0" w:lastRow="0" w:firstColumn="0" w:lastColumn="0" w:oddVBand="0" w:evenVBand="0" w:oddHBand="0" w:evenHBand="1" w:firstRowFirstColumn="0" w:firstRowLastColumn="0" w:lastRowFirstColumn="0" w:lastRowLastColumn="0"/>
              <w:rPr>
                <w:rFonts w:cs="Arial"/>
                <w:sz w:val="17"/>
                <w:szCs w:val="17"/>
              </w:rPr>
            </w:pPr>
            <w:r w:rsidRPr="005D667F">
              <w:rPr>
                <w:rFonts w:cs="Arial"/>
                <w:color w:val="000000"/>
                <w:sz w:val="17"/>
                <w:szCs w:val="17"/>
              </w:rPr>
              <w:t>377</w:t>
            </w:r>
          </w:p>
        </w:tc>
        <w:tc>
          <w:tcPr>
            <w:tcW w:w="1237" w:type="pct"/>
          </w:tcPr>
          <w:p w14:paraId="1189929A" w14:textId="77777777" w:rsidR="00252E9B" w:rsidRPr="005D667F" w:rsidRDefault="00252E9B" w:rsidP="00113057">
            <w:pPr>
              <w:pStyle w:val="TableText"/>
              <w:ind w:right="882"/>
              <w:jc w:val="right"/>
              <w:cnfStyle w:val="000000010000" w:firstRow="0" w:lastRow="0" w:firstColumn="0" w:lastColumn="0" w:oddVBand="0" w:evenVBand="0" w:oddHBand="0" w:evenHBand="1" w:firstRowFirstColumn="0" w:firstRowLastColumn="0" w:lastRowFirstColumn="0" w:lastRowLastColumn="0"/>
              <w:rPr>
                <w:rFonts w:eastAsia="Calibri" w:cs="Arial"/>
                <w:sz w:val="17"/>
                <w:szCs w:val="17"/>
              </w:rPr>
            </w:pPr>
            <w:r w:rsidRPr="005D667F">
              <w:rPr>
                <w:rFonts w:cs="Arial"/>
                <w:color w:val="000000"/>
                <w:sz w:val="17"/>
                <w:szCs w:val="17"/>
              </w:rPr>
              <w:t>301.6</w:t>
            </w:r>
          </w:p>
        </w:tc>
      </w:tr>
      <w:tr w:rsidR="00252E9B" w:rsidRPr="005D667F" w14:paraId="5338378B" w14:textId="77777777" w:rsidTr="0011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pct"/>
          </w:tcPr>
          <w:p w14:paraId="0A06B2D3" w14:textId="77777777" w:rsidR="00252E9B" w:rsidRPr="005D667F" w:rsidRDefault="00252E9B" w:rsidP="00113057">
            <w:pPr>
              <w:pStyle w:val="TableText"/>
              <w:rPr>
                <w:rFonts w:eastAsia="Calibri" w:cs="Arial"/>
                <w:sz w:val="17"/>
                <w:szCs w:val="17"/>
              </w:rPr>
            </w:pPr>
            <w:r w:rsidRPr="005D667F">
              <w:rPr>
                <w:rFonts w:eastAsia="Calibri" w:cs="Arial"/>
                <w:sz w:val="17"/>
                <w:szCs w:val="17"/>
              </w:rPr>
              <w:t>Charter elementary with pre-K</w:t>
            </w:r>
          </w:p>
        </w:tc>
        <w:tc>
          <w:tcPr>
            <w:tcW w:w="874" w:type="pct"/>
          </w:tcPr>
          <w:p w14:paraId="3E06FED3" w14:textId="77777777" w:rsidR="00252E9B" w:rsidRPr="005D667F" w:rsidRDefault="00252E9B" w:rsidP="00113057">
            <w:pPr>
              <w:pStyle w:val="TableText"/>
              <w:ind w:right="390"/>
              <w:jc w:val="right"/>
              <w:cnfStyle w:val="000000100000" w:firstRow="0" w:lastRow="0" w:firstColumn="0" w:lastColumn="0" w:oddVBand="0" w:evenVBand="0" w:oddHBand="1" w:evenHBand="0" w:firstRowFirstColumn="0" w:firstRowLastColumn="0" w:lastRowFirstColumn="0" w:lastRowLastColumn="0"/>
              <w:rPr>
                <w:rFonts w:eastAsia="Calibri" w:cs="Arial"/>
                <w:sz w:val="17"/>
                <w:szCs w:val="17"/>
              </w:rPr>
            </w:pPr>
            <w:r w:rsidRPr="005D667F">
              <w:rPr>
                <w:rFonts w:cs="Arial"/>
                <w:color w:val="000000"/>
                <w:sz w:val="17"/>
                <w:szCs w:val="17"/>
              </w:rPr>
              <w:t>100.0%</w:t>
            </w:r>
          </w:p>
        </w:tc>
        <w:tc>
          <w:tcPr>
            <w:tcW w:w="1237" w:type="pct"/>
          </w:tcPr>
          <w:p w14:paraId="2D6ACB01" w14:textId="77777777" w:rsidR="00252E9B" w:rsidRPr="005D667F" w:rsidRDefault="00252E9B" w:rsidP="00113057">
            <w:pPr>
              <w:pStyle w:val="TableText"/>
              <w:jc w:val="center"/>
              <w:cnfStyle w:val="000000100000" w:firstRow="0" w:lastRow="0" w:firstColumn="0" w:lastColumn="0" w:oddVBand="0" w:evenVBand="0" w:oddHBand="1" w:evenHBand="0" w:firstRowFirstColumn="0" w:firstRowLastColumn="0" w:lastRowFirstColumn="0" w:lastRowLastColumn="0"/>
              <w:rPr>
                <w:rFonts w:cs="Arial"/>
                <w:sz w:val="17"/>
                <w:szCs w:val="17"/>
              </w:rPr>
            </w:pPr>
            <w:r w:rsidRPr="005D667F">
              <w:rPr>
                <w:rFonts w:cs="Arial"/>
                <w:color w:val="000000"/>
                <w:sz w:val="17"/>
                <w:szCs w:val="17"/>
              </w:rPr>
              <w:t>125</w:t>
            </w:r>
          </w:p>
        </w:tc>
        <w:tc>
          <w:tcPr>
            <w:tcW w:w="1237" w:type="pct"/>
          </w:tcPr>
          <w:p w14:paraId="74FAC3D8" w14:textId="77777777" w:rsidR="00252E9B" w:rsidRPr="005D667F" w:rsidRDefault="00252E9B" w:rsidP="00113057">
            <w:pPr>
              <w:pStyle w:val="TableText"/>
              <w:ind w:right="882"/>
              <w:jc w:val="right"/>
              <w:cnfStyle w:val="000000100000" w:firstRow="0" w:lastRow="0" w:firstColumn="0" w:lastColumn="0" w:oddVBand="0" w:evenVBand="0" w:oddHBand="1" w:evenHBand="0" w:firstRowFirstColumn="0" w:firstRowLastColumn="0" w:lastRowFirstColumn="0" w:lastRowLastColumn="0"/>
              <w:rPr>
                <w:rFonts w:eastAsia="Calibri" w:cs="Arial"/>
                <w:sz w:val="17"/>
                <w:szCs w:val="17"/>
              </w:rPr>
            </w:pPr>
            <w:r w:rsidRPr="005D667F">
              <w:rPr>
                <w:rFonts w:cs="Arial"/>
                <w:color w:val="000000"/>
                <w:sz w:val="17"/>
                <w:szCs w:val="17"/>
              </w:rPr>
              <w:t>100</w:t>
            </w:r>
          </w:p>
        </w:tc>
      </w:tr>
      <w:tr w:rsidR="00252E9B" w:rsidRPr="005D667F" w14:paraId="68B47DE6" w14:textId="77777777" w:rsidTr="001130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pct"/>
          </w:tcPr>
          <w:p w14:paraId="2EB7B5ED" w14:textId="77777777" w:rsidR="00252E9B" w:rsidRPr="005D667F" w:rsidRDefault="00252E9B" w:rsidP="00113057">
            <w:pPr>
              <w:pStyle w:val="TableText"/>
              <w:rPr>
                <w:rFonts w:eastAsia="Calibri" w:cs="Arial"/>
                <w:sz w:val="17"/>
                <w:szCs w:val="17"/>
              </w:rPr>
            </w:pPr>
            <w:r w:rsidRPr="005D667F">
              <w:rPr>
                <w:rFonts w:eastAsia="Calibri" w:cs="Arial"/>
                <w:sz w:val="17"/>
                <w:szCs w:val="17"/>
              </w:rPr>
              <w:t>Charter middle and high school</w:t>
            </w:r>
          </w:p>
        </w:tc>
        <w:tc>
          <w:tcPr>
            <w:tcW w:w="874" w:type="pct"/>
          </w:tcPr>
          <w:p w14:paraId="58CB0430" w14:textId="77777777" w:rsidR="00252E9B" w:rsidRPr="005D667F" w:rsidRDefault="00252E9B" w:rsidP="00113057">
            <w:pPr>
              <w:pStyle w:val="TableText"/>
              <w:ind w:right="390"/>
              <w:jc w:val="right"/>
              <w:cnfStyle w:val="000000010000" w:firstRow="0" w:lastRow="0" w:firstColumn="0" w:lastColumn="0" w:oddVBand="0" w:evenVBand="0" w:oddHBand="0" w:evenHBand="1" w:firstRowFirstColumn="0" w:firstRowLastColumn="0" w:lastRowFirstColumn="0" w:lastRowLastColumn="0"/>
              <w:rPr>
                <w:rFonts w:eastAsia="Calibri" w:cs="Arial"/>
                <w:sz w:val="17"/>
                <w:szCs w:val="17"/>
              </w:rPr>
            </w:pPr>
            <w:r w:rsidRPr="005D667F">
              <w:rPr>
                <w:rFonts w:cs="Arial"/>
                <w:color w:val="000000"/>
                <w:sz w:val="17"/>
                <w:szCs w:val="17"/>
              </w:rPr>
              <w:t>55.5%</w:t>
            </w:r>
          </w:p>
        </w:tc>
        <w:tc>
          <w:tcPr>
            <w:tcW w:w="1237" w:type="pct"/>
          </w:tcPr>
          <w:p w14:paraId="7F6C7D06" w14:textId="77777777" w:rsidR="00252E9B" w:rsidRPr="005D667F" w:rsidRDefault="00252E9B" w:rsidP="00113057">
            <w:pPr>
              <w:pStyle w:val="TableText"/>
              <w:jc w:val="center"/>
              <w:cnfStyle w:val="000000010000" w:firstRow="0" w:lastRow="0" w:firstColumn="0" w:lastColumn="0" w:oddVBand="0" w:evenVBand="0" w:oddHBand="0" w:evenHBand="1" w:firstRowFirstColumn="0" w:firstRowLastColumn="0" w:lastRowFirstColumn="0" w:lastRowLastColumn="0"/>
              <w:rPr>
                <w:rFonts w:cs="Arial"/>
                <w:sz w:val="17"/>
                <w:szCs w:val="17"/>
              </w:rPr>
            </w:pPr>
            <w:r w:rsidRPr="005D667F">
              <w:rPr>
                <w:rFonts w:cs="Arial"/>
                <w:color w:val="000000"/>
                <w:sz w:val="17"/>
                <w:szCs w:val="17"/>
              </w:rPr>
              <w:t>323</w:t>
            </w:r>
          </w:p>
        </w:tc>
        <w:tc>
          <w:tcPr>
            <w:tcW w:w="1237" w:type="pct"/>
          </w:tcPr>
          <w:p w14:paraId="00055C59" w14:textId="77777777" w:rsidR="00252E9B" w:rsidRPr="005D667F" w:rsidRDefault="00252E9B" w:rsidP="00113057">
            <w:pPr>
              <w:pStyle w:val="TableText"/>
              <w:ind w:right="882"/>
              <w:jc w:val="right"/>
              <w:cnfStyle w:val="000000010000" w:firstRow="0" w:lastRow="0" w:firstColumn="0" w:lastColumn="0" w:oddVBand="0" w:evenVBand="0" w:oddHBand="0" w:evenHBand="1" w:firstRowFirstColumn="0" w:firstRowLastColumn="0" w:lastRowFirstColumn="0" w:lastRowLastColumn="0"/>
              <w:rPr>
                <w:rFonts w:eastAsia="Calibri" w:cs="Arial"/>
                <w:sz w:val="17"/>
                <w:szCs w:val="17"/>
              </w:rPr>
            </w:pPr>
            <w:r w:rsidRPr="005D667F">
              <w:rPr>
                <w:rFonts w:cs="Arial"/>
                <w:color w:val="000000"/>
                <w:sz w:val="17"/>
                <w:szCs w:val="17"/>
              </w:rPr>
              <w:t>258.4</w:t>
            </w:r>
          </w:p>
        </w:tc>
      </w:tr>
    </w:tbl>
    <w:p w14:paraId="6F4EC9E7" w14:textId="77777777" w:rsidR="00252E9B" w:rsidRPr="00015149" w:rsidRDefault="00252E9B" w:rsidP="00252E9B">
      <w:pPr>
        <w:pStyle w:val="NormalSS"/>
        <w:spacing w:after="0"/>
      </w:pPr>
    </w:p>
    <w:p w14:paraId="3CA49974" w14:textId="77777777" w:rsidR="00252E9B" w:rsidRDefault="00252E9B" w:rsidP="00252E9B">
      <w:pPr>
        <w:pStyle w:val="H3Alpha"/>
      </w:pPr>
      <w:bookmarkStart w:id="32" w:name="_Toc529535885"/>
      <w:r>
        <w:t>B.2.3. Estimation procedure</w:t>
      </w:r>
      <w:bookmarkEnd w:id="32"/>
    </w:p>
    <w:p w14:paraId="119FDEC5" w14:textId="77777777" w:rsidR="00252E9B" w:rsidRPr="00336E9B" w:rsidRDefault="00252E9B" w:rsidP="00252E9B">
      <w:pPr>
        <w:pStyle w:val="NormalSS"/>
      </w:pPr>
      <w:r w:rsidRPr="00336E9B">
        <w:t>The study team will use descriptive statistical methods to tabulate the data. The primary method will be to report point-in-time estimates of mean values for state, district, and school data. The analysis will also compare means for subgroups of schools and, where possible, examine trends across time. The associated standard errors for estimates will account for design effects due to weighting and clustering (for schools).</w:t>
      </w:r>
    </w:p>
    <w:p w14:paraId="3D31E70F" w14:textId="77777777" w:rsidR="00252E9B" w:rsidRPr="00336E9B" w:rsidRDefault="00252E9B" w:rsidP="00252E9B">
      <w:pPr>
        <w:pStyle w:val="Bullet"/>
      </w:pPr>
      <w:r w:rsidRPr="00336E9B">
        <w:rPr>
          <w:b/>
        </w:rPr>
        <w:t>Point-in-time estimates.</w:t>
      </w:r>
      <w:r w:rsidRPr="00336E9B">
        <w:t xml:space="preserve"> For state data, the study will report numbers of states and unweighted means. For district and school data, the study will report weighted means for survey variables and unweighted means from extant sources such as ED</w:t>
      </w:r>
      <w:r w:rsidRPr="00336E9B">
        <w:rPr>
          <w:i/>
        </w:rPr>
        <w:t>Facts</w:t>
      </w:r>
      <w:r>
        <w:rPr>
          <w:i/>
        </w:rPr>
        <w:t>,</w:t>
      </w:r>
      <w:r w:rsidRPr="00336E9B">
        <w:t xml:space="preserve"> where data exist for nearly all districts. </w:t>
      </w:r>
    </w:p>
    <w:p w14:paraId="3E7A0CD5" w14:textId="77777777" w:rsidR="00252E9B" w:rsidRPr="00336E9B" w:rsidRDefault="00252E9B" w:rsidP="00252E9B">
      <w:pPr>
        <w:pStyle w:val="Bullet"/>
      </w:pPr>
      <w:r w:rsidRPr="00336E9B">
        <w:rPr>
          <w:b/>
        </w:rPr>
        <w:t>Point-in-time estimates for school subgroups.</w:t>
      </w:r>
      <w:r w:rsidRPr="00336E9B">
        <w:t xml:space="preserve"> Subgroup analyses will provide a fuller understanding of how IDEA implementation varies across types of schools. The sampling strategy will permit the study to document (and statistically test for) differences between charter schools and traditional schools in how they identify and support children with disabilities. </w:t>
      </w:r>
      <w:r>
        <w:t>T</w:t>
      </w:r>
      <w:r w:rsidRPr="00336E9B">
        <w:t xml:space="preserve">he sampling approach will </w:t>
      </w:r>
      <w:r>
        <w:t xml:space="preserve">also </w:t>
      </w:r>
      <w:r w:rsidRPr="00336E9B">
        <w:t xml:space="preserve">allow the study team to </w:t>
      </w:r>
      <w:r>
        <w:t xml:space="preserve">make </w:t>
      </w:r>
      <w:r w:rsidRPr="00336E9B">
        <w:t>precise estimate</w:t>
      </w:r>
      <w:r>
        <w:t>s</w:t>
      </w:r>
      <w:r w:rsidRPr="00336E9B">
        <w:t xml:space="preserve"> </w:t>
      </w:r>
      <w:r>
        <w:t xml:space="preserve">of </w:t>
      </w:r>
      <w:r w:rsidRPr="00336E9B">
        <w:t>means for topics applicable only to specific school subgroups, such as on preschool inclusion policies for the subgroup of elementary schools with pre-kindergartens or on post–high school transition planning for the subgroup of secondary schools.</w:t>
      </w:r>
    </w:p>
    <w:p w14:paraId="6B4B0DCF" w14:textId="77777777" w:rsidR="00252E9B" w:rsidRPr="00336E9B" w:rsidRDefault="00252E9B" w:rsidP="00252E9B">
      <w:pPr>
        <w:pStyle w:val="BulletLastSS"/>
      </w:pPr>
      <w:r w:rsidRPr="00336E9B">
        <w:rPr>
          <w:b/>
        </w:rPr>
        <w:t>Trend analyses.</w:t>
      </w:r>
      <w:r w:rsidRPr="00336E9B">
        <w:t xml:space="preserve"> The study team will document trends relative to the IDEA-NAIS </w:t>
      </w:r>
      <w:r w:rsidR="00FC2839">
        <w:t>o</w:t>
      </w:r>
      <w:r w:rsidRPr="00336E9B">
        <w:t xml:space="preserve">n measures </w:t>
      </w:r>
      <w:r w:rsidR="00FC2839">
        <w:t xml:space="preserve">related to topics </w:t>
      </w:r>
      <w:r w:rsidRPr="00336E9B">
        <w:t xml:space="preserve">such as </w:t>
      </w:r>
      <w:r w:rsidR="00D91621">
        <w:t xml:space="preserve">the development and quality of </w:t>
      </w:r>
      <w:r w:rsidR="00FC2839">
        <w:t>individualized education program</w:t>
      </w:r>
      <w:r w:rsidR="00D91621">
        <w:t>s (IEPs)</w:t>
      </w:r>
      <w:r w:rsidR="00D91621" w:rsidDel="00D91621">
        <w:t xml:space="preserve"> </w:t>
      </w:r>
      <w:r w:rsidRPr="00336E9B">
        <w:t>, provided that the item universes and framing in the 2009 study are comparable. Comparisons will be made across select</w:t>
      </w:r>
      <w:r>
        <w:t>ed</w:t>
      </w:r>
      <w:r w:rsidRPr="00336E9B">
        <w:t xml:space="preserve"> items in the state and district surveys.</w:t>
      </w:r>
      <w:r w:rsidR="00375BB4">
        <w:t xml:space="preserve"> (The IDEA-NAIS did not include a school survey.)</w:t>
      </w:r>
    </w:p>
    <w:p w14:paraId="395DB483" w14:textId="77777777" w:rsidR="00252E9B" w:rsidRDefault="00252E9B" w:rsidP="00252E9B">
      <w:pPr>
        <w:pStyle w:val="H3Alpha"/>
      </w:pPr>
      <w:bookmarkStart w:id="33" w:name="_Toc529535886"/>
      <w:r>
        <w:t>B.2.4. Degree of accuracy needed</w:t>
      </w:r>
      <w:bookmarkEnd w:id="33"/>
    </w:p>
    <w:p w14:paraId="5AE2D83C" w14:textId="77777777" w:rsidR="00252E9B" w:rsidRPr="008A0B17" w:rsidRDefault="00252E9B" w:rsidP="00252E9B">
      <w:pPr>
        <w:pStyle w:val="NormalSS"/>
      </w:pPr>
      <w:r>
        <w:t>Given the sample design described in sections B.2.2.2 and B.2.2.3, t</w:t>
      </w:r>
      <w:r w:rsidRPr="00650868">
        <w:t xml:space="preserve">he study team estimates that the targeted sample sizes will provide </w:t>
      </w:r>
      <w:r>
        <w:t xml:space="preserve">precise, </w:t>
      </w:r>
      <w:r w:rsidRPr="00650868">
        <w:t xml:space="preserve">unbiased </w:t>
      </w:r>
      <w:r w:rsidRPr="00876DA4">
        <w:t>estimates for key indicators</w:t>
      </w:r>
      <w:r>
        <w:t xml:space="preserve"> within ±5 percentage points</w:t>
      </w:r>
      <w:r w:rsidRPr="00876DA4">
        <w:t xml:space="preserve">, </w:t>
      </w:r>
      <w:r w:rsidRPr="00650868">
        <w:t>using 95 percent confidence interval</w:t>
      </w:r>
      <w:r>
        <w:t>s. This applies to</w:t>
      </w:r>
      <w:r w:rsidRPr="00650868">
        <w:t xml:space="preserve"> school districts and schools overall</w:t>
      </w:r>
      <w:r>
        <w:t>,</w:t>
      </w:r>
      <w:r w:rsidRPr="00650868">
        <w:t xml:space="preserve"> as well as </w:t>
      </w:r>
      <w:r>
        <w:t>to</w:t>
      </w:r>
      <w:r w:rsidRPr="00650868">
        <w:t xml:space="preserve"> policy-relevant subgroups (Table B.</w:t>
      </w:r>
      <w:r>
        <w:t>3</w:t>
      </w:r>
      <w:r w:rsidRPr="00650868">
        <w:t>).</w:t>
      </w:r>
      <w:r>
        <w:t xml:space="preserve"> Table B.3 shows precision estimates for an outcome proportion of 0.5 to demonstrate the precision when the outcome variance is highest, and for an outcome proportion of 0.7 to demonstrate the precision for larger or smaller proportions. These precision estimates assume an 85 percent response rate</w:t>
      </w:r>
      <w:r w:rsidRPr="00DE360A">
        <w:t xml:space="preserve">, </w:t>
      </w:r>
      <w:r>
        <w:t>with</w:t>
      </w:r>
      <w:r w:rsidRPr="00DE360A">
        <w:t xml:space="preserve"> a </w:t>
      </w:r>
      <w:r>
        <w:t>2</w:t>
      </w:r>
      <w:r w:rsidRPr="00DE360A">
        <w:t xml:space="preserve"> percent active refusal rate </w:t>
      </w:r>
      <w:r>
        <w:t>among districts. For schools, the study team assumes an 85 percent response rate among schools whose districts responded, a 60 percent response rate among schools whose districts did not respond but did not actively refuse, and a zero percent response rate for schools whose districts actively refused. Cumulatively, this results in an estimated 80 percent response rate among all sampled schools. The precision estimates also assume a weighting design effect due to nonresponse adjustments of 1.2, a weighting design effect of 1.2 due to oversampling based on the sample design described above, an intra-cluster correlation coefficient of 0.02 for school-level estimates, and a 5 percent Type I error rate. The design effect due to the district oversampling may change slightly in the final selected sample.</w:t>
      </w:r>
    </w:p>
    <w:p w14:paraId="4B8E5D0C" w14:textId="77777777" w:rsidR="00252E9B" w:rsidRPr="00C83CAA" w:rsidRDefault="00252E9B" w:rsidP="00252E9B">
      <w:pPr>
        <w:pStyle w:val="MarkforTableTitle"/>
      </w:pPr>
      <w:bookmarkStart w:id="34" w:name="_Toc508880748"/>
      <w:r w:rsidRPr="00C83CAA">
        <w:t xml:space="preserve">Table </w:t>
      </w:r>
      <w:r>
        <w:t>B.3</w:t>
      </w:r>
      <w:r w:rsidRPr="00C83CAA">
        <w:t>. Estimated precision for district and school samples</w:t>
      </w:r>
      <w:bookmarkEnd w:id="34"/>
      <w:r w:rsidRPr="00C83CAA">
        <w:t xml:space="preserve"> </w:t>
      </w:r>
    </w:p>
    <w:tbl>
      <w:tblPr>
        <w:tblStyle w:val="LightList"/>
        <w:tblW w:w="5022" w:type="pct"/>
        <w:tblBorders>
          <w:top w:val="none" w:sz="0" w:space="0" w:color="auto"/>
          <w:left w:val="none" w:sz="0" w:space="0" w:color="auto"/>
          <w:bottom w:val="none" w:sz="0" w:space="0" w:color="auto"/>
          <w:right w:val="none" w:sz="0" w:space="0" w:color="auto"/>
        </w:tblBorders>
        <w:tblCellMar>
          <w:left w:w="115" w:type="dxa"/>
          <w:right w:w="115" w:type="dxa"/>
        </w:tblCellMar>
        <w:tblLook w:val="0620" w:firstRow="1" w:lastRow="0" w:firstColumn="0" w:lastColumn="0" w:noHBand="1" w:noVBand="1"/>
      </w:tblPr>
      <w:tblGrid>
        <w:gridCol w:w="4061"/>
        <w:gridCol w:w="1857"/>
        <w:gridCol w:w="1857"/>
        <w:gridCol w:w="1857"/>
      </w:tblGrid>
      <w:tr w:rsidR="00252E9B" w:rsidRPr="00CB0758" w14:paraId="75E50B07" w14:textId="77777777" w:rsidTr="00113057">
        <w:trPr>
          <w:cnfStyle w:val="100000000000" w:firstRow="1" w:lastRow="0" w:firstColumn="0" w:lastColumn="0" w:oddVBand="0" w:evenVBand="0" w:oddHBand="0" w:evenHBand="0" w:firstRowFirstColumn="0" w:firstRowLastColumn="0" w:lastRowFirstColumn="0" w:lastRowLastColumn="0"/>
          <w:tblHeader/>
        </w:trPr>
        <w:tc>
          <w:tcPr>
            <w:tcW w:w="2108" w:type="pct"/>
            <w:tcBorders>
              <w:top w:val="single" w:sz="8" w:space="0" w:color="FFFFFF" w:themeColor="background1"/>
              <w:left w:val="nil"/>
              <w:bottom w:val="single" w:sz="8" w:space="0" w:color="FFFFFF" w:themeColor="background1"/>
              <w:right w:val="nil"/>
            </w:tcBorders>
            <w:shd w:val="clear" w:color="auto" w:fill="595959" w:themeFill="text1" w:themeFillTint="A6"/>
            <w:vAlign w:val="bottom"/>
          </w:tcPr>
          <w:p w14:paraId="2F947ABD" w14:textId="77777777" w:rsidR="00252E9B" w:rsidRPr="00CB0758" w:rsidRDefault="00252E9B" w:rsidP="00113057">
            <w:pPr>
              <w:pStyle w:val="TableHeaderLeft"/>
              <w:rPr>
                <w:b/>
                <w:bCs w:val="0"/>
                <w:lang w:bidi="ar-SA"/>
              </w:rPr>
            </w:pPr>
            <w:r w:rsidRPr="00CB0758">
              <w:rPr>
                <w:b/>
                <w:bCs w:val="0"/>
                <w:lang w:bidi="ar-SA"/>
              </w:rPr>
              <w:t>District or school group</w:t>
            </w:r>
          </w:p>
        </w:tc>
        <w:tc>
          <w:tcPr>
            <w:tcW w:w="964" w:type="pct"/>
            <w:tcBorders>
              <w:top w:val="single" w:sz="8" w:space="0" w:color="FFFFFF" w:themeColor="background1"/>
              <w:left w:val="nil"/>
              <w:bottom w:val="single" w:sz="8" w:space="0" w:color="FFFFFF" w:themeColor="background1"/>
              <w:right w:val="nil"/>
            </w:tcBorders>
            <w:shd w:val="clear" w:color="auto" w:fill="595959" w:themeFill="text1" w:themeFillTint="A6"/>
            <w:vAlign w:val="bottom"/>
          </w:tcPr>
          <w:p w14:paraId="6E357548" w14:textId="77777777" w:rsidR="00252E9B" w:rsidRPr="00CB0758" w:rsidRDefault="00252E9B" w:rsidP="00113057">
            <w:pPr>
              <w:pStyle w:val="TableHeaderLeft"/>
              <w:jc w:val="center"/>
              <w:rPr>
                <w:b/>
                <w:bCs w:val="0"/>
                <w:lang w:bidi="ar-SA"/>
              </w:rPr>
            </w:pPr>
            <w:r w:rsidRPr="00CB0758">
              <w:rPr>
                <w:b/>
                <w:bCs w:val="0"/>
                <w:lang w:bidi="ar-SA"/>
              </w:rPr>
              <w:t>Approximate number of responding districts or schools</w:t>
            </w:r>
          </w:p>
        </w:tc>
        <w:tc>
          <w:tcPr>
            <w:tcW w:w="964" w:type="pct"/>
            <w:tcBorders>
              <w:top w:val="single" w:sz="8" w:space="0" w:color="FFFFFF" w:themeColor="background1"/>
              <w:left w:val="nil"/>
              <w:bottom w:val="single" w:sz="8" w:space="0" w:color="FFFFFF" w:themeColor="background1"/>
              <w:right w:val="nil"/>
            </w:tcBorders>
            <w:shd w:val="clear" w:color="auto" w:fill="595959" w:themeFill="text1" w:themeFillTint="A6"/>
          </w:tcPr>
          <w:p w14:paraId="13E13615" w14:textId="77777777" w:rsidR="00252E9B" w:rsidRPr="00CB0758" w:rsidRDefault="00252E9B" w:rsidP="00113057">
            <w:pPr>
              <w:pStyle w:val="TableHeaderLeft"/>
              <w:jc w:val="center"/>
              <w:rPr>
                <w:b/>
                <w:bCs w:val="0"/>
                <w:lang w:bidi="ar-SA"/>
              </w:rPr>
            </w:pPr>
            <w:r w:rsidRPr="00CB0758">
              <w:rPr>
                <w:b/>
                <w:bCs w:val="0"/>
                <w:lang w:bidi="ar-SA"/>
              </w:rPr>
              <w:t>Size in percentage points of the half</w:t>
            </w:r>
            <w:r>
              <w:rPr>
                <w:b/>
                <w:bCs w:val="0"/>
                <w:lang w:bidi="ar-SA"/>
              </w:rPr>
              <w:t>-</w:t>
            </w:r>
            <w:r w:rsidRPr="00CB0758">
              <w:rPr>
                <w:b/>
                <w:bCs w:val="0"/>
                <w:lang w:bidi="ar-SA"/>
              </w:rPr>
              <w:t>width of a 95% confidence interval for a proportion of 0.5</w:t>
            </w:r>
          </w:p>
        </w:tc>
        <w:tc>
          <w:tcPr>
            <w:tcW w:w="964" w:type="pct"/>
            <w:tcBorders>
              <w:top w:val="single" w:sz="8" w:space="0" w:color="FFFFFF" w:themeColor="background1"/>
              <w:left w:val="nil"/>
              <w:bottom w:val="single" w:sz="8" w:space="0" w:color="FFFFFF" w:themeColor="background1"/>
              <w:right w:val="nil"/>
            </w:tcBorders>
            <w:shd w:val="clear" w:color="auto" w:fill="595959" w:themeFill="text1" w:themeFillTint="A6"/>
            <w:vAlign w:val="bottom"/>
          </w:tcPr>
          <w:p w14:paraId="41E47EE6" w14:textId="77777777" w:rsidR="00252E9B" w:rsidRPr="00CB0758" w:rsidRDefault="00252E9B" w:rsidP="00113057">
            <w:pPr>
              <w:pStyle w:val="TableHeaderLeft"/>
              <w:jc w:val="center"/>
            </w:pPr>
            <w:r w:rsidRPr="001C71E1">
              <w:rPr>
                <w:b/>
              </w:rPr>
              <w:t>Size in percentage points of the half</w:t>
            </w:r>
            <w:r>
              <w:rPr>
                <w:b/>
              </w:rPr>
              <w:t>-</w:t>
            </w:r>
            <w:r w:rsidRPr="001C71E1">
              <w:rPr>
                <w:b/>
              </w:rPr>
              <w:t>width of a 95% confidence interval for a proportion of 0.</w:t>
            </w:r>
            <w:r>
              <w:rPr>
                <w:b/>
              </w:rPr>
              <w:t>7</w:t>
            </w:r>
          </w:p>
        </w:tc>
      </w:tr>
      <w:tr w:rsidR="00252E9B" w:rsidRPr="00CB0758" w14:paraId="12F0640B" w14:textId="77777777" w:rsidTr="00113057">
        <w:tc>
          <w:tcPr>
            <w:tcW w:w="2108" w:type="pct"/>
            <w:tcBorders>
              <w:left w:val="nil"/>
              <w:bottom w:val="nil"/>
              <w:right w:val="nil"/>
            </w:tcBorders>
            <w:shd w:val="clear" w:color="auto" w:fill="auto"/>
            <w:hideMark/>
          </w:tcPr>
          <w:p w14:paraId="6EE504B3" w14:textId="77777777" w:rsidR="00252E9B" w:rsidRPr="00CB0758" w:rsidRDefault="00252E9B" w:rsidP="00113057">
            <w:pPr>
              <w:pStyle w:val="TableText"/>
              <w:rPr>
                <w:lang w:bidi="ar-SA"/>
              </w:rPr>
            </w:pPr>
            <w:r w:rsidRPr="00CB0758">
              <w:rPr>
                <w:lang w:bidi="ar-SA"/>
              </w:rPr>
              <w:t>School districts (full sample)</w:t>
            </w:r>
          </w:p>
        </w:tc>
        <w:tc>
          <w:tcPr>
            <w:tcW w:w="964" w:type="pct"/>
            <w:tcBorders>
              <w:left w:val="nil"/>
              <w:bottom w:val="nil"/>
              <w:right w:val="nil"/>
            </w:tcBorders>
            <w:shd w:val="clear" w:color="auto" w:fill="auto"/>
          </w:tcPr>
          <w:p w14:paraId="62F23C4A" w14:textId="77777777" w:rsidR="00252E9B" w:rsidRPr="00CB0758" w:rsidRDefault="00252E9B" w:rsidP="00113057">
            <w:pPr>
              <w:pStyle w:val="TableText"/>
              <w:tabs>
                <w:tab w:val="decimal" w:pos="963"/>
              </w:tabs>
              <w:ind w:left="63"/>
              <w:rPr>
                <w:lang w:bidi="ar-SA"/>
              </w:rPr>
            </w:pPr>
            <w:r w:rsidRPr="00CB0758">
              <w:rPr>
                <w:lang w:bidi="ar-SA"/>
              </w:rPr>
              <w:t>5</w:t>
            </w:r>
            <w:r>
              <w:rPr>
                <w:lang w:bidi="ar-SA"/>
              </w:rPr>
              <w:t>6</w:t>
            </w:r>
            <w:r w:rsidRPr="00CB0758">
              <w:rPr>
                <w:lang w:bidi="ar-SA"/>
              </w:rPr>
              <w:t>5</w:t>
            </w:r>
          </w:p>
        </w:tc>
        <w:tc>
          <w:tcPr>
            <w:tcW w:w="964" w:type="pct"/>
            <w:tcBorders>
              <w:left w:val="nil"/>
              <w:bottom w:val="nil"/>
              <w:right w:val="nil"/>
            </w:tcBorders>
            <w:shd w:val="clear" w:color="auto" w:fill="auto"/>
          </w:tcPr>
          <w:p w14:paraId="01FFC711" w14:textId="77777777" w:rsidR="00252E9B" w:rsidRPr="00CB0758" w:rsidRDefault="00252E9B" w:rsidP="00113057">
            <w:pPr>
              <w:pStyle w:val="TableText"/>
              <w:tabs>
                <w:tab w:val="decimal" w:pos="770"/>
              </w:tabs>
              <w:ind w:left="63"/>
              <w:rPr>
                <w:lang w:bidi="ar-SA"/>
              </w:rPr>
            </w:pPr>
            <w:r>
              <w:rPr>
                <w:lang w:bidi="ar-SA"/>
              </w:rPr>
              <w:t>5.0</w:t>
            </w:r>
          </w:p>
        </w:tc>
        <w:tc>
          <w:tcPr>
            <w:tcW w:w="964" w:type="pct"/>
            <w:tcBorders>
              <w:left w:val="nil"/>
              <w:bottom w:val="nil"/>
              <w:right w:val="nil"/>
            </w:tcBorders>
          </w:tcPr>
          <w:p w14:paraId="4C848508" w14:textId="77777777" w:rsidR="00252E9B" w:rsidRPr="00CB0758" w:rsidRDefault="00252E9B" w:rsidP="00113057">
            <w:pPr>
              <w:pStyle w:val="TableText"/>
              <w:tabs>
                <w:tab w:val="decimal" w:pos="847"/>
              </w:tabs>
              <w:ind w:left="63"/>
            </w:pPr>
            <w:r>
              <w:t>4.6</w:t>
            </w:r>
          </w:p>
        </w:tc>
      </w:tr>
      <w:tr w:rsidR="00252E9B" w:rsidRPr="00CB0758" w14:paraId="55FD3D40" w14:textId="77777777" w:rsidTr="00113057">
        <w:tc>
          <w:tcPr>
            <w:tcW w:w="2108" w:type="pct"/>
            <w:shd w:val="clear" w:color="auto" w:fill="auto"/>
            <w:hideMark/>
          </w:tcPr>
          <w:p w14:paraId="2B3AC633" w14:textId="77777777" w:rsidR="00252E9B" w:rsidRPr="00CB0758" w:rsidRDefault="00252E9B" w:rsidP="00113057">
            <w:pPr>
              <w:pStyle w:val="TableText"/>
              <w:rPr>
                <w:lang w:bidi="ar-SA"/>
              </w:rPr>
            </w:pPr>
            <w:r w:rsidRPr="00CB0758">
              <w:rPr>
                <w:lang w:bidi="ar-SA"/>
              </w:rPr>
              <w:t xml:space="preserve">Schools (full sample) </w:t>
            </w:r>
          </w:p>
        </w:tc>
        <w:tc>
          <w:tcPr>
            <w:tcW w:w="964" w:type="pct"/>
            <w:shd w:val="clear" w:color="auto" w:fill="auto"/>
          </w:tcPr>
          <w:p w14:paraId="08D261F4" w14:textId="77777777" w:rsidR="00252E9B" w:rsidRPr="00CB0758" w:rsidRDefault="00252E9B" w:rsidP="00113057">
            <w:pPr>
              <w:pStyle w:val="TableText"/>
              <w:tabs>
                <w:tab w:val="decimal" w:pos="963"/>
              </w:tabs>
              <w:ind w:left="63"/>
              <w:rPr>
                <w:lang w:bidi="ar-SA"/>
              </w:rPr>
            </w:pPr>
            <w:r w:rsidRPr="00CB0758">
              <w:rPr>
                <w:lang w:bidi="ar-SA"/>
              </w:rPr>
              <w:t>2,200</w:t>
            </w:r>
          </w:p>
        </w:tc>
        <w:tc>
          <w:tcPr>
            <w:tcW w:w="964" w:type="pct"/>
            <w:shd w:val="clear" w:color="auto" w:fill="auto"/>
          </w:tcPr>
          <w:p w14:paraId="0A0495CD" w14:textId="77777777" w:rsidR="00252E9B" w:rsidRPr="00CB0758" w:rsidRDefault="00252E9B" w:rsidP="00113057">
            <w:pPr>
              <w:pStyle w:val="TableText"/>
              <w:tabs>
                <w:tab w:val="decimal" w:pos="770"/>
              </w:tabs>
              <w:ind w:left="63"/>
              <w:rPr>
                <w:lang w:bidi="ar-SA"/>
              </w:rPr>
            </w:pPr>
            <w:r w:rsidRPr="00CB0758">
              <w:t>3.4</w:t>
            </w:r>
          </w:p>
        </w:tc>
        <w:tc>
          <w:tcPr>
            <w:tcW w:w="964" w:type="pct"/>
          </w:tcPr>
          <w:p w14:paraId="6CF389E0" w14:textId="77777777" w:rsidR="00252E9B" w:rsidRPr="00CB0758" w:rsidRDefault="00252E9B" w:rsidP="00113057">
            <w:pPr>
              <w:pStyle w:val="TableText"/>
              <w:tabs>
                <w:tab w:val="decimal" w:pos="847"/>
              </w:tabs>
              <w:ind w:left="63"/>
            </w:pPr>
            <w:r>
              <w:t>3.1</w:t>
            </w:r>
          </w:p>
        </w:tc>
      </w:tr>
      <w:tr w:rsidR="00252E9B" w:rsidRPr="00CB0758" w14:paraId="60AE4D03" w14:textId="77777777" w:rsidTr="00113057">
        <w:tc>
          <w:tcPr>
            <w:tcW w:w="2108" w:type="pct"/>
            <w:shd w:val="clear" w:color="auto" w:fill="auto"/>
            <w:hideMark/>
          </w:tcPr>
          <w:p w14:paraId="6F23A939" w14:textId="77777777" w:rsidR="00252E9B" w:rsidRPr="00CB0758" w:rsidRDefault="00252E9B" w:rsidP="00113057">
            <w:pPr>
              <w:pStyle w:val="TableText"/>
              <w:rPr>
                <w:lang w:bidi="ar-SA"/>
              </w:rPr>
            </w:pPr>
            <w:r w:rsidRPr="00CB0758">
              <w:rPr>
                <w:lang w:bidi="ar-SA"/>
              </w:rPr>
              <w:t xml:space="preserve">Elementary schools with pre-kindergarten </w:t>
            </w:r>
          </w:p>
        </w:tc>
        <w:tc>
          <w:tcPr>
            <w:tcW w:w="964" w:type="pct"/>
            <w:shd w:val="clear" w:color="auto" w:fill="auto"/>
          </w:tcPr>
          <w:p w14:paraId="461FDBE7" w14:textId="77777777" w:rsidR="00252E9B" w:rsidRPr="00CB0758" w:rsidRDefault="00252E9B" w:rsidP="00113057">
            <w:pPr>
              <w:pStyle w:val="TableText"/>
              <w:tabs>
                <w:tab w:val="decimal" w:pos="963"/>
              </w:tabs>
              <w:ind w:left="63"/>
              <w:rPr>
                <w:lang w:bidi="ar-SA"/>
              </w:rPr>
            </w:pPr>
            <w:r w:rsidRPr="00CB0758">
              <w:rPr>
                <w:lang w:bidi="ar-SA"/>
              </w:rPr>
              <w:t>750</w:t>
            </w:r>
          </w:p>
        </w:tc>
        <w:tc>
          <w:tcPr>
            <w:tcW w:w="964" w:type="pct"/>
            <w:shd w:val="clear" w:color="auto" w:fill="auto"/>
          </w:tcPr>
          <w:p w14:paraId="4F4411D9" w14:textId="77777777" w:rsidR="00252E9B" w:rsidRPr="00CB0758" w:rsidRDefault="00252E9B" w:rsidP="00113057">
            <w:pPr>
              <w:pStyle w:val="TableText"/>
              <w:tabs>
                <w:tab w:val="decimal" w:pos="770"/>
              </w:tabs>
              <w:ind w:left="63"/>
              <w:rPr>
                <w:lang w:bidi="ar-SA"/>
              </w:rPr>
            </w:pPr>
            <w:r w:rsidRPr="00CB0758">
              <w:rPr>
                <w:lang w:bidi="ar-SA"/>
              </w:rPr>
              <w:t>5.1</w:t>
            </w:r>
          </w:p>
        </w:tc>
        <w:tc>
          <w:tcPr>
            <w:tcW w:w="964" w:type="pct"/>
          </w:tcPr>
          <w:p w14:paraId="016D7F03" w14:textId="77777777" w:rsidR="00252E9B" w:rsidRPr="00CB0758" w:rsidRDefault="00252E9B" w:rsidP="00113057">
            <w:pPr>
              <w:pStyle w:val="TableText"/>
              <w:tabs>
                <w:tab w:val="decimal" w:pos="847"/>
              </w:tabs>
              <w:ind w:left="63"/>
            </w:pPr>
            <w:r>
              <w:t>4.6</w:t>
            </w:r>
          </w:p>
        </w:tc>
      </w:tr>
      <w:tr w:rsidR="00252E9B" w:rsidRPr="00CB0758" w14:paraId="294960E9" w14:textId="77777777" w:rsidTr="00113057">
        <w:tc>
          <w:tcPr>
            <w:tcW w:w="2108" w:type="pct"/>
            <w:shd w:val="clear" w:color="auto" w:fill="auto"/>
            <w:hideMark/>
          </w:tcPr>
          <w:p w14:paraId="19CD4B67" w14:textId="77777777" w:rsidR="00252E9B" w:rsidRPr="00CB0758" w:rsidRDefault="00252E9B" w:rsidP="00113057">
            <w:pPr>
              <w:pStyle w:val="TableText"/>
              <w:rPr>
                <w:lang w:bidi="ar-SA"/>
              </w:rPr>
            </w:pPr>
            <w:r w:rsidRPr="00CB0758">
              <w:rPr>
                <w:lang w:bidi="ar-SA"/>
              </w:rPr>
              <w:t>Elementary schools (all)</w:t>
            </w:r>
          </w:p>
        </w:tc>
        <w:tc>
          <w:tcPr>
            <w:tcW w:w="964" w:type="pct"/>
            <w:shd w:val="clear" w:color="auto" w:fill="auto"/>
          </w:tcPr>
          <w:p w14:paraId="73D26F27" w14:textId="77777777" w:rsidR="00252E9B" w:rsidRPr="00CB0758" w:rsidRDefault="00252E9B" w:rsidP="00113057">
            <w:pPr>
              <w:pStyle w:val="TableText"/>
              <w:tabs>
                <w:tab w:val="decimal" w:pos="963"/>
              </w:tabs>
              <w:ind w:left="63"/>
              <w:rPr>
                <w:lang w:bidi="ar-SA"/>
              </w:rPr>
            </w:pPr>
            <w:r w:rsidRPr="00CB0758">
              <w:rPr>
                <w:lang w:bidi="ar-SA"/>
              </w:rPr>
              <w:t>1,310</w:t>
            </w:r>
          </w:p>
        </w:tc>
        <w:tc>
          <w:tcPr>
            <w:tcW w:w="964" w:type="pct"/>
            <w:shd w:val="clear" w:color="auto" w:fill="auto"/>
          </w:tcPr>
          <w:p w14:paraId="6AFF28F8" w14:textId="77777777" w:rsidR="00252E9B" w:rsidRPr="00CB0758" w:rsidRDefault="00252E9B" w:rsidP="00113057">
            <w:pPr>
              <w:pStyle w:val="TableText"/>
              <w:tabs>
                <w:tab w:val="decimal" w:pos="770"/>
              </w:tabs>
              <w:ind w:left="63"/>
              <w:rPr>
                <w:lang w:bidi="ar-SA"/>
              </w:rPr>
            </w:pPr>
            <w:r w:rsidRPr="00CB0758">
              <w:rPr>
                <w:lang w:bidi="ar-SA"/>
              </w:rPr>
              <w:t>4.7</w:t>
            </w:r>
          </w:p>
        </w:tc>
        <w:tc>
          <w:tcPr>
            <w:tcW w:w="964" w:type="pct"/>
          </w:tcPr>
          <w:p w14:paraId="59D3B165" w14:textId="77777777" w:rsidR="00252E9B" w:rsidRPr="00CB0758" w:rsidRDefault="00252E9B" w:rsidP="00113057">
            <w:pPr>
              <w:pStyle w:val="TableText"/>
              <w:tabs>
                <w:tab w:val="decimal" w:pos="847"/>
              </w:tabs>
              <w:ind w:left="63"/>
            </w:pPr>
            <w:r>
              <w:t>4.3</w:t>
            </w:r>
          </w:p>
        </w:tc>
      </w:tr>
      <w:tr w:rsidR="00252E9B" w:rsidRPr="00CB0758" w14:paraId="158CDC9D" w14:textId="77777777" w:rsidTr="00113057">
        <w:trPr>
          <w:trHeight w:val="135"/>
        </w:trPr>
        <w:tc>
          <w:tcPr>
            <w:tcW w:w="2108" w:type="pct"/>
            <w:shd w:val="clear" w:color="auto" w:fill="auto"/>
            <w:hideMark/>
          </w:tcPr>
          <w:p w14:paraId="7F178FBA" w14:textId="77777777" w:rsidR="00252E9B" w:rsidRPr="00CB0758" w:rsidRDefault="00252E9B" w:rsidP="00113057">
            <w:pPr>
              <w:pStyle w:val="TableText"/>
              <w:rPr>
                <w:lang w:bidi="ar-SA"/>
              </w:rPr>
            </w:pPr>
            <w:r w:rsidRPr="00CB0758">
              <w:rPr>
                <w:lang w:bidi="ar-SA"/>
              </w:rPr>
              <w:t>Secondary schools (all)</w:t>
            </w:r>
          </w:p>
        </w:tc>
        <w:tc>
          <w:tcPr>
            <w:tcW w:w="964" w:type="pct"/>
            <w:shd w:val="clear" w:color="auto" w:fill="auto"/>
          </w:tcPr>
          <w:p w14:paraId="45F1BE8B" w14:textId="77777777" w:rsidR="00252E9B" w:rsidRPr="00CB0758" w:rsidRDefault="00252E9B" w:rsidP="00113057">
            <w:pPr>
              <w:pStyle w:val="TableText"/>
              <w:tabs>
                <w:tab w:val="decimal" w:pos="963"/>
              </w:tabs>
              <w:ind w:left="63"/>
              <w:rPr>
                <w:lang w:bidi="ar-SA"/>
              </w:rPr>
            </w:pPr>
            <w:r w:rsidRPr="00CB0758">
              <w:rPr>
                <w:lang w:bidi="ar-SA"/>
              </w:rPr>
              <w:t>890</w:t>
            </w:r>
          </w:p>
        </w:tc>
        <w:tc>
          <w:tcPr>
            <w:tcW w:w="964" w:type="pct"/>
            <w:shd w:val="clear" w:color="auto" w:fill="auto"/>
          </w:tcPr>
          <w:p w14:paraId="6627AA98" w14:textId="77777777" w:rsidR="00252E9B" w:rsidRPr="00CB0758" w:rsidRDefault="00252E9B" w:rsidP="00113057">
            <w:pPr>
              <w:pStyle w:val="TableText"/>
              <w:tabs>
                <w:tab w:val="decimal" w:pos="770"/>
              </w:tabs>
              <w:ind w:left="63"/>
              <w:rPr>
                <w:lang w:bidi="ar-SA"/>
              </w:rPr>
            </w:pPr>
            <w:r w:rsidRPr="00CB0758">
              <w:rPr>
                <w:lang w:bidi="ar-SA"/>
              </w:rPr>
              <w:t>4.5</w:t>
            </w:r>
          </w:p>
        </w:tc>
        <w:tc>
          <w:tcPr>
            <w:tcW w:w="964" w:type="pct"/>
          </w:tcPr>
          <w:p w14:paraId="1AC869BB" w14:textId="77777777" w:rsidR="00252E9B" w:rsidRPr="00CB0758" w:rsidRDefault="00252E9B" w:rsidP="00113057">
            <w:pPr>
              <w:pStyle w:val="TableText"/>
              <w:tabs>
                <w:tab w:val="decimal" w:pos="847"/>
              </w:tabs>
              <w:ind w:left="63"/>
            </w:pPr>
            <w:r>
              <w:t>4.1</w:t>
            </w:r>
          </w:p>
        </w:tc>
      </w:tr>
      <w:tr w:rsidR="00252E9B" w:rsidRPr="00CB0758" w14:paraId="4EE2B275" w14:textId="77777777" w:rsidTr="00113057">
        <w:tc>
          <w:tcPr>
            <w:tcW w:w="2108" w:type="pct"/>
            <w:tcBorders>
              <w:top w:val="nil"/>
              <w:left w:val="nil"/>
              <w:bottom w:val="single" w:sz="4" w:space="0" w:color="auto"/>
              <w:right w:val="nil"/>
            </w:tcBorders>
            <w:shd w:val="clear" w:color="auto" w:fill="auto"/>
            <w:hideMark/>
          </w:tcPr>
          <w:p w14:paraId="57F836EB" w14:textId="77777777" w:rsidR="00252E9B" w:rsidRPr="00CB0758" w:rsidRDefault="00252E9B" w:rsidP="00113057">
            <w:pPr>
              <w:pStyle w:val="TableText"/>
              <w:rPr>
                <w:lang w:bidi="ar-SA"/>
              </w:rPr>
            </w:pPr>
            <w:r w:rsidRPr="00CB0758">
              <w:rPr>
                <w:lang w:bidi="ar-SA"/>
              </w:rPr>
              <w:t>Charter schools</w:t>
            </w:r>
          </w:p>
        </w:tc>
        <w:tc>
          <w:tcPr>
            <w:tcW w:w="964" w:type="pct"/>
            <w:tcBorders>
              <w:top w:val="nil"/>
              <w:left w:val="nil"/>
              <w:bottom w:val="single" w:sz="4" w:space="0" w:color="auto"/>
              <w:right w:val="nil"/>
            </w:tcBorders>
            <w:shd w:val="clear" w:color="auto" w:fill="auto"/>
          </w:tcPr>
          <w:p w14:paraId="685FC4F0" w14:textId="77777777" w:rsidR="00252E9B" w:rsidRPr="00CB0758" w:rsidRDefault="00252E9B" w:rsidP="00113057">
            <w:pPr>
              <w:pStyle w:val="TableText"/>
              <w:tabs>
                <w:tab w:val="decimal" w:pos="963"/>
              </w:tabs>
              <w:ind w:left="63"/>
              <w:rPr>
                <w:lang w:bidi="ar-SA"/>
              </w:rPr>
            </w:pPr>
            <w:r w:rsidRPr="00CB0758">
              <w:rPr>
                <w:lang w:bidi="ar-SA"/>
              </w:rPr>
              <w:t>660</w:t>
            </w:r>
          </w:p>
        </w:tc>
        <w:tc>
          <w:tcPr>
            <w:tcW w:w="964" w:type="pct"/>
            <w:tcBorders>
              <w:top w:val="nil"/>
              <w:left w:val="nil"/>
              <w:bottom w:val="single" w:sz="4" w:space="0" w:color="auto"/>
              <w:right w:val="nil"/>
            </w:tcBorders>
            <w:shd w:val="clear" w:color="auto" w:fill="auto"/>
          </w:tcPr>
          <w:p w14:paraId="3D1316C9" w14:textId="77777777" w:rsidR="00252E9B" w:rsidRPr="00CB0758" w:rsidRDefault="00252E9B" w:rsidP="00113057">
            <w:pPr>
              <w:pStyle w:val="TableText"/>
              <w:tabs>
                <w:tab w:val="decimal" w:pos="770"/>
              </w:tabs>
              <w:ind w:left="63"/>
              <w:rPr>
                <w:lang w:bidi="ar-SA"/>
              </w:rPr>
            </w:pPr>
            <w:r w:rsidRPr="00CB0758">
              <w:rPr>
                <w:lang w:bidi="ar-SA"/>
              </w:rPr>
              <w:t>5.5</w:t>
            </w:r>
          </w:p>
        </w:tc>
        <w:tc>
          <w:tcPr>
            <w:tcW w:w="964" w:type="pct"/>
            <w:tcBorders>
              <w:top w:val="nil"/>
              <w:left w:val="nil"/>
              <w:bottom w:val="single" w:sz="4" w:space="0" w:color="auto"/>
              <w:right w:val="nil"/>
            </w:tcBorders>
          </w:tcPr>
          <w:p w14:paraId="205DF091" w14:textId="77777777" w:rsidR="00252E9B" w:rsidRPr="00CB0758" w:rsidRDefault="00252E9B" w:rsidP="00113057">
            <w:pPr>
              <w:pStyle w:val="TableText"/>
              <w:tabs>
                <w:tab w:val="decimal" w:pos="847"/>
              </w:tabs>
              <w:ind w:left="63"/>
            </w:pPr>
            <w:r>
              <w:t>5.0</w:t>
            </w:r>
          </w:p>
        </w:tc>
      </w:tr>
    </w:tbl>
    <w:p w14:paraId="69E50CCA" w14:textId="77777777" w:rsidR="00252E9B" w:rsidRPr="00C83CAA" w:rsidRDefault="00252E9B" w:rsidP="00252E9B">
      <w:pPr>
        <w:pStyle w:val="NormalSS"/>
        <w:spacing w:after="0"/>
      </w:pPr>
    </w:p>
    <w:p w14:paraId="13289CDE" w14:textId="77777777" w:rsidR="00252E9B" w:rsidRDefault="00252E9B" w:rsidP="00252E9B">
      <w:pPr>
        <w:pStyle w:val="H3Alpha"/>
      </w:pPr>
      <w:bookmarkStart w:id="35" w:name="_Toc529535887"/>
      <w:r>
        <w:t>B.2.5. Unusual problems requiring specialized sampling procedures</w:t>
      </w:r>
      <w:bookmarkEnd w:id="35"/>
    </w:p>
    <w:p w14:paraId="1816B150" w14:textId="77777777" w:rsidR="00252E9B" w:rsidRPr="00806BA2" w:rsidRDefault="00252E9B" w:rsidP="00252E9B">
      <w:pPr>
        <w:pStyle w:val="NormalSS"/>
        <w:rPr>
          <w:szCs w:val="24"/>
        </w:rPr>
      </w:pPr>
      <w:r w:rsidRPr="00C60FB3">
        <w:rPr>
          <w:szCs w:val="24"/>
        </w:rPr>
        <w:t xml:space="preserve">There are no unusual problems that require specialized sampling procedures. </w:t>
      </w:r>
    </w:p>
    <w:p w14:paraId="399D1A89" w14:textId="77777777" w:rsidR="00252E9B" w:rsidRDefault="00252E9B" w:rsidP="00252E9B">
      <w:pPr>
        <w:pStyle w:val="H3Alpha"/>
      </w:pPr>
      <w:bookmarkStart w:id="36" w:name="_Toc529535888"/>
      <w:r>
        <w:t>B.2.6. Use of periodic data collection cycles to reduce burden</w:t>
      </w:r>
      <w:bookmarkEnd w:id="36"/>
    </w:p>
    <w:p w14:paraId="5B0FD6C1" w14:textId="77777777" w:rsidR="00252E9B" w:rsidRPr="00806BA2" w:rsidRDefault="00252E9B" w:rsidP="00252E9B">
      <w:pPr>
        <w:pStyle w:val="NormalSS"/>
      </w:pPr>
      <w:r>
        <w:t>The data collection will require up to one hour per survey in fall 2019. The study might collect data again in 2022</w:t>
      </w:r>
      <w:r w:rsidR="0025522E">
        <w:t xml:space="preserve"> if there are relevant </w:t>
      </w:r>
      <w:r w:rsidR="00DB6FA0">
        <w:rPr>
          <w:szCs w:val="24"/>
        </w:rPr>
        <w:t>judicial, legislative, and/or regulatory developments that may have implications for how states and local agencies are implementing services under IDEA</w:t>
      </w:r>
      <w:r>
        <w:t xml:space="preserve">. </w:t>
      </w:r>
      <w:r w:rsidR="006C3595">
        <w:t xml:space="preserve">In that case, collecting a second round of data would provide up-to-date information to </w:t>
      </w:r>
      <w:r w:rsidR="006C3595" w:rsidRPr="00DD5A32">
        <w:rPr>
          <w:szCs w:val="24"/>
        </w:rPr>
        <w:t>ED, Congress, and other stakeholders</w:t>
      </w:r>
      <w:r w:rsidR="006C3595">
        <w:rPr>
          <w:szCs w:val="24"/>
        </w:rPr>
        <w:t>.</w:t>
      </w:r>
      <w:r w:rsidR="006C3595">
        <w:t xml:space="preserve"> </w:t>
      </w:r>
      <w:r>
        <w:t>If IES proceeds with the second round</w:t>
      </w:r>
      <w:r w:rsidR="00375BB4">
        <w:t xml:space="preserve"> of data collection in 2022</w:t>
      </w:r>
      <w:r>
        <w:t xml:space="preserve">, it will submit a separate package requesting OMB clearance for the follow-up surveys. </w:t>
      </w:r>
    </w:p>
    <w:p w14:paraId="09AE93EA" w14:textId="77777777" w:rsidR="00252E9B" w:rsidRDefault="00252E9B" w:rsidP="00252E9B">
      <w:pPr>
        <w:pStyle w:val="H2Chapter"/>
      </w:pPr>
      <w:bookmarkStart w:id="37" w:name="_Toc529535889"/>
      <w:r>
        <w:t>B.3. Methods to Maximize Response Rates and Deal with Nonresponse</w:t>
      </w:r>
      <w:bookmarkEnd w:id="37"/>
    </w:p>
    <w:p w14:paraId="096D3DC5" w14:textId="77777777" w:rsidR="00252E9B" w:rsidRDefault="00252E9B" w:rsidP="00252E9B">
      <w:pPr>
        <w:pStyle w:val="H3Alpha"/>
      </w:pPr>
      <w:bookmarkStart w:id="38" w:name="_Toc529535890"/>
      <w:r>
        <w:t>B.3.1. Maximizing response rates</w:t>
      </w:r>
      <w:bookmarkEnd w:id="38"/>
    </w:p>
    <w:p w14:paraId="3EE7662A" w14:textId="77777777" w:rsidR="00252E9B" w:rsidRPr="00B13836" w:rsidRDefault="00252E9B" w:rsidP="00252E9B">
      <w:pPr>
        <w:pStyle w:val="NormalSS"/>
      </w:pPr>
      <w:r>
        <w:t>S</w:t>
      </w:r>
      <w:r w:rsidRPr="00E360BF">
        <w:t xml:space="preserve">o </w:t>
      </w:r>
      <w:r>
        <w:t xml:space="preserve">that </w:t>
      </w:r>
      <w:r w:rsidRPr="00E360BF">
        <w:t>response rates</w:t>
      </w:r>
      <w:r w:rsidRPr="00937F53">
        <w:t xml:space="preserve"> </w:t>
      </w:r>
      <w:r>
        <w:t xml:space="preserve">are </w:t>
      </w:r>
      <w:r w:rsidRPr="00E360BF">
        <w:t>maximize</w:t>
      </w:r>
      <w:r>
        <w:t>d</w:t>
      </w:r>
      <w:r w:rsidRPr="00E360BF">
        <w:t xml:space="preserve">, </w:t>
      </w:r>
      <w:r>
        <w:t xml:space="preserve">state, </w:t>
      </w:r>
      <w:r w:rsidRPr="00E360BF">
        <w:t>district</w:t>
      </w:r>
      <w:r>
        <w:t>,</w:t>
      </w:r>
      <w:r w:rsidRPr="00E360BF">
        <w:t xml:space="preserve"> and school sample members will receive email</w:t>
      </w:r>
      <w:r>
        <w:t xml:space="preserve"> reminder</w:t>
      </w:r>
      <w:r w:rsidRPr="00E360BF">
        <w:t xml:space="preserve">s </w:t>
      </w:r>
      <w:r>
        <w:t xml:space="preserve">every two weeks for the first six weeks </w:t>
      </w:r>
      <w:r w:rsidRPr="00E360BF">
        <w:t xml:space="preserve">and </w:t>
      </w:r>
      <w:r>
        <w:t xml:space="preserve">then </w:t>
      </w:r>
      <w:r w:rsidRPr="00E360BF">
        <w:t xml:space="preserve">phone calls </w:t>
      </w:r>
      <w:r>
        <w:t>each week thereafter</w:t>
      </w:r>
      <w:r w:rsidRPr="00E360BF">
        <w:t xml:space="preserve">. </w:t>
      </w:r>
      <w:r w:rsidRPr="00F6053D">
        <w:t>For district-level nonrespondents, toward the end of the field period</w:t>
      </w:r>
      <w:r>
        <w:t>,</w:t>
      </w:r>
      <w:r w:rsidRPr="00F6053D">
        <w:t xml:space="preserve"> </w:t>
      </w:r>
      <w:r>
        <w:t>the study team</w:t>
      </w:r>
      <w:r w:rsidRPr="00F6053D">
        <w:t xml:space="preserve"> will seek assistance from</w:t>
      </w:r>
      <w:r>
        <w:t xml:space="preserve"> the</w:t>
      </w:r>
      <w:r w:rsidRPr="00F6053D">
        <w:t xml:space="preserve"> state </w:t>
      </w:r>
      <w:r>
        <w:t xml:space="preserve">special education directors and IDEA Part B program for preschool-age children  </w:t>
      </w:r>
      <w:r w:rsidRPr="00F6053D">
        <w:t xml:space="preserve">coordinators to encourage district sample members to participate. </w:t>
      </w:r>
      <w:r>
        <w:t>T</w:t>
      </w:r>
      <w:r w:rsidRPr="00F6053D">
        <w:t xml:space="preserve">he state coordinators </w:t>
      </w:r>
      <w:r>
        <w:t>will be</w:t>
      </w:r>
      <w:r w:rsidRPr="00F6053D">
        <w:t xml:space="preserve"> ask</w:t>
      </w:r>
      <w:r>
        <w:t>ed</w:t>
      </w:r>
      <w:r w:rsidRPr="00F6053D">
        <w:t xml:space="preserve"> to send a</w:t>
      </w:r>
      <w:r>
        <w:t>n</w:t>
      </w:r>
      <w:r w:rsidRPr="00F6053D">
        <w:t xml:space="preserve"> email (or make a phone call, if they prefer) to district </w:t>
      </w:r>
      <w:r>
        <w:t xml:space="preserve">special education directors or district IDEA Part B program for preschool-age children  </w:t>
      </w:r>
      <w:r w:rsidRPr="00F6053D">
        <w:t>coordinators to help convince them of the value and importance of cooperating with the study. Similarly, at the end of the field period</w:t>
      </w:r>
      <w:r>
        <w:t>,</w:t>
      </w:r>
      <w:r w:rsidRPr="00F6053D">
        <w:t xml:space="preserve"> </w:t>
      </w:r>
      <w:r>
        <w:t>the study team</w:t>
      </w:r>
      <w:r w:rsidRPr="00F6053D">
        <w:t xml:space="preserve"> will seek support from the district-level special education </w:t>
      </w:r>
      <w:r>
        <w:t>directors</w:t>
      </w:r>
      <w:r w:rsidRPr="00F6053D">
        <w:t xml:space="preserve"> who completed the district survey to send a</w:t>
      </w:r>
      <w:r>
        <w:t xml:space="preserve">n </w:t>
      </w:r>
      <w:r w:rsidRPr="00F6053D">
        <w:t>email (or make a phone call) encourag</w:t>
      </w:r>
      <w:r>
        <w:t>ing</w:t>
      </w:r>
      <w:r w:rsidRPr="00F6053D">
        <w:t xml:space="preserve"> nonresponding </w:t>
      </w:r>
      <w:r>
        <w:t xml:space="preserve">schools in their district </w:t>
      </w:r>
      <w:r w:rsidRPr="00F6053D">
        <w:t xml:space="preserve">to participate. Finally, for those who have not completed the web survey within the final three weeks of the field period, </w:t>
      </w:r>
      <w:r>
        <w:t>the study team</w:t>
      </w:r>
      <w:r w:rsidRPr="00F6053D">
        <w:t xml:space="preserve"> will provide a hard-copy instrument </w:t>
      </w:r>
      <w:r>
        <w:t>and offer</w:t>
      </w:r>
      <w:r w:rsidRPr="00F6053D">
        <w:t xml:space="preserve"> to conduct the survey by telephone. </w:t>
      </w:r>
    </w:p>
    <w:p w14:paraId="4E472A8E" w14:textId="77777777" w:rsidR="00252E9B" w:rsidRDefault="00252E9B" w:rsidP="00252E9B">
      <w:pPr>
        <w:pStyle w:val="H3Alpha"/>
      </w:pPr>
      <w:bookmarkStart w:id="39" w:name="_Toc529535891"/>
      <w:r>
        <w:t>B.3.2. Weighting the district and school samples</w:t>
      </w:r>
      <w:bookmarkEnd w:id="39"/>
    </w:p>
    <w:p w14:paraId="1B386680" w14:textId="77777777" w:rsidR="00252E9B" w:rsidRDefault="00252E9B" w:rsidP="00252E9B">
      <w:pPr>
        <w:pStyle w:val="NormalSS"/>
      </w:pPr>
      <w:r w:rsidRPr="00A9673E">
        <w:t xml:space="preserve">For district and school data, </w:t>
      </w:r>
      <w:r>
        <w:t>the study</w:t>
      </w:r>
      <w:r w:rsidRPr="00A9673E">
        <w:t xml:space="preserve"> will report weighted means for survey variables.</w:t>
      </w:r>
      <w:r>
        <w:t xml:space="preserve"> </w:t>
      </w:r>
      <w:r w:rsidRPr="007E3134">
        <w:t>As described above, for state data, the study will report numbers of states and unweighted means.</w:t>
      </w:r>
    </w:p>
    <w:p w14:paraId="5DC0F8F7" w14:textId="77777777" w:rsidR="00252E9B" w:rsidRDefault="00252E9B" w:rsidP="00252E9B">
      <w:pPr>
        <w:pStyle w:val="NormalSS"/>
      </w:pPr>
      <w:r>
        <w:t xml:space="preserve">The sampling weight for each selected district will be the inverse of its selection probability, which will vary across strata and district size. The measure of district size is a transformation of the number of schools in the district (Section </w:t>
      </w:r>
      <w:r w:rsidRPr="00F829AC">
        <w:t>B.2.2.2</w:t>
      </w:r>
      <w:r>
        <w:t xml:space="preserve">). The sum of the sampling weights across selected districts will approximately equal the total measure of size for all districts (selected and unselected) within each stratum. </w:t>
      </w:r>
    </w:p>
    <w:p w14:paraId="4F1C0BF9" w14:textId="77777777" w:rsidR="00252E9B" w:rsidRDefault="00252E9B" w:rsidP="00252E9B">
      <w:pPr>
        <w:pStyle w:val="NormalSS"/>
      </w:pPr>
      <w:r>
        <w:t xml:space="preserve">The sampling weight for each selected school will be the inverse of the school’s </w:t>
      </w:r>
      <w:r w:rsidRPr="000431B7">
        <w:rPr>
          <w:i/>
        </w:rPr>
        <w:t>cumulative probability</w:t>
      </w:r>
      <w:r>
        <w:rPr>
          <w:i/>
        </w:rPr>
        <w:t>,</w:t>
      </w:r>
      <w:r>
        <w:t xml:space="preserve"> </w:t>
      </w:r>
      <w:r w:rsidRPr="00D65270">
        <w:t>defined as the product of its district selection probability and its selection probability within its school stratum within its district.</w:t>
      </w:r>
      <w:r>
        <w:t xml:space="preserve"> The s</w:t>
      </w:r>
      <w:r w:rsidRPr="00D65270">
        <w:t xml:space="preserve">chool sampling weights will approximately sum to the total number of schools of each type for districts in their district stratum. </w:t>
      </w:r>
    </w:p>
    <w:p w14:paraId="02042D0C" w14:textId="77777777" w:rsidR="00252E9B" w:rsidRDefault="00252E9B" w:rsidP="00252E9B">
      <w:pPr>
        <w:pStyle w:val="NormalSS"/>
      </w:pPr>
      <w:r>
        <w:t xml:space="preserve">High response rates (85 percent of districts and 80 percent of schools) are expected, and the study team will adjust the sampling weights to further </w:t>
      </w:r>
      <w:r w:rsidRPr="000502AD">
        <w:t xml:space="preserve">reduce the potential effect of nonresponse bias due to differential response patterns. To do so, </w:t>
      </w:r>
      <w:r>
        <w:t>the team</w:t>
      </w:r>
      <w:r w:rsidRPr="000502AD">
        <w:t xml:space="preserve"> will first identify a set of characteristics </w:t>
      </w:r>
      <w:r>
        <w:t xml:space="preserve">on the CCD district and school files </w:t>
      </w:r>
      <w:r w:rsidRPr="000502AD">
        <w:t>that are associated with the likelihood of response.</w:t>
      </w:r>
      <w:r>
        <w:rPr>
          <w:rStyle w:val="FootnoteReference"/>
        </w:rPr>
        <w:footnoteReference w:id="9"/>
      </w:r>
      <w:r w:rsidRPr="000502AD">
        <w:t xml:space="preserve"> </w:t>
      </w:r>
      <w:r>
        <w:t>Then they will estimate r</w:t>
      </w:r>
      <w:r w:rsidRPr="000502AD">
        <w:t xml:space="preserve">esponse propensities by fitting logistic regression models with response as the outcome variable and the identified characteristics as the predictors. Response propensities estimate the likelihood that districts or schools with similar characteristics responded to the survey. </w:t>
      </w:r>
      <w:r>
        <w:t>The response propensities will be converted into five weighting classes, where each class is defined as one quintile of the response propensity score distribution. A</w:t>
      </w:r>
      <w:r w:rsidRPr="000502AD">
        <w:t xml:space="preserve"> weighting class adjustment </w:t>
      </w:r>
      <w:r>
        <w:t>will be used</w:t>
      </w:r>
      <w:r w:rsidRPr="000502AD">
        <w:t xml:space="preserve"> to account for the nonrespondents</w:t>
      </w:r>
      <w:r>
        <w:t>’ sampling weights</w:t>
      </w:r>
      <w:r w:rsidRPr="000502AD">
        <w:t xml:space="preserve"> in each cell. A school’s district does not need to respond in order for the school to respond, so the nonresponse adjustment for the districts will be independent of the nonresponse adjustment for schools, though an indicator for district response </w:t>
      </w:r>
      <w:r>
        <w:t>will</w:t>
      </w:r>
      <w:r w:rsidRPr="000502AD">
        <w:t xml:space="preserve"> be included in the response propensity model for schools.</w:t>
      </w:r>
      <w:r>
        <w:t xml:space="preserve"> The study team</w:t>
      </w:r>
      <w:r w:rsidRPr="000502AD">
        <w:t xml:space="preserve"> </w:t>
      </w:r>
      <w:r>
        <w:t xml:space="preserve">will </w:t>
      </w:r>
      <w:r w:rsidRPr="000502AD">
        <w:t xml:space="preserve">examine the distribution of the nonresponse-adjusted district and school weights to assess the need for weight trimming, and implement a trimming procedure if needed. </w:t>
      </w:r>
    </w:p>
    <w:p w14:paraId="7540D3D0" w14:textId="77777777" w:rsidR="00252E9B" w:rsidRPr="000502AD" w:rsidRDefault="00252E9B" w:rsidP="00252E9B">
      <w:pPr>
        <w:pStyle w:val="NormalSS"/>
      </w:pPr>
      <w:r w:rsidRPr="000502AD">
        <w:t>The final stage of the weighting process will be a post</w:t>
      </w:r>
      <w:r>
        <w:t>-</w:t>
      </w:r>
      <w:r w:rsidRPr="000502AD">
        <w:t xml:space="preserve">stratification adjustment to align the weights with known population totals, by multiplying the nonresponse-adjusted weights by a constant within each </w:t>
      </w:r>
      <w:r>
        <w:t>post-</w:t>
      </w:r>
      <w:r w:rsidRPr="000502AD">
        <w:t xml:space="preserve">stratum. For districts, </w:t>
      </w:r>
      <w:r>
        <w:t>the study team</w:t>
      </w:r>
      <w:r w:rsidRPr="000502AD">
        <w:t xml:space="preserve"> will post</w:t>
      </w:r>
      <w:r>
        <w:t>-</w:t>
      </w:r>
      <w:r w:rsidRPr="000502AD">
        <w:t xml:space="preserve">stratify the weights within the same strata used for sampling, which </w:t>
      </w:r>
      <w:r>
        <w:t>include</w:t>
      </w:r>
      <w:r w:rsidRPr="000502AD">
        <w:t xml:space="preserve"> </w:t>
      </w:r>
      <w:r w:rsidRPr="006F4397">
        <w:t>census region (Northeast, South, Midwest, West), urbanicity (urban, suburban, town/rural area), and total enrollment (above/below median enrollment for each urbanicity type)</w:t>
      </w:r>
      <w:r>
        <w:t xml:space="preserve">. The team will also include an indicator for districts that require research applications in the post-stratification adjustment. </w:t>
      </w:r>
      <w:r w:rsidRPr="000502AD">
        <w:t xml:space="preserve">For schools, </w:t>
      </w:r>
      <w:r>
        <w:t>the study team</w:t>
      </w:r>
      <w:r w:rsidRPr="000502AD">
        <w:t xml:space="preserve"> will post</w:t>
      </w:r>
      <w:r>
        <w:t>-</w:t>
      </w:r>
      <w:r w:rsidRPr="000502AD">
        <w:t xml:space="preserve">stratify to the population totals for </w:t>
      </w:r>
      <w:r>
        <w:t>(1) traditional</w:t>
      </w:r>
      <w:r w:rsidRPr="000502AD">
        <w:t xml:space="preserve"> elementary with pre</w:t>
      </w:r>
      <w:r>
        <w:t>-K</w:t>
      </w:r>
      <w:r w:rsidRPr="000502AD">
        <w:t xml:space="preserve">, </w:t>
      </w:r>
      <w:r>
        <w:t>(2) traditional</w:t>
      </w:r>
      <w:r w:rsidRPr="000502AD">
        <w:t xml:space="preserve"> elementary</w:t>
      </w:r>
      <w:r>
        <w:t xml:space="preserve"> </w:t>
      </w:r>
      <w:r w:rsidRPr="000502AD">
        <w:t>without pre-</w:t>
      </w:r>
      <w:r>
        <w:t>K</w:t>
      </w:r>
      <w:r w:rsidRPr="000502AD">
        <w:t xml:space="preserve">, </w:t>
      </w:r>
      <w:r>
        <w:t>(3) traditional</w:t>
      </w:r>
      <w:r w:rsidRPr="000502AD">
        <w:t xml:space="preserve"> middle and high, and </w:t>
      </w:r>
      <w:r>
        <w:t xml:space="preserve">(4) </w:t>
      </w:r>
      <w:r w:rsidRPr="000502AD">
        <w:t>charter.</w:t>
      </w:r>
      <w:r>
        <w:t xml:space="preserve"> The team will also explore the use of an indicator for district-level nonresponse. To conduct the analyses, the study team will use </w:t>
      </w:r>
      <w:r w:rsidRPr="00DD1019">
        <w:t xml:space="preserve">a statistical package with survey analysis procedures to calculate accurate estimates of the standard errors </w:t>
      </w:r>
      <w:r>
        <w:t>that take</w:t>
      </w:r>
      <w:r w:rsidRPr="00DD1019">
        <w:t xml:space="preserve"> into account the complex sample designs and the weights</w:t>
      </w:r>
      <w:r>
        <w:t>.</w:t>
      </w:r>
    </w:p>
    <w:p w14:paraId="530AC415" w14:textId="77777777" w:rsidR="00252E9B" w:rsidRDefault="00252E9B" w:rsidP="00252E9B">
      <w:pPr>
        <w:pStyle w:val="H2Chapter"/>
      </w:pPr>
      <w:bookmarkStart w:id="40" w:name="_Toc529535892"/>
      <w:r>
        <w:t>B.4. Tests of Procedures or Methods to be Undertaken</w:t>
      </w:r>
      <w:bookmarkEnd w:id="40"/>
    </w:p>
    <w:p w14:paraId="5F112B39" w14:textId="3A151CBC" w:rsidR="005457C1" w:rsidRDefault="00252E9B" w:rsidP="00252E9B">
      <w:pPr>
        <w:pStyle w:val="NormalSS"/>
      </w:pPr>
      <w:r>
        <w:t>The study team has</w:t>
      </w:r>
      <w:r w:rsidRPr="00B84C31">
        <w:t xml:space="preserve"> </w:t>
      </w:r>
      <w:r>
        <w:t>solicited</w:t>
      </w:r>
      <w:r w:rsidRPr="00B84C31">
        <w:t xml:space="preserve"> feedback on the surveys from several groups. </w:t>
      </w:r>
      <w:r>
        <w:t xml:space="preserve">First, Trent Buskirk, the director of the Center for Survey Research at the University of Massachusetts Boston, reviewed and provided input on the sampling plan. Second, the technical working group (TWG) </w:t>
      </w:r>
      <w:r w:rsidRPr="00B84C31">
        <w:t>members</w:t>
      </w:r>
      <w:r>
        <w:t>—</w:t>
      </w:r>
      <w:r w:rsidRPr="00B84C31">
        <w:t>researchers and practitioners with substantial experience in IDEA policy</w:t>
      </w:r>
      <w:r>
        <w:t>—provided feedback on the survey content</w:t>
      </w:r>
      <w:r w:rsidRPr="00B84C31">
        <w:t xml:space="preserve">. </w:t>
      </w:r>
      <w:r>
        <w:t>Third</w:t>
      </w:r>
      <w:r w:rsidRPr="00B84C31">
        <w:t xml:space="preserve">, IES </w:t>
      </w:r>
      <w:r>
        <w:t>gathered</w:t>
      </w:r>
      <w:r w:rsidRPr="00B84C31">
        <w:t xml:space="preserve"> feedback from staff members in</w:t>
      </w:r>
      <w:r>
        <w:t xml:space="preserve"> other ED offices, such as the Office of Special Education Programs</w:t>
      </w:r>
      <w:r w:rsidRPr="00B84C31">
        <w:t xml:space="preserve">. </w:t>
      </w:r>
      <w:r>
        <w:t>Fourth</w:t>
      </w:r>
      <w:r w:rsidRPr="00B84C31">
        <w:t>, the instruments</w:t>
      </w:r>
      <w:r>
        <w:t xml:space="preserve"> </w:t>
      </w:r>
      <w:r w:rsidR="005457C1">
        <w:t xml:space="preserve">were </w:t>
      </w:r>
      <w:r>
        <w:t>pretested in parallel to submission</w:t>
      </w:r>
      <w:r w:rsidRPr="00B84C31">
        <w:t xml:space="preserve"> </w:t>
      </w:r>
      <w:r>
        <w:t>of the</w:t>
      </w:r>
      <w:r w:rsidRPr="00312562">
        <w:t xml:space="preserve"> </w:t>
      </w:r>
      <w:r>
        <w:t xml:space="preserve">OMB package. </w:t>
      </w:r>
      <w:r w:rsidR="0052785B" w:rsidRPr="0052785B">
        <w:t xml:space="preserve">Details of the pretest approach are provided below.  </w:t>
      </w:r>
    </w:p>
    <w:p w14:paraId="30B4227E" w14:textId="515B90E4" w:rsidR="00AF2D05" w:rsidRDefault="005457C1" w:rsidP="00AF2D05">
      <w:pPr>
        <w:pStyle w:val="NormalSS"/>
      </w:pPr>
      <w:r>
        <w:t xml:space="preserve">The </w:t>
      </w:r>
      <w:r w:rsidR="009418DE">
        <w:t xml:space="preserve">study team recruited 3-4 respondents to pretest each of the surveys by completing the survey and participating in a debriefing interview. Pretest respondents came from a range of states, districts, and school types. </w:t>
      </w:r>
      <w:r w:rsidR="0052785B" w:rsidRPr="0052785B">
        <w:t xml:space="preserve">Two rounds of pretests were conducted to allow for retesting the revisions that resulted from the first round of pretests. </w:t>
      </w:r>
      <w:r w:rsidR="009418DE">
        <w:t>As a result of pretesting, t</w:t>
      </w:r>
      <w:r w:rsidR="0052785B" w:rsidRPr="0052785B">
        <w:t>he surveys were revised to: (1) clarify text that was unclear, (2) add response options that were missing, (3) reorder questions to ensure the surveys were logically organized, (4) change question formats to reduce burden on respondents, and (5) remove survey items that were too difficult to answer or provide lower priority information, in order to decrease the overall burden of the survey</w:t>
      </w:r>
      <w:r w:rsidR="00AF2D05" w:rsidRPr="00AF2D05">
        <w:t>.</w:t>
      </w:r>
    </w:p>
    <w:p w14:paraId="10235DB7" w14:textId="77777777" w:rsidR="00252E9B" w:rsidRDefault="00252E9B" w:rsidP="00252E9B">
      <w:pPr>
        <w:pStyle w:val="H2Chapter"/>
      </w:pPr>
      <w:bookmarkStart w:id="41" w:name="_Toc529535893"/>
      <w:r>
        <w:t>B.5. Individuals Consulted on Statistical Aspects of the design and on Collecting and/or Analyzing Data</w:t>
      </w:r>
      <w:bookmarkEnd w:id="41"/>
    </w:p>
    <w:p w14:paraId="37CEEFC7" w14:textId="77777777" w:rsidR="00252E9B" w:rsidRDefault="00252E9B" w:rsidP="00252E9B">
      <w:pPr>
        <w:pStyle w:val="MarkforTableTitle"/>
      </w:pPr>
      <w:bookmarkStart w:id="42" w:name="_Toc415834338"/>
      <w:bookmarkStart w:id="43" w:name="_Toc499119259"/>
      <w:bookmarkStart w:id="44" w:name="_Toc508880749"/>
      <w:r w:rsidRPr="001D61E6">
        <w:t xml:space="preserve">Table </w:t>
      </w:r>
      <w:r>
        <w:t>B.4.</w:t>
      </w:r>
      <w:r w:rsidRPr="001D61E6">
        <w:t xml:space="preserve"> </w:t>
      </w:r>
      <w:r>
        <w:t>Individuals consulted on study design</w:t>
      </w:r>
      <w:bookmarkEnd w:id="42"/>
      <w:bookmarkEnd w:id="43"/>
      <w:bookmarkEnd w:id="44"/>
    </w:p>
    <w:tbl>
      <w:tblPr>
        <w:tblStyle w:val="SMPRTableBlack"/>
        <w:tblW w:w="5000" w:type="pct"/>
        <w:tblInd w:w="0" w:type="dxa"/>
        <w:tblLook w:val="04A0" w:firstRow="1" w:lastRow="0" w:firstColumn="1" w:lastColumn="0" w:noHBand="0" w:noVBand="1"/>
      </w:tblPr>
      <w:tblGrid>
        <w:gridCol w:w="4051"/>
        <w:gridCol w:w="5525"/>
      </w:tblGrid>
      <w:tr w:rsidR="00252E9B" w:rsidRPr="00733A84" w14:paraId="3D46B2D6" w14:textId="77777777" w:rsidTr="00113057">
        <w:trPr>
          <w:cnfStyle w:val="100000000000" w:firstRow="1" w:lastRow="0" w:firstColumn="0" w:lastColumn="0" w:oddVBand="0" w:evenVBand="0" w:oddHBand="0" w:evenHBand="0" w:firstRowFirstColumn="0" w:firstRowLastColumn="0" w:lastRowFirstColumn="0" w:lastRowLastColumn="0"/>
          <w:tblHeader/>
        </w:trPr>
        <w:tc>
          <w:tcPr>
            <w:tcW w:w="2115" w:type="pct"/>
            <w:tcBorders>
              <w:top w:val="nil"/>
              <w:bottom w:val="nil"/>
            </w:tcBorders>
            <w:shd w:val="clear" w:color="auto" w:fill="6C6F70"/>
          </w:tcPr>
          <w:p w14:paraId="18D164E9" w14:textId="77777777" w:rsidR="00252E9B" w:rsidRPr="00733A84" w:rsidRDefault="00252E9B" w:rsidP="00113057">
            <w:pPr>
              <w:pStyle w:val="TableHeaderLeft"/>
            </w:pPr>
            <w:r w:rsidRPr="00733A84">
              <w:t>Name</w:t>
            </w:r>
          </w:p>
        </w:tc>
        <w:tc>
          <w:tcPr>
            <w:tcW w:w="2885" w:type="pct"/>
            <w:tcBorders>
              <w:top w:val="nil"/>
              <w:bottom w:val="nil"/>
            </w:tcBorders>
            <w:shd w:val="clear" w:color="auto" w:fill="6C6F70"/>
          </w:tcPr>
          <w:p w14:paraId="3418FA4A" w14:textId="77777777" w:rsidR="00252E9B" w:rsidRPr="00733A84" w:rsidRDefault="00252E9B" w:rsidP="00113057">
            <w:pPr>
              <w:pStyle w:val="TableHeaderCenter"/>
            </w:pPr>
            <w:r w:rsidRPr="00733A84">
              <w:t xml:space="preserve">Title and </w:t>
            </w:r>
            <w:r>
              <w:t>a</w:t>
            </w:r>
            <w:r w:rsidRPr="00733A84">
              <w:t>ffiliation</w:t>
            </w:r>
          </w:p>
        </w:tc>
      </w:tr>
      <w:tr w:rsidR="00252E9B" w:rsidRPr="005453A8" w14:paraId="3FF8263A" w14:textId="77777777" w:rsidTr="00113057">
        <w:tc>
          <w:tcPr>
            <w:tcW w:w="2115" w:type="pct"/>
            <w:tcBorders>
              <w:top w:val="nil"/>
            </w:tcBorders>
          </w:tcPr>
          <w:p w14:paraId="5C47A04B" w14:textId="77777777" w:rsidR="00252E9B" w:rsidRDefault="00252E9B" w:rsidP="00113057">
            <w:pPr>
              <w:pStyle w:val="TableText"/>
              <w:spacing w:before="60" w:after="60"/>
            </w:pPr>
            <w:r>
              <w:t>Barbara Carlson</w:t>
            </w:r>
          </w:p>
        </w:tc>
        <w:tc>
          <w:tcPr>
            <w:tcW w:w="2885" w:type="pct"/>
            <w:tcBorders>
              <w:top w:val="nil"/>
            </w:tcBorders>
          </w:tcPr>
          <w:p w14:paraId="42DD544F" w14:textId="77777777" w:rsidR="00252E9B" w:rsidRDefault="00252E9B" w:rsidP="00113057">
            <w:pPr>
              <w:pStyle w:val="TableText"/>
              <w:spacing w:before="60" w:after="60"/>
            </w:pPr>
            <w:r>
              <w:t>Associate Director and Senior Statistician, Mathematica</w:t>
            </w:r>
          </w:p>
        </w:tc>
      </w:tr>
      <w:tr w:rsidR="00252E9B" w:rsidRPr="005453A8" w14:paraId="4EE03B91" w14:textId="77777777" w:rsidTr="00113057">
        <w:tc>
          <w:tcPr>
            <w:tcW w:w="2115" w:type="pct"/>
          </w:tcPr>
          <w:p w14:paraId="2DDF5C82" w14:textId="77777777" w:rsidR="00252E9B" w:rsidRDefault="00252E9B" w:rsidP="00113057">
            <w:pPr>
              <w:pStyle w:val="TableText"/>
              <w:spacing w:before="60" w:after="60"/>
            </w:pPr>
            <w:r>
              <w:t>Jared Coopersmith</w:t>
            </w:r>
          </w:p>
        </w:tc>
        <w:tc>
          <w:tcPr>
            <w:tcW w:w="2885" w:type="pct"/>
          </w:tcPr>
          <w:p w14:paraId="6CECAE1B" w14:textId="77777777" w:rsidR="00252E9B" w:rsidRDefault="00252E9B" w:rsidP="00113057">
            <w:pPr>
              <w:pStyle w:val="TableText"/>
              <w:spacing w:before="60" w:after="60"/>
            </w:pPr>
            <w:r>
              <w:t>Statistician</w:t>
            </w:r>
            <w:r w:rsidRPr="0092322D">
              <w:t>, Mathematica</w:t>
            </w:r>
          </w:p>
        </w:tc>
      </w:tr>
      <w:tr w:rsidR="00252E9B" w:rsidRPr="005453A8" w14:paraId="733D561C" w14:textId="77777777" w:rsidTr="00113057">
        <w:tc>
          <w:tcPr>
            <w:tcW w:w="2115" w:type="pct"/>
          </w:tcPr>
          <w:p w14:paraId="0B5A09F6" w14:textId="77777777" w:rsidR="00252E9B" w:rsidDel="00416BDB" w:rsidRDefault="00252E9B" w:rsidP="00113057">
            <w:pPr>
              <w:pStyle w:val="TableText"/>
              <w:spacing w:before="60" w:after="60"/>
            </w:pPr>
            <w:r w:rsidRPr="00EC2104">
              <w:t>Trent Buskirk</w:t>
            </w:r>
          </w:p>
        </w:tc>
        <w:tc>
          <w:tcPr>
            <w:tcW w:w="2885" w:type="pct"/>
          </w:tcPr>
          <w:p w14:paraId="183CE581" w14:textId="77777777" w:rsidR="00252E9B" w:rsidDel="00416BDB" w:rsidRDefault="00252E9B" w:rsidP="00113057">
            <w:pPr>
              <w:pStyle w:val="TableText"/>
              <w:spacing w:before="60" w:after="60"/>
            </w:pPr>
            <w:r>
              <w:t>Director, Center for Survey Research, University of Massachusetts Boston</w:t>
            </w:r>
          </w:p>
        </w:tc>
      </w:tr>
      <w:tr w:rsidR="00252E9B" w:rsidRPr="005453A8" w14:paraId="345E5FE7" w14:textId="77777777" w:rsidTr="00113057">
        <w:tc>
          <w:tcPr>
            <w:tcW w:w="2115" w:type="pct"/>
          </w:tcPr>
          <w:p w14:paraId="131D5E9F" w14:textId="77777777" w:rsidR="00252E9B" w:rsidRDefault="00252E9B" w:rsidP="00113057">
            <w:pPr>
              <w:pStyle w:val="TableText"/>
              <w:spacing w:before="60" w:after="60"/>
            </w:pPr>
          </w:p>
        </w:tc>
        <w:tc>
          <w:tcPr>
            <w:tcW w:w="2885" w:type="pct"/>
          </w:tcPr>
          <w:p w14:paraId="68C3A358" w14:textId="77777777" w:rsidR="00252E9B" w:rsidRDefault="00252E9B" w:rsidP="00113057">
            <w:pPr>
              <w:pStyle w:val="TableText"/>
              <w:spacing w:before="60" w:after="60"/>
            </w:pPr>
          </w:p>
        </w:tc>
      </w:tr>
      <w:tr w:rsidR="00252E9B" w:rsidRPr="005453A8" w14:paraId="75F93BCA" w14:textId="77777777" w:rsidTr="00113057">
        <w:tc>
          <w:tcPr>
            <w:tcW w:w="2115" w:type="pct"/>
          </w:tcPr>
          <w:p w14:paraId="23920134" w14:textId="77777777" w:rsidR="00252E9B" w:rsidRPr="005F62D1" w:rsidDel="00E73534" w:rsidRDefault="00252E9B" w:rsidP="00113057">
            <w:pPr>
              <w:pStyle w:val="TableText"/>
              <w:spacing w:before="60" w:after="60"/>
              <w:rPr>
                <w:highlight w:val="yellow"/>
              </w:rPr>
            </w:pPr>
            <w:r w:rsidRPr="00DE7615">
              <w:rPr>
                <w:rFonts w:cs="Arial"/>
                <w:szCs w:val="18"/>
              </w:rPr>
              <w:t>Carl Beck</w:t>
            </w:r>
          </w:p>
        </w:tc>
        <w:tc>
          <w:tcPr>
            <w:tcW w:w="2885" w:type="pct"/>
          </w:tcPr>
          <w:p w14:paraId="3344EB07" w14:textId="77777777" w:rsidR="00252E9B" w:rsidRDefault="00252E9B" w:rsidP="00113057">
            <w:pPr>
              <w:pStyle w:val="TableText"/>
              <w:spacing w:before="60" w:after="60"/>
            </w:pPr>
            <w:r w:rsidRPr="004027E3">
              <w:rPr>
                <w:rFonts w:cs="Arial"/>
                <w:szCs w:val="18"/>
              </w:rPr>
              <w:t>Preschool Coordinator</w:t>
            </w:r>
            <w:r w:rsidRPr="0080785A">
              <w:rPr>
                <w:rFonts w:cs="Arial"/>
                <w:szCs w:val="18"/>
              </w:rPr>
              <w:t>, Pennsylvania Department of Education and Welfare</w:t>
            </w:r>
          </w:p>
        </w:tc>
      </w:tr>
      <w:tr w:rsidR="00252E9B" w:rsidRPr="005453A8" w14:paraId="03E3CC61" w14:textId="77777777" w:rsidTr="00113057">
        <w:tc>
          <w:tcPr>
            <w:tcW w:w="2115" w:type="pct"/>
          </w:tcPr>
          <w:p w14:paraId="7577A2D3" w14:textId="77777777" w:rsidR="00252E9B" w:rsidRPr="005F62D1" w:rsidDel="00E73534" w:rsidRDefault="00252E9B" w:rsidP="00113057">
            <w:pPr>
              <w:pStyle w:val="TableText"/>
              <w:spacing w:before="60" w:after="60"/>
              <w:rPr>
                <w:highlight w:val="yellow"/>
              </w:rPr>
            </w:pPr>
            <w:r w:rsidRPr="00DE7615">
              <w:rPr>
                <w:rFonts w:cs="Arial"/>
                <w:szCs w:val="18"/>
              </w:rPr>
              <w:t>Cecelia Dodge</w:t>
            </w:r>
          </w:p>
        </w:tc>
        <w:tc>
          <w:tcPr>
            <w:tcW w:w="2885" w:type="pct"/>
          </w:tcPr>
          <w:p w14:paraId="09AE6EF8" w14:textId="77777777" w:rsidR="00252E9B" w:rsidRDefault="00252E9B" w:rsidP="00113057">
            <w:pPr>
              <w:pStyle w:val="TableText"/>
              <w:spacing w:before="60" w:after="60"/>
            </w:pPr>
            <w:r w:rsidRPr="004027E3">
              <w:rPr>
                <w:rFonts w:cs="Arial"/>
                <w:szCs w:val="18"/>
              </w:rPr>
              <w:t>Project Director</w:t>
            </w:r>
            <w:r w:rsidRPr="0080785A">
              <w:rPr>
                <w:rFonts w:cs="Arial"/>
                <w:szCs w:val="18"/>
              </w:rPr>
              <w:t>, WestEd</w:t>
            </w:r>
          </w:p>
        </w:tc>
      </w:tr>
      <w:tr w:rsidR="00252E9B" w:rsidRPr="005453A8" w14:paraId="63A259FC" w14:textId="77777777" w:rsidTr="00113057">
        <w:tc>
          <w:tcPr>
            <w:tcW w:w="2115" w:type="pct"/>
          </w:tcPr>
          <w:p w14:paraId="55246620" w14:textId="77777777" w:rsidR="00252E9B" w:rsidRPr="005F62D1" w:rsidDel="00E73534" w:rsidRDefault="00252E9B" w:rsidP="00113057">
            <w:pPr>
              <w:pStyle w:val="TableText"/>
              <w:spacing w:before="60" w:after="60"/>
              <w:rPr>
                <w:highlight w:val="yellow"/>
              </w:rPr>
            </w:pPr>
            <w:r w:rsidRPr="00DE7615">
              <w:rPr>
                <w:rFonts w:cs="Arial"/>
                <w:szCs w:val="18"/>
              </w:rPr>
              <w:t>John Eisenberg</w:t>
            </w:r>
          </w:p>
        </w:tc>
        <w:tc>
          <w:tcPr>
            <w:tcW w:w="2885" w:type="pct"/>
          </w:tcPr>
          <w:p w14:paraId="706EBF00" w14:textId="77777777" w:rsidR="00252E9B" w:rsidRDefault="00252E9B" w:rsidP="00113057">
            <w:pPr>
              <w:pStyle w:val="TableText"/>
              <w:spacing w:before="60" w:after="60"/>
            </w:pPr>
            <w:r w:rsidRPr="004027E3">
              <w:rPr>
                <w:rFonts w:cs="Arial"/>
                <w:szCs w:val="18"/>
              </w:rPr>
              <w:t>Assistant Superintendent</w:t>
            </w:r>
            <w:r w:rsidRPr="0080785A">
              <w:rPr>
                <w:rFonts w:cs="Arial"/>
                <w:szCs w:val="18"/>
              </w:rPr>
              <w:t>, Virginia Department of Education</w:t>
            </w:r>
          </w:p>
        </w:tc>
      </w:tr>
      <w:tr w:rsidR="00252E9B" w:rsidRPr="005453A8" w14:paraId="440B42AD" w14:textId="77777777" w:rsidTr="00113057">
        <w:tc>
          <w:tcPr>
            <w:tcW w:w="2115" w:type="pct"/>
          </w:tcPr>
          <w:p w14:paraId="66630378" w14:textId="77777777" w:rsidR="00252E9B" w:rsidRPr="005F62D1" w:rsidDel="00E73534" w:rsidRDefault="00252E9B" w:rsidP="00113057">
            <w:pPr>
              <w:pStyle w:val="TableText"/>
              <w:spacing w:before="60" w:after="60"/>
              <w:rPr>
                <w:highlight w:val="yellow"/>
              </w:rPr>
            </w:pPr>
            <w:r w:rsidRPr="00DE7615">
              <w:rPr>
                <w:rFonts w:cs="Arial"/>
                <w:szCs w:val="18"/>
              </w:rPr>
              <w:t>Segun Eubanks</w:t>
            </w:r>
          </w:p>
        </w:tc>
        <w:tc>
          <w:tcPr>
            <w:tcW w:w="2885" w:type="pct"/>
          </w:tcPr>
          <w:p w14:paraId="7F88F426" w14:textId="77777777" w:rsidR="00252E9B" w:rsidRDefault="00252E9B" w:rsidP="00113057">
            <w:pPr>
              <w:pStyle w:val="TableText"/>
              <w:spacing w:before="60" w:after="60"/>
            </w:pPr>
            <w:r w:rsidRPr="004027E3">
              <w:rPr>
                <w:rFonts w:cs="Arial"/>
                <w:szCs w:val="18"/>
              </w:rPr>
              <w:t>Director, Center for Education Innovation and Improvement</w:t>
            </w:r>
            <w:r w:rsidRPr="0080785A">
              <w:rPr>
                <w:rFonts w:cs="Arial"/>
                <w:szCs w:val="18"/>
              </w:rPr>
              <w:t>, University of Maryland College Park</w:t>
            </w:r>
          </w:p>
        </w:tc>
      </w:tr>
      <w:tr w:rsidR="00252E9B" w:rsidRPr="005453A8" w14:paraId="1C9B0F38" w14:textId="77777777" w:rsidTr="00113057">
        <w:tc>
          <w:tcPr>
            <w:tcW w:w="2115" w:type="pct"/>
          </w:tcPr>
          <w:p w14:paraId="7F09BDD6" w14:textId="77777777" w:rsidR="00252E9B" w:rsidRPr="005F62D1" w:rsidDel="00E73534" w:rsidRDefault="00252E9B" w:rsidP="00113057">
            <w:pPr>
              <w:pStyle w:val="TableText"/>
              <w:spacing w:before="60" w:after="60"/>
              <w:rPr>
                <w:highlight w:val="yellow"/>
              </w:rPr>
            </w:pPr>
            <w:r w:rsidRPr="00DE7615">
              <w:rPr>
                <w:rFonts w:cs="Arial"/>
                <w:szCs w:val="18"/>
              </w:rPr>
              <w:t>John Hosp</w:t>
            </w:r>
          </w:p>
        </w:tc>
        <w:tc>
          <w:tcPr>
            <w:tcW w:w="2885" w:type="pct"/>
          </w:tcPr>
          <w:p w14:paraId="33C4B686" w14:textId="77777777" w:rsidR="00252E9B" w:rsidRDefault="00252E9B" w:rsidP="00113057">
            <w:pPr>
              <w:pStyle w:val="TableText"/>
              <w:spacing w:before="60" w:after="60"/>
            </w:pPr>
            <w:r w:rsidRPr="002400AD">
              <w:rPr>
                <w:rFonts w:cs="Arial"/>
                <w:szCs w:val="18"/>
              </w:rPr>
              <w:t>Professor, Department of Student Development</w:t>
            </w:r>
            <w:r w:rsidRPr="0080785A">
              <w:rPr>
                <w:rFonts w:cs="Arial"/>
                <w:szCs w:val="18"/>
              </w:rPr>
              <w:t>, University of Massachusetts</w:t>
            </w:r>
          </w:p>
        </w:tc>
      </w:tr>
      <w:tr w:rsidR="00252E9B" w:rsidRPr="005453A8" w14:paraId="0B56A980" w14:textId="77777777" w:rsidTr="00113057">
        <w:tc>
          <w:tcPr>
            <w:tcW w:w="2115" w:type="pct"/>
          </w:tcPr>
          <w:p w14:paraId="03A39756" w14:textId="77777777" w:rsidR="00252E9B" w:rsidRPr="005F62D1" w:rsidDel="00E73534" w:rsidRDefault="00252E9B" w:rsidP="00113057">
            <w:pPr>
              <w:pStyle w:val="TableText"/>
              <w:spacing w:before="60" w:after="60"/>
              <w:rPr>
                <w:highlight w:val="yellow"/>
              </w:rPr>
            </w:pPr>
            <w:r w:rsidRPr="00DE7615">
              <w:rPr>
                <w:rFonts w:cs="Arial"/>
                <w:szCs w:val="18"/>
              </w:rPr>
              <w:t>Sheila Self</w:t>
            </w:r>
          </w:p>
        </w:tc>
        <w:tc>
          <w:tcPr>
            <w:tcW w:w="2885" w:type="pct"/>
          </w:tcPr>
          <w:p w14:paraId="35F1765D" w14:textId="77777777" w:rsidR="00252E9B" w:rsidRDefault="00252E9B" w:rsidP="00113057">
            <w:pPr>
              <w:pStyle w:val="TableText"/>
              <w:spacing w:before="60" w:after="60"/>
            </w:pPr>
            <w:r w:rsidRPr="002400AD">
              <w:rPr>
                <w:rFonts w:cs="Arial"/>
                <w:szCs w:val="18"/>
              </w:rPr>
              <w:t>Education Programs Consultant</w:t>
            </w:r>
            <w:r w:rsidRPr="0080785A">
              <w:rPr>
                <w:rFonts w:cs="Arial"/>
                <w:szCs w:val="18"/>
              </w:rPr>
              <w:t>, California Department of Education</w:t>
            </w:r>
          </w:p>
        </w:tc>
      </w:tr>
      <w:tr w:rsidR="00252E9B" w:rsidRPr="005453A8" w14:paraId="3D2756CB" w14:textId="77777777" w:rsidTr="00113057">
        <w:tc>
          <w:tcPr>
            <w:tcW w:w="2115" w:type="pct"/>
          </w:tcPr>
          <w:p w14:paraId="16B15391" w14:textId="77777777" w:rsidR="00252E9B" w:rsidRPr="005F62D1" w:rsidDel="00E73534" w:rsidRDefault="00252E9B" w:rsidP="00113057">
            <w:pPr>
              <w:pStyle w:val="TableText"/>
              <w:spacing w:before="60" w:after="60"/>
              <w:rPr>
                <w:highlight w:val="yellow"/>
              </w:rPr>
            </w:pPr>
            <w:r w:rsidRPr="00DE7615">
              <w:rPr>
                <w:rFonts w:cs="Arial"/>
                <w:szCs w:val="18"/>
              </w:rPr>
              <w:t>Patricia Snyder</w:t>
            </w:r>
          </w:p>
        </w:tc>
        <w:tc>
          <w:tcPr>
            <w:tcW w:w="2885" w:type="pct"/>
          </w:tcPr>
          <w:p w14:paraId="2BDFA0C4" w14:textId="77777777" w:rsidR="00252E9B" w:rsidRDefault="00252E9B" w:rsidP="00113057">
            <w:pPr>
              <w:pStyle w:val="TableText"/>
              <w:spacing w:before="60" w:after="60"/>
            </w:pPr>
            <w:r w:rsidRPr="002400AD">
              <w:rPr>
                <w:rFonts w:cs="Arial"/>
                <w:szCs w:val="18"/>
              </w:rPr>
              <w:t xml:space="preserve">Professor of Special Education and Early Childhood Studies </w:t>
            </w:r>
            <w:r>
              <w:rPr>
                <w:rFonts w:cs="Arial"/>
                <w:szCs w:val="18"/>
              </w:rPr>
              <w:t xml:space="preserve">and </w:t>
            </w:r>
            <w:r w:rsidRPr="002400AD">
              <w:rPr>
                <w:rFonts w:cs="Arial"/>
                <w:szCs w:val="18"/>
              </w:rPr>
              <w:t>Director of the Anita Zucker Center for Excellence in Early Childhood Studies</w:t>
            </w:r>
            <w:r w:rsidRPr="0080785A">
              <w:rPr>
                <w:rFonts w:cs="Arial"/>
                <w:szCs w:val="18"/>
              </w:rPr>
              <w:t>, University of Florida</w:t>
            </w:r>
          </w:p>
        </w:tc>
      </w:tr>
      <w:tr w:rsidR="00252E9B" w:rsidRPr="005453A8" w14:paraId="4AA22ABB" w14:textId="77777777" w:rsidTr="00113057">
        <w:tc>
          <w:tcPr>
            <w:tcW w:w="2115" w:type="pct"/>
          </w:tcPr>
          <w:p w14:paraId="2939908D" w14:textId="77777777" w:rsidR="00252E9B" w:rsidRPr="005F62D1" w:rsidDel="00E73534" w:rsidRDefault="00252E9B" w:rsidP="00113057">
            <w:pPr>
              <w:pStyle w:val="TableText"/>
              <w:spacing w:before="60" w:after="60"/>
              <w:rPr>
                <w:highlight w:val="yellow"/>
              </w:rPr>
            </w:pPr>
            <w:r w:rsidRPr="00DE7615">
              <w:rPr>
                <w:rFonts w:cs="Arial"/>
                <w:szCs w:val="18"/>
              </w:rPr>
              <w:t>David Test</w:t>
            </w:r>
          </w:p>
        </w:tc>
        <w:tc>
          <w:tcPr>
            <w:tcW w:w="2885" w:type="pct"/>
          </w:tcPr>
          <w:p w14:paraId="206B2CCB" w14:textId="77777777" w:rsidR="00252E9B" w:rsidRDefault="00252E9B" w:rsidP="00113057">
            <w:pPr>
              <w:pStyle w:val="TableText"/>
              <w:spacing w:before="60" w:after="60"/>
            </w:pPr>
            <w:r w:rsidRPr="002400AD">
              <w:rPr>
                <w:rFonts w:cs="Arial"/>
                <w:szCs w:val="18"/>
              </w:rPr>
              <w:t>Professor of Special Education</w:t>
            </w:r>
            <w:r w:rsidRPr="0080785A">
              <w:rPr>
                <w:rFonts w:cs="Arial"/>
                <w:szCs w:val="18"/>
              </w:rPr>
              <w:t>, University of North Carolina - Charlotte</w:t>
            </w:r>
          </w:p>
        </w:tc>
      </w:tr>
      <w:tr w:rsidR="00252E9B" w:rsidRPr="005453A8" w14:paraId="374C25B0" w14:textId="77777777" w:rsidTr="00113057">
        <w:tc>
          <w:tcPr>
            <w:tcW w:w="2115" w:type="pct"/>
          </w:tcPr>
          <w:p w14:paraId="4A4E309C" w14:textId="77777777" w:rsidR="00252E9B" w:rsidRPr="00DE7615" w:rsidRDefault="00252E9B" w:rsidP="00113057">
            <w:pPr>
              <w:pStyle w:val="TableText"/>
              <w:spacing w:before="60" w:after="60"/>
              <w:rPr>
                <w:rFonts w:cs="Arial"/>
                <w:szCs w:val="18"/>
              </w:rPr>
            </w:pPr>
            <w:r>
              <w:rPr>
                <w:rFonts w:cs="Arial"/>
                <w:szCs w:val="18"/>
              </w:rPr>
              <w:t>Gerald Tindal</w:t>
            </w:r>
          </w:p>
        </w:tc>
        <w:tc>
          <w:tcPr>
            <w:tcW w:w="2885" w:type="pct"/>
          </w:tcPr>
          <w:p w14:paraId="34ABA0FF" w14:textId="77777777" w:rsidR="00252E9B" w:rsidRPr="002400AD" w:rsidRDefault="00252E9B" w:rsidP="00113057">
            <w:pPr>
              <w:pStyle w:val="TableText"/>
              <w:spacing w:before="60" w:after="60"/>
              <w:rPr>
                <w:rFonts w:cs="Arial"/>
                <w:szCs w:val="18"/>
              </w:rPr>
            </w:pPr>
            <w:r w:rsidRPr="00582B2F">
              <w:rPr>
                <w:rFonts w:cs="Arial"/>
                <w:szCs w:val="18"/>
              </w:rPr>
              <w:t>Castle-McIntosh-Knight Professor of Education</w:t>
            </w:r>
            <w:r>
              <w:rPr>
                <w:rFonts w:cs="Arial"/>
                <w:szCs w:val="18"/>
              </w:rPr>
              <w:t>, University of Oregon</w:t>
            </w:r>
          </w:p>
        </w:tc>
      </w:tr>
      <w:tr w:rsidR="00252E9B" w:rsidRPr="005453A8" w14:paraId="422A60DC" w14:textId="77777777" w:rsidTr="00113057">
        <w:tc>
          <w:tcPr>
            <w:tcW w:w="2115" w:type="pct"/>
          </w:tcPr>
          <w:p w14:paraId="7F4E9C9D" w14:textId="77777777" w:rsidR="00252E9B" w:rsidRPr="005F62D1" w:rsidDel="00E73534" w:rsidRDefault="00252E9B" w:rsidP="00113057">
            <w:pPr>
              <w:pStyle w:val="TableText"/>
              <w:spacing w:before="60" w:after="60"/>
              <w:rPr>
                <w:highlight w:val="yellow"/>
              </w:rPr>
            </w:pPr>
            <w:r w:rsidRPr="00DE7615">
              <w:rPr>
                <w:rFonts w:cs="Arial"/>
                <w:szCs w:val="18"/>
              </w:rPr>
              <w:t>Laurie VanderPloeg</w:t>
            </w:r>
          </w:p>
        </w:tc>
        <w:tc>
          <w:tcPr>
            <w:tcW w:w="2885" w:type="pct"/>
          </w:tcPr>
          <w:p w14:paraId="05DB1E69" w14:textId="77777777" w:rsidR="00252E9B" w:rsidRDefault="006C51D3" w:rsidP="00113057">
            <w:pPr>
              <w:pStyle w:val="TableText"/>
              <w:spacing w:before="60" w:after="60"/>
            </w:pPr>
            <w:r>
              <w:rPr>
                <w:rFonts w:cs="Arial"/>
                <w:szCs w:val="18"/>
              </w:rPr>
              <w:t xml:space="preserve">Director of Special Education, </w:t>
            </w:r>
            <w:r w:rsidR="000D0364">
              <w:rPr>
                <w:rFonts w:cs="Arial"/>
                <w:szCs w:val="18"/>
              </w:rPr>
              <w:t>Kent Independent School DIstrict</w:t>
            </w:r>
            <w:r w:rsidR="000D0364">
              <w:rPr>
                <w:rStyle w:val="FootnoteReference"/>
                <w:rFonts w:cs="Arial"/>
                <w:szCs w:val="18"/>
              </w:rPr>
              <w:footnoteReference w:id="10"/>
            </w:r>
            <w:r w:rsidR="00652308">
              <w:rPr>
                <w:rFonts w:cs="Arial"/>
                <w:szCs w:val="18"/>
              </w:rPr>
              <w:t xml:space="preserve"> </w:t>
            </w:r>
          </w:p>
        </w:tc>
      </w:tr>
    </w:tbl>
    <w:p w14:paraId="6ED2B308" w14:textId="77777777" w:rsidR="00252E9B" w:rsidRPr="00A92D9B" w:rsidRDefault="00252E9B" w:rsidP="00252E9B">
      <w:pPr>
        <w:ind w:left="432" w:firstLine="0"/>
      </w:pPr>
    </w:p>
    <w:p w14:paraId="242B3551" w14:textId="77777777" w:rsidR="00252E9B" w:rsidRDefault="00252E9B" w:rsidP="00252E9B">
      <w:pPr>
        <w:ind w:left="432" w:firstLine="0"/>
        <w:sectPr w:rsidR="00252E9B" w:rsidSect="000E4C3F">
          <w:headerReference w:type="default" r:id="rId21"/>
          <w:footerReference w:type="default" r:id="rId22"/>
          <w:pgSz w:w="12240" w:h="15840"/>
          <w:pgMar w:top="1440" w:right="1440" w:bottom="1440" w:left="1440" w:header="720" w:footer="720" w:gutter="0"/>
          <w:cols w:space="720"/>
          <w:docGrid w:linePitch="360"/>
        </w:sectPr>
      </w:pPr>
    </w:p>
    <w:p w14:paraId="28A91E32" w14:textId="77777777" w:rsidR="002B68AC" w:rsidRDefault="002B68AC">
      <w:pPr>
        <w:spacing w:after="240" w:line="240" w:lineRule="auto"/>
        <w:ind w:firstLine="0"/>
        <w:rPr>
          <w:rFonts w:ascii="Arial Black" w:hAnsi="Arial Black"/>
          <w:caps/>
          <w:sz w:val="22"/>
        </w:rPr>
      </w:pPr>
      <w:bookmarkStart w:id="46" w:name="_Toc508880524"/>
    </w:p>
    <w:p w14:paraId="7AF83FB9" w14:textId="77777777" w:rsidR="00252E9B" w:rsidRPr="002B68AC" w:rsidRDefault="00DC1321" w:rsidP="00BE3898">
      <w:pPr>
        <w:pStyle w:val="H2Chapter"/>
      </w:pPr>
      <w:r>
        <w:t>REFERENCES</w:t>
      </w:r>
    </w:p>
    <w:p w14:paraId="20B19B10" w14:textId="77777777" w:rsidR="002B68AC" w:rsidRDefault="00DC1321" w:rsidP="00BE3898">
      <w:pPr>
        <w:spacing w:after="240" w:line="240" w:lineRule="auto"/>
        <w:ind w:left="360" w:hanging="360"/>
      </w:pPr>
      <w:r>
        <w:rPr>
          <w:rFonts w:ascii="Source Sans Pro" w:hAnsi="Source Sans Pro"/>
          <w:color w:val="2A2A2A"/>
          <w:sz w:val="23"/>
          <w:szCs w:val="23"/>
          <w:lang w:val="en"/>
        </w:rPr>
        <w:t xml:space="preserve">Groves, R.M., Cialdini, R.B., &amp; Couper, M.P. (1992). Understanding the decision to participate in a survey. </w:t>
      </w:r>
      <w:r>
        <w:rPr>
          <w:rStyle w:val="Emphasis"/>
          <w:rFonts w:ascii="Source Sans Pro" w:hAnsi="Source Sans Pro"/>
          <w:color w:val="2A2A2A"/>
          <w:sz w:val="23"/>
          <w:szCs w:val="23"/>
          <w:lang w:val="en"/>
        </w:rPr>
        <w:t>Public Opinion Quarterly</w:t>
      </w:r>
      <w:r>
        <w:rPr>
          <w:rFonts w:ascii="Source Sans Pro" w:hAnsi="Source Sans Pro"/>
          <w:color w:val="2A2A2A"/>
          <w:sz w:val="23"/>
          <w:szCs w:val="23"/>
          <w:lang w:val="en"/>
        </w:rPr>
        <w:t xml:space="preserve">, 56(4), 475–495. </w:t>
      </w:r>
      <w:hyperlink r:id="rId23" w:history="1">
        <w:r>
          <w:rPr>
            <w:rStyle w:val="Hyperlink"/>
            <w:rFonts w:ascii="Source Sans Pro" w:hAnsi="Source Sans Pro"/>
            <w:sz w:val="23"/>
            <w:szCs w:val="23"/>
            <w:lang w:val="en"/>
          </w:rPr>
          <w:t>https://doi.org/10.1086/269338</w:t>
        </w:r>
      </w:hyperlink>
      <w:r w:rsidR="002B68AC">
        <w:br w:type="page"/>
      </w:r>
    </w:p>
    <w:p w14:paraId="58967C38" w14:textId="77777777" w:rsidR="002B68AC" w:rsidRDefault="002B68AC" w:rsidP="002B68AC">
      <w:pPr>
        <w:rPr>
          <w:b/>
        </w:rPr>
      </w:pPr>
    </w:p>
    <w:p w14:paraId="20284E28" w14:textId="77777777" w:rsidR="002B68AC" w:rsidRDefault="002B68AC" w:rsidP="002B68AC">
      <w:pPr>
        <w:rPr>
          <w:b/>
        </w:rPr>
      </w:pPr>
    </w:p>
    <w:p w14:paraId="454B17E4" w14:textId="77777777" w:rsidR="002B68AC" w:rsidRDefault="002B68AC" w:rsidP="002B68AC">
      <w:pPr>
        <w:rPr>
          <w:b/>
        </w:rPr>
      </w:pPr>
    </w:p>
    <w:p w14:paraId="6CE06AFB" w14:textId="77777777" w:rsidR="002B68AC" w:rsidRDefault="002B68AC" w:rsidP="002B68AC">
      <w:pPr>
        <w:rPr>
          <w:b/>
        </w:rPr>
      </w:pPr>
    </w:p>
    <w:p w14:paraId="78750143" w14:textId="77777777" w:rsidR="002B68AC" w:rsidRDefault="002B68AC" w:rsidP="002B68AC">
      <w:pPr>
        <w:rPr>
          <w:b/>
        </w:rPr>
      </w:pPr>
    </w:p>
    <w:p w14:paraId="3BBE5EB4" w14:textId="77777777" w:rsidR="002B68AC" w:rsidRDefault="002B68AC" w:rsidP="002B68AC">
      <w:pPr>
        <w:rPr>
          <w:b/>
        </w:rPr>
      </w:pPr>
    </w:p>
    <w:p w14:paraId="1143E082" w14:textId="77777777" w:rsidR="002B68AC" w:rsidRDefault="002B68AC" w:rsidP="002B68AC">
      <w:pPr>
        <w:rPr>
          <w:b/>
        </w:rPr>
      </w:pPr>
    </w:p>
    <w:p w14:paraId="740888C8" w14:textId="77777777" w:rsidR="002B68AC" w:rsidRDefault="002B68AC" w:rsidP="002B68AC">
      <w:pPr>
        <w:rPr>
          <w:b/>
        </w:rPr>
      </w:pPr>
    </w:p>
    <w:bookmarkEnd w:id="46"/>
    <w:p w14:paraId="06744B48" w14:textId="77777777" w:rsidR="00252E9B" w:rsidRPr="0098753B" w:rsidRDefault="00252E9B" w:rsidP="00252E9B">
      <w:pPr>
        <w:pStyle w:val="wwwmathematica-mprcom"/>
        <w:spacing w:before="1200"/>
        <w:rPr>
          <w:rFonts w:ascii="Arial" w:hAnsi="Arial" w:cs="Arial"/>
        </w:rPr>
      </w:pPr>
      <w:r w:rsidRPr="0098753B">
        <w:rPr>
          <w:rFonts w:ascii="Arial" w:hAnsi="Arial" w:cs="Arial"/>
        </w:rPr>
        <w:t>www.mathematica-mpr.com</w:t>
      </w:r>
    </w:p>
    <w:p w14:paraId="3678CEEA" w14:textId="77777777" w:rsidR="00252E9B" w:rsidRPr="009B0D53" w:rsidRDefault="00252E9B" w:rsidP="00252E9B">
      <w:pPr>
        <w:pStyle w:val="backcovertitle"/>
        <w:spacing w:after="100"/>
      </w:pPr>
      <w:r w:rsidRPr="009B0D53">
        <w:t xml:space="preserve">Improving public well-being by conducting high quality, </w:t>
      </w:r>
      <w:r w:rsidRPr="009B0D53">
        <w:br/>
        <w:t>objective research and data collection</w:t>
      </w:r>
    </w:p>
    <w:p w14:paraId="53A6C4F8" w14:textId="77777777" w:rsidR="00252E9B" w:rsidRPr="00104BBF" w:rsidRDefault="00252E9B" w:rsidP="00252E9B">
      <w:pPr>
        <w:pStyle w:val="backcovercities"/>
        <w:rPr>
          <w:rFonts w:ascii="Arial Bold" w:hAnsi="Arial Bold"/>
          <w:b/>
          <w:sz w:val="16"/>
          <w:szCs w:val="13"/>
        </w:rPr>
      </w:pPr>
      <w:r w:rsidRPr="003832A2">
        <w:rPr>
          <w:rFonts w:ascii="Arial Bold" w:hAnsi="Arial Bold"/>
          <w:b/>
          <w:sz w:val="16"/>
          <w:szCs w:val="13"/>
        </w:rPr>
        <w:t xml:space="preserve">Princeton, NJ  </w:t>
      </w:r>
      <w:r w:rsidRPr="003832A2">
        <w:rPr>
          <w:rFonts w:ascii="Arial Bold" w:hAnsi="Arial Bold" w:cs="Arial"/>
          <w:b/>
          <w:sz w:val="16"/>
          <w:szCs w:val="13"/>
        </w:rPr>
        <w:t>■</w:t>
      </w:r>
      <w:r w:rsidRPr="003832A2">
        <w:rPr>
          <w:rFonts w:ascii="Arial Bold" w:hAnsi="Arial Bold"/>
          <w:b/>
          <w:sz w:val="16"/>
          <w:szCs w:val="13"/>
        </w:rPr>
        <w:t xml:space="preserve">  Ann Arbor, MI  </w:t>
      </w:r>
      <w:r w:rsidRPr="003832A2">
        <w:rPr>
          <w:rFonts w:ascii="Arial Bold" w:hAnsi="Arial Bold" w:cs="Arial"/>
          <w:b/>
          <w:sz w:val="16"/>
          <w:szCs w:val="13"/>
        </w:rPr>
        <w:t>■</w:t>
      </w:r>
      <w:r w:rsidRPr="003832A2">
        <w:rPr>
          <w:rFonts w:ascii="Arial Bold" w:hAnsi="Arial Bold"/>
          <w:b/>
          <w:sz w:val="16"/>
          <w:szCs w:val="13"/>
        </w:rPr>
        <w:t xml:space="preserve">  Cambridge, MA  </w:t>
      </w:r>
      <w:r w:rsidRPr="003832A2">
        <w:rPr>
          <w:rFonts w:ascii="Arial Bold" w:hAnsi="Arial Bold" w:cs="Arial"/>
          <w:b/>
          <w:sz w:val="16"/>
          <w:szCs w:val="13"/>
        </w:rPr>
        <w:t xml:space="preserve">■  </w:t>
      </w:r>
      <w:r w:rsidRPr="003832A2">
        <w:rPr>
          <w:rFonts w:ascii="Arial Bold" w:hAnsi="Arial Bold"/>
          <w:b/>
          <w:sz w:val="16"/>
          <w:szCs w:val="13"/>
        </w:rPr>
        <w:t xml:space="preserve">Chicago, IL  </w:t>
      </w:r>
      <w:r w:rsidRPr="003832A2">
        <w:rPr>
          <w:rFonts w:ascii="Arial Bold" w:hAnsi="Arial Bold" w:cs="Arial"/>
          <w:b/>
          <w:sz w:val="16"/>
          <w:szCs w:val="13"/>
        </w:rPr>
        <w:t xml:space="preserve">■  </w:t>
      </w:r>
      <w:r w:rsidRPr="003832A2">
        <w:rPr>
          <w:rFonts w:ascii="Arial Bold" w:hAnsi="Arial Bold"/>
          <w:b/>
          <w:sz w:val="16"/>
          <w:szCs w:val="13"/>
        </w:rPr>
        <w:t xml:space="preserve">Oakland, CA  </w:t>
      </w:r>
      <w:r w:rsidRPr="003832A2">
        <w:rPr>
          <w:rFonts w:ascii="Arial Bold" w:hAnsi="Arial Bold" w:cs="Arial"/>
          <w:b/>
          <w:sz w:val="16"/>
          <w:szCs w:val="13"/>
        </w:rPr>
        <w:t xml:space="preserve">■  </w:t>
      </w:r>
      <w:r>
        <w:rPr>
          <w:rFonts w:ascii="Arial Bold" w:hAnsi="Arial Bold" w:cs="Arial"/>
          <w:b/>
          <w:sz w:val="16"/>
          <w:szCs w:val="13"/>
        </w:rPr>
        <w:t xml:space="preserve">seattle, wa </w:t>
      </w:r>
      <w:r>
        <w:rPr>
          <w:rFonts w:ascii="Arial Bold" w:hAnsi="Arial Bold"/>
          <w:b/>
          <w:sz w:val="16"/>
          <w:szCs w:val="13"/>
        </w:rPr>
        <w:t xml:space="preserve"> </w:t>
      </w:r>
      <w:r w:rsidRPr="003832A2">
        <w:rPr>
          <w:rFonts w:ascii="Arial Bold" w:hAnsi="Arial Bold" w:cs="Arial"/>
          <w:b/>
          <w:sz w:val="16"/>
          <w:szCs w:val="13"/>
        </w:rPr>
        <w:t xml:space="preserve">■  </w:t>
      </w:r>
      <w:r w:rsidRPr="003832A2">
        <w:rPr>
          <w:rFonts w:ascii="Arial Bold" w:hAnsi="Arial Bold"/>
          <w:b/>
          <w:sz w:val="16"/>
          <w:szCs w:val="13"/>
        </w:rPr>
        <w:t xml:space="preserve">TUCSON, AZ </w:t>
      </w:r>
      <w:r>
        <w:rPr>
          <w:rFonts w:ascii="Arial Bold" w:hAnsi="Arial Bold"/>
          <w:b/>
          <w:sz w:val="16"/>
          <w:szCs w:val="13"/>
        </w:rPr>
        <w:t xml:space="preserve"> </w:t>
      </w:r>
      <w:r w:rsidRPr="003832A2">
        <w:rPr>
          <w:rFonts w:ascii="Arial Bold" w:hAnsi="Arial Bold" w:cs="Arial"/>
          <w:b/>
          <w:sz w:val="16"/>
          <w:szCs w:val="13"/>
        </w:rPr>
        <w:t xml:space="preserve">■  </w:t>
      </w:r>
      <w:r w:rsidRPr="003832A2">
        <w:rPr>
          <w:rFonts w:ascii="Arial Bold" w:hAnsi="Arial Bold"/>
          <w:b/>
          <w:sz w:val="16"/>
          <w:szCs w:val="13"/>
        </w:rPr>
        <w:t>Washington, DC</w:t>
      </w:r>
      <w:r w:rsidRPr="00C80B3C">
        <w:t xml:space="preserve"> </w:t>
      </w:r>
      <w:r>
        <w:t xml:space="preserve"> </w:t>
      </w:r>
      <w:r w:rsidRPr="00104BBF">
        <w:rPr>
          <w:rFonts w:ascii="Arial Bold" w:hAnsi="Arial Bold"/>
          <w:b/>
          <w:sz w:val="16"/>
          <w:szCs w:val="13"/>
        </w:rPr>
        <w:t xml:space="preserve">■  WOODLAWN, MD </w:t>
      </w:r>
    </w:p>
    <w:p w14:paraId="3FDF2F64" w14:textId="77777777" w:rsidR="00252E9B" w:rsidRPr="00714D3C" w:rsidRDefault="00252E9B" w:rsidP="00252E9B">
      <w:pPr>
        <w:pStyle w:val="ProprietaryStatement"/>
      </w:pPr>
    </w:p>
    <w:p w14:paraId="7029EC3D" w14:textId="77777777" w:rsidR="00252E9B" w:rsidRPr="00A03EC5" w:rsidRDefault="00252E9B" w:rsidP="00252E9B">
      <w:pPr>
        <w:spacing w:after="960" w:line="264" w:lineRule="auto"/>
        <w:rPr>
          <w:sz w:val="22"/>
          <w:szCs w:val="22"/>
        </w:rPr>
      </w:pPr>
      <w:r>
        <w:rPr>
          <w:rFonts w:ascii="Arial Bold" w:hAnsi="Arial Bold"/>
          <w:b/>
          <w:noProof/>
          <w:sz w:val="16"/>
          <w:szCs w:val="13"/>
        </w:rPr>
        <w:drawing>
          <wp:anchor distT="0" distB="0" distL="114300" distR="114300" simplePos="0" relativeHeight="251662336" behindDoc="0" locked="0" layoutInCell="1" allowOverlap="1" wp14:anchorId="7F578E88" wp14:editId="5D03FA74">
            <wp:simplePos x="0" y="0"/>
            <wp:positionH relativeFrom="column">
              <wp:posOffset>-1634490</wp:posOffset>
            </wp:positionH>
            <wp:positionV relativeFrom="paragraph">
              <wp:posOffset>3714750</wp:posOffset>
            </wp:positionV>
            <wp:extent cx="1316736" cy="951963"/>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hematica Anniverary Logo.jpg"/>
                    <pic:cNvPicPr/>
                  </pic:nvPicPr>
                  <pic:blipFill>
                    <a:blip r:embed="rId12">
                      <a:extLst>
                        <a:ext uri="{28A0092B-C50C-407E-A947-70E740481C1C}">
                          <a14:useLocalDpi xmlns:a14="http://schemas.microsoft.com/office/drawing/2010/main" val="0"/>
                        </a:ext>
                      </a:extLst>
                    </a:blip>
                    <a:stretch>
                      <a:fillRect/>
                    </a:stretch>
                  </pic:blipFill>
                  <pic:spPr>
                    <a:xfrm>
                      <a:off x="0" y="0"/>
                      <a:ext cx="1316736" cy="951963"/>
                    </a:xfrm>
                    <a:prstGeom prst="rect">
                      <a:avLst/>
                    </a:prstGeom>
                  </pic:spPr>
                </pic:pic>
              </a:graphicData>
            </a:graphic>
            <wp14:sizeRelH relativeFrom="margin">
              <wp14:pctWidth>0</wp14:pctWidth>
            </wp14:sizeRelH>
            <wp14:sizeRelV relativeFrom="margin">
              <wp14:pctHeight>0</wp14:pctHeight>
            </wp14:sizeRelV>
          </wp:anchor>
        </w:drawing>
      </w:r>
    </w:p>
    <w:p w14:paraId="1358C2FE" w14:textId="77777777" w:rsidR="00BE318A" w:rsidRPr="00252E9B" w:rsidRDefault="00BE318A" w:rsidP="00252E9B"/>
    <w:sectPr w:rsidR="00BE318A" w:rsidRPr="00252E9B" w:rsidSect="005156FA">
      <w:headerReference w:type="default" r:id="rId24"/>
      <w:footerReference w:type="default" r:id="rId25"/>
      <w:pgSz w:w="12240" w:h="15840"/>
      <w:pgMar w:top="4320" w:right="965" w:bottom="1195" w:left="362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63F64" w14:textId="77777777" w:rsidR="006A2F1C" w:rsidRDefault="006A2F1C" w:rsidP="002E3E35">
      <w:pPr>
        <w:spacing w:line="240" w:lineRule="auto"/>
      </w:pPr>
      <w:r>
        <w:separator/>
      </w:r>
    </w:p>
  </w:endnote>
  <w:endnote w:type="continuationSeparator" w:id="0">
    <w:p w14:paraId="78D2FAB5" w14:textId="77777777" w:rsidR="006A2F1C" w:rsidRDefault="006A2F1C" w:rsidP="002E3E35">
      <w:pPr>
        <w:spacing w:line="240" w:lineRule="auto"/>
      </w:pPr>
      <w:r>
        <w:continuationSeparator/>
      </w:r>
    </w:p>
  </w:endnote>
  <w:endnote w:type="continuationNotice" w:id="1">
    <w:p w14:paraId="13CAD36D" w14:textId="77777777" w:rsidR="006A2F1C" w:rsidRDefault="006A2F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6AEC" w14:textId="77777777" w:rsidR="006A2F1C" w:rsidRPr="001A5310" w:rsidRDefault="006A2F1C" w:rsidP="005D5FA4">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25E0E" w14:textId="77777777" w:rsidR="006A2F1C" w:rsidRPr="00A12B64" w:rsidRDefault="006A2F1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E0F1D33" w14:textId="77777777" w:rsidR="006A2F1C" w:rsidRDefault="006A2F1C" w:rsidP="00455D47">
    <w:pPr>
      <w:pStyle w:val="Footer"/>
      <w:pBdr>
        <w:top w:val="single" w:sz="2" w:space="1" w:color="auto"/>
        <w:bottom w:val="none" w:sz="0" w:space="0" w:color="auto"/>
      </w:pBdr>
      <w:spacing w:line="192" w:lineRule="auto"/>
      <w:rPr>
        <w:rStyle w:val="PageNumber"/>
      </w:rPr>
    </w:pPr>
  </w:p>
  <w:p w14:paraId="14DFE667" w14:textId="77777777" w:rsidR="006A2F1C" w:rsidRPr="00964AB7" w:rsidRDefault="006A2F1C" w:rsidP="005D5FA4">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F47BD">
      <w:rPr>
        <w:rStyle w:val="PageNumber"/>
        <w:noProof/>
      </w:rPr>
      <w:t>ii</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1DA07" w14:textId="77777777" w:rsidR="006A2F1C" w:rsidRPr="00A12B64" w:rsidRDefault="006A2F1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49619F5" w14:textId="77777777" w:rsidR="006A2F1C" w:rsidRDefault="006A2F1C" w:rsidP="00455D47">
    <w:pPr>
      <w:pStyle w:val="Footer"/>
      <w:pBdr>
        <w:top w:val="single" w:sz="2" w:space="1" w:color="auto"/>
        <w:bottom w:val="none" w:sz="0" w:space="0" w:color="auto"/>
      </w:pBdr>
      <w:spacing w:line="192" w:lineRule="auto"/>
      <w:rPr>
        <w:rStyle w:val="PageNumber"/>
      </w:rPr>
    </w:pPr>
  </w:p>
  <w:p w14:paraId="5D6E968E" w14:textId="77777777" w:rsidR="006A2F1C" w:rsidRPr="00964AB7" w:rsidRDefault="006A2F1C" w:rsidP="005D5FA4">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iii</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216D2" w14:textId="77777777" w:rsidR="006A2F1C" w:rsidRPr="00A12B64" w:rsidRDefault="006A2F1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8A254EC" w14:textId="77777777" w:rsidR="006A2F1C" w:rsidRDefault="006A2F1C" w:rsidP="00455D47">
    <w:pPr>
      <w:pStyle w:val="Footer"/>
      <w:pBdr>
        <w:top w:val="single" w:sz="2" w:space="1" w:color="auto"/>
        <w:bottom w:val="none" w:sz="0" w:space="0" w:color="auto"/>
      </w:pBdr>
      <w:spacing w:line="192" w:lineRule="auto"/>
      <w:rPr>
        <w:rStyle w:val="PageNumber"/>
      </w:rPr>
    </w:pPr>
  </w:p>
  <w:p w14:paraId="66A0CB75" w14:textId="77777777" w:rsidR="006A2F1C" w:rsidRPr="00964AB7" w:rsidRDefault="006A2F1C" w:rsidP="005D5FA4">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F0F1" w14:textId="77777777" w:rsidR="006A2F1C" w:rsidRPr="00A12B64" w:rsidRDefault="006A2F1C"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F82F843" w14:textId="77777777" w:rsidR="006A2F1C" w:rsidRDefault="006A2F1C" w:rsidP="00455D47">
    <w:pPr>
      <w:pStyle w:val="Footer"/>
      <w:pBdr>
        <w:top w:val="single" w:sz="2" w:space="1" w:color="auto"/>
        <w:bottom w:val="none" w:sz="0" w:space="0" w:color="auto"/>
      </w:pBdr>
      <w:spacing w:line="192" w:lineRule="auto"/>
      <w:rPr>
        <w:rStyle w:val="PageNumber"/>
      </w:rPr>
    </w:pPr>
  </w:p>
  <w:bookmarkStart w:id="45" w:name="Draft"/>
  <w:bookmarkEnd w:id="45"/>
  <w:p w14:paraId="4E7AEA58" w14:textId="77777777" w:rsidR="006A2F1C" w:rsidRPr="00964AB7" w:rsidRDefault="006A2F1C" w:rsidP="005D5FA4">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14</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A786E" w14:textId="77777777" w:rsidR="006A2F1C" w:rsidRPr="001B2926" w:rsidRDefault="006A2F1C" w:rsidP="005156FA">
    <w:pPr>
      <w:pStyle w:val="Footer"/>
      <w:pBdr>
        <w:bottom w:val="none" w:sz="0" w:space="0" w:color="auto"/>
      </w:pBdr>
      <w:rPr>
        <w:rStyle w:val="PageNumber"/>
      </w:rPr>
    </w:pPr>
    <w:r>
      <w:rPr>
        <w:noProof/>
      </w:rPr>
      <mc:AlternateContent>
        <mc:Choice Requires="wps">
          <w:drawing>
            <wp:anchor distT="0" distB="0" distL="114300" distR="114300" simplePos="0" relativeHeight="251659264" behindDoc="0" locked="1" layoutInCell="1" allowOverlap="1" wp14:anchorId="6A464B7A" wp14:editId="25CA8979">
              <wp:simplePos x="0" y="0"/>
              <wp:positionH relativeFrom="leftMargin">
                <wp:posOffset>629285</wp:posOffset>
              </wp:positionH>
              <wp:positionV relativeFrom="paragraph">
                <wp:posOffset>-99060</wp:posOffset>
              </wp:positionV>
              <wp:extent cx="1531620" cy="320040"/>
              <wp:effectExtent l="0" t="0" r="11430" b="3810"/>
              <wp:wrapTight wrapText="bothSides">
                <wp:wrapPolygon edited="0">
                  <wp:start x="0" y="0"/>
                  <wp:lineTo x="0" y="20571"/>
                  <wp:lineTo x="21493" y="20571"/>
                  <wp:lineTo x="21493"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39CD5" w14:textId="77777777" w:rsidR="006A2F1C" w:rsidRPr="00AB1DD1" w:rsidRDefault="006A2F1C" w:rsidP="005156FA">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9.55pt;margin-top:-7.8pt;width:120.6pt;height:25.2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NWrQIAAKk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" filled="f" stroked="f">
              <v:textbox inset="0,0,0,0">
                <w:txbxContent>
                  <w:p w14:paraId="1BC39CD5" w14:textId="77777777" w:rsidR="006A2F1C" w:rsidRPr="00AB1DD1" w:rsidRDefault="006A2F1C" w:rsidP="005156FA">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anchorx="margin"/>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30C74" w14:textId="77777777" w:rsidR="006A2F1C" w:rsidRDefault="006A2F1C" w:rsidP="00203E3B">
      <w:pPr>
        <w:spacing w:line="240" w:lineRule="auto"/>
        <w:ind w:firstLine="0"/>
      </w:pPr>
      <w:r>
        <w:separator/>
      </w:r>
    </w:p>
  </w:footnote>
  <w:footnote w:type="continuationSeparator" w:id="0">
    <w:p w14:paraId="60BF9790" w14:textId="77777777" w:rsidR="006A2F1C" w:rsidRDefault="006A2F1C" w:rsidP="00203E3B">
      <w:pPr>
        <w:spacing w:line="240" w:lineRule="auto"/>
        <w:ind w:firstLine="0"/>
      </w:pPr>
      <w:r>
        <w:separator/>
      </w:r>
    </w:p>
    <w:p w14:paraId="3126578A" w14:textId="77777777" w:rsidR="006A2F1C" w:rsidRPr="00157CA2" w:rsidRDefault="006A2F1C" w:rsidP="00203E3B">
      <w:pPr>
        <w:spacing w:after="120" w:line="240" w:lineRule="auto"/>
        <w:ind w:firstLine="0"/>
        <w:rPr>
          <w:sz w:val="20"/>
        </w:rPr>
      </w:pPr>
      <w:r w:rsidRPr="00157CA2">
        <w:rPr>
          <w:i/>
          <w:sz w:val="20"/>
        </w:rPr>
        <w:t>(continued)</w:t>
      </w:r>
    </w:p>
  </w:footnote>
  <w:footnote w:type="continuationNotice" w:id="1">
    <w:p w14:paraId="3CCE3281" w14:textId="77777777" w:rsidR="006A2F1C" w:rsidRDefault="006A2F1C">
      <w:pPr>
        <w:spacing w:line="240" w:lineRule="auto"/>
      </w:pPr>
    </w:p>
  </w:footnote>
  <w:footnote w:id="2">
    <w:p w14:paraId="6608B973" w14:textId="77777777" w:rsidR="006A2F1C" w:rsidRDefault="006A2F1C">
      <w:pPr>
        <w:pStyle w:val="FootnoteText"/>
      </w:pPr>
      <w:r>
        <w:rPr>
          <w:rStyle w:val="FootnoteReference"/>
        </w:rPr>
        <w:footnoteRef/>
      </w:r>
      <w:r>
        <w:t xml:space="preserve"> The CCD uses grade 13 to denote high school students who are enrolled in programs where they can earn college credit in an extended high school environment, or career and technical education (CTE) students in a high school program that continues beyond grade 12.</w:t>
      </w:r>
    </w:p>
  </w:footnote>
  <w:footnote w:id="3">
    <w:p w14:paraId="77BF7074" w14:textId="77777777" w:rsidR="006A2F1C" w:rsidRDefault="006A2F1C">
      <w:pPr>
        <w:pStyle w:val="FootnoteText"/>
      </w:pPr>
      <w:r>
        <w:rPr>
          <w:rStyle w:val="FootnoteReference"/>
        </w:rPr>
        <w:footnoteRef/>
      </w:r>
      <w:r>
        <w:t xml:space="preserve"> </w:t>
      </w:r>
      <w:r w:rsidRPr="00A9617D">
        <w:t xml:space="preserve">Of the 665 districts selected overall, 63 did not offer pre-kindergarten instruction and are not eligible for the preschool-age district survey. </w:t>
      </w:r>
    </w:p>
  </w:footnote>
  <w:footnote w:id="4">
    <w:p w14:paraId="0649FFC4" w14:textId="77777777" w:rsidR="006A2F1C" w:rsidRDefault="006A2F1C" w:rsidP="00252E9B">
      <w:pPr>
        <w:pStyle w:val="FootnoteText"/>
      </w:pPr>
      <w:r>
        <w:rPr>
          <w:rStyle w:val="FootnoteReference"/>
        </w:rPr>
        <w:footnoteRef/>
      </w:r>
      <w:r>
        <w:t xml:space="preserve"> </w:t>
      </w:r>
      <w:r w:rsidRPr="005C2D2D">
        <w:t>Appendix B.</w:t>
      </w:r>
      <w:r>
        <w:t>8</w:t>
      </w:r>
      <w:r w:rsidRPr="005C2D2D">
        <w:t xml:space="preserve"> </w:t>
      </w:r>
      <w:r>
        <w:t>displays</w:t>
      </w:r>
      <w:r w:rsidRPr="005C2D2D">
        <w:t xml:space="preserve"> the letter that will be used to inform and recruit school</w:t>
      </w:r>
      <w:r>
        <w:t>s. The brochure (Appendix B.4) is the same for districts and schools.</w:t>
      </w:r>
    </w:p>
  </w:footnote>
  <w:footnote w:id="5">
    <w:p w14:paraId="5FE5ABC9" w14:textId="77777777" w:rsidR="006A2F1C" w:rsidRDefault="006A2F1C">
      <w:pPr>
        <w:pStyle w:val="FootnoteText"/>
      </w:pPr>
      <w:r>
        <w:rPr>
          <w:rStyle w:val="FootnoteReference"/>
        </w:rPr>
        <w:footnoteRef/>
      </w:r>
      <w:r>
        <w:t xml:space="preserve"> The letter of support from </w:t>
      </w:r>
      <w:r w:rsidRPr="00A90DAE">
        <w:t>the Council of Administrators of Special Education</w:t>
      </w:r>
      <w:r>
        <w:t xml:space="preserve"> (Appendix B.6) is the same for schools and districts. </w:t>
      </w:r>
    </w:p>
  </w:footnote>
  <w:footnote w:id="6">
    <w:p w14:paraId="08FC36F5" w14:textId="77777777" w:rsidR="006A2F1C" w:rsidRDefault="006A2F1C" w:rsidP="00252E9B">
      <w:pPr>
        <w:pStyle w:val="FootnoteText"/>
      </w:pPr>
      <w:r>
        <w:rPr>
          <w:rStyle w:val="FootnoteReference"/>
        </w:rPr>
        <w:footnoteRef/>
      </w:r>
      <w:r>
        <w:t xml:space="preserve"> To determine the</w:t>
      </w:r>
      <w:r w:rsidRPr="00786C1B">
        <w:t xml:space="preserve"> charter school district</w:t>
      </w:r>
      <w:r>
        <w:t xml:space="preserve"> </w:t>
      </w:r>
      <w:r w:rsidRPr="00786C1B">
        <w:t>s</w:t>
      </w:r>
      <w:r>
        <w:t>ample size</w:t>
      </w:r>
      <w:r w:rsidRPr="00786C1B">
        <w:t xml:space="preserve"> </w:t>
      </w:r>
      <w:r>
        <w:t>the study team selected</w:t>
      </w:r>
      <w:r w:rsidRPr="00786C1B">
        <w:t xml:space="preserve"> a sample, determin</w:t>
      </w:r>
      <w:r>
        <w:t>ed</w:t>
      </w:r>
      <w:r w:rsidRPr="00786C1B">
        <w:t xml:space="preserve"> the number of charter schools in the selected districts, adjust</w:t>
      </w:r>
      <w:r>
        <w:t>ed</w:t>
      </w:r>
      <w:r w:rsidRPr="00786C1B">
        <w:t xml:space="preserve"> the number of districts to select based on the results, and repeat</w:t>
      </w:r>
      <w:r>
        <w:t>ed this process until the selected samples provided sufficient counts of charter schools for selection</w:t>
      </w:r>
      <w:r w:rsidRPr="00786C1B">
        <w:t xml:space="preserve">.    </w:t>
      </w:r>
    </w:p>
  </w:footnote>
  <w:footnote w:id="7">
    <w:p w14:paraId="4ED50EEC" w14:textId="77777777" w:rsidR="006A2F1C" w:rsidRDefault="006A2F1C" w:rsidP="00252E9B">
      <w:pPr>
        <w:pStyle w:val="FootnoteText"/>
      </w:pPr>
      <w:r>
        <w:rPr>
          <w:rStyle w:val="FootnoteReference"/>
        </w:rPr>
        <w:footnoteRef/>
      </w:r>
      <w:r>
        <w:t xml:space="preserve"> The design effect due to weighting is the increase in the variance of the outcome due to the complex sample design, compared to the variance of the same outcome if a simple random sample had been drawn. The study team tested various caps on the number of schools in a district. The number 200 was selected because it produced the smallest design effects.</w:t>
      </w:r>
    </w:p>
  </w:footnote>
  <w:footnote w:id="8">
    <w:p w14:paraId="5EAA5D3B" w14:textId="77777777" w:rsidR="006A2F1C" w:rsidRDefault="006A2F1C" w:rsidP="00405259">
      <w:pPr>
        <w:pStyle w:val="FootnoteText"/>
      </w:pPr>
      <w:r>
        <w:rPr>
          <w:rStyle w:val="FootnoteReference"/>
        </w:rPr>
        <w:footnoteRef/>
      </w:r>
      <w:r>
        <w:t xml:space="preserve"> The strata are used only for sampling purposes and</w:t>
      </w:r>
      <w:r w:rsidRPr="00F62455">
        <w:t xml:space="preserve"> must be mutually exclusive</w:t>
      </w:r>
      <w:r>
        <w:t xml:space="preserve">. The </w:t>
      </w:r>
      <w:r w:rsidRPr="00F62455">
        <w:t xml:space="preserve">subgroups </w:t>
      </w:r>
      <w:r w:rsidRPr="00987596">
        <w:t xml:space="preserve">are used for </w:t>
      </w:r>
      <w:r>
        <w:t xml:space="preserve">analytic purposes and can overlap. </w:t>
      </w:r>
      <w:r w:rsidRPr="00F62455">
        <w:t xml:space="preserve">For example, the three charter sampling strata will contribute schools to all of the school subgroups. </w:t>
      </w:r>
    </w:p>
  </w:footnote>
  <w:footnote w:id="9">
    <w:p w14:paraId="48C7970B" w14:textId="77777777" w:rsidR="006A2F1C" w:rsidRDefault="006A2F1C" w:rsidP="00252E9B">
      <w:pPr>
        <w:pStyle w:val="FootnoteText"/>
      </w:pPr>
      <w:r>
        <w:rPr>
          <w:rStyle w:val="FootnoteReference"/>
        </w:rPr>
        <w:footnoteRef/>
      </w:r>
      <w:r>
        <w:t xml:space="preserve"> The study team will use the 2015-2016 CCD data for sampling and the most recent available CCD data (at the time of the analysis) to construct post-stratification weights. </w:t>
      </w:r>
    </w:p>
  </w:footnote>
  <w:footnote w:id="10">
    <w:p w14:paraId="2BFA6F71" w14:textId="77777777" w:rsidR="006A2F1C" w:rsidRDefault="006A2F1C">
      <w:pPr>
        <w:pStyle w:val="FootnoteText"/>
      </w:pPr>
      <w:r>
        <w:rPr>
          <w:rStyle w:val="FootnoteReference"/>
        </w:rPr>
        <w:footnoteRef/>
      </w:r>
      <w:r>
        <w:t xml:space="preserve"> Subsequent to providing input on this study, Laurie VanderPloeg became the Director of the Office of Special Education Programs (OSEP), U.S. Department of Education.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B6CA9" w14:textId="77777777" w:rsidR="006A2F1C" w:rsidRPr="00C44B5B" w:rsidRDefault="006A2F1C" w:rsidP="002E3E35">
    <w:pPr>
      <w:pStyle w:val="Header"/>
      <w:rPr>
        <w:rFonts w:cs="Arial"/>
        <w:i/>
        <w:szCs w:val="14"/>
      </w:rPr>
    </w:pPr>
    <w:r>
      <w:t>IDEA omb part B</w:t>
    </w:r>
    <w:r>
      <w:tab/>
      <w:t>CONTRACT NUMBER: ED-IES-17</w:t>
    </w:r>
    <w:r w:rsidRPr="0024685E">
      <w:t>-C-00</w:t>
    </w:r>
    <w:r>
      <w:t>69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6BBC9" w14:textId="77777777" w:rsidR="006A2F1C" w:rsidRPr="006808E1" w:rsidRDefault="006A2F1C" w:rsidP="002E3E35">
    <w:pPr>
      <w:pStyle w:val="Header"/>
      <w:rPr>
        <w:rFonts w:cs="Arial"/>
        <w:szCs w:val="14"/>
      </w:rPr>
    </w:pPr>
    <w:r w:rsidRPr="006808E1">
      <w:rPr>
        <w:rFonts w:cs="Arial"/>
        <w:szCs w:val="14"/>
      </w:rPr>
      <w:t xml:space="preserve">IDEA omb part </w:t>
    </w:r>
    <w:r>
      <w:rPr>
        <w:rFonts w:cs="Arial"/>
        <w:szCs w:val="14"/>
      </w:rPr>
      <w:t>B</w:t>
    </w:r>
    <w:r w:rsidRPr="006808E1">
      <w:rPr>
        <w:rFonts w:cs="Arial"/>
        <w:szCs w:val="14"/>
      </w:rPr>
      <w:tab/>
      <w:t>CONTRACT NUMBER: ED-IES-17-C-0069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0D9C5" w14:textId="77777777" w:rsidR="006A2F1C" w:rsidRPr="006808E1" w:rsidRDefault="006A2F1C" w:rsidP="005D5FA4">
    <w:pPr>
      <w:pStyle w:val="Header"/>
      <w:rPr>
        <w:rFonts w:cs="Arial"/>
        <w:szCs w:val="14"/>
      </w:rPr>
    </w:pPr>
    <w:r w:rsidRPr="006808E1">
      <w:rPr>
        <w:rFonts w:cs="Arial"/>
        <w:szCs w:val="14"/>
      </w:rPr>
      <w:t xml:space="preserve">IDEA omb part </w:t>
    </w:r>
    <w:r>
      <w:rPr>
        <w:rFonts w:cs="Arial"/>
        <w:szCs w:val="14"/>
      </w:rPr>
      <w:t>B</w:t>
    </w:r>
    <w:r w:rsidRPr="006808E1">
      <w:rPr>
        <w:rFonts w:cs="Arial"/>
        <w:szCs w:val="14"/>
      </w:rPr>
      <w:tab/>
      <w:t>CONTRACT NUMBER: ED-IES-17-C-0069</w:t>
    </w:r>
  </w:p>
  <w:p w14:paraId="4B1F4F87" w14:textId="77777777" w:rsidR="006A2F1C" w:rsidRPr="005D5FA4" w:rsidRDefault="006A2F1C" w:rsidP="005D5FA4">
    <w:pPr>
      <w:pStyle w:val="Header"/>
      <w:pBdr>
        <w:bottom w:val="none" w:sz="0" w:space="0" w:color="auto"/>
      </w:pBdr>
      <w:rPr>
        <w:rFonts w:cs="Arial"/>
        <w:szCs w:val="1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00B1D" w14:textId="77777777" w:rsidR="006A2F1C" w:rsidRPr="005D5FA4" w:rsidRDefault="006A2F1C" w:rsidP="002E3E35">
    <w:pPr>
      <w:pStyle w:val="Header"/>
      <w:rPr>
        <w:rFonts w:cs="Arial"/>
        <w:szCs w:val="14"/>
      </w:rPr>
    </w:pPr>
    <w:r w:rsidRPr="005D5FA4">
      <w:rPr>
        <w:rFonts w:cs="Arial"/>
        <w:szCs w:val="14"/>
      </w:rPr>
      <w:t>IDEA omb part B</w:t>
    </w:r>
    <w:r w:rsidRPr="005D5FA4">
      <w:rPr>
        <w:rFonts w:cs="Arial"/>
        <w:szCs w:val="14"/>
      </w:rPr>
      <w:tab/>
      <w:t>CONTRACT NUMBER: ED-IES-17-C-0069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E1103" w14:textId="77777777" w:rsidR="006A2F1C" w:rsidRPr="00EB08B4" w:rsidRDefault="006A2F1C" w:rsidP="005156F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0010F"/>
    <w:multiLevelType w:val="hybridMultilevel"/>
    <w:tmpl w:val="AE88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642EC"/>
    <w:multiLevelType w:val="hybridMultilevel"/>
    <w:tmpl w:val="530C633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3F7E045A"/>
    <w:multiLevelType w:val="hybridMultilevel"/>
    <w:tmpl w:val="0B1A25D6"/>
    <w:lvl w:ilvl="0" w:tplc="34D06F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3FE73CD2"/>
    <w:multiLevelType w:val="hybridMultilevel"/>
    <w:tmpl w:val="F450436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ADD3B42"/>
    <w:multiLevelType w:val="hybridMultilevel"/>
    <w:tmpl w:val="48C666B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B737871"/>
    <w:multiLevelType w:val="hybridMultilevel"/>
    <w:tmpl w:val="D304F36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6EE35B1A"/>
    <w:multiLevelType w:val="hybridMultilevel"/>
    <w:tmpl w:val="9300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5A5849BC"/>
    <w:lvl w:ilvl="0" w:tplc="B6882E88">
      <w:start w:val="1"/>
      <w:numFmt w:val="bullet"/>
      <w:pStyle w:val="Bullet"/>
      <w:lvlText w:val=""/>
      <w:lvlJc w:val="left"/>
      <w:pPr>
        <w:ind w:left="720" w:hanging="360"/>
      </w:pPr>
      <w:rPr>
        <w:rFonts w:ascii="Symbol" w:hAnsi="Symbol" w:hint="default"/>
      </w:rPr>
    </w:lvl>
    <w:lvl w:ilvl="1" w:tplc="7C74042E">
      <w:numFmt w:val="bullet"/>
      <w:lvlText w:val="•"/>
      <w:lvlJc w:val="left"/>
      <w:pPr>
        <w:ind w:left="1515" w:hanging="43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846DB5"/>
    <w:multiLevelType w:val="hybridMultilevel"/>
    <w:tmpl w:val="84D0B4DC"/>
    <w:lvl w:ilvl="0" w:tplc="2ACE6A4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EB702E0"/>
    <w:multiLevelType w:val="hybridMultilevel"/>
    <w:tmpl w:val="0CC4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31"/>
  </w:num>
  <w:num w:numId="4">
    <w:abstractNumId w:val="6"/>
  </w:num>
  <w:num w:numId="5">
    <w:abstractNumId w:val="29"/>
  </w:num>
  <w:num w:numId="6">
    <w:abstractNumId w:val="32"/>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9"/>
  </w:num>
  <w:num w:numId="19">
    <w:abstractNumId w:val="19"/>
  </w:num>
  <w:num w:numId="20">
    <w:abstractNumId w:val="4"/>
  </w:num>
  <w:num w:numId="21">
    <w:abstractNumId w:val="20"/>
  </w:num>
  <w:num w:numId="22">
    <w:abstractNumId w:val="2"/>
  </w:num>
  <w:num w:numId="23">
    <w:abstractNumId w:val="14"/>
  </w:num>
  <w:num w:numId="24">
    <w:abstractNumId w:val="26"/>
  </w:num>
  <w:num w:numId="25">
    <w:abstractNumId w:val="5"/>
  </w:num>
  <w:num w:numId="26">
    <w:abstractNumId w:val="1"/>
  </w:num>
  <w:num w:numId="27">
    <w:abstractNumId w:val="7"/>
  </w:num>
  <w:num w:numId="28">
    <w:abstractNumId w:val="15"/>
  </w:num>
  <w:num w:numId="29">
    <w:abstractNumId w:val="23"/>
  </w:num>
  <w:num w:numId="30">
    <w:abstractNumId w:val="21"/>
  </w:num>
  <w:num w:numId="31">
    <w:abstractNumId w:val="3"/>
  </w:num>
  <w:num w:numId="32">
    <w:abstractNumId w:val="16"/>
    <w:lvlOverride w:ilvl="0">
      <w:startOverride w:val="1"/>
    </w:lvlOverride>
  </w:num>
  <w:num w:numId="33">
    <w:abstractNumId w:val="8"/>
  </w:num>
  <w:num w:numId="34">
    <w:abstractNumId w:val="24"/>
  </w:num>
  <w:num w:numId="35">
    <w:abstractNumId w:val="30"/>
  </w:num>
  <w:num w:numId="36">
    <w:abstractNumId w:val="10"/>
  </w:num>
  <w:num w:numId="37">
    <w:abstractNumId w:val="25"/>
  </w:num>
  <w:num w:numId="38">
    <w:abstractNumId w:val="13"/>
  </w:num>
  <w:num w:numId="39">
    <w:abstractNumId w:val="12"/>
  </w:num>
  <w:num w:numId="40">
    <w:abstractNumId w:val="33"/>
  </w:num>
  <w:num w:numId="41">
    <w:abstractNumId w:val="17"/>
  </w:num>
  <w:num w:numId="42">
    <w:abstractNumId w:val="11"/>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E9"/>
    <w:rsid w:val="000005E9"/>
    <w:rsid w:val="00000B1D"/>
    <w:rsid w:val="00000E2E"/>
    <w:rsid w:val="00002EF0"/>
    <w:rsid w:val="000030B1"/>
    <w:rsid w:val="00005165"/>
    <w:rsid w:val="000070A1"/>
    <w:rsid w:val="00010944"/>
    <w:rsid w:val="00010CEE"/>
    <w:rsid w:val="00015149"/>
    <w:rsid w:val="0001587F"/>
    <w:rsid w:val="00016D34"/>
    <w:rsid w:val="000212FC"/>
    <w:rsid w:val="00022A0A"/>
    <w:rsid w:val="00022D3B"/>
    <w:rsid w:val="00022E10"/>
    <w:rsid w:val="0002322B"/>
    <w:rsid w:val="0002754E"/>
    <w:rsid w:val="00030A9F"/>
    <w:rsid w:val="000312CC"/>
    <w:rsid w:val="00031680"/>
    <w:rsid w:val="000317CF"/>
    <w:rsid w:val="0003265D"/>
    <w:rsid w:val="00032E4E"/>
    <w:rsid w:val="0003458F"/>
    <w:rsid w:val="00034667"/>
    <w:rsid w:val="0003525A"/>
    <w:rsid w:val="000354D6"/>
    <w:rsid w:val="00036CE1"/>
    <w:rsid w:val="00036E7F"/>
    <w:rsid w:val="00036F4D"/>
    <w:rsid w:val="00037C91"/>
    <w:rsid w:val="00040B2C"/>
    <w:rsid w:val="000419D5"/>
    <w:rsid w:val="000423BE"/>
    <w:rsid w:val="00042419"/>
    <w:rsid w:val="00042FA8"/>
    <w:rsid w:val="000431B7"/>
    <w:rsid w:val="00043329"/>
    <w:rsid w:val="00043B27"/>
    <w:rsid w:val="00044069"/>
    <w:rsid w:val="00047BDD"/>
    <w:rsid w:val="000502AD"/>
    <w:rsid w:val="0005187D"/>
    <w:rsid w:val="00051911"/>
    <w:rsid w:val="0005493B"/>
    <w:rsid w:val="00056BC1"/>
    <w:rsid w:val="000575D5"/>
    <w:rsid w:val="000578BB"/>
    <w:rsid w:val="00060579"/>
    <w:rsid w:val="000633AA"/>
    <w:rsid w:val="000651F9"/>
    <w:rsid w:val="00065D69"/>
    <w:rsid w:val="00067436"/>
    <w:rsid w:val="0007041A"/>
    <w:rsid w:val="000714A4"/>
    <w:rsid w:val="00072EEA"/>
    <w:rsid w:val="000777DB"/>
    <w:rsid w:val="000777EF"/>
    <w:rsid w:val="00080017"/>
    <w:rsid w:val="0008112E"/>
    <w:rsid w:val="000855BD"/>
    <w:rsid w:val="00086066"/>
    <w:rsid w:val="00087FC7"/>
    <w:rsid w:val="0009143A"/>
    <w:rsid w:val="000942A5"/>
    <w:rsid w:val="00094859"/>
    <w:rsid w:val="00095543"/>
    <w:rsid w:val="000972E1"/>
    <w:rsid w:val="000A08C3"/>
    <w:rsid w:val="000A2181"/>
    <w:rsid w:val="000A2330"/>
    <w:rsid w:val="000A26BC"/>
    <w:rsid w:val="000A41DE"/>
    <w:rsid w:val="000A5A8D"/>
    <w:rsid w:val="000A6591"/>
    <w:rsid w:val="000A7604"/>
    <w:rsid w:val="000A7FB4"/>
    <w:rsid w:val="000B3EA3"/>
    <w:rsid w:val="000B521D"/>
    <w:rsid w:val="000B555A"/>
    <w:rsid w:val="000B75E9"/>
    <w:rsid w:val="000B764C"/>
    <w:rsid w:val="000B7EC6"/>
    <w:rsid w:val="000C00C1"/>
    <w:rsid w:val="000C024B"/>
    <w:rsid w:val="000C1DC7"/>
    <w:rsid w:val="000C2E3B"/>
    <w:rsid w:val="000C31B3"/>
    <w:rsid w:val="000C413E"/>
    <w:rsid w:val="000C5A80"/>
    <w:rsid w:val="000C7D4D"/>
    <w:rsid w:val="000D01D4"/>
    <w:rsid w:val="000D0364"/>
    <w:rsid w:val="000D044A"/>
    <w:rsid w:val="000D43B9"/>
    <w:rsid w:val="000D5251"/>
    <w:rsid w:val="000D593F"/>
    <w:rsid w:val="000D5B34"/>
    <w:rsid w:val="000D5C4F"/>
    <w:rsid w:val="000D6D88"/>
    <w:rsid w:val="000D751A"/>
    <w:rsid w:val="000E00FF"/>
    <w:rsid w:val="000E0694"/>
    <w:rsid w:val="000E12A1"/>
    <w:rsid w:val="000E141C"/>
    <w:rsid w:val="000E1C2B"/>
    <w:rsid w:val="000E2169"/>
    <w:rsid w:val="000E2BD6"/>
    <w:rsid w:val="000E3C6D"/>
    <w:rsid w:val="000E4C3F"/>
    <w:rsid w:val="000F09DD"/>
    <w:rsid w:val="000F2D9E"/>
    <w:rsid w:val="000F3391"/>
    <w:rsid w:val="000F34E1"/>
    <w:rsid w:val="000F677B"/>
    <w:rsid w:val="001004A7"/>
    <w:rsid w:val="00100E26"/>
    <w:rsid w:val="00103F29"/>
    <w:rsid w:val="00110480"/>
    <w:rsid w:val="001119F8"/>
    <w:rsid w:val="00112A5E"/>
    <w:rsid w:val="00113057"/>
    <w:rsid w:val="00113BC8"/>
    <w:rsid w:val="00113CC8"/>
    <w:rsid w:val="0011684A"/>
    <w:rsid w:val="001169FA"/>
    <w:rsid w:val="00116C80"/>
    <w:rsid w:val="001174BD"/>
    <w:rsid w:val="00122C2C"/>
    <w:rsid w:val="00124792"/>
    <w:rsid w:val="001308EC"/>
    <w:rsid w:val="00130973"/>
    <w:rsid w:val="00130C03"/>
    <w:rsid w:val="001311F7"/>
    <w:rsid w:val="0013184F"/>
    <w:rsid w:val="00131D22"/>
    <w:rsid w:val="00131F00"/>
    <w:rsid w:val="00132544"/>
    <w:rsid w:val="0013268F"/>
    <w:rsid w:val="00132E65"/>
    <w:rsid w:val="0013346F"/>
    <w:rsid w:val="00135EB7"/>
    <w:rsid w:val="00135FC7"/>
    <w:rsid w:val="0013709C"/>
    <w:rsid w:val="00143ADB"/>
    <w:rsid w:val="00145911"/>
    <w:rsid w:val="00145D32"/>
    <w:rsid w:val="00146CE3"/>
    <w:rsid w:val="00147515"/>
    <w:rsid w:val="00147A74"/>
    <w:rsid w:val="00151709"/>
    <w:rsid w:val="001519F7"/>
    <w:rsid w:val="001541FB"/>
    <w:rsid w:val="00154207"/>
    <w:rsid w:val="00154DF1"/>
    <w:rsid w:val="00155492"/>
    <w:rsid w:val="00155D06"/>
    <w:rsid w:val="00157579"/>
    <w:rsid w:val="00157CA2"/>
    <w:rsid w:val="00163BDB"/>
    <w:rsid w:val="001649D5"/>
    <w:rsid w:val="00164BC2"/>
    <w:rsid w:val="00167BA7"/>
    <w:rsid w:val="00170410"/>
    <w:rsid w:val="001726C6"/>
    <w:rsid w:val="001739F1"/>
    <w:rsid w:val="00175334"/>
    <w:rsid w:val="00176DA0"/>
    <w:rsid w:val="00181AC8"/>
    <w:rsid w:val="00182AE4"/>
    <w:rsid w:val="00184421"/>
    <w:rsid w:val="00185CEF"/>
    <w:rsid w:val="001921A4"/>
    <w:rsid w:val="00193725"/>
    <w:rsid w:val="00194A0E"/>
    <w:rsid w:val="001969F1"/>
    <w:rsid w:val="00196E5A"/>
    <w:rsid w:val="00197503"/>
    <w:rsid w:val="001979D5"/>
    <w:rsid w:val="001A00E3"/>
    <w:rsid w:val="001A1B3C"/>
    <w:rsid w:val="001A1F75"/>
    <w:rsid w:val="001A2690"/>
    <w:rsid w:val="001A3781"/>
    <w:rsid w:val="001A4ED0"/>
    <w:rsid w:val="001B107D"/>
    <w:rsid w:val="001B1BA9"/>
    <w:rsid w:val="001B4842"/>
    <w:rsid w:val="001B4D94"/>
    <w:rsid w:val="001B5C7D"/>
    <w:rsid w:val="001B60D5"/>
    <w:rsid w:val="001C160D"/>
    <w:rsid w:val="001C5EB8"/>
    <w:rsid w:val="001C71E1"/>
    <w:rsid w:val="001C7FBE"/>
    <w:rsid w:val="001D3544"/>
    <w:rsid w:val="001D3997"/>
    <w:rsid w:val="001D39AA"/>
    <w:rsid w:val="001D39EC"/>
    <w:rsid w:val="001D418D"/>
    <w:rsid w:val="001D5299"/>
    <w:rsid w:val="001D5485"/>
    <w:rsid w:val="001D661F"/>
    <w:rsid w:val="001D69B0"/>
    <w:rsid w:val="001D7B65"/>
    <w:rsid w:val="001E06A5"/>
    <w:rsid w:val="001E12B0"/>
    <w:rsid w:val="001E3975"/>
    <w:rsid w:val="001E53B2"/>
    <w:rsid w:val="001E5B57"/>
    <w:rsid w:val="001E6A60"/>
    <w:rsid w:val="001E6E5A"/>
    <w:rsid w:val="001F0180"/>
    <w:rsid w:val="001F0CB6"/>
    <w:rsid w:val="001F1CBB"/>
    <w:rsid w:val="001F3D35"/>
    <w:rsid w:val="001F4895"/>
    <w:rsid w:val="001F697C"/>
    <w:rsid w:val="001F7219"/>
    <w:rsid w:val="001F78DA"/>
    <w:rsid w:val="00201E7E"/>
    <w:rsid w:val="0020245D"/>
    <w:rsid w:val="00202764"/>
    <w:rsid w:val="00203E3B"/>
    <w:rsid w:val="00204AB9"/>
    <w:rsid w:val="00204B23"/>
    <w:rsid w:val="00204CC2"/>
    <w:rsid w:val="002050B7"/>
    <w:rsid w:val="00205475"/>
    <w:rsid w:val="00205B75"/>
    <w:rsid w:val="002120A6"/>
    <w:rsid w:val="002144D2"/>
    <w:rsid w:val="00214E0B"/>
    <w:rsid w:val="0021518E"/>
    <w:rsid w:val="00215C5A"/>
    <w:rsid w:val="00215E4D"/>
    <w:rsid w:val="002166BC"/>
    <w:rsid w:val="00216B5C"/>
    <w:rsid w:val="00217FA0"/>
    <w:rsid w:val="00222BD0"/>
    <w:rsid w:val="002240C8"/>
    <w:rsid w:val="00225954"/>
    <w:rsid w:val="00226939"/>
    <w:rsid w:val="0022714B"/>
    <w:rsid w:val="002272CB"/>
    <w:rsid w:val="00231607"/>
    <w:rsid w:val="00233FB9"/>
    <w:rsid w:val="00234C31"/>
    <w:rsid w:val="0023638D"/>
    <w:rsid w:val="00237297"/>
    <w:rsid w:val="002400AD"/>
    <w:rsid w:val="00241E83"/>
    <w:rsid w:val="00242E6A"/>
    <w:rsid w:val="00244217"/>
    <w:rsid w:val="00247945"/>
    <w:rsid w:val="002528FC"/>
    <w:rsid w:val="00252E9B"/>
    <w:rsid w:val="00254C89"/>
    <w:rsid w:val="00254E2D"/>
    <w:rsid w:val="0025522E"/>
    <w:rsid w:val="00256253"/>
    <w:rsid w:val="002567D8"/>
    <w:rsid w:val="00256D04"/>
    <w:rsid w:val="0026025C"/>
    <w:rsid w:val="0026156D"/>
    <w:rsid w:val="00262871"/>
    <w:rsid w:val="00263305"/>
    <w:rsid w:val="00265794"/>
    <w:rsid w:val="00266E42"/>
    <w:rsid w:val="0026713B"/>
    <w:rsid w:val="0027101E"/>
    <w:rsid w:val="0027197D"/>
    <w:rsid w:val="00271A2C"/>
    <w:rsid w:val="00271C83"/>
    <w:rsid w:val="0027245E"/>
    <w:rsid w:val="00272B66"/>
    <w:rsid w:val="002733A4"/>
    <w:rsid w:val="002736E8"/>
    <w:rsid w:val="0027478A"/>
    <w:rsid w:val="002817A6"/>
    <w:rsid w:val="00283304"/>
    <w:rsid w:val="0028360E"/>
    <w:rsid w:val="00283A68"/>
    <w:rsid w:val="002843BF"/>
    <w:rsid w:val="00284BAA"/>
    <w:rsid w:val="002869EF"/>
    <w:rsid w:val="0029011D"/>
    <w:rsid w:val="0029042C"/>
    <w:rsid w:val="00290E54"/>
    <w:rsid w:val="00291D76"/>
    <w:rsid w:val="00292A7F"/>
    <w:rsid w:val="00294B21"/>
    <w:rsid w:val="002958E4"/>
    <w:rsid w:val="00297266"/>
    <w:rsid w:val="002A00E4"/>
    <w:rsid w:val="002A0371"/>
    <w:rsid w:val="002A0E21"/>
    <w:rsid w:val="002A15EE"/>
    <w:rsid w:val="002A2808"/>
    <w:rsid w:val="002A2E96"/>
    <w:rsid w:val="002A3D5D"/>
    <w:rsid w:val="002A40F1"/>
    <w:rsid w:val="002A4F27"/>
    <w:rsid w:val="002A5B3C"/>
    <w:rsid w:val="002A6253"/>
    <w:rsid w:val="002A64F9"/>
    <w:rsid w:val="002A6552"/>
    <w:rsid w:val="002B0E82"/>
    <w:rsid w:val="002B1665"/>
    <w:rsid w:val="002B1E05"/>
    <w:rsid w:val="002B25CD"/>
    <w:rsid w:val="002B51D1"/>
    <w:rsid w:val="002B68AC"/>
    <w:rsid w:val="002B71CD"/>
    <w:rsid w:val="002B72E0"/>
    <w:rsid w:val="002B76AB"/>
    <w:rsid w:val="002B7C37"/>
    <w:rsid w:val="002C053E"/>
    <w:rsid w:val="002C1104"/>
    <w:rsid w:val="002C1507"/>
    <w:rsid w:val="002C2D17"/>
    <w:rsid w:val="002C3798"/>
    <w:rsid w:val="002C3CA5"/>
    <w:rsid w:val="002C40A9"/>
    <w:rsid w:val="002C4DA1"/>
    <w:rsid w:val="002C598D"/>
    <w:rsid w:val="002C71CA"/>
    <w:rsid w:val="002C79A9"/>
    <w:rsid w:val="002D0A98"/>
    <w:rsid w:val="002D1CAD"/>
    <w:rsid w:val="002D208A"/>
    <w:rsid w:val="002D262A"/>
    <w:rsid w:val="002D4019"/>
    <w:rsid w:val="002D56C4"/>
    <w:rsid w:val="002D6763"/>
    <w:rsid w:val="002D7B94"/>
    <w:rsid w:val="002E0211"/>
    <w:rsid w:val="002E06F1"/>
    <w:rsid w:val="002E226E"/>
    <w:rsid w:val="002E3643"/>
    <w:rsid w:val="002E3E35"/>
    <w:rsid w:val="002E43F6"/>
    <w:rsid w:val="002E68EB"/>
    <w:rsid w:val="002F297B"/>
    <w:rsid w:val="002F4BEB"/>
    <w:rsid w:val="002F6A16"/>
    <w:rsid w:val="002F6E35"/>
    <w:rsid w:val="0030151A"/>
    <w:rsid w:val="0030242C"/>
    <w:rsid w:val="003026AD"/>
    <w:rsid w:val="00302890"/>
    <w:rsid w:val="00302C1A"/>
    <w:rsid w:val="003065B4"/>
    <w:rsid w:val="00306E61"/>
    <w:rsid w:val="00306F1E"/>
    <w:rsid w:val="00310CBE"/>
    <w:rsid w:val="00311328"/>
    <w:rsid w:val="003114E2"/>
    <w:rsid w:val="00312562"/>
    <w:rsid w:val="00312C70"/>
    <w:rsid w:val="00312E18"/>
    <w:rsid w:val="00312EFE"/>
    <w:rsid w:val="00315DEC"/>
    <w:rsid w:val="0031740A"/>
    <w:rsid w:val="00317FDB"/>
    <w:rsid w:val="003250D8"/>
    <w:rsid w:val="003251BF"/>
    <w:rsid w:val="00325BE8"/>
    <w:rsid w:val="00325FF2"/>
    <w:rsid w:val="003266D0"/>
    <w:rsid w:val="003267C4"/>
    <w:rsid w:val="00326958"/>
    <w:rsid w:val="0033012A"/>
    <w:rsid w:val="00330451"/>
    <w:rsid w:val="003308C3"/>
    <w:rsid w:val="00331ADC"/>
    <w:rsid w:val="00336E9B"/>
    <w:rsid w:val="00340044"/>
    <w:rsid w:val="003412D4"/>
    <w:rsid w:val="00341682"/>
    <w:rsid w:val="003426BF"/>
    <w:rsid w:val="00345556"/>
    <w:rsid w:val="0034623C"/>
    <w:rsid w:val="00346DA8"/>
    <w:rsid w:val="00346E5F"/>
    <w:rsid w:val="00351906"/>
    <w:rsid w:val="003525D2"/>
    <w:rsid w:val="00352C71"/>
    <w:rsid w:val="0035324C"/>
    <w:rsid w:val="00354F22"/>
    <w:rsid w:val="003551B4"/>
    <w:rsid w:val="0035526C"/>
    <w:rsid w:val="003553D6"/>
    <w:rsid w:val="00355CB6"/>
    <w:rsid w:val="00356DC4"/>
    <w:rsid w:val="00357B5C"/>
    <w:rsid w:val="003600A8"/>
    <w:rsid w:val="003605C2"/>
    <w:rsid w:val="0036228E"/>
    <w:rsid w:val="00363410"/>
    <w:rsid w:val="00363A19"/>
    <w:rsid w:val="0036529B"/>
    <w:rsid w:val="003656C4"/>
    <w:rsid w:val="00366F93"/>
    <w:rsid w:val="00367EA8"/>
    <w:rsid w:val="00370490"/>
    <w:rsid w:val="00370BC5"/>
    <w:rsid w:val="00370D5B"/>
    <w:rsid w:val="003720CE"/>
    <w:rsid w:val="00372355"/>
    <w:rsid w:val="003743AD"/>
    <w:rsid w:val="00375BB4"/>
    <w:rsid w:val="00382008"/>
    <w:rsid w:val="0038458B"/>
    <w:rsid w:val="00384A00"/>
    <w:rsid w:val="00384E5E"/>
    <w:rsid w:val="003857C6"/>
    <w:rsid w:val="00387C3D"/>
    <w:rsid w:val="00387CD1"/>
    <w:rsid w:val="00387E00"/>
    <w:rsid w:val="0039018C"/>
    <w:rsid w:val="00391107"/>
    <w:rsid w:val="00391197"/>
    <w:rsid w:val="0039152A"/>
    <w:rsid w:val="003921CA"/>
    <w:rsid w:val="00392614"/>
    <w:rsid w:val="00393749"/>
    <w:rsid w:val="00394544"/>
    <w:rsid w:val="00394DAA"/>
    <w:rsid w:val="003961C3"/>
    <w:rsid w:val="00396792"/>
    <w:rsid w:val="003969F2"/>
    <w:rsid w:val="00396FD7"/>
    <w:rsid w:val="003A0C7A"/>
    <w:rsid w:val="003A1187"/>
    <w:rsid w:val="003A16DA"/>
    <w:rsid w:val="003A1C19"/>
    <w:rsid w:val="003A1FF5"/>
    <w:rsid w:val="003A3ADA"/>
    <w:rsid w:val="003A501E"/>
    <w:rsid w:val="003A63C1"/>
    <w:rsid w:val="003A77DB"/>
    <w:rsid w:val="003B1634"/>
    <w:rsid w:val="003B309B"/>
    <w:rsid w:val="003B310F"/>
    <w:rsid w:val="003B556C"/>
    <w:rsid w:val="003B66B8"/>
    <w:rsid w:val="003B690F"/>
    <w:rsid w:val="003C3464"/>
    <w:rsid w:val="003C38EC"/>
    <w:rsid w:val="003C3D79"/>
    <w:rsid w:val="003C5226"/>
    <w:rsid w:val="003C7371"/>
    <w:rsid w:val="003D15B6"/>
    <w:rsid w:val="003D264B"/>
    <w:rsid w:val="003D55D1"/>
    <w:rsid w:val="003E1520"/>
    <w:rsid w:val="003E21DB"/>
    <w:rsid w:val="003E30E0"/>
    <w:rsid w:val="003E3505"/>
    <w:rsid w:val="003E38F5"/>
    <w:rsid w:val="003E418E"/>
    <w:rsid w:val="003E6D3C"/>
    <w:rsid w:val="003E7979"/>
    <w:rsid w:val="003E7AA5"/>
    <w:rsid w:val="003F0082"/>
    <w:rsid w:val="003F1137"/>
    <w:rsid w:val="003F1A1B"/>
    <w:rsid w:val="003F3556"/>
    <w:rsid w:val="003F4ADD"/>
    <w:rsid w:val="003F4FEC"/>
    <w:rsid w:val="003F5C16"/>
    <w:rsid w:val="003F691B"/>
    <w:rsid w:val="003F7027"/>
    <w:rsid w:val="003F7D6D"/>
    <w:rsid w:val="00402316"/>
    <w:rsid w:val="004027E3"/>
    <w:rsid w:val="00405259"/>
    <w:rsid w:val="00406760"/>
    <w:rsid w:val="00406FF1"/>
    <w:rsid w:val="00413779"/>
    <w:rsid w:val="00416BDB"/>
    <w:rsid w:val="004173C7"/>
    <w:rsid w:val="00420FC2"/>
    <w:rsid w:val="00426AC8"/>
    <w:rsid w:val="00430A83"/>
    <w:rsid w:val="00431084"/>
    <w:rsid w:val="00432614"/>
    <w:rsid w:val="00433E77"/>
    <w:rsid w:val="00433F7E"/>
    <w:rsid w:val="004348F8"/>
    <w:rsid w:val="00435539"/>
    <w:rsid w:val="0043576B"/>
    <w:rsid w:val="00436B58"/>
    <w:rsid w:val="00436BEA"/>
    <w:rsid w:val="00436F03"/>
    <w:rsid w:val="00437868"/>
    <w:rsid w:val="004406E3"/>
    <w:rsid w:val="00440E08"/>
    <w:rsid w:val="00441AF3"/>
    <w:rsid w:val="0044335E"/>
    <w:rsid w:val="00446629"/>
    <w:rsid w:val="00446C1B"/>
    <w:rsid w:val="00447C2C"/>
    <w:rsid w:val="004533DB"/>
    <w:rsid w:val="00453767"/>
    <w:rsid w:val="00455D47"/>
    <w:rsid w:val="004572DF"/>
    <w:rsid w:val="00457F68"/>
    <w:rsid w:val="00461F24"/>
    <w:rsid w:val="004620FF"/>
    <w:rsid w:val="00462212"/>
    <w:rsid w:val="00464B7F"/>
    <w:rsid w:val="00464BEE"/>
    <w:rsid w:val="004654FB"/>
    <w:rsid w:val="004655C1"/>
    <w:rsid w:val="00465789"/>
    <w:rsid w:val="004662C5"/>
    <w:rsid w:val="004677A4"/>
    <w:rsid w:val="00471248"/>
    <w:rsid w:val="0047286E"/>
    <w:rsid w:val="00473E20"/>
    <w:rsid w:val="004744D6"/>
    <w:rsid w:val="004765E8"/>
    <w:rsid w:val="00480779"/>
    <w:rsid w:val="004851C6"/>
    <w:rsid w:val="00486465"/>
    <w:rsid w:val="004867C2"/>
    <w:rsid w:val="0049195D"/>
    <w:rsid w:val="00491AB9"/>
    <w:rsid w:val="00491D6F"/>
    <w:rsid w:val="00491F1D"/>
    <w:rsid w:val="004934BE"/>
    <w:rsid w:val="004944D5"/>
    <w:rsid w:val="00495DD8"/>
    <w:rsid w:val="00495DE3"/>
    <w:rsid w:val="004A011D"/>
    <w:rsid w:val="004A172C"/>
    <w:rsid w:val="004A47AB"/>
    <w:rsid w:val="004A480A"/>
    <w:rsid w:val="004A4935"/>
    <w:rsid w:val="004A5475"/>
    <w:rsid w:val="004A63D1"/>
    <w:rsid w:val="004B0C2A"/>
    <w:rsid w:val="004B47D3"/>
    <w:rsid w:val="004C498B"/>
    <w:rsid w:val="004C53E7"/>
    <w:rsid w:val="004C5C8F"/>
    <w:rsid w:val="004C67B1"/>
    <w:rsid w:val="004C6DE2"/>
    <w:rsid w:val="004D1EAA"/>
    <w:rsid w:val="004D2C35"/>
    <w:rsid w:val="004D3EFB"/>
    <w:rsid w:val="004D5996"/>
    <w:rsid w:val="004D6B97"/>
    <w:rsid w:val="004E0115"/>
    <w:rsid w:val="004E049B"/>
    <w:rsid w:val="004E17E7"/>
    <w:rsid w:val="004E1AF4"/>
    <w:rsid w:val="004E1E01"/>
    <w:rsid w:val="004E69F7"/>
    <w:rsid w:val="004E7409"/>
    <w:rsid w:val="004E74D1"/>
    <w:rsid w:val="004F2BAC"/>
    <w:rsid w:val="004F2FD3"/>
    <w:rsid w:val="004F36C4"/>
    <w:rsid w:val="004F47BD"/>
    <w:rsid w:val="004F58CE"/>
    <w:rsid w:val="004F5918"/>
    <w:rsid w:val="004F6D63"/>
    <w:rsid w:val="00500104"/>
    <w:rsid w:val="0050038C"/>
    <w:rsid w:val="00502328"/>
    <w:rsid w:val="00505804"/>
    <w:rsid w:val="00506F79"/>
    <w:rsid w:val="00507F46"/>
    <w:rsid w:val="00511D22"/>
    <w:rsid w:val="00514EEA"/>
    <w:rsid w:val="005156FA"/>
    <w:rsid w:val="00515C5B"/>
    <w:rsid w:val="00515DE1"/>
    <w:rsid w:val="00520A9E"/>
    <w:rsid w:val="00522F53"/>
    <w:rsid w:val="005257EC"/>
    <w:rsid w:val="00526576"/>
    <w:rsid w:val="00526D08"/>
    <w:rsid w:val="0052785B"/>
    <w:rsid w:val="00534F5A"/>
    <w:rsid w:val="00535221"/>
    <w:rsid w:val="0053540D"/>
    <w:rsid w:val="00537E01"/>
    <w:rsid w:val="005400FC"/>
    <w:rsid w:val="00540352"/>
    <w:rsid w:val="005403E8"/>
    <w:rsid w:val="00540F5F"/>
    <w:rsid w:val="00541A27"/>
    <w:rsid w:val="00543ABB"/>
    <w:rsid w:val="005457C1"/>
    <w:rsid w:val="0054617E"/>
    <w:rsid w:val="00546395"/>
    <w:rsid w:val="005505F0"/>
    <w:rsid w:val="005514AF"/>
    <w:rsid w:val="00551D48"/>
    <w:rsid w:val="00551EFE"/>
    <w:rsid w:val="00552132"/>
    <w:rsid w:val="005547CA"/>
    <w:rsid w:val="005551F9"/>
    <w:rsid w:val="00555AA2"/>
    <w:rsid w:val="00555F68"/>
    <w:rsid w:val="0055637D"/>
    <w:rsid w:val="005576F8"/>
    <w:rsid w:val="00557F35"/>
    <w:rsid w:val="00560D9D"/>
    <w:rsid w:val="00561604"/>
    <w:rsid w:val="0056481E"/>
    <w:rsid w:val="00565336"/>
    <w:rsid w:val="005655FC"/>
    <w:rsid w:val="00566348"/>
    <w:rsid w:val="00567CE0"/>
    <w:rsid w:val="005705C2"/>
    <w:rsid w:val="00570CAA"/>
    <w:rsid w:val="005720EB"/>
    <w:rsid w:val="00576A17"/>
    <w:rsid w:val="00580A6C"/>
    <w:rsid w:val="00581BD5"/>
    <w:rsid w:val="00582B2F"/>
    <w:rsid w:val="005837E2"/>
    <w:rsid w:val="005843AE"/>
    <w:rsid w:val="005848C2"/>
    <w:rsid w:val="00585F60"/>
    <w:rsid w:val="005860D2"/>
    <w:rsid w:val="00586902"/>
    <w:rsid w:val="005903AC"/>
    <w:rsid w:val="0059427D"/>
    <w:rsid w:val="0059577A"/>
    <w:rsid w:val="005975FE"/>
    <w:rsid w:val="00597F00"/>
    <w:rsid w:val="005A151B"/>
    <w:rsid w:val="005A1F2D"/>
    <w:rsid w:val="005A5827"/>
    <w:rsid w:val="005A6408"/>
    <w:rsid w:val="005A6B00"/>
    <w:rsid w:val="005A6ED6"/>
    <w:rsid w:val="005A7E24"/>
    <w:rsid w:val="005A7F69"/>
    <w:rsid w:val="005B0AC1"/>
    <w:rsid w:val="005B166A"/>
    <w:rsid w:val="005B3BFB"/>
    <w:rsid w:val="005B572B"/>
    <w:rsid w:val="005B7B5E"/>
    <w:rsid w:val="005C273A"/>
    <w:rsid w:val="005C2D2D"/>
    <w:rsid w:val="005C2E96"/>
    <w:rsid w:val="005C40D5"/>
    <w:rsid w:val="005C40E0"/>
    <w:rsid w:val="005C4D8D"/>
    <w:rsid w:val="005C6790"/>
    <w:rsid w:val="005D1DEB"/>
    <w:rsid w:val="005D2DCF"/>
    <w:rsid w:val="005D51C5"/>
    <w:rsid w:val="005D5D21"/>
    <w:rsid w:val="005D5FA4"/>
    <w:rsid w:val="005D667F"/>
    <w:rsid w:val="005E2293"/>
    <w:rsid w:val="005E2B24"/>
    <w:rsid w:val="005E454D"/>
    <w:rsid w:val="005E530F"/>
    <w:rsid w:val="005F157B"/>
    <w:rsid w:val="005F26BC"/>
    <w:rsid w:val="005F28ED"/>
    <w:rsid w:val="005F2CFC"/>
    <w:rsid w:val="005F33FC"/>
    <w:rsid w:val="005F431F"/>
    <w:rsid w:val="005F524B"/>
    <w:rsid w:val="005F5707"/>
    <w:rsid w:val="005F5DC1"/>
    <w:rsid w:val="005F62D1"/>
    <w:rsid w:val="005F6B5E"/>
    <w:rsid w:val="005F6F8C"/>
    <w:rsid w:val="005F7ADD"/>
    <w:rsid w:val="005F7FEA"/>
    <w:rsid w:val="00600732"/>
    <w:rsid w:val="00600D1A"/>
    <w:rsid w:val="00601DE0"/>
    <w:rsid w:val="00601FDC"/>
    <w:rsid w:val="00604738"/>
    <w:rsid w:val="00604B73"/>
    <w:rsid w:val="00606DB5"/>
    <w:rsid w:val="006075CC"/>
    <w:rsid w:val="00613314"/>
    <w:rsid w:val="00615050"/>
    <w:rsid w:val="0061592C"/>
    <w:rsid w:val="00615EC1"/>
    <w:rsid w:val="00616DE6"/>
    <w:rsid w:val="00622372"/>
    <w:rsid w:val="006232CF"/>
    <w:rsid w:val="00623E13"/>
    <w:rsid w:val="0062504A"/>
    <w:rsid w:val="0062545D"/>
    <w:rsid w:val="006258B4"/>
    <w:rsid w:val="006269A6"/>
    <w:rsid w:val="00627DC8"/>
    <w:rsid w:val="00633E77"/>
    <w:rsid w:val="00634AE6"/>
    <w:rsid w:val="0063549E"/>
    <w:rsid w:val="0063644E"/>
    <w:rsid w:val="00636D6D"/>
    <w:rsid w:val="006371A1"/>
    <w:rsid w:val="006404FF"/>
    <w:rsid w:val="006414AC"/>
    <w:rsid w:val="00650868"/>
    <w:rsid w:val="00651202"/>
    <w:rsid w:val="00652308"/>
    <w:rsid w:val="00654213"/>
    <w:rsid w:val="00654AA1"/>
    <w:rsid w:val="0066062F"/>
    <w:rsid w:val="0066273C"/>
    <w:rsid w:val="00662E13"/>
    <w:rsid w:val="00665696"/>
    <w:rsid w:val="00667DAA"/>
    <w:rsid w:val="00671099"/>
    <w:rsid w:val="0067358F"/>
    <w:rsid w:val="00673631"/>
    <w:rsid w:val="0067395C"/>
    <w:rsid w:val="00673E35"/>
    <w:rsid w:val="00675C9C"/>
    <w:rsid w:val="00676A56"/>
    <w:rsid w:val="0068215C"/>
    <w:rsid w:val="0068230E"/>
    <w:rsid w:val="006828E8"/>
    <w:rsid w:val="0068583B"/>
    <w:rsid w:val="00685A73"/>
    <w:rsid w:val="00686544"/>
    <w:rsid w:val="00693BB5"/>
    <w:rsid w:val="00695BA0"/>
    <w:rsid w:val="0069799C"/>
    <w:rsid w:val="00697E5B"/>
    <w:rsid w:val="006A2ED8"/>
    <w:rsid w:val="006A2F1C"/>
    <w:rsid w:val="006A465C"/>
    <w:rsid w:val="006A4FFC"/>
    <w:rsid w:val="006A61D0"/>
    <w:rsid w:val="006A62D1"/>
    <w:rsid w:val="006A6602"/>
    <w:rsid w:val="006A6D7D"/>
    <w:rsid w:val="006A6EAD"/>
    <w:rsid w:val="006A73F8"/>
    <w:rsid w:val="006B10A7"/>
    <w:rsid w:val="006B1180"/>
    <w:rsid w:val="006B2425"/>
    <w:rsid w:val="006B2483"/>
    <w:rsid w:val="006B2735"/>
    <w:rsid w:val="006B4E3F"/>
    <w:rsid w:val="006B599A"/>
    <w:rsid w:val="006B6D4A"/>
    <w:rsid w:val="006B713A"/>
    <w:rsid w:val="006C21A8"/>
    <w:rsid w:val="006C2620"/>
    <w:rsid w:val="006C298E"/>
    <w:rsid w:val="006C3304"/>
    <w:rsid w:val="006C3595"/>
    <w:rsid w:val="006C51D3"/>
    <w:rsid w:val="006C545E"/>
    <w:rsid w:val="006C622E"/>
    <w:rsid w:val="006C7956"/>
    <w:rsid w:val="006C7C2E"/>
    <w:rsid w:val="006C7D55"/>
    <w:rsid w:val="006D03BB"/>
    <w:rsid w:val="006D21FF"/>
    <w:rsid w:val="006D42FA"/>
    <w:rsid w:val="006D4A9D"/>
    <w:rsid w:val="006D680C"/>
    <w:rsid w:val="006D6F0D"/>
    <w:rsid w:val="006E111B"/>
    <w:rsid w:val="006E2804"/>
    <w:rsid w:val="006E3BD4"/>
    <w:rsid w:val="006E4164"/>
    <w:rsid w:val="006E5B0A"/>
    <w:rsid w:val="006F0EF4"/>
    <w:rsid w:val="006F265F"/>
    <w:rsid w:val="006F2ED1"/>
    <w:rsid w:val="006F3FEB"/>
    <w:rsid w:val="006F4397"/>
    <w:rsid w:val="006F4AFC"/>
    <w:rsid w:val="006F5FAE"/>
    <w:rsid w:val="006F6837"/>
    <w:rsid w:val="006F730C"/>
    <w:rsid w:val="006F73F3"/>
    <w:rsid w:val="00700DDD"/>
    <w:rsid w:val="007026D0"/>
    <w:rsid w:val="00702C55"/>
    <w:rsid w:val="00702EB1"/>
    <w:rsid w:val="00702F11"/>
    <w:rsid w:val="007031B1"/>
    <w:rsid w:val="00703605"/>
    <w:rsid w:val="00703B27"/>
    <w:rsid w:val="007040DD"/>
    <w:rsid w:val="007043FD"/>
    <w:rsid w:val="00704940"/>
    <w:rsid w:val="00707489"/>
    <w:rsid w:val="00707736"/>
    <w:rsid w:val="00711B96"/>
    <w:rsid w:val="0071326D"/>
    <w:rsid w:val="00714887"/>
    <w:rsid w:val="00715640"/>
    <w:rsid w:val="00716DB7"/>
    <w:rsid w:val="0071737C"/>
    <w:rsid w:val="00717E90"/>
    <w:rsid w:val="007222A0"/>
    <w:rsid w:val="00725888"/>
    <w:rsid w:val="007301A9"/>
    <w:rsid w:val="00735339"/>
    <w:rsid w:val="0073556E"/>
    <w:rsid w:val="0074120C"/>
    <w:rsid w:val="00742F94"/>
    <w:rsid w:val="0074497C"/>
    <w:rsid w:val="0074593A"/>
    <w:rsid w:val="00750146"/>
    <w:rsid w:val="00750E60"/>
    <w:rsid w:val="00753727"/>
    <w:rsid w:val="007546A2"/>
    <w:rsid w:val="0075488B"/>
    <w:rsid w:val="00754F6A"/>
    <w:rsid w:val="00754F92"/>
    <w:rsid w:val="00756044"/>
    <w:rsid w:val="00756E06"/>
    <w:rsid w:val="007614D4"/>
    <w:rsid w:val="00761C9D"/>
    <w:rsid w:val="00761DA6"/>
    <w:rsid w:val="00762918"/>
    <w:rsid w:val="00764A19"/>
    <w:rsid w:val="00765BC7"/>
    <w:rsid w:val="007661ED"/>
    <w:rsid w:val="00766220"/>
    <w:rsid w:val="007700B1"/>
    <w:rsid w:val="00770F73"/>
    <w:rsid w:val="0077236D"/>
    <w:rsid w:val="00772BCE"/>
    <w:rsid w:val="00774690"/>
    <w:rsid w:val="00777ED5"/>
    <w:rsid w:val="00780B38"/>
    <w:rsid w:val="00781F52"/>
    <w:rsid w:val="007825D9"/>
    <w:rsid w:val="007827D3"/>
    <w:rsid w:val="00786C1B"/>
    <w:rsid w:val="00787CE7"/>
    <w:rsid w:val="00790555"/>
    <w:rsid w:val="00791393"/>
    <w:rsid w:val="007951F1"/>
    <w:rsid w:val="007963EB"/>
    <w:rsid w:val="00796CA1"/>
    <w:rsid w:val="007A1493"/>
    <w:rsid w:val="007A15CD"/>
    <w:rsid w:val="007A2D95"/>
    <w:rsid w:val="007A2E39"/>
    <w:rsid w:val="007A4FD7"/>
    <w:rsid w:val="007A6B25"/>
    <w:rsid w:val="007B1192"/>
    <w:rsid w:val="007B1305"/>
    <w:rsid w:val="007B1E87"/>
    <w:rsid w:val="007B227D"/>
    <w:rsid w:val="007B545B"/>
    <w:rsid w:val="007B5AC6"/>
    <w:rsid w:val="007B5FB9"/>
    <w:rsid w:val="007B6049"/>
    <w:rsid w:val="007B6B9A"/>
    <w:rsid w:val="007B6EB4"/>
    <w:rsid w:val="007C1004"/>
    <w:rsid w:val="007C64EE"/>
    <w:rsid w:val="007C6B92"/>
    <w:rsid w:val="007C7719"/>
    <w:rsid w:val="007D2AD5"/>
    <w:rsid w:val="007D4DB3"/>
    <w:rsid w:val="007D6AE7"/>
    <w:rsid w:val="007D6CFB"/>
    <w:rsid w:val="007D7049"/>
    <w:rsid w:val="007E1607"/>
    <w:rsid w:val="007E2AD4"/>
    <w:rsid w:val="007E3134"/>
    <w:rsid w:val="007E4DCA"/>
    <w:rsid w:val="007E574B"/>
    <w:rsid w:val="007E5750"/>
    <w:rsid w:val="007E6923"/>
    <w:rsid w:val="007F7B3F"/>
    <w:rsid w:val="00800D85"/>
    <w:rsid w:val="0080264C"/>
    <w:rsid w:val="008059AC"/>
    <w:rsid w:val="008065F4"/>
    <w:rsid w:val="00806A41"/>
    <w:rsid w:val="00806BA2"/>
    <w:rsid w:val="0081092A"/>
    <w:rsid w:val="00811638"/>
    <w:rsid w:val="00811A09"/>
    <w:rsid w:val="008128E4"/>
    <w:rsid w:val="00812CA7"/>
    <w:rsid w:val="00814AE7"/>
    <w:rsid w:val="00815382"/>
    <w:rsid w:val="00817206"/>
    <w:rsid w:val="00821341"/>
    <w:rsid w:val="008265A1"/>
    <w:rsid w:val="0082767F"/>
    <w:rsid w:val="00830296"/>
    <w:rsid w:val="0083029A"/>
    <w:rsid w:val="008321D0"/>
    <w:rsid w:val="00833B51"/>
    <w:rsid w:val="008403EE"/>
    <w:rsid w:val="008405D8"/>
    <w:rsid w:val="00841251"/>
    <w:rsid w:val="00841793"/>
    <w:rsid w:val="00843913"/>
    <w:rsid w:val="008453D2"/>
    <w:rsid w:val="008454E5"/>
    <w:rsid w:val="0085028F"/>
    <w:rsid w:val="00850F24"/>
    <w:rsid w:val="00852D7A"/>
    <w:rsid w:val="008540D9"/>
    <w:rsid w:val="00854CC7"/>
    <w:rsid w:val="00854FD1"/>
    <w:rsid w:val="0085720C"/>
    <w:rsid w:val="00860F87"/>
    <w:rsid w:val="00865AD4"/>
    <w:rsid w:val="00865C3C"/>
    <w:rsid w:val="00865E7D"/>
    <w:rsid w:val="00872A9B"/>
    <w:rsid w:val="00872A9C"/>
    <w:rsid w:val="0087385A"/>
    <w:rsid w:val="008748EF"/>
    <w:rsid w:val="00876A0D"/>
    <w:rsid w:val="00876DA4"/>
    <w:rsid w:val="00877B02"/>
    <w:rsid w:val="008813AB"/>
    <w:rsid w:val="0088174A"/>
    <w:rsid w:val="00882E5C"/>
    <w:rsid w:val="00887143"/>
    <w:rsid w:val="008900D1"/>
    <w:rsid w:val="0089054D"/>
    <w:rsid w:val="00891C3F"/>
    <w:rsid w:val="00893EA1"/>
    <w:rsid w:val="0089611E"/>
    <w:rsid w:val="00897186"/>
    <w:rsid w:val="00897391"/>
    <w:rsid w:val="008A0B17"/>
    <w:rsid w:val="008A1353"/>
    <w:rsid w:val="008A180A"/>
    <w:rsid w:val="008A43EC"/>
    <w:rsid w:val="008A4AEC"/>
    <w:rsid w:val="008A6B0C"/>
    <w:rsid w:val="008A705A"/>
    <w:rsid w:val="008A74DE"/>
    <w:rsid w:val="008A7A8F"/>
    <w:rsid w:val="008B07B5"/>
    <w:rsid w:val="008B09A9"/>
    <w:rsid w:val="008B09D6"/>
    <w:rsid w:val="008B2BAC"/>
    <w:rsid w:val="008B4482"/>
    <w:rsid w:val="008B4E7B"/>
    <w:rsid w:val="008B5ADA"/>
    <w:rsid w:val="008C0044"/>
    <w:rsid w:val="008C16FA"/>
    <w:rsid w:val="008C39E1"/>
    <w:rsid w:val="008C42DA"/>
    <w:rsid w:val="008C5A4E"/>
    <w:rsid w:val="008C5B34"/>
    <w:rsid w:val="008C5D23"/>
    <w:rsid w:val="008C6141"/>
    <w:rsid w:val="008C792F"/>
    <w:rsid w:val="008D19C5"/>
    <w:rsid w:val="008D27B1"/>
    <w:rsid w:val="008D56FA"/>
    <w:rsid w:val="008D598A"/>
    <w:rsid w:val="008D680C"/>
    <w:rsid w:val="008D6AB9"/>
    <w:rsid w:val="008D6E6B"/>
    <w:rsid w:val="008E0151"/>
    <w:rsid w:val="008E2336"/>
    <w:rsid w:val="008E30B1"/>
    <w:rsid w:val="008E725C"/>
    <w:rsid w:val="008E74A8"/>
    <w:rsid w:val="008F2984"/>
    <w:rsid w:val="008F7DA8"/>
    <w:rsid w:val="00900ECE"/>
    <w:rsid w:val="00901CA4"/>
    <w:rsid w:val="0090275F"/>
    <w:rsid w:val="00904654"/>
    <w:rsid w:val="009059B9"/>
    <w:rsid w:val="00910B00"/>
    <w:rsid w:val="00911813"/>
    <w:rsid w:val="0091313F"/>
    <w:rsid w:val="00914282"/>
    <w:rsid w:val="00914549"/>
    <w:rsid w:val="009147A0"/>
    <w:rsid w:val="00915004"/>
    <w:rsid w:val="009157C5"/>
    <w:rsid w:val="00916365"/>
    <w:rsid w:val="0091711A"/>
    <w:rsid w:val="00917F77"/>
    <w:rsid w:val="0092292E"/>
    <w:rsid w:val="009231FF"/>
    <w:rsid w:val="00923757"/>
    <w:rsid w:val="009250ED"/>
    <w:rsid w:val="009259C2"/>
    <w:rsid w:val="00927B5D"/>
    <w:rsid w:val="00931483"/>
    <w:rsid w:val="009315B2"/>
    <w:rsid w:val="0093204A"/>
    <w:rsid w:val="00932372"/>
    <w:rsid w:val="00932E4E"/>
    <w:rsid w:val="009336F6"/>
    <w:rsid w:val="00935598"/>
    <w:rsid w:val="009376FC"/>
    <w:rsid w:val="00937F53"/>
    <w:rsid w:val="0094012A"/>
    <w:rsid w:val="00940BA2"/>
    <w:rsid w:val="009418DE"/>
    <w:rsid w:val="00942776"/>
    <w:rsid w:val="00943B8D"/>
    <w:rsid w:val="00944C5E"/>
    <w:rsid w:val="00950370"/>
    <w:rsid w:val="00950652"/>
    <w:rsid w:val="009555B9"/>
    <w:rsid w:val="0095642D"/>
    <w:rsid w:val="00957768"/>
    <w:rsid w:val="00957FE7"/>
    <w:rsid w:val="00961C72"/>
    <w:rsid w:val="00962492"/>
    <w:rsid w:val="009625E7"/>
    <w:rsid w:val="00964824"/>
    <w:rsid w:val="00964B48"/>
    <w:rsid w:val="0096762B"/>
    <w:rsid w:val="009677EF"/>
    <w:rsid w:val="00970A65"/>
    <w:rsid w:val="00972C11"/>
    <w:rsid w:val="00972DFA"/>
    <w:rsid w:val="00973B37"/>
    <w:rsid w:val="00975664"/>
    <w:rsid w:val="009766F4"/>
    <w:rsid w:val="00976BF5"/>
    <w:rsid w:val="0097739A"/>
    <w:rsid w:val="00981FE2"/>
    <w:rsid w:val="00982052"/>
    <w:rsid w:val="00982410"/>
    <w:rsid w:val="00983766"/>
    <w:rsid w:val="00984B10"/>
    <w:rsid w:val="00985153"/>
    <w:rsid w:val="009873E7"/>
    <w:rsid w:val="00987596"/>
    <w:rsid w:val="00990CBD"/>
    <w:rsid w:val="009910ED"/>
    <w:rsid w:val="00992722"/>
    <w:rsid w:val="00992D85"/>
    <w:rsid w:val="00994D51"/>
    <w:rsid w:val="00995D54"/>
    <w:rsid w:val="00997A2E"/>
    <w:rsid w:val="009A3E63"/>
    <w:rsid w:val="009A5344"/>
    <w:rsid w:val="009A539C"/>
    <w:rsid w:val="009A5B76"/>
    <w:rsid w:val="009A70F1"/>
    <w:rsid w:val="009A7F7D"/>
    <w:rsid w:val="009B11C3"/>
    <w:rsid w:val="009B51BD"/>
    <w:rsid w:val="009B6505"/>
    <w:rsid w:val="009B68FB"/>
    <w:rsid w:val="009B69E2"/>
    <w:rsid w:val="009B6CDF"/>
    <w:rsid w:val="009B6D8C"/>
    <w:rsid w:val="009B7561"/>
    <w:rsid w:val="009B76DA"/>
    <w:rsid w:val="009B7E2B"/>
    <w:rsid w:val="009C13E5"/>
    <w:rsid w:val="009C17F5"/>
    <w:rsid w:val="009C1B58"/>
    <w:rsid w:val="009C4062"/>
    <w:rsid w:val="009C40AE"/>
    <w:rsid w:val="009C73FF"/>
    <w:rsid w:val="009D0C28"/>
    <w:rsid w:val="009D1127"/>
    <w:rsid w:val="009D3B5F"/>
    <w:rsid w:val="009D4BE7"/>
    <w:rsid w:val="009D523A"/>
    <w:rsid w:val="009D5406"/>
    <w:rsid w:val="009D58E7"/>
    <w:rsid w:val="009D727A"/>
    <w:rsid w:val="009D77B2"/>
    <w:rsid w:val="009E168D"/>
    <w:rsid w:val="009E2852"/>
    <w:rsid w:val="009E69BF"/>
    <w:rsid w:val="009E6C29"/>
    <w:rsid w:val="009E715C"/>
    <w:rsid w:val="009E756D"/>
    <w:rsid w:val="009E7C89"/>
    <w:rsid w:val="009E7DF4"/>
    <w:rsid w:val="009F0267"/>
    <w:rsid w:val="009F04BA"/>
    <w:rsid w:val="009F11EC"/>
    <w:rsid w:val="009F32D6"/>
    <w:rsid w:val="009F33C2"/>
    <w:rsid w:val="009F45A2"/>
    <w:rsid w:val="009F5E6E"/>
    <w:rsid w:val="009F69B1"/>
    <w:rsid w:val="00A01047"/>
    <w:rsid w:val="00A01B65"/>
    <w:rsid w:val="00A03B7C"/>
    <w:rsid w:val="00A05579"/>
    <w:rsid w:val="00A064A6"/>
    <w:rsid w:val="00A0705D"/>
    <w:rsid w:val="00A1172D"/>
    <w:rsid w:val="00A126C3"/>
    <w:rsid w:val="00A12CF9"/>
    <w:rsid w:val="00A14413"/>
    <w:rsid w:val="00A1610A"/>
    <w:rsid w:val="00A174CF"/>
    <w:rsid w:val="00A17900"/>
    <w:rsid w:val="00A20BFC"/>
    <w:rsid w:val="00A219A4"/>
    <w:rsid w:val="00A22884"/>
    <w:rsid w:val="00A23043"/>
    <w:rsid w:val="00A2453D"/>
    <w:rsid w:val="00A25844"/>
    <w:rsid w:val="00A26E0C"/>
    <w:rsid w:val="00A27014"/>
    <w:rsid w:val="00A270F8"/>
    <w:rsid w:val="00A30101"/>
    <w:rsid w:val="00A30C7E"/>
    <w:rsid w:val="00A30E25"/>
    <w:rsid w:val="00A311C2"/>
    <w:rsid w:val="00A3330A"/>
    <w:rsid w:val="00A343A5"/>
    <w:rsid w:val="00A36330"/>
    <w:rsid w:val="00A3715B"/>
    <w:rsid w:val="00A37410"/>
    <w:rsid w:val="00A40FBE"/>
    <w:rsid w:val="00A425D5"/>
    <w:rsid w:val="00A432F8"/>
    <w:rsid w:val="00A469D3"/>
    <w:rsid w:val="00A46F3F"/>
    <w:rsid w:val="00A52772"/>
    <w:rsid w:val="00A55B5C"/>
    <w:rsid w:val="00A568D0"/>
    <w:rsid w:val="00A60379"/>
    <w:rsid w:val="00A606CF"/>
    <w:rsid w:val="00A6274C"/>
    <w:rsid w:val="00A63286"/>
    <w:rsid w:val="00A64269"/>
    <w:rsid w:val="00A653EB"/>
    <w:rsid w:val="00A66515"/>
    <w:rsid w:val="00A66A4E"/>
    <w:rsid w:val="00A70EF5"/>
    <w:rsid w:val="00A72382"/>
    <w:rsid w:val="00A73194"/>
    <w:rsid w:val="00A7443D"/>
    <w:rsid w:val="00A74AFC"/>
    <w:rsid w:val="00A80615"/>
    <w:rsid w:val="00A81E86"/>
    <w:rsid w:val="00A82089"/>
    <w:rsid w:val="00A8684E"/>
    <w:rsid w:val="00A874D5"/>
    <w:rsid w:val="00A87B5E"/>
    <w:rsid w:val="00A900BC"/>
    <w:rsid w:val="00A90DAE"/>
    <w:rsid w:val="00A90FB1"/>
    <w:rsid w:val="00A919FE"/>
    <w:rsid w:val="00A92089"/>
    <w:rsid w:val="00A92D9B"/>
    <w:rsid w:val="00A92EC7"/>
    <w:rsid w:val="00A933EB"/>
    <w:rsid w:val="00A960CD"/>
    <w:rsid w:val="00A9617D"/>
    <w:rsid w:val="00A9673E"/>
    <w:rsid w:val="00A96CD2"/>
    <w:rsid w:val="00A9753F"/>
    <w:rsid w:val="00AA1231"/>
    <w:rsid w:val="00AA174B"/>
    <w:rsid w:val="00AA2EE9"/>
    <w:rsid w:val="00AA34BE"/>
    <w:rsid w:val="00AA795E"/>
    <w:rsid w:val="00AB1B61"/>
    <w:rsid w:val="00AB1DA9"/>
    <w:rsid w:val="00AB235B"/>
    <w:rsid w:val="00AB2D13"/>
    <w:rsid w:val="00AB496C"/>
    <w:rsid w:val="00AB5DB1"/>
    <w:rsid w:val="00AB6335"/>
    <w:rsid w:val="00AB7AB9"/>
    <w:rsid w:val="00AB7DAD"/>
    <w:rsid w:val="00AC526C"/>
    <w:rsid w:val="00AC603E"/>
    <w:rsid w:val="00AC70A8"/>
    <w:rsid w:val="00AD0218"/>
    <w:rsid w:val="00AD0925"/>
    <w:rsid w:val="00AD101F"/>
    <w:rsid w:val="00AD1443"/>
    <w:rsid w:val="00AD219E"/>
    <w:rsid w:val="00AD2206"/>
    <w:rsid w:val="00AD24F3"/>
    <w:rsid w:val="00AD2E6C"/>
    <w:rsid w:val="00AD389E"/>
    <w:rsid w:val="00AE3DBB"/>
    <w:rsid w:val="00AE7A24"/>
    <w:rsid w:val="00AF0447"/>
    <w:rsid w:val="00AF0545"/>
    <w:rsid w:val="00AF17C3"/>
    <w:rsid w:val="00AF2190"/>
    <w:rsid w:val="00AF2D05"/>
    <w:rsid w:val="00AF5D36"/>
    <w:rsid w:val="00B000BE"/>
    <w:rsid w:val="00B00ADE"/>
    <w:rsid w:val="00B01117"/>
    <w:rsid w:val="00B01CB5"/>
    <w:rsid w:val="00B023D9"/>
    <w:rsid w:val="00B02C9E"/>
    <w:rsid w:val="00B04DDB"/>
    <w:rsid w:val="00B074DE"/>
    <w:rsid w:val="00B079FE"/>
    <w:rsid w:val="00B07CAA"/>
    <w:rsid w:val="00B07E67"/>
    <w:rsid w:val="00B1099C"/>
    <w:rsid w:val="00B11994"/>
    <w:rsid w:val="00B11C13"/>
    <w:rsid w:val="00B11F80"/>
    <w:rsid w:val="00B13836"/>
    <w:rsid w:val="00B145CA"/>
    <w:rsid w:val="00B14E9F"/>
    <w:rsid w:val="00B176FD"/>
    <w:rsid w:val="00B21B0D"/>
    <w:rsid w:val="00B23BB7"/>
    <w:rsid w:val="00B24A3B"/>
    <w:rsid w:val="00B2634D"/>
    <w:rsid w:val="00B279A6"/>
    <w:rsid w:val="00B30F06"/>
    <w:rsid w:val="00B329E2"/>
    <w:rsid w:val="00B331F4"/>
    <w:rsid w:val="00B33BD4"/>
    <w:rsid w:val="00B35AE3"/>
    <w:rsid w:val="00B42423"/>
    <w:rsid w:val="00B43FF0"/>
    <w:rsid w:val="00B44136"/>
    <w:rsid w:val="00B445CE"/>
    <w:rsid w:val="00B44BEC"/>
    <w:rsid w:val="00B45465"/>
    <w:rsid w:val="00B45B86"/>
    <w:rsid w:val="00B46265"/>
    <w:rsid w:val="00B46940"/>
    <w:rsid w:val="00B518EB"/>
    <w:rsid w:val="00B522C7"/>
    <w:rsid w:val="00B52CD7"/>
    <w:rsid w:val="00B53FC7"/>
    <w:rsid w:val="00B54C2A"/>
    <w:rsid w:val="00B56D73"/>
    <w:rsid w:val="00B57DCF"/>
    <w:rsid w:val="00B6037C"/>
    <w:rsid w:val="00B6098A"/>
    <w:rsid w:val="00B624FF"/>
    <w:rsid w:val="00B62E0B"/>
    <w:rsid w:val="00B645E8"/>
    <w:rsid w:val="00B67C89"/>
    <w:rsid w:val="00B70786"/>
    <w:rsid w:val="00B72615"/>
    <w:rsid w:val="00B72C2C"/>
    <w:rsid w:val="00B72CCF"/>
    <w:rsid w:val="00B73189"/>
    <w:rsid w:val="00B73D4C"/>
    <w:rsid w:val="00B772F0"/>
    <w:rsid w:val="00B80400"/>
    <w:rsid w:val="00B8056A"/>
    <w:rsid w:val="00B821F4"/>
    <w:rsid w:val="00B83B64"/>
    <w:rsid w:val="00B84469"/>
    <w:rsid w:val="00B84C31"/>
    <w:rsid w:val="00B86797"/>
    <w:rsid w:val="00B86E7E"/>
    <w:rsid w:val="00B9069A"/>
    <w:rsid w:val="00B90B95"/>
    <w:rsid w:val="00B90E1D"/>
    <w:rsid w:val="00B92974"/>
    <w:rsid w:val="00B938B8"/>
    <w:rsid w:val="00B949A7"/>
    <w:rsid w:val="00B94A32"/>
    <w:rsid w:val="00B951CD"/>
    <w:rsid w:val="00B967A7"/>
    <w:rsid w:val="00B973C9"/>
    <w:rsid w:val="00BA0343"/>
    <w:rsid w:val="00BA135F"/>
    <w:rsid w:val="00BA36B1"/>
    <w:rsid w:val="00BA3A5B"/>
    <w:rsid w:val="00BA4764"/>
    <w:rsid w:val="00BA5457"/>
    <w:rsid w:val="00BA79D9"/>
    <w:rsid w:val="00BA7A39"/>
    <w:rsid w:val="00BB000E"/>
    <w:rsid w:val="00BB076D"/>
    <w:rsid w:val="00BB4F8E"/>
    <w:rsid w:val="00BB5299"/>
    <w:rsid w:val="00BB5573"/>
    <w:rsid w:val="00BB5649"/>
    <w:rsid w:val="00BB6149"/>
    <w:rsid w:val="00BB6469"/>
    <w:rsid w:val="00BB74AC"/>
    <w:rsid w:val="00BB761E"/>
    <w:rsid w:val="00BB79DE"/>
    <w:rsid w:val="00BC2562"/>
    <w:rsid w:val="00BC3468"/>
    <w:rsid w:val="00BC6D57"/>
    <w:rsid w:val="00BC7309"/>
    <w:rsid w:val="00BE18A5"/>
    <w:rsid w:val="00BE266D"/>
    <w:rsid w:val="00BE2A5A"/>
    <w:rsid w:val="00BE318A"/>
    <w:rsid w:val="00BE33C8"/>
    <w:rsid w:val="00BE3898"/>
    <w:rsid w:val="00BE4FB1"/>
    <w:rsid w:val="00BE6894"/>
    <w:rsid w:val="00BE6D9C"/>
    <w:rsid w:val="00BF1CE7"/>
    <w:rsid w:val="00BF39D4"/>
    <w:rsid w:val="00BF3A55"/>
    <w:rsid w:val="00BF3F82"/>
    <w:rsid w:val="00BF519A"/>
    <w:rsid w:val="00BF5B09"/>
    <w:rsid w:val="00BF6063"/>
    <w:rsid w:val="00BF7326"/>
    <w:rsid w:val="00C01B00"/>
    <w:rsid w:val="00C02A61"/>
    <w:rsid w:val="00C03960"/>
    <w:rsid w:val="00C0547C"/>
    <w:rsid w:val="00C10528"/>
    <w:rsid w:val="00C1074C"/>
    <w:rsid w:val="00C1233A"/>
    <w:rsid w:val="00C138B9"/>
    <w:rsid w:val="00C14871"/>
    <w:rsid w:val="00C1734B"/>
    <w:rsid w:val="00C17C67"/>
    <w:rsid w:val="00C22C89"/>
    <w:rsid w:val="00C247F2"/>
    <w:rsid w:val="00C26463"/>
    <w:rsid w:val="00C26C03"/>
    <w:rsid w:val="00C2798C"/>
    <w:rsid w:val="00C27F8A"/>
    <w:rsid w:val="00C300B4"/>
    <w:rsid w:val="00C3062E"/>
    <w:rsid w:val="00C31614"/>
    <w:rsid w:val="00C31950"/>
    <w:rsid w:val="00C34F2C"/>
    <w:rsid w:val="00C35405"/>
    <w:rsid w:val="00C35BC9"/>
    <w:rsid w:val="00C40103"/>
    <w:rsid w:val="00C4142C"/>
    <w:rsid w:val="00C43479"/>
    <w:rsid w:val="00C442CA"/>
    <w:rsid w:val="00C44D41"/>
    <w:rsid w:val="00C45A45"/>
    <w:rsid w:val="00C45D90"/>
    <w:rsid w:val="00C46DC5"/>
    <w:rsid w:val="00C47A9D"/>
    <w:rsid w:val="00C50508"/>
    <w:rsid w:val="00C5056C"/>
    <w:rsid w:val="00C51094"/>
    <w:rsid w:val="00C51CFE"/>
    <w:rsid w:val="00C536C6"/>
    <w:rsid w:val="00C53736"/>
    <w:rsid w:val="00C5662D"/>
    <w:rsid w:val="00C579FC"/>
    <w:rsid w:val="00C613AE"/>
    <w:rsid w:val="00C61436"/>
    <w:rsid w:val="00C622A4"/>
    <w:rsid w:val="00C62485"/>
    <w:rsid w:val="00C6450B"/>
    <w:rsid w:val="00C655D0"/>
    <w:rsid w:val="00C74288"/>
    <w:rsid w:val="00C7488A"/>
    <w:rsid w:val="00C749D7"/>
    <w:rsid w:val="00C75866"/>
    <w:rsid w:val="00C75D4A"/>
    <w:rsid w:val="00C76B05"/>
    <w:rsid w:val="00C7760D"/>
    <w:rsid w:val="00C80297"/>
    <w:rsid w:val="00C80B5D"/>
    <w:rsid w:val="00C811DB"/>
    <w:rsid w:val="00C81C15"/>
    <w:rsid w:val="00C81CE4"/>
    <w:rsid w:val="00C83353"/>
    <w:rsid w:val="00C83CAA"/>
    <w:rsid w:val="00C8473D"/>
    <w:rsid w:val="00C90AF9"/>
    <w:rsid w:val="00C90FA2"/>
    <w:rsid w:val="00C91A79"/>
    <w:rsid w:val="00C94B60"/>
    <w:rsid w:val="00C94B70"/>
    <w:rsid w:val="00C95148"/>
    <w:rsid w:val="00C971DE"/>
    <w:rsid w:val="00CA1AD1"/>
    <w:rsid w:val="00CA1FFC"/>
    <w:rsid w:val="00CA38FD"/>
    <w:rsid w:val="00CA3A6C"/>
    <w:rsid w:val="00CA6471"/>
    <w:rsid w:val="00CA73BC"/>
    <w:rsid w:val="00CA78BE"/>
    <w:rsid w:val="00CA7F45"/>
    <w:rsid w:val="00CB0758"/>
    <w:rsid w:val="00CB0818"/>
    <w:rsid w:val="00CB15BA"/>
    <w:rsid w:val="00CB1CB6"/>
    <w:rsid w:val="00CB3552"/>
    <w:rsid w:val="00CB3A08"/>
    <w:rsid w:val="00CB4AFD"/>
    <w:rsid w:val="00CB5665"/>
    <w:rsid w:val="00CB77C1"/>
    <w:rsid w:val="00CC158B"/>
    <w:rsid w:val="00CC1B89"/>
    <w:rsid w:val="00CC22A5"/>
    <w:rsid w:val="00CC2B56"/>
    <w:rsid w:val="00CC3893"/>
    <w:rsid w:val="00CD0D49"/>
    <w:rsid w:val="00CD148B"/>
    <w:rsid w:val="00CD30C4"/>
    <w:rsid w:val="00CD3139"/>
    <w:rsid w:val="00CD49D5"/>
    <w:rsid w:val="00CD5CF3"/>
    <w:rsid w:val="00CD61D8"/>
    <w:rsid w:val="00CD62D3"/>
    <w:rsid w:val="00CD6797"/>
    <w:rsid w:val="00CE0F79"/>
    <w:rsid w:val="00CE347E"/>
    <w:rsid w:val="00CE55BF"/>
    <w:rsid w:val="00CE614C"/>
    <w:rsid w:val="00CF1230"/>
    <w:rsid w:val="00CF27E7"/>
    <w:rsid w:val="00CF2CF7"/>
    <w:rsid w:val="00CF429F"/>
    <w:rsid w:val="00CF4A40"/>
    <w:rsid w:val="00CF6E72"/>
    <w:rsid w:val="00CF773F"/>
    <w:rsid w:val="00CF7C68"/>
    <w:rsid w:val="00D02BE8"/>
    <w:rsid w:val="00D04556"/>
    <w:rsid w:val="00D04B5A"/>
    <w:rsid w:val="00D0542D"/>
    <w:rsid w:val="00D0598B"/>
    <w:rsid w:val="00D05A5A"/>
    <w:rsid w:val="00D05BD4"/>
    <w:rsid w:val="00D07150"/>
    <w:rsid w:val="00D12E45"/>
    <w:rsid w:val="00D12F41"/>
    <w:rsid w:val="00D13255"/>
    <w:rsid w:val="00D13A18"/>
    <w:rsid w:val="00D13C7F"/>
    <w:rsid w:val="00D154AE"/>
    <w:rsid w:val="00D15E8A"/>
    <w:rsid w:val="00D170E4"/>
    <w:rsid w:val="00D17BAD"/>
    <w:rsid w:val="00D20466"/>
    <w:rsid w:val="00D206F1"/>
    <w:rsid w:val="00D22362"/>
    <w:rsid w:val="00D23B5D"/>
    <w:rsid w:val="00D23D53"/>
    <w:rsid w:val="00D25C7B"/>
    <w:rsid w:val="00D27D08"/>
    <w:rsid w:val="00D3011C"/>
    <w:rsid w:val="00D3206B"/>
    <w:rsid w:val="00D32D01"/>
    <w:rsid w:val="00D3411D"/>
    <w:rsid w:val="00D36A2A"/>
    <w:rsid w:val="00D36CF2"/>
    <w:rsid w:val="00D376E4"/>
    <w:rsid w:val="00D426AD"/>
    <w:rsid w:val="00D42A0A"/>
    <w:rsid w:val="00D44594"/>
    <w:rsid w:val="00D44A26"/>
    <w:rsid w:val="00D46CC5"/>
    <w:rsid w:val="00D4760F"/>
    <w:rsid w:val="00D50DC3"/>
    <w:rsid w:val="00D52D30"/>
    <w:rsid w:val="00D541E7"/>
    <w:rsid w:val="00D56539"/>
    <w:rsid w:val="00D56B8B"/>
    <w:rsid w:val="00D57672"/>
    <w:rsid w:val="00D57908"/>
    <w:rsid w:val="00D60868"/>
    <w:rsid w:val="00D619D7"/>
    <w:rsid w:val="00D6476E"/>
    <w:rsid w:val="00D64E72"/>
    <w:rsid w:val="00D65270"/>
    <w:rsid w:val="00D6528F"/>
    <w:rsid w:val="00D678A9"/>
    <w:rsid w:val="00D71B98"/>
    <w:rsid w:val="00D7422A"/>
    <w:rsid w:val="00D840FA"/>
    <w:rsid w:val="00D849EE"/>
    <w:rsid w:val="00D854D7"/>
    <w:rsid w:val="00D864BC"/>
    <w:rsid w:val="00D8659F"/>
    <w:rsid w:val="00D91621"/>
    <w:rsid w:val="00D9439C"/>
    <w:rsid w:val="00D960C1"/>
    <w:rsid w:val="00DA030E"/>
    <w:rsid w:val="00DA167E"/>
    <w:rsid w:val="00DA20FE"/>
    <w:rsid w:val="00DA2AFD"/>
    <w:rsid w:val="00DA3660"/>
    <w:rsid w:val="00DA37FA"/>
    <w:rsid w:val="00DA4E74"/>
    <w:rsid w:val="00DA5427"/>
    <w:rsid w:val="00DA724F"/>
    <w:rsid w:val="00DA7791"/>
    <w:rsid w:val="00DB0CFD"/>
    <w:rsid w:val="00DB2324"/>
    <w:rsid w:val="00DB3154"/>
    <w:rsid w:val="00DB6860"/>
    <w:rsid w:val="00DB6FA0"/>
    <w:rsid w:val="00DC02C5"/>
    <w:rsid w:val="00DC0518"/>
    <w:rsid w:val="00DC1321"/>
    <w:rsid w:val="00DC1F96"/>
    <w:rsid w:val="00DC2044"/>
    <w:rsid w:val="00DC57DB"/>
    <w:rsid w:val="00DC70FD"/>
    <w:rsid w:val="00DD0A43"/>
    <w:rsid w:val="00DD1019"/>
    <w:rsid w:val="00DD2ADB"/>
    <w:rsid w:val="00DD31E3"/>
    <w:rsid w:val="00DD3F21"/>
    <w:rsid w:val="00DD4340"/>
    <w:rsid w:val="00DD79B2"/>
    <w:rsid w:val="00DE00FF"/>
    <w:rsid w:val="00DE061D"/>
    <w:rsid w:val="00DE0C40"/>
    <w:rsid w:val="00DE0C50"/>
    <w:rsid w:val="00DE222B"/>
    <w:rsid w:val="00DE360A"/>
    <w:rsid w:val="00DE3F6B"/>
    <w:rsid w:val="00DE4464"/>
    <w:rsid w:val="00DE4BDB"/>
    <w:rsid w:val="00DE4FC5"/>
    <w:rsid w:val="00DF2D4F"/>
    <w:rsid w:val="00DF3111"/>
    <w:rsid w:val="00DF4330"/>
    <w:rsid w:val="00DF4F75"/>
    <w:rsid w:val="00DF683E"/>
    <w:rsid w:val="00DF6E97"/>
    <w:rsid w:val="00DF7006"/>
    <w:rsid w:val="00E028C6"/>
    <w:rsid w:val="00E02D96"/>
    <w:rsid w:val="00E03213"/>
    <w:rsid w:val="00E03DB4"/>
    <w:rsid w:val="00E141D5"/>
    <w:rsid w:val="00E1457F"/>
    <w:rsid w:val="00E15AD4"/>
    <w:rsid w:val="00E15D72"/>
    <w:rsid w:val="00E16443"/>
    <w:rsid w:val="00E177E3"/>
    <w:rsid w:val="00E202FA"/>
    <w:rsid w:val="00E20E1E"/>
    <w:rsid w:val="00E218CA"/>
    <w:rsid w:val="00E23370"/>
    <w:rsid w:val="00E24549"/>
    <w:rsid w:val="00E2458E"/>
    <w:rsid w:val="00E253D5"/>
    <w:rsid w:val="00E25645"/>
    <w:rsid w:val="00E35544"/>
    <w:rsid w:val="00E356B2"/>
    <w:rsid w:val="00E360BF"/>
    <w:rsid w:val="00E4054A"/>
    <w:rsid w:val="00E4096D"/>
    <w:rsid w:val="00E41FF2"/>
    <w:rsid w:val="00E42570"/>
    <w:rsid w:val="00E43E17"/>
    <w:rsid w:val="00E4482D"/>
    <w:rsid w:val="00E45D34"/>
    <w:rsid w:val="00E463A9"/>
    <w:rsid w:val="00E47804"/>
    <w:rsid w:val="00E47A39"/>
    <w:rsid w:val="00E50C9B"/>
    <w:rsid w:val="00E534B5"/>
    <w:rsid w:val="00E55240"/>
    <w:rsid w:val="00E56206"/>
    <w:rsid w:val="00E57389"/>
    <w:rsid w:val="00E57A14"/>
    <w:rsid w:val="00E57D3A"/>
    <w:rsid w:val="00E6337E"/>
    <w:rsid w:val="00E642CD"/>
    <w:rsid w:val="00E64671"/>
    <w:rsid w:val="00E655FB"/>
    <w:rsid w:val="00E665EC"/>
    <w:rsid w:val="00E67AF9"/>
    <w:rsid w:val="00E70D29"/>
    <w:rsid w:val="00E713E6"/>
    <w:rsid w:val="00E71A2C"/>
    <w:rsid w:val="00E71EDC"/>
    <w:rsid w:val="00E73534"/>
    <w:rsid w:val="00E742E4"/>
    <w:rsid w:val="00E76BB6"/>
    <w:rsid w:val="00E77099"/>
    <w:rsid w:val="00E771C8"/>
    <w:rsid w:val="00E77EEF"/>
    <w:rsid w:val="00E81264"/>
    <w:rsid w:val="00E81DAA"/>
    <w:rsid w:val="00E84311"/>
    <w:rsid w:val="00E85659"/>
    <w:rsid w:val="00E85F06"/>
    <w:rsid w:val="00E86D32"/>
    <w:rsid w:val="00E87528"/>
    <w:rsid w:val="00E877DB"/>
    <w:rsid w:val="00E879D4"/>
    <w:rsid w:val="00E92B7A"/>
    <w:rsid w:val="00E92FA8"/>
    <w:rsid w:val="00E92FB5"/>
    <w:rsid w:val="00E97688"/>
    <w:rsid w:val="00EA2063"/>
    <w:rsid w:val="00EA2F43"/>
    <w:rsid w:val="00EA3578"/>
    <w:rsid w:val="00EA4A2A"/>
    <w:rsid w:val="00EA7592"/>
    <w:rsid w:val="00EB043D"/>
    <w:rsid w:val="00EB1306"/>
    <w:rsid w:val="00EB175C"/>
    <w:rsid w:val="00EB17DA"/>
    <w:rsid w:val="00EB249A"/>
    <w:rsid w:val="00EB296F"/>
    <w:rsid w:val="00EB41C8"/>
    <w:rsid w:val="00EB46DB"/>
    <w:rsid w:val="00EB7A57"/>
    <w:rsid w:val="00EB7B14"/>
    <w:rsid w:val="00EC1999"/>
    <w:rsid w:val="00EC2104"/>
    <w:rsid w:val="00EC4809"/>
    <w:rsid w:val="00EC4A25"/>
    <w:rsid w:val="00ED3273"/>
    <w:rsid w:val="00EE11F8"/>
    <w:rsid w:val="00EE2BC2"/>
    <w:rsid w:val="00EE3C1D"/>
    <w:rsid w:val="00EE4577"/>
    <w:rsid w:val="00EE7080"/>
    <w:rsid w:val="00EE7342"/>
    <w:rsid w:val="00EF0486"/>
    <w:rsid w:val="00EF14AC"/>
    <w:rsid w:val="00EF2082"/>
    <w:rsid w:val="00EF21DE"/>
    <w:rsid w:val="00EF6B9D"/>
    <w:rsid w:val="00EF7B30"/>
    <w:rsid w:val="00F003DA"/>
    <w:rsid w:val="00F016A1"/>
    <w:rsid w:val="00F01916"/>
    <w:rsid w:val="00F0224F"/>
    <w:rsid w:val="00F04524"/>
    <w:rsid w:val="00F0490D"/>
    <w:rsid w:val="00F0606D"/>
    <w:rsid w:val="00F07599"/>
    <w:rsid w:val="00F1029B"/>
    <w:rsid w:val="00F12333"/>
    <w:rsid w:val="00F14FDC"/>
    <w:rsid w:val="00F220AC"/>
    <w:rsid w:val="00F22254"/>
    <w:rsid w:val="00F2227B"/>
    <w:rsid w:val="00F2315C"/>
    <w:rsid w:val="00F25EB0"/>
    <w:rsid w:val="00F270A5"/>
    <w:rsid w:val="00F318F6"/>
    <w:rsid w:val="00F326A0"/>
    <w:rsid w:val="00F32FB0"/>
    <w:rsid w:val="00F33B74"/>
    <w:rsid w:val="00F37F35"/>
    <w:rsid w:val="00F43593"/>
    <w:rsid w:val="00F438B1"/>
    <w:rsid w:val="00F44272"/>
    <w:rsid w:val="00F448E6"/>
    <w:rsid w:val="00F44BEA"/>
    <w:rsid w:val="00F47BA5"/>
    <w:rsid w:val="00F501F0"/>
    <w:rsid w:val="00F506FC"/>
    <w:rsid w:val="00F51947"/>
    <w:rsid w:val="00F51E97"/>
    <w:rsid w:val="00F52BB9"/>
    <w:rsid w:val="00F536FE"/>
    <w:rsid w:val="00F546C5"/>
    <w:rsid w:val="00F553C3"/>
    <w:rsid w:val="00F559C5"/>
    <w:rsid w:val="00F567E2"/>
    <w:rsid w:val="00F6053D"/>
    <w:rsid w:val="00F6063A"/>
    <w:rsid w:val="00F60738"/>
    <w:rsid w:val="00F61242"/>
    <w:rsid w:val="00F62455"/>
    <w:rsid w:val="00F6274E"/>
    <w:rsid w:val="00F70118"/>
    <w:rsid w:val="00F701E3"/>
    <w:rsid w:val="00F705E1"/>
    <w:rsid w:val="00F70C3A"/>
    <w:rsid w:val="00F72701"/>
    <w:rsid w:val="00F756FE"/>
    <w:rsid w:val="00F76E2C"/>
    <w:rsid w:val="00F770B2"/>
    <w:rsid w:val="00F80A85"/>
    <w:rsid w:val="00F81C42"/>
    <w:rsid w:val="00F829AC"/>
    <w:rsid w:val="00F82B7B"/>
    <w:rsid w:val="00F837B3"/>
    <w:rsid w:val="00F84069"/>
    <w:rsid w:val="00F847F4"/>
    <w:rsid w:val="00F85145"/>
    <w:rsid w:val="00F85583"/>
    <w:rsid w:val="00F85E6B"/>
    <w:rsid w:val="00F878AA"/>
    <w:rsid w:val="00F92064"/>
    <w:rsid w:val="00F9218C"/>
    <w:rsid w:val="00F93A13"/>
    <w:rsid w:val="00F941BB"/>
    <w:rsid w:val="00F957AF"/>
    <w:rsid w:val="00FA03B3"/>
    <w:rsid w:val="00FA06A3"/>
    <w:rsid w:val="00FA2E6F"/>
    <w:rsid w:val="00FA3BCD"/>
    <w:rsid w:val="00FA6332"/>
    <w:rsid w:val="00FA6C9D"/>
    <w:rsid w:val="00FA73CD"/>
    <w:rsid w:val="00FA7B08"/>
    <w:rsid w:val="00FB0194"/>
    <w:rsid w:val="00FB0524"/>
    <w:rsid w:val="00FB0EF0"/>
    <w:rsid w:val="00FB6C32"/>
    <w:rsid w:val="00FC1E00"/>
    <w:rsid w:val="00FC2839"/>
    <w:rsid w:val="00FC37FC"/>
    <w:rsid w:val="00FC50A5"/>
    <w:rsid w:val="00FC6324"/>
    <w:rsid w:val="00FC7019"/>
    <w:rsid w:val="00FC7F31"/>
    <w:rsid w:val="00FD327B"/>
    <w:rsid w:val="00FD3395"/>
    <w:rsid w:val="00FD4A45"/>
    <w:rsid w:val="00FD70FD"/>
    <w:rsid w:val="00FD776B"/>
    <w:rsid w:val="00FD7F6A"/>
    <w:rsid w:val="00FE03B6"/>
    <w:rsid w:val="00FE1900"/>
    <w:rsid w:val="00FE1A2B"/>
    <w:rsid w:val="00FE3270"/>
    <w:rsid w:val="00FE3652"/>
    <w:rsid w:val="00FE5257"/>
    <w:rsid w:val="00FE5C52"/>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8C7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9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locked/>
    <w:rsid w:val="00B13836"/>
    <w:rPr>
      <w:rFonts w:eastAsia="Times New Roman" w:cs="Times New Roman"/>
      <w:szCs w:val="20"/>
    </w:rPr>
  </w:style>
  <w:style w:type="table" w:customStyle="1" w:styleId="SMPRTableBlack">
    <w:name w:val="SMPR_Table_Black"/>
    <w:basedOn w:val="TableNormal"/>
    <w:uiPriority w:val="99"/>
    <w:rsid w:val="00A6274C"/>
    <w:pPr>
      <w:spacing w:after="0"/>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unhideWhenUsed/>
    <w:rsid w:val="0043576B"/>
    <w:rPr>
      <w:sz w:val="16"/>
      <w:szCs w:val="16"/>
    </w:rPr>
  </w:style>
  <w:style w:type="paragraph" w:styleId="CommentText">
    <w:name w:val="annotation text"/>
    <w:basedOn w:val="Normal"/>
    <w:link w:val="CommentTextChar"/>
    <w:uiPriority w:val="99"/>
    <w:unhideWhenUsed/>
    <w:rsid w:val="0043576B"/>
    <w:pPr>
      <w:spacing w:line="240" w:lineRule="auto"/>
    </w:pPr>
    <w:rPr>
      <w:sz w:val="20"/>
    </w:rPr>
  </w:style>
  <w:style w:type="character" w:customStyle="1" w:styleId="CommentTextChar">
    <w:name w:val="Comment Text Char"/>
    <w:basedOn w:val="DefaultParagraphFont"/>
    <w:link w:val="CommentText"/>
    <w:uiPriority w:val="99"/>
    <w:rsid w:val="0043576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576B"/>
    <w:rPr>
      <w:b/>
      <w:bCs/>
    </w:rPr>
  </w:style>
  <w:style w:type="character" w:customStyle="1" w:styleId="CommentSubjectChar">
    <w:name w:val="Comment Subject Char"/>
    <w:basedOn w:val="CommentTextChar"/>
    <w:link w:val="CommentSubject"/>
    <w:uiPriority w:val="99"/>
    <w:semiHidden/>
    <w:rsid w:val="0043576B"/>
    <w:rPr>
      <w:rFonts w:eastAsia="Times New Roman" w:cs="Times New Roman"/>
      <w:b/>
      <w:bCs/>
      <w:sz w:val="20"/>
      <w:szCs w:val="20"/>
    </w:rPr>
  </w:style>
  <w:style w:type="paragraph" w:customStyle="1" w:styleId="Default">
    <w:name w:val="Default"/>
    <w:rsid w:val="00543ABB"/>
    <w:pPr>
      <w:autoSpaceDE w:val="0"/>
      <w:autoSpaceDN w:val="0"/>
      <w:adjustRightInd w:val="0"/>
      <w:spacing w:after="0"/>
    </w:pPr>
    <w:rPr>
      <w:rFonts w:ascii="Garamond" w:hAnsi="Garamond" w:cs="Garamond"/>
      <w:color w:val="000000"/>
    </w:rPr>
  </w:style>
  <w:style w:type="table" w:customStyle="1" w:styleId="SMPRTableBlue">
    <w:name w:val="SMPR_Table_Blue"/>
    <w:basedOn w:val="TableNormal"/>
    <w:uiPriority w:val="99"/>
    <w:rsid w:val="00F51E97"/>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Revision">
    <w:name w:val="Revision"/>
    <w:hidden/>
    <w:uiPriority w:val="99"/>
    <w:semiHidden/>
    <w:rsid w:val="009D77B2"/>
    <w:pPr>
      <w:spacing w:after="0"/>
    </w:pPr>
    <w:rPr>
      <w:rFonts w:eastAsia="Times New Roman" w:cs="Times New Roman"/>
      <w:szCs w:val="20"/>
    </w:rPr>
  </w:style>
  <w:style w:type="paragraph" w:customStyle="1" w:styleId="disclosure">
    <w:name w:val="disclosure"/>
    <w:basedOn w:val="Footer"/>
    <w:qFormat/>
    <w:rsid w:val="005D5FA4"/>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BE318A"/>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E318A"/>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ProprietaryStatement">
    <w:name w:val="Proprietary Statement"/>
    <w:basedOn w:val="NormalSS"/>
    <w:qFormat/>
    <w:rsid w:val="00BE318A"/>
    <w:pPr>
      <w:spacing w:before="120" w:after="0"/>
      <w:ind w:firstLine="0"/>
    </w:pPr>
    <w:rPr>
      <w:rFonts w:ascii="Arial" w:hAnsi="Arial" w:cs="Arial"/>
      <w:sz w:val="16"/>
      <w:szCs w:val="16"/>
    </w:rPr>
  </w:style>
  <w:style w:type="character" w:styleId="Hyperlink">
    <w:name w:val="Hyperlink"/>
    <w:basedOn w:val="DefaultParagraphFont"/>
    <w:uiPriority w:val="99"/>
    <w:unhideWhenUsed/>
    <w:rsid w:val="00E43E17"/>
    <w:rPr>
      <w:color w:val="0000FF" w:themeColor="hyperlink"/>
      <w:u w:val="single"/>
    </w:rPr>
  </w:style>
  <w:style w:type="character" w:styleId="FollowedHyperlink">
    <w:name w:val="FollowedHyperlink"/>
    <w:basedOn w:val="DefaultParagraphFont"/>
    <w:semiHidden/>
    <w:unhideWhenUsed/>
    <w:rsid w:val="002B68AC"/>
    <w:rPr>
      <w:color w:val="800080" w:themeColor="followedHyperlink"/>
      <w:u w:val="single"/>
    </w:rPr>
  </w:style>
  <w:style w:type="character" w:styleId="Emphasis">
    <w:name w:val="Emphasis"/>
    <w:basedOn w:val="DefaultParagraphFont"/>
    <w:uiPriority w:val="20"/>
    <w:qFormat/>
    <w:rsid w:val="00DC1321"/>
    <w:rPr>
      <w:i/>
      <w:iCs/>
    </w:rPr>
  </w:style>
  <w:style w:type="paragraph" w:customStyle="1" w:styleId="BulletLAST">
    <w:name w:val="Bullet (LAST)"/>
    <w:basedOn w:val="Bullet"/>
    <w:next w:val="Normal"/>
    <w:qFormat/>
    <w:rsid w:val="00B46265"/>
    <w:pPr>
      <w:numPr>
        <w:numId w:val="43"/>
      </w:numPr>
      <w:tabs>
        <w:tab w:val="clear" w:pos="432"/>
        <w:tab w:val="left" w:pos="360"/>
      </w:tabs>
      <w:spacing w:after="240"/>
      <w:ind w:right="360" w:hanging="288"/>
      <w:jc w:val="both"/>
    </w:pPr>
    <w:rPr>
      <w:szCs w:val="24"/>
    </w:rPr>
  </w:style>
  <w:style w:type="table" w:customStyle="1" w:styleId="TableGrid0">
    <w:name w:val="TableGrid"/>
    <w:rsid w:val="00B46265"/>
    <w:pPr>
      <w:spacing w:after="0"/>
    </w:pPr>
    <w:rPr>
      <w:rFonts w:asciiTheme="minorHAnsi" w:eastAsia="Times New Roman" w:hAnsiTheme="minorHAns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Table Subtle 2" w:semiHidden="0" w:unhideWhenUsed="0"/>
    <w:lsdException w:name="Table Web 3"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9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locked/>
    <w:rsid w:val="00B13836"/>
    <w:rPr>
      <w:rFonts w:eastAsia="Times New Roman" w:cs="Times New Roman"/>
      <w:szCs w:val="20"/>
    </w:rPr>
  </w:style>
  <w:style w:type="table" w:customStyle="1" w:styleId="SMPRTableBlack">
    <w:name w:val="SMPR_Table_Black"/>
    <w:basedOn w:val="TableNormal"/>
    <w:uiPriority w:val="99"/>
    <w:rsid w:val="00A6274C"/>
    <w:pPr>
      <w:spacing w:after="0"/>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unhideWhenUsed/>
    <w:rsid w:val="0043576B"/>
    <w:rPr>
      <w:sz w:val="16"/>
      <w:szCs w:val="16"/>
    </w:rPr>
  </w:style>
  <w:style w:type="paragraph" w:styleId="CommentText">
    <w:name w:val="annotation text"/>
    <w:basedOn w:val="Normal"/>
    <w:link w:val="CommentTextChar"/>
    <w:uiPriority w:val="99"/>
    <w:unhideWhenUsed/>
    <w:rsid w:val="0043576B"/>
    <w:pPr>
      <w:spacing w:line="240" w:lineRule="auto"/>
    </w:pPr>
    <w:rPr>
      <w:sz w:val="20"/>
    </w:rPr>
  </w:style>
  <w:style w:type="character" w:customStyle="1" w:styleId="CommentTextChar">
    <w:name w:val="Comment Text Char"/>
    <w:basedOn w:val="DefaultParagraphFont"/>
    <w:link w:val="CommentText"/>
    <w:uiPriority w:val="99"/>
    <w:rsid w:val="0043576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576B"/>
    <w:rPr>
      <w:b/>
      <w:bCs/>
    </w:rPr>
  </w:style>
  <w:style w:type="character" w:customStyle="1" w:styleId="CommentSubjectChar">
    <w:name w:val="Comment Subject Char"/>
    <w:basedOn w:val="CommentTextChar"/>
    <w:link w:val="CommentSubject"/>
    <w:uiPriority w:val="99"/>
    <w:semiHidden/>
    <w:rsid w:val="0043576B"/>
    <w:rPr>
      <w:rFonts w:eastAsia="Times New Roman" w:cs="Times New Roman"/>
      <w:b/>
      <w:bCs/>
      <w:sz w:val="20"/>
      <w:szCs w:val="20"/>
    </w:rPr>
  </w:style>
  <w:style w:type="paragraph" w:customStyle="1" w:styleId="Default">
    <w:name w:val="Default"/>
    <w:rsid w:val="00543ABB"/>
    <w:pPr>
      <w:autoSpaceDE w:val="0"/>
      <w:autoSpaceDN w:val="0"/>
      <w:adjustRightInd w:val="0"/>
      <w:spacing w:after="0"/>
    </w:pPr>
    <w:rPr>
      <w:rFonts w:ascii="Garamond" w:hAnsi="Garamond" w:cs="Garamond"/>
      <w:color w:val="000000"/>
    </w:rPr>
  </w:style>
  <w:style w:type="table" w:customStyle="1" w:styleId="SMPRTableBlue">
    <w:name w:val="SMPR_Table_Blue"/>
    <w:basedOn w:val="TableNormal"/>
    <w:uiPriority w:val="99"/>
    <w:rsid w:val="00F51E97"/>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Revision">
    <w:name w:val="Revision"/>
    <w:hidden/>
    <w:uiPriority w:val="99"/>
    <w:semiHidden/>
    <w:rsid w:val="009D77B2"/>
    <w:pPr>
      <w:spacing w:after="0"/>
    </w:pPr>
    <w:rPr>
      <w:rFonts w:eastAsia="Times New Roman" w:cs="Times New Roman"/>
      <w:szCs w:val="20"/>
    </w:rPr>
  </w:style>
  <w:style w:type="paragraph" w:customStyle="1" w:styleId="disclosure">
    <w:name w:val="disclosure"/>
    <w:basedOn w:val="Footer"/>
    <w:qFormat/>
    <w:rsid w:val="005D5FA4"/>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BE318A"/>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BE318A"/>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ProprietaryStatement">
    <w:name w:val="Proprietary Statement"/>
    <w:basedOn w:val="NormalSS"/>
    <w:qFormat/>
    <w:rsid w:val="00BE318A"/>
    <w:pPr>
      <w:spacing w:before="120" w:after="0"/>
      <w:ind w:firstLine="0"/>
    </w:pPr>
    <w:rPr>
      <w:rFonts w:ascii="Arial" w:hAnsi="Arial" w:cs="Arial"/>
      <w:sz w:val="16"/>
      <w:szCs w:val="16"/>
    </w:rPr>
  </w:style>
  <w:style w:type="character" w:styleId="Hyperlink">
    <w:name w:val="Hyperlink"/>
    <w:basedOn w:val="DefaultParagraphFont"/>
    <w:uiPriority w:val="99"/>
    <w:unhideWhenUsed/>
    <w:rsid w:val="00E43E17"/>
    <w:rPr>
      <w:color w:val="0000FF" w:themeColor="hyperlink"/>
      <w:u w:val="single"/>
    </w:rPr>
  </w:style>
  <w:style w:type="character" w:styleId="FollowedHyperlink">
    <w:name w:val="FollowedHyperlink"/>
    <w:basedOn w:val="DefaultParagraphFont"/>
    <w:semiHidden/>
    <w:unhideWhenUsed/>
    <w:rsid w:val="002B68AC"/>
    <w:rPr>
      <w:color w:val="800080" w:themeColor="followedHyperlink"/>
      <w:u w:val="single"/>
    </w:rPr>
  </w:style>
  <w:style w:type="character" w:styleId="Emphasis">
    <w:name w:val="Emphasis"/>
    <w:basedOn w:val="DefaultParagraphFont"/>
    <w:uiPriority w:val="20"/>
    <w:qFormat/>
    <w:rsid w:val="00DC1321"/>
    <w:rPr>
      <w:i/>
      <w:iCs/>
    </w:rPr>
  </w:style>
  <w:style w:type="paragraph" w:customStyle="1" w:styleId="BulletLAST">
    <w:name w:val="Bullet (LAST)"/>
    <w:basedOn w:val="Bullet"/>
    <w:next w:val="Normal"/>
    <w:qFormat/>
    <w:rsid w:val="00B46265"/>
    <w:pPr>
      <w:numPr>
        <w:numId w:val="43"/>
      </w:numPr>
      <w:tabs>
        <w:tab w:val="clear" w:pos="432"/>
        <w:tab w:val="left" w:pos="360"/>
      </w:tabs>
      <w:spacing w:after="240"/>
      <w:ind w:right="360" w:hanging="288"/>
      <w:jc w:val="both"/>
    </w:pPr>
    <w:rPr>
      <w:szCs w:val="24"/>
    </w:rPr>
  </w:style>
  <w:style w:type="table" w:customStyle="1" w:styleId="TableGrid0">
    <w:name w:val="TableGrid"/>
    <w:rsid w:val="00B46265"/>
    <w:pPr>
      <w:spacing w:after="0"/>
    </w:pPr>
    <w:rPr>
      <w:rFonts w:asciiTheme="minorHAnsi" w:eastAsia="Times New Roman" w:hAnsiTheme="minorHAns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4044">
      <w:bodyDiv w:val="1"/>
      <w:marLeft w:val="0"/>
      <w:marRight w:val="0"/>
      <w:marTop w:val="0"/>
      <w:marBottom w:val="0"/>
      <w:divBdr>
        <w:top w:val="none" w:sz="0" w:space="0" w:color="auto"/>
        <w:left w:val="none" w:sz="0" w:space="0" w:color="auto"/>
        <w:bottom w:val="none" w:sz="0" w:space="0" w:color="auto"/>
        <w:right w:val="none" w:sz="0" w:space="0" w:color="auto"/>
      </w:divBdr>
    </w:div>
    <w:div w:id="511383361">
      <w:bodyDiv w:val="1"/>
      <w:marLeft w:val="0"/>
      <w:marRight w:val="0"/>
      <w:marTop w:val="0"/>
      <w:marBottom w:val="0"/>
      <w:divBdr>
        <w:top w:val="none" w:sz="0" w:space="0" w:color="auto"/>
        <w:left w:val="none" w:sz="0" w:space="0" w:color="auto"/>
        <w:bottom w:val="none" w:sz="0" w:space="0" w:color="auto"/>
        <w:right w:val="none" w:sz="0" w:space="0" w:color="auto"/>
      </w:divBdr>
    </w:div>
    <w:div w:id="551695759">
      <w:bodyDiv w:val="1"/>
      <w:marLeft w:val="0"/>
      <w:marRight w:val="0"/>
      <w:marTop w:val="0"/>
      <w:marBottom w:val="0"/>
      <w:divBdr>
        <w:top w:val="none" w:sz="0" w:space="0" w:color="auto"/>
        <w:left w:val="none" w:sz="0" w:space="0" w:color="auto"/>
        <w:bottom w:val="none" w:sz="0" w:space="0" w:color="auto"/>
        <w:right w:val="none" w:sz="0" w:space="0" w:color="auto"/>
      </w:divBdr>
    </w:div>
    <w:div w:id="703748919">
      <w:bodyDiv w:val="1"/>
      <w:marLeft w:val="0"/>
      <w:marRight w:val="0"/>
      <w:marTop w:val="0"/>
      <w:marBottom w:val="0"/>
      <w:divBdr>
        <w:top w:val="none" w:sz="0" w:space="0" w:color="auto"/>
        <w:left w:val="none" w:sz="0" w:space="0" w:color="auto"/>
        <w:bottom w:val="none" w:sz="0" w:space="0" w:color="auto"/>
        <w:right w:val="none" w:sz="0" w:space="0" w:color="auto"/>
      </w:divBdr>
    </w:div>
    <w:div w:id="841162137">
      <w:bodyDiv w:val="1"/>
      <w:marLeft w:val="0"/>
      <w:marRight w:val="0"/>
      <w:marTop w:val="0"/>
      <w:marBottom w:val="0"/>
      <w:divBdr>
        <w:top w:val="none" w:sz="0" w:space="0" w:color="auto"/>
        <w:left w:val="none" w:sz="0" w:space="0" w:color="auto"/>
        <w:bottom w:val="none" w:sz="0" w:space="0" w:color="auto"/>
        <w:right w:val="none" w:sz="0" w:space="0" w:color="auto"/>
      </w:divBdr>
    </w:div>
    <w:div w:id="920211559">
      <w:bodyDiv w:val="1"/>
      <w:marLeft w:val="0"/>
      <w:marRight w:val="0"/>
      <w:marTop w:val="0"/>
      <w:marBottom w:val="0"/>
      <w:divBdr>
        <w:top w:val="none" w:sz="0" w:space="0" w:color="auto"/>
        <w:left w:val="none" w:sz="0" w:space="0" w:color="auto"/>
        <w:bottom w:val="none" w:sz="0" w:space="0" w:color="auto"/>
        <w:right w:val="none" w:sz="0" w:space="0" w:color="auto"/>
      </w:divBdr>
    </w:div>
    <w:div w:id="959413639">
      <w:bodyDiv w:val="1"/>
      <w:marLeft w:val="0"/>
      <w:marRight w:val="0"/>
      <w:marTop w:val="0"/>
      <w:marBottom w:val="0"/>
      <w:divBdr>
        <w:top w:val="none" w:sz="0" w:space="0" w:color="auto"/>
        <w:left w:val="none" w:sz="0" w:space="0" w:color="auto"/>
        <w:bottom w:val="none" w:sz="0" w:space="0" w:color="auto"/>
        <w:right w:val="none" w:sz="0" w:space="0" w:color="auto"/>
      </w:divBdr>
    </w:div>
    <w:div w:id="961378425">
      <w:bodyDiv w:val="1"/>
      <w:marLeft w:val="0"/>
      <w:marRight w:val="0"/>
      <w:marTop w:val="0"/>
      <w:marBottom w:val="0"/>
      <w:divBdr>
        <w:top w:val="none" w:sz="0" w:space="0" w:color="auto"/>
        <w:left w:val="none" w:sz="0" w:space="0" w:color="auto"/>
        <w:bottom w:val="none" w:sz="0" w:space="0" w:color="auto"/>
        <w:right w:val="none" w:sz="0" w:space="0" w:color="auto"/>
      </w:divBdr>
    </w:div>
    <w:div w:id="1292520714">
      <w:bodyDiv w:val="1"/>
      <w:marLeft w:val="0"/>
      <w:marRight w:val="0"/>
      <w:marTop w:val="0"/>
      <w:marBottom w:val="0"/>
      <w:divBdr>
        <w:top w:val="none" w:sz="0" w:space="0" w:color="auto"/>
        <w:left w:val="none" w:sz="0" w:space="0" w:color="auto"/>
        <w:bottom w:val="none" w:sz="0" w:space="0" w:color="auto"/>
        <w:right w:val="none" w:sz="0" w:space="0" w:color="auto"/>
      </w:divBdr>
    </w:div>
    <w:div w:id="1483616098">
      <w:bodyDiv w:val="1"/>
      <w:marLeft w:val="0"/>
      <w:marRight w:val="0"/>
      <w:marTop w:val="0"/>
      <w:marBottom w:val="0"/>
      <w:divBdr>
        <w:top w:val="none" w:sz="0" w:space="0" w:color="auto"/>
        <w:left w:val="none" w:sz="0" w:space="0" w:color="auto"/>
        <w:bottom w:val="none" w:sz="0" w:space="0" w:color="auto"/>
        <w:right w:val="none" w:sz="0" w:space="0" w:color="auto"/>
      </w:divBdr>
    </w:div>
    <w:div w:id="1671104803">
      <w:bodyDiv w:val="1"/>
      <w:marLeft w:val="0"/>
      <w:marRight w:val="0"/>
      <w:marTop w:val="0"/>
      <w:marBottom w:val="0"/>
      <w:divBdr>
        <w:top w:val="none" w:sz="0" w:space="0" w:color="auto"/>
        <w:left w:val="none" w:sz="0" w:space="0" w:color="auto"/>
        <w:bottom w:val="none" w:sz="0" w:space="0" w:color="auto"/>
        <w:right w:val="none" w:sz="0" w:space="0" w:color="auto"/>
      </w:divBdr>
    </w:div>
    <w:div w:id="1696150078">
      <w:bodyDiv w:val="1"/>
      <w:marLeft w:val="0"/>
      <w:marRight w:val="0"/>
      <w:marTop w:val="0"/>
      <w:marBottom w:val="0"/>
      <w:divBdr>
        <w:top w:val="none" w:sz="0" w:space="0" w:color="auto"/>
        <w:left w:val="none" w:sz="0" w:space="0" w:color="auto"/>
        <w:bottom w:val="none" w:sz="0" w:space="0" w:color="auto"/>
        <w:right w:val="none" w:sz="0" w:space="0" w:color="auto"/>
      </w:divBdr>
    </w:div>
    <w:div w:id="1954049862">
      <w:bodyDiv w:val="1"/>
      <w:marLeft w:val="0"/>
      <w:marRight w:val="0"/>
      <w:marTop w:val="0"/>
      <w:marBottom w:val="0"/>
      <w:divBdr>
        <w:top w:val="none" w:sz="0" w:space="0" w:color="auto"/>
        <w:left w:val="none" w:sz="0" w:space="0" w:color="auto"/>
        <w:bottom w:val="none" w:sz="0" w:space="0" w:color="auto"/>
        <w:right w:val="none" w:sz="0" w:space="0" w:color="auto"/>
      </w:divBdr>
    </w:div>
    <w:div w:id="19612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oi.org/10.1086/269338"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59a42b3fa056133e41aba550936e63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8a07b0935dec07c32318ce8d1c83b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F5D48-B974-44E1-B43A-BF158C77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559F1-96DA-4448-A5EC-71BDDC6BEB1F}">
  <ds:schemaRefs>
    <ds:schemaRef ds:uri="http://schemas.microsoft.com/sharepoint/v3/contenttype/forms"/>
  </ds:schemaRefs>
</ds:datastoreItem>
</file>

<file path=customXml/itemProps3.xml><?xml version="1.0" encoding="utf-8"?>
<ds:datastoreItem xmlns:ds="http://schemas.openxmlformats.org/officeDocument/2006/customXml" ds:itemID="{369B8740-F280-4B1A-A8E0-B838F21EF866}">
  <ds:schemaRefs>
    <ds:schemaRef ds:uri="http://purl.org/dc/dcmitype/"/>
    <ds:schemaRef ds:uri="02e41e38-1731-4866-b09a-6257d8bc047f"/>
    <ds:schemaRef ds:uri="http://purl.org/dc/terms/"/>
    <ds:schemaRef ds:uri="f87c7b8b-c0e7-4b77-a067-2c707fd1239f"/>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09BBEFF-C7DF-40D0-B509-5C2266F6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Staff</dc:creator>
  <cp:lastModifiedBy>SYSTEM</cp:lastModifiedBy>
  <cp:revision>2</cp:revision>
  <cp:lastPrinted>2018-01-25T16:40:00Z</cp:lastPrinted>
  <dcterms:created xsi:type="dcterms:W3CDTF">2019-08-19T14:23:00Z</dcterms:created>
  <dcterms:modified xsi:type="dcterms:W3CDTF">2019-08-19T14:23:00Z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