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68D0" w:rsidR="009D6B6D" w:rsidP="001D2EC1" w:rsidRDefault="001D2EC1" w14:paraId="0A70DD9C" w14:textId="77777777">
      <w:pPr>
        <w:widowControl/>
        <w:tabs>
          <w:tab w:val="center" w:pos="5040"/>
        </w:tabs>
        <w:jc w:val="center"/>
        <w:rPr>
          <w:sz w:val="26"/>
          <w:szCs w:val="26"/>
        </w:rPr>
      </w:pPr>
      <w:r w:rsidRPr="002D68D0">
        <w:rPr>
          <w:sz w:val="26"/>
          <w:szCs w:val="26"/>
        </w:rPr>
        <w:t>Supporting Statement for</w:t>
      </w:r>
    </w:p>
    <w:p w:rsidRPr="002D68D0" w:rsidR="009D6B6D" w:rsidP="001D2EC1" w:rsidRDefault="00891C89" w14:paraId="26F26F35" w14:textId="77777777">
      <w:pPr>
        <w:widowControl/>
        <w:tabs>
          <w:tab w:val="center" w:pos="5040"/>
        </w:tabs>
        <w:jc w:val="center"/>
        <w:rPr>
          <w:b/>
          <w:sz w:val="26"/>
          <w:szCs w:val="26"/>
        </w:rPr>
      </w:pPr>
      <w:r w:rsidRPr="002D68D0">
        <w:rPr>
          <w:b/>
          <w:bCs/>
          <w:sz w:val="26"/>
          <w:szCs w:val="26"/>
        </w:rPr>
        <w:t xml:space="preserve">FERC Form </w:t>
      </w:r>
      <w:r w:rsidRPr="002D68D0" w:rsidR="009D6B6D">
        <w:rPr>
          <w:b/>
          <w:bCs/>
          <w:sz w:val="26"/>
          <w:szCs w:val="26"/>
        </w:rPr>
        <w:t>556</w:t>
      </w:r>
      <w:r w:rsidRPr="002D68D0" w:rsidR="001706BC">
        <w:rPr>
          <w:b/>
          <w:bCs/>
          <w:sz w:val="26"/>
          <w:szCs w:val="26"/>
        </w:rPr>
        <w:t>A</w:t>
      </w:r>
      <w:r w:rsidRPr="002D68D0" w:rsidR="009D6B6D">
        <w:rPr>
          <w:b/>
          <w:bCs/>
          <w:sz w:val="26"/>
          <w:szCs w:val="26"/>
        </w:rPr>
        <w:t>,</w:t>
      </w:r>
      <w:r w:rsidRPr="002D68D0" w:rsidR="009D6B6D">
        <w:rPr>
          <w:b/>
          <w:bCs/>
          <w:sz w:val="26"/>
          <w:szCs w:val="26"/>
          <w:vertAlign w:val="superscript"/>
        </w:rPr>
        <w:t xml:space="preserve"> </w:t>
      </w:r>
      <w:r w:rsidRPr="002D68D0" w:rsidR="009D6B6D">
        <w:rPr>
          <w:b/>
          <w:sz w:val="26"/>
          <w:szCs w:val="26"/>
        </w:rPr>
        <w:t>Certification of Qualifying Facility (QF) Status for a Small Power Produ</w:t>
      </w:r>
      <w:r w:rsidRPr="002D68D0" w:rsidR="005F62ED">
        <w:rPr>
          <w:b/>
          <w:sz w:val="26"/>
          <w:szCs w:val="26"/>
        </w:rPr>
        <w:t>ction or Cogeneration Facility</w:t>
      </w:r>
      <w:r w:rsidRPr="002D68D0" w:rsidR="00271D15">
        <w:rPr>
          <w:b/>
          <w:sz w:val="26"/>
          <w:szCs w:val="26"/>
        </w:rPr>
        <w:t>,</w:t>
      </w:r>
    </w:p>
    <w:p w:rsidRPr="002D68D0" w:rsidR="00271D15" w:rsidP="001D2EC1" w:rsidRDefault="00271D15" w14:paraId="3DA10D4F" w14:textId="77777777">
      <w:pPr>
        <w:widowControl/>
        <w:tabs>
          <w:tab w:val="center" w:pos="5040"/>
        </w:tabs>
        <w:jc w:val="center"/>
        <w:rPr>
          <w:b/>
          <w:sz w:val="26"/>
          <w:szCs w:val="26"/>
        </w:rPr>
      </w:pPr>
      <w:r w:rsidRPr="002D68D0">
        <w:rPr>
          <w:b/>
          <w:sz w:val="26"/>
          <w:szCs w:val="26"/>
        </w:rPr>
        <w:t>as propose</w:t>
      </w:r>
      <w:r w:rsidRPr="002D68D0" w:rsidR="003A40B3">
        <w:rPr>
          <w:b/>
          <w:sz w:val="26"/>
          <w:szCs w:val="26"/>
        </w:rPr>
        <w:t>d in Docket No</w:t>
      </w:r>
      <w:r w:rsidRPr="002D68D0" w:rsidR="00AC158D">
        <w:rPr>
          <w:b/>
          <w:sz w:val="26"/>
          <w:szCs w:val="26"/>
        </w:rPr>
        <w:t>s</w:t>
      </w:r>
      <w:r w:rsidRPr="002D68D0" w:rsidR="003A40B3">
        <w:rPr>
          <w:b/>
          <w:sz w:val="26"/>
          <w:szCs w:val="26"/>
        </w:rPr>
        <w:t>. RM19-15</w:t>
      </w:r>
      <w:r w:rsidRPr="002D68D0" w:rsidR="00AC158D">
        <w:rPr>
          <w:sz w:val="26"/>
          <w:szCs w:val="26"/>
        </w:rPr>
        <w:t xml:space="preserve"> </w:t>
      </w:r>
      <w:r w:rsidRPr="002D68D0" w:rsidR="00AC158D">
        <w:rPr>
          <w:b/>
          <w:sz w:val="26"/>
          <w:szCs w:val="26"/>
        </w:rPr>
        <w:t>and AD16-16</w:t>
      </w:r>
    </w:p>
    <w:p w:rsidRPr="002D68D0" w:rsidR="009D6B6D" w:rsidP="001D2EC1" w:rsidRDefault="009D6B6D" w14:paraId="66886D5C" w14:textId="77777777">
      <w:pPr>
        <w:widowControl/>
        <w:tabs>
          <w:tab w:val="center" w:pos="5040"/>
        </w:tabs>
        <w:jc w:val="center"/>
        <w:rPr>
          <w:sz w:val="26"/>
          <w:szCs w:val="26"/>
        </w:rPr>
      </w:pPr>
    </w:p>
    <w:p w:rsidRPr="002D68D0" w:rsidR="009D6B6D" w:rsidP="001D2EC1" w:rsidRDefault="009D6B6D" w14:paraId="1AD83E36" w14:textId="77777777">
      <w:pPr>
        <w:widowControl/>
        <w:rPr>
          <w:bCs/>
          <w:sz w:val="26"/>
          <w:szCs w:val="26"/>
        </w:rPr>
      </w:pPr>
      <w:r w:rsidRPr="002D68D0">
        <w:rPr>
          <w:bCs/>
          <w:sz w:val="26"/>
          <w:szCs w:val="26"/>
        </w:rPr>
        <w:t xml:space="preserve">The Federal Energy Regulatory Commission (Commission or FERC) requests that the Office of Management and Budget (OMB) review and approve </w:t>
      </w:r>
      <w:r w:rsidRPr="002D68D0" w:rsidR="00891C89">
        <w:rPr>
          <w:bCs/>
          <w:sz w:val="26"/>
          <w:szCs w:val="26"/>
        </w:rPr>
        <w:t xml:space="preserve">FERC Form </w:t>
      </w:r>
      <w:r w:rsidRPr="002D68D0">
        <w:rPr>
          <w:bCs/>
          <w:sz w:val="26"/>
          <w:szCs w:val="26"/>
        </w:rPr>
        <w:t>556</w:t>
      </w:r>
      <w:r w:rsidRPr="002D68D0" w:rsidR="000855B9">
        <w:rPr>
          <w:bCs/>
          <w:sz w:val="26"/>
          <w:szCs w:val="26"/>
        </w:rPr>
        <w:t>A</w:t>
      </w:r>
      <w:r w:rsidRPr="002D68D0" w:rsidR="0086129F">
        <w:rPr>
          <w:bCs/>
          <w:sz w:val="26"/>
          <w:szCs w:val="26"/>
        </w:rPr>
        <w:t xml:space="preserve"> [also called “FERC-556A”]</w:t>
      </w:r>
      <w:r w:rsidRPr="002D68D0" w:rsidR="005D6791">
        <w:rPr>
          <w:bCs/>
          <w:sz w:val="26"/>
          <w:szCs w:val="26"/>
        </w:rPr>
        <w:t>,</w:t>
      </w:r>
      <w:r w:rsidRPr="002D68D0" w:rsidR="00E32773">
        <w:rPr>
          <w:bCs/>
          <w:sz w:val="26"/>
          <w:szCs w:val="26"/>
        </w:rPr>
        <w:t xml:space="preserve"> </w:t>
      </w:r>
      <w:r w:rsidRPr="002D68D0">
        <w:rPr>
          <w:bCs/>
          <w:sz w:val="26"/>
          <w:szCs w:val="26"/>
        </w:rPr>
        <w:t>Certification of Qualifying Facility (QF) Status for a Small Power Production or Cogeneration Facility</w:t>
      </w:r>
      <w:r w:rsidRPr="002D68D0" w:rsidR="0035481D">
        <w:rPr>
          <w:bCs/>
          <w:sz w:val="26"/>
          <w:szCs w:val="26"/>
        </w:rPr>
        <w:t xml:space="preserve"> (OMB Control No. </w:t>
      </w:r>
      <w:r w:rsidRPr="002D68D0" w:rsidR="000855B9">
        <w:rPr>
          <w:bCs/>
          <w:sz w:val="26"/>
          <w:szCs w:val="26"/>
        </w:rPr>
        <w:t>TBD</w:t>
      </w:r>
      <w:r w:rsidRPr="002D68D0" w:rsidR="00E32773">
        <w:rPr>
          <w:bCs/>
          <w:sz w:val="26"/>
          <w:szCs w:val="26"/>
        </w:rPr>
        <w:t>)</w:t>
      </w:r>
      <w:r w:rsidRPr="002D68D0" w:rsidR="005D6791">
        <w:rPr>
          <w:bCs/>
          <w:sz w:val="26"/>
          <w:szCs w:val="26"/>
        </w:rPr>
        <w:t>,</w:t>
      </w:r>
      <w:r w:rsidRPr="002D68D0" w:rsidR="00E32773">
        <w:rPr>
          <w:bCs/>
          <w:sz w:val="26"/>
          <w:szCs w:val="26"/>
        </w:rPr>
        <w:t xml:space="preserve"> </w:t>
      </w:r>
      <w:r w:rsidRPr="002D68D0" w:rsidR="000855B9">
        <w:rPr>
          <w:bCs/>
          <w:sz w:val="26"/>
          <w:szCs w:val="26"/>
        </w:rPr>
        <w:t>as proposed in the Notice of Proposed Rulemaking (NOPR) in Docket No</w:t>
      </w:r>
      <w:r w:rsidRPr="002D68D0" w:rsidR="00AC158D">
        <w:rPr>
          <w:bCs/>
          <w:sz w:val="26"/>
          <w:szCs w:val="26"/>
        </w:rPr>
        <w:t>s</w:t>
      </w:r>
      <w:r w:rsidRPr="002D68D0" w:rsidR="000855B9">
        <w:rPr>
          <w:bCs/>
          <w:sz w:val="26"/>
          <w:szCs w:val="26"/>
        </w:rPr>
        <w:t>. RM19-15</w:t>
      </w:r>
      <w:r w:rsidRPr="002D68D0" w:rsidR="00AC158D">
        <w:rPr>
          <w:sz w:val="26"/>
          <w:szCs w:val="26"/>
        </w:rPr>
        <w:t xml:space="preserve"> </w:t>
      </w:r>
      <w:r w:rsidRPr="002D68D0" w:rsidR="00AC158D">
        <w:rPr>
          <w:bCs/>
          <w:sz w:val="26"/>
          <w:szCs w:val="26"/>
        </w:rPr>
        <w:t>and AD16-16</w:t>
      </w:r>
      <w:r w:rsidRPr="002D68D0">
        <w:rPr>
          <w:bCs/>
          <w:sz w:val="26"/>
          <w:szCs w:val="26"/>
        </w:rPr>
        <w:t xml:space="preserve">.  </w:t>
      </w:r>
    </w:p>
    <w:p w:rsidRPr="002D68D0" w:rsidR="0002051D" w:rsidP="001D2EC1" w:rsidRDefault="0002051D" w14:paraId="74D764A5" w14:textId="77777777">
      <w:pPr>
        <w:widowControl/>
        <w:rPr>
          <w:sz w:val="26"/>
          <w:szCs w:val="26"/>
        </w:rPr>
      </w:pPr>
    </w:p>
    <w:p w:rsidRPr="002D68D0" w:rsidR="006E4D24" w:rsidP="005F24C0" w:rsidRDefault="007F1EAC" w14:paraId="3223EEC0" w14:textId="37710E8C">
      <w:pPr>
        <w:widowControl/>
        <w:rPr>
          <w:i/>
          <w:sz w:val="26"/>
          <w:szCs w:val="26"/>
        </w:rPr>
      </w:pPr>
      <w:r>
        <w:rPr>
          <w:sz w:val="26"/>
          <w:szCs w:val="26"/>
        </w:rPr>
        <w:t xml:space="preserve">At the time that this </w:t>
      </w:r>
      <w:r w:rsidR="00B675BE">
        <w:rPr>
          <w:sz w:val="26"/>
          <w:szCs w:val="26"/>
        </w:rPr>
        <w:t xml:space="preserve">NOPR and </w:t>
      </w:r>
      <w:r>
        <w:rPr>
          <w:sz w:val="26"/>
          <w:szCs w:val="26"/>
        </w:rPr>
        <w:t xml:space="preserve">information collection request was submitted, </w:t>
      </w:r>
      <w:r w:rsidRPr="002D68D0" w:rsidR="00875368">
        <w:rPr>
          <w:sz w:val="26"/>
          <w:szCs w:val="26"/>
        </w:rPr>
        <w:t xml:space="preserve">OMB </w:t>
      </w:r>
      <w:r w:rsidRPr="002D68D0" w:rsidR="00DD746B">
        <w:rPr>
          <w:sz w:val="26"/>
          <w:szCs w:val="26"/>
        </w:rPr>
        <w:t xml:space="preserve">review </w:t>
      </w:r>
      <w:r>
        <w:rPr>
          <w:sz w:val="26"/>
          <w:szCs w:val="26"/>
        </w:rPr>
        <w:t>wa</w:t>
      </w:r>
      <w:r w:rsidRPr="002D68D0">
        <w:rPr>
          <w:sz w:val="26"/>
          <w:szCs w:val="26"/>
        </w:rPr>
        <w:t xml:space="preserve">s </w:t>
      </w:r>
      <w:r w:rsidRPr="002D68D0" w:rsidR="008A7CDE">
        <w:rPr>
          <w:sz w:val="26"/>
          <w:szCs w:val="26"/>
        </w:rPr>
        <w:t>pending for</w:t>
      </w:r>
      <w:r w:rsidRPr="002D68D0" w:rsidR="00875368">
        <w:rPr>
          <w:sz w:val="26"/>
          <w:szCs w:val="26"/>
        </w:rPr>
        <w:t xml:space="preserve"> the </w:t>
      </w:r>
      <w:r w:rsidRPr="002D68D0" w:rsidR="00DD746B">
        <w:rPr>
          <w:sz w:val="26"/>
          <w:szCs w:val="26"/>
        </w:rPr>
        <w:t xml:space="preserve">regular renewal of the existing </w:t>
      </w:r>
      <w:r w:rsidRPr="002D68D0" w:rsidR="00875368">
        <w:rPr>
          <w:sz w:val="26"/>
          <w:szCs w:val="26"/>
        </w:rPr>
        <w:t>FERC Form 556</w:t>
      </w:r>
      <w:r w:rsidRPr="002D68D0" w:rsidR="00E6514A">
        <w:rPr>
          <w:sz w:val="26"/>
          <w:szCs w:val="26"/>
        </w:rPr>
        <w:t>.</w:t>
      </w:r>
      <w:r w:rsidRPr="002D68D0" w:rsidR="008A7CDE">
        <w:rPr>
          <w:rStyle w:val="FootnoteReference"/>
          <w:sz w:val="26"/>
          <w:szCs w:val="26"/>
          <w:vertAlign w:val="superscript"/>
        </w:rPr>
        <w:footnoteReference w:id="1"/>
      </w:r>
      <w:r w:rsidRPr="002D68D0" w:rsidR="00E6514A">
        <w:rPr>
          <w:sz w:val="26"/>
          <w:szCs w:val="26"/>
        </w:rPr>
        <w:t xml:space="preserve">  </w:t>
      </w:r>
      <w:r w:rsidRPr="002D68D0" w:rsidR="00B675BE">
        <w:rPr>
          <w:sz w:val="26"/>
          <w:szCs w:val="26"/>
        </w:rPr>
        <w:t xml:space="preserve">Only one item per OMB Control No. can be pending OMB review at a time.  </w:t>
      </w:r>
      <w:r>
        <w:rPr>
          <w:sz w:val="26"/>
          <w:szCs w:val="26"/>
        </w:rPr>
        <w:t>For this reason</w:t>
      </w:r>
      <w:r w:rsidRPr="002D68D0" w:rsidR="00875368">
        <w:rPr>
          <w:sz w:val="26"/>
          <w:szCs w:val="26"/>
        </w:rPr>
        <w:t xml:space="preserve">, we are using a temporary </w:t>
      </w:r>
      <w:r w:rsidRPr="002D68D0" w:rsidR="00004FDF">
        <w:rPr>
          <w:sz w:val="26"/>
          <w:szCs w:val="26"/>
        </w:rPr>
        <w:t xml:space="preserve">(placeholder) </w:t>
      </w:r>
      <w:r w:rsidRPr="002D68D0" w:rsidR="00875368">
        <w:rPr>
          <w:sz w:val="26"/>
          <w:szCs w:val="26"/>
        </w:rPr>
        <w:t xml:space="preserve">information collection number (FERC-556A) </w:t>
      </w:r>
      <w:r w:rsidRPr="002D68D0" w:rsidR="00475BA5">
        <w:rPr>
          <w:sz w:val="26"/>
          <w:szCs w:val="26"/>
        </w:rPr>
        <w:t xml:space="preserve">in order to submit </w:t>
      </w:r>
      <w:r w:rsidRPr="002D68D0" w:rsidR="00CE4257">
        <w:rPr>
          <w:sz w:val="26"/>
          <w:szCs w:val="26"/>
        </w:rPr>
        <w:t xml:space="preserve">the </w:t>
      </w:r>
      <w:r w:rsidRPr="002D68D0" w:rsidR="00875368">
        <w:rPr>
          <w:sz w:val="26"/>
          <w:szCs w:val="26"/>
        </w:rPr>
        <w:t>NOPR in Docket No</w:t>
      </w:r>
      <w:r w:rsidRPr="002D68D0" w:rsidR="006D202F">
        <w:rPr>
          <w:sz w:val="26"/>
          <w:szCs w:val="26"/>
        </w:rPr>
        <w:t>s</w:t>
      </w:r>
      <w:r w:rsidRPr="002D68D0" w:rsidR="00875368">
        <w:rPr>
          <w:sz w:val="26"/>
          <w:szCs w:val="26"/>
        </w:rPr>
        <w:t>. RM19-15</w:t>
      </w:r>
      <w:r w:rsidRPr="002D68D0" w:rsidR="006D202F">
        <w:rPr>
          <w:sz w:val="26"/>
          <w:szCs w:val="26"/>
        </w:rPr>
        <w:t xml:space="preserve"> and AD16-16</w:t>
      </w:r>
      <w:r w:rsidRPr="002D68D0" w:rsidR="00CE4257">
        <w:rPr>
          <w:rStyle w:val="FootnoteReference"/>
          <w:sz w:val="26"/>
          <w:szCs w:val="26"/>
          <w:vertAlign w:val="superscript"/>
        </w:rPr>
        <w:footnoteReference w:id="2"/>
      </w:r>
      <w:r w:rsidRPr="002D68D0" w:rsidR="006E4D24">
        <w:rPr>
          <w:i/>
          <w:sz w:val="26"/>
          <w:szCs w:val="26"/>
        </w:rPr>
        <w:t xml:space="preserve"> </w:t>
      </w:r>
      <w:r w:rsidRPr="002D68D0" w:rsidR="00AE16CB">
        <w:rPr>
          <w:sz w:val="26"/>
          <w:szCs w:val="26"/>
        </w:rPr>
        <w:t xml:space="preserve">to OMB </w:t>
      </w:r>
      <w:r w:rsidRPr="002D68D0" w:rsidR="00E6514A">
        <w:rPr>
          <w:sz w:val="26"/>
          <w:szCs w:val="26"/>
        </w:rPr>
        <w:t>on a timely basis.</w:t>
      </w:r>
      <w:r w:rsidR="00FF255E">
        <w:rPr>
          <w:sz w:val="26"/>
          <w:szCs w:val="26"/>
        </w:rPr>
        <w:t xml:space="preserve">  </w:t>
      </w:r>
      <w:r w:rsidRPr="002D68D0" w:rsidR="006E4D24">
        <w:rPr>
          <w:i/>
          <w:sz w:val="26"/>
          <w:szCs w:val="26"/>
        </w:rPr>
        <w:t>If and when a Final Rule is issued in Docket No</w:t>
      </w:r>
      <w:r w:rsidRPr="002D68D0" w:rsidR="006D202F">
        <w:rPr>
          <w:i/>
          <w:sz w:val="26"/>
          <w:szCs w:val="26"/>
        </w:rPr>
        <w:t>s</w:t>
      </w:r>
      <w:r w:rsidRPr="002D68D0" w:rsidR="006E4D24">
        <w:rPr>
          <w:i/>
          <w:sz w:val="26"/>
          <w:szCs w:val="26"/>
        </w:rPr>
        <w:t>. RM19-15</w:t>
      </w:r>
      <w:r w:rsidRPr="002D68D0" w:rsidR="006D202F">
        <w:rPr>
          <w:i/>
          <w:sz w:val="26"/>
          <w:szCs w:val="26"/>
        </w:rPr>
        <w:t xml:space="preserve"> and AD16-16</w:t>
      </w:r>
      <w:r w:rsidRPr="002D68D0" w:rsidR="006E4D24">
        <w:rPr>
          <w:i/>
          <w:sz w:val="26"/>
          <w:szCs w:val="26"/>
        </w:rPr>
        <w:t xml:space="preserve">, the </w:t>
      </w:r>
      <w:r w:rsidRPr="002D68D0" w:rsidR="00E6514A">
        <w:rPr>
          <w:i/>
          <w:sz w:val="26"/>
          <w:szCs w:val="26"/>
        </w:rPr>
        <w:t xml:space="preserve">burden </w:t>
      </w:r>
      <w:r w:rsidRPr="002D68D0" w:rsidR="006E4D24">
        <w:rPr>
          <w:i/>
          <w:sz w:val="26"/>
          <w:szCs w:val="26"/>
        </w:rPr>
        <w:t xml:space="preserve">estimates provided here for FERC-556A will likely be consolidated into FERC-556 </w:t>
      </w:r>
      <w:r w:rsidRPr="002D68D0" w:rsidR="006265E5">
        <w:rPr>
          <w:i/>
          <w:sz w:val="26"/>
          <w:szCs w:val="26"/>
        </w:rPr>
        <w:t>(</w:t>
      </w:r>
      <w:r w:rsidRPr="002D68D0" w:rsidR="006E4D24">
        <w:rPr>
          <w:i/>
          <w:sz w:val="26"/>
          <w:szCs w:val="26"/>
        </w:rPr>
        <w:t>obviat</w:t>
      </w:r>
      <w:r w:rsidRPr="002D68D0" w:rsidR="00E6514A">
        <w:rPr>
          <w:i/>
          <w:sz w:val="26"/>
          <w:szCs w:val="26"/>
        </w:rPr>
        <w:t>ing</w:t>
      </w:r>
      <w:r w:rsidRPr="002D68D0" w:rsidR="006E4D24">
        <w:rPr>
          <w:i/>
          <w:sz w:val="26"/>
          <w:szCs w:val="26"/>
        </w:rPr>
        <w:t xml:space="preserve"> the need for the temporary information collection number FERC-556A</w:t>
      </w:r>
      <w:r w:rsidRPr="002D68D0" w:rsidR="006265E5">
        <w:rPr>
          <w:i/>
          <w:sz w:val="26"/>
          <w:szCs w:val="26"/>
        </w:rPr>
        <w:t>)</w:t>
      </w:r>
      <w:r w:rsidRPr="002D68D0" w:rsidR="006E4D24">
        <w:rPr>
          <w:i/>
          <w:sz w:val="26"/>
          <w:szCs w:val="26"/>
        </w:rPr>
        <w:t>.</w:t>
      </w:r>
      <w:r w:rsidR="00082CB0">
        <w:rPr>
          <w:sz w:val="26"/>
          <w:szCs w:val="26"/>
        </w:rPr>
        <w:t xml:space="preserve">  </w:t>
      </w:r>
      <w:r w:rsidRPr="002D68D0" w:rsidR="001D4F14">
        <w:rPr>
          <w:sz w:val="26"/>
          <w:szCs w:val="26"/>
        </w:rPr>
        <w:lastRenderedPageBreak/>
        <w:t>Much</w:t>
      </w:r>
      <w:r w:rsidRPr="002D68D0" w:rsidR="00875368">
        <w:rPr>
          <w:sz w:val="26"/>
          <w:szCs w:val="26"/>
        </w:rPr>
        <w:t xml:space="preserve"> of the information provided here relates to the FERC-556 </w:t>
      </w:r>
      <w:r w:rsidRPr="002D68D0" w:rsidR="00202221">
        <w:rPr>
          <w:sz w:val="26"/>
          <w:szCs w:val="26"/>
        </w:rPr>
        <w:t xml:space="preserve">(and </w:t>
      </w:r>
      <w:r w:rsidRPr="002D68D0" w:rsidR="00AE16CB">
        <w:rPr>
          <w:sz w:val="26"/>
          <w:szCs w:val="26"/>
        </w:rPr>
        <w:t xml:space="preserve">correspondingly the </w:t>
      </w:r>
      <w:r w:rsidRPr="002D68D0" w:rsidR="00202221">
        <w:rPr>
          <w:sz w:val="26"/>
          <w:szCs w:val="26"/>
        </w:rPr>
        <w:t xml:space="preserve">temporary information collection number FERC-556A) </w:t>
      </w:r>
      <w:r w:rsidRPr="002D68D0" w:rsidR="00875368">
        <w:rPr>
          <w:sz w:val="26"/>
          <w:szCs w:val="26"/>
        </w:rPr>
        <w:t xml:space="preserve">in order to provide the reader </w:t>
      </w:r>
      <w:r w:rsidRPr="002D68D0" w:rsidR="00E6514A">
        <w:rPr>
          <w:sz w:val="26"/>
          <w:szCs w:val="26"/>
        </w:rPr>
        <w:t xml:space="preserve">with </w:t>
      </w:r>
      <w:r w:rsidRPr="002D68D0" w:rsidR="00875368">
        <w:rPr>
          <w:sz w:val="26"/>
          <w:szCs w:val="26"/>
        </w:rPr>
        <w:t xml:space="preserve">background </w:t>
      </w:r>
      <w:r w:rsidRPr="002D68D0" w:rsidR="00A735D0">
        <w:rPr>
          <w:sz w:val="26"/>
          <w:szCs w:val="26"/>
        </w:rPr>
        <w:t>and</w:t>
      </w:r>
      <w:r w:rsidRPr="002D68D0" w:rsidR="00AE16CB">
        <w:rPr>
          <w:sz w:val="26"/>
          <w:szCs w:val="26"/>
        </w:rPr>
        <w:t xml:space="preserve"> context</w:t>
      </w:r>
      <w:r w:rsidRPr="002D68D0" w:rsidR="00E930D8">
        <w:rPr>
          <w:sz w:val="26"/>
          <w:szCs w:val="26"/>
        </w:rPr>
        <w:t>.</w:t>
      </w:r>
    </w:p>
    <w:p w:rsidRPr="002D68D0" w:rsidR="00875368" w:rsidP="00206823" w:rsidRDefault="00875368" w14:paraId="278B070E" w14:textId="77777777">
      <w:pPr>
        <w:widowControl/>
        <w:ind w:left="720" w:hanging="720"/>
        <w:rPr>
          <w:sz w:val="26"/>
          <w:szCs w:val="26"/>
        </w:rPr>
      </w:pPr>
    </w:p>
    <w:p w:rsidRPr="002D68D0" w:rsidR="009D6B6D" w:rsidP="00206823" w:rsidRDefault="009D6B6D" w14:paraId="1B9A6C9E" w14:textId="77777777">
      <w:pPr>
        <w:widowControl/>
        <w:ind w:left="720" w:hanging="720"/>
        <w:rPr>
          <w:b/>
          <w:sz w:val="26"/>
          <w:szCs w:val="26"/>
        </w:rPr>
      </w:pPr>
      <w:r w:rsidRPr="002D68D0">
        <w:rPr>
          <w:b/>
          <w:sz w:val="26"/>
          <w:szCs w:val="26"/>
        </w:rPr>
        <w:t>1.</w:t>
      </w:r>
      <w:r w:rsidRPr="002D68D0">
        <w:rPr>
          <w:b/>
          <w:sz w:val="26"/>
          <w:szCs w:val="26"/>
        </w:rPr>
        <w:tab/>
        <w:t>CIRCUMSTANCES THAT MAKE THE COLLECTION OF INFORMATION NECESSARY</w:t>
      </w:r>
    </w:p>
    <w:p w:rsidRPr="002D68D0" w:rsidR="009D6B6D" w:rsidP="00AC158D" w:rsidRDefault="009D6B6D" w14:paraId="0E45BCA6" w14:textId="77777777">
      <w:pPr>
        <w:widowControl/>
        <w:ind w:firstLine="90"/>
        <w:rPr>
          <w:b/>
          <w:sz w:val="26"/>
          <w:szCs w:val="26"/>
        </w:rPr>
      </w:pPr>
    </w:p>
    <w:p w:rsidRPr="002D68D0" w:rsidR="00AC158D" w:rsidP="00AC158D" w:rsidRDefault="00CA5A70" w14:paraId="2462D837" w14:textId="0747D9EB">
      <w:pPr>
        <w:pStyle w:val="FERCparanumber"/>
        <w:numPr>
          <w:ilvl w:val="0"/>
          <w:numId w:val="0"/>
        </w:numPr>
        <w:rPr>
          <w:szCs w:val="26"/>
        </w:rPr>
      </w:pPr>
      <w:r w:rsidRPr="002D68D0">
        <w:rPr>
          <w:szCs w:val="26"/>
        </w:rPr>
        <w:t>The Public Utility Regulatory Policies Act of 1978 (</w:t>
      </w:r>
      <w:r w:rsidRPr="002D68D0" w:rsidR="00AC158D">
        <w:rPr>
          <w:szCs w:val="26"/>
        </w:rPr>
        <w:t>PURPA</w:t>
      </w:r>
      <w:r w:rsidRPr="002D68D0">
        <w:rPr>
          <w:szCs w:val="26"/>
        </w:rPr>
        <w:t>)</w:t>
      </w:r>
      <w:r w:rsidRPr="002D68D0">
        <w:rPr>
          <w:rStyle w:val="FootnoteReference"/>
          <w:szCs w:val="26"/>
          <w:vertAlign w:val="superscript"/>
        </w:rPr>
        <w:footnoteReference w:id="3"/>
      </w:r>
      <w:r w:rsidRPr="002D68D0" w:rsidR="00AC158D">
        <w:rPr>
          <w:szCs w:val="26"/>
        </w:rPr>
        <w:t xml:space="preserve"> was enacted </w:t>
      </w:r>
      <w:r w:rsidRPr="002D68D0" w:rsidDel="00CA33E6" w:rsidR="00AC158D">
        <w:rPr>
          <w:szCs w:val="26"/>
        </w:rPr>
        <w:t>as part of a package of legislative proposals intended to reduce the country’s dependence on oil and natural gas, which at the time were in short supply and subject to dramatic price increases.</w:t>
      </w:r>
      <w:r w:rsidRPr="002D68D0" w:rsidR="00AC158D">
        <w:rPr>
          <w:szCs w:val="26"/>
        </w:rPr>
        <w:t xml:space="preserve">  PURPA was intended to promote the development of alternative generation resources that do not rely on fossil fuels and cogeneration facilities that make more efficient use of the heat produced from the fossil fuels that were then commonly used in the production of electricity.  Congress provided for a range of potential incentives that could be granted to these types of generation resources to encourage their development, such as non-cost</w:t>
      </w:r>
      <w:r w:rsidR="0085537A">
        <w:rPr>
          <w:szCs w:val="26"/>
        </w:rPr>
        <w:t>-</w:t>
      </w:r>
      <w:r w:rsidRPr="002D68D0" w:rsidR="00AC158D">
        <w:rPr>
          <w:szCs w:val="26"/>
        </w:rPr>
        <w:t>based rates for the sale of their power, more attractive rates for their purchase of backup power, and exemptions from certain regulatory provisions applicable to public utilities.</w:t>
      </w:r>
    </w:p>
    <w:p w:rsidRPr="002D68D0" w:rsidR="00AC158D" w:rsidP="00AC158D" w:rsidRDefault="00AC158D" w14:paraId="7F0D7A63" w14:textId="77777777">
      <w:pPr>
        <w:widowControl/>
        <w:ind w:firstLine="90"/>
        <w:rPr>
          <w:b/>
          <w:sz w:val="26"/>
          <w:szCs w:val="26"/>
        </w:rPr>
      </w:pPr>
    </w:p>
    <w:p w:rsidRPr="002D68D0" w:rsidR="009D6B6D" w:rsidP="007E2E0B" w:rsidRDefault="009B65A9" w14:paraId="431D21F3" w14:textId="7CC2E4FB">
      <w:pPr>
        <w:rPr>
          <w:sz w:val="26"/>
          <w:szCs w:val="26"/>
        </w:rPr>
      </w:pPr>
      <w:r w:rsidRPr="002D68D0">
        <w:rPr>
          <w:b/>
          <w:sz w:val="26"/>
          <w:szCs w:val="26"/>
        </w:rPr>
        <w:t>FERC-556.</w:t>
      </w:r>
      <w:r w:rsidRPr="002D68D0">
        <w:rPr>
          <w:sz w:val="26"/>
          <w:szCs w:val="26"/>
        </w:rPr>
        <w:t xml:space="preserve">  </w:t>
      </w:r>
      <w:r w:rsidRPr="002D68D0" w:rsidR="00891C89">
        <w:rPr>
          <w:sz w:val="26"/>
          <w:szCs w:val="26"/>
        </w:rPr>
        <w:t xml:space="preserve">FERC Form </w:t>
      </w:r>
      <w:r w:rsidRPr="002D68D0" w:rsidR="009D6B6D">
        <w:rPr>
          <w:sz w:val="26"/>
          <w:szCs w:val="26"/>
        </w:rPr>
        <w:t xml:space="preserve">556 is required to implement Sections 201 and 210 of </w:t>
      </w:r>
      <w:r w:rsidRPr="002D68D0" w:rsidR="00A02928">
        <w:rPr>
          <w:sz w:val="26"/>
          <w:szCs w:val="26"/>
        </w:rPr>
        <w:t>PURPA</w:t>
      </w:r>
      <w:r w:rsidRPr="002D68D0" w:rsidR="009D6B6D">
        <w:rPr>
          <w:sz w:val="26"/>
          <w:szCs w:val="26"/>
        </w:rPr>
        <w:t>.  FERC is authorized</w:t>
      </w:r>
      <w:r w:rsidRPr="002D68D0" w:rsidR="00957DA2">
        <w:rPr>
          <w:sz w:val="26"/>
          <w:szCs w:val="26"/>
        </w:rPr>
        <w:t>, under those sections,</w:t>
      </w:r>
      <w:r w:rsidRPr="002D68D0" w:rsidR="009D6B6D">
        <w:rPr>
          <w:sz w:val="26"/>
          <w:szCs w:val="26"/>
        </w:rPr>
        <w:t xml:space="preserve"> to encourage cogeneration and small power production and to prescribe such rules as necessary in order to carry out the statutory directives.  </w:t>
      </w:r>
    </w:p>
    <w:p w:rsidRPr="002D68D0" w:rsidR="009D6B6D" w:rsidP="001D2EC1" w:rsidRDefault="009D6B6D" w14:paraId="4FAC3607" w14:textId="77777777">
      <w:pPr>
        <w:widowControl/>
        <w:rPr>
          <w:sz w:val="26"/>
          <w:szCs w:val="26"/>
        </w:rPr>
      </w:pPr>
    </w:p>
    <w:p w:rsidRPr="002D68D0" w:rsidR="009D6B6D" w:rsidP="001D2EC1" w:rsidRDefault="009D6B6D" w14:paraId="1CA180B7" w14:textId="77777777">
      <w:pPr>
        <w:widowControl/>
        <w:rPr>
          <w:sz w:val="26"/>
          <w:szCs w:val="26"/>
        </w:rPr>
      </w:pPr>
      <w:r w:rsidRPr="002D68D0">
        <w:rPr>
          <w:sz w:val="26"/>
          <w:szCs w:val="26"/>
        </w:rPr>
        <w:t>A primary statutory objective is efficient use of energy resources by cogeneration facilities</w:t>
      </w:r>
      <w:r w:rsidRPr="002D68D0" w:rsidR="00AC0958">
        <w:rPr>
          <w:sz w:val="26"/>
          <w:szCs w:val="26"/>
        </w:rPr>
        <w:t>,</w:t>
      </w:r>
      <w:r w:rsidRPr="002D68D0">
        <w:rPr>
          <w:sz w:val="26"/>
          <w:szCs w:val="26"/>
        </w:rPr>
        <w:t xml:space="preserve"> which make use of reject heat associated with commercial or industrial processes, and by small power production facilities</w:t>
      </w:r>
      <w:r w:rsidRPr="002D68D0" w:rsidR="00AC0958">
        <w:rPr>
          <w:sz w:val="26"/>
          <w:szCs w:val="26"/>
        </w:rPr>
        <w:t>,</w:t>
      </w:r>
      <w:r w:rsidRPr="002D68D0">
        <w:rPr>
          <w:sz w:val="26"/>
          <w:szCs w:val="26"/>
        </w:rPr>
        <w:t xml:space="preserve"> which use renewable resources</w:t>
      </w:r>
      <w:r w:rsidRPr="002D68D0" w:rsidR="00907A71">
        <w:rPr>
          <w:sz w:val="26"/>
          <w:szCs w:val="26"/>
        </w:rPr>
        <w:t xml:space="preserve"> and waste</w:t>
      </w:r>
      <w:r w:rsidRPr="002D68D0">
        <w:rPr>
          <w:sz w:val="26"/>
          <w:szCs w:val="26"/>
        </w:rPr>
        <w:t xml:space="preserve">.  PURPA, through establishment of various regulatory benefits, encourages the development of small power production facilities and cogeneration facilities </w:t>
      </w:r>
      <w:r w:rsidRPr="002D68D0" w:rsidR="00C3086A">
        <w:rPr>
          <w:sz w:val="26"/>
          <w:szCs w:val="26"/>
        </w:rPr>
        <w:t>that</w:t>
      </w:r>
      <w:r w:rsidRPr="002D68D0">
        <w:rPr>
          <w:sz w:val="26"/>
          <w:szCs w:val="26"/>
        </w:rPr>
        <w:t xml:space="preserve"> meet certain technical and corporate criteria.  Facilities that meet these criteria are called Qualifying Facilities</w:t>
      </w:r>
      <w:r w:rsidRPr="002D68D0" w:rsidR="0075420C">
        <w:rPr>
          <w:sz w:val="26"/>
          <w:szCs w:val="26"/>
        </w:rPr>
        <w:t>,</w:t>
      </w:r>
      <w:r w:rsidRPr="002D68D0">
        <w:rPr>
          <w:sz w:val="26"/>
          <w:szCs w:val="26"/>
        </w:rPr>
        <w:t xml:space="preserve"> or QFs.</w:t>
      </w:r>
    </w:p>
    <w:p w:rsidRPr="002D68D0" w:rsidR="009D6B6D" w:rsidP="001D2EC1" w:rsidRDefault="009D6B6D" w14:paraId="7AD39B9B" w14:textId="77777777">
      <w:pPr>
        <w:pStyle w:val="FERCparanumber"/>
        <w:numPr>
          <w:ilvl w:val="0"/>
          <w:numId w:val="0"/>
        </w:numPr>
        <w:rPr>
          <w:szCs w:val="26"/>
        </w:rPr>
      </w:pPr>
    </w:p>
    <w:p w:rsidRPr="002D68D0" w:rsidR="009D6B6D" w:rsidP="001D2EC1" w:rsidRDefault="009D6B6D" w14:paraId="2305932E" w14:textId="137D1B0C">
      <w:pPr>
        <w:widowControl/>
        <w:rPr>
          <w:sz w:val="26"/>
          <w:szCs w:val="26"/>
        </w:rPr>
      </w:pPr>
      <w:r w:rsidRPr="002D68D0">
        <w:rPr>
          <w:sz w:val="26"/>
          <w:szCs w:val="26"/>
        </w:rPr>
        <w:t xml:space="preserve">The Commission’s regulations in 18 CFR Part 292 specify: a) the certification procedures which must be followed by </w:t>
      </w:r>
      <w:r w:rsidR="00EA108C">
        <w:rPr>
          <w:sz w:val="26"/>
          <w:szCs w:val="26"/>
        </w:rPr>
        <w:t xml:space="preserve">the applicant </w:t>
      </w:r>
      <w:r w:rsidRPr="00EA108C" w:rsidR="00EA108C">
        <w:rPr>
          <w:sz w:val="26"/>
          <w:szCs w:val="26"/>
        </w:rPr>
        <w:t>(legal entity on whose behalf qualifying facilit</w:t>
      </w:r>
      <w:r w:rsidR="00EA108C">
        <w:rPr>
          <w:sz w:val="26"/>
          <w:szCs w:val="26"/>
        </w:rPr>
        <w:t>y</w:t>
      </w:r>
      <w:r w:rsidRPr="00EA108C" w:rsidR="00EA108C">
        <w:rPr>
          <w:sz w:val="26"/>
          <w:szCs w:val="26"/>
        </w:rPr>
        <w:t xml:space="preserve"> </w:t>
      </w:r>
      <w:r w:rsidR="00EA108C">
        <w:rPr>
          <w:sz w:val="26"/>
          <w:szCs w:val="26"/>
        </w:rPr>
        <w:t xml:space="preserve">status is sought) </w:t>
      </w:r>
      <w:r w:rsidRPr="002D68D0">
        <w:rPr>
          <w:sz w:val="26"/>
          <w:szCs w:val="26"/>
        </w:rPr>
        <w:t xml:space="preserve">of small power production and cogeneration facilities; b) the criteria which </w:t>
      </w:r>
      <w:r w:rsidR="0041460C">
        <w:rPr>
          <w:sz w:val="26"/>
          <w:szCs w:val="26"/>
        </w:rPr>
        <w:t xml:space="preserve">the applicant </w:t>
      </w:r>
      <w:r w:rsidR="00F9124E">
        <w:rPr>
          <w:sz w:val="26"/>
          <w:szCs w:val="26"/>
        </w:rPr>
        <w:t>must meet</w:t>
      </w:r>
      <w:r w:rsidRPr="002D68D0">
        <w:rPr>
          <w:sz w:val="26"/>
          <w:szCs w:val="26"/>
        </w:rPr>
        <w:t xml:space="preserve">; c) the information which </w:t>
      </w:r>
      <w:r w:rsidR="0041460C">
        <w:rPr>
          <w:sz w:val="26"/>
          <w:szCs w:val="26"/>
        </w:rPr>
        <w:t xml:space="preserve">the applicant </w:t>
      </w:r>
      <w:r w:rsidRPr="002D68D0">
        <w:rPr>
          <w:sz w:val="26"/>
          <w:szCs w:val="26"/>
        </w:rPr>
        <w:t xml:space="preserve">must submit to FERC in order to obtain qualifying status; d) the PURPA </w:t>
      </w:r>
      <w:r w:rsidRPr="002D68D0" w:rsidR="001900B3">
        <w:rPr>
          <w:sz w:val="26"/>
          <w:szCs w:val="26"/>
        </w:rPr>
        <w:t>right</w:t>
      </w:r>
      <w:r w:rsidRPr="002D68D0">
        <w:rPr>
          <w:sz w:val="26"/>
          <w:szCs w:val="26"/>
        </w:rPr>
        <w:t xml:space="preserve">s which are available to QFs to encourage small power production and cogeneration; and e) the requirements pertaining </w:t>
      </w:r>
      <w:r w:rsidR="00BB2636">
        <w:rPr>
          <w:sz w:val="26"/>
          <w:szCs w:val="26"/>
        </w:rPr>
        <w:t>to arrangements between</w:t>
      </w:r>
      <w:r w:rsidRPr="002D68D0">
        <w:rPr>
          <w:sz w:val="26"/>
          <w:szCs w:val="26"/>
        </w:rPr>
        <w:t xml:space="preserve"> electric utilities </w:t>
      </w:r>
      <w:r w:rsidR="00BB2636">
        <w:rPr>
          <w:sz w:val="26"/>
          <w:szCs w:val="26"/>
        </w:rPr>
        <w:t>and</w:t>
      </w:r>
      <w:r w:rsidRPr="002D68D0">
        <w:rPr>
          <w:sz w:val="26"/>
          <w:szCs w:val="26"/>
        </w:rPr>
        <w:t xml:space="preserve"> QFs.</w:t>
      </w:r>
    </w:p>
    <w:p w:rsidRPr="002D68D0" w:rsidR="009D6B6D" w:rsidP="001D2EC1" w:rsidRDefault="009D6B6D" w14:paraId="27EC0795" w14:textId="77777777">
      <w:pPr>
        <w:widowControl/>
        <w:rPr>
          <w:sz w:val="26"/>
          <w:szCs w:val="26"/>
        </w:rPr>
      </w:pPr>
    </w:p>
    <w:p w:rsidRPr="002D68D0" w:rsidR="009D6B6D" w:rsidP="001D2EC1" w:rsidRDefault="009D6B6D" w14:paraId="24EB97A0" w14:textId="77777777">
      <w:pPr>
        <w:widowControl/>
        <w:rPr>
          <w:sz w:val="26"/>
          <w:szCs w:val="26"/>
        </w:rPr>
      </w:pPr>
      <w:r w:rsidRPr="002D68D0">
        <w:rPr>
          <w:sz w:val="26"/>
          <w:szCs w:val="26"/>
        </w:rPr>
        <w:t xml:space="preserve">18 CFR Part 292 </w:t>
      </w:r>
      <w:r w:rsidRPr="002D68D0" w:rsidR="00C97FEE">
        <w:rPr>
          <w:sz w:val="26"/>
          <w:szCs w:val="26"/>
        </w:rPr>
        <w:t>requires</w:t>
      </w:r>
      <w:r w:rsidRPr="002D68D0">
        <w:rPr>
          <w:sz w:val="26"/>
          <w:szCs w:val="26"/>
        </w:rPr>
        <w:t xml:space="preserve"> electric utilities to:</w:t>
      </w:r>
    </w:p>
    <w:p w:rsidRPr="002D68D0" w:rsidR="009D6B6D" w:rsidP="00971A3E" w:rsidRDefault="009D6B6D" w14:paraId="7D24AD50" w14:textId="77777777">
      <w:pPr>
        <w:widowControl/>
        <w:ind w:left="720" w:hanging="360"/>
        <w:rPr>
          <w:sz w:val="26"/>
          <w:szCs w:val="26"/>
        </w:rPr>
      </w:pPr>
    </w:p>
    <w:p w:rsidRPr="002D68D0" w:rsidR="009D6B6D" w:rsidP="00971A3E" w:rsidRDefault="009D6B6D" w14:paraId="0319CE40" w14:textId="77777777">
      <w:pPr>
        <w:widowControl/>
        <w:numPr>
          <w:ilvl w:val="0"/>
          <w:numId w:val="6"/>
        </w:numPr>
        <w:tabs>
          <w:tab w:val="clear" w:pos="720"/>
          <w:tab w:val="num" w:pos="1080"/>
        </w:tabs>
        <w:rPr>
          <w:sz w:val="26"/>
          <w:szCs w:val="26"/>
        </w:rPr>
      </w:pPr>
      <w:r w:rsidRPr="002D68D0">
        <w:rPr>
          <w:sz w:val="26"/>
          <w:szCs w:val="26"/>
        </w:rPr>
        <w:t>purchase energy and capacity from QFs</w:t>
      </w:r>
      <w:r w:rsidRPr="002D68D0" w:rsidR="001922FC">
        <w:rPr>
          <w:sz w:val="26"/>
          <w:szCs w:val="26"/>
        </w:rPr>
        <w:t>, with such purchases</w:t>
      </w:r>
      <w:r w:rsidRPr="002D68D0">
        <w:rPr>
          <w:sz w:val="26"/>
          <w:szCs w:val="26"/>
        </w:rPr>
        <w:t xml:space="preserve"> priced on the basis of the avoided cost of the power that is displaced by the QF power (i.e., the incremental cost to the purchasing utility if it had generated the displaced power </w:t>
      </w:r>
      <w:r w:rsidRPr="002D68D0" w:rsidR="001922FC">
        <w:rPr>
          <w:sz w:val="26"/>
          <w:szCs w:val="26"/>
        </w:rPr>
        <w:t xml:space="preserve">itself </w:t>
      </w:r>
      <w:r w:rsidRPr="002D68D0">
        <w:rPr>
          <w:sz w:val="26"/>
          <w:szCs w:val="26"/>
        </w:rPr>
        <w:t xml:space="preserve">or purchased it from another source); </w:t>
      </w:r>
    </w:p>
    <w:p w:rsidRPr="002D68D0" w:rsidR="009D6B6D" w:rsidP="00971A3E" w:rsidRDefault="009D6B6D" w14:paraId="100A2E37" w14:textId="31FDC2E7">
      <w:pPr>
        <w:widowControl/>
        <w:numPr>
          <w:ilvl w:val="0"/>
          <w:numId w:val="6"/>
        </w:numPr>
        <w:rPr>
          <w:sz w:val="26"/>
          <w:szCs w:val="26"/>
        </w:rPr>
      </w:pPr>
      <w:r w:rsidRPr="002D68D0">
        <w:rPr>
          <w:sz w:val="26"/>
          <w:szCs w:val="26"/>
        </w:rPr>
        <w:t>sell backup, maintenance</w:t>
      </w:r>
      <w:r w:rsidR="006F3AF6">
        <w:rPr>
          <w:sz w:val="26"/>
          <w:szCs w:val="26"/>
        </w:rPr>
        <w:t>,</w:t>
      </w:r>
      <w:r w:rsidRPr="002D68D0">
        <w:rPr>
          <w:sz w:val="26"/>
          <w:szCs w:val="26"/>
        </w:rPr>
        <w:t xml:space="preserve"> and other power services to QFs; </w:t>
      </w:r>
    </w:p>
    <w:p w:rsidRPr="002D68D0" w:rsidR="009D6B6D" w:rsidP="00971A3E" w:rsidRDefault="009D6B6D" w14:paraId="719BB9F7" w14:textId="77777777">
      <w:pPr>
        <w:widowControl/>
        <w:numPr>
          <w:ilvl w:val="0"/>
          <w:numId w:val="6"/>
        </w:numPr>
        <w:rPr>
          <w:sz w:val="26"/>
          <w:szCs w:val="26"/>
        </w:rPr>
      </w:pPr>
      <w:r w:rsidRPr="002D68D0">
        <w:rPr>
          <w:sz w:val="26"/>
          <w:szCs w:val="26"/>
        </w:rPr>
        <w:t>provide interconnection and transmission services</w:t>
      </w:r>
      <w:r w:rsidRPr="002D68D0" w:rsidR="001922FC">
        <w:rPr>
          <w:sz w:val="26"/>
          <w:szCs w:val="26"/>
        </w:rPr>
        <w:t xml:space="preserve"> to QFs</w:t>
      </w:r>
      <w:r w:rsidRPr="002D68D0">
        <w:rPr>
          <w:sz w:val="26"/>
          <w:szCs w:val="26"/>
        </w:rPr>
        <w:t xml:space="preserve">; </w:t>
      </w:r>
    </w:p>
    <w:p w:rsidRPr="00BB2636" w:rsidR="009D6B6D" w:rsidP="00BB2636" w:rsidRDefault="00BB2636" w14:paraId="7E3A1C3B" w14:textId="757AA78B">
      <w:pPr>
        <w:widowControl/>
        <w:numPr>
          <w:ilvl w:val="0"/>
          <w:numId w:val="6"/>
        </w:numPr>
        <w:rPr>
          <w:sz w:val="26"/>
          <w:szCs w:val="26"/>
        </w:rPr>
      </w:pPr>
      <w:r>
        <w:rPr>
          <w:sz w:val="26"/>
          <w:szCs w:val="26"/>
        </w:rPr>
        <w:t xml:space="preserve">offer to </w:t>
      </w:r>
      <w:r w:rsidRPr="002D68D0" w:rsidR="009D6B6D">
        <w:rPr>
          <w:sz w:val="26"/>
          <w:szCs w:val="26"/>
        </w:rPr>
        <w:t xml:space="preserve">operate in “parallel” </w:t>
      </w:r>
      <w:r w:rsidRPr="002D68D0" w:rsidR="001922FC">
        <w:rPr>
          <w:sz w:val="26"/>
          <w:szCs w:val="26"/>
        </w:rPr>
        <w:t xml:space="preserve">with </w:t>
      </w:r>
      <w:r w:rsidRPr="002D68D0" w:rsidR="009D6B6D">
        <w:rPr>
          <w:sz w:val="26"/>
          <w:szCs w:val="26"/>
        </w:rPr>
        <w:t>QFs</w:t>
      </w:r>
      <w:r w:rsidRPr="00CF4F34">
        <w:rPr>
          <w:sz w:val="26"/>
          <w:szCs w:val="26"/>
        </w:rPr>
        <w:t xml:space="preserve"> pursuant to standards determined by a </w:t>
      </w:r>
      <w:r w:rsidRPr="00CF4F34">
        <w:rPr>
          <w:color w:val="000000"/>
          <w:sz w:val="26"/>
          <w:szCs w:val="26"/>
          <w:shd w:val="clear" w:color="auto" w:fill="FFFFFF"/>
        </w:rPr>
        <w:t>state regulatory authority (with respect to any electric utility over which it has ratemaking authority) or nonregulated electric utility to ensure system safety and reliability of interconnected operations</w:t>
      </w:r>
      <w:r>
        <w:rPr>
          <w:rFonts w:ascii="Arial" w:hAnsi="Arial" w:cs="Arial"/>
          <w:color w:val="000000"/>
          <w:sz w:val="21"/>
          <w:szCs w:val="21"/>
          <w:shd w:val="clear" w:color="auto" w:fill="FFFFFF"/>
        </w:rPr>
        <w:t>;</w:t>
      </w:r>
      <w:r w:rsidRPr="00BB2636" w:rsidR="009D6B6D">
        <w:rPr>
          <w:sz w:val="26"/>
          <w:szCs w:val="26"/>
        </w:rPr>
        <w:t xml:space="preserve"> and</w:t>
      </w:r>
      <w:r w:rsidRPr="00BB2636" w:rsidR="005D6791">
        <w:rPr>
          <w:sz w:val="26"/>
          <w:szCs w:val="26"/>
        </w:rPr>
        <w:t>,</w:t>
      </w:r>
    </w:p>
    <w:p w:rsidRPr="00BB2636" w:rsidR="009D6B6D" w:rsidP="00BB2636" w:rsidRDefault="009D6B6D" w14:paraId="165A0C08" w14:textId="77777777">
      <w:pPr>
        <w:widowControl/>
        <w:numPr>
          <w:ilvl w:val="0"/>
          <w:numId w:val="6"/>
        </w:numPr>
        <w:rPr>
          <w:sz w:val="26"/>
          <w:szCs w:val="26"/>
        </w:rPr>
      </w:pPr>
      <w:r w:rsidRPr="00BB2636">
        <w:rPr>
          <w:sz w:val="26"/>
          <w:szCs w:val="26"/>
        </w:rPr>
        <w:t>make avoided cost information and system capacity needs</w:t>
      </w:r>
      <w:r w:rsidRPr="00BB2636" w:rsidR="00C3086A">
        <w:rPr>
          <w:sz w:val="26"/>
          <w:szCs w:val="26"/>
        </w:rPr>
        <w:t xml:space="preserve"> available to the public</w:t>
      </w:r>
      <w:r w:rsidRPr="00BB2636">
        <w:rPr>
          <w:sz w:val="26"/>
          <w:szCs w:val="26"/>
        </w:rPr>
        <w:t>.</w:t>
      </w:r>
    </w:p>
    <w:p w:rsidRPr="00BB2636" w:rsidR="009D6B6D" w:rsidP="005F24C0" w:rsidRDefault="009D6B6D" w14:paraId="178C477B" w14:textId="77777777">
      <w:pPr>
        <w:widowControl/>
        <w:ind w:left="720"/>
        <w:rPr>
          <w:sz w:val="26"/>
          <w:szCs w:val="26"/>
        </w:rPr>
      </w:pPr>
    </w:p>
    <w:p w:rsidRPr="002D68D0" w:rsidR="009D6B6D" w:rsidP="00BB2636" w:rsidRDefault="009D6B6D" w14:paraId="7B9EF27A" w14:textId="458D0EC4">
      <w:pPr>
        <w:rPr>
          <w:sz w:val="26"/>
          <w:szCs w:val="26"/>
        </w:rPr>
      </w:pPr>
      <w:r w:rsidRPr="00BB2636">
        <w:rPr>
          <w:sz w:val="26"/>
          <w:szCs w:val="26"/>
        </w:rPr>
        <w:t>In 18 CFR Part 292, the Commission</w:t>
      </w:r>
      <w:r w:rsidRPr="00BB2636" w:rsidR="001922FC">
        <w:rPr>
          <w:sz w:val="26"/>
          <w:szCs w:val="26"/>
        </w:rPr>
        <w:t xml:space="preserve"> also</w:t>
      </w:r>
      <w:r w:rsidRPr="00BB2636">
        <w:rPr>
          <w:sz w:val="26"/>
          <w:szCs w:val="26"/>
        </w:rPr>
        <w:t xml:space="preserve"> exempts QFs from certain corporate, accounting, reporting</w:t>
      </w:r>
      <w:r w:rsidRPr="00BB2636" w:rsidR="00C3086A">
        <w:rPr>
          <w:sz w:val="26"/>
          <w:szCs w:val="26"/>
        </w:rPr>
        <w:t>,</w:t>
      </w:r>
      <w:r w:rsidRPr="00BB2636">
        <w:rPr>
          <w:sz w:val="26"/>
          <w:szCs w:val="26"/>
        </w:rPr>
        <w:t xml:space="preserve"> and rate regulation requirements</w:t>
      </w:r>
      <w:r w:rsidRPr="00BB2636" w:rsidR="001922FC">
        <w:rPr>
          <w:sz w:val="26"/>
          <w:szCs w:val="26"/>
        </w:rPr>
        <w:t xml:space="preserve"> of the Federal Power </w:t>
      </w:r>
      <w:r w:rsidRPr="002D68D0" w:rsidR="001922FC">
        <w:rPr>
          <w:sz w:val="26"/>
          <w:szCs w:val="26"/>
        </w:rPr>
        <w:t>Act</w:t>
      </w:r>
      <w:r w:rsidRPr="002D68D0" w:rsidR="001900B3">
        <w:rPr>
          <w:sz w:val="26"/>
          <w:szCs w:val="26"/>
        </w:rPr>
        <w:t xml:space="preserve"> (FPA)</w:t>
      </w:r>
      <w:r w:rsidRPr="002D68D0">
        <w:rPr>
          <w:sz w:val="26"/>
          <w:szCs w:val="26"/>
        </w:rPr>
        <w:t xml:space="preserve"> and the Public Utility Holding Company Act of 2005.</w:t>
      </w:r>
    </w:p>
    <w:p w:rsidRPr="002D68D0" w:rsidR="009D6B6D" w:rsidP="001D2EC1" w:rsidRDefault="00AC0958" w14:paraId="1BC92663" w14:textId="77777777">
      <w:pPr>
        <w:tabs>
          <w:tab w:val="left" w:pos="8188"/>
        </w:tabs>
        <w:rPr>
          <w:sz w:val="26"/>
          <w:szCs w:val="26"/>
        </w:rPr>
      </w:pPr>
      <w:r w:rsidRPr="002D68D0">
        <w:rPr>
          <w:sz w:val="26"/>
          <w:szCs w:val="26"/>
        </w:rPr>
        <w:tab/>
      </w:r>
    </w:p>
    <w:p w:rsidRPr="002D68D0" w:rsidR="009D6B6D" w:rsidP="001D2EC1" w:rsidRDefault="009D6B6D" w14:paraId="0ED26561" w14:textId="4F7C3F88">
      <w:pPr>
        <w:pStyle w:val="FERCparanumber"/>
        <w:numPr>
          <w:ilvl w:val="0"/>
          <w:numId w:val="0"/>
        </w:numPr>
        <w:tabs>
          <w:tab w:val="left" w:pos="810"/>
          <w:tab w:val="left" w:pos="4860"/>
        </w:tabs>
        <w:rPr>
          <w:szCs w:val="26"/>
        </w:rPr>
      </w:pPr>
      <w:r w:rsidRPr="002D68D0">
        <w:rPr>
          <w:szCs w:val="26"/>
        </w:rPr>
        <w:t>In Order No. 732</w:t>
      </w:r>
      <w:r w:rsidRPr="002D68D0" w:rsidR="001922FC">
        <w:rPr>
          <w:szCs w:val="26"/>
        </w:rPr>
        <w:t>,</w:t>
      </w:r>
      <w:r w:rsidRPr="002D68D0" w:rsidR="001922FC">
        <w:rPr>
          <w:rStyle w:val="FootnoteReference"/>
          <w:szCs w:val="26"/>
          <w:vertAlign w:val="superscript"/>
        </w:rPr>
        <w:footnoteReference w:id="4"/>
      </w:r>
      <w:r w:rsidRPr="002D68D0">
        <w:rPr>
          <w:szCs w:val="26"/>
        </w:rPr>
        <w:t xml:space="preserve"> </w:t>
      </w:r>
      <w:r w:rsidRPr="002D68D0" w:rsidR="001922FC">
        <w:rPr>
          <w:szCs w:val="26"/>
        </w:rPr>
        <w:t>amending its regulations</w:t>
      </w:r>
      <w:r w:rsidRPr="002D68D0" w:rsidR="006A6928">
        <w:rPr>
          <w:szCs w:val="26"/>
        </w:rPr>
        <w:t xml:space="preserve"> subsequent to the Energy Policy Act of 2005</w:t>
      </w:r>
      <w:r w:rsidRPr="002D68D0" w:rsidR="001922FC">
        <w:rPr>
          <w:szCs w:val="26"/>
        </w:rPr>
        <w:t xml:space="preserve">, </w:t>
      </w:r>
      <w:r w:rsidRPr="002D68D0">
        <w:rPr>
          <w:szCs w:val="26"/>
        </w:rPr>
        <w:t xml:space="preserve">FERC </w:t>
      </w:r>
      <w:r w:rsidRPr="002D68D0" w:rsidR="008A38B5">
        <w:rPr>
          <w:szCs w:val="26"/>
        </w:rPr>
        <w:t xml:space="preserve">revised FERC Form </w:t>
      </w:r>
      <w:r w:rsidRPr="002D68D0" w:rsidR="006A6928">
        <w:rPr>
          <w:szCs w:val="26"/>
        </w:rPr>
        <w:t xml:space="preserve">556.  </w:t>
      </w:r>
      <w:r w:rsidRPr="002D68D0" w:rsidR="0075420C">
        <w:rPr>
          <w:szCs w:val="26"/>
        </w:rPr>
        <w:t>The Commission</w:t>
      </w:r>
      <w:r w:rsidRPr="002D68D0" w:rsidR="006A6928">
        <w:rPr>
          <w:szCs w:val="26"/>
        </w:rPr>
        <w:t xml:space="preserve"> </w:t>
      </w:r>
      <w:r w:rsidRPr="002D68D0">
        <w:rPr>
          <w:szCs w:val="26"/>
        </w:rPr>
        <w:t>removed the contents and gener</w:t>
      </w:r>
      <w:r w:rsidRPr="002D68D0" w:rsidR="00891C89">
        <w:rPr>
          <w:szCs w:val="26"/>
        </w:rPr>
        <w:t xml:space="preserve">al instructions of the FERC Form </w:t>
      </w:r>
      <w:r w:rsidRPr="002D68D0">
        <w:rPr>
          <w:szCs w:val="26"/>
        </w:rPr>
        <w:t>556</w:t>
      </w:r>
      <w:r w:rsidRPr="002D68D0" w:rsidR="0075420C">
        <w:rPr>
          <w:szCs w:val="26"/>
        </w:rPr>
        <w:t xml:space="preserve"> from 18 CFR Section 131.80</w:t>
      </w:r>
      <w:r w:rsidRPr="002D68D0">
        <w:rPr>
          <w:szCs w:val="26"/>
        </w:rPr>
        <w:t>, and, in their place, provided that an applicant seeking to certify QF status of a small power production or cogeneration facility</w:t>
      </w:r>
      <w:r w:rsidRPr="002D68D0" w:rsidR="00891C89">
        <w:rPr>
          <w:szCs w:val="26"/>
        </w:rPr>
        <w:t xml:space="preserve"> complete and file the FERC Form </w:t>
      </w:r>
      <w:r w:rsidRPr="002D68D0">
        <w:rPr>
          <w:szCs w:val="26"/>
        </w:rPr>
        <w:t>556 that is in effect at the time of filing.  The current form is available for download from the FERC website.  FERC also be</w:t>
      </w:r>
      <w:r w:rsidRPr="002D68D0" w:rsidR="00891C89">
        <w:rPr>
          <w:szCs w:val="26"/>
        </w:rPr>
        <w:t xml:space="preserve">gan requiring that the FERC Form </w:t>
      </w:r>
      <w:r w:rsidRPr="002D68D0">
        <w:rPr>
          <w:szCs w:val="26"/>
        </w:rPr>
        <w:t>556 be submitted electronically.</w:t>
      </w:r>
    </w:p>
    <w:p w:rsidRPr="002D68D0" w:rsidR="009D6B6D" w:rsidP="001D2EC1" w:rsidRDefault="009D6B6D" w14:paraId="388803AB" w14:textId="77777777">
      <w:pPr>
        <w:pStyle w:val="FERCparanumber"/>
        <w:numPr>
          <w:ilvl w:val="0"/>
          <w:numId w:val="0"/>
        </w:numPr>
        <w:tabs>
          <w:tab w:val="left" w:pos="810"/>
          <w:tab w:val="left" w:pos="4860"/>
        </w:tabs>
        <w:rPr>
          <w:szCs w:val="26"/>
        </w:rPr>
      </w:pPr>
    </w:p>
    <w:p w:rsidRPr="002D68D0" w:rsidR="009D6B6D" w:rsidP="001D2EC1" w:rsidRDefault="009D6B6D" w14:paraId="55019142" w14:textId="0A0F1C26">
      <w:pPr>
        <w:pStyle w:val="FERCparanumber"/>
        <w:numPr>
          <w:ilvl w:val="0"/>
          <w:numId w:val="0"/>
        </w:numPr>
        <w:tabs>
          <w:tab w:val="left" w:pos="810"/>
          <w:tab w:val="left" w:pos="4860"/>
        </w:tabs>
        <w:rPr>
          <w:szCs w:val="26"/>
        </w:rPr>
      </w:pPr>
      <w:r w:rsidRPr="002D68D0">
        <w:rPr>
          <w:szCs w:val="26"/>
        </w:rPr>
        <w:t>Additionally in that order, FERC revis</w:t>
      </w:r>
      <w:r w:rsidRPr="002D68D0" w:rsidR="00891C89">
        <w:rPr>
          <w:szCs w:val="26"/>
        </w:rPr>
        <w:t xml:space="preserve">ed and reformatted the FERC Form </w:t>
      </w:r>
      <w:r w:rsidRPr="002D68D0">
        <w:rPr>
          <w:szCs w:val="26"/>
        </w:rPr>
        <w:t xml:space="preserve">556 to clarify the content of the form and to take advantage of newer technologies to reduce both the filing burden for applicants and the processing burden for the Commission.  </w:t>
      </w:r>
    </w:p>
    <w:p w:rsidRPr="002D68D0" w:rsidR="009D6B6D" w:rsidP="001D2EC1" w:rsidRDefault="009D6B6D" w14:paraId="382E7E86" w14:textId="77777777">
      <w:pPr>
        <w:pStyle w:val="FERCparanumber"/>
        <w:numPr>
          <w:ilvl w:val="0"/>
          <w:numId w:val="0"/>
        </w:numPr>
        <w:rPr>
          <w:szCs w:val="26"/>
        </w:rPr>
      </w:pPr>
    </w:p>
    <w:p w:rsidRPr="002D68D0" w:rsidR="009D6B6D" w:rsidP="001D2EC1" w:rsidRDefault="009D6B6D" w14:paraId="6AB8A395" w14:textId="720ECC75">
      <w:pPr>
        <w:pStyle w:val="FERCparanumber"/>
        <w:numPr>
          <w:ilvl w:val="0"/>
          <w:numId w:val="0"/>
        </w:numPr>
        <w:rPr>
          <w:szCs w:val="26"/>
        </w:rPr>
      </w:pPr>
      <w:r w:rsidRPr="002D68D0">
        <w:rPr>
          <w:szCs w:val="26"/>
        </w:rPr>
        <w:t>FERC also updated the procedures, standards</w:t>
      </w:r>
      <w:r w:rsidRPr="002D68D0" w:rsidR="00851D29">
        <w:rPr>
          <w:szCs w:val="26"/>
        </w:rPr>
        <w:t>,</w:t>
      </w:r>
      <w:r w:rsidRPr="002D68D0">
        <w:rPr>
          <w:szCs w:val="26"/>
        </w:rPr>
        <w:t xml:space="preserve"> and criteria for QF status provided in 18 CFR Part 292 of its regulations to</w:t>
      </w:r>
      <w:r w:rsidRPr="002D68D0" w:rsidR="00560503">
        <w:rPr>
          <w:szCs w:val="26"/>
        </w:rPr>
        <w:t>, among other things,</w:t>
      </w:r>
      <w:r w:rsidRPr="002D68D0">
        <w:rPr>
          <w:szCs w:val="26"/>
        </w:rPr>
        <w:t xml:space="preserve"> exempt</w:t>
      </w:r>
      <w:r w:rsidRPr="002D68D0" w:rsidR="0075420C">
        <w:rPr>
          <w:szCs w:val="26"/>
        </w:rPr>
        <w:t xml:space="preserve"> </w:t>
      </w:r>
      <w:r w:rsidRPr="002D68D0">
        <w:rPr>
          <w:szCs w:val="26"/>
        </w:rPr>
        <w:t xml:space="preserve">generating facilities with net power production capacities of 1 MW or less from the requirement that a generating facility, to be a QF, must file either a notice of self-certification or an application for </w:t>
      </w:r>
      <w:r w:rsidRPr="002D68D0">
        <w:rPr>
          <w:szCs w:val="26"/>
        </w:rPr>
        <w:lastRenderedPageBreak/>
        <w:t>Commission certification</w:t>
      </w:r>
      <w:r w:rsidR="00C532F1">
        <w:rPr>
          <w:szCs w:val="26"/>
        </w:rPr>
        <w:t>,</w:t>
      </w:r>
      <w:r w:rsidRPr="002D68D0" w:rsidR="00560503">
        <w:rPr>
          <w:szCs w:val="26"/>
        </w:rPr>
        <w:t xml:space="preserve"> and codified </w:t>
      </w:r>
      <w:r w:rsidRPr="002D68D0">
        <w:rPr>
          <w:szCs w:val="26"/>
        </w:rPr>
        <w:t>FERC’s authority to waive the QF</w:t>
      </w:r>
      <w:r w:rsidRPr="002D68D0" w:rsidR="00560503">
        <w:rPr>
          <w:szCs w:val="26"/>
        </w:rPr>
        <w:t>-</w:t>
      </w:r>
      <w:r w:rsidRPr="002D68D0">
        <w:rPr>
          <w:szCs w:val="26"/>
        </w:rPr>
        <w:t xml:space="preserve">certification </w:t>
      </w:r>
      <w:r w:rsidRPr="002D68D0" w:rsidR="00560503">
        <w:rPr>
          <w:szCs w:val="26"/>
        </w:rPr>
        <w:t xml:space="preserve">filing </w:t>
      </w:r>
      <w:r w:rsidRPr="002D68D0">
        <w:rPr>
          <w:szCs w:val="26"/>
        </w:rPr>
        <w:t>requirement for good cause.</w:t>
      </w:r>
    </w:p>
    <w:p w:rsidRPr="002D68D0" w:rsidR="009D6B6D" w:rsidP="001D2EC1" w:rsidRDefault="009D6B6D" w14:paraId="48688137" w14:textId="77777777">
      <w:pPr>
        <w:pStyle w:val="FERCparanumber"/>
        <w:numPr>
          <w:ilvl w:val="0"/>
          <w:numId w:val="0"/>
        </w:numPr>
        <w:rPr>
          <w:szCs w:val="26"/>
        </w:rPr>
      </w:pPr>
    </w:p>
    <w:p w:rsidRPr="002D68D0" w:rsidR="00980E8E" w:rsidP="00162EEC" w:rsidRDefault="009D6B6D" w14:paraId="6C31FF02" w14:textId="16A36108">
      <w:pPr>
        <w:pStyle w:val="FERCparanumber"/>
        <w:numPr>
          <w:ilvl w:val="0"/>
          <w:numId w:val="0"/>
        </w:numPr>
        <w:tabs>
          <w:tab w:val="left" w:pos="720"/>
        </w:tabs>
        <w:rPr>
          <w:szCs w:val="26"/>
        </w:rPr>
      </w:pPr>
      <w:bookmarkStart w:name="_Hlk31293222" w:id="0"/>
      <w:r w:rsidRPr="002D68D0">
        <w:rPr>
          <w:szCs w:val="26"/>
        </w:rPr>
        <w:t xml:space="preserve">Finally, in Order No. 732, FERC changed the exemption of QFs from the </w:t>
      </w:r>
      <w:r w:rsidRPr="002D68D0" w:rsidR="00AC0958">
        <w:rPr>
          <w:szCs w:val="26"/>
        </w:rPr>
        <w:t>FPA</w:t>
      </w:r>
      <w:r w:rsidRPr="002D68D0">
        <w:rPr>
          <w:szCs w:val="26"/>
        </w:rPr>
        <w:t xml:space="preserve"> and the Public Utility Holding Company Act of 2005 to make clear that certain small power production facilities that satisfy the criteria of section 3(17)(E) of the </w:t>
      </w:r>
      <w:r w:rsidRPr="002D68D0" w:rsidR="00AC0958">
        <w:rPr>
          <w:szCs w:val="26"/>
        </w:rPr>
        <w:t>FPA</w:t>
      </w:r>
      <w:r w:rsidR="00F105FE">
        <w:rPr>
          <w:szCs w:val="26"/>
        </w:rPr>
        <w:t xml:space="preserve"> </w:t>
      </w:r>
      <w:r w:rsidRPr="002D68D0">
        <w:rPr>
          <w:szCs w:val="26"/>
        </w:rPr>
        <w:t xml:space="preserve"> </w:t>
      </w:r>
      <w:r w:rsidR="00CF4F34">
        <w:rPr>
          <w:szCs w:val="26"/>
        </w:rPr>
        <w:t xml:space="preserve"> </w:t>
      </w:r>
      <w:r w:rsidR="00B50864">
        <w:rPr>
          <w:szCs w:val="26"/>
        </w:rPr>
        <w:t>qualify for</w:t>
      </w:r>
      <w:r w:rsidRPr="002D68D0">
        <w:rPr>
          <w:szCs w:val="26"/>
        </w:rPr>
        <w:t xml:space="preserve"> those exemptions</w:t>
      </w:r>
      <w:r w:rsidR="00346CA0">
        <w:rPr>
          <w:szCs w:val="26"/>
        </w:rPr>
        <w:t xml:space="preserve"> from the FPA and the Public Utility Holding Company Act of 2005</w:t>
      </w:r>
      <w:r w:rsidRPr="002D68D0">
        <w:rPr>
          <w:szCs w:val="26"/>
        </w:rPr>
        <w:t>.</w:t>
      </w:r>
      <w:r w:rsidRPr="002D68D0" w:rsidR="00162EEC">
        <w:rPr>
          <w:szCs w:val="26"/>
        </w:rPr>
        <w:t xml:space="preserve">  </w:t>
      </w:r>
      <w:bookmarkEnd w:id="0"/>
      <w:r w:rsidRPr="002D68D0">
        <w:rPr>
          <w:szCs w:val="26"/>
        </w:rPr>
        <w:t>The r</w:t>
      </w:r>
      <w:r w:rsidRPr="002D68D0" w:rsidR="008A38B5">
        <w:rPr>
          <w:szCs w:val="26"/>
        </w:rPr>
        <w:t xml:space="preserve">evisions: (1) made the FERC Form </w:t>
      </w:r>
      <w:r w:rsidRPr="002D68D0">
        <w:rPr>
          <w:szCs w:val="26"/>
        </w:rPr>
        <w:t xml:space="preserve">556 easier and less time consuming to complete and submit; (2) decreased opportunities for confusion and error in completing the form; (3) improved consistency and quality of the data collected by the form; (4) decreased FERC resources dedicated to managing errors and omissions in submitted forms; and (5) clarified and corrected the regulations governing the requirements for obtaining and maintaining QF status.  </w:t>
      </w:r>
    </w:p>
    <w:p w:rsidRPr="002D68D0" w:rsidR="00162EEC" w:rsidP="00162EEC" w:rsidRDefault="00162EEC" w14:paraId="5510DC5F" w14:textId="77777777">
      <w:pPr>
        <w:pStyle w:val="FERCparanumber"/>
        <w:numPr>
          <w:ilvl w:val="0"/>
          <w:numId w:val="0"/>
        </w:numPr>
        <w:tabs>
          <w:tab w:val="left" w:pos="720"/>
        </w:tabs>
        <w:rPr>
          <w:szCs w:val="26"/>
        </w:rPr>
      </w:pPr>
    </w:p>
    <w:p w:rsidRPr="002D68D0" w:rsidR="00D0054E" w:rsidP="00D0054E" w:rsidRDefault="00162EEC" w14:paraId="79DB1C78" w14:textId="555DE102">
      <w:pPr>
        <w:pStyle w:val="FERCparanumber"/>
        <w:numPr>
          <w:ilvl w:val="0"/>
          <w:numId w:val="0"/>
        </w:numPr>
        <w:rPr>
          <w:szCs w:val="26"/>
        </w:rPr>
      </w:pPr>
      <w:r w:rsidRPr="002D68D0">
        <w:rPr>
          <w:b/>
          <w:szCs w:val="26"/>
        </w:rPr>
        <w:t xml:space="preserve">FERC-556A.  </w:t>
      </w:r>
      <w:r w:rsidRPr="002D68D0">
        <w:rPr>
          <w:szCs w:val="26"/>
        </w:rPr>
        <w:t xml:space="preserve">In this NOPR in Docket No. RM19-15, the Commission proposes to revise its regulations implementing sections 201 and 210 of </w:t>
      </w:r>
      <w:r w:rsidRPr="002D68D0" w:rsidR="00A50F11">
        <w:rPr>
          <w:szCs w:val="26"/>
        </w:rPr>
        <w:t>PURPA</w:t>
      </w:r>
      <w:r w:rsidRPr="002D68D0">
        <w:rPr>
          <w:szCs w:val="26"/>
        </w:rPr>
        <w:t xml:space="preserve"> in light of changes in the energy industry since 1978.</w:t>
      </w:r>
      <w:r w:rsidRPr="002D68D0" w:rsidR="00D0054E">
        <w:rPr>
          <w:szCs w:val="26"/>
        </w:rPr>
        <w:t xml:space="preserve">  The Commission believes these proposed changes would help ensure that the Commission continues to be able to fulfill its statutory obligations under section 210 of PURPA.  Consideration of transparent, competitive market prices in appropriate circumstances would help identify a utility’s avoided costs in a simpler, more predictable manner that would, in conjunction with the Commission’s other existing and proposed PURPA Regulations, act to encourage QFs.  Allowing energy prices, but not capacity prices, to vary in QF contracts would protect consumers without materially affecting QF financing and, indeed, likely would make it easier for QFs to obtain longer-term contracts that support financing.  Further, the proposed revisions to the regulations relating to the one-mile rule and PURPA section 210(m) would better implement the Commission’s understanding of Congress’ intent in enacting those provisions, as explained in more detail in the NOPR.</w:t>
      </w:r>
    </w:p>
    <w:p w:rsidRPr="002D68D0" w:rsidR="00162EEC" w:rsidP="00162EEC" w:rsidRDefault="00162EEC" w14:paraId="02E3110A" w14:textId="64A71B9C">
      <w:pPr>
        <w:pStyle w:val="FERCparanumber"/>
        <w:numPr>
          <w:ilvl w:val="0"/>
          <w:numId w:val="0"/>
        </w:numPr>
        <w:tabs>
          <w:tab w:val="left" w:pos="720"/>
        </w:tabs>
        <w:rPr>
          <w:szCs w:val="26"/>
        </w:rPr>
      </w:pPr>
    </w:p>
    <w:p w:rsidRPr="002D68D0" w:rsidR="00980E8E" w:rsidP="00980E8E" w:rsidRDefault="00E93379" w14:paraId="5C116F05" w14:textId="0D8DF21B">
      <w:pPr>
        <w:pStyle w:val="FERCparanumber"/>
        <w:numPr>
          <w:ilvl w:val="0"/>
          <w:numId w:val="0"/>
        </w:numPr>
        <w:tabs>
          <w:tab w:val="left" w:pos="720"/>
          <w:tab w:val="left" w:pos="4860"/>
        </w:tabs>
        <w:rPr>
          <w:szCs w:val="26"/>
        </w:rPr>
      </w:pPr>
      <w:r w:rsidRPr="002D68D0">
        <w:rPr>
          <w:szCs w:val="26"/>
        </w:rPr>
        <w:t xml:space="preserve">As relevant here, the principal proposed changes that affect information collection, i.e., the Form 556, are as follows:  </w:t>
      </w:r>
      <w:r w:rsidRPr="002D68D0">
        <w:rPr>
          <w:i/>
          <w:szCs w:val="26"/>
        </w:rPr>
        <w:t>first</w:t>
      </w:r>
      <w:r w:rsidRPr="002D68D0">
        <w:rPr>
          <w:szCs w:val="26"/>
        </w:rPr>
        <w:t>, the Commission proposes to change its current “one-m</w:t>
      </w:r>
      <w:r w:rsidRPr="002D68D0" w:rsidR="00F9165E">
        <w:rPr>
          <w:szCs w:val="26"/>
        </w:rPr>
        <w:t>i</w:t>
      </w:r>
      <w:r w:rsidRPr="002D68D0">
        <w:rPr>
          <w:szCs w:val="26"/>
        </w:rPr>
        <w:t xml:space="preserve">le rule” for determining whether generation facilities should be considered to be part of a single facility for purposes of determining qualification as a small power production facility, by allowing utilities, state regulatory authorities, or other interested parties to show that facilities between one and ten miles apart actually are a single facility; and </w:t>
      </w:r>
      <w:r w:rsidRPr="002D68D0">
        <w:rPr>
          <w:i/>
          <w:szCs w:val="26"/>
        </w:rPr>
        <w:t>second</w:t>
      </w:r>
      <w:r w:rsidRPr="002D68D0">
        <w:rPr>
          <w:szCs w:val="26"/>
        </w:rPr>
        <w:t>, to allow a party to protest a self-certification or self-recertification of a facility without a fee.</w:t>
      </w:r>
    </w:p>
    <w:p w:rsidRPr="002D68D0" w:rsidR="00E93379" w:rsidP="00980E8E" w:rsidRDefault="00E93379" w14:paraId="7BF821BB" w14:textId="77777777">
      <w:pPr>
        <w:pStyle w:val="FERCparanumber"/>
        <w:numPr>
          <w:ilvl w:val="0"/>
          <w:numId w:val="0"/>
        </w:numPr>
        <w:tabs>
          <w:tab w:val="left" w:pos="720"/>
          <w:tab w:val="left" w:pos="4860"/>
        </w:tabs>
        <w:rPr>
          <w:szCs w:val="26"/>
        </w:rPr>
      </w:pPr>
    </w:p>
    <w:p w:rsidRPr="002D68D0" w:rsidR="009D6B6D" w:rsidP="001D2EC1" w:rsidRDefault="009D6B6D" w14:paraId="23DCEA1D" w14:textId="19067B80">
      <w:pPr>
        <w:pStyle w:val="FERCparanumber"/>
        <w:numPr>
          <w:ilvl w:val="0"/>
          <w:numId w:val="7"/>
        </w:numPr>
        <w:tabs>
          <w:tab w:val="left" w:pos="720"/>
          <w:tab w:val="left" w:pos="4860"/>
        </w:tabs>
        <w:rPr>
          <w:szCs w:val="26"/>
        </w:rPr>
      </w:pPr>
      <w:r w:rsidRPr="002D68D0">
        <w:rPr>
          <w:b/>
          <w:szCs w:val="26"/>
        </w:rPr>
        <w:t>HOW, BY WHOM AND FOR WHAT P</w:t>
      </w:r>
      <w:r w:rsidRPr="002D68D0" w:rsidR="00980E8E">
        <w:rPr>
          <w:b/>
          <w:szCs w:val="26"/>
        </w:rPr>
        <w:t>URPOSE IS THE INFORMATION USED</w:t>
      </w:r>
      <w:r w:rsidR="00C532F1">
        <w:rPr>
          <w:b/>
          <w:szCs w:val="26"/>
        </w:rPr>
        <w:t>,</w:t>
      </w:r>
      <w:r w:rsidRPr="002D68D0" w:rsidR="00980E8E">
        <w:rPr>
          <w:b/>
          <w:szCs w:val="26"/>
        </w:rPr>
        <w:t xml:space="preserve"> AND THE CONSEQUENCES OF NOT COLLECTING THE INFORMATION</w:t>
      </w:r>
    </w:p>
    <w:p w:rsidRPr="002D68D0" w:rsidR="00980E8E" w:rsidP="00980E8E" w:rsidRDefault="00980E8E" w14:paraId="6D0E161A" w14:textId="77777777">
      <w:pPr>
        <w:pStyle w:val="FERCparanumber"/>
        <w:numPr>
          <w:ilvl w:val="0"/>
          <w:numId w:val="0"/>
        </w:numPr>
        <w:tabs>
          <w:tab w:val="left" w:pos="720"/>
          <w:tab w:val="left" w:pos="4860"/>
        </w:tabs>
        <w:rPr>
          <w:b/>
          <w:szCs w:val="26"/>
        </w:rPr>
      </w:pPr>
    </w:p>
    <w:p w:rsidRPr="002D68D0" w:rsidR="00980E8E" w:rsidP="00980E8E" w:rsidRDefault="00A735D0" w14:paraId="5072CCCB" w14:textId="5C34ADCB">
      <w:pPr>
        <w:rPr>
          <w:sz w:val="26"/>
          <w:szCs w:val="26"/>
        </w:rPr>
      </w:pPr>
      <w:r w:rsidRPr="002D68D0">
        <w:rPr>
          <w:b/>
          <w:sz w:val="26"/>
          <w:szCs w:val="26"/>
        </w:rPr>
        <w:t xml:space="preserve">FERC-556.  </w:t>
      </w:r>
      <w:r w:rsidRPr="002D68D0" w:rsidR="00980E8E">
        <w:rPr>
          <w:sz w:val="26"/>
          <w:szCs w:val="26"/>
        </w:rPr>
        <w:t>The info</w:t>
      </w:r>
      <w:r w:rsidRPr="002D68D0" w:rsidR="008A38B5">
        <w:rPr>
          <w:sz w:val="26"/>
          <w:szCs w:val="26"/>
        </w:rPr>
        <w:t xml:space="preserve">rmation collected from FERC Form </w:t>
      </w:r>
      <w:r w:rsidRPr="002D68D0" w:rsidR="00980E8E">
        <w:rPr>
          <w:sz w:val="26"/>
          <w:szCs w:val="26"/>
        </w:rPr>
        <w:t xml:space="preserve">556 under 18 CFR Section 131.80 and 18 CFR Part 292 is used by the Commission to determine whether a proposed certification for QF status meets the criteria for a qualifying small power production facility or a qualifying cogeneration facility under </w:t>
      </w:r>
      <w:r w:rsidR="00C532F1">
        <w:rPr>
          <w:sz w:val="26"/>
          <w:szCs w:val="26"/>
        </w:rPr>
        <w:t>Commission</w:t>
      </w:r>
      <w:r w:rsidRPr="002D68D0" w:rsidR="00C532F1">
        <w:rPr>
          <w:sz w:val="26"/>
          <w:szCs w:val="26"/>
        </w:rPr>
        <w:t xml:space="preserve"> </w:t>
      </w:r>
      <w:r w:rsidRPr="002D68D0" w:rsidR="00980E8E">
        <w:rPr>
          <w:sz w:val="26"/>
          <w:szCs w:val="26"/>
        </w:rPr>
        <w:t xml:space="preserve">regulations and is eligible to receive the benefits available to </w:t>
      </w:r>
      <w:r w:rsidR="00C532F1">
        <w:rPr>
          <w:sz w:val="26"/>
          <w:szCs w:val="26"/>
        </w:rPr>
        <w:t>a QF</w:t>
      </w:r>
      <w:r w:rsidRPr="002D68D0" w:rsidR="00C532F1">
        <w:rPr>
          <w:sz w:val="26"/>
          <w:szCs w:val="26"/>
        </w:rPr>
        <w:t xml:space="preserve"> </w:t>
      </w:r>
      <w:r w:rsidRPr="002D68D0" w:rsidR="00980E8E">
        <w:rPr>
          <w:sz w:val="26"/>
          <w:szCs w:val="26"/>
        </w:rPr>
        <w:t>under PURPA.</w:t>
      </w:r>
    </w:p>
    <w:p w:rsidRPr="002D68D0" w:rsidR="00980E8E" w:rsidP="00980E8E" w:rsidRDefault="00980E8E" w14:paraId="5F277092" w14:textId="77777777">
      <w:pPr>
        <w:rPr>
          <w:sz w:val="26"/>
          <w:szCs w:val="26"/>
        </w:rPr>
      </w:pPr>
    </w:p>
    <w:p w:rsidRPr="002D68D0" w:rsidR="00980E8E" w:rsidP="00980E8E" w:rsidRDefault="00980E8E" w14:paraId="07166F4D" w14:textId="4772F871">
      <w:pPr>
        <w:rPr>
          <w:sz w:val="26"/>
          <w:szCs w:val="26"/>
        </w:rPr>
      </w:pPr>
      <w:r w:rsidRPr="002D68D0">
        <w:rPr>
          <w:sz w:val="26"/>
          <w:szCs w:val="26"/>
        </w:rPr>
        <w:t xml:space="preserve">In order to obtain QF status and obtain PURPA benefits, an </w:t>
      </w:r>
      <w:r w:rsidR="006070B1">
        <w:rPr>
          <w:sz w:val="26"/>
          <w:szCs w:val="26"/>
        </w:rPr>
        <w:t>applicant</w:t>
      </w:r>
      <w:r w:rsidRPr="002D68D0">
        <w:rPr>
          <w:sz w:val="26"/>
          <w:szCs w:val="26"/>
        </w:rPr>
        <w:t xml:space="preserve"> </w:t>
      </w:r>
      <w:r w:rsidR="00EA592C">
        <w:rPr>
          <w:sz w:val="26"/>
          <w:szCs w:val="26"/>
        </w:rPr>
        <w:t>for QF status</w:t>
      </w:r>
      <w:r w:rsidRPr="002D68D0">
        <w:rPr>
          <w:sz w:val="26"/>
          <w:szCs w:val="26"/>
        </w:rPr>
        <w:t xml:space="preserve"> must follow th</w:t>
      </w:r>
      <w:r w:rsidRPr="002D68D0" w:rsidR="002D5138">
        <w:rPr>
          <w:sz w:val="26"/>
          <w:szCs w:val="26"/>
        </w:rPr>
        <w:t xml:space="preserve">e process indicated in FERC Form </w:t>
      </w:r>
      <w:r w:rsidRPr="002D68D0">
        <w:rPr>
          <w:sz w:val="26"/>
          <w:szCs w:val="26"/>
        </w:rPr>
        <w:t>556 and select, at its option, either the procedure set forth in 18 CFR Section 292.207(a), which requires the submission to FERC of a self-certification or self-recertification, or the procedure set forth in 18 CFR Section 292.207(b), which requires the submission to FERC of an application for Commission certification or recertification.  The information requirements for these two processes are largely the same (i.e., the su</w:t>
      </w:r>
      <w:r w:rsidRPr="002D68D0" w:rsidR="002D5138">
        <w:rPr>
          <w:sz w:val="26"/>
          <w:szCs w:val="26"/>
        </w:rPr>
        <w:t xml:space="preserve">bmittal of a completed FERC Form </w:t>
      </w:r>
      <w:r w:rsidRPr="002D68D0">
        <w:rPr>
          <w:sz w:val="26"/>
          <w:szCs w:val="26"/>
        </w:rPr>
        <w:t>556 provides the information necessary to demonstrate compliance with FERC’s regulations).  If FE</w:t>
      </w:r>
      <w:r w:rsidRPr="002D68D0" w:rsidR="002D5138">
        <w:rPr>
          <w:sz w:val="26"/>
          <w:szCs w:val="26"/>
        </w:rPr>
        <w:t xml:space="preserve">RC did not collect the FERC Form </w:t>
      </w:r>
      <w:r w:rsidRPr="002D68D0">
        <w:rPr>
          <w:sz w:val="26"/>
          <w:szCs w:val="26"/>
        </w:rPr>
        <w:t>556 information, there would be no basis for the Commission to determine whether a facility satisfies the requirements of QF status.</w:t>
      </w:r>
    </w:p>
    <w:p w:rsidRPr="002D68D0" w:rsidR="00980E8E" w:rsidP="00980E8E" w:rsidRDefault="00980E8E" w14:paraId="02B8A3C9" w14:textId="77777777">
      <w:pPr>
        <w:rPr>
          <w:sz w:val="26"/>
          <w:szCs w:val="26"/>
        </w:rPr>
      </w:pPr>
    </w:p>
    <w:p w:rsidRPr="002D68D0" w:rsidR="00980E8E" w:rsidP="00980E8E" w:rsidRDefault="00980E8E" w14:paraId="006FFC16" w14:textId="65BC5D97">
      <w:pPr>
        <w:rPr>
          <w:sz w:val="26"/>
          <w:szCs w:val="26"/>
        </w:rPr>
      </w:pPr>
      <w:r w:rsidRPr="002D68D0">
        <w:rPr>
          <w:sz w:val="26"/>
          <w:szCs w:val="26"/>
        </w:rPr>
        <w:t xml:space="preserve">Since </w:t>
      </w:r>
      <w:r w:rsidR="00B67AF1">
        <w:rPr>
          <w:sz w:val="26"/>
          <w:szCs w:val="26"/>
        </w:rPr>
        <w:t xml:space="preserve">FERC may </w:t>
      </w:r>
      <w:r w:rsidRPr="002D68D0">
        <w:rPr>
          <w:sz w:val="26"/>
          <w:szCs w:val="26"/>
        </w:rPr>
        <w:t>revo</w:t>
      </w:r>
      <w:r w:rsidR="00B67AF1">
        <w:rPr>
          <w:sz w:val="26"/>
          <w:szCs w:val="26"/>
        </w:rPr>
        <w:t>ke</w:t>
      </w:r>
      <w:r w:rsidRPr="002D68D0">
        <w:rPr>
          <w:sz w:val="26"/>
          <w:szCs w:val="26"/>
        </w:rPr>
        <w:t xml:space="preserve"> the qualifying status of a small power production or cogeneration facility if the facility fails to comply with any of the 18 CFR Part 292 criteria, private financial lenders to small power production and cogeneration power facilities occasionally require small power producers and cogenerators to follow 18 CFR Section 292.207(b) procedures (certification by FERC as opposed to self-certification) in order to reduce the risk of status revocation.</w:t>
      </w:r>
    </w:p>
    <w:p w:rsidRPr="002D68D0" w:rsidR="00914162" w:rsidP="00980E8E" w:rsidRDefault="00914162" w14:paraId="632695F5" w14:textId="77777777">
      <w:pPr>
        <w:rPr>
          <w:sz w:val="26"/>
          <w:szCs w:val="26"/>
        </w:rPr>
      </w:pPr>
    </w:p>
    <w:p w:rsidRPr="002D68D0" w:rsidR="00914162" w:rsidP="00914162" w:rsidRDefault="00914162" w14:paraId="5A53D128" w14:textId="01B1B608">
      <w:pPr>
        <w:pStyle w:val="FERCparanumber"/>
        <w:numPr>
          <w:ilvl w:val="0"/>
          <w:numId w:val="0"/>
        </w:numPr>
        <w:rPr>
          <w:szCs w:val="26"/>
        </w:rPr>
      </w:pPr>
      <w:r w:rsidRPr="002D68D0">
        <w:rPr>
          <w:b/>
          <w:szCs w:val="26"/>
        </w:rPr>
        <w:t>FERC-556A</w:t>
      </w:r>
      <w:r w:rsidRPr="002D68D0" w:rsidR="00AB0DCF">
        <w:rPr>
          <w:b/>
          <w:szCs w:val="26"/>
        </w:rPr>
        <w:t>,</w:t>
      </w:r>
      <w:r w:rsidRPr="002D68D0">
        <w:rPr>
          <w:b/>
          <w:szCs w:val="26"/>
        </w:rPr>
        <w:t xml:space="preserve"> as proposed in NOPR in Docket No. RM19-15.  </w:t>
      </w:r>
      <w:r w:rsidRPr="002D68D0">
        <w:rPr>
          <w:szCs w:val="26"/>
        </w:rPr>
        <w:t>FERC prop</w:t>
      </w:r>
      <w:r w:rsidRPr="002D68D0" w:rsidR="00AB0DCF">
        <w:rPr>
          <w:szCs w:val="26"/>
        </w:rPr>
        <w:t xml:space="preserve">oses to revise its </w:t>
      </w:r>
      <w:r w:rsidR="00CE43A7">
        <w:rPr>
          <w:szCs w:val="26"/>
        </w:rPr>
        <w:t>r</w:t>
      </w:r>
      <w:r w:rsidRPr="002D68D0">
        <w:rPr>
          <w:szCs w:val="26"/>
        </w:rPr>
        <w:t>egulations</w:t>
      </w:r>
      <w:r w:rsidRPr="002D68D0">
        <w:rPr>
          <w:rStyle w:val="FootnoteReference"/>
          <w:szCs w:val="26"/>
          <w:vertAlign w:val="superscript"/>
        </w:rPr>
        <w:footnoteReference w:id="5"/>
      </w:r>
      <w:r w:rsidRPr="002D68D0">
        <w:rPr>
          <w:szCs w:val="26"/>
        </w:rPr>
        <w:t xml:space="preserve"> implementing sections 201 and 210 of PURPA</w:t>
      </w:r>
      <w:r w:rsidRPr="002D68D0">
        <w:rPr>
          <w:szCs w:val="26"/>
          <w:vertAlign w:val="superscript"/>
        </w:rPr>
        <w:t xml:space="preserve"> </w:t>
      </w:r>
      <w:r w:rsidRPr="002D68D0">
        <w:rPr>
          <w:szCs w:val="26"/>
        </w:rPr>
        <w:t xml:space="preserve">in light of changes in the energy industry since 1978. </w:t>
      </w:r>
    </w:p>
    <w:p w:rsidRPr="002D68D0" w:rsidR="00914162" w:rsidP="00914162" w:rsidRDefault="00914162" w14:paraId="5C8BCD9C" w14:textId="77777777">
      <w:pPr>
        <w:pStyle w:val="FERCparanumber"/>
        <w:numPr>
          <w:ilvl w:val="0"/>
          <w:numId w:val="0"/>
        </w:numPr>
        <w:rPr>
          <w:szCs w:val="26"/>
        </w:rPr>
      </w:pPr>
    </w:p>
    <w:p w:rsidRPr="002D68D0" w:rsidR="00E93379" w:rsidP="00E93379" w:rsidRDefault="00E93379" w14:paraId="0C345718" w14:textId="05D694AC">
      <w:pPr>
        <w:pStyle w:val="FERCparanumber"/>
        <w:numPr>
          <w:ilvl w:val="0"/>
          <w:numId w:val="0"/>
        </w:numPr>
        <w:tabs>
          <w:tab w:val="left" w:pos="720"/>
          <w:tab w:val="left" w:pos="4860"/>
        </w:tabs>
        <w:rPr>
          <w:szCs w:val="26"/>
        </w:rPr>
      </w:pPr>
      <w:r w:rsidRPr="002D68D0">
        <w:rPr>
          <w:szCs w:val="26"/>
        </w:rPr>
        <w:t xml:space="preserve">As relevant here, the principal proposed changes that affect information collection, i.e., the Form 556, are as follows:  </w:t>
      </w:r>
      <w:r w:rsidRPr="002D68D0">
        <w:rPr>
          <w:i/>
          <w:szCs w:val="26"/>
        </w:rPr>
        <w:t>first</w:t>
      </w:r>
      <w:r w:rsidRPr="002D68D0">
        <w:rPr>
          <w:szCs w:val="26"/>
        </w:rPr>
        <w:t>, the Commission proposes to change its current “one-m</w:t>
      </w:r>
      <w:r w:rsidRPr="002D68D0" w:rsidR="00F9165E">
        <w:rPr>
          <w:szCs w:val="26"/>
        </w:rPr>
        <w:t>i</w:t>
      </w:r>
      <w:r w:rsidRPr="002D68D0">
        <w:rPr>
          <w:szCs w:val="26"/>
        </w:rPr>
        <w:t xml:space="preserve">le rule” for determining whether generation facilities should be considered to be part of a single facility for purposes of determining qualification as a small power production facility, by allowing utilities, state regulatory authorities, or other interested parties to show that facilities  </w:t>
      </w:r>
      <w:r w:rsidR="008A0126">
        <w:rPr>
          <w:szCs w:val="26"/>
        </w:rPr>
        <w:t xml:space="preserve">more than </w:t>
      </w:r>
      <w:r w:rsidRPr="002D68D0">
        <w:rPr>
          <w:szCs w:val="26"/>
        </w:rPr>
        <w:t xml:space="preserve">one </w:t>
      </w:r>
      <w:r w:rsidR="008A0126">
        <w:rPr>
          <w:szCs w:val="26"/>
        </w:rPr>
        <w:t xml:space="preserve">mile but less than </w:t>
      </w:r>
      <w:r w:rsidRPr="002D68D0">
        <w:rPr>
          <w:szCs w:val="26"/>
        </w:rPr>
        <w:t xml:space="preserve">ten miles apart actually are a single facility; and </w:t>
      </w:r>
      <w:r w:rsidRPr="002D68D0">
        <w:rPr>
          <w:i/>
          <w:szCs w:val="26"/>
        </w:rPr>
        <w:t>second</w:t>
      </w:r>
      <w:r w:rsidRPr="002D68D0">
        <w:rPr>
          <w:szCs w:val="26"/>
        </w:rPr>
        <w:t>, to allow a party to protest a self-certification or self-recertification of a facility without a fee.</w:t>
      </w:r>
    </w:p>
    <w:p w:rsidRPr="002D68D0" w:rsidR="006D202F" w:rsidP="00E93379" w:rsidRDefault="006D202F" w14:paraId="13FED16C" w14:textId="77777777">
      <w:pPr>
        <w:pStyle w:val="FERCparanumber"/>
        <w:numPr>
          <w:ilvl w:val="0"/>
          <w:numId w:val="0"/>
        </w:numPr>
        <w:tabs>
          <w:tab w:val="left" w:pos="720"/>
          <w:tab w:val="left" w:pos="4860"/>
        </w:tabs>
        <w:rPr>
          <w:szCs w:val="26"/>
        </w:rPr>
      </w:pPr>
    </w:p>
    <w:p w:rsidRPr="002D68D0" w:rsidR="007324F2" w:rsidP="00980E8E" w:rsidRDefault="007324F2" w14:paraId="6B05966C" w14:textId="77777777">
      <w:pPr>
        <w:rPr>
          <w:sz w:val="26"/>
          <w:szCs w:val="26"/>
        </w:rPr>
      </w:pPr>
    </w:p>
    <w:p w:rsidRPr="002D68D0" w:rsidR="00980E8E" w:rsidP="005240A1" w:rsidRDefault="00980E8E" w14:paraId="25431655" w14:textId="77777777">
      <w:pPr>
        <w:widowControl/>
        <w:numPr>
          <w:ilvl w:val="0"/>
          <w:numId w:val="7"/>
        </w:numPr>
        <w:rPr>
          <w:sz w:val="26"/>
          <w:szCs w:val="26"/>
        </w:rPr>
      </w:pPr>
      <w:r w:rsidRPr="002D68D0">
        <w:rPr>
          <w:b/>
          <w:sz w:val="26"/>
          <w:szCs w:val="26"/>
        </w:rPr>
        <w:lastRenderedPageBreak/>
        <w:t>DESCRIBE ANY CONSIDERATION OF THE USE OF IMPROVED INFORMATION TECHNOLOGY TO REDUCE BURDEN AND THE TECHNICAL OR LEGAL OBSTACLES TO REDUCING BURDEN</w:t>
      </w:r>
    </w:p>
    <w:p w:rsidRPr="002D68D0" w:rsidR="00980E8E" w:rsidP="00980E8E" w:rsidRDefault="00980E8E" w14:paraId="19BC7148" w14:textId="77777777">
      <w:pPr>
        <w:rPr>
          <w:sz w:val="26"/>
          <w:szCs w:val="26"/>
        </w:rPr>
      </w:pPr>
    </w:p>
    <w:p w:rsidRPr="002D68D0" w:rsidR="009D6B6D" w:rsidP="001D2EC1" w:rsidRDefault="009D6B6D" w14:paraId="6D5285AF" w14:textId="77777777">
      <w:pPr>
        <w:widowControl/>
        <w:rPr>
          <w:sz w:val="26"/>
          <w:szCs w:val="26"/>
        </w:rPr>
      </w:pPr>
      <w:r w:rsidRPr="002D68D0">
        <w:rPr>
          <w:sz w:val="26"/>
          <w:szCs w:val="26"/>
        </w:rPr>
        <w:t>In Order No. 619</w:t>
      </w:r>
      <w:r w:rsidRPr="002D68D0" w:rsidR="00C7666C">
        <w:rPr>
          <w:sz w:val="26"/>
          <w:szCs w:val="26"/>
        </w:rPr>
        <w:t>,</w:t>
      </w:r>
      <w:r w:rsidRPr="002D68D0">
        <w:rPr>
          <w:rStyle w:val="FootnoteReference"/>
          <w:sz w:val="26"/>
          <w:szCs w:val="26"/>
          <w:vertAlign w:val="superscript"/>
        </w:rPr>
        <w:footnoteReference w:id="6"/>
      </w:r>
      <w:r w:rsidRPr="002D68D0">
        <w:rPr>
          <w:sz w:val="26"/>
          <w:szCs w:val="26"/>
        </w:rPr>
        <w:t xml:space="preserve"> FERC established an electronic filing initiative to meet the goals of the Government Paperwork Elimination Act, which directed agencies to provide for optimal use and acceptance of electronic documents and signatures and electronic recordkeeping, where pr</w:t>
      </w:r>
      <w:r w:rsidRPr="002D68D0" w:rsidR="00E138E1">
        <w:rPr>
          <w:sz w:val="26"/>
          <w:szCs w:val="26"/>
        </w:rPr>
        <w:t>actical, by October 2003.</w:t>
      </w:r>
    </w:p>
    <w:p w:rsidRPr="002D68D0" w:rsidR="009D6B6D" w:rsidP="001D2EC1" w:rsidRDefault="009D6B6D" w14:paraId="11DF8310" w14:textId="77777777">
      <w:pPr>
        <w:widowControl/>
        <w:rPr>
          <w:sz w:val="26"/>
          <w:szCs w:val="26"/>
        </w:rPr>
      </w:pPr>
    </w:p>
    <w:p w:rsidRPr="002D68D0" w:rsidR="009D6B6D" w:rsidP="001D2EC1" w:rsidRDefault="009D6B6D" w14:paraId="46B3B349" w14:textId="68403707">
      <w:pPr>
        <w:rPr>
          <w:sz w:val="26"/>
          <w:szCs w:val="26"/>
        </w:rPr>
      </w:pPr>
      <w:r w:rsidRPr="002D68D0">
        <w:rPr>
          <w:sz w:val="26"/>
          <w:szCs w:val="26"/>
        </w:rPr>
        <w:t xml:space="preserve">FERC has attempted to facilitate </w:t>
      </w:r>
      <w:r w:rsidR="001C1D03">
        <w:rPr>
          <w:sz w:val="26"/>
          <w:szCs w:val="26"/>
        </w:rPr>
        <w:t xml:space="preserve">the process of </w:t>
      </w:r>
      <w:r w:rsidRPr="002D68D0" w:rsidR="00C7666C">
        <w:rPr>
          <w:sz w:val="26"/>
          <w:szCs w:val="26"/>
        </w:rPr>
        <w:t>seeking</w:t>
      </w:r>
      <w:r w:rsidRPr="002D68D0">
        <w:rPr>
          <w:sz w:val="26"/>
          <w:szCs w:val="26"/>
        </w:rPr>
        <w:t xml:space="preserve"> QF status by </w:t>
      </w:r>
      <w:r w:rsidRPr="002D68D0" w:rsidR="00C7666C">
        <w:rPr>
          <w:sz w:val="26"/>
          <w:szCs w:val="26"/>
        </w:rPr>
        <w:t xml:space="preserve">electronically </w:t>
      </w:r>
      <w:r w:rsidRPr="002D68D0">
        <w:rPr>
          <w:sz w:val="26"/>
          <w:szCs w:val="26"/>
        </w:rPr>
        <w:t xml:space="preserve">providing materials to potential small power producers and cogenerators to assist in their preparation of notices of self-certification and applications for </w:t>
      </w:r>
      <w:r w:rsidRPr="002D68D0" w:rsidR="00C7666C">
        <w:rPr>
          <w:sz w:val="26"/>
          <w:szCs w:val="26"/>
        </w:rPr>
        <w:t xml:space="preserve">Commission </w:t>
      </w:r>
      <w:r w:rsidRPr="002D68D0" w:rsidR="002D5138">
        <w:rPr>
          <w:sz w:val="26"/>
          <w:szCs w:val="26"/>
        </w:rPr>
        <w:t xml:space="preserve">certification.  FERC Form </w:t>
      </w:r>
      <w:r w:rsidRPr="002D68D0">
        <w:rPr>
          <w:sz w:val="26"/>
          <w:szCs w:val="26"/>
        </w:rPr>
        <w:t xml:space="preserve">556 can be downloaded from FERC’s web site at: </w:t>
      </w:r>
      <w:hyperlink w:history="1" w:anchor="556" r:id="rId13">
        <w:r w:rsidRPr="002D68D0">
          <w:rPr>
            <w:rStyle w:val="Hyperlink"/>
            <w:sz w:val="26"/>
            <w:szCs w:val="26"/>
          </w:rPr>
          <w:t>http://www.ferc.gov/docs-filing/forms.asp#556</w:t>
        </w:r>
      </w:hyperlink>
      <w:r w:rsidRPr="002D68D0">
        <w:rPr>
          <w:sz w:val="26"/>
          <w:szCs w:val="26"/>
        </w:rPr>
        <w:t>.</w:t>
      </w:r>
    </w:p>
    <w:p w:rsidRPr="002D68D0" w:rsidR="009D6B6D" w:rsidP="001D2EC1" w:rsidRDefault="009D6B6D" w14:paraId="76F1D361" w14:textId="77777777">
      <w:pPr>
        <w:rPr>
          <w:sz w:val="26"/>
          <w:szCs w:val="26"/>
        </w:rPr>
      </w:pPr>
    </w:p>
    <w:p w:rsidRPr="002D68D0" w:rsidR="005240A1" w:rsidP="005240A1" w:rsidRDefault="009D6B6D" w14:paraId="3647249A" w14:textId="769083BB">
      <w:pPr>
        <w:pStyle w:val="FERCparanumber"/>
        <w:numPr>
          <w:ilvl w:val="0"/>
          <w:numId w:val="0"/>
        </w:numPr>
        <w:rPr>
          <w:szCs w:val="26"/>
        </w:rPr>
      </w:pPr>
      <w:r w:rsidRPr="002D68D0">
        <w:rPr>
          <w:szCs w:val="26"/>
        </w:rPr>
        <w:t>In Order No. 732, FERC required that applicants submit their QF applications (whether initial certifications or recertifications, and whether self-certifications or applications for Commission certification) electronically via the FERC website.  The electronic filing process is faster, easier, less costly and less resource-intensive than hard</w:t>
      </w:r>
      <w:r w:rsidRPr="002D68D0" w:rsidR="001E6D2B">
        <w:rPr>
          <w:szCs w:val="26"/>
        </w:rPr>
        <w:t>-</w:t>
      </w:r>
      <w:r w:rsidRPr="002D68D0">
        <w:rPr>
          <w:szCs w:val="26"/>
        </w:rPr>
        <w:t xml:space="preserve">copy filing.  An applicant filing electronically receives an acknowledgement that the Commission has received the application and a docket number for the submittal much more quickly than </w:t>
      </w:r>
      <w:r w:rsidRPr="002D68D0" w:rsidR="00C7666C">
        <w:rPr>
          <w:szCs w:val="26"/>
        </w:rPr>
        <w:t>if</w:t>
      </w:r>
      <w:r w:rsidRPr="002D68D0">
        <w:rPr>
          <w:szCs w:val="26"/>
        </w:rPr>
        <w:t xml:space="preserve"> filing in hard</w:t>
      </w:r>
      <w:r w:rsidRPr="002D68D0" w:rsidR="001E6D2B">
        <w:rPr>
          <w:szCs w:val="26"/>
        </w:rPr>
        <w:t>-</w:t>
      </w:r>
      <w:r w:rsidRPr="002D68D0">
        <w:rPr>
          <w:szCs w:val="26"/>
        </w:rPr>
        <w:t xml:space="preserve">copy format.  Electronic filing has allowed the Commission to electronically process QF applications, reduced required staff resources and human error, and allowed the Commission to identify patterns of reporting errors and noncompliance that would be difficult to detect through manual processing.  Finally, electronic filing of QF applications has facilitated the compilation of QF data.  Requiring applicants to file </w:t>
      </w:r>
      <w:r w:rsidRPr="002D68D0" w:rsidR="001E6D2B">
        <w:rPr>
          <w:szCs w:val="26"/>
        </w:rPr>
        <w:t>electronically</w:t>
      </w:r>
      <w:r w:rsidRPr="002D68D0" w:rsidR="00BF0CFA">
        <w:rPr>
          <w:szCs w:val="26"/>
        </w:rPr>
        <w:t xml:space="preserve"> has made it possible to</w:t>
      </w:r>
      <w:r w:rsidRPr="002D68D0" w:rsidR="00C7666C">
        <w:rPr>
          <w:szCs w:val="26"/>
        </w:rPr>
        <w:t xml:space="preserve"> make </w:t>
      </w:r>
      <w:r w:rsidRPr="002D68D0" w:rsidR="00BF0CFA">
        <w:rPr>
          <w:szCs w:val="26"/>
        </w:rPr>
        <w:t xml:space="preserve">better </w:t>
      </w:r>
      <w:r w:rsidRPr="002D68D0" w:rsidR="00C7666C">
        <w:rPr>
          <w:szCs w:val="26"/>
        </w:rPr>
        <w:t>use of this data</w:t>
      </w:r>
      <w:r w:rsidRPr="002D68D0">
        <w:rPr>
          <w:szCs w:val="26"/>
        </w:rPr>
        <w:t>.</w:t>
      </w:r>
    </w:p>
    <w:p w:rsidRPr="002D68D0" w:rsidR="005240A1" w:rsidP="005240A1" w:rsidRDefault="005240A1" w14:paraId="6254053B" w14:textId="77777777">
      <w:pPr>
        <w:pStyle w:val="FERCparanumber"/>
        <w:numPr>
          <w:ilvl w:val="0"/>
          <w:numId w:val="0"/>
        </w:numPr>
        <w:rPr>
          <w:szCs w:val="26"/>
        </w:rPr>
      </w:pPr>
    </w:p>
    <w:p w:rsidRPr="002D68D0" w:rsidR="009D6B6D" w:rsidP="005240A1" w:rsidRDefault="009D6B6D" w14:paraId="4C5987BE" w14:textId="77777777">
      <w:pPr>
        <w:pStyle w:val="FERCparanumber"/>
        <w:numPr>
          <w:ilvl w:val="0"/>
          <w:numId w:val="7"/>
        </w:numPr>
        <w:rPr>
          <w:szCs w:val="26"/>
        </w:rPr>
      </w:pPr>
      <w:r w:rsidRPr="002D68D0">
        <w:rPr>
          <w:b/>
          <w:szCs w:val="26"/>
        </w:rPr>
        <w:t>DESCRIBE EFFORTS TO IDENTIFY DUPLICATON AND SHOW SPECIFICALLY WHY ANY SIMILAR INFORMATION ALREADY AVAILABLE CANNOT BE USED OR MODIFIED FOR USE FOR THE PURPOSE(S) DESCRIBED IN INSTRUCTION NO. 2.</w:t>
      </w:r>
    </w:p>
    <w:p w:rsidRPr="002D68D0" w:rsidR="00BD4039" w:rsidP="00BD4039" w:rsidRDefault="00BD4039" w14:paraId="21B95FAA" w14:textId="77777777">
      <w:pPr>
        <w:pStyle w:val="FERCparanumber"/>
        <w:numPr>
          <w:ilvl w:val="0"/>
          <w:numId w:val="0"/>
        </w:numPr>
        <w:rPr>
          <w:b/>
          <w:szCs w:val="26"/>
        </w:rPr>
      </w:pPr>
    </w:p>
    <w:p w:rsidRPr="002D68D0" w:rsidR="00BD4039" w:rsidP="00BD4039" w:rsidRDefault="002D5138" w14:paraId="5F97B5DA" w14:textId="44A48E67">
      <w:pPr>
        <w:rPr>
          <w:sz w:val="26"/>
          <w:szCs w:val="26"/>
        </w:rPr>
      </w:pPr>
      <w:r w:rsidRPr="002D68D0">
        <w:rPr>
          <w:sz w:val="26"/>
          <w:szCs w:val="26"/>
        </w:rPr>
        <w:t xml:space="preserve">FERC </w:t>
      </w:r>
      <w:r w:rsidRPr="002D68D0" w:rsidR="00891C89">
        <w:rPr>
          <w:sz w:val="26"/>
          <w:szCs w:val="26"/>
        </w:rPr>
        <w:t>Form</w:t>
      </w:r>
      <w:r w:rsidRPr="002D68D0" w:rsidR="00BF0CFA">
        <w:rPr>
          <w:sz w:val="26"/>
          <w:szCs w:val="26"/>
        </w:rPr>
        <w:t>s</w:t>
      </w:r>
      <w:r w:rsidRPr="002D68D0" w:rsidR="00BD4039">
        <w:rPr>
          <w:sz w:val="26"/>
          <w:szCs w:val="26"/>
        </w:rPr>
        <w:t xml:space="preserve"> 556</w:t>
      </w:r>
      <w:r w:rsidRPr="002D68D0" w:rsidR="00BF0CFA">
        <w:rPr>
          <w:sz w:val="26"/>
          <w:szCs w:val="26"/>
        </w:rPr>
        <w:t xml:space="preserve"> and 556A</w:t>
      </w:r>
      <w:r w:rsidRPr="002D68D0" w:rsidR="00BD4039">
        <w:rPr>
          <w:sz w:val="26"/>
          <w:szCs w:val="26"/>
        </w:rPr>
        <w:t xml:space="preserve"> </w:t>
      </w:r>
      <w:r w:rsidRPr="002D68D0" w:rsidR="00BF0CFA">
        <w:rPr>
          <w:sz w:val="26"/>
          <w:szCs w:val="26"/>
        </w:rPr>
        <w:t>are</w:t>
      </w:r>
      <w:r w:rsidRPr="002D68D0" w:rsidR="004C2FBC">
        <w:rPr>
          <w:sz w:val="26"/>
          <w:szCs w:val="26"/>
        </w:rPr>
        <w:t xml:space="preserve"> </w:t>
      </w:r>
      <w:r w:rsidRPr="002D68D0" w:rsidR="00BD4039">
        <w:rPr>
          <w:sz w:val="26"/>
          <w:szCs w:val="26"/>
        </w:rPr>
        <w:t>necessary information collection</w:t>
      </w:r>
      <w:r w:rsidRPr="002D68D0" w:rsidR="004C2FBC">
        <w:rPr>
          <w:sz w:val="26"/>
          <w:szCs w:val="26"/>
        </w:rPr>
        <w:t>s</w:t>
      </w:r>
      <w:r w:rsidRPr="002D68D0" w:rsidR="00BD4039">
        <w:rPr>
          <w:sz w:val="26"/>
          <w:szCs w:val="26"/>
        </w:rPr>
        <w:t xml:space="preserve"> for the Commission to remain in compliance with FPA and PURPA mandates. No similar information is, in fact, publicly available.  There are no other Federal agencies collecting this data, as there are no other Federal agencies responsible for certifying an electric generating facility as a QF and/or allowing a cogenerator or small power producer to determine whether it qualifies </w:t>
      </w:r>
      <w:r w:rsidRPr="002D68D0" w:rsidR="00BD4039">
        <w:rPr>
          <w:sz w:val="26"/>
          <w:szCs w:val="26"/>
        </w:rPr>
        <w:lastRenderedPageBreak/>
        <w:t xml:space="preserve">for the benefits bestowed by PURPA, including the exemptions from certain provisions of federal and state law.  </w:t>
      </w:r>
    </w:p>
    <w:p w:rsidRPr="002D68D0" w:rsidR="00BD4039" w:rsidP="00BD4039" w:rsidRDefault="00BD4039" w14:paraId="586F3DC8" w14:textId="77777777">
      <w:pPr>
        <w:pStyle w:val="FERCparanumber"/>
        <w:numPr>
          <w:ilvl w:val="0"/>
          <w:numId w:val="0"/>
        </w:numPr>
        <w:rPr>
          <w:szCs w:val="26"/>
        </w:rPr>
      </w:pPr>
    </w:p>
    <w:p w:rsidRPr="002D68D0" w:rsidR="009D6B6D" w:rsidP="005240A1" w:rsidRDefault="009D6B6D" w14:paraId="3EA20BFB" w14:textId="77777777">
      <w:pPr>
        <w:pStyle w:val="FERCparanumber"/>
        <w:numPr>
          <w:ilvl w:val="0"/>
          <w:numId w:val="7"/>
        </w:numPr>
        <w:rPr>
          <w:szCs w:val="26"/>
        </w:rPr>
      </w:pPr>
      <w:r w:rsidRPr="002D68D0">
        <w:rPr>
          <w:b/>
          <w:szCs w:val="26"/>
        </w:rPr>
        <w:t>METHODS USED TO MINIMIZE BURDEN IN COLLECTION OF INFORMATION INVOLVING SMALL ENTITIES</w:t>
      </w:r>
      <w:r w:rsidRPr="002D68D0">
        <w:rPr>
          <w:szCs w:val="26"/>
        </w:rPr>
        <w:t xml:space="preserve"> </w:t>
      </w:r>
    </w:p>
    <w:p w:rsidRPr="002D68D0" w:rsidR="009D6B6D" w:rsidP="001D2EC1" w:rsidRDefault="009D6B6D" w14:paraId="69B26C5B" w14:textId="77777777">
      <w:pPr>
        <w:widowControl/>
        <w:ind w:left="1440"/>
        <w:rPr>
          <w:sz w:val="26"/>
          <w:szCs w:val="26"/>
        </w:rPr>
      </w:pPr>
    </w:p>
    <w:p w:rsidRPr="002D68D0" w:rsidR="009D6B6D" w:rsidP="001D2EC1" w:rsidRDefault="00A735D0" w14:paraId="7CF3C688" w14:textId="5A295CAD">
      <w:pPr>
        <w:pStyle w:val="FERCparanumber"/>
        <w:numPr>
          <w:ilvl w:val="0"/>
          <w:numId w:val="0"/>
        </w:numPr>
        <w:tabs>
          <w:tab w:val="left" w:pos="720"/>
        </w:tabs>
        <w:rPr>
          <w:szCs w:val="26"/>
        </w:rPr>
      </w:pPr>
      <w:r w:rsidRPr="002D68D0">
        <w:rPr>
          <w:b/>
          <w:szCs w:val="26"/>
        </w:rPr>
        <w:t xml:space="preserve">FERC-556.  </w:t>
      </w:r>
      <w:r w:rsidRPr="002D68D0" w:rsidR="009D6B6D">
        <w:rPr>
          <w:szCs w:val="26"/>
        </w:rPr>
        <w:t xml:space="preserve">The </w:t>
      </w:r>
      <w:r w:rsidRPr="002D68D0" w:rsidR="002D5138">
        <w:rPr>
          <w:szCs w:val="26"/>
        </w:rPr>
        <w:t xml:space="preserve">FERC Form </w:t>
      </w:r>
      <w:r w:rsidRPr="002D68D0" w:rsidR="009D6B6D">
        <w:rPr>
          <w:szCs w:val="26"/>
        </w:rPr>
        <w:t xml:space="preserve">556 </w:t>
      </w:r>
      <w:r w:rsidRPr="002D68D0" w:rsidR="009505F2">
        <w:rPr>
          <w:szCs w:val="26"/>
        </w:rPr>
        <w:t xml:space="preserve">and accompanying instructions </w:t>
      </w:r>
      <w:r w:rsidRPr="002D68D0" w:rsidR="009D6B6D">
        <w:rPr>
          <w:szCs w:val="26"/>
        </w:rPr>
        <w:t>ha</w:t>
      </w:r>
      <w:r w:rsidRPr="002D68D0" w:rsidR="00162EEC">
        <w:rPr>
          <w:szCs w:val="26"/>
        </w:rPr>
        <w:t>ve</w:t>
      </w:r>
      <w:r w:rsidRPr="002D68D0" w:rsidR="009D6B6D">
        <w:rPr>
          <w:szCs w:val="26"/>
        </w:rPr>
        <w:t xml:space="preserve"> made it easier for applicants to complete this form because the form leads applicants step-by-step through the compliance determinations.  Without </w:t>
      </w:r>
      <w:r w:rsidRPr="002D68D0" w:rsidR="009505F2">
        <w:rPr>
          <w:szCs w:val="26"/>
        </w:rPr>
        <w:t>the instructions</w:t>
      </w:r>
      <w:r w:rsidRPr="002D68D0" w:rsidR="00A8207E">
        <w:rPr>
          <w:szCs w:val="26"/>
        </w:rPr>
        <w:t xml:space="preserve"> and FAQs (Frequently Asked Questions)</w:t>
      </w:r>
      <w:r w:rsidRPr="002D68D0" w:rsidR="009D6B6D">
        <w:rPr>
          <w:szCs w:val="26"/>
        </w:rPr>
        <w:t>, applicants (particularly small applicants) must independently research the requirements and determine compliance with the relatively complex EPAct 2005 cogeneration requirements.</w:t>
      </w:r>
      <w:r w:rsidRPr="002D68D0" w:rsidR="00D0054E">
        <w:rPr>
          <w:rStyle w:val="FootnoteReference"/>
          <w:szCs w:val="26"/>
          <w:vertAlign w:val="superscript"/>
        </w:rPr>
        <w:footnoteReference w:id="7"/>
      </w:r>
      <w:r w:rsidRPr="002D68D0" w:rsidR="009D6B6D">
        <w:rPr>
          <w:szCs w:val="26"/>
        </w:rPr>
        <w:t xml:space="preserve"> </w:t>
      </w:r>
    </w:p>
    <w:p w:rsidRPr="002D68D0" w:rsidR="009D6B6D" w:rsidP="001D2EC1" w:rsidRDefault="009D6B6D" w14:paraId="2F1449B1" w14:textId="77777777">
      <w:pPr>
        <w:pStyle w:val="FERCparanumber"/>
        <w:numPr>
          <w:ilvl w:val="0"/>
          <w:numId w:val="0"/>
        </w:numPr>
        <w:tabs>
          <w:tab w:val="left" w:pos="720"/>
        </w:tabs>
        <w:rPr>
          <w:szCs w:val="26"/>
        </w:rPr>
      </w:pPr>
    </w:p>
    <w:p w:rsidRPr="002D68D0" w:rsidR="009D6B6D" w:rsidP="001D2EC1" w:rsidRDefault="009D6B6D" w14:paraId="385BCF90" w14:textId="2EE81AF1">
      <w:pPr>
        <w:pStyle w:val="FERCparanumber"/>
        <w:numPr>
          <w:ilvl w:val="0"/>
          <w:numId w:val="0"/>
        </w:numPr>
        <w:tabs>
          <w:tab w:val="left" w:pos="720"/>
        </w:tabs>
        <w:rPr>
          <w:szCs w:val="26"/>
        </w:rPr>
      </w:pPr>
      <w:r w:rsidRPr="002D68D0">
        <w:rPr>
          <w:szCs w:val="26"/>
        </w:rPr>
        <w:t>The FERC website has a list of frequently asked questions</w:t>
      </w:r>
      <w:r w:rsidRPr="002D68D0" w:rsidR="00A52074">
        <w:rPr>
          <w:rStyle w:val="FootnoteReference"/>
          <w:szCs w:val="26"/>
          <w:vertAlign w:val="superscript"/>
        </w:rPr>
        <w:footnoteReference w:id="8"/>
      </w:r>
      <w:r w:rsidRPr="002D68D0">
        <w:rPr>
          <w:szCs w:val="26"/>
          <w:vertAlign w:val="superscript"/>
        </w:rPr>
        <w:t xml:space="preserve"> </w:t>
      </w:r>
      <w:r w:rsidRPr="002D68D0">
        <w:rPr>
          <w:szCs w:val="26"/>
        </w:rPr>
        <w:t xml:space="preserve">to help filers.  It also provides the names and phone numbers of legal and technical staff </w:t>
      </w:r>
      <w:r w:rsidRPr="002D68D0" w:rsidR="001E6D2B">
        <w:rPr>
          <w:szCs w:val="26"/>
        </w:rPr>
        <w:t xml:space="preserve">at FERC that </w:t>
      </w:r>
      <w:r w:rsidRPr="002D68D0">
        <w:rPr>
          <w:szCs w:val="26"/>
        </w:rPr>
        <w:t xml:space="preserve">filers can call directly to get </w:t>
      </w:r>
      <w:r w:rsidR="007D7B85">
        <w:rPr>
          <w:szCs w:val="26"/>
        </w:rPr>
        <w:t xml:space="preserve">answers to </w:t>
      </w:r>
      <w:r w:rsidRPr="002D68D0">
        <w:rPr>
          <w:szCs w:val="26"/>
        </w:rPr>
        <w:t xml:space="preserve">questions </w:t>
      </w:r>
      <w:r w:rsidRPr="002D68D0" w:rsidR="001E6D2B">
        <w:rPr>
          <w:szCs w:val="26"/>
        </w:rPr>
        <w:t>and to receive</w:t>
      </w:r>
      <w:r w:rsidRPr="002D68D0">
        <w:rPr>
          <w:szCs w:val="26"/>
        </w:rPr>
        <w:t xml:space="preserve"> general guidance and information about FERC’s QF program and policies.  The website also </w:t>
      </w:r>
      <w:r w:rsidR="007D7B85">
        <w:rPr>
          <w:szCs w:val="26"/>
        </w:rPr>
        <w:t>provides</w:t>
      </w:r>
      <w:r w:rsidRPr="002D68D0" w:rsidR="007D7B85">
        <w:rPr>
          <w:szCs w:val="26"/>
        </w:rPr>
        <w:t xml:space="preserve"> </w:t>
      </w:r>
      <w:r w:rsidRPr="002D68D0">
        <w:rPr>
          <w:szCs w:val="26"/>
        </w:rPr>
        <w:t>an email address that can be used to submit written questions to FERC technical and legal staff.</w:t>
      </w:r>
    </w:p>
    <w:p w:rsidRPr="002D68D0" w:rsidR="009D6B6D" w:rsidP="001D2EC1" w:rsidRDefault="009D6B6D" w14:paraId="35368CFF" w14:textId="77777777">
      <w:pPr>
        <w:pStyle w:val="FERCparanumber"/>
        <w:numPr>
          <w:ilvl w:val="0"/>
          <w:numId w:val="0"/>
        </w:numPr>
        <w:tabs>
          <w:tab w:val="num" w:pos="720"/>
        </w:tabs>
        <w:rPr>
          <w:szCs w:val="26"/>
        </w:rPr>
      </w:pPr>
      <w:r w:rsidRPr="002D68D0">
        <w:rPr>
          <w:szCs w:val="26"/>
        </w:rPr>
        <w:t xml:space="preserve">  </w:t>
      </w:r>
    </w:p>
    <w:p w:rsidRPr="002D68D0" w:rsidR="005240A1" w:rsidP="005240A1" w:rsidRDefault="009D6B6D" w14:paraId="08CBE9A2" w14:textId="77777777">
      <w:pPr>
        <w:pStyle w:val="FERCparanumber"/>
        <w:numPr>
          <w:ilvl w:val="0"/>
          <w:numId w:val="0"/>
        </w:numPr>
        <w:tabs>
          <w:tab w:val="num" w:pos="0"/>
        </w:tabs>
        <w:rPr>
          <w:szCs w:val="26"/>
        </w:rPr>
      </w:pPr>
      <w:r w:rsidRPr="002D68D0">
        <w:rPr>
          <w:szCs w:val="26"/>
        </w:rPr>
        <w:t>Finally, the Commission has exempted applicants for facilities with net power production capacities of 1 MW and smaller from any filing requirement;</w:t>
      </w:r>
      <w:r w:rsidRPr="002D68D0" w:rsidR="0035481D">
        <w:rPr>
          <w:szCs w:val="26"/>
        </w:rPr>
        <w:t xml:space="preserve"> </w:t>
      </w:r>
      <w:r w:rsidRPr="002D68D0">
        <w:rPr>
          <w:szCs w:val="26"/>
        </w:rPr>
        <w:t xml:space="preserve">the electronic filing requirement </w:t>
      </w:r>
      <w:r w:rsidRPr="002D68D0" w:rsidR="00454D32">
        <w:rPr>
          <w:szCs w:val="26"/>
        </w:rPr>
        <w:t xml:space="preserve">thus </w:t>
      </w:r>
      <w:r w:rsidRPr="002D68D0">
        <w:rPr>
          <w:szCs w:val="26"/>
        </w:rPr>
        <w:t xml:space="preserve">does not apply to these small QFs.  The Commission believes that any applicant for a facility larger than 1 MW </w:t>
      </w:r>
      <w:r w:rsidRPr="002D68D0" w:rsidR="00454D32">
        <w:rPr>
          <w:szCs w:val="26"/>
        </w:rPr>
        <w:t>w</w:t>
      </w:r>
      <w:r w:rsidRPr="002D68D0">
        <w:rPr>
          <w:szCs w:val="26"/>
        </w:rPr>
        <w:t xml:space="preserve">ould have access to the resources needed to </w:t>
      </w:r>
      <w:r w:rsidRPr="002D68D0" w:rsidR="00454D32">
        <w:rPr>
          <w:szCs w:val="26"/>
        </w:rPr>
        <w:t xml:space="preserve">develop and </w:t>
      </w:r>
      <w:r w:rsidRPr="002D68D0" w:rsidR="005240A1">
        <w:rPr>
          <w:szCs w:val="26"/>
        </w:rPr>
        <w:t>make an electronic filing.</w:t>
      </w:r>
    </w:p>
    <w:p w:rsidRPr="002D68D0" w:rsidR="00A52074" w:rsidP="005240A1" w:rsidRDefault="00A52074" w14:paraId="11CE9AE9" w14:textId="77777777">
      <w:pPr>
        <w:pStyle w:val="FERCparanumber"/>
        <w:numPr>
          <w:ilvl w:val="0"/>
          <w:numId w:val="0"/>
        </w:numPr>
        <w:tabs>
          <w:tab w:val="num" w:pos="0"/>
        </w:tabs>
        <w:rPr>
          <w:szCs w:val="26"/>
        </w:rPr>
      </w:pPr>
    </w:p>
    <w:p w:rsidRPr="002D68D0" w:rsidR="00A52074" w:rsidP="005240A1" w:rsidRDefault="00A52074" w14:paraId="3E1992D1" w14:textId="3CF32F82">
      <w:pPr>
        <w:pStyle w:val="FERCparanumber"/>
        <w:numPr>
          <w:ilvl w:val="0"/>
          <w:numId w:val="0"/>
        </w:numPr>
        <w:tabs>
          <w:tab w:val="num" w:pos="0"/>
        </w:tabs>
        <w:rPr>
          <w:szCs w:val="26"/>
        </w:rPr>
      </w:pPr>
      <w:r w:rsidRPr="002D68D0">
        <w:rPr>
          <w:b/>
          <w:szCs w:val="26"/>
        </w:rPr>
        <w:t>FERC-556A, as proposed in RM19-15.</w:t>
      </w:r>
      <w:r w:rsidRPr="002D68D0" w:rsidR="00332BCC">
        <w:rPr>
          <w:b/>
          <w:szCs w:val="26"/>
        </w:rPr>
        <w:t xml:space="preserve">  </w:t>
      </w:r>
      <w:r w:rsidRPr="002D68D0" w:rsidR="00332BCC">
        <w:rPr>
          <w:szCs w:val="26"/>
        </w:rPr>
        <w:t xml:space="preserve">The proposed </w:t>
      </w:r>
      <w:r w:rsidRPr="002D68D0" w:rsidR="009505F2">
        <w:rPr>
          <w:szCs w:val="26"/>
        </w:rPr>
        <w:t xml:space="preserve">form </w:t>
      </w:r>
      <w:r w:rsidRPr="002D68D0" w:rsidR="00332BCC">
        <w:rPr>
          <w:szCs w:val="26"/>
        </w:rPr>
        <w:t xml:space="preserve">will be submitted </w:t>
      </w:r>
      <w:r w:rsidRPr="002D68D0" w:rsidR="00A8207E">
        <w:rPr>
          <w:szCs w:val="26"/>
        </w:rPr>
        <w:t>electronically</w:t>
      </w:r>
      <w:r w:rsidRPr="002D68D0" w:rsidR="00332BCC">
        <w:rPr>
          <w:szCs w:val="26"/>
        </w:rPr>
        <w:t>.</w:t>
      </w:r>
    </w:p>
    <w:p w:rsidRPr="002D68D0" w:rsidR="005240A1" w:rsidP="005240A1" w:rsidRDefault="005240A1" w14:paraId="76224246" w14:textId="77777777">
      <w:pPr>
        <w:pStyle w:val="FERCparanumber"/>
        <w:numPr>
          <w:ilvl w:val="0"/>
          <w:numId w:val="0"/>
        </w:numPr>
        <w:tabs>
          <w:tab w:val="num" w:pos="0"/>
        </w:tabs>
        <w:rPr>
          <w:szCs w:val="26"/>
        </w:rPr>
      </w:pPr>
    </w:p>
    <w:p w:rsidRPr="002D68D0" w:rsidR="009D6B6D" w:rsidP="005240A1" w:rsidRDefault="009D6B6D" w14:paraId="1B557C48" w14:textId="77777777">
      <w:pPr>
        <w:pStyle w:val="FERCparanumber"/>
        <w:numPr>
          <w:ilvl w:val="0"/>
          <w:numId w:val="7"/>
        </w:numPr>
        <w:rPr>
          <w:szCs w:val="26"/>
        </w:rPr>
      </w:pPr>
      <w:r w:rsidRPr="002D68D0">
        <w:rPr>
          <w:b/>
          <w:szCs w:val="26"/>
        </w:rPr>
        <w:t>CONSEQUENCE TO FEDERAL PROGRAM IF COLLECTION WERE CONDUCTED LESS FREQUENTLY</w:t>
      </w:r>
    </w:p>
    <w:p w:rsidRPr="002D68D0" w:rsidR="00BB6095" w:rsidP="00BB6095" w:rsidRDefault="00BB6095" w14:paraId="398D8B95" w14:textId="77777777">
      <w:pPr>
        <w:pStyle w:val="FERCparanumber"/>
        <w:numPr>
          <w:ilvl w:val="0"/>
          <w:numId w:val="0"/>
        </w:numPr>
        <w:rPr>
          <w:b/>
          <w:szCs w:val="26"/>
        </w:rPr>
      </w:pPr>
    </w:p>
    <w:p w:rsidRPr="002D68D0" w:rsidR="00BB6095" w:rsidP="00BB6095" w:rsidRDefault="00A735D0" w14:paraId="06309A2A" w14:textId="195E5B4E">
      <w:pPr>
        <w:widowControl/>
        <w:rPr>
          <w:sz w:val="26"/>
          <w:szCs w:val="26"/>
        </w:rPr>
      </w:pPr>
      <w:r w:rsidRPr="002D68D0">
        <w:rPr>
          <w:b/>
          <w:sz w:val="26"/>
          <w:szCs w:val="26"/>
        </w:rPr>
        <w:t>FERC-556</w:t>
      </w:r>
      <w:r w:rsidRPr="002D68D0" w:rsidR="00A52074">
        <w:rPr>
          <w:b/>
          <w:sz w:val="26"/>
          <w:szCs w:val="26"/>
        </w:rPr>
        <w:t xml:space="preserve"> and FERC-556A</w:t>
      </w:r>
      <w:r w:rsidRPr="002D68D0">
        <w:rPr>
          <w:b/>
          <w:sz w:val="26"/>
          <w:szCs w:val="26"/>
        </w:rPr>
        <w:t xml:space="preserve">.  </w:t>
      </w:r>
      <w:r w:rsidRPr="002D68D0" w:rsidR="00BB6095">
        <w:rPr>
          <w:sz w:val="26"/>
          <w:szCs w:val="26"/>
        </w:rPr>
        <w:t>Applic</w:t>
      </w:r>
      <w:r w:rsidRPr="002D68D0" w:rsidR="002D5138">
        <w:rPr>
          <w:sz w:val="26"/>
          <w:szCs w:val="26"/>
        </w:rPr>
        <w:t xml:space="preserve">ants submit an initial </w:t>
      </w:r>
      <w:r w:rsidRPr="002D68D0" w:rsidR="00A52074">
        <w:rPr>
          <w:sz w:val="26"/>
          <w:szCs w:val="26"/>
        </w:rPr>
        <w:t>form</w:t>
      </w:r>
      <w:r w:rsidRPr="002D68D0" w:rsidR="00BB6095">
        <w:rPr>
          <w:sz w:val="26"/>
          <w:szCs w:val="26"/>
        </w:rPr>
        <w:t xml:space="preserve"> and additional </w:t>
      </w:r>
      <w:r w:rsidR="009B3F20">
        <w:rPr>
          <w:sz w:val="26"/>
          <w:szCs w:val="26"/>
        </w:rPr>
        <w:t xml:space="preserve">forms </w:t>
      </w:r>
      <w:r w:rsidRPr="002D68D0" w:rsidR="00BB6095">
        <w:rPr>
          <w:sz w:val="26"/>
          <w:szCs w:val="26"/>
        </w:rPr>
        <w:t>for any changes in qualifying status criteria.  In view of this one</w:t>
      </w:r>
      <w:r w:rsidRPr="002D68D0" w:rsidR="002D5138">
        <w:rPr>
          <w:sz w:val="26"/>
          <w:szCs w:val="26"/>
        </w:rPr>
        <w:t xml:space="preserve">-time requirement, the </w:t>
      </w:r>
      <w:r w:rsidRPr="002D68D0" w:rsidR="00A52074">
        <w:rPr>
          <w:sz w:val="26"/>
          <w:szCs w:val="26"/>
        </w:rPr>
        <w:t>form</w:t>
      </w:r>
      <w:r w:rsidRPr="002D68D0" w:rsidR="00BB6095">
        <w:rPr>
          <w:sz w:val="26"/>
          <w:szCs w:val="26"/>
        </w:rPr>
        <w:t xml:space="preserve"> cannot be </w:t>
      </w:r>
      <w:r w:rsidRPr="002D68D0" w:rsidR="00316F67">
        <w:rPr>
          <w:sz w:val="26"/>
          <w:szCs w:val="26"/>
        </w:rPr>
        <w:t>collected less frequently (i.e.</w:t>
      </w:r>
      <w:r w:rsidRPr="002D68D0" w:rsidR="00BB6095">
        <w:rPr>
          <w:sz w:val="26"/>
          <w:szCs w:val="26"/>
        </w:rPr>
        <w:t xml:space="preserve"> not collected at all).  If the information were not collected, as noted above, the Commission would be unable to certify the facility as a QF, and the cogenerator or small power producer would be unable to determine whether it </w:t>
      </w:r>
      <w:r w:rsidRPr="002D68D0" w:rsidR="00BB6095">
        <w:rPr>
          <w:sz w:val="26"/>
          <w:szCs w:val="26"/>
        </w:rPr>
        <w:lastRenderedPageBreak/>
        <w:t>qualifies for the benefits bestowed by PURPA, including the exemptions from certain provisions of Federal and state law.</w:t>
      </w:r>
    </w:p>
    <w:p w:rsidRPr="002D68D0" w:rsidR="00BB6095" w:rsidP="00BB6095" w:rsidRDefault="00BB6095" w14:paraId="1196F83B" w14:textId="77777777">
      <w:pPr>
        <w:pStyle w:val="FERCparanumber"/>
        <w:numPr>
          <w:ilvl w:val="0"/>
          <w:numId w:val="0"/>
        </w:numPr>
        <w:rPr>
          <w:szCs w:val="26"/>
        </w:rPr>
      </w:pPr>
    </w:p>
    <w:p w:rsidRPr="002D68D0" w:rsidR="00BB6095" w:rsidP="005240A1" w:rsidRDefault="00BB6095" w14:paraId="67BDA109" w14:textId="77777777">
      <w:pPr>
        <w:pStyle w:val="FERCparanumber"/>
        <w:numPr>
          <w:ilvl w:val="0"/>
          <w:numId w:val="7"/>
        </w:numPr>
        <w:rPr>
          <w:szCs w:val="26"/>
        </w:rPr>
      </w:pPr>
      <w:r w:rsidRPr="002D68D0">
        <w:rPr>
          <w:b/>
          <w:szCs w:val="26"/>
        </w:rPr>
        <w:t>EXPLAIN ANY SPECIAL CIRCUMSTANCES RELATING TO THE INFORMATION</w:t>
      </w:r>
    </w:p>
    <w:p w:rsidRPr="002D68D0" w:rsidR="00BB6095" w:rsidP="00BB6095" w:rsidRDefault="00BB6095" w14:paraId="70D7B98C" w14:textId="77777777">
      <w:pPr>
        <w:pStyle w:val="FERCparanumber"/>
        <w:numPr>
          <w:ilvl w:val="0"/>
          <w:numId w:val="0"/>
        </w:numPr>
        <w:rPr>
          <w:b/>
          <w:szCs w:val="26"/>
        </w:rPr>
      </w:pPr>
    </w:p>
    <w:p w:rsidRPr="002D68D0" w:rsidR="00BB6095" w:rsidP="00BB6095" w:rsidRDefault="00A735D0" w14:paraId="1EF6238D" w14:textId="77777777">
      <w:pPr>
        <w:rPr>
          <w:sz w:val="26"/>
          <w:szCs w:val="26"/>
        </w:rPr>
      </w:pPr>
      <w:r w:rsidRPr="002D68D0">
        <w:rPr>
          <w:sz w:val="26"/>
          <w:szCs w:val="26"/>
        </w:rPr>
        <w:t>There are no special circumstances</w:t>
      </w:r>
      <w:r w:rsidRPr="002D68D0" w:rsidR="00BB6095">
        <w:rPr>
          <w:sz w:val="26"/>
          <w:szCs w:val="26"/>
        </w:rPr>
        <w:t xml:space="preserve">.  </w:t>
      </w:r>
    </w:p>
    <w:p w:rsidRPr="002D68D0" w:rsidR="00BB6095" w:rsidP="00BB6095" w:rsidRDefault="00BB6095" w14:paraId="63BE9D14" w14:textId="77777777">
      <w:pPr>
        <w:pStyle w:val="FERCparanumber"/>
        <w:numPr>
          <w:ilvl w:val="0"/>
          <w:numId w:val="0"/>
        </w:numPr>
        <w:rPr>
          <w:szCs w:val="26"/>
        </w:rPr>
      </w:pPr>
    </w:p>
    <w:p w:rsidRPr="002D68D0" w:rsidR="009D6B6D" w:rsidP="001D2EC1" w:rsidRDefault="00BB6095" w14:paraId="229D05B3" w14:textId="77777777">
      <w:pPr>
        <w:pStyle w:val="FERCparanumber"/>
        <w:numPr>
          <w:ilvl w:val="0"/>
          <w:numId w:val="7"/>
        </w:numPr>
        <w:rPr>
          <w:szCs w:val="26"/>
        </w:rPr>
      </w:pPr>
      <w:r w:rsidRPr="002D68D0">
        <w:rPr>
          <w:b/>
          <w:szCs w:val="26"/>
        </w:rPr>
        <w:t>DESCRIBE EFFORTS TO CONSULT OUTSIDE THE AGENCY: SUMMARIZE PUBLIC COMMENTS AND THE AGENCY’S RESPONSE TO THESE COMMENTS</w:t>
      </w:r>
    </w:p>
    <w:p w:rsidRPr="002D68D0" w:rsidR="00BB6095" w:rsidP="00BB6095" w:rsidRDefault="00BB6095" w14:paraId="7CF05A0C" w14:textId="77777777">
      <w:pPr>
        <w:pStyle w:val="FERCparanumber"/>
        <w:numPr>
          <w:ilvl w:val="0"/>
          <w:numId w:val="0"/>
        </w:numPr>
        <w:rPr>
          <w:b/>
          <w:szCs w:val="26"/>
        </w:rPr>
      </w:pPr>
    </w:p>
    <w:p w:rsidRPr="002D68D0" w:rsidR="00BB6095" w:rsidP="00BB6095" w:rsidRDefault="00436890" w14:paraId="2BBB7D24" w14:textId="215E7E43">
      <w:pPr>
        <w:pStyle w:val="FERCparanumber"/>
        <w:numPr>
          <w:ilvl w:val="0"/>
          <w:numId w:val="0"/>
        </w:numPr>
        <w:rPr>
          <w:szCs w:val="26"/>
        </w:rPr>
      </w:pPr>
      <w:r w:rsidRPr="002D68D0">
        <w:rPr>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 of data.  The </w:t>
      </w:r>
      <w:r w:rsidRPr="0098462E">
        <w:rPr>
          <w:szCs w:val="26"/>
        </w:rPr>
        <w:t xml:space="preserve">NOPR </w:t>
      </w:r>
      <w:r w:rsidRPr="002B2622">
        <w:rPr>
          <w:szCs w:val="26"/>
        </w:rPr>
        <w:t xml:space="preserve">(issued </w:t>
      </w:r>
      <w:r w:rsidRPr="002B2622" w:rsidR="00645E9E">
        <w:rPr>
          <w:szCs w:val="26"/>
        </w:rPr>
        <w:t>9/19</w:t>
      </w:r>
      <w:r w:rsidRPr="002B2622">
        <w:rPr>
          <w:szCs w:val="26"/>
        </w:rPr>
        <w:t>/2019)</w:t>
      </w:r>
      <w:r w:rsidRPr="0098462E">
        <w:rPr>
          <w:szCs w:val="26"/>
        </w:rPr>
        <w:t xml:space="preserve"> is</w:t>
      </w:r>
      <w:r w:rsidRPr="002D68D0">
        <w:rPr>
          <w:szCs w:val="26"/>
        </w:rPr>
        <w:t xml:space="preserve"> published in the Federal Register</w:t>
      </w:r>
      <w:r w:rsidR="0098462E">
        <w:rPr>
          <w:szCs w:val="26"/>
        </w:rPr>
        <w:t xml:space="preserve"> (84 FR </w:t>
      </w:r>
      <w:r w:rsidRPr="0098462E" w:rsidR="0098462E">
        <w:rPr>
          <w:szCs w:val="26"/>
        </w:rPr>
        <w:t>53246</w:t>
      </w:r>
      <w:r w:rsidR="0098462E">
        <w:rPr>
          <w:szCs w:val="26"/>
        </w:rPr>
        <w:t>, 10/4/2019)</w:t>
      </w:r>
      <w:r w:rsidRPr="002D68D0">
        <w:rPr>
          <w:szCs w:val="26"/>
        </w:rPr>
        <w:t xml:space="preserve">.   </w:t>
      </w:r>
    </w:p>
    <w:p w:rsidRPr="002D68D0" w:rsidR="003B475D" w:rsidP="00BB6095" w:rsidRDefault="003B475D" w14:paraId="52BC8E71" w14:textId="77777777">
      <w:pPr>
        <w:pStyle w:val="FERCparanumber"/>
        <w:numPr>
          <w:ilvl w:val="0"/>
          <w:numId w:val="0"/>
        </w:numPr>
        <w:rPr>
          <w:szCs w:val="26"/>
        </w:rPr>
      </w:pPr>
    </w:p>
    <w:p w:rsidRPr="002D68D0" w:rsidR="009D6B6D" w:rsidP="001D2EC1" w:rsidRDefault="00BB6095" w14:paraId="26B16004" w14:textId="77777777">
      <w:pPr>
        <w:pStyle w:val="FERCparanumber"/>
        <w:numPr>
          <w:ilvl w:val="0"/>
          <w:numId w:val="7"/>
        </w:numPr>
        <w:rPr>
          <w:szCs w:val="26"/>
        </w:rPr>
      </w:pPr>
      <w:r w:rsidRPr="002D68D0">
        <w:rPr>
          <w:b/>
          <w:szCs w:val="26"/>
        </w:rPr>
        <w:t>EXPLAIN ANY PAYMENT OR GIFTS TO RESPONDENTS</w:t>
      </w:r>
    </w:p>
    <w:p w:rsidRPr="002D68D0" w:rsidR="00BB6095" w:rsidP="00BB6095" w:rsidRDefault="00BB6095" w14:paraId="7DBD408E" w14:textId="77777777">
      <w:pPr>
        <w:pStyle w:val="FERCparanumber"/>
        <w:numPr>
          <w:ilvl w:val="0"/>
          <w:numId w:val="0"/>
        </w:numPr>
        <w:rPr>
          <w:b/>
          <w:szCs w:val="26"/>
        </w:rPr>
      </w:pPr>
    </w:p>
    <w:p w:rsidRPr="002D68D0" w:rsidR="00BB6095" w:rsidP="00BB6095" w:rsidRDefault="00BB6095" w14:paraId="6062963F" w14:textId="77777777">
      <w:pPr>
        <w:widowControl/>
        <w:rPr>
          <w:sz w:val="26"/>
          <w:szCs w:val="26"/>
        </w:rPr>
      </w:pPr>
      <w:r w:rsidRPr="002D68D0">
        <w:rPr>
          <w:sz w:val="26"/>
          <w:szCs w:val="26"/>
        </w:rPr>
        <w:t>There are no payments or gifts to respondents.</w:t>
      </w:r>
    </w:p>
    <w:p w:rsidRPr="002D68D0" w:rsidR="00BB6095" w:rsidP="00BB6095" w:rsidRDefault="00BB6095" w14:paraId="412AE918" w14:textId="77777777">
      <w:pPr>
        <w:pStyle w:val="FERCparanumber"/>
        <w:numPr>
          <w:ilvl w:val="0"/>
          <w:numId w:val="0"/>
        </w:numPr>
        <w:rPr>
          <w:szCs w:val="26"/>
        </w:rPr>
      </w:pPr>
    </w:p>
    <w:p w:rsidRPr="002D68D0" w:rsidR="009D6B6D" w:rsidP="001D2EC1" w:rsidRDefault="00BB6095" w14:paraId="263D2160" w14:textId="77777777">
      <w:pPr>
        <w:pStyle w:val="FERCparanumber"/>
        <w:numPr>
          <w:ilvl w:val="0"/>
          <w:numId w:val="7"/>
        </w:numPr>
        <w:rPr>
          <w:szCs w:val="26"/>
        </w:rPr>
      </w:pPr>
      <w:r w:rsidRPr="002D68D0">
        <w:rPr>
          <w:b/>
          <w:szCs w:val="26"/>
        </w:rPr>
        <w:t>DESCRIBE ANY ASSURANCE OF CONFIDENTIALITY PROVIDED TO RESPONDENTS</w:t>
      </w:r>
    </w:p>
    <w:p w:rsidRPr="002D68D0" w:rsidR="00BB6095" w:rsidP="00BB6095" w:rsidRDefault="00BB6095" w14:paraId="123629AF" w14:textId="77777777">
      <w:pPr>
        <w:pStyle w:val="FERCparanumber"/>
        <w:numPr>
          <w:ilvl w:val="0"/>
          <w:numId w:val="0"/>
        </w:numPr>
        <w:rPr>
          <w:b/>
          <w:szCs w:val="26"/>
        </w:rPr>
      </w:pPr>
    </w:p>
    <w:p w:rsidRPr="002D68D0" w:rsidR="00BB6095" w:rsidP="00BB6095" w:rsidRDefault="008333BB" w14:paraId="42E9CED4" w14:textId="77777777">
      <w:pPr>
        <w:pStyle w:val="FERCparanumber"/>
        <w:numPr>
          <w:ilvl w:val="0"/>
          <w:numId w:val="0"/>
        </w:numPr>
        <w:rPr>
          <w:szCs w:val="26"/>
        </w:rPr>
      </w:pPr>
      <w:r w:rsidRPr="002D68D0">
        <w:rPr>
          <w:szCs w:val="26"/>
        </w:rPr>
        <w:t>The Commission does not consider the information collected in filings to be confidential.  However, the Commission will consider specific requests for confidential treatment (e.g. Critical Energy/Electric Infrastructure Information [CEII] or non-public) to the extent permitted by law.</w:t>
      </w:r>
      <w:r w:rsidRPr="002D68D0">
        <w:rPr>
          <w:rStyle w:val="FootnoteReference"/>
          <w:szCs w:val="26"/>
          <w:vertAlign w:val="superscript"/>
        </w:rPr>
        <w:footnoteReference w:id="9"/>
      </w:r>
      <w:r w:rsidRPr="002D68D0">
        <w:rPr>
          <w:szCs w:val="26"/>
          <w:vertAlign w:val="superscript"/>
        </w:rPr>
        <w:t xml:space="preserve"> </w:t>
      </w:r>
      <w:r w:rsidRPr="002D68D0">
        <w:rPr>
          <w:szCs w:val="26"/>
        </w:rPr>
        <w:t xml:space="preserve">  The Commission will review each request for confidential treatment on a case-by-case basis.</w:t>
      </w:r>
    </w:p>
    <w:p w:rsidRPr="002D68D0" w:rsidR="008333BB" w:rsidP="00BB6095" w:rsidRDefault="008333BB" w14:paraId="1EB073F5" w14:textId="77777777">
      <w:pPr>
        <w:pStyle w:val="FERCparanumber"/>
        <w:numPr>
          <w:ilvl w:val="0"/>
          <w:numId w:val="0"/>
        </w:numPr>
        <w:rPr>
          <w:szCs w:val="26"/>
        </w:rPr>
      </w:pPr>
    </w:p>
    <w:p w:rsidRPr="002D68D0" w:rsidR="009D6B6D" w:rsidP="001D2EC1" w:rsidRDefault="00BB6095" w14:paraId="725D48C8" w14:textId="77777777">
      <w:pPr>
        <w:pStyle w:val="FERCparanumber"/>
        <w:numPr>
          <w:ilvl w:val="0"/>
          <w:numId w:val="7"/>
        </w:numPr>
        <w:rPr>
          <w:szCs w:val="26"/>
        </w:rPr>
      </w:pPr>
      <w:r w:rsidRPr="002D68D0">
        <w:rPr>
          <w:b/>
          <w:szCs w:val="26"/>
        </w:rPr>
        <w:t>PROVIDE ADDITIONAL JUSTIFICATION FOR ANY QUESTIONS OF A SENSITIVE NATURE</w:t>
      </w:r>
      <w:r w:rsidRPr="002D68D0" w:rsidR="00316F67">
        <w:rPr>
          <w:b/>
          <w:szCs w:val="26"/>
        </w:rPr>
        <w:t>, SUCH AS SEXUAL BEHAVIOR AND ATTITUDES, RELIGIOUS BELIEFS, AND OTHER MATTERS THAT ARE COMMONLY CONSIDERED PRIVATE</w:t>
      </w:r>
    </w:p>
    <w:p w:rsidR="00BB6095" w:rsidP="00BB6095" w:rsidRDefault="00BB6095" w14:paraId="7FBE0522" w14:textId="77777777">
      <w:pPr>
        <w:pStyle w:val="FERCparanumber"/>
        <w:numPr>
          <w:ilvl w:val="0"/>
          <w:numId w:val="0"/>
        </w:numPr>
        <w:rPr>
          <w:b/>
          <w:sz w:val="24"/>
        </w:rPr>
      </w:pPr>
    </w:p>
    <w:p w:rsidRPr="002D68D0" w:rsidR="00BB6095" w:rsidP="00BB6095" w:rsidRDefault="00BB6095" w14:paraId="37D7D985" w14:textId="77777777">
      <w:pPr>
        <w:widowControl/>
        <w:rPr>
          <w:b/>
          <w:sz w:val="26"/>
          <w:szCs w:val="26"/>
        </w:rPr>
      </w:pPr>
      <w:r w:rsidRPr="002D68D0">
        <w:rPr>
          <w:sz w:val="26"/>
          <w:szCs w:val="26"/>
        </w:rPr>
        <w:t xml:space="preserve">There are no questions of a sensitive nature.  </w:t>
      </w:r>
    </w:p>
    <w:p w:rsidRPr="002D68D0" w:rsidR="00BB6095" w:rsidP="00BB6095" w:rsidRDefault="00BB6095" w14:paraId="6EC09A02" w14:textId="77777777">
      <w:pPr>
        <w:pStyle w:val="FERCparanumber"/>
        <w:numPr>
          <w:ilvl w:val="0"/>
          <w:numId w:val="0"/>
        </w:numPr>
        <w:rPr>
          <w:szCs w:val="26"/>
        </w:rPr>
      </w:pPr>
    </w:p>
    <w:p w:rsidRPr="002D68D0" w:rsidR="00BB6095" w:rsidP="001D2EC1" w:rsidRDefault="00BB6095" w14:paraId="6DE11EA2" w14:textId="77777777">
      <w:pPr>
        <w:pStyle w:val="FERCparanumber"/>
        <w:numPr>
          <w:ilvl w:val="0"/>
          <w:numId w:val="7"/>
        </w:numPr>
        <w:rPr>
          <w:szCs w:val="26"/>
        </w:rPr>
      </w:pPr>
      <w:r w:rsidRPr="002D68D0">
        <w:rPr>
          <w:b/>
          <w:szCs w:val="26"/>
        </w:rPr>
        <w:lastRenderedPageBreak/>
        <w:t xml:space="preserve">ESTIMATED BURDEN </w:t>
      </w:r>
      <w:r w:rsidRPr="002D68D0" w:rsidR="00677FF7">
        <w:rPr>
          <w:b/>
          <w:szCs w:val="26"/>
        </w:rPr>
        <w:t xml:space="preserve">FOR </w:t>
      </w:r>
      <w:r w:rsidRPr="002D68D0">
        <w:rPr>
          <w:b/>
          <w:szCs w:val="26"/>
        </w:rPr>
        <w:t>COLLECTION OF INFORMATION</w:t>
      </w:r>
    </w:p>
    <w:p w:rsidRPr="002D68D0" w:rsidR="00BB6095" w:rsidP="00BB6095" w:rsidRDefault="00BB6095" w14:paraId="706119DF" w14:textId="77777777">
      <w:pPr>
        <w:pStyle w:val="FERCparanumber"/>
        <w:numPr>
          <w:ilvl w:val="0"/>
          <w:numId w:val="0"/>
        </w:numPr>
        <w:rPr>
          <w:szCs w:val="26"/>
        </w:rPr>
      </w:pPr>
    </w:p>
    <w:p w:rsidR="00376B37" w:rsidP="00BB6095" w:rsidRDefault="00736F4A" w14:paraId="00A340A3" w14:textId="5EE4AED7">
      <w:pPr>
        <w:pStyle w:val="FERCparanumber"/>
        <w:numPr>
          <w:ilvl w:val="0"/>
          <w:numId w:val="0"/>
        </w:numPr>
        <w:rPr>
          <w:szCs w:val="26"/>
        </w:rPr>
      </w:pPr>
      <w:r w:rsidRPr="002D68D0">
        <w:rPr>
          <w:szCs w:val="26"/>
        </w:rPr>
        <w:t xml:space="preserve">The FERC-556 (which is affected by this NOPR in Docket RM19-15) </w:t>
      </w:r>
      <w:r w:rsidR="0008502B">
        <w:rPr>
          <w:szCs w:val="26"/>
        </w:rPr>
        <w:t>was submitted to OMB on 5/20/2019 and approved by OMB on 11/18/2019</w:t>
      </w:r>
      <w:r w:rsidRPr="002D68D0">
        <w:rPr>
          <w:szCs w:val="26"/>
        </w:rPr>
        <w:t xml:space="preserve"> with the burden estimates </w:t>
      </w:r>
      <w:r w:rsidRPr="002D68D0" w:rsidR="00CE4257">
        <w:rPr>
          <w:szCs w:val="26"/>
        </w:rPr>
        <w:t xml:space="preserve">shown in </w:t>
      </w:r>
      <w:r w:rsidRPr="002D68D0">
        <w:rPr>
          <w:szCs w:val="26"/>
        </w:rPr>
        <w:t>Table 1</w:t>
      </w:r>
      <w:r w:rsidR="00C07492">
        <w:rPr>
          <w:szCs w:val="26"/>
        </w:rPr>
        <w:t xml:space="preserve"> </w:t>
      </w:r>
      <w:r w:rsidRPr="002D68D0" w:rsidR="00CE4257">
        <w:rPr>
          <w:szCs w:val="26"/>
        </w:rPr>
        <w:t xml:space="preserve">(and </w:t>
      </w:r>
      <w:r w:rsidRPr="002D68D0" w:rsidR="00573B03">
        <w:rPr>
          <w:szCs w:val="26"/>
        </w:rPr>
        <w:t xml:space="preserve">provided </w:t>
      </w:r>
      <w:r w:rsidRPr="002D68D0" w:rsidR="00896FA6">
        <w:rPr>
          <w:szCs w:val="26"/>
        </w:rPr>
        <w:t xml:space="preserve">here </w:t>
      </w:r>
      <w:r w:rsidRPr="002D68D0" w:rsidR="00F12253">
        <w:rPr>
          <w:szCs w:val="26"/>
        </w:rPr>
        <w:t xml:space="preserve">only </w:t>
      </w:r>
      <w:r w:rsidRPr="002D68D0" w:rsidR="00573B03">
        <w:rPr>
          <w:szCs w:val="26"/>
        </w:rPr>
        <w:t>for background information</w:t>
      </w:r>
      <w:r w:rsidRPr="002D68D0">
        <w:rPr>
          <w:szCs w:val="26"/>
        </w:rPr>
        <w:t xml:space="preserve">).  </w:t>
      </w:r>
    </w:p>
    <w:p w:rsidR="00376B37" w:rsidP="00BB6095" w:rsidRDefault="00376B37" w14:paraId="3FA3658E" w14:textId="77777777">
      <w:pPr>
        <w:pStyle w:val="FERCparanumber"/>
        <w:numPr>
          <w:ilvl w:val="0"/>
          <w:numId w:val="0"/>
        </w:numPr>
        <w:rPr>
          <w:szCs w:val="26"/>
        </w:rPr>
      </w:pPr>
    </w:p>
    <w:p w:rsidRPr="002D68D0" w:rsidR="00736F4A" w:rsidP="00BB6095" w:rsidRDefault="00CE4257" w14:paraId="582A64F0" w14:textId="11F358D4">
      <w:pPr>
        <w:pStyle w:val="FERCparanumber"/>
        <w:numPr>
          <w:ilvl w:val="0"/>
          <w:numId w:val="0"/>
        </w:numPr>
        <w:rPr>
          <w:szCs w:val="26"/>
        </w:rPr>
      </w:pPr>
      <w:r w:rsidRPr="002D68D0">
        <w:rPr>
          <w:szCs w:val="26"/>
        </w:rPr>
        <w:t>O</w:t>
      </w:r>
      <w:r w:rsidRPr="002D68D0" w:rsidR="00736F4A">
        <w:rPr>
          <w:szCs w:val="26"/>
        </w:rPr>
        <w:t>nly one item per OMB Control Number can be pending at OMB at a time</w:t>
      </w:r>
      <w:r w:rsidR="0008502B">
        <w:rPr>
          <w:szCs w:val="26"/>
        </w:rPr>
        <w:t>, and the OMB approval of FERC-556 was not issued until after submittal of this FERC-556A package to OMB</w:t>
      </w:r>
      <w:r w:rsidRPr="002D68D0">
        <w:rPr>
          <w:szCs w:val="26"/>
        </w:rPr>
        <w:t xml:space="preserve">.  In order to submit </w:t>
      </w:r>
      <w:r w:rsidRPr="002D68D0" w:rsidR="00896FA6">
        <w:rPr>
          <w:szCs w:val="26"/>
        </w:rPr>
        <w:t>this m</w:t>
      </w:r>
      <w:r w:rsidRPr="002D68D0" w:rsidR="00C13E47">
        <w:rPr>
          <w:szCs w:val="26"/>
        </w:rPr>
        <w:t>aterial for the NOPR in RM19-15</w:t>
      </w:r>
      <w:r w:rsidRPr="002D68D0" w:rsidR="00896FA6">
        <w:rPr>
          <w:szCs w:val="26"/>
        </w:rPr>
        <w:t xml:space="preserve"> </w:t>
      </w:r>
      <w:r w:rsidRPr="002D68D0">
        <w:rPr>
          <w:szCs w:val="26"/>
        </w:rPr>
        <w:t>timely to OMB for review</w:t>
      </w:r>
      <w:r w:rsidRPr="002D68D0" w:rsidR="00736F4A">
        <w:rPr>
          <w:szCs w:val="26"/>
        </w:rPr>
        <w:t xml:space="preserve">, the corresponding burden and cost estimates as proposed in the NOPR in RM19-15 are shown in Table 2 for the temporary information collection number FERC-556A.  </w:t>
      </w:r>
    </w:p>
    <w:p w:rsidRPr="002D68D0" w:rsidR="00736F4A" w:rsidP="00BB6095" w:rsidRDefault="00736F4A" w14:paraId="6D6F3ECD" w14:textId="77777777">
      <w:pPr>
        <w:pStyle w:val="FERCparanumber"/>
        <w:numPr>
          <w:ilvl w:val="0"/>
          <w:numId w:val="0"/>
        </w:numPr>
        <w:rPr>
          <w:szCs w:val="26"/>
        </w:rPr>
      </w:pPr>
    </w:p>
    <w:p w:rsidRPr="002D68D0" w:rsidR="00736F4A" w:rsidP="00BB6095" w:rsidRDefault="00736F4A" w14:paraId="5FC922BA" w14:textId="568E38C1">
      <w:pPr>
        <w:pStyle w:val="FERCparanumber"/>
        <w:numPr>
          <w:ilvl w:val="0"/>
          <w:numId w:val="0"/>
        </w:numPr>
        <w:rPr>
          <w:szCs w:val="26"/>
        </w:rPr>
      </w:pPr>
      <w:r w:rsidRPr="002D68D0">
        <w:rPr>
          <w:szCs w:val="26"/>
        </w:rPr>
        <w:t xml:space="preserve">If and when a final rule is issued in Docket No. RM19-15, </w:t>
      </w:r>
      <w:r w:rsidRPr="002D68D0" w:rsidR="000A3061">
        <w:rPr>
          <w:szCs w:val="26"/>
        </w:rPr>
        <w:t xml:space="preserve">we </w:t>
      </w:r>
      <w:r w:rsidR="00376B37">
        <w:rPr>
          <w:szCs w:val="26"/>
        </w:rPr>
        <w:t xml:space="preserve">expect to </w:t>
      </w:r>
      <w:r w:rsidRPr="002D68D0" w:rsidR="000A3061">
        <w:rPr>
          <w:szCs w:val="26"/>
        </w:rPr>
        <w:t>submit it under</w:t>
      </w:r>
      <w:r w:rsidRPr="002D68D0">
        <w:rPr>
          <w:szCs w:val="26"/>
        </w:rPr>
        <w:t xml:space="preserve"> FERC-556 (and </w:t>
      </w:r>
      <w:r w:rsidRPr="002D68D0" w:rsidR="00896FA6">
        <w:rPr>
          <w:szCs w:val="26"/>
        </w:rPr>
        <w:t xml:space="preserve">the temporary information collection number </w:t>
      </w:r>
      <w:r w:rsidRPr="002D68D0">
        <w:rPr>
          <w:szCs w:val="26"/>
        </w:rPr>
        <w:t>FERC-556A will no longer be necessary).</w:t>
      </w:r>
    </w:p>
    <w:p w:rsidR="00736F4A" w:rsidP="00BB6095" w:rsidRDefault="00736F4A" w14:paraId="424614E8" w14:textId="77777777">
      <w:pPr>
        <w:pStyle w:val="FERCparanumber"/>
        <w:numPr>
          <w:ilvl w:val="0"/>
          <w:numId w:val="0"/>
        </w:numPr>
        <w:rPr>
          <w:b/>
          <w:sz w:val="24"/>
        </w:rPr>
      </w:pPr>
    </w:p>
    <w:p w:rsidR="009E4DD8" w:rsidP="00BB6095" w:rsidRDefault="009E4DD8" w14:paraId="52AB7018" w14:textId="77777777">
      <w:pPr>
        <w:widowControl/>
      </w:pPr>
    </w:p>
    <w:tbl>
      <w:tblPr>
        <w:tblW w:w="5600" w:type="pct"/>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3"/>
        <w:gridCol w:w="1219"/>
        <w:gridCol w:w="1306"/>
        <w:gridCol w:w="1306"/>
        <w:gridCol w:w="1130"/>
        <w:gridCol w:w="1177"/>
        <w:gridCol w:w="1436"/>
        <w:gridCol w:w="1245"/>
      </w:tblGrid>
      <w:tr w:rsidR="004857D1" w:rsidTr="00243D23" w14:paraId="69FB9BE1"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E61EAE" w:rsidR="004857D1" w:rsidP="004857D1" w:rsidRDefault="004857D1" w14:paraId="761A767D" w14:textId="77777777">
            <w:pPr>
              <w:spacing w:line="256" w:lineRule="auto"/>
              <w:jc w:val="center"/>
              <w:rPr>
                <w:b/>
              </w:rPr>
            </w:pPr>
            <w:r w:rsidRPr="00E61EAE">
              <w:rPr>
                <w:b/>
              </w:rPr>
              <w:t xml:space="preserve">TABLE 1    </w:t>
            </w:r>
          </w:p>
          <w:p w:rsidRPr="00E61EAE" w:rsidR="004857D1" w:rsidP="004857D1" w:rsidRDefault="004857D1" w14:paraId="285B77E1" w14:textId="77777777">
            <w:pPr>
              <w:spacing w:line="256" w:lineRule="auto"/>
              <w:jc w:val="center"/>
              <w:rPr>
                <w:b/>
              </w:rPr>
            </w:pPr>
            <w:r w:rsidRPr="00E61EAE">
              <w:rPr>
                <w:b/>
              </w:rPr>
              <w:t xml:space="preserve">BACKGROUND ONLY---FERC-556, in OMB-approved inventory </w:t>
            </w:r>
          </w:p>
          <w:p w:rsidRPr="00E61EAE" w:rsidR="004857D1" w:rsidP="004857D1" w:rsidRDefault="004857D1" w14:paraId="5D2D1170" w14:textId="58246DA8">
            <w:pPr>
              <w:spacing w:line="256" w:lineRule="auto"/>
              <w:jc w:val="center"/>
              <w:rPr>
                <w:b/>
              </w:rPr>
            </w:pPr>
            <w:r w:rsidRPr="00E61EAE">
              <w:rPr>
                <w:b/>
              </w:rPr>
              <w:t>(as of OMB approval dated 11/18/2019 for ICR  201903-1902-005)</w:t>
            </w:r>
          </w:p>
          <w:p w:rsidR="004857D1" w:rsidP="004857D1" w:rsidRDefault="004857D1" w14:paraId="25C3F786" w14:textId="053F50D3">
            <w:pPr>
              <w:spacing w:line="256" w:lineRule="auto"/>
              <w:jc w:val="center"/>
              <w:rPr>
                <w:rFonts w:eastAsia="Calibri"/>
                <w:b/>
                <w:sz w:val="20"/>
                <w:szCs w:val="20"/>
              </w:rPr>
            </w:pPr>
          </w:p>
        </w:tc>
      </w:tr>
      <w:tr w:rsidR="004857D1" w:rsidTr="00243D23" w14:paraId="4D22F86D" w14:textId="77777777">
        <w:trPr>
          <w:cantSplit/>
        </w:trPr>
        <w:tc>
          <w:tcPr>
            <w:tcW w:w="7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7497FC86" w14:textId="77777777">
            <w:pPr>
              <w:spacing w:line="256" w:lineRule="auto"/>
              <w:jc w:val="center"/>
              <w:rPr>
                <w:rFonts w:eastAsia="Calibri"/>
                <w:b/>
                <w:sz w:val="20"/>
                <w:szCs w:val="20"/>
              </w:rPr>
            </w:pPr>
            <w:r>
              <w:rPr>
                <w:rFonts w:eastAsia="Calibri"/>
                <w:b/>
                <w:sz w:val="20"/>
                <w:szCs w:val="20"/>
              </w:rPr>
              <w:t>Facility Type</w:t>
            </w:r>
          </w:p>
        </w:tc>
        <w:tc>
          <w:tcPr>
            <w:tcW w:w="58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05BF8F34" w14:textId="77777777">
            <w:pPr>
              <w:spacing w:line="256" w:lineRule="auto"/>
              <w:jc w:val="center"/>
              <w:rPr>
                <w:rFonts w:eastAsia="Calibri"/>
                <w:b/>
                <w:sz w:val="20"/>
                <w:szCs w:val="20"/>
              </w:rPr>
            </w:pPr>
            <w:r>
              <w:rPr>
                <w:rFonts w:eastAsia="Calibri"/>
                <w:b/>
                <w:sz w:val="20"/>
                <w:szCs w:val="20"/>
              </w:rPr>
              <w:t>Filing Type</w:t>
            </w:r>
          </w:p>
        </w:tc>
        <w:tc>
          <w:tcPr>
            <w:tcW w:w="62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20E56E5F" w14:textId="77777777">
            <w:pPr>
              <w:spacing w:line="256" w:lineRule="auto"/>
              <w:jc w:val="center"/>
              <w:rPr>
                <w:rFonts w:eastAsia="Calibri"/>
                <w:b/>
                <w:sz w:val="20"/>
                <w:szCs w:val="20"/>
              </w:rPr>
            </w:pPr>
            <w:r>
              <w:rPr>
                <w:rFonts w:eastAsia="Calibri"/>
                <w:b/>
                <w:sz w:val="20"/>
                <w:szCs w:val="20"/>
              </w:rPr>
              <w:t>Number of Respondents</w:t>
            </w:r>
            <w:r>
              <w:rPr>
                <w:rFonts w:eastAsia="Calibri"/>
                <w:b/>
                <w:sz w:val="20"/>
                <w:szCs w:val="20"/>
              </w:rPr>
              <w:br/>
              <w:t>(1)</w:t>
            </w:r>
          </w:p>
        </w:tc>
        <w:tc>
          <w:tcPr>
            <w:tcW w:w="62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1CC7F9FF" w14:textId="77777777">
            <w:pPr>
              <w:spacing w:line="256" w:lineRule="auto"/>
              <w:jc w:val="center"/>
              <w:rPr>
                <w:rFonts w:eastAsia="Calibri"/>
                <w:b/>
                <w:sz w:val="20"/>
                <w:szCs w:val="20"/>
              </w:rPr>
            </w:pPr>
            <w:r>
              <w:rPr>
                <w:rFonts w:eastAsia="Calibri"/>
                <w:b/>
                <w:sz w:val="20"/>
                <w:szCs w:val="20"/>
              </w:rPr>
              <w:t>Annual Number of Responses per Respondent</w:t>
            </w:r>
          </w:p>
          <w:p w:rsidR="004857D1" w:rsidP="00243D23" w:rsidRDefault="004857D1" w14:paraId="3ECE6A0D" w14:textId="77777777">
            <w:pPr>
              <w:spacing w:line="256" w:lineRule="auto"/>
              <w:jc w:val="center"/>
              <w:rPr>
                <w:rFonts w:eastAsia="Calibri"/>
                <w:b/>
                <w:sz w:val="20"/>
                <w:szCs w:val="20"/>
              </w:rPr>
            </w:pPr>
            <w:r>
              <w:rPr>
                <w:rFonts w:eastAsia="Calibri"/>
                <w:b/>
                <w:sz w:val="20"/>
                <w:szCs w:val="20"/>
              </w:rPr>
              <w:t>(2)</w:t>
            </w:r>
          </w:p>
        </w:tc>
        <w:tc>
          <w:tcPr>
            <w:tcW w:w="54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0FC75A54" w14:textId="77777777">
            <w:pPr>
              <w:spacing w:line="256" w:lineRule="auto"/>
              <w:jc w:val="center"/>
              <w:rPr>
                <w:rFonts w:eastAsia="Calibri"/>
                <w:b/>
                <w:sz w:val="20"/>
                <w:szCs w:val="20"/>
              </w:rPr>
            </w:pPr>
            <w:r>
              <w:rPr>
                <w:rFonts w:eastAsia="Calibri"/>
                <w:b/>
                <w:sz w:val="20"/>
                <w:szCs w:val="20"/>
              </w:rPr>
              <w:t>Total Number of Responses (1)*(2)=(3)</w:t>
            </w:r>
          </w:p>
        </w:tc>
        <w:tc>
          <w:tcPr>
            <w:tcW w:w="54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6DE107AD" w14:textId="77777777">
            <w:pPr>
              <w:spacing w:line="256" w:lineRule="auto"/>
              <w:jc w:val="center"/>
              <w:rPr>
                <w:rFonts w:eastAsia="Calibri"/>
                <w:b/>
                <w:sz w:val="20"/>
                <w:szCs w:val="20"/>
              </w:rPr>
            </w:pPr>
            <w:r>
              <w:rPr>
                <w:rFonts w:eastAsia="Calibri"/>
                <w:b/>
                <w:sz w:val="20"/>
                <w:szCs w:val="20"/>
              </w:rPr>
              <w:t>Average Burden Hours &amp; Cost Per Response</w:t>
            </w:r>
            <w:r>
              <w:rPr>
                <w:rFonts w:eastAsia="Calibri"/>
                <w:b/>
                <w:szCs w:val="26"/>
                <w:vertAlign w:val="superscript"/>
              </w:rPr>
              <w:footnoteReference w:id="10"/>
            </w:r>
          </w:p>
          <w:p w:rsidR="004857D1" w:rsidP="00243D23" w:rsidRDefault="004857D1" w14:paraId="6CF07CC5" w14:textId="77777777">
            <w:pPr>
              <w:spacing w:line="256" w:lineRule="auto"/>
              <w:jc w:val="center"/>
              <w:rPr>
                <w:rFonts w:eastAsia="Calibri"/>
                <w:b/>
                <w:sz w:val="20"/>
                <w:szCs w:val="20"/>
              </w:rPr>
            </w:pPr>
            <w:r>
              <w:rPr>
                <w:rFonts w:eastAsia="Calibri"/>
                <w:b/>
                <w:sz w:val="20"/>
                <w:szCs w:val="20"/>
              </w:rPr>
              <w:t>(4)</w:t>
            </w:r>
          </w:p>
        </w:tc>
        <w:tc>
          <w:tcPr>
            <w:tcW w:w="6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60EF7465" w14:textId="77777777">
            <w:pPr>
              <w:spacing w:line="256" w:lineRule="auto"/>
              <w:jc w:val="center"/>
              <w:rPr>
                <w:rFonts w:eastAsia="Calibri"/>
                <w:b/>
                <w:sz w:val="20"/>
                <w:szCs w:val="20"/>
              </w:rPr>
            </w:pPr>
            <w:r>
              <w:rPr>
                <w:rFonts w:eastAsia="Calibri"/>
                <w:b/>
                <w:sz w:val="20"/>
                <w:szCs w:val="20"/>
              </w:rPr>
              <w:t>Total Annual Burden Hours &amp; Total Annual Cost (rounded)</w:t>
            </w:r>
          </w:p>
          <w:p w:rsidR="004857D1" w:rsidP="00243D23" w:rsidRDefault="004857D1" w14:paraId="5D513702" w14:textId="77777777">
            <w:pPr>
              <w:spacing w:line="256" w:lineRule="auto"/>
              <w:jc w:val="center"/>
              <w:rPr>
                <w:rFonts w:eastAsia="Calibri"/>
                <w:b/>
                <w:sz w:val="20"/>
                <w:szCs w:val="20"/>
              </w:rPr>
            </w:pPr>
            <w:r>
              <w:rPr>
                <w:rFonts w:eastAsia="Calibri"/>
                <w:b/>
                <w:sz w:val="20"/>
                <w:szCs w:val="20"/>
              </w:rPr>
              <w:t>(3)*(4)=(5)</w:t>
            </w:r>
          </w:p>
        </w:tc>
        <w:tc>
          <w:tcPr>
            <w:tcW w:w="59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4857D1" w:rsidP="00243D23" w:rsidRDefault="004857D1" w14:paraId="0FB82C49" w14:textId="77777777">
            <w:pPr>
              <w:spacing w:line="256" w:lineRule="auto"/>
              <w:jc w:val="center"/>
              <w:rPr>
                <w:rFonts w:eastAsia="Calibri"/>
                <w:b/>
                <w:sz w:val="20"/>
                <w:szCs w:val="20"/>
              </w:rPr>
            </w:pPr>
            <w:r>
              <w:rPr>
                <w:rFonts w:eastAsia="Calibri"/>
                <w:b/>
                <w:sz w:val="20"/>
                <w:szCs w:val="20"/>
              </w:rPr>
              <w:t>Cost per Respondent</w:t>
            </w:r>
          </w:p>
          <w:p w:rsidR="004857D1" w:rsidP="00243D23" w:rsidRDefault="004857D1" w14:paraId="278796DB" w14:textId="77777777">
            <w:pPr>
              <w:spacing w:line="256" w:lineRule="auto"/>
              <w:jc w:val="center"/>
              <w:rPr>
                <w:rFonts w:eastAsia="Calibri"/>
                <w:b/>
                <w:sz w:val="20"/>
                <w:szCs w:val="20"/>
              </w:rPr>
            </w:pPr>
            <w:r>
              <w:rPr>
                <w:rFonts w:eastAsia="Calibri"/>
                <w:b/>
                <w:sz w:val="20"/>
                <w:szCs w:val="20"/>
              </w:rPr>
              <w:t xml:space="preserve"> ($) (rounded)</w:t>
            </w:r>
          </w:p>
          <w:p w:rsidR="004857D1" w:rsidP="00243D23" w:rsidRDefault="004857D1" w14:paraId="17B31B17" w14:textId="77777777">
            <w:pPr>
              <w:spacing w:line="256" w:lineRule="auto"/>
              <w:jc w:val="center"/>
              <w:rPr>
                <w:rFonts w:eastAsia="Calibri"/>
                <w:b/>
                <w:sz w:val="20"/>
                <w:szCs w:val="20"/>
              </w:rPr>
            </w:pPr>
            <w:r>
              <w:rPr>
                <w:rFonts w:eastAsia="Calibri"/>
                <w:b/>
                <w:sz w:val="20"/>
                <w:szCs w:val="20"/>
              </w:rPr>
              <w:t>(5)÷(1)</w:t>
            </w:r>
          </w:p>
        </w:tc>
      </w:tr>
      <w:tr w:rsidR="004857D1" w:rsidTr="00243D23" w14:paraId="6FAA7BB5" w14:textId="77777777">
        <w:trPr>
          <w:cantSplit/>
        </w:trPr>
        <w:tc>
          <w:tcPr>
            <w:tcW w:w="79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1A15AD8" w14:textId="77777777">
            <w:pPr>
              <w:spacing w:line="256" w:lineRule="auto"/>
              <w:rPr>
                <w:rFonts w:eastAsia="Calibri"/>
                <w:sz w:val="20"/>
                <w:szCs w:val="20"/>
              </w:rPr>
            </w:pPr>
            <w:r>
              <w:rPr>
                <w:rFonts w:eastAsia="Calibri"/>
                <w:sz w:val="20"/>
                <w:szCs w:val="20"/>
              </w:rPr>
              <w:t>Cogeneration Facility &gt; 1 MW</w:t>
            </w:r>
            <w:r>
              <w:rPr>
                <w:rFonts w:eastAsia="Calibri"/>
                <w:b/>
                <w:szCs w:val="26"/>
                <w:vertAlign w:val="superscript"/>
              </w:rPr>
              <w:footnoteReference w:id="11"/>
            </w:r>
          </w:p>
        </w:tc>
        <w:tc>
          <w:tcPr>
            <w:tcW w:w="585"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3626E3DD" w14:textId="77777777">
            <w:pPr>
              <w:spacing w:line="256" w:lineRule="auto"/>
              <w:rPr>
                <w:rFonts w:eastAsia="Calibri"/>
                <w:sz w:val="20"/>
                <w:szCs w:val="20"/>
              </w:rPr>
            </w:pPr>
            <w:r>
              <w:rPr>
                <w:rFonts w:eastAsia="Calibri"/>
                <w:sz w:val="20"/>
                <w:szCs w:val="20"/>
              </w:rPr>
              <w:t>Self-certification</w:t>
            </w:r>
          </w:p>
        </w:tc>
        <w:tc>
          <w:tcPr>
            <w:tcW w:w="626"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0D00757F" w14:textId="77777777">
            <w:pPr>
              <w:spacing w:line="256" w:lineRule="auto"/>
              <w:jc w:val="right"/>
              <w:rPr>
                <w:rFonts w:eastAsia="Calibri"/>
                <w:sz w:val="20"/>
                <w:szCs w:val="20"/>
              </w:rPr>
            </w:pPr>
            <w:r>
              <w:rPr>
                <w:rFonts w:eastAsia="Calibri"/>
                <w:sz w:val="20"/>
                <w:szCs w:val="20"/>
              </w:rPr>
              <w:t>63</w:t>
            </w:r>
          </w:p>
        </w:tc>
        <w:tc>
          <w:tcPr>
            <w:tcW w:w="627"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65A8454D" w14:textId="77777777">
            <w:pPr>
              <w:spacing w:line="256" w:lineRule="auto"/>
              <w:jc w:val="right"/>
              <w:rPr>
                <w:rFonts w:eastAsia="Calibri"/>
                <w:sz w:val="20"/>
                <w:szCs w:val="20"/>
              </w:rPr>
            </w:pPr>
            <w:r>
              <w:rPr>
                <w:rFonts w:eastAsia="Calibri"/>
                <w:sz w:val="20"/>
                <w:szCs w:val="20"/>
              </w:rPr>
              <w:t>1.25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037795B6" w14:textId="77777777">
            <w:pPr>
              <w:spacing w:line="256" w:lineRule="auto"/>
              <w:jc w:val="right"/>
              <w:rPr>
                <w:rFonts w:eastAsia="Calibri"/>
                <w:sz w:val="20"/>
                <w:szCs w:val="20"/>
              </w:rPr>
            </w:pPr>
            <w:r>
              <w:rPr>
                <w:rFonts w:eastAsia="Calibri"/>
                <w:sz w:val="20"/>
                <w:szCs w:val="20"/>
              </w:rPr>
              <w:t>78.75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1DB70876" w14:textId="77777777">
            <w:pPr>
              <w:spacing w:line="256" w:lineRule="auto"/>
              <w:jc w:val="right"/>
              <w:rPr>
                <w:rFonts w:eastAsia="Calibri"/>
                <w:sz w:val="20"/>
                <w:szCs w:val="20"/>
              </w:rPr>
            </w:pPr>
            <w:r>
              <w:rPr>
                <w:rFonts w:eastAsia="Calibri"/>
                <w:sz w:val="20"/>
                <w:szCs w:val="20"/>
              </w:rPr>
              <w:t xml:space="preserve">1.5 hrs.; </w:t>
            </w:r>
          </w:p>
          <w:p w:rsidR="004857D1" w:rsidP="00243D23" w:rsidRDefault="004857D1" w14:paraId="11CC6A31" w14:textId="77777777">
            <w:pPr>
              <w:spacing w:line="256" w:lineRule="auto"/>
              <w:jc w:val="right"/>
              <w:rPr>
                <w:rFonts w:eastAsia="Calibri"/>
                <w:sz w:val="20"/>
                <w:szCs w:val="20"/>
              </w:rPr>
            </w:pPr>
            <w:r>
              <w:rPr>
                <w:rFonts w:eastAsia="Calibri"/>
                <w:sz w:val="20"/>
                <w:szCs w:val="20"/>
              </w:rPr>
              <w:t>$118.5</w:t>
            </w:r>
          </w:p>
        </w:tc>
        <w:tc>
          <w:tcPr>
            <w:tcW w:w="689"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6A128CAD" w14:textId="77777777">
            <w:pPr>
              <w:spacing w:line="256" w:lineRule="auto"/>
              <w:jc w:val="right"/>
              <w:rPr>
                <w:rFonts w:eastAsia="Calibri"/>
                <w:sz w:val="20"/>
                <w:szCs w:val="20"/>
              </w:rPr>
            </w:pPr>
            <w:r>
              <w:rPr>
                <w:rFonts w:eastAsia="Calibri"/>
                <w:sz w:val="20"/>
                <w:szCs w:val="20"/>
              </w:rPr>
              <w:t xml:space="preserve"> 118.125 hrs.; </w:t>
            </w:r>
          </w:p>
          <w:p w:rsidR="004857D1" w:rsidP="00243D23" w:rsidRDefault="004857D1" w14:paraId="64ABAF7F" w14:textId="77777777">
            <w:pPr>
              <w:spacing w:line="256" w:lineRule="auto"/>
              <w:jc w:val="right"/>
              <w:rPr>
                <w:rFonts w:eastAsia="Calibri"/>
                <w:sz w:val="20"/>
                <w:szCs w:val="20"/>
              </w:rPr>
            </w:pPr>
            <w:r>
              <w:rPr>
                <w:rFonts w:eastAsia="Calibri"/>
                <w:sz w:val="20"/>
                <w:szCs w:val="20"/>
              </w:rPr>
              <w:t>$9,332</w:t>
            </w:r>
          </w:p>
        </w:tc>
        <w:tc>
          <w:tcPr>
            <w:tcW w:w="598" w:type="pct"/>
            <w:tcBorders>
              <w:top w:val="single" w:color="auto" w:sz="4" w:space="0"/>
              <w:left w:val="single" w:color="auto" w:sz="4" w:space="0"/>
              <w:bottom w:val="single" w:color="auto" w:sz="4" w:space="0"/>
              <w:right w:val="single" w:color="auto" w:sz="4" w:space="0"/>
            </w:tcBorders>
            <w:vAlign w:val="center"/>
          </w:tcPr>
          <w:p w:rsidR="004857D1" w:rsidP="00243D23" w:rsidRDefault="004857D1" w14:paraId="2978957F" w14:textId="77777777">
            <w:pPr>
              <w:spacing w:line="256" w:lineRule="auto"/>
              <w:jc w:val="right"/>
              <w:rPr>
                <w:rFonts w:eastAsia="Calibri"/>
                <w:sz w:val="20"/>
                <w:szCs w:val="20"/>
              </w:rPr>
            </w:pPr>
            <w:r>
              <w:rPr>
                <w:rFonts w:eastAsia="Calibri"/>
                <w:sz w:val="20"/>
                <w:szCs w:val="20"/>
              </w:rPr>
              <w:t>$148</w:t>
            </w:r>
          </w:p>
          <w:p w:rsidR="004857D1" w:rsidP="00243D23" w:rsidRDefault="004857D1" w14:paraId="120BF45E" w14:textId="77777777">
            <w:pPr>
              <w:spacing w:line="256" w:lineRule="auto"/>
              <w:jc w:val="right"/>
              <w:rPr>
                <w:rFonts w:eastAsia="Calibri"/>
                <w:sz w:val="20"/>
                <w:szCs w:val="20"/>
              </w:rPr>
            </w:pPr>
          </w:p>
        </w:tc>
      </w:tr>
      <w:tr w:rsidR="004857D1" w:rsidTr="00243D23" w14:paraId="27E69262" w14:textId="77777777">
        <w:trPr>
          <w:cantSplit/>
          <w:trHeight w:val="530"/>
        </w:trPr>
        <w:tc>
          <w:tcPr>
            <w:tcW w:w="79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7A58CC7B" w14:textId="77777777">
            <w:pPr>
              <w:spacing w:line="256" w:lineRule="auto"/>
              <w:rPr>
                <w:rFonts w:eastAsia="Calibri"/>
                <w:sz w:val="20"/>
                <w:szCs w:val="20"/>
              </w:rPr>
            </w:pPr>
            <w:r>
              <w:rPr>
                <w:rFonts w:eastAsia="Calibri"/>
                <w:sz w:val="20"/>
                <w:szCs w:val="20"/>
              </w:rPr>
              <w:t>Cogeneration Facility &gt; 1 MW</w:t>
            </w:r>
          </w:p>
        </w:tc>
        <w:tc>
          <w:tcPr>
            <w:tcW w:w="585"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3BA98318" w14:textId="77777777">
            <w:pPr>
              <w:spacing w:line="256" w:lineRule="auto"/>
              <w:rPr>
                <w:rFonts w:eastAsia="Calibri"/>
                <w:sz w:val="20"/>
                <w:szCs w:val="20"/>
              </w:rPr>
            </w:pPr>
            <w:r>
              <w:rPr>
                <w:rFonts w:eastAsia="Calibri"/>
                <w:sz w:val="20"/>
                <w:szCs w:val="20"/>
              </w:rPr>
              <w:t>Application for FERC certification</w:t>
            </w:r>
          </w:p>
        </w:tc>
        <w:tc>
          <w:tcPr>
            <w:tcW w:w="626"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711705A9" w14:textId="77777777">
            <w:pPr>
              <w:spacing w:line="256" w:lineRule="auto"/>
              <w:jc w:val="right"/>
              <w:rPr>
                <w:rFonts w:eastAsia="Calibri"/>
                <w:sz w:val="20"/>
                <w:szCs w:val="20"/>
              </w:rPr>
            </w:pPr>
            <w:r>
              <w:rPr>
                <w:rFonts w:eastAsia="Calibri"/>
                <w:sz w:val="20"/>
                <w:szCs w:val="20"/>
              </w:rPr>
              <w:t>1</w:t>
            </w:r>
          </w:p>
        </w:tc>
        <w:tc>
          <w:tcPr>
            <w:tcW w:w="627"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1B410B59" w14:textId="77777777">
            <w:pPr>
              <w:spacing w:line="256" w:lineRule="auto"/>
              <w:jc w:val="right"/>
              <w:rPr>
                <w:rFonts w:eastAsia="Calibri"/>
                <w:sz w:val="20"/>
                <w:szCs w:val="20"/>
              </w:rPr>
            </w:pPr>
            <w:r>
              <w:rPr>
                <w:rFonts w:eastAsia="Calibri"/>
                <w:sz w:val="20"/>
                <w:szCs w:val="20"/>
              </w:rPr>
              <w:t>1.25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295D1EFD" w14:textId="77777777">
            <w:pPr>
              <w:spacing w:line="256" w:lineRule="auto"/>
              <w:jc w:val="right"/>
              <w:rPr>
                <w:rFonts w:eastAsia="Calibri"/>
                <w:sz w:val="20"/>
                <w:szCs w:val="20"/>
              </w:rPr>
            </w:pPr>
            <w:r>
              <w:rPr>
                <w:rFonts w:eastAsia="Calibri"/>
                <w:sz w:val="20"/>
                <w:szCs w:val="20"/>
              </w:rPr>
              <w:t>1.25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747A9896" w14:textId="77777777">
            <w:pPr>
              <w:spacing w:line="256" w:lineRule="auto"/>
              <w:jc w:val="right"/>
              <w:rPr>
                <w:rFonts w:eastAsia="Calibri"/>
                <w:sz w:val="20"/>
                <w:szCs w:val="20"/>
              </w:rPr>
            </w:pPr>
            <w:r>
              <w:rPr>
                <w:rFonts w:eastAsia="Calibri"/>
                <w:sz w:val="20"/>
                <w:szCs w:val="20"/>
              </w:rPr>
              <w:t xml:space="preserve">50 hrs.; </w:t>
            </w:r>
          </w:p>
          <w:p w:rsidR="004857D1" w:rsidP="00243D23" w:rsidRDefault="004857D1" w14:paraId="1E3CBA0A" w14:textId="77777777">
            <w:pPr>
              <w:spacing w:line="256" w:lineRule="auto"/>
              <w:jc w:val="right"/>
              <w:rPr>
                <w:rFonts w:eastAsia="Calibri"/>
                <w:sz w:val="20"/>
                <w:szCs w:val="20"/>
              </w:rPr>
            </w:pPr>
            <w:r>
              <w:rPr>
                <w:rFonts w:eastAsia="Calibri"/>
                <w:sz w:val="20"/>
                <w:szCs w:val="20"/>
              </w:rPr>
              <w:t>$3,950</w:t>
            </w:r>
          </w:p>
        </w:tc>
        <w:tc>
          <w:tcPr>
            <w:tcW w:w="689"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1AB9DBBD" w14:textId="77777777">
            <w:pPr>
              <w:spacing w:line="256" w:lineRule="auto"/>
              <w:jc w:val="right"/>
              <w:rPr>
                <w:rFonts w:eastAsia="Calibri"/>
                <w:sz w:val="20"/>
                <w:szCs w:val="20"/>
              </w:rPr>
            </w:pPr>
            <w:r>
              <w:rPr>
                <w:rFonts w:eastAsia="Calibri"/>
                <w:sz w:val="20"/>
                <w:szCs w:val="20"/>
              </w:rPr>
              <w:t xml:space="preserve">62.5 hrs.; </w:t>
            </w:r>
          </w:p>
          <w:p w:rsidR="004857D1" w:rsidP="00243D23" w:rsidRDefault="004857D1" w14:paraId="672FADC9" w14:textId="77777777">
            <w:pPr>
              <w:spacing w:line="256" w:lineRule="auto"/>
              <w:jc w:val="right"/>
              <w:rPr>
                <w:rFonts w:eastAsia="Calibri"/>
                <w:sz w:val="20"/>
                <w:szCs w:val="20"/>
              </w:rPr>
            </w:pPr>
            <w:r>
              <w:rPr>
                <w:rFonts w:eastAsia="Calibri"/>
                <w:sz w:val="20"/>
                <w:szCs w:val="20"/>
              </w:rPr>
              <w:t>$4,938</w:t>
            </w:r>
          </w:p>
        </w:tc>
        <w:tc>
          <w:tcPr>
            <w:tcW w:w="598"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2B2AE6D7" w14:textId="77777777">
            <w:pPr>
              <w:spacing w:line="256" w:lineRule="auto"/>
              <w:jc w:val="right"/>
              <w:rPr>
                <w:rFonts w:eastAsia="Calibri"/>
                <w:sz w:val="20"/>
                <w:szCs w:val="20"/>
              </w:rPr>
            </w:pPr>
            <w:r>
              <w:rPr>
                <w:rFonts w:eastAsia="Calibri"/>
                <w:sz w:val="20"/>
                <w:szCs w:val="20"/>
              </w:rPr>
              <w:t>$4,938</w:t>
            </w:r>
          </w:p>
        </w:tc>
      </w:tr>
      <w:tr w:rsidR="004857D1" w:rsidTr="00243D23" w14:paraId="27F8B5DA" w14:textId="77777777">
        <w:trPr>
          <w:cantSplit/>
        </w:trPr>
        <w:tc>
          <w:tcPr>
            <w:tcW w:w="79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38A8FFE" w14:textId="77777777">
            <w:pPr>
              <w:spacing w:line="256" w:lineRule="auto"/>
              <w:rPr>
                <w:rFonts w:eastAsia="Calibri"/>
                <w:sz w:val="20"/>
                <w:szCs w:val="20"/>
              </w:rPr>
            </w:pPr>
            <w:r>
              <w:rPr>
                <w:rFonts w:eastAsia="Calibri"/>
                <w:sz w:val="20"/>
                <w:szCs w:val="20"/>
              </w:rPr>
              <w:t>Small Power Production Facility &gt; 1 MW</w:t>
            </w:r>
          </w:p>
        </w:tc>
        <w:tc>
          <w:tcPr>
            <w:tcW w:w="585"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05C2EDAD" w14:textId="77777777">
            <w:pPr>
              <w:spacing w:line="256" w:lineRule="auto"/>
              <w:rPr>
                <w:rFonts w:eastAsia="Calibri"/>
                <w:sz w:val="20"/>
                <w:szCs w:val="20"/>
              </w:rPr>
            </w:pPr>
            <w:r>
              <w:rPr>
                <w:rFonts w:eastAsia="Calibri"/>
                <w:sz w:val="20"/>
                <w:szCs w:val="20"/>
              </w:rPr>
              <w:t>Self-certification</w:t>
            </w:r>
          </w:p>
        </w:tc>
        <w:tc>
          <w:tcPr>
            <w:tcW w:w="626"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2224B6A1" w14:textId="77777777">
            <w:pPr>
              <w:spacing w:line="256" w:lineRule="auto"/>
              <w:jc w:val="right"/>
              <w:rPr>
                <w:rFonts w:eastAsia="Calibri"/>
                <w:sz w:val="20"/>
                <w:szCs w:val="20"/>
              </w:rPr>
            </w:pPr>
            <w:r>
              <w:rPr>
                <w:rFonts w:eastAsia="Calibri"/>
                <w:sz w:val="20"/>
                <w:szCs w:val="20"/>
              </w:rPr>
              <w:t>2,698</w:t>
            </w:r>
          </w:p>
        </w:tc>
        <w:tc>
          <w:tcPr>
            <w:tcW w:w="627"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757EFB7A" w14:textId="77777777">
            <w:pPr>
              <w:spacing w:line="256" w:lineRule="auto"/>
              <w:jc w:val="right"/>
              <w:rPr>
                <w:rFonts w:eastAsia="Calibri"/>
                <w:sz w:val="20"/>
                <w:szCs w:val="20"/>
              </w:rPr>
            </w:pPr>
            <w:r>
              <w:rPr>
                <w:rFonts w:eastAsia="Calibri"/>
                <w:sz w:val="20"/>
                <w:szCs w:val="20"/>
              </w:rPr>
              <w:t>1.25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238271FB" w14:textId="77777777">
            <w:pPr>
              <w:spacing w:line="256" w:lineRule="auto"/>
              <w:jc w:val="right"/>
              <w:rPr>
                <w:rFonts w:eastAsia="Calibri"/>
                <w:sz w:val="20"/>
                <w:szCs w:val="20"/>
              </w:rPr>
            </w:pPr>
            <w:r>
              <w:rPr>
                <w:rFonts w:eastAsia="Calibri"/>
                <w:sz w:val="20"/>
                <w:szCs w:val="20"/>
              </w:rPr>
              <w:t>3,372.5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E5B6AFF" w14:textId="77777777">
            <w:pPr>
              <w:spacing w:line="256" w:lineRule="auto"/>
              <w:jc w:val="right"/>
              <w:rPr>
                <w:rFonts w:eastAsia="Calibri"/>
                <w:sz w:val="20"/>
                <w:szCs w:val="20"/>
              </w:rPr>
            </w:pPr>
            <w:r>
              <w:rPr>
                <w:rFonts w:eastAsia="Calibri"/>
                <w:sz w:val="20"/>
                <w:szCs w:val="20"/>
              </w:rPr>
              <w:t xml:space="preserve">1.5 hrs.; </w:t>
            </w:r>
          </w:p>
          <w:p w:rsidR="004857D1" w:rsidP="00243D23" w:rsidRDefault="004857D1" w14:paraId="7424970B" w14:textId="77777777">
            <w:pPr>
              <w:spacing w:line="256" w:lineRule="auto"/>
              <w:jc w:val="right"/>
              <w:rPr>
                <w:rFonts w:eastAsia="Calibri"/>
                <w:sz w:val="20"/>
                <w:szCs w:val="20"/>
              </w:rPr>
            </w:pPr>
            <w:r>
              <w:rPr>
                <w:rFonts w:eastAsia="Calibri"/>
                <w:sz w:val="20"/>
                <w:szCs w:val="20"/>
              </w:rPr>
              <w:t>$118.5</w:t>
            </w:r>
          </w:p>
        </w:tc>
        <w:tc>
          <w:tcPr>
            <w:tcW w:w="689"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3AC37C1B" w14:textId="77777777">
            <w:pPr>
              <w:spacing w:line="256" w:lineRule="auto"/>
              <w:jc w:val="right"/>
              <w:rPr>
                <w:rFonts w:eastAsia="Calibri"/>
                <w:sz w:val="20"/>
                <w:szCs w:val="20"/>
              </w:rPr>
            </w:pPr>
            <w:r>
              <w:rPr>
                <w:rFonts w:eastAsia="Calibri"/>
                <w:sz w:val="20"/>
                <w:szCs w:val="20"/>
              </w:rPr>
              <w:t xml:space="preserve">5,058.75 hrs.; </w:t>
            </w:r>
          </w:p>
          <w:p w:rsidR="004857D1" w:rsidP="00243D23" w:rsidRDefault="004857D1" w14:paraId="787CDC11" w14:textId="77777777">
            <w:pPr>
              <w:spacing w:line="256" w:lineRule="auto"/>
              <w:jc w:val="right"/>
              <w:rPr>
                <w:rFonts w:eastAsia="Calibri"/>
                <w:sz w:val="20"/>
                <w:szCs w:val="20"/>
              </w:rPr>
            </w:pPr>
            <w:r>
              <w:rPr>
                <w:rFonts w:eastAsia="Calibri"/>
                <w:sz w:val="20"/>
                <w:szCs w:val="20"/>
              </w:rPr>
              <w:t>$399,641</w:t>
            </w:r>
          </w:p>
        </w:tc>
        <w:tc>
          <w:tcPr>
            <w:tcW w:w="598"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69136438" w14:textId="77777777">
            <w:pPr>
              <w:spacing w:line="256" w:lineRule="auto"/>
              <w:jc w:val="right"/>
              <w:rPr>
                <w:rFonts w:eastAsia="Calibri"/>
                <w:sz w:val="20"/>
                <w:szCs w:val="20"/>
              </w:rPr>
            </w:pPr>
            <w:r>
              <w:rPr>
                <w:rFonts w:eastAsia="Calibri"/>
                <w:sz w:val="20"/>
                <w:szCs w:val="20"/>
              </w:rPr>
              <w:t>$148</w:t>
            </w:r>
          </w:p>
        </w:tc>
      </w:tr>
      <w:tr w:rsidR="004857D1" w:rsidTr="00243D23" w14:paraId="3AC6B42A" w14:textId="77777777">
        <w:trPr>
          <w:cantSplit/>
        </w:trPr>
        <w:tc>
          <w:tcPr>
            <w:tcW w:w="79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0B652931" w14:textId="77777777">
            <w:pPr>
              <w:spacing w:line="256" w:lineRule="auto"/>
              <w:rPr>
                <w:rFonts w:eastAsia="Calibri"/>
                <w:sz w:val="20"/>
                <w:szCs w:val="20"/>
              </w:rPr>
            </w:pPr>
            <w:r>
              <w:rPr>
                <w:rFonts w:eastAsia="Calibri"/>
                <w:sz w:val="20"/>
                <w:szCs w:val="20"/>
              </w:rPr>
              <w:lastRenderedPageBreak/>
              <w:t>Small Power Production Facility &gt; 1 MW</w:t>
            </w:r>
          </w:p>
        </w:tc>
        <w:tc>
          <w:tcPr>
            <w:tcW w:w="585"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42E9EABB" w14:textId="77777777">
            <w:pPr>
              <w:spacing w:line="256" w:lineRule="auto"/>
              <w:rPr>
                <w:rFonts w:eastAsia="Calibri"/>
                <w:sz w:val="20"/>
                <w:szCs w:val="20"/>
              </w:rPr>
            </w:pPr>
            <w:r>
              <w:rPr>
                <w:rFonts w:eastAsia="Calibri"/>
                <w:sz w:val="20"/>
                <w:szCs w:val="20"/>
              </w:rPr>
              <w:t>Application for FERC certification</w:t>
            </w:r>
          </w:p>
        </w:tc>
        <w:tc>
          <w:tcPr>
            <w:tcW w:w="626"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22DEEF09" w14:textId="77777777">
            <w:pPr>
              <w:spacing w:line="256" w:lineRule="auto"/>
              <w:jc w:val="right"/>
              <w:rPr>
                <w:rFonts w:eastAsia="Calibri"/>
                <w:sz w:val="20"/>
                <w:szCs w:val="20"/>
              </w:rPr>
            </w:pPr>
            <w:r>
              <w:rPr>
                <w:rFonts w:eastAsia="Calibri"/>
                <w:sz w:val="20"/>
                <w:szCs w:val="20"/>
              </w:rPr>
              <w:t>0</w:t>
            </w:r>
          </w:p>
        </w:tc>
        <w:tc>
          <w:tcPr>
            <w:tcW w:w="627"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D8503B6" w14:textId="77777777">
            <w:pPr>
              <w:spacing w:line="256" w:lineRule="auto"/>
              <w:jc w:val="right"/>
              <w:rPr>
                <w:rFonts w:eastAsia="Calibri"/>
                <w:sz w:val="20"/>
                <w:szCs w:val="20"/>
              </w:rPr>
            </w:pPr>
            <w:r>
              <w:rPr>
                <w:rFonts w:eastAsia="Calibri"/>
                <w:sz w:val="20"/>
                <w:szCs w:val="20"/>
              </w:rPr>
              <w:t>1.25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2EC35FB" w14:textId="77777777">
            <w:pPr>
              <w:spacing w:line="256" w:lineRule="auto"/>
              <w:jc w:val="right"/>
              <w:rPr>
                <w:rFonts w:eastAsia="Calibri"/>
                <w:sz w:val="20"/>
                <w:szCs w:val="20"/>
              </w:rPr>
            </w:pPr>
            <w:r>
              <w:rPr>
                <w:rFonts w:eastAsia="Calibri"/>
                <w:sz w:val="20"/>
                <w:szCs w:val="20"/>
              </w:rPr>
              <w:t>0</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4ADFC85B" w14:textId="77777777">
            <w:pPr>
              <w:spacing w:line="256" w:lineRule="auto"/>
              <w:jc w:val="right"/>
              <w:rPr>
                <w:rFonts w:eastAsia="Calibri"/>
                <w:sz w:val="20"/>
                <w:szCs w:val="20"/>
              </w:rPr>
            </w:pPr>
            <w:r>
              <w:rPr>
                <w:rFonts w:eastAsia="Calibri"/>
                <w:sz w:val="20"/>
                <w:szCs w:val="20"/>
              </w:rPr>
              <w:t xml:space="preserve">50 hrs.; </w:t>
            </w:r>
          </w:p>
          <w:p w:rsidR="004857D1" w:rsidP="00243D23" w:rsidRDefault="004857D1" w14:paraId="061633AA" w14:textId="77777777">
            <w:pPr>
              <w:spacing w:line="256" w:lineRule="auto"/>
              <w:jc w:val="right"/>
              <w:rPr>
                <w:rFonts w:eastAsia="Calibri"/>
                <w:sz w:val="20"/>
                <w:szCs w:val="20"/>
              </w:rPr>
            </w:pPr>
            <w:r>
              <w:rPr>
                <w:rFonts w:eastAsia="Calibri"/>
                <w:sz w:val="20"/>
                <w:szCs w:val="20"/>
              </w:rPr>
              <w:t>$3,950</w:t>
            </w:r>
          </w:p>
        </w:tc>
        <w:tc>
          <w:tcPr>
            <w:tcW w:w="689"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1CC8A3C0" w14:textId="77777777">
            <w:pPr>
              <w:spacing w:line="256" w:lineRule="auto"/>
              <w:jc w:val="right"/>
              <w:rPr>
                <w:rFonts w:eastAsia="Calibri"/>
                <w:sz w:val="20"/>
                <w:szCs w:val="20"/>
              </w:rPr>
            </w:pPr>
            <w:r>
              <w:rPr>
                <w:rFonts w:eastAsia="Calibri"/>
                <w:sz w:val="20"/>
                <w:szCs w:val="20"/>
              </w:rPr>
              <w:t xml:space="preserve">0 hrs.; </w:t>
            </w:r>
          </w:p>
          <w:p w:rsidR="004857D1" w:rsidP="00243D23" w:rsidRDefault="004857D1" w14:paraId="583ECFEB" w14:textId="77777777">
            <w:pPr>
              <w:spacing w:line="256" w:lineRule="auto"/>
              <w:jc w:val="right"/>
              <w:rPr>
                <w:rFonts w:eastAsia="Calibri"/>
                <w:sz w:val="20"/>
                <w:szCs w:val="20"/>
              </w:rPr>
            </w:pPr>
            <w:r>
              <w:rPr>
                <w:rFonts w:eastAsia="Calibri"/>
                <w:sz w:val="20"/>
                <w:szCs w:val="20"/>
              </w:rPr>
              <w:t>$0</w:t>
            </w:r>
          </w:p>
        </w:tc>
        <w:tc>
          <w:tcPr>
            <w:tcW w:w="598"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7CBB5C09" w14:textId="77777777">
            <w:pPr>
              <w:spacing w:line="256" w:lineRule="auto"/>
              <w:jc w:val="right"/>
              <w:rPr>
                <w:rFonts w:eastAsia="Calibri"/>
                <w:sz w:val="20"/>
                <w:szCs w:val="20"/>
              </w:rPr>
            </w:pPr>
            <w:r>
              <w:rPr>
                <w:rFonts w:eastAsia="Calibri"/>
                <w:sz w:val="20"/>
                <w:szCs w:val="20"/>
              </w:rPr>
              <w:t>$0</w:t>
            </w:r>
          </w:p>
        </w:tc>
      </w:tr>
      <w:tr w:rsidR="004857D1" w:rsidTr="00243D23" w14:paraId="74C98AF5" w14:textId="77777777">
        <w:trPr>
          <w:cantSplit/>
        </w:trPr>
        <w:tc>
          <w:tcPr>
            <w:tcW w:w="79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73FA8280" w14:textId="77777777">
            <w:pPr>
              <w:spacing w:line="256" w:lineRule="auto"/>
              <w:rPr>
                <w:rFonts w:eastAsia="Calibri"/>
                <w:sz w:val="20"/>
                <w:szCs w:val="20"/>
              </w:rPr>
            </w:pPr>
            <w:r>
              <w:rPr>
                <w:rFonts w:eastAsia="Calibri"/>
                <w:sz w:val="20"/>
                <w:szCs w:val="20"/>
              </w:rPr>
              <w:t>Cogeneration and Small Power Production Facility ≤ 1 MW (Self-Certification)</w:t>
            </w:r>
            <w:r>
              <w:rPr>
                <w:rFonts w:eastAsia="Calibri"/>
                <w:b/>
                <w:szCs w:val="26"/>
                <w:vertAlign w:val="superscript"/>
              </w:rPr>
              <w:footnoteReference w:id="12"/>
            </w:r>
          </w:p>
        </w:tc>
        <w:tc>
          <w:tcPr>
            <w:tcW w:w="585"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6C6D6122" w14:textId="77777777">
            <w:pPr>
              <w:spacing w:line="256" w:lineRule="auto"/>
              <w:rPr>
                <w:rFonts w:eastAsia="Calibri"/>
                <w:sz w:val="20"/>
                <w:szCs w:val="20"/>
              </w:rPr>
            </w:pPr>
            <w:r>
              <w:rPr>
                <w:rFonts w:eastAsia="Calibri"/>
                <w:sz w:val="20"/>
                <w:szCs w:val="20"/>
              </w:rPr>
              <w:t>Self-certification</w:t>
            </w:r>
          </w:p>
        </w:tc>
        <w:tc>
          <w:tcPr>
            <w:tcW w:w="626"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3B344046" w14:textId="77777777">
            <w:pPr>
              <w:spacing w:line="256" w:lineRule="auto"/>
              <w:jc w:val="right"/>
              <w:rPr>
                <w:rFonts w:eastAsia="Calibri"/>
                <w:sz w:val="20"/>
                <w:szCs w:val="20"/>
              </w:rPr>
            </w:pPr>
            <w:r>
              <w:rPr>
                <w:rFonts w:eastAsia="Calibri"/>
                <w:sz w:val="20"/>
                <w:szCs w:val="20"/>
              </w:rPr>
              <w:t>692</w:t>
            </w:r>
          </w:p>
        </w:tc>
        <w:tc>
          <w:tcPr>
            <w:tcW w:w="627"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E929F0F" w14:textId="77777777">
            <w:pPr>
              <w:spacing w:line="256" w:lineRule="auto"/>
              <w:jc w:val="right"/>
              <w:rPr>
                <w:rFonts w:eastAsia="Calibri"/>
                <w:sz w:val="20"/>
                <w:szCs w:val="20"/>
              </w:rPr>
            </w:pPr>
            <w:r>
              <w:rPr>
                <w:rFonts w:eastAsia="Calibri"/>
                <w:sz w:val="20"/>
                <w:szCs w:val="20"/>
              </w:rPr>
              <w:t>1.25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39ECF64A" w14:textId="77777777">
            <w:pPr>
              <w:spacing w:line="256" w:lineRule="auto"/>
              <w:jc w:val="right"/>
              <w:rPr>
                <w:rFonts w:eastAsia="Calibri"/>
                <w:sz w:val="20"/>
                <w:szCs w:val="20"/>
              </w:rPr>
            </w:pPr>
            <w:r>
              <w:rPr>
                <w:rFonts w:eastAsia="Calibri"/>
                <w:sz w:val="20"/>
                <w:szCs w:val="20"/>
              </w:rPr>
              <w:t>865</w:t>
            </w: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2B147AE" w14:textId="77777777">
            <w:pPr>
              <w:spacing w:line="256" w:lineRule="auto"/>
              <w:jc w:val="right"/>
              <w:rPr>
                <w:rFonts w:eastAsia="Calibri"/>
                <w:sz w:val="20"/>
                <w:szCs w:val="20"/>
              </w:rPr>
            </w:pPr>
            <w:r>
              <w:rPr>
                <w:rFonts w:eastAsia="Calibri"/>
                <w:sz w:val="20"/>
                <w:szCs w:val="20"/>
              </w:rPr>
              <w:t xml:space="preserve">1.5 hrs.; </w:t>
            </w:r>
          </w:p>
          <w:p w:rsidR="004857D1" w:rsidP="00243D23" w:rsidRDefault="004857D1" w14:paraId="7617AD08" w14:textId="77777777">
            <w:pPr>
              <w:spacing w:line="256" w:lineRule="auto"/>
              <w:jc w:val="right"/>
              <w:rPr>
                <w:rFonts w:eastAsia="Calibri"/>
                <w:sz w:val="20"/>
                <w:szCs w:val="20"/>
              </w:rPr>
            </w:pPr>
            <w:r>
              <w:rPr>
                <w:rFonts w:eastAsia="Calibri"/>
                <w:sz w:val="20"/>
                <w:szCs w:val="20"/>
              </w:rPr>
              <w:t>$118.5</w:t>
            </w:r>
          </w:p>
        </w:tc>
        <w:tc>
          <w:tcPr>
            <w:tcW w:w="689"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05560F69" w14:textId="77777777">
            <w:pPr>
              <w:spacing w:line="256" w:lineRule="auto"/>
              <w:jc w:val="right"/>
              <w:rPr>
                <w:rFonts w:eastAsia="Calibri"/>
                <w:sz w:val="20"/>
                <w:szCs w:val="20"/>
              </w:rPr>
            </w:pPr>
            <w:r>
              <w:rPr>
                <w:rFonts w:eastAsia="Calibri"/>
                <w:sz w:val="20"/>
                <w:szCs w:val="20"/>
              </w:rPr>
              <w:t xml:space="preserve">1,297.5 hrs.; </w:t>
            </w:r>
          </w:p>
          <w:p w:rsidR="004857D1" w:rsidP="00243D23" w:rsidRDefault="004857D1" w14:paraId="5199DA3A" w14:textId="77777777">
            <w:pPr>
              <w:spacing w:line="256" w:lineRule="auto"/>
              <w:jc w:val="right"/>
              <w:rPr>
                <w:rFonts w:eastAsia="Calibri"/>
                <w:sz w:val="20"/>
                <w:szCs w:val="20"/>
              </w:rPr>
            </w:pPr>
            <w:r>
              <w:rPr>
                <w:rFonts w:eastAsia="Calibri"/>
                <w:sz w:val="20"/>
                <w:szCs w:val="20"/>
              </w:rPr>
              <w:t>$102,503</w:t>
            </w:r>
          </w:p>
        </w:tc>
        <w:tc>
          <w:tcPr>
            <w:tcW w:w="598"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1655CDEC" w14:textId="77777777">
            <w:pPr>
              <w:spacing w:line="256" w:lineRule="auto"/>
              <w:jc w:val="right"/>
              <w:rPr>
                <w:rFonts w:eastAsia="Calibri"/>
                <w:sz w:val="20"/>
                <w:szCs w:val="20"/>
              </w:rPr>
            </w:pPr>
            <w:r>
              <w:rPr>
                <w:rFonts w:eastAsia="Calibri"/>
                <w:sz w:val="20"/>
                <w:szCs w:val="20"/>
              </w:rPr>
              <w:t>$148</w:t>
            </w:r>
          </w:p>
        </w:tc>
      </w:tr>
      <w:tr w:rsidR="004857D1" w:rsidTr="00243D23" w14:paraId="5F167DD2" w14:textId="77777777">
        <w:trPr>
          <w:cantSplit/>
        </w:trPr>
        <w:tc>
          <w:tcPr>
            <w:tcW w:w="79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72E4C9FE" w14:textId="77777777">
            <w:pPr>
              <w:spacing w:line="256" w:lineRule="auto"/>
              <w:rPr>
                <w:rFonts w:eastAsia="Calibri"/>
                <w:b/>
                <w:sz w:val="20"/>
                <w:szCs w:val="20"/>
              </w:rPr>
            </w:pPr>
            <w:r>
              <w:rPr>
                <w:rFonts w:eastAsia="Calibri"/>
                <w:b/>
                <w:sz w:val="20"/>
                <w:szCs w:val="20"/>
              </w:rPr>
              <w:t>TOTAL</w:t>
            </w:r>
          </w:p>
        </w:tc>
        <w:tc>
          <w:tcPr>
            <w:tcW w:w="585" w:type="pct"/>
            <w:tcBorders>
              <w:top w:val="single" w:color="auto" w:sz="4" w:space="0"/>
              <w:left w:val="single" w:color="auto" w:sz="4" w:space="0"/>
              <w:bottom w:val="single" w:color="auto" w:sz="4" w:space="0"/>
              <w:right w:val="single" w:color="auto" w:sz="4" w:space="0"/>
            </w:tcBorders>
            <w:vAlign w:val="center"/>
          </w:tcPr>
          <w:p w:rsidR="004857D1" w:rsidP="00243D23" w:rsidRDefault="004857D1" w14:paraId="4E26122E" w14:textId="77777777">
            <w:pPr>
              <w:spacing w:line="256" w:lineRule="auto"/>
              <w:rPr>
                <w:rFonts w:eastAsia="Calibri"/>
                <w:b/>
                <w:sz w:val="20"/>
                <w:szCs w:val="20"/>
              </w:rPr>
            </w:pPr>
          </w:p>
        </w:tc>
        <w:tc>
          <w:tcPr>
            <w:tcW w:w="626"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259440C2" w14:textId="77777777">
            <w:pPr>
              <w:spacing w:line="256" w:lineRule="auto"/>
              <w:jc w:val="right"/>
              <w:rPr>
                <w:rFonts w:eastAsia="Calibri"/>
                <w:b/>
                <w:sz w:val="20"/>
                <w:szCs w:val="20"/>
              </w:rPr>
            </w:pPr>
            <w:r>
              <w:rPr>
                <w:rFonts w:eastAsia="Calibri"/>
                <w:b/>
                <w:sz w:val="20"/>
                <w:szCs w:val="20"/>
              </w:rPr>
              <w:t>3,454</w:t>
            </w:r>
          </w:p>
        </w:tc>
        <w:tc>
          <w:tcPr>
            <w:tcW w:w="627" w:type="pct"/>
            <w:tcBorders>
              <w:top w:val="single" w:color="auto" w:sz="4" w:space="0"/>
              <w:left w:val="single" w:color="auto" w:sz="4" w:space="0"/>
              <w:bottom w:val="single" w:color="auto" w:sz="4" w:space="0"/>
              <w:right w:val="single" w:color="auto" w:sz="4" w:space="0"/>
            </w:tcBorders>
            <w:shd w:val="clear" w:color="auto" w:fill="BFBFBF"/>
            <w:vAlign w:val="center"/>
          </w:tcPr>
          <w:p w:rsidR="004857D1" w:rsidP="00243D23" w:rsidRDefault="004857D1" w14:paraId="43852858" w14:textId="77777777">
            <w:pPr>
              <w:spacing w:line="256" w:lineRule="auto"/>
              <w:jc w:val="right"/>
              <w:rPr>
                <w:rFonts w:eastAsia="Calibri"/>
                <w:b/>
                <w:sz w:val="20"/>
                <w:szCs w:val="20"/>
              </w:rPr>
            </w:pPr>
          </w:p>
        </w:tc>
        <w:tc>
          <w:tcPr>
            <w:tcW w:w="542"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666997F3" w14:textId="77777777">
            <w:pPr>
              <w:spacing w:line="256" w:lineRule="auto"/>
              <w:jc w:val="right"/>
              <w:rPr>
                <w:rFonts w:eastAsia="Calibri"/>
                <w:b/>
                <w:sz w:val="20"/>
                <w:szCs w:val="20"/>
              </w:rPr>
            </w:pPr>
            <w:r>
              <w:rPr>
                <w:rFonts w:eastAsia="Calibri"/>
                <w:b/>
                <w:sz w:val="20"/>
                <w:szCs w:val="20"/>
              </w:rPr>
              <w:t>4,317.5</w:t>
            </w:r>
          </w:p>
        </w:tc>
        <w:tc>
          <w:tcPr>
            <w:tcW w:w="542" w:type="pct"/>
            <w:tcBorders>
              <w:top w:val="single" w:color="auto" w:sz="4" w:space="0"/>
              <w:left w:val="single" w:color="auto" w:sz="4" w:space="0"/>
              <w:bottom w:val="single" w:color="auto" w:sz="4" w:space="0"/>
              <w:right w:val="single" w:color="auto" w:sz="4" w:space="0"/>
            </w:tcBorders>
            <w:shd w:val="clear" w:color="auto" w:fill="BFBFBF"/>
            <w:vAlign w:val="center"/>
          </w:tcPr>
          <w:p w:rsidR="004857D1" w:rsidP="00243D23" w:rsidRDefault="004857D1" w14:paraId="7BF73943" w14:textId="77777777">
            <w:pPr>
              <w:spacing w:line="256" w:lineRule="auto"/>
              <w:jc w:val="right"/>
              <w:rPr>
                <w:rFonts w:eastAsia="Calibri"/>
                <w:b/>
                <w:sz w:val="20"/>
                <w:szCs w:val="20"/>
              </w:rPr>
            </w:pPr>
          </w:p>
        </w:tc>
        <w:tc>
          <w:tcPr>
            <w:tcW w:w="689" w:type="pct"/>
            <w:tcBorders>
              <w:top w:val="single" w:color="auto" w:sz="4" w:space="0"/>
              <w:left w:val="single" w:color="auto" w:sz="4" w:space="0"/>
              <w:bottom w:val="single" w:color="auto" w:sz="4" w:space="0"/>
              <w:right w:val="single" w:color="auto" w:sz="4" w:space="0"/>
            </w:tcBorders>
            <w:vAlign w:val="center"/>
            <w:hideMark/>
          </w:tcPr>
          <w:p w:rsidR="004857D1" w:rsidP="00243D23" w:rsidRDefault="004857D1" w14:paraId="565CC66F" w14:textId="77777777">
            <w:pPr>
              <w:spacing w:line="256" w:lineRule="auto"/>
              <w:jc w:val="right"/>
              <w:rPr>
                <w:rFonts w:eastAsia="Calibri"/>
                <w:b/>
                <w:sz w:val="20"/>
                <w:szCs w:val="20"/>
              </w:rPr>
            </w:pPr>
            <w:r>
              <w:rPr>
                <w:rFonts w:eastAsia="Calibri"/>
                <w:b/>
                <w:sz w:val="20"/>
                <w:szCs w:val="20"/>
              </w:rPr>
              <w:t>6,536.875 hrs.; $516,413.13</w:t>
            </w:r>
          </w:p>
        </w:tc>
        <w:tc>
          <w:tcPr>
            <w:tcW w:w="598" w:type="pct"/>
            <w:tcBorders>
              <w:top w:val="single" w:color="auto" w:sz="4" w:space="0"/>
              <w:left w:val="single" w:color="auto" w:sz="4" w:space="0"/>
              <w:bottom w:val="single" w:color="auto" w:sz="4" w:space="0"/>
              <w:right w:val="single" w:color="auto" w:sz="4" w:space="0"/>
            </w:tcBorders>
            <w:shd w:val="clear" w:color="auto" w:fill="BFBFBF"/>
            <w:vAlign w:val="center"/>
          </w:tcPr>
          <w:p w:rsidR="004857D1" w:rsidP="00243D23" w:rsidRDefault="004857D1" w14:paraId="40357D58" w14:textId="77777777">
            <w:pPr>
              <w:spacing w:line="256" w:lineRule="auto"/>
              <w:jc w:val="right"/>
              <w:rPr>
                <w:rFonts w:eastAsia="Calibri"/>
                <w:sz w:val="20"/>
                <w:szCs w:val="20"/>
              </w:rPr>
            </w:pPr>
          </w:p>
        </w:tc>
      </w:tr>
    </w:tbl>
    <w:p w:rsidR="009E4DD8" w:rsidP="00BB6095" w:rsidRDefault="009E4DD8" w14:paraId="15F824A9" w14:textId="76933E52">
      <w:pPr>
        <w:widowControl/>
      </w:pPr>
    </w:p>
    <w:p w:rsidR="00D7191B" w:rsidP="00BB6095" w:rsidRDefault="00D7191B" w14:paraId="09CABED6" w14:textId="77777777">
      <w:pPr>
        <w:widowControl/>
      </w:pPr>
    </w:p>
    <w:p w:rsidRPr="001D2EC1" w:rsidR="000A3061" w:rsidP="00BB6095" w:rsidRDefault="000A3061" w14:paraId="6BA315FF" w14:textId="77777777">
      <w:pPr>
        <w:widowControl/>
      </w:pPr>
    </w:p>
    <w:tbl>
      <w:tblPr>
        <w:tblW w:w="566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53"/>
        <w:gridCol w:w="1185"/>
        <w:gridCol w:w="1308"/>
        <w:gridCol w:w="1227"/>
        <w:gridCol w:w="1132"/>
        <w:gridCol w:w="1017"/>
        <w:gridCol w:w="1840"/>
        <w:gridCol w:w="1435"/>
      </w:tblGrid>
      <w:tr w:rsidRPr="009E4DD8" w:rsidR="009E4DD8" w:rsidTr="005F24C0" w14:paraId="20CA7CA6"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009E4DD8" w:rsidP="005F24C0" w:rsidRDefault="009E4DD8" w14:paraId="6A8FD716" w14:textId="77777777">
            <w:pPr>
              <w:tabs>
                <w:tab w:val="left" w:pos="10125"/>
              </w:tabs>
              <w:ind w:right="631"/>
              <w:jc w:val="center"/>
              <w:rPr>
                <w:rFonts w:eastAsia="Calibri"/>
                <w:b/>
                <w:sz w:val="20"/>
                <w:szCs w:val="20"/>
              </w:rPr>
            </w:pPr>
            <w:r>
              <w:rPr>
                <w:rFonts w:eastAsia="Calibri"/>
                <w:b/>
                <w:sz w:val="20"/>
                <w:szCs w:val="20"/>
              </w:rPr>
              <w:t>TABLE 2</w:t>
            </w:r>
          </w:p>
          <w:p w:rsidRPr="00F32C3C" w:rsidR="00EC27E6" w:rsidP="00EC27E6" w:rsidRDefault="009E4DD8" w14:paraId="2B3B6626" w14:textId="77777777">
            <w:pPr>
              <w:jc w:val="center"/>
              <w:rPr>
                <w:rFonts w:eastAsia="Calibri"/>
                <w:b/>
                <w:sz w:val="20"/>
                <w:szCs w:val="20"/>
              </w:rPr>
            </w:pPr>
            <w:r w:rsidRPr="009E4DD8">
              <w:rPr>
                <w:rFonts w:eastAsia="Calibri"/>
                <w:b/>
                <w:sz w:val="20"/>
                <w:szCs w:val="20"/>
              </w:rPr>
              <w:t>FERC-556</w:t>
            </w:r>
            <w:r w:rsidR="00EC27E6">
              <w:rPr>
                <w:rFonts w:eastAsia="Calibri"/>
                <w:b/>
                <w:sz w:val="20"/>
                <w:szCs w:val="20"/>
              </w:rPr>
              <w:t>A</w:t>
            </w:r>
            <w:r w:rsidRPr="009E4DD8">
              <w:rPr>
                <w:rFonts w:eastAsia="Calibri"/>
                <w:b/>
                <w:sz w:val="20"/>
                <w:szCs w:val="20"/>
              </w:rPr>
              <w:t xml:space="preserve">, </w:t>
            </w:r>
            <w:r w:rsidR="00896FA6">
              <w:rPr>
                <w:rFonts w:eastAsia="Calibri"/>
                <w:b/>
                <w:sz w:val="20"/>
                <w:szCs w:val="20"/>
              </w:rPr>
              <w:t xml:space="preserve">as </w:t>
            </w:r>
            <w:r w:rsidR="00EC27E6">
              <w:rPr>
                <w:rFonts w:eastAsia="Calibri"/>
                <w:b/>
                <w:sz w:val="20"/>
                <w:szCs w:val="20"/>
              </w:rPr>
              <w:t xml:space="preserve">proposed in </w:t>
            </w:r>
            <w:r w:rsidRPr="009E4DD8">
              <w:rPr>
                <w:rFonts w:eastAsia="Calibri"/>
                <w:b/>
                <w:sz w:val="20"/>
                <w:szCs w:val="20"/>
              </w:rPr>
              <w:t>the NOPR in Docket Nos. RM19-</w:t>
            </w:r>
            <w:r w:rsidR="00EC27E6">
              <w:rPr>
                <w:rFonts w:eastAsia="Calibri"/>
                <w:b/>
                <w:sz w:val="20"/>
                <w:szCs w:val="22"/>
              </w:rPr>
              <w:t>15</w:t>
            </w:r>
            <w:r w:rsidRPr="009E4DD8">
              <w:rPr>
                <w:rFonts w:eastAsia="Calibri"/>
                <w:b/>
                <w:sz w:val="20"/>
                <w:szCs w:val="20"/>
              </w:rPr>
              <w:t xml:space="preserve"> and AD16-16</w:t>
            </w:r>
            <w:r w:rsidRPr="00F32C3C" w:rsidR="00F32C3C">
              <w:rPr>
                <w:rStyle w:val="FootnoteReference"/>
                <w:rFonts w:eastAsia="Calibri"/>
                <w:b/>
                <w:sz w:val="20"/>
                <w:szCs w:val="20"/>
                <w:vertAlign w:val="superscript"/>
              </w:rPr>
              <w:footnoteReference w:id="13"/>
            </w:r>
            <w:r w:rsidR="00F32C3C">
              <w:rPr>
                <w:rFonts w:eastAsia="Calibri"/>
                <w:b/>
                <w:sz w:val="20"/>
                <w:szCs w:val="20"/>
                <w:vertAlign w:val="superscript"/>
              </w:rPr>
              <w:t xml:space="preserve">, </w:t>
            </w:r>
            <w:r w:rsidR="00F32C3C">
              <w:rPr>
                <w:rStyle w:val="FootnoteReference"/>
                <w:rFonts w:eastAsia="Calibri"/>
                <w:b/>
                <w:sz w:val="20"/>
                <w:szCs w:val="20"/>
                <w:vertAlign w:val="superscript"/>
              </w:rPr>
              <w:footnoteReference w:id="14"/>
            </w:r>
          </w:p>
        </w:tc>
      </w:tr>
      <w:tr w:rsidRPr="009E4DD8" w:rsidR="008F0D53" w:rsidTr="008F0D53" w14:paraId="24781687" w14:textId="77777777">
        <w:trPr>
          <w:cantSplit/>
        </w:trPr>
        <w:tc>
          <w:tcPr>
            <w:tcW w:w="68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131CB2AA" w14:textId="77777777">
            <w:pPr>
              <w:jc w:val="center"/>
              <w:rPr>
                <w:rFonts w:eastAsia="Calibri"/>
                <w:b/>
                <w:sz w:val="20"/>
                <w:szCs w:val="20"/>
              </w:rPr>
            </w:pPr>
            <w:r w:rsidRPr="009E4DD8">
              <w:rPr>
                <w:rFonts w:eastAsia="Calibri"/>
                <w:b/>
                <w:sz w:val="20"/>
                <w:szCs w:val="20"/>
              </w:rPr>
              <w:t>Facility Type</w:t>
            </w:r>
          </w:p>
        </w:tc>
        <w:tc>
          <w:tcPr>
            <w:tcW w:w="55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4EFEECBD" w14:textId="77777777">
            <w:pPr>
              <w:jc w:val="center"/>
              <w:rPr>
                <w:rFonts w:eastAsia="Calibri"/>
                <w:b/>
                <w:sz w:val="20"/>
                <w:szCs w:val="20"/>
              </w:rPr>
            </w:pPr>
            <w:r w:rsidRPr="009E4DD8">
              <w:rPr>
                <w:rFonts w:eastAsia="Calibri"/>
                <w:b/>
                <w:sz w:val="20"/>
                <w:szCs w:val="20"/>
              </w:rPr>
              <w:t>Filing Type</w:t>
            </w:r>
          </w:p>
        </w:tc>
        <w:tc>
          <w:tcPr>
            <w:tcW w:w="6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24CCE55B" w14:textId="77777777">
            <w:pPr>
              <w:jc w:val="center"/>
              <w:rPr>
                <w:rFonts w:eastAsia="Calibri"/>
                <w:b/>
                <w:sz w:val="20"/>
                <w:szCs w:val="20"/>
              </w:rPr>
            </w:pPr>
            <w:r w:rsidRPr="009E4DD8">
              <w:rPr>
                <w:rFonts w:eastAsia="Calibri"/>
                <w:b/>
                <w:sz w:val="20"/>
                <w:szCs w:val="20"/>
              </w:rPr>
              <w:t>Number of Respondents</w:t>
            </w:r>
            <w:r w:rsidRPr="009E4DD8">
              <w:rPr>
                <w:rFonts w:eastAsia="Calibri"/>
                <w:b/>
                <w:sz w:val="20"/>
                <w:szCs w:val="20"/>
              </w:rPr>
              <w:br/>
              <w:t>(1)</w:t>
            </w:r>
          </w:p>
        </w:tc>
        <w:tc>
          <w:tcPr>
            <w:tcW w:w="57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63878D9A" w14:textId="77777777">
            <w:pPr>
              <w:jc w:val="center"/>
              <w:rPr>
                <w:rFonts w:eastAsia="Calibri"/>
                <w:b/>
                <w:sz w:val="20"/>
                <w:szCs w:val="20"/>
              </w:rPr>
            </w:pPr>
            <w:r w:rsidRPr="009E4DD8">
              <w:rPr>
                <w:rFonts w:eastAsia="Calibri"/>
                <w:b/>
                <w:sz w:val="20"/>
                <w:szCs w:val="20"/>
              </w:rPr>
              <w:t>Annual Number of Responses per Respondent</w:t>
            </w:r>
          </w:p>
          <w:p w:rsidRPr="009E4DD8" w:rsidR="009E4DD8" w:rsidP="00EC27E6" w:rsidRDefault="009E4DD8" w14:paraId="625039F7" w14:textId="77777777">
            <w:pPr>
              <w:jc w:val="center"/>
              <w:rPr>
                <w:rFonts w:eastAsia="Calibri"/>
                <w:b/>
                <w:sz w:val="20"/>
                <w:szCs w:val="20"/>
              </w:rPr>
            </w:pPr>
            <w:r w:rsidRPr="009E4DD8">
              <w:rPr>
                <w:rFonts w:eastAsia="Calibri"/>
                <w:b/>
                <w:sz w:val="20"/>
                <w:szCs w:val="20"/>
              </w:rPr>
              <w:t>(2)</w:t>
            </w:r>
          </w:p>
        </w:tc>
        <w:tc>
          <w:tcPr>
            <w:tcW w:w="53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3ACC9D96" w14:textId="77777777">
            <w:pPr>
              <w:jc w:val="center"/>
              <w:rPr>
                <w:rFonts w:eastAsia="Calibri"/>
                <w:b/>
                <w:sz w:val="20"/>
                <w:szCs w:val="20"/>
              </w:rPr>
            </w:pPr>
            <w:r w:rsidRPr="009E4DD8">
              <w:rPr>
                <w:rFonts w:eastAsia="Calibri"/>
                <w:b/>
                <w:sz w:val="20"/>
                <w:szCs w:val="20"/>
              </w:rPr>
              <w:t>Total Number of Responses (1)*(2)=(3)</w:t>
            </w:r>
          </w:p>
        </w:tc>
        <w:tc>
          <w:tcPr>
            <w:tcW w:w="4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56C649B3" w14:textId="77777777">
            <w:pPr>
              <w:jc w:val="center"/>
              <w:rPr>
                <w:rFonts w:eastAsia="Calibri"/>
                <w:b/>
                <w:sz w:val="20"/>
                <w:szCs w:val="20"/>
              </w:rPr>
            </w:pPr>
            <w:r w:rsidRPr="009E4DD8">
              <w:rPr>
                <w:rFonts w:eastAsia="Calibri"/>
                <w:b/>
                <w:sz w:val="20"/>
                <w:szCs w:val="20"/>
              </w:rPr>
              <w:t>Average Burden Hours &amp; Cost Per Response</w:t>
            </w:r>
          </w:p>
          <w:p w:rsidRPr="009E4DD8" w:rsidR="009E4DD8" w:rsidP="00EC27E6" w:rsidRDefault="009E4DD8" w14:paraId="10063970" w14:textId="77777777">
            <w:pPr>
              <w:jc w:val="center"/>
              <w:rPr>
                <w:rFonts w:eastAsia="Calibri"/>
                <w:b/>
                <w:sz w:val="20"/>
                <w:szCs w:val="20"/>
              </w:rPr>
            </w:pPr>
            <w:r w:rsidRPr="009E4DD8">
              <w:rPr>
                <w:rFonts w:eastAsia="Calibri"/>
                <w:b/>
                <w:sz w:val="20"/>
                <w:szCs w:val="20"/>
              </w:rPr>
              <w:t>(4)</w:t>
            </w:r>
          </w:p>
        </w:tc>
        <w:tc>
          <w:tcPr>
            <w:tcW w:w="8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59D63642" w14:textId="77777777">
            <w:pPr>
              <w:jc w:val="center"/>
              <w:rPr>
                <w:rFonts w:eastAsia="Calibri"/>
                <w:b/>
                <w:sz w:val="20"/>
                <w:szCs w:val="20"/>
              </w:rPr>
            </w:pPr>
            <w:r w:rsidRPr="009E4DD8">
              <w:rPr>
                <w:rFonts w:eastAsia="Calibri"/>
                <w:b/>
                <w:sz w:val="20"/>
                <w:szCs w:val="20"/>
              </w:rPr>
              <w:t>Total Annual Burden Hours &amp; Total Annual Cost</w:t>
            </w:r>
          </w:p>
          <w:p w:rsidRPr="009E4DD8" w:rsidR="009E4DD8" w:rsidP="00EC27E6" w:rsidRDefault="009E4DD8" w14:paraId="09EC6124" w14:textId="77777777">
            <w:pPr>
              <w:jc w:val="center"/>
              <w:rPr>
                <w:rFonts w:eastAsia="Calibri"/>
                <w:b/>
                <w:sz w:val="20"/>
                <w:szCs w:val="20"/>
              </w:rPr>
            </w:pPr>
            <w:r w:rsidRPr="009E4DD8">
              <w:rPr>
                <w:rFonts w:eastAsia="Calibri"/>
                <w:b/>
                <w:sz w:val="20"/>
                <w:szCs w:val="20"/>
              </w:rPr>
              <w:t>(3)*(4)=(5)</w:t>
            </w:r>
          </w:p>
        </w:tc>
        <w:tc>
          <w:tcPr>
            <w:tcW w:w="67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E4DD8" w:rsidR="009E4DD8" w:rsidP="00EC27E6" w:rsidRDefault="009E4DD8" w14:paraId="4C57496A" w14:textId="77777777">
            <w:pPr>
              <w:jc w:val="center"/>
              <w:rPr>
                <w:rFonts w:eastAsia="Calibri"/>
                <w:b/>
                <w:sz w:val="20"/>
                <w:szCs w:val="20"/>
              </w:rPr>
            </w:pPr>
            <w:r w:rsidRPr="009E4DD8">
              <w:rPr>
                <w:rFonts w:eastAsia="Calibri"/>
                <w:b/>
                <w:sz w:val="20"/>
                <w:szCs w:val="20"/>
              </w:rPr>
              <w:t>Cost per Respondent</w:t>
            </w:r>
          </w:p>
          <w:p w:rsidRPr="009E4DD8" w:rsidR="009E4DD8" w:rsidP="00EC27E6" w:rsidRDefault="009E4DD8" w14:paraId="4BA84F35" w14:textId="77777777">
            <w:pPr>
              <w:jc w:val="center"/>
              <w:rPr>
                <w:rFonts w:eastAsia="Calibri"/>
                <w:b/>
                <w:sz w:val="20"/>
                <w:szCs w:val="20"/>
              </w:rPr>
            </w:pPr>
            <w:r w:rsidRPr="009E4DD8">
              <w:rPr>
                <w:rFonts w:eastAsia="Calibri"/>
                <w:b/>
                <w:sz w:val="20"/>
                <w:szCs w:val="20"/>
              </w:rPr>
              <w:t xml:space="preserve"> ($)</w:t>
            </w:r>
          </w:p>
          <w:p w:rsidRPr="009E4DD8" w:rsidR="009E4DD8" w:rsidP="00EC27E6" w:rsidRDefault="009E4DD8" w14:paraId="12F38D15" w14:textId="77777777">
            <w:pPr>
              <w:jc w:val="center"/>
              <w:rPr>
                <w:rFonts w:eastAsia="Calibri"/>
                <w:b/>
                <w:sz w:val="20"/>
                <w:szCs w:val="20"/>
              </w:rPr>
            </w:pPr>
            <w:r w:rsidRPr="009E4DD8">
              <w:rPr>
                <w:rFonts w:eastAsia="Calibri"/>
                <w:b/>
                <w:sz w:val="20"/>
                <w:szCs w:val="20"/>
              </w:rPr>
              <w:t>(5)÷(1)</w:t>
            </w:r>
          </w:p>
        </w:tc>
      </w:tr>
      <w:tr w:rsidRPr="009E4DD8" w:rsidR="008F0D53" w:rsidTr="008F0D53" w14:paraId="6CE23FF8" w14:textId="77777777">
        <w:trPr>
          <w:cantSplit/>
        </w:trPr>
        <w:tc>
          <w:tcPr>
            <w:tcW w:w="686" w:type="pct"/>
            <w:tcBorders>
              <w:top w:val="single" w:color="auto" w:sz="4" w:space="0"/>
              <w:left w:val="single" w:color="auto" w:sz="4" w:space="0"/>
              <w:bottom w:val="single" w:color="auto" w:sz="4" w:space="0"/>
              <w:right w:val="single" w:color="auto" w:sz="4" w:space="0"/>
            </w:tcBorders>
            <w:hideMark/>
          </w:tcPr>
          <w:p w:rsidRPr="009E4DD8" w:rsidR="009E4DD8" w:rsidP="00EC27E6" w:rsidRDefault="009E4DD8" w14:paraId="2E04FFDA" w14:textId="77777777">
            <w:pPr>
              <w:rPr>
                <w:rFonts w:eastAsia="Calibri"/>
                <w:sz w:val="20"/>
                <w:szCs w:val="20"/>
              </w:rPr>
            </w:pPr>
            <w:r w:rsidRPr="009E4DD8">
              <w:rPr>
                <w:rFonts w:eastAsia="Calibri"/>
                <w:sz w:val="20"/>
                <w:szCs w:val="20"/>
              </w:rPr>
              <w:t>Cogeneration Facility &gt; 1 MW</w:t>
            </w:r>
          </w:p>
        </w:tc>
        <w:tc>
          <w:tcPr>
            <w:tcW w:w="559" w:type="pct"/>
            <w:tcBorders>
              <w:top w:val="single" w:color="auto" w:sz="4" w:space="0"/>
              <w:left w:val="single" w:color="auto" w:sz="4" w:space="0"/>
              <w:bottom w:val="single" w:color="auto" w:sz="4" w:space="0"/>
              <w:right w:val="single" w:color="auto" w:sz="4" w:space="0"/>
            </w:tcBorders>
            <w:vAlign w:val="center"/>
            <w:hideMark/>
          </w:tcPr>
          <w:p w:rsidRPr="009E4DD8" w:rsidR="009E4DD8" w:rsidP="00CA42DA" w:rsidRDefault="009E4DD8" w14:paraId="10D81AA0" w14:textId="77777777">
            <w:pPr>
              <w:jc w:val="right"/>
              <w:rPr>
                <w:rFonts w:eastAsia="Calibri"/>
                <w:sz w:val="20"/>
                <w:szCs w:val="20"/>
              </w:rPr>
            </w:pPr>
            <w:r w:rsidRPr="009E4DD8">
              <w:rPr>
                <w:rFonts w:eastAsia="Calibri"/>
                <w:sz w:val="20"/>
                <w:szCs w:val="20"/>
              </w:rPr>
              <w:t>Self-certification</w:t>
            </w:r>
          </w:p>
        </w:tc>
        <w:tc>
          <w:tcPr>
            <w:tcW w:w="617"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4D822A17" w14:textId="77777777">
            <w:pPr>
              <w:jc w:val="right"/>
              <w:rPr>
                <w:rFonts w:eastAsia="Calibri"/>
                <w:sz w:val="20"/>
                <w:szCs w:val="20"/>
              </w:rPr>
            </w:pPr>
            <w:r w:rsidRPr="009E4DD8">
              <w:rPr>
                <w:rFonts w:eastAsia="Calibri"/>
                <w:sz w:val="20"/>
                <w:szCs w:val="20"/>
              </w:rPr>
              <w:t>10</w:t>
            </w:r>
          </w:p>
        </w:tc>
        <w:tc>
          <w:tcPr>
            <w:tcW w:w="579"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15959684" w14:textId="77777777">
            <w:pPr>
              <w:jc w:val="right"/>
              <w:rPr>
                <w:rFonts w:eastAsia="Calibri"/>
                <w:sz w:val="20"/>
                <w:szCs w:val="20"/>
              </w:rPr>
            </w:pPr>
            <w:r w:rsidRPr="009E4DD8">
              <w:rPr>
                <w:rFonts w:eastAsia="Calibri"/>
                <w:sz w:val="20"/>
                <w:szCs w:val="20"/>
              </w:rPr>
              <w:t>1.25</w:t>
            </w:r>
          </w:p>
        </w:tc>
        <w:tc>
          <w:tcPr>
            <w:tcW w:w="534"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26BBF77C" w14:textId="77777777">
            <w:pPr>
              <w:jc w:val="right"/>
              <w:rPr>
                <w:rFonts w:eastAsia="Calibri"/>
                <w:sz w:val="20"/>
                <w:szCs w:val="20"/>
              </w:rPr>
            </w:pPr>
            <w:r w:rsidRPr="009E4DD8">
              <w:rPr>
                <w:rFonts w:eastAsia="Calibri"/>
                <w:sz w:val="20"/>
                <w:szCs w:val="20"/>
              </w:rPr>
              <w:t>12.5</w:t>
            </w:r>
          </w:p>
        </w:tc>
        <w:tc>
          <w:tcPr>
            <w:tcW w:w="480"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14120600" w14:textId="77777777">
            <w:pPr>
              <w:jc w:val="right"/>
              <w:rPr>
                <w:rFonts w:eastAsia="Calibri"/>
                <w:sz w:val="20"/>
                <w:szCs w:val="20"/>
              </w:rPr>
            </w:pPr>
            <w:r w:rsidRPr="009E4DD8">
              <w:rPr>
                <w:rFonts w:eastAsia="Calibri"/>
                <w:sz w:val="20"/>
                <w:szCs w:val="20"/>
              </w:rPr>
              <w:t xml:space="preserve">8 hrs.; </w:t>
            </w:r>
          </w:p>
          <w:p w:rsidRPr="009E4DD8" w:rsidR="009E4DD8" w:rsidRDefault="009E4DD8" w14:paraId="127CD916" w14:textId="77777777">
            <w:pPr>
              <w:jc w:val="right"/>
              <w:rPr>
                <w:rFonts w:eastAsia="Calibri"/>
                <w:sz w:val="20"/>
                <w:szCs w:val="20"/>
              </w:rPr>
            </w:pPr>
            <w:r w:rsidRPr="009E4DD8">
              <w:rPr>
                <w:rFonts w:eastAsia="Calibri"/>
                <w:sz w:val="20"/>
                <w:szCs w:val="20"/>
              </w:rPr>
              <w:t>$632</w:t>
            </w:r>
          </w:p>
        </w:tc>
        <w:tc>
          <w:tcPr>
            <w:tcW w:w="86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AA0E57A" w14:textId="77777777">
            <w:pPr>
              <w:jc w:val="right"/>
              <w:rPr>
                <w:rFonts w:eastAsia="Calibri"/>
                <w:sz w:val="20"/>
                <w:szCs w:val="20"/>
              </w:rPr>
            </w:pPr>
            <w:r w:rsidRPr="009E4DD8">
              <w:rPr>
                <w:rFonts w:eastAsia="Calibri"/>
                <w:sz w:val="20"/>
                <w:szCs w:val="20"/>
              </w:rPr>
              <w:t xml:space="preserve">100 hrs.; </w:t>
            </w:r>
          </w:p>
          <w:p w:rsidRPr="009E4DD8" w:rsidR="009E4DD8" w:rsidRDefault="009E4DD8" w14:paraId="699053E8" w14:textId="77777777">
            <w:pPr>
              <w:jc w:val="right"/>
              <w:rPr>
                <w:rFonts w:eastAsia="Calibri"/>
                <w:sz w:val="20"/>
                <w:szCs w:val="20"/>
              </w:rPr>
            </w:pPr>
            <w:r w:rsidRPr="009E4DD8">
              <w:rPr>
                <w:rFonts w:eastAsia="Calibri"/>
                <w:sz w:val="20"/>
                <w:szCs w:val="20"/>
              </w:rPr>
              <w:t>$7,900</w:t>
            </w:r>
          </w:p>
        </w:tc>
        <w:tc>
          <w:tcPr>
            <w:tcW w:w="67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60EFDC45" w14:textId="77777777">
            <w:pPr>
              <w:jc w:val="right"/>
              <w:rPr>
                <w:rFonts w:eastAsia="Calibri"/>
                <w:sz w:val="20"/>
                <w:szCs w:val="20"/>
              </w:rPr>
            </w:pPr>
            <w:r w:rsidRPr="009E4DD8">
              <w:rPr>
                <w:rFonts w:eastAsia="Calibri"/>
                <w:sz w:val="20"/>
                <w:szCs w:val="20"/>
              </w:rPr>
              <w:t>$790</w:t>
            </w:r>
          </w:p>
        </w:tc>
      </w:tr>
      <w:tr w:rsidRPr="009E4DD8" w:rsidR="008F0D53" w:rsidTr="008F0D53" w14:paraId="7CFABE0C" w14:textId="77777777">
        <w:trPr>
          <w:cantSplit/>
          <w:trHeight w:val="530"/>
        </w:trPr>
        <w:tc>
          <w:tcPr>
            <w:tcW w:w="686" w:type="pct"/>
            <w:tcBorders>
              <w:top w:val="single" w:color="auto" w:sz="4" w:space="0"/>
              <w:left w:val="single" w:color="auto" w:sz="4" w:space="0"/>
              <w:bottom w:val="single" w:color="auto" w:sz="4" w:space="0"/>
              <w:right w:val="single" w:color="auto" w:sz="4" w:space="0"/>
            </w:tcBorders>
            <w:hideMark/>
          </w:tcPr>
          <w:p w:rsidRPr="009E4DD8" w:rsidR="009E4DD8" w:rsidP="00EC27E6" w:rsidRDefault="009E4DD8" w14:paraId="3EBD056E" w14:textId="77777777">
            <w:pPr>
              <w:rPr>
                <w:rFonts w:eastAsia="Calibri"/>
                <w:sz w:val="20"/>
                <w:szCs w:val="20"/>
              </w:rPr>
            </w:pPr>
            <w:r w:rsidRPr="009E4DD8">
              <w:rPr>
                <w:rFonts w:eastAsia="Calibri"/>
                <w:sz w:val="20"/>
                <w:szCs w:val="20"/>
              </w:rPr>
              <w:t>Cogeneration Facility &gt; 1 MW</w:t>
            </w:r>
          </w:p>
        </w:tc>
        <w:tc>
          <w:tcPr>
            <w:tcW w:w="559" w:type="pct"/>
            <w:tcBorders>
              <w:top w:val="single" w:color="auto" w:sz="4" w:space="0"/>
              <w:left w:val="single" w:color="auto" w:sz="4" w:space="0"/>
              <w:bottom w:val="single" w:color="auto" w:sz="4" w:space="0"/>
              <w:right w:val="single" w:color="auto" w:sz="4" w:space="0"/>
            </w:tcBorders>
            <w:vAlign w:val="center"/>
            <w:hideMark/>
          </w:tcPr>
          <w:p w:rsidRPr="009E4DD8" w:rsidR="009E4DD8" w:rsidP="00CA42DA" w:rsidRDefault="009E4DD8" w14:paraId="74861C02" w14:textId="77777777">
            <w:pPr>
              <w:jc w:val="right"/>
              <w:rPr>
                <w:rFonts w:eastAsia="Calibri"/>
                <w:sz w:val="20"/>
                <w:szCs w:val="20"/>
              </w:rPr>
            </w:pPr>
            <w:r w:rsidRPr="009E4DD8">
              <w:rPr>
                <w:rFonts w:eastAsia="Calibri"/>
                <w:sz w:val="20"/>
                <w:szCs w:val="20"/>
              </w:rPr>
              <w:t>Application for FERC certification</w:t>
            </w:r>
          </w:p>
        </w:tc>
        <w:tc>
          <w:tcPr>
            <w:tcW w:w="617"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7ED6AC4" w14:textId="77777777">
            <w:pPr>
              <w:jc w:val="right"/>
              <w:rPr>
                <w:rFonts w:eastAsia="Calibri"/>
                <w:sz w:val="20"/>
                <w:szCs w:val="20"/>
              </w:rPr>
            </w:pPr>
            <w:r w:rsidRPr="009E4DD8">
              <w:rPr>
                <w:rFonts w:eastAsia="Calibri"/>
                <w:sz w:val="20"/>
                <w:szCs w:val="20"/>
              </w:rPr>
              <w:t>1</w:t>
            </w:r>
          </w:p>
        </w:tc>
        <w:tc>
          <w:tcPr>
            <w:tcW w:w="579"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4A25CCBA" w14:textId="77777777">
            <w:pPr>
              <w:jc w:val="right"/>
              <w:rPr>
                <w:rFonts w:eastAsia="Calibri"/>
                <w:sz w:val="20"/>
                <w:szCs w:val="20"/>
              </w:rPr>
            </w:pPr>
            <w:r w:rsidRPr="009E4DD8">
              <w:rPr>
                <w:rFonts w:eastAsia="Calibri"/>
                <w:sz w:val="20"/>
                <w:szCs w:val="20"/>
              </w:rPr>
              <w:t>1.25</w:t>
            </w:r>
          </w:p>
        </w:tc>
        <w:tc>
          <w:tcPr>
            <w:tcW w:w="534"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272BC826" w14:textId="77777777">
            <w:pPr>
              <w:jc w:val="right"/>
              <w:rPr>
                <w:rFonts w:eastAsia="Calibri"/>
                <w:sz w:val="20"/>
                <w:szCs w:val="20"/>
              </w:rPr>
            </w:pPr>
            <w:r w:rsidRPr="009E4DD8">
              <w:rPr>
                <w:rFonts w:eastAsia="Calibri"/>
                <w:sz w:val="20"/>
                <w:szCs w:val="20"/>
              </w:rPr>
              <w:t>1.25</w:t>
            </w:r>
          </w:p>
        </w:tc>
        <w:tc>
          <w:tcPr>
            <w:tcW w:w="480"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5AA25B5" w14:textId="77777777">
            <w:pPr>
              <w:jc w:val="right"/>
              <w:rPr>
                <w:rFonts w:eastAsia="Calibri"/>
                <w:sz w:val="20"/>
                <w:szCs w:val="20"/>
              </w:rPr>
            </w:pPr>
            <w:r w:rsidRPr="009E4DD8">
              <w:rPr>
                <w:rFonts w:eastAsia="Calibri"/>
                <w:sz w:val="20"/>
                <w:szCs w:val="20"/>
              </w:rPr>
              <w:t xml:space="preserve">55 hrs.; </w:t>
            </w:r>
          </w:p>
          <w:p w:rsidRPr="009E4DD8" w:rsidR="009E4DD8" w:rsidRDefault="009E4DD8" w14:paraId="7B756AAA" w14:textId="77777777">
            <w:pPr>
              <w:jc w:val="right"/>
              <w:rPr>
                <w:rFonts w:eastAsia="Calibri"/>
                <w:sz w:val="20"/>
                <w:szCs w:val="20"/>
              </w:rPr>
            </w:pPr>
            <w:r w:rsidRPr="009E4DD8">
              <w:rPr>
                <w:rFonts w:eastAsia="Calibri"/>
                <w:sz w:val="20"/>
                <w:szCs w:val="20"/>
              </w:rPr>
              <w:t>$4,345</w:t>
            </w:r>
          </w:p>
        </w:tc>
        <w:tc>
          <w:tcPr>
            <w:tcW w:w="86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6289FAC2" w14:textId="77777777">
            <w:pPr>
              <w:jc w:val="right"/>
              <w:rPr>
                <w:rFonts w:eastAsia="Calibri"/>
                <w:sz w:val="20"/>
                <w:szCs w:val="20"/>
              </w:rPr>
            </w:pPr>
            <w:r w:rsidRPr="009E4DD8">
              <w:rPr>
                <w:rFonts w:eastAsia="Calibri"/>
                <w:sz w:val="20"/>
                <w:szCs w:val="20"/>
              </w:rPr>
              <w:t xml:space="preserve">68.75 hrs.; </w:t>
            </w:r>
          </w:p>
          <w:p w:rsidRPr="009E4DD8" w:rsidR="009E4DD8" w:rsidRDefault="009E4DD8" w14:paraId="6265E02E" w14:textId="77777777">
            <w:pPr>
              <w:jc w:val="right"/>
              <w:rPr>
                <w:rFonts w:eastAsia="Calibri"/>
                <w:sz w:val="20"/>
                <w:szCs w:val="20"/>
              </w:rPr>
            </w:pPr>
            <w:r w:rsidRPr="009E4DD8">
              <w:rPr>
                <w:rFonts w:eastAsia="Calibri"/>
                <w:sz w:val="20"/>
                <w:szCs w:val="20"/>
              </w:rPr>
              <w:t>$5,431.25</w:t>
            </w:r>
          </w:p>
        </w:tc>
        <w:tc>
          <w:tcPr>
            <w:tcW w:w="67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795640A4" w14:textId="77777777">
            <w:pPr>
              <w:jc w:val="right"/>
              <w:rPr>
                <w:rFonts w:eastAsia="Calibri"/>
                <w:sz w:val="20"/>
                <w:szCs w:val="20"/>
              </w:rPr>
            </w:pPr>
            <w:r w:rsidRPr="009E4DD8">
              <w:rPr>
                <w:rFonts w:eastAsia="Calibri"/>
                <w:sz w:val="20"/>
                <w:szCs w:val="20"/>
              </w:rPr>
              <w:t>$5,431.25</w:t>
            </w:r>
          </w:p>
        </w:tc>
      </w:tr>
      <w:tr w:rsidRPr="009E4DD8" w:rsidR="008F0D53" w:rsidTr="008F0D53" w14:paraId="09574EBC" w14:textId="77777777">
        <w:trPr>
          <w:cantSplit/>
        </w:trPr>
        <w:tc>
          <w:tcPr>
            <w:tcW w:w="686" w:type="pct"/>
            <w:tcBorders>
              <w:top w:val="single" w:color="auto" w:sz="4" w:space="0"/>
              <w:left w:val="single" w:color="auto" w:sz="4" w:space="0"/>
              <w:bottom w:val="single" w:color="auto" w:sz="4" w:space="0"/>
              <w:right w:val="single" w:color="auto" w:sz="4" w:space="0"/>
            </w:tcBorders>
            <w:hideMark/>
          </w:tcPr>
          <w:p w:rsidRPr="009E4DD8" w:rsidR="009E4DD8" w:rsidP="00EC27E6" w:rsidRDefault="009E4DD8" w14:paraId="3A59D6E8" w14:textId="77777777">
            <w:pPr>
              <w:rPr>
                <w:rFonts w:eastAsia="Calibri"/>
                <w:sz w:val="20"/>
                <w:szCs w:val="20"/>
              </w:rPr>
            </w:pPr>
            <w:r w:rsidRPr="009E4DD8">
              <w:rPr>
                <w:rFonts w:eastAsia="Calibri"/>
                <w:sz w:val="20"/>
                <w:szCs w:val="20"/>
              </w:rPr>
              <w:t>Small Power Production Facility &gt; 1 MW, &gt; 1 Mile, &lt; 10 Miles from Affiliated Facility</w:t>
            </w:r>
          </w:p>
        </w:tc>
        <w:tc>
          <w:tcPr>
            <w:tcW w:w="559" w:type="pct"/>
            <w:tcBorders>
              <w:top w:val="single" w:color="auto" w:sz="4" w:space="0"/>
              <w:left w:val="single" w:color="auto" w:sz="4" w:space="0"/>
              <w:bottom w:val="single" w:color="auto" w:sz="4" w:space="0"/>
              <w:right w:val="single" w:color="auto" w:sz="4" w:space="0"/>
            </w:tcBorders>
            <w:vAlign w:val="center"/>
            <w:hideMark/>
          </w:tcPr>
          <w:p w:rsidRPr="009E4DD8" w:rsidR="009E4DD8" w:rsidP="00CA42DA" w:rsidRDefault="009E4DD8" w14:paraId="2396688F" w14:textId="77777777">
            <w:pPr>
              <w:jc w:val="right"/>
              <w:rPr>
                <w:rFonts w:eastAsia="Calibri"/>
                <w:sz w:val="20"/>
                <w:szCs w:val="20"/>
              </w:rPr>
            </w:pPr>
            <w:r w:rsidRPr="009E4DD8">
              <w:rPr>
                <w:rFonts w:eastAsia="Calibri"/>
                <w:sz w:val="20"/>
                <w:szCs w:val="20"/>
              </w:rPr>
              <w:t>Self-certification</w:t>
            </w:r>
          </w:p>
        </w:tc>
        <w:tc>
          <w:tcPr>
            <w:tcW w:w="617"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C360D77" w14:textId="77777777">
            <w:pPr>
              <w:jc w:val="right"/>
              <w:rPr>
                <w:rFonts w:eastAsia="Calibri"/>
                <w:sz w:val="20"/>
                <w:szCs w:val="20"/>
              </w:rPr>
            </w:pPr>
            <w:r w:rsidRPr="009E4DD8">
              <w:rPr>
                <w:rFonts w:eastAsia="Calibri"/>
                <w:sz w:val="20"/>
                <w:szCs w:val="20"/>
              </w:rPr>
              <w:t>20</w:t>
            </w:r>
          </w:p>
        </w:tc>
        <w:tc>
          <w:tcPr>
            <w:tcW w:w="579"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20AF6E11" w14:textId="77777777">
            <w:pPr>
              <w:jc w:val="right"/>
              <w:rPr>
                <w:rFonts w:eastAsia="Calibri"/>
                <w:sz w:val="20"/>
                <w:szCs w:val="20"/>
              </w:rPr>
            </w:pPr>
            <w:r w:rsidRPr="009E4DD8">
              <w:rPr>
                <w:rFonts w:eastAsia="Calibri"/>
                <w:sz w:val="20"/>
                <w:szCs w:val="20"/>
              </w:rPr>
              <w:t>1.25</w:t>
            </w:r>
          </w:p>
        </w:tc>
        <w:tc>
          <w:tcPr>
            <w:tcW w:w="534"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051E41DE" w14:textId="77777777">
            <w:pPr>
              <w:jc w:val="right"/>
              <w:rPr>
                <w:rFonts w:eastAsia="Calibri"/>
                <w:sz w:val="20"/>
                <w:szCs w:val="20"/>
              </w:rPr>
            </w:pPr>
            <w:r w:rsidRPr="009E4DD8">
              <w:rPr>
                <w:rFonts w:eastAsia="Calibri"/>
                <w:sz w:val="20"/>
                <w:szCs w:val="20"/>
              </w:rPr>
              <w:t>25</w:t>
            </w:r>
          </w:p>
        </w:tc>
        <w:tc>
          <w:tcPr>
            <w:tcW w:w="480"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74D1A442" w14:textId="77777777">
            <w:pPr>
              <w:jc w:val="right"/>
              <w:rPr>
                <w:rFonts w:eastAsia="Calibri"/>
                <w:sz w:val="20"/>
                <w:szCs w:val="20"/>
              </w:rPr>
            </w:pPr>
            <w:r w:rsidRPr="009E4DD8">
              <w:rPr>
                <w:rFonts w:eastAsia="Calibri"/>
                <w:sz w:val="20"/>
                <w:szCs w:val="20"/>
              </w:rPr>
              <w:t xml:space="preserve">8 hrs.; </w:t>
            </w:r>
          </w:p>
          <w:p w:rsidRPr="009E4DD8" w:rsidR="009E4DD8" w:rsidRDefault="009E4DD8" w14:paraId="2997642D" w14:textId="77777777">
            <w:pPr>
              <w:jc w:val="right"/>
              <w:rPr>
                <w:rFonts w:eastAsia="Calibri"/>
                <w:sz w:val="20"/>
                <w:szCs w:val="20"/>
              </w:rPr>
            </w:pPr>
            <w:r w:rsidRPr="009E4DD8">
              <w:rPr>
                <w:rFonts w:eastAsia="Calibri"/>
                <w:sz w:val="20"/>
                <w:szCs w:val="20"/>
              </w:rPr>
              <w:t>$632</w:t>
            </w:r>
          </w:p>
        </w:tc>
        <w:tc>
          <w:tcPr>
            <w:tcW w:w="86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2FEAD0EA" w14:textId="77777777">
            <w:pPr>
              <w:jc w:val="right"/>
              <w:rPr>
                <w:rFonts w:eastAsia="Calibri"/>
                <w:sz w:val="20"/>
                <w:szCs w:val="20"/>
              </w:rPr>
            </w:pPr>
            <w:r w:rsidRPr="009E4DD8">
              <w:rPr>
                <w:rFonts w:eastAsia="Calibri"/>
                <w:sz w:val="20"/>
                <w:szCs w:val="20"/>
              </w:rPr>
              <w:t xml:space="preserve">200 hrs.; </w:t>
            </w:r>
          </w:p>
          <w:p w:rsidRPr="009E4DD8" w:rsidR="009E4DD8" w:rsidRDefault="009E4DD8" w14:paraId="5E5D6E2F" w14:textId="77777777">
            <w:pPr>
              <w:jc w:val="right"/>
              <w:rPr>
                <w:rFonts w:eastAsia="Calibri"/>
                <w:sz w:val="20"/>
                <w:szCs w:val="20"/>
              </w:rPr>
            </w:pPr>
            <w:r w:rsidRPr="009E4DD8">
              <w:rPr>
                <w:rFonts w:eastAsia="Calibri"/>
                <w:sz w:val="20"/>
                <w:szCs w:val="20"/>
              </w:rPr>
              <w:t>$15,800</w:t>
            </w:r>
          </w:p>
        </w:tc>
        <w:tc>
          <w:tcPr>
            <w:tcW w:w="67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4158DE5C" w14:textId="77777777">
            <w:pPr>
              <w:jc w:val="right"/>
              <w:rPr>
                <w:rFonts w:eastAsia="Calibri"/>
                <w:sz w:val="20"/>
                <w:szCs w:val="20"/>
              </w:rPr>
            </w:pPr>
            <w:r w:rsidRPr="009E4DD8">
              <w:rPr>
                <w:rFonts w:eastAsia="Calibri"/>
                <w:sz w:val="20"/>
                <w:szCs w:val="20"/>
              </w:rPr>
              <w:t>$790</w:t>
            </w:r>
          </w:p>
        </w:tc>
      </w:tr>
      <w:tr w:rsidRPr="009E4DD8" w:rsidR="008F0D53" w:rsidTr="008F0D53" w14:paraId="3486AB9D" w14:textId="77777777">
        <w:trPr>
          <w:cantSplit/>
        </w:trPr>
        <w:tc>
          <w:tcPr>
            <w:tcW w:w="686" w:type="pct"/>
            <w:tcBorders>
              <w:top w:val="single" w:color="auto" w:sz="4" w:space="0"/>
              <w:left w:val="single" w:color="auto" w:sz="4" w:space="0"/>
              <w:bottom w:val="single" w:color="auto" w:sz="4" w:space="0"/>
              <w:right w:val="single" w:color="auto" w:sz="4" w:space="0"/>
            </w:tcBorders>
            <w:hideMark/>
          </w:tcPr>
          <w:p w:rsidRPr="009E4DD8" w:rsidR="009E4DD8" w:rsidP="00EC27E6" w:rsidRDefault="009E4DD8" w14:paraId="75743791" w14:textId="77777777">
            <w:pPr>
              <w:rPr>
                <w:rFonts w:eastAsia="Calibri"/>
                <w:sz w:val="20"/>
                <w:szCs w:val="20"/>
              </w:rPr>
            </w:pPr>
            <w:r w:rsidRPr="009E4DD8">
              <w:rPr>
                <w:rFonts w:eastAsia="Calibri"/>
                <w:sz w:val="20"/>
                <w:szCs w:val="20"/>
              </w:rPr>
              <w:lastRenderedPageBreak/>
              <w:t>Small Power Production Facility &gt; 1 MW, &gt; 1 Mile, &lt; 10 Miles from Affiliated Facility</w:t>
            </w:r>
          </w:p>
        </w:tc>
        <w:tc>
          <w:tcPr>
            <w:tcW w:w="559" w:type="pct"/>
            <w:tcBorders>
              <w:top w:val="single" w:color="auto" w:sz="4" w:space="0"/>
              <w:left w:val="single" w:color="auto" w:sz="4" w:space="0"/>
              <w:bottom w:val="single" w:color="auto" w:sz="4" w:space="0"/>
              <w:right w:val="single" w:color="auto" w:sz="4" w:space="0"/>
            </w:tcBorders>
            <w:vAlign w:val="center"/>
            <w:hideMark/>
          </w:tcPr>
          <w:p w:rsidRPr="009E4DD8" w:rsidR="009E4DD8" w:rsidP="00CA42DA" w:rsidRDefault="009E4DD8" w14:paraId="0684BB80" w14:textId="77777777">
            <w:pPr>
              <w:jc w:val="right"/>
              <w:rPr>
                <w:rFonts w:eastAsia="Calibri"/>
                <w:sz w:val="20"/>
                <w:szCs w:val="20"/>
              </w:rPr>
            </w:pPr>
            <w:r w:rsidRPr="009E4DD8">
              <w:rPr>
                <w:rFonts w:eastAsia="Calibri"/>
                <w:sz w:val="20"/>
                <w:szCs w:val="20"/>
              </w:rPr>
              <w:t>Application for FERC certification</w:t>
            </w:r>
          </w:p>
        </w:tc>
        <w:tc>
          <w:tcPr>
            <w:tcW w:w="617"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2D19E0DD" w14:textId="77777777">
            <w:pPr>
              <w:jc w:val="right"/>
              <w:rPr>
                <w:rFonts w:eastAsia="Calibri"/>
                <w:sz w:val="20"/>
                <w:szCs w:val="20"/>
              </w:rPr>
            </w:pPr>
            <w:r w:rsidRPr="009E4DD8">
              <w:rPr>
                <w:rFonts w:eastAsia="Calibri"/>
                <w:sz w:val="20"/>
                <w:szCs w:val="20"/>
              </w:rPr>
              <w:t>1</w:t>
            </w:r>
          </w:p>
        </w:tc>
        <w:tc>
          <w:tcPr>
            <w:tcW w:w="579"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4D43D13" w14:textId="77777777">
            <w:pPr>
              <w:jc w:val="right"/>
              <w:rPr>
                <w:rFonts w:eastAsia="Calibri"/>
                <w:sz w:val="20"/>
                <w:szCs w:val="20"/>
              </w:rPr>
            </w:pPr>
            <w:r w:rsidRPr="009E4DD8">
              <w:rPr>
                <w:rFonts w:eastAsia="Calibri"/>
                <w:sz w:val="20"/>
                <w:szCs w:val="20"/>
              </w:rPr>
              <w:t>1.25</w:t>
            </w:r>
          </w:p>
        </w:tc>
        <w:tc>
          <w:tcPr>
            <w:tcW w:w="534"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6D37E3FB" w14:textId="77777777">
            <w:pPr>
              <w:jc w:val="right"/>
              <w:rPr>
                <w:rFonts w:eastAsia="Calibri"/>
                <w:sz w:val="20"/>
                <w:szCs w:val="20"/>
              </w:rPr>
            </w:pPr>
            <w:r w:rsidRPr="009E4DD8">
              <w:rPr>
                <w:rFonts w:eastAsia="Calibri"/>
                <w:sz w:val="20"/>
                <w:szCs w:val="20"/>
              </w:rPr>
              <w:t>1.25</w:t>
            </w:r>
          </w:p>
        </w:tc>
        <w:tc>
          <w:tcPr>
            <w:tcW w:w="480"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14320B79" w14:textId="77777777">
            <w:pPr>
              <w:jc w:val="right"/>
              <w:rPr>
                <w:rFonts w:eastAsia="Calibri"/>
                <w:sz w:val="20"/>
                <w:szCs w:val="20"/>
              </w:rPr>
            </w:pPr>
            <w:r w:rsidRPr="009E4DD8">
              <w:rPr>
                <w:rFonts w:eastAsia="Calibri"/>
                <w:sz w:val="20"/>
                <w:szCs w:val="20"/>
              </w:rPr>
              <w:t xml:space="preserve">55 hrs.; </w:t>
            </w:r>
          </w:p>
          <w:p w:rsidRPr="009E4DD8" w:rsidR="009E4DD8" w:rsidRDefault="009E4DD8" w14:paraId="5EEEDB06" w14:textId="77777777">
            <w:pPr>
              <w:jc w:val="right"/>
              <w:rPr>
                <w:rFonts w:eastAsia="Calibri"/>
                <w:sz w:val="20"/>
                <w:szCs w:val="20"/>
              </w:rPr>
            </w:pPr>
            <w:r w:rsidRPr="009E4DD8">
              <w:rPr>
                <w:rFonts w:eastAsia="Calibri"/>
                <w:sz w:val="20"/>
                <w:szCs w:val="20"/>
              </w:rPr>
              <w:t>$4,345</w:t>
            </w:r>
          </w:p>
        </w:tc>
        <w:tc>
          <w:tcPr>
            <w:tcW w:w="86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0C556C9E" w14:textId="77777777">
            <w:pPr>
              <w:jc w:val="right"/>
              <w:rPr>
                <w:rFonts w:eastAsia="Calibri"/>
                <w:sz w:val="20"/>
                <w:szCs w:val="20"/>
              </w:rPr>
            </w:pPr>
            <w:r w:rsidRPr="009E4DD8">
              <w:rPr>
                <w:rFonts w:eastAsia="Calibri"/>
                <w:sz w:val="20"/>
                <w:szCs w:val="20"/>
              </w:rPr>
              <w:t>68.75 hrs.; $5,431.25</w:t>
            </w:r>
          </w:p>
        </w:tc>
        <w:tc>
          <w:tcPr>
            <w:tcW w:w="67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4434B168" w14:textId="77777777">
            <w:pPr>
              <w:jc w:val="right"/>
              <w:rPr>
                <w:rFonts w:eastAsia="Calibri"/>
                <w:sz w:val="20"/>
                <w:szCs w:val="20"/>
              </w:rPr>
            </w:pPr>
            <w:r w:rsidRPr="009E4DD8">
              <w:rPr>
                <w:rFonts w:eastAsia="Calibri"/>
                <w:sz w:val="20"/>
                <w:szCs w:val="20"/>
              </w:rPr>
              <w:t>$5,431.25</w:t>
            </w:r>
          </w:p>
        </w:tc>
      </w:tr>
      <w:tr w:rsidRPr="009E4DD8" w:rsidR="008F0D53" w:rsidTr="008F0D53" w14:paraId="53401850" w14:textId="77777777">
        <w:trPr>
          <w:cantSplit/>
        </w:trPr>
        <w:tc>
          <w:tcPr>
            <w:tcW w:w="686" w:type="pct"/>
            <w:tcBorders>
              <w:top w:val="single" w:color="auto" w:sz="4" w:space="0"/>
              <w:left w:val="single" w:color="auto" w:sz="4" w:space="0"/>
              <w:bottom w:val="single" w:color="auto" w:sz="4" w:space="0"/>
              <w:right w:val="single" w:color="auto" w:sz="4" w:space="0"/>
            </w:tcBorders>
            <w:hideMark/>
          </w:tcPr>
          <w:p w:rsidRPr="009E4DD8" w:rsidR="009E4DD8" w:rsidP="00EC27E6" w:rsidRDefault="009E4DD8" w14:paraId="2D726ECB" w14:textId="77777777">
            <w:pPr>
              <w:rPr>
                <w:rFonts w:eastAsia="Calibri"/>
                <w:sz w:val="20"/>
                <w:szCs w:val="20"/>
              </w:rPr>
            </w:pPr>
            <w:r w:rsidRPr="009E4DD8">
              <w:rPr>
                <w:rFonts w:eastAsia="Calibri"/>
                <w:sz w:val="20"/>
                <w:szCs w:val="20"/>
              </w:rPr>
              <w:t>Cogeneration and Small Power Production Facility ≤ 1 MW (Self-Certification)</w:t>
            </w:r>
            <w:r w:rsidRPr="009E4DD8">
              <w:rPr>
                <w:rFonts w:eastAsia="Calibri"/>
                <w:vertAlign w:val="superscript"/>
              </w:rPr>
              <w:footnoteReference w:id="15"/>
            </w:r>
          </w:p>
        </w:tc>
        <w:tc>
          <w:tcPr>
            <w:tcW w:w="559" w:type="pct"/>
            <w:tcBorders>
              <w:top w:val="single" w:color="auto" w:sz="4" w:space="0"/>
              <w:left w:val="single" w:color="auto" w:sz="4" w:space="0"/>
              <w:bottom w:val="single" w:color="auto" w:sz="4" w:space="0"/>
              <w:right w:val="single" w:color="auto" w:sz="4" w:space="0"/>
            </w:tcBorders>
            <w:vAlign w:val="center"/>
            <w:hideMark/>
          </w:tcPr>
          <w:p w:rsidRPr="009E4DD8" w:rsidR="009E4DD8" w:rsidP="00CA42DA" w:rsidRDefault="009E4DD8" w14:paraId="1A112389" w14:textId="77777777">
            <w:pPr>
              <w:jc w:val="right"/>
              <w:rPr>
                <w:rFonts w:eastAsia="Calibri"/>
                <w:sz w:val="20"/>
                <w:szCs w:val="20"/>
              </w:rPr>
            </w:pPr>
            <w:r w:rsidRPr="009E4DD8">
              <w:rPr>
                <w:rFonts w:eastAsia="Calibri"/>
                <w:sz w:val="20"/>
                <w:szCs w:val="20"/>
              </w:rPr>
              <w:t>Self-certification</w:t>
            </w:r>
          </w:p>
        </w:tc>
        <w:tc>
          <w:tcPr>
            <w:tcW w:w="617"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1E8D04AE" w14:textId="77777777">
            <w:pPr>
              <w:jc w:val="right"/>
              <w:rPr>
                <w:rFonts w:eastAsia="Calibri"/>
                <w:sz w:val="20"/>
                <w:szCs w:val="20"/>
              </w:rPr>
            </w:pPr>
            <w:r w:rsidRPr="009E4DD8">
              <w:rPr>
                <w:rFonts w:eastAsia="Calibri"/>
                <w:sz w:val="20"/>
                <w:szCs w:val="20"/>
              </w:rPr>
              <w:t>312</w:t>
            </w:r>
          </w:p>
        </w:tc>
        <w:tc>
          <w:tcPr>
            <w:tcW w:w="579"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22F94CBF" w14:textId="77777777">
            <w:pPr>
              <w:jc w:val="right"/>
              <w:rPr>
                <w:rFonts w:eastAsia="Calibri"/>
                <w:sz w:val="20"/>
                <w:szCs w:val="20"/>
              </w:rPr>
            </w:pPr>
            <w:r w:rsidRPr="009E4DD8">
              <w:rPr>
                <w:rFonts w:eastAsia="Calibri"/>
                <w:sz w:val="20"/>
                <w:szCs w:val="20"/>
              </w:rPr>
              <w:t>1.25</w:t>
            </w:r>
          </w:p>
        </w:tc>
        <w:tc>
          <w:tcPr>
            <w:tcW w:w="534"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1020471" w14:textId="77777777">
            <w:pPr>
              <w:jc w:val="right"/>
              <w:rPr>
                <w:rFonts w:eastAsia="Calibri"/>
                <w:sz w:val="20"/>
                <w:szCs w:val="20"/>
              </w:rPr>
            </w:pPr>
            <w:r w:rsidRPr="009E4DD8">
              <w:rPr>
                <w:rFonts w:eastAsia="Calibri"/>
                <w:sz w:val="20"/>
                <w:szCs w:val="20"/>
              </w:rPr>
              <w:t>390</w:t>
            </w:r>
          </w:p>
        </w:tc>
        <w:tc>
          <w:tcPr>
            <w:tcW w:w="480"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57140B6" w14:textId="77777777">
            <w:pPr>
              <w:jc w:val="right"/>
              <w:rPr>
                <w:rFonts w:eastAsia="Calibri"/>
                <w:sz w:val="20"/>
                <w:szCs w:val="20"/>
              </w:rPr>
            </w:pPr>
            <w:r w:rsidRPr="009E4DD8">
              <w:rPr>
                <w:rFonts w:eastAsia="Calibri"/>
                <w:sz w:val="20"/>
                <w:szCs w:val="20"/>
              </w:rPr>
              <w:t xml:space="preserve">4 hrs.; </w:t>
            </w:r>
          </w:p>
          <w:p w:rsidRPr="009E4DD8" w:rsidR="009E4DD8" w:rsidRDefault="009E4DD8" w14:paraId="74CC61E7" w14:textId="77777777">
            <w:pPr>
              <w:jc w:val="right"/>
              <w:rPr>
                <w:rFonts w:eastAsia="Calibri"/>
                <w:sz w:val="20"/>
                <w:szCs w:val="20"/>
              </w:rPr>
            </w:pPr>
            <w:r w:rsidRPr="009E4DD8">
              <w:rPr>
                <w:rFonts w:eastAsia="Calibri"/>
                <w:sz w:val="20"/>
                <w:szCs w:val="20"/>
              </w:rPr>
              <w:t>$316</w:t>
            </w:r>
          </w:p>
        </w:tc>
        <w:tc>
          <w:tcPr>
            <w:tcW w:w="86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5FD4C850" w14:textId="77777777">
            <w:pPr>
              <w:jc w:val="right"/>
              <w:rPr>
                <w:rFonts w:eastAsia="Calibri"/>
                <w:sz w:val="20"/>
                <w:szCs w:val="20"/>
              </w:rPr>
            </w:pPr>
            <w:r w:rsidRPr="009E4DD8">
              <w:rPr>
                <w:rFonts w:eastAsia="Calibri"/>
                <w:sz w:val="20"/>
                <w:szCs w:val="20"/>
              </w:rPr>
              <w:t xml:space="preserve">1,560 hrs.; </w:t>
            </w:r>
          </w:p>
          <w:p w:rsidRPr="009E4DD8" w:rsidR="009E4DD8" w:rsidRDefault="009E4DD8" w14:paraId="01158666" w14:textId="77777777">
            <w:pPr>
              <w:jc w:val="right"/>
              <w:rPr>
                <w:rFonts w:eastAsia="Calibri"/>
                <w:sz w:val="20"/>
                <w:szCs w:val="20"/>
              </w:rPr>
            </w:pPr>
            <w:r w:rsidRPr="009E4DD8">
              <w:rPr>
                <w:rFonts w:eastAsia="Calibri"/>
                <w:sz w:val="20"/>
                <w:szCs w:val="20"/>
              </w:rPr>
              <w:t>$123,240</w:t>
            </w:r>
          </w:p>
        </w:tc>
        <w:tc>
          <w:tcPr>
            <w:tcW w:w="678" w:type="pct"/>
            <w:tcBorders>
              <w:top w:val="single" w:color="auto" w:sz="4" w:space="0"/>
              <w:left w:val="single" w:color="auto" w:sz="4" w:space="0"/>
              <w:bottom w:val="single" w:color="auto" w:sz="4" w:space="0"/>
              <w:right w:val="single" w:color="auto" w:sz="4" w:space="0"/>
            </w:tcBorders>
            <w:vAlign w:val="center"/>
            <w:hideMark/>
          </w:tcPr>
          <w:p w:rsidRPr="009E4DD8" w:rsidR="009E4DD8" w:rsidRDefault="009E4DD8" w14:paraId="31D1A8A9" w14:textId="77777777">
            <w:pPr>
              <w:jc w:val="right"/>
              <w:rPr>
                <w:rFonts w:eastAsia="Calibri"/>
                <w:sz w:val="20"/>
                <w:szCs w:val="20"/>
              </w:rPr>
            </w:pPr>
            <w:r w:rsidRPr="009E4DD8">
              <w:rPr>
                <w:rFonts w:eastAsia="Calibri"/>
                <w:sz w:val="20"/>
                <w:szCs w:val="20"/>
              </w:rPr>
              <w:t>$395</w:t>
            </w:r>
          </w:p>
        </w:tc>
      </w:tr>
      <w:tr w:rsidRPr="009E4DD8" w:rsidR="008F0D53" w:rsidTr="008F0D53" w14:paraId="2B6996F9" w14:textId="77777777">
        <w:trPr>
          <w:cantSplit/>
        </w:trPr>
        <w:tc>
          <w:tcPr>
            <w:tcW w:w="686" w:type="pct"/>
            <w:tcBorders>
              <w:top w:val="single" w:color="auto" w:sz="4" w:space="0"/>
              <w:left w:val="single" w:color="auto" w:sz="4" w:space="0"/>
              <w:bottom w:val="single" w:color="auto" w:sz="4" w:space="0"/>
              <w:right w:val="single" w:color="auto" w:sz="4" w:space="0"/>
            </w:tcBorders>
          </w:tcPr>
          <w:p w:rsidRPr="009E4DD8" w:rsidR="009E4DD8" w:rsidP="00EC27E6" w:rsidRDefault="009E4DD8" w14:paraId="5CF18DE3" w14:textId="77777777">
            <w:pPr>
              <w:rPr>
                <w:rFonts w:eastAsia="Calibri"/>
                <w:sz w:val="20"/>
                <w:szCs w:val="20"/>
              </w:rPr>
            </w:pPr>
            <w:r w:rsidRPr="009E4DD8">
              <w:rPr>
                <w:rFonts w:eastAsia="Calibri"/>
                <w:sz w:val="20"/>
                <w:szCs w:val="20"/>
              </w:rPr>
              <w:t>Small Power Production Facility &gt; 1 MW, ≤ 1 Mile from Affiliated Facility</w:t>
            </w:r>
          </w:p>
        </w:tc>
        <w:tc>
          <w:tcPr>
            <w:tcW w:w="559" w:type="pct"/>
            <w:tcBorders>
              <w:top w:val="single" w:color="auto" w:sz="4" w:space="0"/>
              <w:left w:val="single" w:color="auto" w:sz="4" w:space="0"/>
              <w:bottom w:val="single" w:color="auto" w:sz="4" w:space="0"/>
              <w:right w:val="single" w:color="auto" w:sz="4" w:space="0"/>
            </w:tcBorders>
            <w:vAlign w:val="center"/>
          </w:tcPr>
          <w:p w:rsidRPr="009E4DD8" w:rsidR="009E4DD8" w:rsidP="00CA42DA" w:rsidRDefault="009E4DD8" w14:paraId="39DD374D" w14:textId="77777777">
            <w:pPr>
              <w:jc w:val="right"/>
              <w:rPr>
                <w:rFonts w:eastAsia="Calibri"/>
                <w:sz w:val="20"/>
                <w:szCs w:val="20"/>
              </w:rPr>
            </w:pPr>
            <w:r w:rsidRPr="009E4DD8">
              <w:rPr>
                <w:rFonts w:eastAsia="Calibri"/>
                <w:sz w:val="20"/>
                <w:szCs w:val="20"/>
              </w:rPr>
              <w:t>Self-certification</w:t>
            </w:r>
          </w:p>
        </w:tc>
        <w:tc>
          <w:tcPr>
            <w:tcW w:w="617"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769F45C8" w14:textId="77777777">
            <w:pPr>
              <w:jc w:val="right"/>
              <w:rPr>
                <w:rFonts w:eastAsia="Calibri"/>
                <w:sz w:val="20"/>
                <w:szCs w:val="20"/>
              </w:rPr>
            </w:pPr>
            <w:r w:rsidRPr="009E4DD8">
              <w:rPr>
                <w:rFonts w:eastAsia="Calibri"/>
                <w:sz w:val="20"/>
                <w:szCs w:val="20"/>
              </w:rPr>
              <w:t>no change</w:t>
            </w:r>
          </w:p>
        </w:tc>
        <w:tc>
          <w:tcPr>
            <w:tcW w:w="579"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57450E6E" w14:textId="77777777">
            <w:pPr>
              <w:jc w:val="right"/>
              <w:rPr>
                <w:rFonts w:eastAsia="Calibri"/>
                <w:sz w:val="20"/>
                <w:szCs w:val="20"/>
              </w:rPr>
            </w:pPr>
            <w:r w:rsidRPr="009E4DD8">
              <w:rPr>
                <w:rFonts w:eastAsia="Calibri"/>
                <w:sz w:val="20"/>
                <w:szCs w:val="20"/>
              </w:rPr>
              <w:t>no change</w:t>
            </w:r>
          </w:p>
        </w:tc>
        <w:tc>
          <w:tcPr>
            <w:tcW w:w="534"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0F4766B5" w14:textId="77777777">
            <w:pPr>
              <w:jc w:val="right"/>
              <w:rPr>
                <w:rFonts w:eastAsia="Calibri"/>
                <w:sz w:val="20"/>
                <w:szCs w:val="20"/>
              </w:rPr>
            </w:pPr>
            <w:r w:rsidRPr="009E4DD8">
              <w:rPr>
                <w:rFonts w:eastAsia="Calibri"/>
                <w:sz w:val="20"/>
                <w:szCs w:val="20"/>
              </w:rPr>
              <w:t>no change</w:t>
            </w:r>
          </w:p>
        </w:tc>
        <w:tc>
          <w:tcPr>
            <w:tcW w:w="480"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413BF1F0" w14:textId="77777777">
            <w:pPr>
              <w:jc w:val="right"/>
              <w:rPr>
                <w:rFonts w:eastAsia="Calibri"/>
                <w:sz w:val="20"/>
                <w:szCs w:val="20"/>
              </w:rPr>
            </w:pPr>
            <w:r w:rsidRPr="009E4DD8">
              <w:rPr>
                <w:rFonts w:eastAsia="Calibri"/>
                <w:sz w:val="20"/>
                <w:szCs w:val="20"/>
              </w:rPr>
              <w:t>no change</w:t>
            </w:r>
          </w:p>
        </w:tc>
        <w:tc>
          <w:tcPr>
            <w:tcW w:w="86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33BD6944" w14:textId="77777777">
            <w:pPr>
              <w:jc w:val="right"/>
              <w:rPr>
                <w:rFonts w:eastAsia="Calibri"/>
                <w:sz w:val="20"/>
                <w:szCs w:val="20"/>
              </w:rPr>
            </w:pPr>
            <w:r w:rsidRPr="009E4DD8">
              <w:rPr>
                <w:rFonts w:eastAsia="Calibri"/>
                <w:sz w:val="20"/>
                <w:szCs w:val="20"/>
              </w:rPr>
              <w:t>no change</w:t>
            </w:r>
          </w:p>
        </w:tc>
        <w:tc>
          <w:tcPr>
            <w:tcW w:w="67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047C30D2" w14:textId="77777777">
            <w:pPr>
              <w:jc w:val="right"/>
              <w:rPr>
                <w:rFonts w:eastAsia="Calibri"/>
                <w:sz w:val="20"/>
                <w:szCs w:val="20"/>
              </w:rPr>
            </w:pPr>
            <w:r w:rsidRPr="009E4DD8">
              <w:rPr>
                <w:rFonts w:eastAsia="Calibri"/>
                <w:sz w:val="20"/>
                <w:szCs w:val="20"/>
              </w:rPr>
              <w:t>no change</w:t>
            </w:r>
          </w:p>
        </w:tc>
      </w:tr>
      <w:tr w:rsidRPr="009E4DD8" w:rsidR="008F0D53" w:rsidTr="008F0D53" w14:paraId="2C8A0E88" w14:textId="77777777">
        <w:trPr>
          <w:cantSplit/>
        </w:trPr>
        <w:tc>
          <w:tcPr>
            <w:tcW w:w="686" w:type="pct"/>
            <w:tcBorders>
              <w:top w:val="single" w:color="auto" w:sz="4" w:space="0"/>
              <w:left w:val="single" w:color="auto" w:sz="4" w:space="0"/>
              <w:bottom w:val="single" w:color="auto" w:sz="4" w:space="0"/>
              <w:right w:val="single" w:color="auto" w:sz="4" w:space="0"/>
            </w:tcBorders>
          </w:tcPr>
          <w:p w:rsidRPr="009E4DD8" w:rsidR="009E4DD8" w:rsidP="00EC27E6" w:rsidRDefault="009E4DD8" w14:paraId="0CD18828" w14:textId="77777777">
            <w:pPr>
              <w:rPr>
                <w:rFonts w:eastAsia="Calibri"/>
                <w:sz w:val="20"/>
                <w:szCs w:val="20"/>
              </w:rPr>
            </w:pPr>
            <w:r w:rsidRPr="009E4DD8">
              <w:rPr>
                <w:rFonts w:eastAsia="Calibri"/>
                <w:sz w:val="20"/>
                <w:szCs w:val="20"/>
              </w:rPr>
              <w:t>Small Power Production Facility &gt; 1 MW, ≤ 1 Mile from Affiliated Facility</w:t>
            </w:r>
          </w:p>
        </w:tc>
        <w:tc>
          <w:tcPr>
            <w:tcW w:w="559" w:type="pct"/>
            <w:tcBorders>
              <w:top w:val="single" w:color="auto" w:sz="4" w:space="0"/>
              <w:left w:val="single" w:color="auto" w:sz="4" w:space="0"/>
              <w:bottom w:val="single" w:color="auto" w:sz="4" w:space="0"/>
              <w:right w:val="single" w:color="auto" w:sz="4" w:space="0"/>
            </w:tcBorders>
            <w:vAlign w:val="center"/>
          </w:tcPr>
          <w:p w:rsidRPr="009E4DD8" w:rsidR="009E4DD8" w:rsidP="00CA42DA" w:rsidRDefault="009E4DD8" w14:paraId="5D6114C3" w14:textId="77777777">
            <w:pPr>
              <w:jc w:val="right"/>
              <w:rPr>
                <w:rFonts w:eastAsia="Calibri"/>
                <w:sz w:val="20"/>
                <w:szCs w:val="20"/>
              </w:rPr>
            </w:pPr>
            <w:r w:rsidRPr="009E4DD8">
              <w:rPr>
                <w:rFonts w:eastAsia="Calibri"/>
                <w:sz w:val="20"/>
                <w:szCs w:val="20"/>
              </w:rPr>
              <w:t>Application for FERC certification</w:t>
            </w:r>
          </w:p>
        </w:tc>
        <w:tc>
          <w:tcPr>
            <w:tcW w:w="617"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70665973" w14:textId="77777777">
            <w:pPr>
              <w:jc w:val="right"/>
              <w:rPr>
                <w:rFonts w:eastAsia="Calibri"/>
                <w:sz w:val="20"/>
                <w:szCs w:val="20"/>
              </w:rPr>
            </w:pPr>
            <w:r w:rsidRPr="009E4DD8">
              <w:rPr>
                <w:rFonts w:eastAsia="Calibri"/>
                <w:sz w:val="20"/>
                <w:szCs w:val="20"/>
              </w:rPr>
              <w:t>1</w:t>
            </w:r>
          </w:p>
        </w:tc>
        <w:tc>
          <w:tcPr>
            <w:tcW w:w="579"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21827E1A" w14:textId="77777777">
            <w:pPr>
              <w:jc w:val="right"/>
              <w:rPr>
                <w:rFonts w:eastAsia="Calibri"/>
                <w:sz w:val="20"/>
                <w:szCs w:val="20"/>
              </w:rPr>
            </w:pPr>
            <w:r w:rsidRPr="009E4DD8">
              <w:rPr>
                <w:rFonts w:eastAsia="Calibri"/>
                <w:sz w:val="20"/>
                <w:szCs w:val="20"/>
              </w:rPr>
              <w:t>1.25</w:t>
            </w:r>
          </w:p>
        </w:tc>
        <w:tc>
          <w:tcPr>
            <w:tcW w:w="534"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262C5F86" w14:textId="77777777">
            <w:pPr>
              <w:jc w:val="right"/>
              <w:rPr>
                <w:rFonts w:eastAsia="Calibri"/>
                <w:sz w:val="20"/>
                <w:szCs w:val="20"/>
              </w:rPr>
            </w:pPr>
            <w:r w:rsidRPr="009E4DD8">
              <w:rPr>
                <w:rFonts w:eastAsia="Calibri"/>
                <w:sz w:val="20"/>
                <w:szCs w:val="20"/>
              </w:rPr>
              <w:t>1.25</w:t>
            </w:r>
          </w:p>
        </w:tc>
        <w:tc>
          <w:tcPr>
            <w:tcW w:w="480"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0F595460" w14:textId="77777777">
            <w:pPr>
              <w:jc w:val="right"/>
              <w:rPr>
                <w:rFonts w:eastAsia="Calibri"/>
                <w:sz w:val="20"/>
                <w:szCs w:val="20"/>
              </w:rPr>
            </w:pPr>
            <w:r w:rsidRPr="009E4DD8">
              <w:rPr>
                <w:rFonts w:eastAsia="Calibri"/>
                <w:sz w:val="20"/>
                <w:szCs w:val="20"/>
              </w:rPr>
              <w:t>55 hrs.;</w:t>
            </w:r>
          </w:p>
          <w:p w:rsidRPr="009E4DD8" w:rsidR="009E4DD8" w:rsidRDefault="009E4DD8" w14:paraId="71069F4B" w14:textId="77777777">
            <w:pPr>
              <w:jc w:val="right"/>
              <w:rPr>
                <w:rFonts w:eastAsia="Calibri"/>
                <w:sz w:val="20"/>
                <w:szCs w:val="20"/>
              </w:rPr>
            </w:pPr>
            <w:r w:rsidRPr="009E4DD8">
              <w:rPr>
                <w:rFonts w:eastAsia="Calibri"/>
                <w:sz w:val="20"/>
                <w:szCs w:val="20"/>
              </w:rPr>
              <w:t>$4,345</w:t>
            </w:r>
          </w:p>
        </w:tc>
        <w:tc>
          <w:tcPr>
            <w:tcW w:w="86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2619F7D5" w14:textId="77777777">
            <w:pPr>
              <w:jc w:val="right"/>
              <w:rPr>
                <w:rFonts w:eastAsia="Calibri"/>
                <w:sz w:val="20"/>
                <w:szCs w:val="20"/>
              </w:rPr>
            </w:pPr>
            <w:r w:rsidRPr="009E4DD8">
              <w:rPr>
                <w:rFonts w:eastAsia="Calibri"/>
                <w:sz w:val="20"/>
                <w:szCs w:val="20"/>
              </w:rPr>
              <w:t>68.75 hrs.;</w:t>
            </w:r>
          </w:p>
          <w:p w:rsidRPr="009E4DD8" w:rsidR="009E4DD8" w:rsidRDefault="009E4DD8" w14:paraId="4D457C52" w14:textId="77777777">
            <w:pPr>
              <w:jc w:val="right"/>
              <w:rPr>
                <w:rFonts w:eastAsia="Calibri"/>
                <w:sz w:val="20"/>
                <w:szCs w:val="20"/>
              </w:rPr>
            </w:pPr>
            <w:r w:rsidRPr="009E4DD8">
              <w:rPr>
                <w:rFonts w:eastAsia="Calibri"/>
                <w:sz w:val="20"/>
                <w:szCs w:val="20"/>
              </w:rPr>
              <w:t>$5,431.25</w:t>
            </w:r>
          </w:p>
        </w:tc>
        <w:tc>
          <w:tcPr>
            <w:tcW w:w="67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7DBF3CBD" w14:textId="77777777">
            <w:pPr>
              <w:jc w:val="right"/>
              <w:rPr>
                <w:rFonts w:eastAsia="Calibri"/>
                <w:sz w:val="20"/>
                <w:szCs w:val="20"/>
              </w:rPr>
            </w:pPr>
            <w:r w:rsidRPr="009E4DD8">
              <w:rPr>
                <w:rFonts w:eastAsia="Calibri"/>
                <w:sz w:val="20"/>
                <w:szCs w:val="20"/>
              </w:rPr>
              <w:t>$5,431.25</w:t>
            </w:r>
          </w:p>
        </w:tc>
      </w:tr>
      <w:tr w:rsidRPr="009E4DD8" w:rsidR="008F0D53" w:rsidTr="008F0D53" w14:paraId="73077447" w14:textId="77777777">
        <w:trPr>
          <w:cantSplit/>
        </w:trPr>
        <w:tc>
          <w:tcPr>
            <w:tcW w:w="686" w:type="pct"/>
            <w:tcBorders>
              <w:top w:val="single" w:color="auto" w:sz="4" w:space="0"/>
              <w:left w:val="single" w:color="auto" w:sz="4" w:space="0"/>
              <w:bottom w:val="single" w:color="auto" w:sz="4" w:space="0"/>
              <w:right w:val="single" w:color="auto" w:sz="4" w:space="0"/>
            </w:tcBorders>
          </w:tcPr>
          <w:p w:rsidRPr="009E4DD8" w:rsidR="009E4DD8" w:rsidP="00EC27E6" w:rsidRDefault="009E4DD8" w14:paraId="475C323A" w14:textId="77777777">
            <w:pPr>
              <w:rPr>
                <w:rFonts w:eastAsia="Calibri"/>
                <w:sz w:val="20"/>
                <w:szCs w:val="20"/>
              </w:rPr>
            </w:pPr>
            <w:r w:rsidRPr="009E4DD8">
              <w:rPr>
                <w:rFonts w:eastAsia="Calibri"/>
                <w:sz w:val="20"/>
                <w:szCs w:val="20"/>
              </w:rPr>
              <w:t>Small Power Production Facility &gt; 1 MW, ≥ 10 Miles from Affiliated Facility</w:t>
            </w:r>
          </w:p>
        </w:tc>
        <w:tc>
          <w:tcPr>
            <w:tcW w:w="559" w:type="pct"/>
            <w:tcBorders>
              <w:top w:val="single" w:color="auto" w:sz="4" w:space="0"/>
              <w:left w:val="single" w:color="auto" w:sz="4" w:space="0"/>
              <w:bottom w:val="single" w:color="auto" w:sz="4" w:space="0"/>
              <w:right w:val="single" w:color="auto" w:sz="4" w:space="0"/>
            </w:tcBorders>
            <w:vAlign w:val="center"/>
          </w:tcPr>
          <w:p w:rsidRPr="009E4DD8" w:rsidR="009E4DD8" w:rsidP="00CA42DA" w:rsidRDefault="009E4DD8" w14:paraId="36FFA51A" w14:textId="77777777">
            <w:pPr>
              <w:jc w:val="right"/>
              <w:rPr>
                <w:rFonts w:eastAsia="Calibri"/>
                <w:sz w:val="20"/>
                <w:szCs w:val="20"/>
              </w:rPr>
            </w:pPr>
            <w:r w:rsidRPr="009E4DD8">
              <w:rPr>
                <w:rFonts w:eastAsia="Calibri"/>
                <w:sz w:val="20"/>
                <w:szCs w:val="20"/>
              </w:rPr>
              <w:t>Self-certification</w:t>
            </w:r>
          </w:p>
        </w:tc>
        <w:tc>
          <w:tcPr>
            <w:tcW w:w="617"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086D9B9C" w14:textId="77777777">
            <w:pPr>
              <w:jc w:val="right"/>
              <w:rPr>
                <w:rFonts w:eastAsia="Calibri"/>
                <w:sz w:val="20"/>
                <w:szCs w:val="20"/>
              </w:rPr>
            </w:pPr>
            <w:r w:rsidRPr="009E4DD8">
              <w:rPr>
                <w:rFonts w:eastAsia="Calibri"/>
                <w:sz w:val="20"/>
                <w:szCs w:val="20"/>
              </w:rPr>
              <w:t>1,980</w:t>
            </w:r>
          </w:p>
        </w:tc>
        <w:tc>
          <w:tcPr>
            <w:tcW w:w="579"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6FF755E2" w14:textId="77777777">
            <w:pPr>
              <w:jc w:val="right"/>
              <w:rPr>
                <w:rFonts w:eastAsia="Calibri"/>
                <w:sz w:val="20"/>
                <w:szCs w:val="20"/>
              </w:rPr>
            </w:pPr>
            <w:r w:rsidRPr="009E4DD8">
              <w:rPr>
                <w:rFonts w:eastAsia="Calibri"/>
                <w:sz w:val="20"/>
                <w:szCs w:val="20"/>
              </w:rPr>
              <w:t>1.25</w:t>
            </w:r>
          </w:p>
        </w:tc>
        <w:tc>
          <w:tcPr>
            <w:tcW w:w="534"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7EA6B15D" w14:textId="77777777">
            <w:pPr>
              <w:jc w:val="right"/>
              <w:rPr>
                <w:rFonts w:eastAsia="Calibri"/>
                <w:sz w:val="20"/>
                <w:szCs w:val="20"/>
              </w:rPr>
            </w:pPr>
            <w:r w:rsidRPr="009E4DD8">
              <w:rPr>
                <w:rFonts w:eastAsia="Calibri"/>
                <w:sz w:val="20"/>
                <w:szCs w:val="20"/>
              </w:rPr>
              <w:t>2,475</w:t>
            </w:r>
          </w:p>
        </w:tc>
        <w:tc>
          <w:tcPr>
            <w:tcW w:w="480"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5BEF3D23" w14:textId="77777777">
            <w:pPr>
              <w:jc w:val="right"/>
              <w:rPr>
                <w:rFonts w:eastAsia="Calibri"/>
                <w:sz w:val="20"/>
                <w:szCs w:val="20"/>
              </w:rPr>
            </w:pPr>
            <w:r w:rsidRPr="009E4DD8">
              <w:rPr>
                <w:rFonts w:eastAsia="Calibri"/>
                <w:sz w:val="20"/>
                <w:szCs w:val="20"/>
              </w:rPr>
              <w:t>8 hrs.;</w:t>
            </w:r>
          </w:p>
          <w:p w:rsidRPr="009E4DD8" w:rsidR="009E4DD8" w:rsidRDefault="009E4DD8" w14:paraId="04094767" w14:textId="77777777">
            <w:pPr>
              <w:jc w:val="right"/>
              <w:rPr>
                <w:rFonts w:eastAsia="Calibri"/>
                <w:sz w:val="20"/>
                <w:szCs w:val="20"/>
              </w:rPr>
            </w:pPr>
            <w:r w:rsidRPr="009E4DD8">
              <w:rPr>
                <w:rFonts w:eastAsia="Calibri"/>
                <w:sz w:val="20"/>
                <w:szCs w:val="20"/>
              </w:rPr>
              <w:t>$632</w:t>
            </w:r>
          </w:p>
        </w:tc>
        <w:tc>
          <w:tcPr>
            <w:tcW w:w="86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7304EC2B" w14:textId="77777777">
            <w:pPr>
              <w:jc w:val="right"/>
              <w:rPr>
                <w:rFonts w:eastAsia="Calibri"/>
                <w:sz w:val="20"/>
                <w:szCs w:val="20"/>
              </w:rPr>
            </w:pPr>
            <w:r w:rsidRPr="009E4DD8">
              <w:rPr>
                <w:rFonts w:eastAsia="Calibri"/>
                <w:sz w:val="20"/>
                <w:szCs w:val="20"/>
              </w:rPr>
              <w:t>19,800 hrs.;</w:t>
            </w:r>
          </w:p>
          <w:p w:rsidRPr="009E4DD8" w:rsidR="009E4DD8" w:rsidRDefault="009E4DD8" w14:paraId="1EE51ED7" w14:textId="77777777">
            <w:pPr>
              <w:jc w:val="right"/>
              <w:rPr>
                <w:rFonts w:eastAsia="Calibri"/>
                <w:sz w:val="20"/>
                <w:szCs w:val="20"/>
              </w:rPr>
            </w:pPr>
            <w:r w:rsidRPr="009E4DD8">
              <w:rPr>
                <w:rFonts w:eastAsia="Calibri"/>
                <w:sz w:val="20"/>
                <w:szCs w:val="20"/>
              </w:rPr>
              <w:t>$1,564,200</w:t>
            </w:r>
          </w:p>
        </w:tc>
        <w:tc>
          <w:tcPr>
            <w:tcW w:w="67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56DCE343" w14:textId="77777777">
            <w:pPr>
              <w:jc w:val="right"/>
              <w:rPr>
                <w:rFonts w:eastAsia="Calibri"/>
                <w:sz w:val="20"/>
                <w:szCs w:val="20"/>
              </w:rPr>
            </w:pPr>
            <w:r w:rsidRPr="009E4DD8">
              <w:rPr>
                <w:rFonts w:eastAsia="Calibri"/>
                <w:sz w:val="20"/>
                <w:szCs w:val="20"/>
              </w:rPr>
              <w:t>$790</w:t>
            </w:r>
          </w:p>
        </w:tc>
      </w:tr>
      <w:tr w:rsidRPr="009E4DD8" w:rsidR="008F0D53" w:rsidTr="008F0D53" w14:paraId="4BE9C403" w14:textId="77777777">
        <w:trPr>
          <w:cantSplit/>
        </w:trPr>
        <w:tc>
          <w:tcPr>
            <w:tcW w:w="686" w:type="pct"/>
            <w:tcBorders>
              <w:top w:val="single" w:color="auto" w:sz="4" w:space="0"/>
              <w:left w:val="single" w:color="auto" w:sz="4" w:space="0"/>
              <w:bottom w:val="single" w:color="auto" w:sz="4" w:space="0"/>
              <w:right w:val="single" w:color="auto" w:sz="4" w:space="0"/>
            </w:tcBorders>
          </w:tcPr>
          <w:p w:rsidRPr="009E4DD8" w:rsidR="009E4DD8" w:rsidP="00EC27E6" w:rsidRDefault="009E4DD8" w14:paraId="0004BA10" w14:textId="77777777">
            <w:pPr>
              <w:rPr>
                <w:rFonts w:eastAsia="Calibri"/>
                <w:sz w:val="20"/>
                <w:szCs w:val="20"/>
              </w:rPr>
            </w:pPr>
            <w:r w:rsidRPr="009E4DD8">
              <w:rPr>
                <w:rFonts w:eastAsia="Calibri"/>
                <w:sz w:val="20"/>
                <w:szCs w:val="20"/>
              </w:rPr>
              <w:t>Small Power Production Facility &gt; 1 MW, ≥ 10 Miles from Affiliated Facility</w:t>
            </w:r>
          </w:p>
        </w:tc>
        <w:tc>
          <w:tcPr>
            <w:tcW w:w="559" w:type="pct"/>
            <w:tcBorders>
              <w:top w:val="single" w:color="auto" w:sz="4" w:space="0"/>
              <w:left w:val="single" w:color="auto" w:sz="4" w:space="0"/>
              <w:bottom w:val="single" w:color="auto" w:sz="4" w:space="0"/>
              <w:right w:val="single" w:color="auto" w:sz="4" w:space="0"/>
            </w:tcBorders>
            <w:vAlign w:val="center"/>
          </w:tcPr>
          <w:p w:rsidRPr="009E4DD8" w:rsidR="009E4DD8" w:rsidP="00CA42DA" w:rsidRDefault="009E4DD8" w14:paraId="5062AB70" w14:textId="77777777">
            <w:pPr>
              <w:jc w:val="right"/>
              <w:rPr>
                <w:rFonts w:eastAsia="Calibri"/>
                <w:sz w:val="20"/>
                <w:szCs w:val="20"/>
              </w:rPr>
            </w:pPr>
            <w:r w:rsidRPr="009E4DD8">
              <w:rPr>
                <w:rFonts w:eastAsia="Calibri"/>
                <w:sz w:val="20"/>
                <w:szCs w:val="20"/>
              </w:rPr>
              <w:t>Application for FERC certification</w:t>
            </w:r>
          </w:p>
        </w:tc>
        <w:tc>
          <w:tcPr>
            <w:tcW w:w="617"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7457C74B" w14:textId="77777777">
            <w:pPr>
              <w:jc w:val="right"/>
              <w:rPr>
                <w:rFonts w:eastAsia="Calibri"/>
                <w:sz w:val="20"/>
                <w:szCs w:val="20"/>
              </w:rPr>
            </w:pPr>
            <w:r w:rsidRPr="009E4DD8">
              <w:rPr>
                <w:rFonts w:eastAsia="Calibri"/>
                <w:sz w:val="20"/>
                <w:szCs w:val="20"/>
              </w:rPr>
              <w:t>no change</w:t>
            </w:r>
          </w:p>
        </w:tc>
        <w:tc>
          <w:tcPr>
            <w:tcW w:w="579"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66858D9E" w14:textId="77777777">
            <w:pPr>
              <w:jc w:val="right"/>
              <w:rPr>
                <w:rFonts w:eastAsia="Calibri"/>
                <w:sz w:val="20"/>
                <w:szCs w:val="20"/>
              </w:rPr>
            </w:pPr>
            <w:r w:rsidRPr="009E4DD8">
              <w:rPr>
                <w:rFonts w:eastAsia="Calibri"/>
                <w:sz w:val="20"/>
                <w:szCs w:val="20"/>
              </w:rPr>
              <w:t>no change</w:t>
            </w:r>
          </w:p>
        </w:tc>
        <w:tc>
          <w:tcPr>
            <w:tcW w:w="534"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2C96CC87" w14:textId="77777777">
            <w:pPr>
              <w:jc w:val="right"/>
              <w:rPr>
                <w:rFonts w:eastAsia="Calibri"/>
                <w:sz w:val="20"/>
                <w:szCs w:val="20"/>
              </w:rPr>
            </w:pPr>
            <w:r w:rsidRPr="009E4DD8">
              <w:rPr>
                <w:rFonts w:eastAsia="Calibri"/>
                <w:sz w:val="20"/>
                <w:szCs w:val="20"/>
              </w:rPr>
              <w:t>no change</w:t>
            </w:r>
          </w:p>
        </w:tc>
        <w:tc>
          <w:tcPr>
            <w:tcW w:w="480"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303120A0" w14:textId="77777777">
            <w:pPr>
              <w:jc w:val="right"/>
              <w:rPr>
                <w:rFonts w:eastAsia="Calibri"/>
                <w:sz w:val="20"/>
                <w:szCs w:val="20"/>
              </w:rPr>
            </w:pPr>
            <w:r w:rsidRPr="009E4DD8">
              <w:rPr>
                <w:rFonts w:eastAsia="Calibri"/>
                <w:sz w:val="20"/>
                <w:szCs w:val="20"/>
              </w:rPr>
              <w:t>no change</w:t>
            </w:r>
          </w:p>
        </w:tc>
        <w:tc>
          <w:tcPr>
            <w:tcW w:w="86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67BD5BD6" w14:textId="77777777">
            <w:pPr>
              <w:jc w:val="right"/>
              <w:rPr>
                <w:rFonts w:eastAsia="Calibri"/>
                <w:sz w:val="20"/>
                <w:szCs w:val="20"/>
              </w:rPr>
            </w:pPr>
            <w:r w:rsidRPr="009E4DD8">
              <w:rPr>
                <w:rFonts w:eastAsia="Calibri"/>
                <w:sz w:val="20"/>
                <w:szCs w:val="20"/>
              </w:rPr>
              <w:t>no change</w:t>
            </w:r>
          </w:p>
        </w:tc>
        <w:tc>
          <w:tcPr>
            <w:tcW w:w="678" w:type="pct"/>
            <w:tcBorders>
              <w:top w:val="single" w:color="auto" w:sz="4" w:space="0"/>
              <w:left w:val="single" w:color="auto" w:sz="4" w:space="0"/>
              <w:bottom w:val="single" w:color="auto" w:sz="4" w:space="0"/>
              <w:right w:val="single" w:color="auto" w:sz="4" w:space="0"/>
            </w:tcBorders>
            <w:vAlign w:val="center"/>
          </w:tcPr>
          <w:p w:rsidRPr="009E4DD8" w:rsidR="009E4DD8" w:rsidRDefault="009E4DD8" w14:paraId="6679060B" w14:textId="77777777">
            <w:pPr>
              <w:jc w:val="right"/>
              <w:rPr>
                <w:rFonts w:eastAsia="Calibri"/>
                <w:sz w:val="20"/>
                <w:szCs w:val="20"/>
              </w:rPr>
            </w:pPr>
            <w:r w:rsidRPr="009E4DD8">
              <w:rPr>
                <w:rFonts w:eastAsia="Calibri"/>
                <w:sz w:val="20"/>
                <w:szCs w:val="20"/>
              </w:rPr>
              <w:t>no change</w:t>
            </w:r>
          </w:p>
        </w:tc>
      </w:tr>
      <w:tr w:rsidRPr="009E4DD8" w:rsidR="00CA42DA" w:rsidTr="005F24C0" w14:paraId="5D745C01" w14:textId="77777777">
        <w:trPr>
          <w:cantSplit/>
        </w:trPr>
        <w:tc>
          <w:tcPr>
            <w:tcW w:w="3453" w:type="pct"/>
            <w:gridSpan w:val="6"/>
            <w:tcBorders>
              <w:top w:val="single" w:color="auto" w:sz="4" w:space="0"/>
              <w:left w:val="single" w:color="auto" w:sz="4" w:space="0"/>
              <w:bottom w:val="single" w:color="auto" w:sz="4" w:space="0"/>
              <w:right w:val="single" w:color="auto" w:sz="4" w:space="0"/>
            </w:tcBorders>
            <w:vAlign w:val="center"/>
            <w:hideMark/>
          </w:tcPr>
          <w:p w:rsidRPr="009E4DD8" w:rsidR="00CA42DA" w:rsidP="005F24C0" w:rsidRDefault="00CA42DA" w14:paraId="1B0F1B68" w14:textId="002A3878">
            <w:pPr>
              <w:rPr>
                <w:rFonts w:eastAsia="Calibri"/>
                <w:b/>
                <w:sz w:val="20"/>
                <w:szCs w:val="20"/>
              </w:rPr>
            </w:pPr>
            <w:r w:rsidRPr="009E4DD8">
              <w:rPr>
                <w:rFonts w:eastAsia="Calibri"/>
                <w:b/>
                <w:sz w:val="20"/>
                <w:szCs w:val="20"/>
              </w:rPr>
              <w:t>TOTAL</w:t>
            </w:r>
            <w:r w:rsidR="008F0D53">
              <w:rPr>
                <w:rFonts w:eastAsia="Calibri"/>
                <w:b/>
                <w:sz w:val="20"/>
                <w:szCs w:val="20"/>
              </w:rPr>
              <w:t xml:space="preserve"> for </w:t>
            </w:r>
            <w:r w:rsidR="008F0D53">
              <w:t xml:space="preserve"> </w:t>
            </w:r>
            <w:r w:rsidRPr="008F0D53" w:rsidR="008F0D53">
              <w:rPr>
                <w:rFonts w:eastAsia="Calibri"/>
                <w:b/>
                <w:sz w:val="20"/>
                <w:szCs w:val="20"/>
              </w:rPr>
              <w:t>FERC-556A, as proposed in the NOPR in Docket Nos. RM19-15 and AD16-16</w:t>
            </w:r>
          </w:p>
        </w:tc>
        <w:tc>
          <w:tcPr>
            <w:tcW w:w="868" w:type="pct"/>
            <w:tcBorders>
              <w:top w:val="single" w:color="auto" w:sz="4" w:space="0"/>
              <w:left w:val="single" w:color="auto" w:sz="4" w:space="0"/>
              <w:bottom w:val="single" w:color="auto" w:sz="4" w:space="0"/>
              <w:right w:val="single" w:color="auto" w:sz="4" w:space="0"/>
            </w:tcBorders>
          </w:tcPr>
          <w:p w:rsidRPr="009E4DD8" w:rsidR="00CA42DA" w:rsidP="00EC27E6" w:rsidRDefault="00CA42DA" w14:paraId="2D9B175C" w14:textId="77777777">
            <w:pPr>
              <w:jc w:val="right"/>
              <w:rPr>
                <w:rFonts w:eastAsia="Calibri"/>
                <w:b/>
                <w:sz w:val="20"/>
                <w:szCs w:val="20"/>
              </w:rPr>
            </w:pPr>
            <w:r w:rsidRPr="009E4DD8">
              <w:rPr>
                <w:rFonts w:eastAsia="Calibri"/>
                <w:sz w:val="20"/>
                <w:szCs w:val="20"/>
              </w:rPr>
              <w:t>22,235 hrs.; $1,727,433.75</w:t>
            </w:r>
          </w:p>
        </w:tc>
        <w:tc>
          <w:tcPr>
            <w:tcW w:w="678" w:type="pct"/>
            <w:tcBorders>
              <w:top w:val="single" w:color="auto" w:sz="4" w:space="0"/>
              <w:left w:val="single" w:color="auto" w:sz="4" w:space="0"/>
              <w:bottom w:val="single" w:color="auto" w:sz="4" w:space="0"/>
              <w:right w:val="single" w:color="auto" w:sz="4" w:space="0"/>
            </w:tcBorders>
            <w:shd w:val="clear" w:color="auto" w:fill="BFBFBF"/>
          </w:tcPr>
          <w:p w:rsidRPr="009E4DD8" w:rsidR="00CA42DA" w:rsidP="00EC27E6" w:rsidRDefault="00CA42DA" w14:paraId="31DBEF34" w14:textId="77777777">
            <w:pPr>
              <w:jc w:val="right"/>
              <w:rPr>
                <w:rFonts w:eastAsia="Calibri"/>
                <w:sz w:val="20"/>
                <w:szCs w:val="20"/>
              </w:rPr>
            </w:pPr>
          </w:p>
        </w:tc>
      </w:tr>
    </w:tbl>
    <w:p w:rsidR="009E4DD8" w:rsidP="000A3061" w:rsidRDefault="009E4DD8" w14:paraId="53FA8275" w14:textId="5CA2F3C0">
      <w:pPr>
        <w:pStyle w:val="FERCparanumber"/>
        <w:numPr>
          <w:ilvl w:val="0"/>
          <w:numId w:val="0"/>
        </w:numPr>
        <w:ind w:left="720"/>
        <w:rPr>
          <w:sz w:val="24"/>
        </w:rPr>
      </w:pPr>
    </w:p>
    <w:p w:rsidRPr="002D68D0" w:rsidR="005B4C82" w:rsidP="002D68D0" w:rsidRDefault="005B4C82" w14:paraId="726E0096" w14:textId="3C754D41">
      <w:pPr>
        <w:pStyle w:val="FERCparanumber"/>
        <w:numPr>
          <w:ilvl w:val="0"/>
          <w:numId w:val="0"/>
        </w:numPr>
        <w:ind w:left="72"/>
        <w:rPr>
          <w:szCs w:val="26"/>
        </w:rPr>
      </w:pPr>
      <w:bookmarkStart w:name="_Hlk19625702" w:id="1"/>
      <w:r w:rsidRPr="002D68D0">
        <w:rPr>
          <w:szCs w:val="26"/>
        </w:rPr>
        <w:t xml:space="preserve">Details on the </w:t>
      </w:r>
      <w:r w:rsidR="00781809">
        <w:rPr>
          <w:szCs w:val="26"/>
        </w:rPr>
        <w:t xml:space="preserve">proposed </w:t>
      </w:r>
      <w:r w:rsidRPr="002D68D0">
        <w:rPr>
          <w:szCs w:val="26"/>
        </w:rPr>
        <w:t>changes to the FERC-556 information collection are provided in Attachment A to this supporting statement.</w:t>
      </w:r>
    </w:p>
    <w:bookmarkEnd w:id="1"/>
    <w:p w:rsidRPr="002D68D0" w:rsidR="005B4C82" w:rsidP="000A3061" w:rsidRDefault="005B4C82" w14:paraId="48769C91" w14:textId="77777777">
      <w:pPr>
        <w:pStyle w:val="FERCparanumber"/>
        <w:numPr>
          <w:ilvl w:val="0"/>
          <w:numId w:val="0"/>
        </w:numPr>
        <w:ind w:left="720"/>
        <w:rPr>
          <w:szCs w:val="26"/>
        </w:rPr>
      </w:pPr>
    </w:p>
    <w:p w:rsidRPr="002D68D0" w:rsidR="009D6B6D" w:rsidP="001D2EC1" w:rsidRDefault="00BB6095" w14:paraId="4C6B9227" w14:textId="77777777">
      <w:pPr>
        <w:pStyle w:val="FERCparanumber"/>
        <w:numPr>
          <w:ilvl w:val="0"/>
          <w:numId w:val="7"/>
        </w:numPr>
        <w:rPr>
          <w:szCs w:val="26"/>
        </w:rPr>
      </w:pPr>
      <w:r w:rsidRPr="002D68D0">
        <w:rPr>
          <w:b/>
          <w:szCs w:val="26"/>
        </w:rPr>
        <w:lastRenderedPageBreak/>
        <w:t>ESTIMATE OF THE TOTAL ANNUAL COST BURDEN TO RESPONDENTS</w:t>
      </w:r>
    </w:p>
    <w:p w:rsidRPr="002D68D0" w:rsidR="00EF40FF" w:rsidP="00EF40FF" w:rsidRDefault="00EF40FF" w14:paraId="55D2BF3A" w14:textId="77777777">
      <w:pPr>
        <w:pStyle w:val="FERCparanumber"/>
        <w:numPr>
          <w:ilvl w:val="0"/>
          <w:numId w:val="0"/>
        </w:numPr>
        <w:rPr>
          <w:b/>
          <w:szCs w:val="26"/>
        </w:rPr>
      </w:pPr>
    </w:p>
    <w:p w:rsidRPr="002D68D0" w:rsidR="00432DA3" w:rsidP="00432DA3" w:rsidRDefault="00432DA3" w14:paraId="10FF04D7" w14:textId="77777777">
      <w:pPr>
        <w:widowControl/>
        <w:rPr>
          <w:sz w:val="26"/>
          <w:szCs w:val="26"/>
        </w:rPr>
      </w:pPr>
      <w:r w:rsidRPr="002D68D0">
        <w:rPr>
          <w:sz w:val="26"/>
          <w:szCs w:val="26"/>
        </w:rPr>
        <w:t>There are no non-labor start-up costs. All costs are related to burden hours and are addressed in Questions #12 and #15.</w:t>
      </w:r>
    </w:p>
    <w:p w:rsidRPr="002D68D0" w:rsidR="00EF40FF" w:rsidP="00EF40FF" w:rsidRDefault="00EF40FF" w14:paraId="22696DBF" w14:textId="77777777">
      <w:pPr>
        <w:pStyle w:val="FERCparanumber"/>
        <w:numPr>
          <w:ilvl w:val="0"/>
          <w:numId w:val="0"/>
        </w:numPr>
        <w:rPr>
          <w:szCs w:val="26"/>
        </w:rPr>
      </w:pPr>
    </w:p>
    <w:p w:rsidRPr="002D68D0" w:rsidR="00EF40FF" w:rsidP="001D2EC1" w:rsidRDefault="00EF40FF" w14:paraId="41A3F05C" w14:textId="77777777">
      <w:pPr>
        <w:pStyle w:val="FERCparanumber"/>
        <w:numPr>
          <w:ilvl w:val="0"/>
          <w:numId w:val="7"/>
        </w:numPr>
        <w:rPr>
          <w:b/>
          <w:szCs w:val="26"/>
        </w:rPr>
      </w:pPr>
      <w:r w:rsidRPr="002D68D0">
        <w:rPr>
          <w:b/>
          <w:szCs w:val="26"/>
        </w:rPr>
        <w:t>ESTIMATED ANNUALIZED COST TO FEDERAL GOVERNMENT</w:t>
      </w:r>
    </w:p>
    <w:p w:rsidRPr="002D68D0" w:rsidR="00EF40FF" w:rsidP="00EF40FF" w:rsidRDefault="00EF40FF" w14:paraId="4948C732" w14:textId="77777777">
      <w:pPr>
        <w:pStyle w:val="FERCparanumber"/>
        <w:numPr>
          <w:ilvl w:val="0"/>
          <w:numId w:val="0"/>
        </w:numPr>
        <w:rPr>
          <w:b/>
          <w:szCs w:val="26"/>
        </w:rPr>
      </w:pPr>
    </w:p>
    <w:p w:rsidRPr="002D68D0" w:rsidR="00677FF7" w:rsidP="00677FF7" w:rsidRDefault="00677FF7" w14:paraId="080EB7D6" w14:textId="77777777">
      <w:pPr>
        <w:rPr>
          <w:strike/>
          <w:sz w:val="26"/>
          <w:szCs w:val="26"/>
        </w:rPr>
      </w:pPr>
      <w:r w:rsidRPr="002D68D0">
        <w:rPr>
          <w:sz w:val="26"/>
          <w:szCs w:val="26"/>
        </w:rPr>
        <w:t>The estimate of the cost for ‘analysis and processing of filings’</w:t>
      </w:r>
      <w:r w:rsidRPr="002D68D0">
        <w:rPr>
          <w:rStyle w:val="FootnoteReference"/>
          <w:sz w:val="26"/>
          <w:szCs w:val="26"/>
          <w:vertAlign w:val="superscript"/>
        </w:rPr>
        <w:footnoteReference w:id="16"/>
      </w:r>
      <w:r w:rsidRPr="002D68D0">
        <w:rPr>
          <w:sz w:val="26"/>
          <w:szCs w:val="26"/>
          <w:vertAlign w:val="superscript"/>
        </w:rPr>
        <w:t xml:space="preserve"> </w:t>
      </w:r>
      <w:r w:rsidRPr="002D68D0">
        <w:rPr>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Pr="002D68D0" w:rsidR="00677FF7" w:rsidP="00677FF7" w:rsidRDefault="00677FF7" w14:paraId="37AF4B15" w14:textId="77777777">
      <w:pPr>
        <w:rPr>
          <w:strike/>
          <w:sz w:val="26"/>
          <w:szCs w:val="26"/>
        </w:rPr>
      </w:pPr>
    </w:p>
    <w:p w:rsidRPr="002D68D0" w:rsidR="00677FF7" w:rsidP="00677FF7" w:rsidRDefault="00357EC7" w14:paraId="5AE04343" w14:textId="77777777">
      <w:pPr>
        <w:rPr>
          <w:sz w:val="26"/>
          <w:szCs w:val="26"/>
        </w:rPr>
      </w:pPr>
      <w:r w:rsidRPr="002D68D0">
        <w:rPr>
          <w:sz w:val="26"/>
          <w:szCs w:val="26"/>
        </w:rPr>
        <w:t xml:space="preserve">The </w:t>
      </w:r>
      <w:r w:rsidRPr="002D68D0" w:rsidR="00677FF7">
        <w:rPr>
          <w:sz w:val="26"/>
          <w:szCs w:val="26"/>
        </w:rPr>
        <w:t>PRA Administrative Cost</w:t>
      </w:r>
      <w:r w:rsidRPr="002D68D0" w:rsidR="00677FF7">
        <w:rPr>
          <w:rStyle w:val="FootnoteReference"/>
          <w:sz w:val="26"/>
          <w:szCs w:val="26"/>
          <w:vertAlign w:val="superscript"/>
        </w:rPr>
        <w:footnoteReference w:id="17"/>
      </w:r>
      <w:r w:rsidRPr="002D68D0" w:rsidR="00677FF7">
        <w:rPr>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2D68D0" w:rsidR="00EF40FF" w:rsidP="00EF40FF" w:rsidRDefault="00EF40FF" w14:paraId="68814AFD" w14:textId="77777777">
      <w:pPr>
        <w:pStyle w:val="ListParagraph"/>
        <w:spacing w:after="0" w:line="240" w:lineRule="auto"/>
        <w:rPr>
          <w:rFonts w:ascii="Times New Roman" w:hAnsi="Times New Roman"/>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2D68D0" w:rsidR="00EF40FF" w:rsidTr="00475BA5" w14:paraId="33F6A41D" w14:textId="77777777">
        <w:tc>
          <w:tcPr>
            <w:tcW w:w="1756" w:type="pct"/>
            <w:shd w:val="clear" w:color="auto" w:fill="D9D9D9"/>
            <w:vAlign w:val="center"/>
          </w:tcPr>
          <w:p w:rsidRPr="002D68D0" w:rsidR="00EF40FF" w:rsidP="00B74468" w:rsidRDefault="004D46EC" w14:paraId="4326AA18" w14:textId="77777777">
            <w:pPr>
              <w:pStyle w:val="ListParagraph"/>
              <w:spacing w:after="0" w:line="240" w:lineRule="auto"/>
              <w:ind w:left="0"/>
              <w:jc w:val="center"/>
              <w:rPr>
                <w:rFonts w:ascii="Times New Roman" w:hAnsi="Times New Roman"/>
                <w:b/>
                <w:sz w:val="26"/>
                <w:szCs w:val="26"/>
              </w:rPr>
            </w:pPr>
            <w:r w:rsidRPr="002D68D0">
              <w:rPr>
                <w:rFonts w:ascii="Times New Roman" w:hAnsi="Times New Roman"/>
                <w:b/>
                <w:sz w:val="26"/>
                <w:szCs w:val="26"/>
              </w:rPr>
              <w:t>FERC-556A</w:t>
            </w:r>
          </w:p>
        </w:tc>
        <w:tc>
          <w:tcPr>
            <w:tcW w:w="1627" w:type="pct"/>
            <w:shd w:val="clear" w:color="auto" w:fill="D9D9D9"/>
            <w:vAlign w:val="center"/>
          </w:tcPr>
          <w:p w:rsidRPr="002D68D0" w:rsidR="00EF40FF" w:rsidP="00475BA5" w:rsidRDefault="00EF40FF" w14:paraId="3D5840EC" w14:textId="77777777">
            <w:pPr>
              <w:pStyle w:val="ListParagraph"/>
              <w:spacing w:after="0" w:line="240" w:lineRule="auto"/>
              <w:ind w:left="0"/>
              <w:jc w:val="center"/>
              <w:rPr>
                <w:rFonts w:ascii="Times New Roman" w:hAnsi="Times New Roman"/>
                <w:b/>
                <w:sz w:val="26"/>
                <w:szCs w:val="26"/>
              </w:rPr>
            </w:pPr>
            <w:r w:rsidRPr="002D68D0">
              <w:rPr>
                <w:rFonts w:ascii="Times New Roman" w:hAnsi="Times New Roman"/>
                <w:b/>
                <w:sz w:val="26"/>
                <w:szCs w:val="26"/>
              </w:rPr>
              <w:t>Number of Employees (FTE)</w:t>
            </w:r>
          </w:p>
        </w:tc>
        <w:tc>
          <w:tcPr>
            <w:tcW w:w="1617" w:type="pct"/>
            <w:shd w:val="clear" w:color="auto" w:fill="D9D9D9"/>
            <w:vAlign w:val="center"/>
          </w:tcPr>
          <w:p w:rsidRPr="002D68D0" w:rsidR="00EF40FF" w:rsidP="00475BA5" w:rsidRDefault="00EF40FF" w14:paraId="7DBF6E47" w14:textId="77777777">
            <w:pPr>
              <w:pStyle w:val="ListParagraph"/>
              <w:spacing w:after="0" w:line="240" w:lineRule="auto"/>
              <w:ind w:left="0"/>
              <w:jc w:val="center"/>
              <w:rPr>
                <w:rFonts w:ascii="Times New Roman" w:hAnsi="Times New Roman"/>
                <w:b/>
                <w:sz w:val="26"/>
                <w:szCs w:val="26"/>
              </w:rPr>
            </w:pPr>
            <w:r w:rsidRPr="002D68D0">
              <w:rPr>
                <w:rFonts w:ascii="Times New Roman" w:hAnsi="Times New Roman"/>
                <w:b/>
                <w:sz w:val="26"/>
                <w:szCs w:val="26"/>
              </w:rPr>
              <w:t>Estimated Annual Federal Cost</w:t>
            </w:r>
          </w:p>
        </w:tc>
      </w:tr>
      <w:tr w:rsidRPr="002D68D0" w:rsidR="00EF40FF" w:rsidTr="00475BA5" w14:paraId="7167D419" w14:textId="77777777">
        <w:tc>
          <w:tcPr>
            <w:tcW w:w="1756" w:type="pct"/>
            <w:shd w:val="clear" w:color="auto" w:fill="auto"/>
            <w:vAlign w:val="center"/>
          </w:tcPr>
          <w:p w:rsidRPr="002D68D0" w:rsidR="00EF40FF" w:rsidP="00475BA5" w:rsidRDefault="00EF40FF" w14:paraId="1802AC01" w14:textId="424968AF">
            <w:pPr>
              <w:pStyle w:val="ListParagraph"/>
              <w:spacing w:after="0" w:line="240" w:lineRule="auto"/>
              <w:ind w:left="0"/>
              <w:rPr>
                <w:rFonts w:ascii="Times New Roman" w:hAnsi="Times New Roman"/>
                <w:sz w:val="26"/>
                <w:szCs w:val="26"/>
              </w:rPr>
            </w:pPr>
            <w:r w:rsidRPr="002D68D0">
              <w:rPr>
                <w:rFonts w:ascii="Times New Roman" w:hAnsi="Times New Roman"/>
                <w:sz w:val="26"/>
                <w:szCs w:val="26"/>
              </w:rPr>
              <w:t>Analysis and Processing of Filings</w:t>
            </w:r>
          </w:p>
        </w:tc>
        <w:tc>
          <w:tcPr>
            <w:tcW w:w="1627" w:type="pct"/>
            <w:shd w:val="clear" w:color="auto" w:fill="auto"/>
            <w:vAlign w:val="center"/>
          </w:tcPr>
          <w:p w:rsidRPr="002D68D0" w:rsidR="00EF40FF" w:rsidP="00475BA5" w:rsidRDefault="00486BAD" w14:paraId="398D5012" w14:textId="627DD5E7">
            <w:pPr>
              <w:pStyle w:val="ListParagraph"/>
              <w:spacing w:after="0" w:line="240" w:lineRule="auto"/>
              <w:ind w:left="0"/>
              <w:jc w:val="right"/>
              <w:rPr>
                <w:rFonts w:ascii="Times New Roman" w:hAnsi="Times New Roman"/>
                <w:sz w:val="26"/>
                <w:szCs w:val="26"/>
                <w:highlight w:val="yellow"/>
              </w:rPr>
            </w:pPr>
            <w:r>
              <w:rPr>
                <w:rFonts w:ascii="Times New Roman" w:hAnsi="Times New Roman"/>
                <w:sz w:val="26"/>
                <w:szCs w:val="26"/>
              </w:rPr>
              <w:t>1</w:t>
            </w:r>
            <w:r w:rsidR="002939AF">
              <w:rPr>
                <w:rFonts w:ascii="Times New Roman" w:hAnsi="Times New Roman"/>
                <w:sz w:val="26"/>
                <w:szCs w:val="26"/>
              </w:rPr>
              <w:t xml:space="preserve"> </w:t>
            </w:r>
            <w:r w:rsidRPr="001D7397">
              <w:rPr>
                <w:rStyle w:val="FootnoteReference"/>
                <w:rFonts w:ascii="Times New Roman" w:hAnsi="Times New Roman"/>
                <w:sz w:val="26"/>
                <w:szCs w:val="26"/>
                <w:vertAlign w:val="superscript"/>
              </w:rPr>
              <w:footnoteReference w:id="18"/>
            </w:r>
          </w:p>
        </w:tc>
        <w:tc>
          <w:tcPr>
            <w:tcW w:w="1617" w:type="pct"/>
            <w:shd w:val="clear" w:color="auto" w:fill="auto"/>
            <w:vAlign w:val="center"/>
          </w:tcPr>
          <w:p w:rsidRPr="00320824" w:rsidR="00EF40FF" w:rsidP="00CE3289" w:rsidRDefault="00E93379" w14:paraId="7D4594BB" w14:textId="1083E31A">
            <w:pPr>
              <w:pStyle w:val="ListParagraph"/>
              <w:spacing w:after="0" w:line="240" w:lineRule="auto"/>
              <w:ind w:left="0"/>
              <w:jc w:val="right"/>
              <w:rPr>
                <w:rFonts w:ascii="Times New Roman" w:hAnsi="Times New Roman"/>
                <w:sz w:val="26"/>
                <w:szCs w:val="26"/>
              </w:rPr>
            </w:pPr>
            <w:r w:rsidRPr="00320824">
              <w:rPr>
                <w:rFonts w:ascii="Times New Roman" w:hAnsi="Times New Roman"/>
                <w:sz w:val="26"/>
                <w:szCs w:val="26"/>
              </w:rPr>
              <w:t>$</w:t>
            </w:r>
            <w:r w:rsidRPr="00320824" w:rsidR="00486BAD">
              <w:rPr>
                <w:rFonts w:ascii="Times New Roman" w:hAnsi="Times New Roman"/>
                <w:sz w:val="26"/>
                <w:szCs w:val="26"/>
              </w:rPr>
              <w:t>167,091</w:t>
            </w:r>
          </w:p>
        </w:tc>
      </w:tr>
      <w:tr w:rsidRPr="002D68D0" w:rsidR="00EF40FF" w:rsidTr="00475BA5" w14:paraId="761AB83C" w14:textId="77777777">
        <w:tc>
          <w:tcPr>
            <w:tcW w:w="1756" w:type="pct"/>
            <w:shd w:val="clear" w:color="auto" w:fill="auto"/>
            <w:vAlign w:val="center"/>
          </w:tcPr>
          <w:p w:rsidRPr="002D68D0" w:rsidR="00EF40FF" w:rsidP="00357EC7" w:rsidRDefault="00EF40FF" w14:paraId="3740C130" w14:textId="77777777">
            <w:pPr>
              <w:pStyle w:val="ListParagraph"/>
              <w:spacing w:after="0" w:line="240" w:lineRule="auto"/>
              <w:ind w:left="0"/>
              <w:rPr>
                <w:rFonts w:ascii="Times New Roman" w:hAnsi="Times New Roman"/>
                <w:sz w:val="26"/>
                <w:szCs w:val="26"/>
              </w:rPr>
            </w:pPr>
            <w:r w:rsidRPr="002D68D0">
              <w:rPr>
                <w:rFonts w:ascii="Times New Roman" w:hAnsi="Times New Roman"/>
                <w:sz w:val="26"/>
                <w:szCs w:val="26"/>
              </w:rPr>
              <w:t>PRA Administrative Cost</w:t>
            </w:r>
          </w:p>
        </w:tc>
        <w:tc>
          <w:tcPr>
            <w:tcW w:w="1627" w:type="pct"/>
            <w:shd w:val="clear" w:color="auto" w:fill="D9D9D9"/>
            <w:vAlign w:val="center"/>
          </w:tcPr>
          <w:p w:rsidRPr="002D68D0" w:rsidR="00EF40FF" w:rsidP="00475BA5" w:rsidRDefault="00EF40FF" w14:paraId="4A401CE3"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320824" w:rsidR="00EF40FF" w:rsidP="00957296" w:rsidRDefault="00432DA3" w14:paraId="18A11120" w14:textId="23743723">
            <w:pPr>
              <w:pStyle w:val="ListParagraph"/>
              <w:spacing w:after="0" w:line="240" w:lineRule="auto"/>
              <w:ind w:left="0"/>
              <w:jc w:val="right"/>
              <w:rPr>
                <w:rFonts w:ascii="Times New Roman" w:hAnsi="Times New Roman"/>
                <w:sz w:val="26"/>
                <w:szCs w:val="26"/>
              </w:rPr>
            </w:pPr>
            <w:r w:rsidRPr="00320824">
              <w:rPr>
                <w:rFonts w:ascii="Times New Roman" w:hAnsi="Times New Roman"/>
                <w:sz w:val="26"/>
                <w:szCs w:val="26"/>
              </w:rPr>
              <w:t>$</w:t>
            </w:r>
            <w:r w:rsidRPr="00320824" w:rsidR="00677FF7">
              <w:rPr>
                <w:rFonts w:ascii="Times New Roman" w:hAnsi="Times New Roman"/>
                <w:sz w:val="26"/>
                <w:szCs w:val="26"/>
              </w:rPr>
              <w:t>4,</w:t>
            </w:r>
            <w:r w:rsidRPr="00320824" w:rsidR="00355086">
              <w:rPr>
                <w:rFonts w:ascii="Times New Roman" w:hAnsi="Times New Roman"/>
                <w:sz w:val="26"/>
                <w:szCs w:val="26"/>
              </w:rPr>
              <w:t>832</w:t>
            </w:r>
          </w:p>
        </w:tc>
      </w:tr>
      <w:tr w:rsidRPr="002D68D0" w:rsidR="00EF40FF" w:rsidTr="00475BA5" w14:paraId="79646FA5" w14:textId="77777777">
        <w:tc>
          <w:tcPr>
            <w:tcW w:w="1756" w:type="pct"/>
            <w:shd w:val="clear" w:color="auto" w:fill="auto"/>
            <w:vAlign w:val="center"/>
          </w:tcPr>
          <w:p w:rsidRPr="002D68D0" w:rsidR="00EF40FF" w:rsidP="00475BA5" w:rsidRDefault="00EF40FF" w14:paraId="7A1ADE2A" w14:textId="77777777">
            <w:pPr>
              <w:pStyle w:val="ListParagraph"/>
              <w:spacing w:after="0" w:line="240" w:lineRule="auto"/>
              <w:ind w:left="0"/>
              <w:rPr>
                <w:rFonts w:ascii="Times New Roman" w:hAnsi="Times New Roman"/>
                <w:sz w:val="26"/>
                <w:szCs w:val="26"/>
              </w:rPr>
            </w:pPr>
            <w:r w:rsidRPr="002D68D0">
              <w:rPr>
                <w:rFonts w:ascii="Times New Roman" w:hAnsi="Times New Roman"/>
                <w:sz w:val="26"/>
                <w:szCs w:val="26"/>
              </w:rPr>
              <w:t>FERC Total</w:t>
            </w:r>
          </w:p>
        </w:tc>
        <w:tc>
          <w:tcPr>
            <w:tcW w:w="1627" w:type="pct"/>
            <w:shd w:val="clear" w:color="auto" w:fill="D9D9D9"/>
            <w:vAlign w:val="center"/>
          </w:tcPr>
          <w:p w:rsidRPr="002D68D0" w:rsidR="00EF40FF" w:rsidP="00475BA5" w:rsidRDefault="00EF40FF" w14:paraId="73C9E193"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320824" w:rsidR="00EF40FF" w:rsidP="00CE3289" w:rsidRDefault="00E93379" w14:paraId="22DFA908" w14:textId="2EAC0A4E">
            <w:pPr>
              <w:pStyle w:val="ListParagraph"/>
              <w:spacing w:after="0" w:line="240" w:lineRule="auto"/>
              <w:ind w:left="0"/>
              <w:jc w:val="right"/>
              <w:rPr>
                <w:rFonts w:ascii="Times New Roman" w:hAnsi="Times New Roman"/>
                <w:sz w:val="26"/>
                <w:szCs w:val="26"/>
              </w:rPr>
            </w:pPr>
            <w:r w:rsidRPr="00320824">
              <w:rPr>
                <w:rFonts w:ascii="Times New Roman" w:hAnsi="Times New Roman"/>
                <w:sz w:val="26"/>
                <w:szCs w:val="26"/>
              </w:rPr>
              <w:t>$</w:t>
            </w:r>
            <w:r w:rsidRPr="00320824" w:rsidR="00486BAD">
              <w:rPr>
                <w:rFonts w:ascii="Times New Roman" w:hAnsi="Times New Roman"/>
                <w:sz w:val="26"/>
                <w:szCs w:val="26"/>
              </w:rPr>
              <w:t>171,923</w:t>
            </w:r>
          </w:p>
        </w:tc>
      </w:tr>
    </w:tbl>
    <w:p w:rsidRPr="001D2EC1" w:rsidR="00EF40FF" w:rsidP="00EF40FF" w:rsidRDefault="00EF40FF" w14:paraId="1D1C01AF" w14:textId="77777777">
      <w:pPr>
        <w:pStyle w:val="ListParagraph"/>
        <w:spacing w:after="0" w:line="240" w:lineRule="auto"/>
        <w:rPr>
          <w:rFonts w:ascii="Times New Roman" w:hAnsi="Times New Roman"/>
          <w:b/>
          <w:sz w:val="24"/>
          <w:szCs w:val="24"/>
        </w:rPr>
      </w:pPr>
    </w:p>
    <w:p w:rsidRPr="00A02928" w:rsidR="00EF40FF" w:rsidP="001D2EC1" w:rsidRDefault="00EF40FF" w14:paraId="56794A0D" w14:textId="08154129">
      <w:pPr>
        <w:pStyle w:val="FERCparanumber"/>
        <w:numPr>
          <w:ilvl w:val="0"/>
          <w:numId w:val="7"/>
        </w:numPr>
        <w:rPr>
          <w:b/>
          <w:szCs w:val="26"/>
        </w:rPr>
      </w:pPr>
      <w:r w:rsidRPr="00A02928">
        <w:rPr>
          <w:b/>
          <w:szCs w:val="26"/>
        </w:rPr>
        <w:t>REASONS FOR CHANGES IN BURDEN INCLUDING THE NEED FOR ANY INCREASE</w:t>
      </w:r>
      <w:r w:rsidR="00486BAD">
        <w:rPr>
          <w:b/>
          <w:szCs w:val="26"/>
        </w:rPr>
        <w:t xml:space="preserve"> </w:t>
      </w:r>
    </w:p>
    <w:p w:rsidR="005B4C82" w:rsidP="00EF40FF" w:rsidRDefault="005B4C82" w14:paraId="53581CF5" w14:textId="4A6C9CD0">
      <w:pPr>
        <w:pStyle w:val="FERCparanumber"/>
        <w:numPr>
          <w:ilvl w:val="0"/>
          <w:numId w:val="0"/>
        </w:numPr>
        <w:rPr>
          <w:szCs w:val="26"/>
        </w:rPr>
      </w:pPr>
      <w:r w:rsidRPr="005B4C82">
        <w:rPr>
          <w:szCs w:val="26"/>
        </w:rPr>
        <w:t xml:space="preserve">Details on the </w:t>
      </w:r>
      <w:r w:rsidR="00781809">
        <w:rPr>
          <w:szCs w:val="26"/>
        </w:rPr>
        <w:t xml:space="preserve">proposed </w:t>
      </w:r>
      <w:r w:rsidRPr="005B4C82">
        <w:rPr>
          <w:szCs w:val="26"/>
        </w:rPr>
        <w:t xml:space="preserve">changes to the FERC-556 information </w:t>
      </w:r>
      <w:r>
        <w:rPr>
          <w:szCs w:val="26"/>
        </w:rPr>
        <w:t xml:space="preserve">collection </w:t>
      </w:r>
      <w:r w:rsidRPr="005B4C82">
        <w:rPr>
          <w:szCs w:val="26"/>
        </w:rPr>
        <w:t>are provided in Attachment A to this supporting statement.</w:t>
      </w:r>
    </w:p>
    <w:p w:rsidRPr="00A02928" w:rsidR="005B4C82" w:rsidP="00EF40FF" w:rsidRDefault="005B4C82" w14:paraId="399EEE2D" w14:textId="77777777">
      <w:pPr>
        <w:pStyle w:val="FERCparanumber"/>
        <w:numPr>
          <w:ilvl w:val="0"/>
          <w:numId w:val="0"/>
        </w:numPr>
        <w:rPr>
          <w:szCs w:val="26"/>
        </w:rPr>
      </w:pPr>
    </w:p>
    <w:p w:rsidRPr="002D68D0" w:rsidR="009918FF" w:rsidP="00A8207E" w:rsidRDefault="00A969B9" w14:paraId="41598D39" w14:textId="7AC189E9">
      <w:pPr>
        <w:pStyle w:val="FERCparanumber"/>
        <w:numPr>
          <w:ilvl w:val="0"/>
          <w:numId w:val="0"/>
        </w:numPr>
        <w:rPr>
          <w:szCs w:val="26"/>
        </w:rPr>
      </w:pPr>
      <w:r w:rsidRPr="002D68D0">
        <w:rPr>
          <w:szCs w:val="26"/>
        </w:rPr>
        <w:lastRenderedPageBreak/>
        <w:t>The Commission believes that an update to the PURPA Regulations is warranted to ensure the Commission continues to fulfill its statutory obligations under PURPA</w:t>
      </w:r>
      <w:r w:rsidRPr="002D68D0" w:rsidR="00D0054E">
        <w:rPr>
          <w:szCs w:val="26"/>
        </w:rPr>
        <w:t>.  Modifying the current “one-mile rule” for determining whether generation facilities should be considered to be part of a single facility for purposes of determining qualification as a qualifying small power production facility increases the burden on each filer to provide more information in its filing</w:t>
      </w:r>
      <w:r w:rsidRPr="002D68D0">
        <w:rPr>
          <w:szCs w:val="26"/>
        </w:rPr>
        <w:t xml:space="preserve">.  </w:t>
      </w:r>
      <w:r w:rsidRPr="002D68D0" w:rsidR="009918FF">
        <w:rPr>
          <w:szCs w:val="26"/>
        </w:rPr>
        <w:t xml:space="preserve">The Commission proposes to allow entities challenging a QF certification to rebut the presumption that affiliated facilities located more than one mile </w:t>
      </w:r>
      <w:r w:rsidR="008A0126">
        <w:rPr>
          <w:szCs w:val="26"/>
        </w:rPr>
        <w:t xml:space="preserve">and less than ten miles </w:t>
      </w:r>
      <w:r w:rsidRPr="002D68D0" w:rsidR="009918FF">
        <w:rPr>
          <w:szCs w:val="26"/>
        </w:rPr>
        <w:t xml:space="preserve">apart are considered to be separate QFs.  The Commission proposes that this change would be effective as of the date of a final rule, which means that such challenges could only be made to QF certifications and recertifications that are submitted after the effective date of the final rule in this proceeding.  </w:t>
      </w:r>
    </w:p>
    <w:p w:rsidRPr="002D68D0" w:rsidR="00A8207E" w:rsidP="002D68D0" w:rsidRDefault="00A8207E" w14:paraId="7AF55F52" w14:textId="77777777">
      <w:pPr>
        <w:pStyle w:val="FERCparanumber"/>
        <w:numPr>
          <w:ilvl w:val="0"/>
          <w:numId w:val="0"/>
        </w:numPr>
        <w:rPr>
          <w:szCs w:val="26"/>
        </w:rPr>
      </w:pPr>
    </w:p>
    <w:p w:rsidRPr="002D68D0" w:rsidR="009918FF" w:rsidP="002D68D0" w:rsidRDefault="009918FF" w14:paraId="238B8C9D" w14:textId="77777777">
      <w:pPr>
        <w:pStyle w:val="FERCparanumber"/>
        <w:numPr>
          <w:ilvl w:val="0"/>
          <w:numId w:val="0"/>
        </w:numPr>
        <w:rPr>
          <w:szCs w:val="26"/>
        </w:rPr>
      </w:pPr>
      <w:r w:rsidRPr="002D68D0">
        <w:rPr>
          <w:szCs w:val="26"/>
        </w:rPr>
        <w:t xml:space="preserve">The Commission proposes that an entity can seek to rebut the presumption only for those facilities that are located more than one mile apart, but less than ten miles apart.  The Commission believes that, just as there are some facilities that may be so close that it is reasonable to irrebuttably treat them as a single facility (those a mile or less apart), so there are some facilities that are sufficiently far apart that it is reasonable to treat them as irrebuttably separate facilities.  That latter distance, the Commission believes, is ten miles or more apart.  Thus, if two affiliated facilities are one mile or less apart they are currently and would under the proposed changes continue to be irrebuttably presumed to be a single facility at a single site.  If affiliated facilities are ten miles or more apart, they would be irrebuttably presumed to be separate facilities at separate sites.  </w:t>
      </w:r>
    </w:p>
    <w:p w:rsidRPr="002D68D0" w:rsidR="009918FF" w:rsidP="00A8207E" w:rsidRDefault="009918FF" w14:paraId="3B9E32C2" w14:textId="27B1B111">
      <w:pPr>
        <w:pStyle w:val="FERCparanumber"/>
        <w:numPr>
          <w:ilvl w:val="0"/>
          <w:numId w:val="0"/>
        </w:numPr>
        <w:rPr>
          <w:szCs w:val="26"/>
        </w:rPr>
      </w:pPr>
      <w:r w:rsidRPr="002D68D0">
        <w:rPr>
          <w:szCs w:val="26"/>
        </w:rPr>
        <w:t xml:space="preserve">The Commission proposes corresponding changes to the FERC Form No. 556.  Currently, item 8a of Form No. 556 requires that the applicant identify any facilities with electrical generating equipment within one mile of the instant facility’s electrical generating equipment.  The Commission proposes adding a new item, which would be similar to the current item 8a, except that it would cover affiliated facilities whose nearest electrical generating equipment is greater than 1 mile and less than 10 miles from the electrical generating equipment of the instant facility.  </w:t>
      </w:r>
    </w:p>
    <w:p w:rsidRPr="002D68D0" w:rsidR="00A8207E" w:rsidP="002D68D0" w:rsidRDefault="00A8207E" w14:paraId="0925CCE5" w14:textId="77777777">
      <w:pPr>
        <w:pStyle w:val="FERCparanumber"/>
        <w:numPr>
          <w:ilvl w:val="0"/>
          <w:numId w:val="0"/>
        </w:numPr>
        <w:rPr>
          <w:szCs w:val="26"/>
        </w:rPr>
      </w:pPr>
    </w:p>
    <w:p w:rsidR="009918FF" w:rsidP="002D68D0" w:rsidRDefault="009918FF" w14:paraId="3F0E2082" w14:textId="170D7A2A">
      <w:pPr>
        <w:pStyle w:val="FERCparanumber"/>
        <w:numPr>
          <w:ilvl w:val="0"/>
          <w:numId w:val="0"/>
        </w:numPr>
        <w:rPr>
          <w:szCs w:val="26"/>
        </w:rPr>
      </w:pPr>
      <w:r w:rsidRPr="002D68D0">
        <w:rPr>
          <w:szCs w:val="26"/>
        </w:rPr>
        <w:t xml:space="preserve">The Commission proposes that the instructions for the new item  would also allow applicants with facilities identified under </w:t>
      </w:r>
      <w:r w:rsidR="004F3784">
        <w:rPr>
          <w:szCs w:val="26"/>
        </w:rPr>
        <w:t xml:space="preserve">the new </w:t>
      </w:r>
      <w:r w:rsidRPr="002D68D0">
        <w:rPr>
          <w:szCs w:val="26"/>
        </w:rPr>
        <w:t xml:space="preserve">item (i.e., facilities </w:t>
      </w:r>
      <w:r w:rsidR="008A0126">
        <w:rPr>
          <w:szCs w:val="26"/>
        </w:rPr>
        <w:t>over</w:t>
      </w:r>
      <w:r w:rsidRPr="002D68D0">
        <w:rPr>
          <w:szCs w:val="26"/>
        </w:rPr>
        <w:t xml:space="preserve"> </w:t>
      </w:r>
      <w:r w:rsidR="008A0126">
        <w:rPr>
          <w:szCs w:val="26"/>
        </w:rPr>
        <w:t>one</w:t>
      </w:r>
      <w:r w:rsidRPr="002D68D0" w:rsidR="008A0126">
        <w:rPr>
          <w:szCs w:val="26"/>
        </w:rPr>
        <w:t xml:space="preserve"> </w:t>
      </w:r>
      <w:r w:rsidRPr="002D68D0">
        <w:rPr>
          <w:szCs w:val="26"/>
        </w:rPr>
        <w:t xml:space="preserve">and </w:t>
      </w:r>
      <w:r w:rsidR="008A0126">
        <w:rPr>
          <w:szCs w:val="26"/>
        </w:rPr>
        <w:t>less than ten</w:t>
      </w:r>
      <w:r w:rsidRPr="002D68D0" w:rsidR="008A0126">
        <w:rPr>
          <w:szCs w:val="26"/>
        </w:rPr>
        <w:t xml:space="preserve"> </w:t>
      </w:r>
      <w:r w:rsidRPr="002D68D0">
        <w:rPr>
          <w:szCs w:val="26"/>
        </w:rPr>
        <w:t xml:space="preserve">miles apart) to, if they choose, explain why the facilities identified under </w:t>
      </w:r>
      <w:r w:rsidR="004F3784">
        <w:rPr>
          <w:szCs w:val="26"/>
        </w:rPr>
        <w:t xml:space="preserve">the new </w:t>
      </w:r>
      <w:r w:rsidRPr="002D68D0">
        <w:rPr>
          <w:szCs w:val="26"/>
        </w:rPr>
        <w:t>item should be considered separate facilities, considering the relevant physical and ownership factors.  The Commission further proposes to provide reference, in the instructions to the new item, to the paragraphs of a final rule under this rulemaking which discuss the relevant physical and ownership factors that may be asserted to defend against rebuttal.</w:t>
      </w:r>
    </w:p>
    <w:p w:rsidR="004F3784" w:rsidP="002D68D0" w:rsidRDefault="004F3784" w14:paraId="3E07586D" w14:textId="3AD81D8C">
      <w:pPr>
        <w:pStyle w:val="FERCparanumber"/>
        <w:numPr>
          <w:ilvl w:val="0"/>
          <w:numId w:val="0"/>
        </w:numPr>
        <w:rPr>
          <w:szCs w:val="26"/>
        </w:rPr>
      </w:pPr>
    </w:p>
    <w:p w:rsidRPr="002D68D0" w:rsidR="004F3784" w:rsidP="002D68D0" w:rsidRDefault="004F3784" w14:paraId="0FF2566F" w14:textId="1661C411">
      <w:pPr>
        <w:pStyle w:val="FERCparanumber"/>
        <w:numPr>
          <w:ilvl w:val="0"/>
          <w:numId w:val="0"/>
        </w:numPr>
        <w:rPr>
          <w:szCs w:val="26"/>
        </w:rPr>
      </w:pPr>
      <w:r w:rsidRPr="002D68D0">
        <w:rPr>
          <w:szCs w:val="26"/>
        </w:rPr>
        <w:lastRenderedPageBreak/>
        <w:t xml:space="preserve">The Commission </w:t>
      </w:r>
      <w:r>
        <w:rPr>
          <w:szCs w:val="26"/>
        </w:rPr>
        <w:t xml:space="preserve">also </w:t>
      </w:r>
      <w:r w:rsidRPr="002D68D0">
        <w:rPr>
          <w:szCs w:val="26"/>
        </w:rPr>
        <w:t>proposes</w:t>
      </w:r>
      <w:r>
        <w:rPr>
          <w:szCs w:val="26"/>
        </w:rPr>
        <w:t xml:space="preserve"> that both existing item 8a and the new item would request </w:t>
      </w:r>
      <w:r w:rsidR="007B3C48">
        <w:rPr>
          <w:szCs w:val="26"/>
        </w:rPr>
        <w:t xml:space="preserve">the measured distance between the applicant facility and the other identified neighboring facilities, along with an explanation of how those distances were calculated. </w:t>
      </w:r>
    </w:p>
    <w:p w:rsidRPr="002D68D0" w:rsidR="005E0C29" w:rsidP="00A02928" w:rsidRDefault="005E0C29" w14:paraId="2181335E" w14:textId="77777777">
      <w:pPr>
        <w:pStyle w:val="FERCparanumber"/>
        <w:numPr>
          <w:ilvl w:val="0"/>
          <w:numId w:val="0"/>
        </w:numPr>
        <w:rPr>
          <w:szCs w:val="26"/>
        </w:rPr>
      </w:pPr>
    </w:p>
    <w:p w:rsidRPr="005970B6" w:rsidR="00A969B9" w:rsidP="002D68D0" w:rsidRDefault="009918FF" w14:paraId="721235ED" w14:textId="7B144E8F">
      <w:pPr>
        <w:pStyle w:val="FERCparanumber"/>
        <w:numPr>
          <w:ilvl w:val="0"/>
          <w:numId w:val="0"/>
        </w:numPr>
        <w:rPr>
          <w:strike/>
          <w:sz w:val="24"/>
        </w:rPr>
      </w:pPr>
      <w:r w:rsidRPr="002D68D0">
        <w:rPr>
          <w:szCs w:val="26"/>
        </w:rPr>
        <w:t>Th</w:t>
      </w:r>
      <w:r w:rsidR="004F3784">
        <w:rPr>
          <w:szCs w:val="26"/>
        </w:rPr>
        <w:t>e</w:t>
      </w:r>
      <w:r w:rsidRPr="002D68D0">
        <w:rPr>
          <w:szCs w:val="26"/>
        </w:rPr>
        <w:t xml:space="preserve"> proposed change</w:t>
      </w:r>
      <w:r w:rsidR="004F3784">
        <w:rPr>
          <w:szCs w:val="26"/>
        </w:rPr>
        <w:t>s</w:t>
      </w:r>
      <w:r w:rsidRPr="002D68D0">
        <w:rPr>
          <w:szCs w:val="26"/>
        </w:rPr>
        <w:t xml:space="preserve"> would require more time from filing parties to describe any relation to neighboring or affiliated facilities.</w:t>
      </w:r>
      <w:r w:rsidRPr="005970B6" w:rsidDel="00781809" w:rsidR="00781809">
        <w:rPr>
          <w:strike/>
          <w:sz w:val="24"/>
        </w:rPr>
        <w:t xml:space="preserve"> </w:t>
      </w:r>
      <w:r w:rsidR="00781809">
        <w:rPr>
          <w:strike/>
          <w:sz w:val="24"/>
        </w:rPr>
        <w:t xml:space="preserve"> </w:t>
      </w:r>
    </w:p>
    <w:p w:rsidRPr="002D68D0" w:rsidR="00C56045" w:rsidP="00EF40FF" w:rsidRDefault="00C56045" w14:paraId="3FABBEC8" w14:textId="77777777">
      <w:pPr>
        <w:widowControl/>
        <w:rPr>
          <w:sz w:val="26"/>
          <w:szCs w:val="26"/>
        </w:rPr>
      </w:pPr>
    </w:p>
    <w:p w:rsidRPr="002D68D0" w:rsidR="00EF40FF" w:rsidP="00EF40FF" w:rsidRDefault="00545B62" w14:paraId="3AC2D7E6" w14:textId="3482AD72">
      <w:pPr>
        <w:widowControl/>
        <w:tabs>
          <w:tab w:val="left" w:pos="2394"/>
        </w:tabs>
        <w:rPr>
          <w:i/>
          <w:sz w:val="26"/>
          <w:szCs w:val="26"/>
        </w:rPr>
      </w:pPr>
      <w:r w:rsidRPr="002D68D0">
        <w:rPr>
          <w:sz w:val="26"/>
          <w:szCs w:val="26"/>
        </w:rPr>
        <w:t xml:space="preserve">The following table shows the total burden of the </w:t>
      </w:r>
      <w:r w:rsidRPr="002D68D0" w:rsidR="00E10B0F">
        <w:rPr>
          <w:sz w:val="26"/>
          <w:szCs w:val="26"/>
        </w:rPr>
        <w:t>proposed FERC-556A</w:t>
      </w:r>
      <w:r w:rsidRPr="002D68D0" w:rsidR="005970B6">
        <w:rPr>
          <w:sz w:val="26"/>
          <w:szCs w:val="26"/>
        </w:rPr>
        <w:t xml:space="preserve"> related to the NOPR in Docket No. RM19-15</w:t>
      </w:r>
      <w:r w:rsidRPr="002D68D0" w:rsidR="00E10B0F">
        <w:rPr>
          <w:sz w:val="26"/>
          <w:szCs w:val="26"/>
        </w:rPr>
        <w:t>.</w:t>
      </w:r>
      <w:r w:rsidRPr="002D68D0" w:rsidR="00C546FD">
        <w:rPr>
          <w:sz w:val="26"/>
          <w:szCs w:val="26"/>
        </w:rPr>
        <w:t xml:space="preserve">  </w:t>
      </w:r>
      <w:r w:rsidRPr="002D68D0" w:rsidR="00C546FD">
        <w:rPr>
          <w:i/>
          <w:sz w:val="26"/>
          <w:szCs w:val="26"/>
        </w:rPr>
        <w:t>As noted above, if and when a Final Rule is issued in Docket No. RM19-15, these estimates will likely be consolidated into FERC-556, and also obviate the need for the temporary</w:t>
      </w:r>
      <w:r w:rsidRPr="002D68D0" w:rsidR="00F442B3">
        <w:rPr>
          <w:i/>
          <w:sz w:val="26"/>
          <w:szCs w:val="26"/>
        </w:rPr>
        <w:t xml:space="preserve"> (placeholder)</w:t>
      </w:r>
      <w:r w:rsidRPr="002D68D0" w:rsidR="00C546FD">
        <w:rPr>
          <w:i/>
          <w:sz w:val="26"/>
          <w:szCs w:val="26"/>
        </w:rPr>
        <w:t xml:space="preserve"> information collection number FERC-556A.</w:t>
      </w:r>
    </w:p>
    <w:p w:rsidRPr="002D68D0" w:rsidR="00E10B0F" w:rsidP="00EF40FF" w:rsidRDefault="00E10B0F" w14:paraId="5FE152D7" w14:textId="77777777">
      <w:pPr>
        <w:widowControl/>
        <w:tabs>
          <w:tab w:val="left" w:pos="2394"/>
        </w:tabs>
        <w:rPr>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2D68D0" w:rsidR="00EF40FF" w:rsidTr="00475BA5" w14:paraId="79042EDE" w14:textId="77777777">
        <w:trPr>
          <w:trHeight w:val="870"/>
        </w:trPr>
        <w:tc>
          <w:tcPr>
            <w:tcW w:w="1442" w:type="pct"/>
            <w:shd w:val="clear" w:color="auto" w:fill="D9D9D9"/>
            <w:vAlign w:val="bottom"/>
          </w:tcPr>
          <w:p w:rsidRPr="002D68D0" w:rsidR="00EF40FF" w:rsidP="00475BA5" w:rsidRDefault="002D5138" w14:paraId="6233FC76" w14:textId="77777777">
            <w:pPr>
              <w:jc w:val="center"/>
              <w:rPr>
                <w:b/>
                <w:sz w:val="26"/>
                <w:szCs w:val="26"/>
              </w:rPr>
            </w:pPr>
            <w:r w:rsidRPr="002D68D0">
              <w:rPr>
                <w:b/>
                <w:sz w:val="26"/>
                <w:szCs w:val="26"/>
              </w:rPr>
              <w:t xml:space="preserve">FERC Form </w:t>
            </w:r>
            <w:r w:rsidRPr="002D68D0" w:rsidR="00EF40FF">
              <w:rPr>
                <w:b/>
                <w:sz w:val="26"/>
                <w:szCs w:val="26"/>
              </w:rPr>
              <w:t>556</w:t>
            </w:r>
            <w:r w:rsidRPr="002D68D0" w:rsidR="00A969B9">
              <w:rPr>
                <w:b/>
                <w:sz w:val="26"/>
                <w:szCs w:val="26"/>
              </w:rPr>
              <w:t>A</w:t>
            </w:r>
          </w:p>
        </w:tc>
        <w:tc>
          <w:tcPr>
            <w:tcW w:w="829" w:type="pct"/>
            <w:shd w:val="clear" w:color="auto" w:fill="D9D9D9"/>
            <w:vAlign w:val="bottom"/>
          </w:tcPr>
          <w:p w:rsidRPr="002D68D0" w:rsidR="00EF40FF" w:rsidP="00475BA5" w:rsidRDefault="00EF40FF" w14:paraId="7F692C74" w14:textId="77777777">
            <w:pPr>
              <w:jc w:val="center"/>
              <w:rPr>
                <w:b/>
                <w:sz w:val="26"/>
                <w:szCs w:val="26"/>
              </w:rPr>
            </w:pPr>
            <w:r w:rsidRPr="002D68D0">
              <w:rPr>
                <w:b/>
                <w:sz w:val="26"/>
                <w:szCs w:val="26"/>
              </w:rPr>
              <w:t>Total Request</w:t>
            </w:r>
          </w:p>
        </w:tc>
        <w:tc>
          <w:tcPr>
            <w:tcW w:w="854" w:type="pct"/>
            <w:shd w:val="clear" w:color="auto" w:fill="D9D9D9"/>
            <w:vAlign w:val="bottom"/>
          </w:tcPr>
          <w:p w:rsidRPr="002D68D0" w:rsidR="00EF40FF" w:rsidP="00475BA5" w:rsidRDefault="00EF40FF" w14:paraId="00DB6C6F" w14:textId="77777777">
            <w:pPr>
              <w:jc w:val="center"/>
              <w:rPr>
                <w:b/>
                <w:sz w:val="26"/>
                <w:szCs w:val="26"/>
              </w:rPr>
            </w:pPr>
            <w:r w:rsidRPr="002D68D0">
              <w:rPr>
                <w:b/>
                <w:sz w:val="26"/>
                <w:szCs w:val="26"/>
              </w:rPr>
              <w:t>Previously Approved</w:t>
            </w:r>
          </w:p>
        </w:tc>
        <w:tc>
          <w:tcPr>
            <w:tcW w:w="1010" w:type="pct"/>
            <w:shd w:val="clear" w:color="auto" w:fill="D9D9D9"/>
            <w:vAlign w:val="bottom"/>
          </w:tcPr>
          <w:p w:rsidRPr="002D68D0" w:rsidR="00EF40FF" w:rsidP="00475BA5" w:rsidRDefault="00EF40FF" w14:paraId="7CDB8F66" w14:textId="77777777">
            <w:pPr>
              <w:jc w:val="center"/>
              <w:rPr>
                <w:b/>
                <w:sz w:val="26"/>
                <w:szCs w:val="26"/>
              </w:rPr>
            </w:pPr>
            <w:r w:rsidRPr="002D68D0">
              <w:rPr>
                <w:b/>
                <w:sz w:val="26"/>
                <w:szCs w:val="26"/>
              </w:rPr>
              <w:t>Change due to Adjustment in Estimate</w:t>
            </w:r>
          </w:p>
        </w:tc>
        <w:tc>
          <w:tcPr>
            <w:tcW w:w="865" w:type="pct"/>
            <w:shd w:val="clear" w:color="auto" w:fill="D9D9D9"/>
            <w:vAlign w:val="bottom"/>
          </w:tcPr>
          <w:p w:rsidRPr="002D68D0" w:rsidR="00EF40FF" w:rsidP="00475BA5" w:rsidRDefault="00EF40FF" w14:paraId="0E193B4A" w14:textId="77777777">
            <w:pPr>
              <w:jc w:val="center"/>
              <w:rPr>
                <w:b/>
                <w:sz w:val="26"/>
                <w:szCs w:val="26"/>
              </w:rPr>
            </w:pPr>
            <w:r w:rsidRPr="002D68D0">
              <w:rPr>
                <w:b/>
                <w:sz w:val="26"/>
                <w:szCs w:val="26"/>
              </w:rPr>
              <w:t>Change Due to Agency Discretion</w:t>
            </w:r>
          </w:p>
        </w:tc>
      </w:tr>
      <w:tr w:rsidRPr="002D68D0" w:rsidR="00EF40FF" w:rsidTr="00475BA5" w14:paraId="468BFB58" w14:textId="77777777">
        <w:trPr>
          <w:trHeight w:val="591"/>
        </w:trPr>
        <w:tc>
          <w:tcPr>
            <w:tcW w:w="1442" w:type="pct"/>
            <w:shd w:val="clear" w:color="auto" w:fill="auto"/>
          </w:tcPr>
          <w:p w:rsidRPr="002D68D0" w:rsidR="00EF40FF" w:rsidP="00475BA5" w:rsidRDefault="00EF40FF" w14:paraId="3086E233" w14:textId="77777777">
            <w:pPr>
              <w:jc w:val="center"/>
              <w:rPr>
                <w:sz w:val="26"/>
                <w:szCs w:val="26"/>
              </w:rPr>
            </w:pPr>
            <w:r w:rsidRPr="002D68D0">
              <w:rPr>
                <w:sz w:val="26"/>
                <w:szCs w:val="26"/>
              </w:rPr>
              <w:t>Annual Number of Responses</w:t>
            </w:r>
          </w:p>
        </w:tc>
        <w:tc>
          <w:tcPr>
            <w:tcW w:w="829" w:type="pct"/>
            <w:shd w:val="clear" w:color="auto" w:fill="auto"/>
            <w:vAlign w:val="center"/>
          </w:tcPr>
          <w:p w:rsidRPr="002D68D0" w:rsidR="00EF40FF" w:rsidP="00475BA5" w:rsidRDefault="00A969B9" w14:paraId="41A09991" w14:textId="77777777">
            <w:pPr>
              <w:jc w:val="right"/>
              <w:rPr>
                <w:sz w:val="26"/>
                <w:szCs w:val="26"/>
              </w:rPr>
            </w:pPr>
            <w:r w:rsidRPr="002D68D0">
              <w:rPr>
                <w:sz w:val="26"/>
                <w:szCs w:val="26"/>
              </w:rPr>
              <w:t>2,906</w:t>
            </w:r>
          </w:p>
        </w:tc>
        <w:tc>
          <w:tcPr>
            <w:tcW w:w="854" w:type="pct"/>
            <w:shd w:val="clear" w:color="auto" w:fill="auto"/>
            <w:vAlign w:val="center"/>
          </w:tcPr>
          <w:p w:rsidRPr="002D68D0" w:rsidR="00EF40FF" w:rsidP="00475BA5" w:rsidRDefault="001771E1" w14:paraId="49301DC0" w14:textId="77777777">
            <w:pPr>
              <w:jc w:val="right"/>
              <w:rPr>
                <w:sz w:val="26"/>
                <w:szCs w:val="26"/>
              </w:rPr>
            </w:pPr>
            <w:r w:rsidRPr="002D68D0">
              <w:rPr>
                <w:sz w:val="26"/>
                <w:szCs w:val="26"/>
              </w:rPr>
              <w:t>0</w:t>
            </w:r>
          </w:p>
        </w:tc>
        <w:tc>
          <w:tcPr>
            <w:tcW w:w="1010" w:type="pct"/>
            <w:shd w:val="clear" w:color="auto" w:fill="auto"/>
            <w:vAlign w:val="center"/>
          </w:tcPr>
          <w:p w:rsidRPr="002D68D0" w:rsidR="00EF40FF" w:rsidP="00475BA5" w:rsidRDefault="00EF40FF" w14:paraId="55F232EE" w14:textId="77777777">
            <w:pPr>
              <w:jc w:val="right"/>
              <w:rPr>
                <w:sz w:val="26"/>
                <w:szCs w:val="26"/>
              </w:rPr>
            </w:pPr>
          </w:p>
        </w:tc>
        <w:tc>
          <w:tcPr>
            <w:tcW w:w="865" w:type="pct"/>
            <w:shd w:val="clear" w:color="auto" w:fill="auto"/>
            <w:vAlign w:val="center"/>
          </w:tcPr>
          <w:p w:rsidRPr="002D68D0" w:rsidR="00EF40FF" w:rsidP="00475BA5" w:rsidRDefault="00A969B9" w14:paraId="4798A8AE" w14:textId="77777777">
            <w:pPr>
              <w:jc w:val="right"/>
              <w:rPr>
                <w:sz w:val="26"/>
                <w:szCs w:val="26"/>
              </w:rPr>
            </w:pPr>
            <w:r w:rsidRPr="002D68D0">
              <w:rPr>
                <w:sz w:val="26"/>
                <w:szCs w:val="26"/>
              </w:rPr>
              <w:t>2,906</w:t>
            </w:r>
          </w:p>
        </w:tc>
      </w:tr>
      <w:tr w:rsidRPr="002D68D0" w:rsidR="00EF40FF" w:rsidTr="00475BA5" w14:paraId="13998FED" w14:textId="77777777">
        <w:trPr>
          <w:trHeight w:val="575"/>
        </w:trPr>
        <w:tc>
          <w:tcPr>
            <w:tcW w:w="1442" w:type="pct"/>
            <w:shd w:val="clear" w:color="auto" w:fill="auto"/>
          </w:tcPr>
          <w:p w:rsidRPr="002D68D0" w:rsidR="00EF40FF" w:rsidP="00475BA5" w:rsidRDefault="00EF40FF" w14:paraId="03363A89" w14:textId="77777777">
            <w:pPr>
              <w:jc w:val="center"/>
              <w:rPr>
                <w:sz w:val="26"/>
                <w:szCs w:val="26"/>
              </w:rPr>
            </w:pPr>
            <w:r w:rsidRPr="002D68D0">
              <w:rPr>
                <w:sz w:val="26"/>
                <w:szCs w:val="26"/>
              </w:rPr>
              <w:t>Annual Time Burden (Hours)</w:t>
            </w:r>
          </w:p>
        </w:tc>
        <w:tc>
          <w:tcPr>
            <w:tcW w:w="829" w:type="pct"/>
            <w:shd w:val="clear" w:color="auto" w:fill="auto"/>
            <w:vAlign w:val="center"/>
          </w:tcPr>
          <w:p w:rsidRPr="002D68D0" w:rsidR="00EF40FF" w:rsidP="00475BA5" w:rsidRDefault="00A969B9" w14:paraId="52704BE5" w14:textId="77777777">
            <w:pPr>
              <w:jc w:val="right"/>
              <w:rPr>
                <w:sz w:val="26"/>
                <w:szCs w:val="26"/>
              </w:rPr>
            </w:pPr>
            <w:r w:rsidRPr="002D68D0">
              <w:rPr>
                <w:sz w:val="26"/>
                <w:szCs w:val="26"/>
              </w:rPr>
              <w:t>22,235</w:t>
            </w:r>
          </w:p>
        </w:tc>
        <w:tc>
          <w:tcPr>
            <w:tcW w:w="854" w:type="pct"/>
            <w:shd w:val="clear" w:color="auto" w:fill="auto"/>
            <w:vAlign w:val="center"/>
          </w:tcPr>
          <w:p w:rsidRPr="002D68D0" w:rsidR="00EF40FF" w:rsidP="00475BA5" w:rsidRDefault="001771E1" w14:paraId="391C7DE4" w14:textId="77777777">
            <w:pPr>
              <w:jc w:val="right"/>
              <w:rPr>
                <w:sz w:val="26"/>
                <w:szCs w:val="26"/>
              </w:rPr>
            </w:pPr>
            <w:r w:rsidRPr="002D68D0">
              <w:rPr>
                <w:sz w:val="26"/>
                <w:szCs w:val="26"/>
              </w:rPr>
              <w:t>0</w:t>
            </w:r>
          </w:p>
        </w:tc>
        <w:tc>
          <w:tcPr>
            <w:tcW w:w="1010" w:type="pct"/>
            <w:shd w:val="clear" w:color="auto" w:fill="auto"/>
            <w:vAlign w:val="center"/>
          </w:tcPr>
          <w:p w:rsidRPr="002D68D0" w:rsidR="00EF40FF" w:rsidP="00475BA5" w:rsidRDefault="00EF40FF" w14:paraId="15165B50" w14:textId="77777777">
            <w:pPr>
              <w:jc w:val="right"/>
              <w:rPr>
                <w:sz w:val="26"/>
                <w:szCs w:val="26"/>
              </w:rPr>
            </w:pPr>
          </w:p>
        </w:tc>
        <w:tc>
          <w:tcPr>
            <w:tcW w:w="865" w:type="pct"/>
            <w:shd w:val="clear" w:color="auto" w:fill="auto"/>
            <w:vAlign w:val="center"/>
          </w:tcPr>
          <w:p w:rsidRPr="002D68D0" w:rsidR="00EF40FF" w:rsidP="00475BA5" w:rsidRDefault="00A969B9" w14:paraId="15B9CA7B" w14:textId="77777777">
            <w:pPr>
              <w:jc w:val="right"/>
              <w:rPr>
                <w:sz w:val="26"/>
                <w:szCs w:val="26"/>
              </w:rPr>
            </w:pPr>
            <w:r w:rsidRPr="002D68D0">
              <w:rPr>
                <w:sz w:val="26"/>
                <w:szCs w:val="26"/>
              </w:rPr>
              <w:t>22,235</w:t>
            </w:r>
          </w:p>
        </w:tc>
      </w:tr>
      <w:tr w:rsidRPr="002D68D0" w:rsidR="00EF40FF" w:rsidTr="00475BA5" w14:paraId="22391880" w14:textId="77777777">
        <w:trPr>
          <w:trHeight w:val="295"/>
        </w:trPr>
        <w:tc>
          <w:tcPr>
            <w:tcW w:w="1442" w:type="pct"/>
            <w:tcBorders>
              <w:bottom w:val="single" w:color="auto" w:sz="4" w:space="0"/>
            </w:tcBorders>
            <w:shd w:val="clear" w:color="auto" w:fill="auto"/>
          </w:tcPr>
          <w:p w:rsidRPr="002D68D0" w:rsidR="00EF40FF" w:rsidP="00475BA5" w:rsidRDefault="00EF40FF" w14:paraId="05333644" w14:textId="77777777">
            <w:pPr>
              <w:jc w:val="center"/>
              <w:rPr>
                <w:sz w:val="26"/>
                <w:szCs w:val="26"/>
              </w:rPr>
            </w:pPr>
            <w:r w:rsidRPr="002D68D0">
              <w:rPr>
                <w:sz w:val="26"/>
                <w:szCs w:val="26"/>
              </w:rPr>
              <w:t>Annual Cost Burden ($)</w:t>
            </w:r>
          </w:p>
        </w:tc>
        <w:tc>
          <w:tcPr>
            <w:tcW w:w="829" w:type="pct"/>
            <w:tcBorders>
              <w:bottom w:val="single" w:color="auto" w:sz="4" w:space="0"/>
            </w:tcBorders>
            <w:shd w:val="clear" w:color="auto" w:fill="auto"/>
            <w:vAlign w:val="center"/>
          </w:tcPr>
          <w:p w:rsidRPr="002D68D0" w:rsidR="00EF40FF" w:rsidP="00475BA5" w:rsidRDefault="00EF40FF" w14:paraId="18B586E7" w14:textId="77777777">
            <w:pPr>
              <w:jc w:val="right"/>
              <w:rPr>
                <w:sz w:val="26"/>
                <w:szCs w:val="26"/>
              </w:rPr>
            </w:pPr>
            <w:r w:rsidRPr="002D68D0">
              <w:rPr>
                <w:sz w:val="26"/>
                <w:szCs w:val="26"/>
              </w:rPr>
              <w:t>$0</w:t>
            </w:r>
          </w:p>
        </w:tc>
        <w:tc>
          <w:tcPr>
            <w:tcW w:w="854" w:type="pct"/>
            <w:tcBorders>
              <w:bottom w:val="single" w:color="auto" w:sz="4" w:space="0"/>
            </w:tcBorders>
            <w:shd w:val="clear" w:color="auto" w:fill="auto"/>
            <w:vAlign w:val="center"/>
          </w:tcPr>
          <w:p w:rsidRPr="002D68D0" w:rsidR="00EF40FF" w:rsidP="00475BA5" w:rsidRDefault="00EF40FF" w14:paraId="0705083D" w14:textId="77777777">
            <w:pPr>
              <w:jc w:val="right"/>
              <w:rPr>
                <w:sz w:val="26"/>
                <w:szCs w:val="26"/>
              </w:rPr>
            </w:pPr>
            <w:r w:rsidRPr="002D68D0">
              <w:rPr>
                <w:sz w:val="26"/>
                <w:szCs w:val="26"/>
              </w:rPr>
              <w:t>$0</w:t>
            </w:r>
          </w:p>
        </w:tc>
        <w:tc>
          <w:tcPr>
            <w:tcW w:w="1010" w:type="pct"/>
            <w:tcBorders>
              <w:bottom w:val="single" w:color="auto" w:sz="4" w:space="0"/>
            </w:tcBorders>
            <w:shd w:val="clear" w:color="auto" w:fill="auto"/>
            <w:vAlign w:val="center"/>
          </w:tcPr>
          <w:p w:rsidRPr="002D68D0" w:rsidR="00EF40FF" w:rsidP="00475BA5" w:rsidRDefault="00EF40FF" w14:paraId="6719C81A" w14:textId="77777777">
            <w:pPr>
              <w:jc w:val="right"/>
              <w:rPr>
                <w:sz w:val="26"/>
                <w:szCs w:val="26"/>
              </w:rPr>
            </w:pPr>
            <w:r w:rsidRPr="002D68D0">
              <w:rPr>
                <w:sz w:val="26"/>
                <w:szCs w:val="26"/>
              </w:rPr>
              <w:t>$0</w:t>
            </w:r>
          </w:p>
        </w:tc>
        <w:tc>
          <w:tcPr>
            <w:tcW w:w="865" w:type="pct"/>
            <w:tcBorders>
              <w:bottom w:val="single" w:color="auto" w:sz="4" w:space="0"/>
            </w:tcBorders>
            <w:shd w:val="clear" w:color="auto" w:fill="auto"/>
            <w:vAlign w:val="center"/>
          </w:tcPr>
          <w:p w:rsidRPr="002D68D0" w:rsidR="00EF40FF" w:rsidP="00475BA5" w:rsidRDefault="00545B62" w14:paraId="631E7345" w14:textId="77777777">
            <w:pPr>
              <w:jc w:val="right"/>
              <w:rPr>
                <w:sz w:val="26"/>
                <w:szCs w:val="26"/>
              </w:rPr>
            </w:pPr>
            <w:r w:rsidRPr="002D68D0">
              <w:rPr>
                <w:sz w:val="26"/>
                <w:szCs w:val="26"/>
              </w:rPr>
              <w:t>$</w:t>
            </w:r>
            <w:r w:rsidRPr="002D68D0" w:rsidR="00EF40FF">
              <w:rPr>
                <w:sz w:val="26"/>
                <w:szCs w:val="26"/>
              </w:rPr>
              <w:t>0</w:t>
            </w:r>
          </w:p>
        </w:tc>
      </w:tr>
    </w:tbl>
    <w:p w:rsidRPr="002D68D0" w:rsidR="00EF40FF" w:rsidP="00EF40FF" w:rsidRDefault="00EF40FF" w14:paraId="036DB8B3" w14:textId="77777777">
      <w:pPr>
        <w:widowControl/>
        <w:rPr>
          <w:b/>
          <w:sz w:val="26"/>
          <w:szCs w:val="26"/>
        </w:rPr>
      </w:pPr>
    </w:p>
    <w:p w:rsidRPr="002D68D0" w:rsidR="009D6B6D" w:rsidP="00EF40FF" w:rsidRDefault="00EF40FF" w14:paraId="23536878" w14:textId="77777777">
      <w:pPr>
        <w:pStyle w:val="FERCparanumber"/>
        <w:numPr>
          <w:ilvl w:val="0"/>
          <w:numId w:val="7"/>
        </w:numPr>
        <w:rPr>
          <w:b/>
          <w:szCs w:val="26"/>
        </w:rPr>
      </w:pPr>
      <w:r w:rsidRPr="002D68D0">
        <w:rPr>
          <w:b/>
          <w:szCs w:val="26"/>
        </w:rPr>
        <w:t>TIME SCHEDULE FOR PUBLICATION OF DATA</w:t>
      </w:r>
    </w:p>
    <w:p w:rsidRPr="002D68D0" w:rsidR="00EF40FF" w:rsidP="00EF40FF" w:rsidRDefault="00EF40FF" w14:paraId="51DB9B56" w14:textId="77777777">
      <w:pPr>
        <w:pStyle w:val="FERCparanumber"/>
        <w:numPr>
          <w:ilvl w:val="0"/>
          <w:numId w:val="0"/>
        </w:numPr>
        <w:rPr>
          <w:b/>
          <w:szCs w:val="26"/>
        </w:rPr>
      </w:pPr>
    </w:p>
    <w:p w:rsidRPr="002D68D0" w:rsidR="00545B62" w:rsidP="00545B62" w:rsidRDefault="00545B62" w14:paraId="70E3009D" w14:textId="77777777">
      <w:pPr>
        <w:widowControl/>
        <w:rPr>
          <w:sz w:val="26"/>
          <w:szCs w:val="26"/>
        </w:rPr>
      </w:pPr>
      <w:r w:rsidRPr="002D68D0">
        <w:rPr>
          <w:sz w:val="26"/>
          <w:szCs w:val="26"/>
        </w:rPr>
        <w:t xml:space="preserve">There are no </w:t>
      </w:r>
      <w:r w:rsidRPr="002D68D0" w:rsidR="00C31524">
        <w:rPr>
          <w:sz w:val="26"/>
          <w:szCs w:val="26"/>
        </w:rPr>
        <w:t>plans for publication</w:t>
      </w:r>
      <w:r w:rsidRPr="002D68D0">
        <w:rPr>
          <w:sz w:val="26"/>
          <w:szCs w:val="26"/>
        </w:rPr>
        <w:t>.  The data are used for regulatory purposes only.</w:t>
      </w:r>
    </w:p>
    <w:p w:rsidRPr="002D68D0" w:rsidR="00EF40FF" w:rsidP="00EF40FF" w:rsidRDefault="00EF40FF" w14:paraId="4F9B8716" w14:textId="77777777">
      <w:pPr>
        <w:pStyle w:val="FERCparanumber"/>
        <w:numPr>
          <w:ilvl w:val="0"/>
          <w:numId w:val="0"/>
        </w:numPr>
        <w:rPr>
          <w:b/>
          <w:szCs w:val="26"/>
        </w:rPr>
      </w:pPr>
    </w:p>
    <w:p w:rsidRPr="002D68D0" w:rsidR="009D6B6D" w:rsidP="001D2EC1" w:rsidRDefault="00EF40FF" w14:paraId="1C9A412B" w14:textId="77777777">
      <w:pPr>
        <w:pStyle w:val="FERCparanumber"/>
        <w:numPr>
          <w:ilvl w:val="0"/>
          <w:numId w:val="7"/>
        </w:numPr>
        <w:rPr>
          <w:b/>
          <w:szCs w:val="26"/>
        </w:rPr>
      </w:pPr>
      <w:r w:rsidRPr="002D68D0">
        <w:rPr>
          <w:b/>
          <w:szCs w:val="26"/>
        </w:rPr>
        <w:t>DISPLAY OF EXPIRATION DATE</w:t>
      </w:r>
    </w:p>
    <w:p w:rsidRPr="002D68D0" w:rsidR="00EF40FF" w:rsidP="00EF40FF" w:rsidRDefault="00EF40FF" w14:paraId="64C2D0DB" w14:textId="77777777">
      <w:pPr>
        <w:pStyle w:val="FERCparanumber"/>
        <w:numPr>
          <w:ilvl w:val="0"/>
          <w:numId w:val="0"/>
        </w:numPr>
        <w:rPr>
          <w:b/>
          <w:szCs w:val="26"/>
        </w:rPr>
      </w:pPr>
    </w:p>
    <w:p w:rsidRPr="002D68D0" w:rsidR="00EF40FF" w:rsidP="00EF40FF" w:rsidRDefault="00EF40FF" w14:paraId="20D35147" w14:textId="77777777">
      <w:pPr>
        <w:widowControl/>
        <w:rPr>
          <w:sz w:val="26"/>
          <w:szCs w:val="26"/>
        </w:rPr>
      </w:pPr>
      <w:r w:rsidRPr="002D68D0">
        <w:rPr>
          <w:sz w:val="26"/>
          <w:szCs w:val="26"/>
        </w:rPr>
        <w:t>Form No. 556 is available from the Commission’s website (</w:t>
      </w:r>
      <w:hyperlink w:history="1" w:anchor="556" r:id="rId14">
        <w:r w:rsidRPr="002D68D0">
          <w:rPr>
            <w:rStyle w:val="Hyperlink"/>
            <w:sz w:val="26"/>
            <w:szCs w:val="26"/>
          </w:rPr>
          <w:t>http://www.ferc.gov/docs-filing/forms.asp#556</w:t>
        </w:r>
      </w:hyperlink>
      <w:r w:rsidRPr="002D68D0">
        <w:rPr>
          <w:sz w:val="26"/>
          <w:szCs w:val="26"/>
        </w:rPr>
        <w:t>) as a standard form that can be downloaded and the expiration date for OMB approva</w:t>
      </w:r>
      <w:r w:rsidRPr="002D68D0" w:rsidR="00545B62">
        <w:rPr>
          <w:sz w:val="26"/>
          <w:szCs w:val="26"/>
        </w:rPr>
        <w:t>l is on the form/instructions.</w:t>
      </w:r>
    </w:p>
    <w:p w:rsidRPr="002D68D0" w:rsidR="00545B62" w:rsidP="00EF40FF" w:rsidRDefault="00545B62" w14:paraId="65E1E3F6" w14:textId="77777777">
      <w:pPr>
        <w:widowControl/>
        <w:rPr>
          <w:sz w:val="26"/>
          <w:szCs w:val="26"/>
        </w:rPr>
      </w:pPr>
    </w:p>
    <w:p w:rsidRPr="002D68D0" w:rsidR="00545B62" w:rsidP="00545B62" w:rsidRDefault="00545B62" w14:paraId="25F34609" w14:textId="77777777">
      <w:pPr>
        <w:widowControl/>
        <w:rPr>
          <w:sz w:val="26"/>
          <w:szCs w:val="26"/>
        </w:rPr>
      </w:pPr>
      <w:r w:rsidRPr="002D68D0">
        <w:rPr>
          <w:sz w:val="26"/>
          <w:szCs w:val="26"/>
        </w:rPr>
        <w:t xml:space="preserve">The OMB expiration dates are also posted on </w:t>
      </w:r>
      <w:hyperlink w:history="1" r:id="rId15">
        <w:r w:rsidRPr="002D68D0">
          <w:rPr>
            <w:rStyle w:val="Hyperlink"/>
            <w:sz w:val="26"/>
            <w:szCs w:val="26"/>
          </w:rPr>
          <w:t>http://www.ferc.gov/docs-filing/info-collections.asp</w:t>
        </w:r>
      </w:hyperlink>
      <w:r w:rsidRPr="002D68D0">
        <w:rPr>
          <w:sz w:val="26"/>
          <w:szCs w:val="26"/>
        </w:rPr>
        <w:t xml:space="preserve"> .</w:t>
      </w:r>
    </w:p>
    <w:p w:rsidRPr="002D68D0" w:rsidR="00EF40FF" w:rsidP="00EF40FF" w:rsidRDefault="00EF40FF" w14:paraId="00D28FCE" w14:textId="77777777">
      <w:pPr>
        <w:pStyle w:val="FERCparanumber"/>
        <w:numPr>
          <w:ilvl w:val="0"/>
          <w:numId w:val="0"/>
        </w:numPr>
        <w:rPr>
          <w:b/>
          <w:szCs w:val="26"/>
        </w:rPr>
      </w:pPr>
    </w:p>
    <w:p w:rsidRPr="002D68D0" w:rsidR="00EF40FF" w:rsidP="00E138E1" w:rsidRDefault="00EF40FF" w14:paraId="28E37EB8" w14:textId="77777777">
      <w:pPr>
        <w:widowControl/>
        <w:numPr>
          <w:ilvl w:val="0"/>
          <w:numId w:val="7"/>
        </w:numPr>
        <w:ind w:hanging="720"/>
        <w:rPr>
          <w:b/>
          <w:sz w:val="26"/>
          <w:szCs w:val="26"/>
        </w:rPr>
      </w:pPr>
      <w:r w:rsidRPr="002D68D0">
        <w:rPr>
          <w:b/>
          <w:sz w:val="26"/>
          <w:szCs w:val="26"/>
        </w:rPr>
        <w:t>EXCEPTIONS TO THE CERTIFICATION STATEMENT</w:t>
      </w:r>
    </w:p>
    <w:p w:rsidRPr="002D68D0" w:rsidR="009D6B6D" w:rsidP="001D2EC1" w:rsidRDefault="009D6B6D" w14:paraId="3A812B1E" w14:textId="77777777">
      <w:pPr>
        <w:widowControl/>
        <w:ind w:left="720"/>
        <w:rPr>
          <w:b/>
          <w:sz w:val="26"/>
          <w:szCs w:val="26"/>
        </w:rPr>
      </w:pPr>
    </w:p>
    <w:p w:rsidRPr="002D68D0" w:rsidR="005B4C82" w:rsidP="001D2EC1" w:rsidRDefault="00545B62" w14:paraId="085FEDD0" w14:textId="5B73A5D6">
      <w:pPr>
        <w:widowControl/>
        <w:rPr>
          <w:sz w:val="26"/>
          <w:szCs w:val="26"/>
        </w:rPr>
      </w:pPr>
      <w:r w:rsidRPr="002D68D0">
        <w:rPr>
          <w:sz w:val="26"/>
          <w:szCs w:val="26"/>
        </w:rPr>
        <w:t>There are no exceptions.</w:t>
      </w:r>
    </w:p>
    <w:p w:rsidR="005B4C82" w:rsidRDefault="005B4C82" w14:paraId="7EADF800" w14:textId="77777777">
      <w:pPr>
        <w:widowControl/>
        <w:autoSpaceDE/>
        <w:autoSpaceDN/>
        <w:adjustRightInd/>
        <w:spacing w:after="200" w:line="276" w:lineRule="auto"/>
      </w:pPr>
      <w:r>
        <w:br w:type="page"/>
      </w:r>
    </w:p>
    <w:p w:rsidRPr="002D68D0" w:rsidR="00475BA5" w:rsidP="005B4C82" w:rsidRDefault="005B4C82" w14:paraId="176D6977" w14:textId="220CF740">
      <w:pPr>
        <w:widowControl/>
        <w:jc w:val="right"/>
        <w:rPr>
          <w:b/>
          <w:sz w:val="26"/>
          <w:szCs w:val="26"/>
        </w:rPr>
      </w:pPr>
      <w:r w:rsidRPr="002D68D0">
        <w:rPr>
          <w:b/>
          <w:sz w:val="26"/>
          <w:szCs w:val="26"/>
        </w:rPr>
        <w:lastRenderedPageBreak/>
        <w:t>ATTACHMENT A</w:t>
      </w:r>
    </w:p>
    <w:p w:rsidRPr="002D68D0" w:rsidR="005B4C82" w:rsidP="005B4C82" w:rsidRDefault="005B4C82" w14:paraId="3EA8D3E8" w14:textId="77777777">
      <w:pPr>
        <w:widowControl/>
        <w:jc w:val="center"/>
        <w:rPr>
          <w:b/>
          <w:sz w:val="26"/>
          <w:szCs w:val="26"/>
        </w:rPr>
      </w:pPr>
    </w:p>
    <w:p w:rsidR="001A213B" w:rsidP="005B4C82" w:rsidRDefault="001A213B" w14:paraId="235272B4" w14:textId="09071AA5">
      <w:pPr>
        <w:widowControl/>
        <w:jc w:val="center"/>
        <w:rPr>
          <w:b/>
          <w:sz w:val="26"/>
          <w:szCs w:val="26"/>
        </w:rPr>
      </w:pPr>
      <w:r w:rsidRPr="00173ACE">
        <w:rPr>
          <w:b/>
          <w:sz w:val="26"/>
          <w:szCs w:val="26"/>
        </w:rPr>
        <w:t>NOPR in Docket Nos. RM19-15 and AD16-16</w:t>
      </w:r>
      <w:r>
        <w:rPr>
          <w:b/>
          <w:sz w:val="26"/>
          <w:szCs w:val="26"/>
        </w:rPr>
        <w:t>—</w:t>
      </w:r>
    </w:p>
    <w:p w:rsidRPr="002D68D0" w:rsidR="005B4C82" w:rsidP="00781809" w:rsidRDefault="005B4C82" w14:paraId="66761DED" w14:textId="7970B28E">
      <w:pPr>
        <w:widowControl/>
        <w:jc w:val="center"/>
        <w:rPr>
          <w:b/>
          <w:sz w:val="26"/>
          <w:szCs w:val="26"/>
        </w:rPr>
      </w:pPr>
      <w:r w:rsidRPr="002D68D0">
        <w:rPr>
          <w:b/>
          <w:sz w:val="26"/>
          <w:szCs w:val="26"/>
        </w:rPr>
        <w:t xml:space="preserve">Details on the Changes </w:t>
      </w:r>
      <w:r w:rsidR="001A213B">
        <w:rPr>
          <w:b/>
          <w:sz w:val="26"/>
          <w:szCs w:val="26"/>
        </w:rPr>
        <w:t xml:space="preserve">Proposed </w:t>
      </w:r>
      <w:r w:rsidRPr="002D68D0">
        <w:rPr>
          <w:b/>
          <w:sz w:val="26"/>
          <w:szCs w:val="26"/>
        </w:rPr>
        <w:t>to the FERC-556</w:t>
      </w:r>
      <w:r w:rsidR="001A213B">
        <w:rPr>
          <w:b/>
          <w:sz w:val="26"/>
          <w:szCs w:val="26"/>
        </w:rPr>
        <w:t xml:space="preserve"> and </w:t>
      </w:r>
      <w:r w:rsidR="002D68D0">
        <w:rPr>
          <w:b/>
          <w:sz w:val="26"/>
          <w:szCs w:val="26"/>
        </w:rPr>
        <w:t xml:space="preserve">Some </w:t>
      </w:r>
      <w:r w:rsidR="001A213B">
        <w:rPr>
          <w:b/>
          <w:sz w:val="26"/>
          <w:szCs w:val="26"/>
        </w:rPr>
        <w:t>Requests for Comment</w:t>
      </w:r>
    </w:p>
    <w:p w:rsidR="001A213B" w:rsidP="001A213B" w:rsidRDefault="001A213B" w14:paraId="05D79231" w14:textId="77777777">
      <w:pPr>
        <w:widowControl/>
        <w:rPr>
          <w:sz w:val="26"/>
          <w:szCs w:val="26"/>
          <w:highlight w:val="lightGray"/>
        </w:rPr>
      </w:pPr>
    </w:p>
    <w:p w:rsidRPr="00427B00" w:rsidR="00427B00" w:rsidP="002D68D0" w:rsidRDefault="00427B00" w14:paraId="3B65E1C8" w14:textId="04B4E95D">
      <w:pPr>
        <w:widowControl/>
        <w:tabs>
          <w:tab w:val="num" w:pos="720"/>
        </w:tabs>
        <w:autoSpaceDE/>
        <w:autoSpaceDN/>
        <w:adjustRightInd/>
        <w:rPr>
          <w:rFonts w:eastAsia="Calibri"/>
          <w:sz w:val="26"/>
          <w:szCs w:val="22"/>
        </w:rPr>
      </w:pPr>
      <w:r w:rsidRPr="00427B00">
        <w:rPr>
          <w:rFonts w:eastAsia="Calibri"/>
          <w:sz w:val="26"/>
          <w:szCs w:val="22"/>
        </w:rPr>
        <w:t xml:space="preserve">If the changes to the evaluation of whether QFs are separate facilities are implemented as proposed </w:t>
      </w:r>
      <w:r>
        <w:rPr>
          <w:rFonts w:eastAsia="Calibri"/>
          <w:sz w:val="26"/>
          <w:szCs w:val="22"/>
        </w:rPr>
        <w:t>in the NOPR</w:t>
      </w:r>
      <w:r w:rsidRPr="00427B00">
        <w:rPr>
          <w:rFonts w:eastAsia="Calibri"/>
          <w:sz w:val="26"/>
          <w:szCs w:val="22"/>
        </w:rPr>
        <w:t xml:space="preserve">, the Commission proposes corresponding changes to the FERC Form No. 556.  Currently, item 8a of Form No. 556 requires that the applicant identify any facilities with electrical generating equipment within one mile of the instant facility’s electrical generating equipment, as shown below in </w:t>
      </w:r>
      <w:r w:rsidRPr="00427B00">
        <w:rPr>
          <w:rFonts w:eastAsia="Calibri"/>
          <w:sz w:val="26"/>
          <w:szCs w:val="22"/>
        </w:rPr>
        <w:fldChar w:fldCharType="begin"/>
      </w:r>
      <w:r w:rsidRPr="00427B00">
        <w:rPr>
          <w:rFonts w:eastAsia="Calibri"/>
          <w:sz w:val="26"/>
          <w:szCs w:val="22"/>
        </w:rPr>
        <w:instrText xml:space="preserve"> REF _Ref1063735 \h </w:instrText>
      </w:r>
      <w:r>
        <w:rPr>
          <w:rFonts w:eastAsia="Calibri"/>
          <w:sz w:val="26"/>
          <w:szCs w:val="22"/>
        </w:rPr>
        <w:instrText xml:space="preserve"> \* MERGEFORMAT </w:instrText>
      </w:r>
      <w:r w:rsidRPr="00427B00">
        <w:rPr>
          <w:rFonts w:eastAsia="Calibri"/>
          <w:sz w:val="26"/>
          <w:szCs w:val="22"/>
        </w:rPr>
      </w:r>
      <w:r w:rsidRPr="00427B00">
        <w:rPr>
          <w:rFonts w:eastAsia="Calibri"/>
          <w:sz w:val="26"/>
          <w:szCs w:val="22"/>
        </w:rPr>
        <w:fldChar w:fldCharType="separate"/>
      </w:r>
      <w:r w:rsidRPr="00427B00">
        <w:rPr>
          <w:rFonts w:eastAsia="Calibri"/>
          <w:sz w:val="26"/>
          <w:szCs w:val="22"/>
        </w:rPr>
        <w:t xml:space="preserve">Figure </w:t>
      </w:r>
      <w:r w:rsidRPr="00427B00">
        <w:rPr>
          <w:rFonts w:eastAsia="Calibri"/>
          <w:noProof/>
          <w:sz w:val="26"/>
          <w:szCs w:val="22"/>
        </w:rPr>
        <w:t>1</w:t>
      </w:r>
      <w:r w:rsidRPr="00427B00">
        <w:rPr>
          <w:rFonts w:eastAsia="Calibri"/>
          <w:sz w:val="26"/>
          <w:szCs w:val="22"/>
        </w:rPr>
        <w:fldChar w:fldCharType="end"/>
      </w:r>
      <w:r w:rsidRPr="00427B00">
        <w:rPr>
          <w:rFonts w:eastAsia="Calibri"/>
          <w:sz w:val="26"/>
          <w:szCs w:val="22"/>
        </w:rPr>
        <w:t>.</w:t>
      </w:r>
      <w:r w:rsidR="009D14C5">
        <w:rPr>
          <w:rFonts w:eastAsia="Calibri"/>
          <w:sz w:val="26"/>
          <w:szCs w:val="22"/>
        </w:rPr>
        <w:t xml:space="preserve"> </w:t>
      </w:r>
      <w:bookmarkStart w:name="_GoBack" w:id="2"/>
      <w:bookmarkEnd w:id="2"/>
    </w:p>
    <w:p w:rsidRPr="00427B00" w:rsidR="00427B00" w:rsidP="00427B00" w:rsidRDefault="00427B00" w14:paraId="4E937AAA" w14:textId="77777777">
      <w:pPr>
        <w:keepNext/>
        <w:widowControl/>
        <w:autoSpaceDE/>
        <w:autoSpaceDN/>
        <w:adjustRightInd/>
        <w:spacing w:before="240" w:line="480" w:lineRule="auto"/>
        <w:jc w:val="center"/>
        <w:rPr>
          <w:rFonts w:eastAsia="Calibri"/>
          <w:sz w:val="26"/>
          <w:szCs w:val="22"/>
        </w:rPr>
      </w:pPr>
      <w:bookmarkStart w:name="_Ref1063735" w:id="3"/>
      <w:r w:rsidRPr="00427B00">
        <w:rPr>
          <w:rFonts w:eastAsia="Calibri"/>
          <w:sz w:val="26"/>
          <w:szCs w:val="22"/>
        </w:rPr>
        <w:t xml:space="preserve">Figure </w:t>
      </w:r>
      <w:r w:rsidRPr="00427B00">
        <w:rPr>
          <w:rFonts w:eastAsia="Calibri"/>
          <w:noProof/>
          <w:sz w:val="26"/>
          <w:szCs w:val="22"/>
        </w:rPr>
        <w:fldChar w:fldCharType="begin"/>
      </w:r>
      <w:r w:rsidRPr="00427B00">
        <w:rPr>
          <w:rFonts w:eastAsia="Calibri"/>
          <w:noProof/>
          <w:sz w:val="26"/>
          <w:szCs w:val="22"/>
        </w:rPr>
        <w:instrText xml:space="preserve"> SEQ Figure \* ARABIC </w:instrText>
      </w:r>
      <w:r w:rsidRPr="00427B00">
        <w:rPr>
          <w:rFonts w:eastAsia="Calibri"/>
          <w:noProof/>
          <w:sz w:val="26"/>
          <w:szCs w:val="22"/>
        </w:rPr>
        <w:fldChar w:fldCharType="separate"/>
      </w:r>
      <w:r w:rsidRPr="00427B00">
        <w:rPr>
          <w:rFonts w:eastAsia="Calibri"/>
          <w:noProof/>
          <w:sz w:val="26"/>
          <w:szCs w:val="22"/>
        </w:rPr>
        <w:t>1</w:t>
      </w:r>
      <w:r w:rsidRPr="00427B00">
        <w:rPr>
          <w:rFonts w:eastAsia="Calibri"/>
          <w:noProof/>
          <w:sz w:val="26"/>
          <w:szCs w:val="22"/>
        </w:rPr>
        <w:fldChar w:fldCharType="end"/>
      </w:r>
      <w:bookmarkEnd w:id="3"/>
      <w:r w:rsidRPr="00427B00">
        <w:rPr>
          <w:rFonts w:eastAsia="Calibri"/>
          <w:sz w:val="26"/>
          <w:szCs w:val="22"/>
        </w:rPr>
        <w:t>: Item 8a of the current Form No. 556</w:t>
      </w:r>
    </w:p>
    <w:p w:rsidRPr="00427B00" w:rsidR="00427B00" w:rsidP="00427B00" w:rsidRDefault="00427B00" w14:paraId="0AD5B0C4" w14:textId="77777777">
      <w:pPr>
        <w:widowControl/>
        <w:autoSpaceDE/>
        <w:autoSpaceDN/>
        <w:adjustRightInd/>
        <w:spacing w:after="240" w:line="480" w:lineRule="auto"/>
        <w:ind w:left="720"/>
        <w:rPr>
          <w:rFonts w:eastAsia="Calibri"/>
          <w:sz w:val="26"/>
          <w:szCs w:val="22"/>
        </w:rPr>
      </w:pPr>
      <w:r w:rsidRPr="00427B00">
        <w:rPr>
          <w:rFonts w:eastAsia="Calibri"/>
          <w:noProof/>
          <w:sz w:val="26"/>
          <w:szCs w:val="22"/>
        </w:rPr>
        <w:drawing>
          <wp:inline distT="0" distB="0" distL="0" distR="0" wp14:anchorId="29309F80" wp14:editId="4963C186">
            <wp:extent cx="5444836" cy="19500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920" r="1393"/>
                    <a:stretch/>
                  </pic:blipFill>
                  <pic:spPr bwMode="auto">
                    <a:xfrm>
                      <a:off x="0" y="0"/>
                      <a:ext cx="5446609" cy="1950720"/>
                    </a:xfrm>
                    <a:prstGeom prst="rect">
                      <a:avLst/>
                    </a:prstGeom>
                    <a:noFill/>
                    <a:ln>
                      <a:noFill/>
                    </a:ln>
                    <a:extLst>
                      <a:ext uri="{53640926-AAD7-44D8-BBD7-CCE9431645EC}">
                        <a14:shadowObscured xmlns:a14="http://schemas.microsoft.com/office/drawing/2010/main"/>
                      </a:ext>
                    </a:extLst>
                  </pic:spPr>
                </pic:pic>
              </a:graphicData>
            </a:graphic>
          </wp:inline>
        </w:drawing>
      </w:r>
    </w:p>
    <w:p w:rsidRPr="00427B00" w:rsidR="00427B00" w:rsidP="002D68D0" w:rsidRDefault="00427B00" w14:paraId="42EAFCFC" w14:textId="5516B1B8">
      <w:pPr>
        <w:widowControl/>
        <w:tabs>
          <w:tab w:val="num" w:pos="720"/>
        </w:tabs>
        <w:autoSpaceDE/>
        <w:autoSpaceDN/>
        <w:adjustRightInd/>
        <w:spacing w:after="240"/>
        <w:rPr>
          <w:rFonts w:eastAsia="Calibri"/>
          <w:sz w:val="26"/>
          <w:szCs w:val="22"/>
        </w:rPr>
      </w:pPr>
      <w:r w:rsidRPr="00427B00">
        <w:rPr>
          <w:rFonts w:eastAsia="Calibri"/>
          <w:sz w:val="26"/>
          <w:szCs w:val="22"/>
        </w:rPr>
        <w:t>The Commission proposes adding a new item</w:t>
      </w:r>
      <w:r w:rsidR="00E5128E">
        <w:rPr>
          <w:rFonts w:eastAsia="Calibri"/>
          <w:sz w:val="26"/>
          <w:szCs w:val="22"/>
        </w:rPr>
        <w:t xml:space="preserve"> 8b</w:t>
      </w:r>
      <w:r w:rsidRPr="00427B00">
        <w:rPr>
          <w:rFonts w:eastAsia="Calibri"/>
          <w:sz w:val="26"/>
          <w:szCs w:val="22"/>
        </w:rPr>
        <w:t>,</w:t>
      </w:r>
      <w:r w:rsidRPr="00427B00">
        <w:rPr>
          <w:rFonts w:eastAsia="Calibri"/>
          <w:b/>
          <w:sz w:val="26"/>
          <w:szCs w:val="22"/>
          <w:vertAlign w:val="superscript"/>
        </w:rPr>
        <w:footnoteReference w:id="19"/>
      </w:r>
      <w:r w:rsidRPr="00427B00">
        <w:rPr>
          <w:rFonts w:eastAsia="Calibri"/>
          <w:sz w:val="26"/>
          <w:szCs w:val="22"/>
        </w:rPr>
        <w:t xml:space="preserve"> which would be similar to the current item 8a, except that it would cover affiliated facilities whose nearest electrical generating equipment is </w:t>
      </w:r>
      <w:r w:rsidRPr="00427B00">
        <w:rPr>
          <w:rFonts w:eastAsia="Calibri"/>
          <w:i/>
          <w:sz w:val="26"/>
          <w:szCs w:val="22"/>
        </w:rPr>
        <w:t>greater than 1 mile and less than 10 miles</w:t>
      </w:r>
      <w:r w:rsidRPr="00427B00">
        <w:rPr>
          <w:rFonts w:eastAsia="Calibri"/>
          <w:sz w:val="26"/>
          <w:szCs w:val="22"/>
        </w:rPr>
        <w:t xml:space="preserve"> from the electrical generating equipment of the instant facility.  </w:t>
      </w:r>
    </w:p>
    <w:p w:rsidRPr="00427B00" w:rsidR="00427B00" w:rsidP="002D68D0" w:rsidRDefault="00427B00" w14:paraId="4BF828B6" w14:textId="25F37EF8">
      <w:pPr>
        <w:widowControl/>
        <w:tabs>
          <w:tab w:val="num" w:pos="720"/>
        </w:tabs>
        <w:autoSpaceDE/>
        <w:autoSpaceDN/>
        <w:adjustRightInd/>
        <w:spacing w:after="240"/>
        <w:rPr>
          <w:rFonts w:eastAsia="Calibri"/>
          <w:sz w:val="26"/>
          <w:szCs w:val="22"/>
        </w:rPr>
      </w:pPr>
      <w:r w:rsidRPr="00427B00">
        <w:rPr>
          <w:rFonts w:eastAsia="Calibri"/>
          <w:sz w:val="26"/>
          <w:szCs w:val="22"/>
        </w:rPr>
        <w:t xml:space="preserve">The Commission proposes that the instructions for the new item  would also allow applicants with facilities identified under </w:t>
      </w:r>
      <w:r w:rsidR="00372AEC">
        <w:rPr>
          <w:rFonts w:eastAsia="Calibri"/>
          <w:sz w:val="26"/>
          <w:szCs w:val="22"/>
        </w:rPr>
        <w:t xml:space="preserve">the new </w:t>
      </w:r>
      <w:r w:rsidRPr="00427B00">
        <w:rPr>
          <w:rFonts w:eastAsia="Calibri"/>
          <w:sz w:val="26"/>
          <w:szCs w:val="22"/>
        </w:rPr>
        <w:t>item  (</w:t>
      </w:r>
      <w:r w:rsidRPr="00427B00">
        <w:rPr>
          <w:rFonts w:eastAsia="Calibri"/>
          <w:i/>
          <w:sz w:val="26"/>
          <w:szCs w:val="22"/>
        </w:rPr>
        <w:t>i.e.</w:t>
      </w:r>
      <w:r w:rsidRPr="00427B00">
        <w:rPr>
          <w:rFonts w:eastAsia="Calibri"/>
          <w:sz w:val="26"/>
          <w:szCs w:val="22"/>
        </w:rPr>
        <w:t xml:space="preserve">, facilities </w:t>
      </w:r>
      <w:r w:rsidR="008A0126">
        <w:rPr>
          <w:rFonts w:eastAsia="Calibri"/>
          <w:sz w:val="26"/>
          <w:szCs w:val="22"/>
        </w:rPr>
        <w:t>over one mile but less than ten</w:t>
      </w:r>
      <w:r w:rsidRPr="00427B00">
        <w:rPr>
          <w:rFonts w:eastAsia="Calibri"/>
          <w:sz w:val="26"/>
          <w:szCs w:val="22"/>
        </w:rPr>
        <w:t xml:space="preserve"> miles apart) to, if they choose, explain (in the Miscellaneous section starting on page 19 of the form) why the facilities identified under </w:t>
      </w:r>
      <w:r w:rsidR="00372AEC">
        <w:rPr>
          <w:rFonts w:eastAsia="Calibri"/>
          <w:sz w:val="26"/>
          <w:szCs w:val="22"/>
        </w:rPr>
        <w:t xml:space="preserve">the new </w:t>
      </w:r>
      <w:r w:rsidRPr="00427B00">
        <w:rPr>
          <w:rFonts w:eastAsia="Calibri"/>
          <w:sz w:val="26"/>
          <w:szCs w:val="22"/>
        </w:rPr>
        <w:t xml:space="preserve">item  should be considered separate facilities, considering the relevant physical and ownership factors.  We further propose to provide reference, in the instructions to the new item, to the </w:t>
      </w:r>
      <w:r w:rsidRPr="00427B00">
        <w:rPr>
          <w:rFonts w:eastAsia="Calibri"/>
          <w:sz w:val="26"/>
          <w:szCs w:val="22"/>
        </w:rPr>
        <w:lastRenderedPageBreak/>
        <w:t>paragraphs of the final rule under this rulemaking which discuss the relevant physical and ownership factors that may be asserted to defend against rebuttal.</w:t>
      </w:r>
    </w:p>
    <w:p w:rsidRPr="00427B00" w:rsidR="00427B00" w:rsidP="002D68D0" w:rsidRDefault="00077BFF" w14:paraId="0A3EADCE" w14:textId="79247CF6">
      <w:pPr>
        <w:widowControl/>
        <w:tabs>
          <w:tab w:val="num" w:pos="720"/>
        </w:tabs>
        <w:autoSpaceDE/>
        <w:autoSpaceDN/>
        <w:adjustRightInd/>
        <w:spacing w:after="240"/>
        <w:rPr>
          <w:rFonts w:eastAsia="Calibri"/>
          <w:sz w:val="26"/>
          <w:szCs w:val="22"/>
        </w:rPr>
      </w:pPr>
      <w:r>
        <w:rPr>
          <w:rFonts w:eastAsia="Calibri"/>
          <w:sz w:val="26"/>
          <w:szCs w:val="22"/>
        </w:rPr>
        <w:t>In the NOPR, t</w:t>
      </w:r>
      <w:r w:rsidRPr="00427B00" w:rsidR="00427B00">
        <w:rPr>
          <w:rFonts w:eastAsia="Calibri"/>
          <w:sz w:val="26"/>
          <w:szCs w:val="22"/>
        </w:rPr>
        <w:t xml:space="preserve">he Commission seeks comment on whether item 8a (existing) should be revised and </w:t>
      </w:r>
      <w:r w:rsidR="009B3F20">
        <w:rPr>
          <w:rFonts w:eastAsia="Calibri"/>
          <w:sz w:val="26"/>
          <w:szCs w:val="22"/>
        </w:rPr>
        <w:t xml:space="preserve">the new </w:t>
      </w:r>
      <w:r w:rsidRPr="00427B00" w:rsidR="00427B00">
        <w:rPr>
          <w:rFonts w:eastAsia="Calibri"/>
          <w:sz w:val="26"/>
          <w:szCs w:val="22"/>
        </w:rPr>
        <w:t xml:space="preserve">item (as newly proposed) written to require that the applicant specify the distance from the instant facility to each affiliated facility listed.  We also seek comment on whether items 8a and </w:t>
      </w:r>
      <w:r w:rsidR="009B3F20">
        <w:rPr>
          <w:rFonts w:eastAsia="Calibri"/>
          <w:sz w:val="26"/>
          <w:szCs w:val="22"/>
        </w:rPr>
        <w:t>the new item</w:t>
      </w:r>
      <w:r w:rsidRPr="00427B00" w:rsidR="00427B00">
        <w:rPr>
          <w:rFonts w:eastAsia="Calibri"/>
          <w:sz w:val="26"/>
          <w:szCs w:val="22"/>
        </w:rPr>
        <w:t xml:space="preserve"> should require the applicant to document (in the Miscellaneous section on page 19 of the Form No. 556) how the distances reported were calculated.  Specifically, we seek comment on whether the applicant should be required to identify the particular electrical generating equipment and associated geographic coordinates used in calculating the distance(s) between the facility(ies).</w:t>
      </w:r>
    </w:p>
    <w:p w:rsidRPr="00427B00" w:rsidR="00427B00" w:rsidP="002D68D0" w:rsidRDefault="00427B00" w14:paraId="219E6997" w14:textId="1BC98C70">
      <w:pPr>
        <w:widowControl/>
        <w:tabs>
          <w:tab w:val="num" w:pos="720"/>
        </w:tabs>
        <w:autoSpaceDE/>
        <w:autoSpaceDN/>
        <w:adjustRightInd/>
        <w:spacing w:after="240"/>
        <w:rPr>
          <w:rFonts w:eastAsia="Calibri"/>
          <w:sz w:val="26"/>
          <w:szCs w:val="22"/>
        </w:rPr>
      </w:pPr>
      <w:r w:rsidRPr="00427B00">
        <w:rPr>
          <w:rFonts w:eastAsia="Calibri"/>
          <w:sz w:val="26"/>
          <w:szCs w:val="22"/>
        </w:rPr>
        <w:t xml:space="preserve">The Commission notes that item 8a currently requires applicants to list all affiliated “facilities.”  Under this requirement, an applicant would have to list all affiliated QFs and affiliated </w:t>
      </w:r>
      <w:r w:rsidRPr="00427B00">
        <w:rPr>
          <w:rFonts w:eastAsia="Calibri"/>
          <w:i/>
          <w:sz w:val="26"/>
          <w:szCs w:val="22"/>
        </w:rPr>
        <w:t>non</w:t>
      </w:r>
      <w:r w:rsidRPr="00427B00">
        <w:rPr>
          <w:rFonts w:eastAsia="Calibri"/>
          <w:sz w:val="26"/>
          <w:szCs w:val="22"/>
        </w:rPr>
        <w:t xml:space="preserve">-QFs.  </w:t>
      </w:r>
      <w:r w:rsidR="00263931">
        <w:rPr>
          <w:rFonts w:eastAsia="Calibri"/>
          <w:sz w:val="26"/>
          <w:szCs w:val="22"/>
        </w:rPr>
        <w:t>The Commission</w:t>
      </w:r>
      <w:r w:rsidRPr="00427B00">
        <w:rPr>
          <w:rFonts w:eastAsia="Calibri"/>
          <w:sz w:val="26"/>
          <w:szCs w:val="22"/>
        </w:rPr>
        <w:t xml:space="preserve"> </w:t>
      </w:r>
      <w:r w:rsidR="00263931">
        <w:rPr>
          <w:rFonts w:eastAsia="Calibri"/>
          <w:sz w:val="26"/>
          <w:szCs w:val="22"/>
        </w:rPr>
        <w:t>requests comment on whether</w:t>
      </w:r>
      <w:r w:rsidRPr="00427B00">
        <w:rPr>
          <w:rFonts w:eastAsia="Calibri"/>
          <w:sz w:val="26"/>
          <w:szCs w:val="22"/>
        </w:rPr>
        <w:t xml:space="preserve"> such a requirement </w:t>
      </w:r>
      <w:r w:rsidR="00263931">
        <w:rPr>
          <w:rFonts w:eastAsia="Calibri"/>
          <w:sz w:val="26"/>
          <w:szCs w:val="22"/>
        </w:rPr>
        <w:t>is</w:t>
      </w:r>
      <w:r w:rsidRPr="00427B00">
        <w:rPr>
          <w:rFonts w:eastAsia="Calibri"/>
          <w:sz w:val="26"/>
          <w:szCs w:val="22"/>
        </w:rPr>
        <w:t xml:space="preserve"> more burdensome than necessary.  It is not clear that requiring the listing of affiliated </w:t>
      </w:r>
      <w:r w:rsidRPr="00427B00">
        <w:rPr>
          <w:rFonts w:eastAsia="Calibri"/>
          <w:i/>
          <w:sz w:val="26"/>
          <w:szCs w:val="22"/>
        </w:rPr>
        <w:t>non-</w:t>
      </w:r>
      <w:r w:rsidRPr="00427B00">
        <w:rPr>
          <w:rFonts w:eastAsia="Calibri"/>
          <w:sz w:val="26"/>
          <w:szCs w:val="22"/>
        </w:rPr>
        <w:t xml:space="preserve">QFs is </w:t>
      </w:r>
      <w:r w:rsidR="00263931">
        <w:rPr>
          <w:rFonts w:eastAsia="Calibri"/>
          <w:sz w:val="26"/>
          <w:szCs w:val="22"/>
        </w:rPr>
        <w:t>necessary</w:t>
      </w:r>
      <w:r w:rsidRPr="00427B00">
        <w:rPr>
          <w:rFonts w:eastAsia="Calibri"/>
          <w:sz w:val="26"/>
          <w:szCs w:val="22"/>
        </w:rPr>
        <w:t xml:space="preserve"> in monitoring for compliance with the relevant QF regulations, which are concerned only with </w:t>
      </w:r>
      <w:r w:rsidR="00263931">
        <w:rPr>
          <w:rFonts w:eastAsia="Calibri"/>
          <w:sz w:val="26"/>
          <w:szCs w:val="22"/>
        </w:rPr>
        <w:t>distance between</w:t>
      </w:r>
      <w:r w:rsidRPr="00427B00">
        <w:rPr>
          <w:rFonts w:eastAsia="Calibri"/>
          <w:sz w:val="26"/>
          <w:szCs w:val="22"/>
        </w:rPr>
        <w:t xml:space="preserve"> affiliated </w:t>
      </w:r>
      <w:r w:rsidRPr="00427B00">
        <w:rPr>
          <w:rFonts w:eastAsia="Calibri"/>
          <w:i/>
          <w:sz w:val="26"/>
          <w:szCs w:val="22"/>
        </w:rPr>
        <w:t>QFs</w:t>
      </w:r>
      <w:r w:rsidRPr="00427B00">
        <w:rPr>
          <w:rFonts w:eastAsia="Calibri"/>
          <w:sz w:val="26"/>
          <w:szCs w:val="22"/>
        </w:rPr>
        <w:t xml:space="preserve">.  Particularly under the newly proposed item, where applicants would list facilities located </w:t>
      </w:r>
      <w:r w:rsidR="008A0126">
        <w:rPr>
          <w:rFonts w:eastAsia="Calibri"/>
          <w:sz w:val="26"/>
          <w:szCs w:val="22"/>
        </w:rPr>
        <w:t>over one mile but less than ten</w:t>
      </w:r>
      <w:r w:rsidRPr="00427B00">
        <w:rPr>
          <w:rFonts w:eastAsia="Calibri"/>
          <w:sz w:val="26"/>
          <w:szCs w:val="22"/>
        </w:rPr>
        <w:t xml:space="preserve"> miles away, many more facilities are likely to be listed than are currently listed in the existing item 8a.  As such, </w:t>
      </w:r>
      <w:r w:rsidR="008A0126">
        <w:rPr>
          <w:rFonts w:eastAsia="Calibri"/>
          <w:sz w:val="26"/>
          <w:szCs w:val="22"/>
        </w:rPr>
        <w:t>the Commission</w:t>
      </w:r>
      <w:r w:rsidRPr="00427B00">
        <w:rPr>
          <w:rFonts w:eastAsia="Calibri"/>
          <w:sz w:val="26"/>
          <w:szCs w:val="22"/>
        </w:rPr>
        <w:t xml:space="preserve"> </w:t>
      </w:r>
      <w:r w:rsidR="00263931">
        <w:rPr>
          <w:rFonts w:eastAsia="Calibri"/>
          <w:sz w:val="26"/>
          <w:szCs w:val="22"/>
        </w:rPr>
        <w:t>seeks comment on whether it should</w:t>
      </w:r>
      <w:r w:rsidRPr="00427B00">
        <w:rPr>
          <w:rFonts w:eastAsia="Calibri"/>
          <w:sz w:val="26"/>
          <w:szCs w:val="22"/>
        </w:rPr>
        <w:t xml:space="preserve"> revise item 8a (existing) and write </w:t>
      </w:r>
      <w:r w:rsidR="00372AEC">
        <w:rPr>
          <w:rFonts w:eastAsia="Calibri"/>
          <w:sz w:val="26"/>
          <w:szCs w:val="22"/>
        </w:rPr>
        <w:t xml:space="preserve">new </w:t>
      </w:r>
      <w:r w:rsidRPr="00427B00">
        <w:rPr>
          <w:rFonts w:eastAsia="Calibri"/>
          <w:sz w:val="26"/>
          <w:szCs w:val="22"/>
        </w:rPr>
        <w:t>item (as newly proposed) to</w:t>
      </w:r>
      <w:r w:rsidRPr="00427B00" w:rsidDel="00917F23">
        <w:rPr>
          <w:rFonts w:eastAsia="Calibri"/>
          <w:sz w:val="26"/>
          <w:szCs w:val="22"/>
        </w:rPr>
        <w:t xml:space="preserve"> </w:t>
      </w:r>
      <w:r w:rsidRPr="00427B00">
        <w:rPr>
          <w:rFonts w:eastAsia="Calibri"/>
          <w:sz w:val="26"/>
          <w:szCs w:val="22"/>
        </w:rPr>
        <w:t xml:space="preserve">require </w:t>
      </w:r>
      <w:r w:rsidR="00263931">
        <w:rPr>
          <w:rFonts w:eastAsia="Calibri"/>
          <w:sz w:val="26"/>
          <w:szCs w:val="22"/>
        </w:rPr>
        <w:t xml:space="preserve">that </w:t>
      </w:r>
      <w:r w:rsidRPr="00427B00">
        <w:rPr>
          <w:rFonts w:eastAsia="Calibri"/>
          <w:sz w:val="26"/>
          <w:szCs w:val="22"/>
        </w:rPr>
        <w:t xml:space="preserve">applicants list only affiliated </w:t>
      </w:r>
      <w:r w:rsidRPr="00427B00">
        <w:rPr>
          <w:rFonts w:eastAsia="Calibri"/>
          <w:i/>
          <w:sz w:val="26"/>
          <w:szCs w:val="22"/>
        </w:rPr>
        <w:t>QFs</w:t>
      </w:r>
      <w:r w:rsidRPr="00427B00">
        <w:rPr>
          <w:rFonts w:eastAsia="Calibri"/>
          <w:sz w:val="26"/>
          <w:szCs w:val="22"/>
        </w:rPr>
        <w:t xml:space="preserve">, or </w:t>
      </w:r>
      <w:r w:rsidR="00263931">
        <w:rPr>
          <w:rFonts w:eastAsia="Calibri"/>
          <w:sz w:val="26"/>
          <w:szCs w:val="22"/>
        </w:rPr>
        <w:t>whether</w:t>
      </w:r>
      <w:r w:rsidRPr="00427B00">
        <w:rPr>
          <w:rFonts w:eastAsia="Calibri"/>
          <w:sz w:val="26"/>
          <w:szCs w:val="22"/>
        </w:rPr>
        <w:t xml:space="preserve"> there is reason to continue to require all affiliated facilities to be listed.  </w:t>
      </w:r>
    </w:p>
    <w:p w:rsidRPr="00427B00" w:rsidR="00427B00" w:rsidP="002D68D0" w:rsidRDefault="00427B00" w14:paraId="554590B5" w14:textId="77777777">
      <w:pPr>
        <w:widowControl/>
        <w:tabs>
          <w:tab w:val="num" w:pos="720"/>
        </w:tabs>
        <w:autoSpaceDE/>
        <w:autoSpaceDN/>
        <w:adjustRightInd/>
        <w:spacing w:after="240"/>
        <w:rPr>
          <w:rFonts w:eastAsia="Calibri"/>
          <w:sz w:val="26"/>
          <w:szCs w:val="22"/>
        </w:rPr>
      </w:pPr>
      <w:r w:rsidRPr="00427B00">
        <w:rPr>
          <w:rFonts w:eastAsia="Calibri"/>
          <w:sz w:val="26"/>
          <w:szCs w:val="22"/>
        </w:rPr>
        <w:t xml:space="preserve">The Commission also seeks comment on whether item 3c (geographic coordinates) and the Geographic Coordinates instructions on page 4 of the current Form No. 556 should be modified such that reporting of geographic coordinates should be required for </w:t>
      </w:r>
      <w:r w:rsidRPr="00427B00">
        <w:rPr>
          <w:rFonts w:eastAsia="Calibri"/>
          <w:i/>
          <w:sz w:val="26"/>
          <w:szCs w:val="22"/>
        </w:rPr>
        <w:t>all</w:t>
      </w:r>
      <w:r w:rsidRPr="00427B00">
        <w:rPr>
          <w:rFonts w:eastAsia="Calibri"/>
          <w:sz w:val="26"/>
          <w:szCs w:val="22"/>
        </w:rPr>
        <w:t xml:space="preserve"> applications, rather than only for applications where there is no facility street address (as is now the case).  We believe such information may provide more transparency in approximate distances between facilities, and that such transparency may be useful for both the public and Commission staff in monitoring compliance with the Commission’s QF regulations.  </w:t>
      </w:r>
    </w:p>
    <w:p w:rsidRPr="002D68D0" w:rsidR="00427B00" w:rsidP="002D68D0" w:rsidRDefault="00427B00" w14:paraId="04CB0ED1" w14:textId="368D503A">
      <w:pPr>
        <w:widowControl/>
        <w:tabs>
          <w:tab w:val="num" w:pos="720"/>
        </w:tabs>
        <w:autoSpaceDE/>
        <w:autoSpaceDN/>
        <w:adjustRightInd/>
        <w:spacing w:after="240"/>
        <w:rPr>
          <w:b/>
        </w:rPr>
      </w:pPr>
      <w:r w:rsidRPr="00427B00">
        <w:rPr>
          <w:rFonts w:eastAsia="Calibri"/>
          <w:sz w:val="26"/>
          <w:szCs w:val="22"/>
        </w:rPr>
        <w:t>We note, as we did in Order No. 732,</w:t>
      </w:r>
      <w:r w:rsidRPr="00427B00">
        <w:rPr>
          <w:rFonts w:eastAsia="Calibri"/>
          <w:b/>
          <w:sz w:val="26"/>
          <w:szCs w:val="22"/>
          <w:vertAlign w:val="superscript"/>
        </w:rPr>
        <w:footnoteReference w:id="20"/>
      </w:r>
      <w:r w:rsidRPr="00427B00">
        <w:rPr>
          <w:rFonts w:eastAsia="Calibri"/>
          <w:sz w:val="26"/>
          <w:szCs w:val="22"/>
        </w:rPr>
        <w:t xml:space="preserve"> and as we do in the general form instructions on page 4 of the Form No. 556, that such coordinates can be obtained through certain free online map services (with links and instructions available through the Commission’s QF </w:t>
      </w:r>
      <w:r w:rsidRPr="00427B00">
        <w:rPr>
          <w:rFonts w:eastAsia="Calibri"/>
          <w:sz w:val="26"/>
          <w:szCs w:val="22"/>
        </w:rPr>
        <w:lastRenderedPageBreak/>
        <w:t>website); GPS devices (including smartphones, which are now nearly ubiquitous); Google Earth; property surveys; various engineering or construction drawings; property deeds; or municipal or county maps showing property lines.  We also note that the Commission has a link on its QF webpage (</w:t>
      </w:r>
      <w:hyperlink w:history="1" r:id="rId17">
        <w:r w:rsidRPr="00427B00">
          <w:rPr>
            <w:rFonts w:eastAsia="Calibri"/>
            <w:color w:val="0563C1"/>
            <w:sz w:val="26"/>
            <w:szCs w:val="22"/>
            <w:u w:val="single"/>
          </w:rPr>
          <w:t>www.ferc.gov/QF</w:t>
        </w:r>
      </w:hyperlink>
      <w:r w:rsidRPr="00427B00">
        <w:rPr>
          <w:rFonts w:eastAsia="Calibri"/>
          <w:sz w:val="26"/>
          <w:szCs w:val="22"/>
        </w:rPr>
        <w:t>) which provides assistance with determining geographic coordinates of facilities.  As such, we believe that the burden that would be created by requiring every QF to provide geographic coordinates would be limited.  Even so, we seek comment on whether the value of the information to the public and the Commission would outweigh the limited burden.</w:t>
      </w:r>
    </w:p>
    <w:sectPr w:rsidRPr="002D68D0" w:rsidR="00427B00" w:rsidSect="0002051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4CC8C" w14:textId="77777777" w:rsidR="00D7191B" w:rsidRDefault="00D7191B" w:rsidP="009D6B6D">
      <w:r>
        <w:separator/>
      </w:r>
    </w:p>
  </w:endnote>
  <w:endnote w:type="continuationSeparator" w:id="0">
    <w:p w14:paraId="2BCFCA5B" w14:textId="77777777" w:rsidR="00D7191B" w:rsidRDefault="00D7191B"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944A" w14:textId="77777777" w:rsidR="00E61EAE" w:rsidRDefault="00E61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A265" w14:textId="31A6A7CC" w:rsidR="00D7191B" w:rsidRDefault="00D7191B">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17</w:t>
        </w:r>
        <w:r>
          <w:rPr>
            <w:noProof/>
          </w:rPr>
          <w:fldChar w:fldCharType="end"/>
        </w:r>
      </w:sdtContent>
    </w:sdt>
  </w:p>
  <w:p w14:paraId="00CEF22F" w14:textId="77777777" w:rsidR="00D7191B" w:rsidRDefault="00D71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7DE2" w14:textId="77777777" w:rsidR="00E61EAE" w:rsidRDefault="00E61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F70F" w14:textId="77777777" w:rsidR="00D7191B" w:rsidRDefault="00D7191B" w:rsidP="009D6B6D">
      <w:r>
        <w:separator/>
      </w:r>
    </w:p>
  </w:footnote>
  <w:footnote w:type="continuationSeparator" w:id="0">
    <w:p w14:paraId="64FB83D5" w14:textId="77777777" w:rsidR="00D7191B" w:rsidRDefault="00D7191B" w:rsidP="009D6B6D">
      <w:r>
        <w:continuationSeparator/>
      </w:r>
    </w:p>
  </w:footnote>
  <w:footnote w:id="1">
    <w:p w14:paraId="5D8D0969" w14:textId="28C9B68E" w:rsidR="00D7191B" w:rsidRDefault="00D7191B">
      <w:pPr>
        <w:pStyle w:val="FootnoteText"/>
        <w:rPr>
          <w:sz w:val="26"/>
          <w:szCs w:val="26"/>
        </w:rPr>
      </w:pPr>
      <w:r w:rsidRPr="002D68D0">
        <w:rPr>
          <w:rStyle w:val="FootnoteReference"/>
          <w:sz w:val="26"/>
          <w:szCs w:val="26"/>
          <w:vertAlign w:val="superscript"/>
        </w:rPr>
        <w:footnoteRef/>
      </w:r>
      <w:r w:rsidRPr="002D68D0">
        <w:rPr>
          <w:sz w:val="26"/>
          <w:szCs w:val="26"/>
        </w:rPr>
        <w:t xml:space="preserve"> </w:t>
      </w:r>
      <w:r>
        <w:rPr>
          <w:sz w:val="26"/>
          <w:szCs w:val="26"/>
        </w:rPr>
        <w:t xml:space="preserve">On 5/20/2019 the renewal request for FERC-556 </w:t>
      </w:r>
      <w:r w:rsidRPr="002D68D0">
        <w:rPr>
          <w:sz w:val="26"/>
          <w:szCs w:val="26"/>
        </w:rPr>
        <w:t xml:space="preserve">(Certification of Qualifying Facility (QF) Status for a Small Power Production or Cogeneration Facility; OMB Control No. 1902-0075) </w:t>
      </w:r>
      <w:r>
        <w:rPr>
          <w:sz w:val="26"/>
          <w:szCs w:val="26"/>
        </w:rPr>
        <w:t xml:space="preserve">was submitted to OMB for </w:t>
      </w:r>
      <w:r w:rsidRPr="002D68D0">
        <w:rPr>
          <w:sz w:val="26"/>
          <w:szCs w:val="26"/>
        </w:rPr>
        <w:t xml:space="preserve">approval </w:t>
      </w:r>
      <w:r>
        <w:rPr>
          <w:sz w:val="26"/>
          <w:szCs w:val="26"/>
        </w:rPr>
        <w:t xml:space="preserve">and approved by OMB on 11/8/2019.  </w:t>
      </w:r>
      <w:r w:rsidRPr="002D68D0">
        <w:rPr>
          <w:sz w:val="26"/>
          <w:szCs w:val="26"/>
        </w:rPr>
        <w:t xml:space="preserve">That request for a 3-year renewal </w:t>
      </w:r>
      <w:r>
        <w:rPr>
          <w:sz w:val="26"/>
          <w:szCs w:val="26"/>
        </w:rPr>
        <w:t>was</w:t>
      </w:r>
      <w:r w:rsidRPr="002D68D0">
        <w:rPr>
          <w:sz w:val="26"/>
          <w:szCs w:val="26"/>
        </w:rPr>
        <w:t xml:space="preserve"> addressed separately and</w:t>
      </w:r>
      <w:r>
        <w:rPr>
          <w:sz w:val="26"/>
          <w:szCs w:val="26"/>
        </w:rPr>
        <w:t xml:space="preserve"> is</w:t>
      </w:r>
      <w:r w:rsidRPr="002D68D0">
        <w:rPr>
          <w:sz w:val="26"/>
          <w:szCs w:val="26"/>
        </w:rPr>
        <w:t xml:space="preserve"> not </w:t>
      </w:r>
      <w:r w:rsidR="00376B37">
        <w:rPr>
          <w:sz w:val="26"/>
          <w:szCs w:val="26"/>
        </w:rPr>
        <w:t>cover</w:t>
      </w:r>
      <w:r>
        <w:rPr>
          <w:sz w:val="26"/>
          <w:szCs w:val="26"/>
        </w:rPr>
        <w:t xml:space="preserve">ed </w:t>
      </w:r>
      <w:r w:rsidRPr="002D68D0">
        <w:rPr>
          <w:sz w:val="26"/>
          <w:szCs w:val="26"/>
        </w:rPr>
        <w:t xml:space="preserve">in this supporting </w:t>
      </w:r>
      <w:r w:rsidRPr="0098462E">
        <w:rPr>
          <w:sz w:val="26"/>
          <w:szCs w:val="26"/>
        </w:rPr>
        <w:t>statement.</w:t>
      </w:r>
      <w:r>
        <w:rPr>
          <w:sz w:val="26"/>
          <w:szCs w:val="26"/>
        </w:rPr>
        <w:t xml:space="preserve">  </w:t>
      </w:r>
    </w:p>
    <w:p w14:paraId="6A6FE6AD" w14:textId="231CF6CC" w:rsidR="00D7191B" w:rsidRDefault="00D7191B">
      <w:pPr>
        <w:pStyle w:val="FootnoteText"/>
        <w:rPr>
          <w:sz w:val="26"/>
          <w:szCs w:val="26"/>
        </w:rPr>
      </w:pPr>
      <w:r>
        <w:rPr>
          <w:sz w:val="26"/>
          <w:szCs w:val="26"/>
        </w:rPr>
        <w:t xml:space="preserve">On 10/4/2019 this package for FERC-556A was submitted to OMB for review.  The OMB-approved figures for the FERC-556 renewal were approved by OMB on 11/8/2019, after submittal of this package for FERC-556A.  Those now approved FERC-556 figures are provided for background in Table 1 in Question 12 at OMB’s request.  Those figures for FERC-556 are not otherwise addressed in this supporting statement for FERC-556A for the NOPR in </w:t>
      </w:r>
      <w:r w:rsidRPr="00D7191B">
        <w:rPr>
          <w:sz w:val="26"/>
          <w:szCs w:val="26"/>
        </w:rPr>
        <w:t>Docket Nos. RM19-15 and AD16-16</w:t>
      </w:r>
    </w:p>
    <w:p w14:paraId="5F2599E3" w14:textId="77777777" w:rsidR="00D7191B" w:rsidRPr="0098462E" w:rsidRDefault="00D7191B">
      <w:pPr>
        <w:pStyle w:val="FootnoteText"/>
        <w:rPr>
          <w:sz w:val="26"/>
          <w:szCs w:val="26"/>
        </w:rPr>
      </w:pPr>
    </w:p>
  </w:footnote>
  <w:footnote w:id="2">
    <w:p w14:paraId="0CF33541" w14:textId="411E9127" w:rsidR="00D7191B" w:rsidRDefault="00D7191B">
      <w:pPr>
        <w:pStyle w:val="FootnoteText"/>
        <w:rPr>
          <w:sz w:val="26"/>
          <w:szCs w:val="26"/>
        </w:rPr>
      </w:pPr>
      <w:r w:rsidRPr="0098462E">
        <w:rPr>
          <w:rStyle w:val="FootnoteReference"/>
          <w:sz w:val="26"/>
          <w:szCs w:val="26"/>
          <w:vertAlign w:val="superscript"/>
        </w:rPr>
        <w:footnoteRef/>
      </w:r>
      <w:r w:rsidRPr="0098462E">
        <w:rPr>
          <w:sz w:val="26"/>
          <w:szCs w:val="26"/>
        </w:rPr>
        <w:t xml:space="preserve"> The NOPR in Docket Nos. RM19-15 and AD16-16 (posted in FERC’s eLibrary at https://elibrary.ferc.gov/idmws/common/opennat.asp?fileID=15359670</w:t>
      </w:r>
      <w:r w:rsidRPr="002B2622">
        <w:rPr>
          <w:sz w:val="26"/>
          <w:szCs w:val="26"/>
        </w:rPr>
        <w:t>)</w:t>
      </w:r>
      <w:r w:rsidRPr="0098462E">
        <w:rPr>
          <w:sz w:val="26"/>
          <w:szCs w:val="26"/>
        </w:rPr>
        <w:t xml:space="preserve"> discusses</w:t>
      </w:r>
      <w:r w:rsidRPr="002D68D0">
        <w:rPr>
          <w:sz w:val="26"/>
          <w:szCs w:val="26"/>
        </w:rPr>
        <w:t xml:space="preserve"> FERC Form 556 (also called “FERC-556”).  This supporting statement for the temporary (placeholder) information collection number FERC-556A addresses those proposed changes in Docket Nos. RM19-15 and AD16-16.</w:t>
      </w:r>
    </w:p>
    <w:p w14:paraId="51662DEF" w14:textId="6F253FE1" w:rsidR="00D7191B" w:rsidRDefault="00D7191B">
      <w:pPr>
        <w:pStyle w:val="FootnoteText"/>
        <w:rPr>
          <w:sz w:val="26"/>
          <w:szCs w:val="26"/>
        </w:rPr>
      </w:pPr>
      <w:r>
        <w:rPr>
          <w:sz w:val="26"/>
          <w:szCs w:val="26"/>
        </w:rPr>
        <w:t xml:space="preserve">(Additional information on Qualifying Facilities is posted in FERC’s eLibrary at </w:t>
      </w:r>
      <w:hyperlink r:id="rId1" w:history="1">
        <w:r w:rsidRPr="005E6D17">
          <w:rPr>
            <w:rStyle w:val="Hyperlink"/>
            <w:sz w:val="26"/>
            <w:szCs w:val="26"/>
          </w:rPr>
          <w:t>https://www.ferc.gov/industries/electric/gen-info/qual-fac.asp</w:t>
        </w:r>
      </w:hyperlink>
      <w:r>
        <w:rPr>
          <w:sz w:val="26"/>
          <w:szCs w:val="26"/>
        </w:rPr>
        <w:t>.)</w:t>
      </w:r>
    </w:p>
    <w:p w14:paraId="7B75A246" w14:textId="691560E2" w:rsidR="00D7191B" w:rsidRPr="00CE4257" w:rsidRDefault="00D7191B">
      <w:pPr>
        <w:pStyle w:val="FootnoteText"/>
        <w:rPr>
          <w:sz w:val="24"/>
          <w:szCs w:val="24"/>
        </w:rPr>
      </w:pPr>
      <w:r>
        <w:rPr>
          <w:sz w:val="26"/>
          <w:szCs w:val="26"/>
        </w:rPr>
        <w:t>Additional items (such as the Commissioners’ Statement and Partial Dissent, and the News Release) are included in ROCIS supporting documents.</w:t>
      </w:r>
    </w:p>
  </w:footnote>
  <w:footnote w:id="3">
    <w:p w14:paraId="7F269FD1" w14:textId="2C63AB1F" w:rsidR="00D7191B" w:rsidRPr="002D68D0" w:rsidRDefault="00D7191B">
      <w:pPr>
        <w:pStyle w:val="FootnoteText"/>
        <w:rPr>
          <w:sz w:val="26"/>
          <w:szCs w:val="26"/>
        </w:rPr>
      </w:pPr>
      <w:r w:rsidRPr="002D68D0">
        <w:rPr>
          <w:rStyle w:val="FootnoteReference"/>
          <w:sz w:val="26"/>
          <w:szCs w:val="26"/>
          <w:vertAlign w:val="superscript"/>
        </w:rPr>
        <w:footnoteRef/>
      </w:r>
      <w:r w:rsidRPr="002D68D0">
        <w:rPr>
          <w:sz w:val="26"/>
          <w:szCs w:val="26"/>
        </w:rPr>
        <w:t xml:space="preserve"> 16 U</w:t>
      </w:r>
      <w:r>
        <w:rPr>
          <w:sz w:val="26"/>
          <w:szCs w:val="26"/>
        </w:rPr>
        <w:t>.</w:t>
      </w:r>
      <w:r w:rsidRPr="002D68D0">
        <w:rPr>
          <w:sz w:val="26"/>
          <w:szCs w:val="26"/>
        </w:rPr>
        <w:t>S</w:t>
      </w:r>
      <w:r>
        <w:rPr>
          <w:sz w:val="26"/>
          <w:szCs w:val="26"/>
        </w:rPr>
        <w:t>.</w:t>
      </w:r>
      <w:r w:rsidRPr="002D68D0">
        <w:rPr>
          <w:sz w:val="26"/>
          <w:szCs w:val="26"/>
        </w:rPr>
        <w:t>C</w:t>
      </w:r>
      <w:r>
        <w:rPr>
          <w:sz w:val="26"/>
          <w:szCs w:val="26"/>
        </w:rPr>
        <w:t>.</w:t>
      </w:r>
      <w:r w:rsidRPr="002D68D0">
        <w:rPr>
          <w:sz w:val="26"/>
          <w:szCs w:val="26"/>
        </w:rPr>
        <w:t xml:space="preserve"> 796</w:t>
      </w:r>
      <w:r>
        <w:rPr>
          <w:sz w:val="26"/>
          <w:szCs w:val="26"/>
        </w:rPr>
        <w:t>(17)-(22)</w:t>
      </w:r>
      <w:r w:rsidRPr="002D68D0">
        <w:rPr>
          <w:sz w:val="26"/>
          <w:szCs w:val="26"/>
        </w:rPr>
        <w:t>, 824a-3.</w:t>
      </w:r>
    </w:p>
  </w:footnote>
  <w:footnote w:id="4">
    <w:p w14:paraId="0E96A58D" w14:textId="77777777" w:rsidR="00D7191B" w:rsidRPr="002D68D0" w:rsidRDefault="00D7191B" w:rsidP="001922FC">
      <w:pPr>
        <w:pStyle w:val="FootnoteText"/>
        <w:rPr>
          <w:sz w:val="26"/>
          <w:szCs w:val="26"/>
        </w:rPr>
      </w:pPr>
      <w:r w:rsidRPr="002D68D0">
        <w:rPr>
          <w:rStyle w:val="FootnoteReference"/>
          <w:sz w:val="26"/>
          <w:szCs w:val="26"/>
          <w:vertAlign w:val="superscript"/>
        </w:rPr>
        <w:footnoteRef/>
      </w:r>
      <w:r w:rsidRPr="002D68D0">
        <w:rPr>
          <w:sz w:val="26"/>
          <w:szCs w:val="26"/>
        </w:rPr>
        <w:t xml:space="preserve"> </w:t>
      </w:r>
      <w:r w:rsidRPr="002D68D0">
        <w:rPr>
          <w:i/>
          <w:sz w:val="26"/>
          <w:szCs w:val="26"/>
        </w:rPr>
        <w:t>Revisions to Form, Procedures, and Criteria for Certification of Qualifying Facility Status for a Small Power Production or Cogeneration Facility</w:t>
      </w:r>
      <w:r w:rsidRPr="002D68D0">
        <w:rPr>
          <w:sz w:val="26"/>
          <w:szCs w:val="26"/>
        </w:rPr>
        <w:t>, Order No. 732, 130 FERC ¶ 61,214 (2010).</w:t>
      </w:r>
    </w:p>
  </w:footnote>
  <w:footnote w:id="5">
    <w:p w14:paraId="4459D3B6" w14:textId="77777777" w:rsidR="00D7191B" w:rsidRPr="002D68D0" w:rsidRDefault="00D7191B" w:rsidP="00914162">
      <w:pPr>
        <w:pStyle w:val="FootnoteText"/>
        <w:rPr>
          <w:sz w:val="26"/>
          <w:szCs w:val="26"/>
        </w:rPr>
      </w:pPr>
      <w:r w:rsidRPr="002D68D0">
        <w:rPr>
          <w:rStyle w:val="FootnoteReference"/>
          <w:sz w:val="26"/>
          <w:szCs w:val="26"/>
          <w:vertAlign w:val="superscript"/>
        </w:rPr>
        <w:footnoteRef/>
      </w:r>
      <w:r w:rsidRPr="002D68D0">
        <w:rPr>
          <w:sz w:val="26"/>
          <w:szCs w:val="26"/>
          <w:vertAlign w:val="superscript"/>
        </w:rPr>
        <w:t xml:space="preserve"> </w:t>
      </w:r>
      <w:r w:rsidRPr="002D68D0">
        <w:rPr>
          <w:sz w:val="26"/>
          <w:szCs w:val="26"/>
        </w:rPr>
        <w:t xml:space="preserve">18 CFR </w:t>
      </w:r>
      <w:r w:rsidRPr="002D68D0">
        <w:rPr>
          <w:rStyle w:val="FootnoteReference"/>
          <w:sz w:val="26"/>
          <w:szCs w:val="26"/>
        </w:rPr>
        <w:t>Part</w:t>
      </w:r>
      <w:r w:rsidRPr="002D68D0">
        <w:rPr>
          <w:sz w:val="26"/>
          <w:szCs w:val="26"/>
        </w:rPr>
        <w:t xml:space="preserve"> 292.</w:t>
      </w:r>
    </w:p>
  </w:footnote>
  <w:footnote w:id="6">
    <w:p w14:paraId="0DA98604" w14:textId="77777777" w:rsidR="00D7191B" w:rsidRPr="002D68D0" w:rsidRDefault="00D7191B" w:rsidP="009D6B6D">
      <w:pPr>
        <w:pStyle w:val="FootnoteText"/>
        <w:rPr>
          <w:sz w:val="26"/>
          <w:szCs w:val="26"/>
        </w:rPr>
      </w:pPr>
      <w:r w:rsidRPr="002D68D0">
        <w:rPr>
          <w:rStyle w:val="FootnoteReference"/>
          <w:sz w:val="26"/>
          <w:szCs w:val="26"/>
          <w:vertAlign w:val="superscript"/>
        </w:rPr>
        <w:footnoteRef/>
      </w:r>
      <w:r w:rsidRPr="002D68D0">
        <w:rPr>
          <w:sz w:val="26"/>
          <w:szCs w:val="26"/>
        </w:rPr>
        <w:t xml:space="preserve"> </w:t>
      </w:r>
      <w:r w:rsidRPr="002D68D0">
        <w:rPr>
          <w:i/>
          <w:sz w:val="26"/>
          <w:szCs w:val="26"/>
        </w:rPr>
        <w:t>Electronic Filing of Documents</w:t>
      </w:r>
      <w:r w:rsidRPr="002D68D0">
        <w:rPr>
          <w:sz w:val="26"/>
          <w:szCs w:val="26"/>
        </w:rPr>
        <w:t>, Order No. 619, 65 FR 57088 (Sept. 21, 2000), FERC Stats. &amp; Regs. ¶ 31,107 (2000).</w:t>
      </w:r>
    </w:p>
  </w:footnote>
  <w:footnote w:id="7">
    <w:p w14:paraId="0B591FDF" w14:textId="34476FF0" w:rsidR="00D7191B" w:rsidRPr="002D68D0" w:rsidRDefault="00D7191B">
      <w:pPr>
        <w:pStyle w:val="FootnoteText"/>
        <w:rPr>
          <w:sz w:val="26"/>
          <w:szCs w:val="26"/>
          <w:vertAlign w:val="superscript"/>
        </w:rPr>
      </w:pPr>
      <w:r w:rsidRPr="002D68D0">
        <w:rPr>
          <w:rStyle w:val="FootnoteReference"/>
          <w:sz w:val="26"/>
          <w:szCs w:val="26"/>
          <w:vertAlign w:val="superscript"/>
        </w:rPr>
        <w:footnoteRef/>
      </w:r>
      <w:r w:rsidRPr="002D68D0">
        <w:rPr>
          <w:sz w:val="26"/>
          <w:szCs w:val="26"/>
          <w:vertAlign w:val="superscript"/>
        </w:rPr>
        <w:t xml:space="preserve"> </w:t>
      </w:r>
      <w:r w:rsidRPr="002D68D0">
        <w:rPr>
          <w:sz w:val="26"/>
          <w:szCs w:val="26"/>
        </w:rPr>
        <w:t>Form 556 and its accompanying instructions are posted at https://www.ferc.gov/docs-filing/forms/form-556/form-556.pdf.</w:t>
      </w:r>
    </w:p>
  </w:footnote>
  <w:footnote w:id="8">
    <w:p w14:paraId="3B870CD6" w14:textId="77777777" w:rsidR="00D7191B" w:rsidRPr="00A52074" w:rsidRDefault="00D7191B">
      <w:pPr>
        <w:pStyle w:val="FootnoteText"/>
        <w:rPr>
          <w:sz w:val="24"/>
          <w:szCs w:val="24"/>
        </w:rPr>
      </w:pPr>
      <w:r w:rsidRPr="002D68D0">
        <w:rPr>
          <w:rStyle w:val="FootnoteReference"/>
          <w:sz w:val="26"/>
          <w:szCs w:val="26"/>
          <w:vertAlign w:val="superscript"/>
        </w:rPr>
        <w:footnoteRef/>
      </w:r>
      <w:r w:rsidRPr="002D68D0">
        <w:rPr>
          <w:sz w:val="26"/>
          <w:szCs w:val="26"/>
          <w:vertAlign w:val="superscript"/>
        </w:rPr>
        <w:t xml:space="preserve"> </w:t>
      </w:r>
      <w:r w:rsidRPr="002D68D0">
        <w:rPr>
          <w:sz w:val="26"/>
          <w:szCs w:val="26"/>
        </w:rPr>
        <w:t xml:space="preserve">The FAQs are posted at </w:t>
      </w:r>
      <w:hyperlink r:id="rId2" w:history="1">
        <w:r w:rsidRPr="002D68D0">
          <w:rPr>
            <w:rStyle w:val="Hyperlink"/>
            <w:sz w:val="26"/>
            <w:szCs w:val="26"/>
          </w:rPr>
          <w:t>https://www.ferc.gov/resources/faqs/qf-faqs.asp</w:t>
        </w:r>
      </w:hyperlink>
      <w:r w:rsidRPr="002D68D0">
        <w:rPr>
          <w:sz w:val="26"/>
          <w:szCs w:val="26"/>
        </w:rPr>
        <w:t xml:space="preserve">. </w:t>
      </w:r>
    </w:p>
  </w:footnote>
  <w:footnote w:id="9">
    <w:p w14:paraId="47044F39" w14:textId="77777777" w:rsidR="00D7191B" w:rsidRPr="002D68D0" w:rsidRDefault="00D7191B">
      <w:pPr>
        <w:pStyle w:val="FootnoteText"/>
        <w:rPr>
          <w:sz w:val="26"/>
          <w:szCs w:val="26"/>
        </w:rPr>
      </w:pPr>
      <w:r w:rsidRPr="002D68D0">
        <w:rPr>
          <w:rStyle w:val="FootnoteReference"/>
          <w:sz w:val="26"/>
          <w:szCs w:val="26"/>
          <w:vertAlign w:val="superscript"/>
        </w:rPr>
        <w:footnoteRef/>
      </w:r>
      <w:r w:rsidRPr="002D68D0">
        <w:rPr>
          <w:sz w:val="26"/>
          <w:szCs w:val="26"/>
        </w:rPr>
        <w:t xml:space="preserve"> 18 C.F.R. § 388.112.  More information on the CEII definition, program and requirements is posted at </w:t>
      </w:r>
      <w:hyperlink r:id="rId3" w:history="1">
        <w:r w:rsidRPr="002D68D0">
          <w:rPr>
            <w:rStyle w:val="Hyperlink"/>
            <w:sz w:val="26"/>
            <w:szCs w:val="26"/>
          </w:rPr>
          <w:t>http://www.ferc.gov/legal/ceii-foia/ceii.asp</w:t>
        </w:r>
      </w:hyperlink>
      <w:r w:rsidRPr="002D68D0">
        <w:rPr>
          <w:sz w:val="26"/>
          <w:szCs w:val="26"/>
        </w:rPr>
        <w:t>.</w:t>
      </w:r>
    </w:p>
  </w:footnote>
  <w:footnote w:id="10">
    <w:p w14:paraId="7CE5CDDB" w14:textId="77777777" w:rsidR="004857D1" w:rsidRPr="00916BBD" w:rsidRDefault="004857D1" w:rsidP="004857D1">
      <w:pPr>
        <w:pStyle w:val="FootnoteText"/>
        <w:rPr>
          <w:sz w:val="24"/>
          <w:szCs w:val="24"/>
        </w:rPr>
      </w:pPr>
      <w:r w:rsidRPr="00916BBD">
        <w:rPr>
          <w:rStyle w:val="FootnoteReference"/>
          <w:b/>
          <w:sz w:val="24"/>
          <w:szCs w:val="24"/>
          <w:vertAlign w:val="superscript"/>
        </w:rPr>
        <w:footnoteRef/>
      </w:r>
      <w:r w:rsidRPr="00916BBD">
        <w:rPr>
          <w:sz w:val="24"/>
          <w:szCs w:val="24"/>
        </w:rPr>
        <w:t xml:space="preserve"> The Commission staff believes that </w:t>
      </w:r>
      <w:r>
        <w:rPr>
          <w:sz w:val="24"/>
          <w:szCs w:val="24"/>
        </w:rPr>
        <w:t xml:space="preserve">the </w:t>
      </w:r>
      <w:r w:rsidRPr="00916BBD">
        <w:rPr>
          <w:sz w:val="24"/>
          <w:szCs w:val="24"/>
        </w:rPr>
        <w:t xml:space="preserve">industry is similarly situated in terms of wages and benefits.  Therefore, cost estimates are based on FERC’s 2018 average annual wage (and benefits) for a full-time employee of $164,820 (or $79.00/hour).  </w:t>
      </w:r>
    </w:p>
  </w:footnote>
  <w:footnote w:id="11">
    <w:p w14:paraId="17175255" w14:textId="77777777" w:rsidR="004857D1" w:rsidRPr="00916BBD" w:rsidRDefault="004857D1" w:rsidP="004857D1">
      <w:pPr>
        <w:pStyle w:val="FootnoteText"/>
        <w:rPr>
          <w:sz w:val="24"/>
          <w:szCs w:val="24"/>
        </w:rPr>
      </w:pPr>
      <w:r w:rsidRPr="00916BBD">
        <w:rPr>
          <w:rStyle w:val="FootnoteReference"/>
          <w:b/>
          <w:sz w:val="24"/>
          <w:szCs w:val="24"/>
          <w:vertAlign w:val="superscript"/>
        </w:rPr>
        <w:footnoteRef/>
      </w:r>
      <w:r w:rsidRPr="00916BBD">
        <w:rPr>
          <w:sz w:val="24"/>
          <w:szCs w:val="24"/>
        </w:rPr>
        <w:t xml:space="preserve"> MW = megawatt.</w:t>
      </w:r>
    </w:p>
  </w:footnote>
  <w:footnote w:id="12">
    <w:p w14:paraId="74BE3F72" w14:textId="77777777" w:rsidR="004857D1" w:rsidRPr="00916BBD" w:rsidRDefault="004857D1" w:rsidP="004857D1">
      <w:pPr>
        <w:pStyle w:val="FootnoteText"/>
        <w:rPr>
          <w:sz w:val="24"/>
          <w:szCs w:val="24"/>
        </w:rPr>
      </w:pPr>
      <w:r w:rsidRPr="00916BBD">
        <w:rPr>
          <w:rStyle w:val="FootnoteReference"/>
          <w:b/>
          <w:sz w:val="24"/>
          <w:szCs w:val="24"/>
          <w:vertAlign w:val="superscript"/>
        </w:rPr>
        <w:footnoteRef/>
      </w:r>
      <w:r w:rsidRPr="00916BBD">
        <w:rPr>
          <w:sz w:val="24"/>
          <w:szCs w:val="24"/>
          <w:vertAlign w:val="superscript"/>
        </w:rPr>
        <w:t xml:space="preserve"> </w:t>
      </w:r>
      <w:r w:rsidRPr="00916BBD">
        <w:rPr>
          <w:sz w:val="24"/>
          <w:szCs w:val="24"/>
        </w:rPr>
        <w:t>Not required to file.</w:t>
      </w:r>
    </w:p>
  </w:footnote>
  <w:footnote w:id="13">
    <w:p w14:paraId="2CD581FC" w14:textId="77777777" w:rsidR="00D7191B" w:rsidRPr="002D68D0" w:rsidRDefault="00D7191B">
      <w:pPr>
        <w:pStyle w:val="FootnoteText"/>
        <w:rPr>
          <w:sz w:val="26"/>
          <w:szCs w:val="26"/>
        </w:rPr>
      </w:pPr>
      <w:r w:rsidRPr="002D68D0">
        <w:rPr>
          <w:rStyle w:val="FootnoteReference"/>
          <w:sz w:val="26"/>
          <w:szCs w:val="26"/>
          <w:vertAlign w:val="superscript"/>
        </w:rPr>
        <w:footnoteRef/>
      </w:r>
      <w:r w:rsidRPr="002D68D0">
        <w:rPr>
          <w:sz w:val="26"/>
          <w:szCs w:val="26"/>
        </w:rPr>
        <w:t xml:space="preserve"> The burden costs are based on FERC’s 2018 average annual salary plus benefits of $164,820 (or $79/hour).  The Commission staff believes that industry is similarly situated in terms of staff costs (wages and benefits).</w:t>
      </w:r>
    </w:p>
  </w:footnote>
  <w:footnote w:id="14">
    <w:p w14:paraId="15E86569" w14:textId="77777777" w:rsidR="00D7191B" w:rsidRPr="00F32C3C" w:rsidRDefault="00D7191B">
      <w:pPr>
        <w:pStyle w:val="FootnoteText"/>
        <w:rPr>
          <w:sz w:val="24"/>
          <w:szCs w:val="24"/>
        </w:rPr>
      </w:pPr>
      <w:r w:rsidRPr="002D68D0">
        <w:rPr>
          <w:rStyle w:val="FootnoteReference"/>
          <w:sz w:val="26"/>
          <w:szCs w:val="26"/>
          <w:vertAlign w:val="superscript"/>
        </w:rPr>
        <w:footnoteRef/>
      </w:r>
      <w:r w:rsidRPr="002D68D0">
        <w:rPr>
          <w:sz w:val="26"/>
          <w:szCs w:val="26"/>
          <w:vertAlign w:val="superscript"/>
        </w:rPr>
        <w:t xml:space="preserve"> </w:t>
      </w:r>
      <w:r w:rsidRPr="002D68D0">
        <w:rPr>
          <w:sz w:val="26"/>
          <w:szCs w:val="26"/>
        </w:rPr>
        <w:t>In this table,</w:t>
      </w:r>
      <w:r w:rsidRPr="002D68D0">
        <w:rPr>
          <w:sz w:val="26"/>
          <w:szCs w:val="26"/>
          <w:vertAlign w:val="superscript"/>
        </w:rPr>
        <w:t xml:space="preserve"> </w:t>
      </w:r>
      <w:r w:rsidRPr="002D68D0">
        <w:rPr>
          <w:sz w:val="26"/>
          <w:szCs w:val="26"/>
        </w:rPr>
        <w:t>“no change” means the current OMB-approved figures included in FERC-556 are not affected by the NOPR in Docket No. RM19-15.</w:t>
      </w:r>
    </w:p>
  </w:footnote>
  <w:footnote w:id="15">
    <w:p w14:paraId="0F871DDA" w14:textId="77777777" w:rsidR="00D7191B" w:rsidRPr="002D68D0" w:rsidRDefault="00D7191B" w:rsidP="009E4DD8">
      <w:pPr>
        <w:pStyle w:val="FootnoteText"/>
        <w:rPr>
          <w:sz w:val="26"/>
          <w:szCs w:val="26"/>
        </w:rPr>
      </w:pPr>
      <w:r w:rsidRPr="002D68D0">
        <w:rPr>
          <w:rStyle w:val="FootnoteReference"/>
          <w:sz w:val="26"/>
          <w:szCs w:val="26"/>
          <w:vertAlign w:val="superscript"/>
        </w:rPr>
        <w:footnoteRef/>
      </w:r>
      <w:r w:rsidRPr="002D68D0">
        <w:rPr>
          <w:sz w:val="26"/>
          <w:szCs w:val="26"/>
        </w:rPr>
        <w:t xml:space="preserve"> Not required to file.</w:t>
      </w:r>
    </w:p>
  </w:footnote>
  <w:footnote w:id="16">
    <w:p w14:paraId="4D90EA38" w14:textId="4F9292EA" w:rsidR="00D7191B" w:rsidRPr="002D68D0" w:rsidRDefault="00D7191B" w:rsidP="00677FF7">
      <w:pPr>
        <w:pStyle w:val="FootnoteText"/>
        <w:rPr>
          <w:sz w:val="26"/>
          <w:szCs w:val="26"/>
        </w:rPr>
      </w:pPr>
      <w:r w:rsidRPr="002D68D0">
        <w:rPr>
          <w:rStyle w:val="FootnoteReference"/>
          <w:sz w:val="26"/>
          <w:szCs w:val="26"/>
          <w:vertAlign w:val="superscript"/>
        </w:rPr>
        <w:footnoteRef/>
      </w:r>
      <w:r w:rsidRPr="002D68D0">
        <w:rPr>
          <w:sz w:val="26"/>
          <w:szCs w:val="26"/>
          <w:vertAlign w:val="superscript"/>
        </w:rPr>
        <w:t xml:space="preserve"> </w:t>
      </w:r>
      <w:r w:rsidRPr="002D68D0">
        <w:rPr>
          <w:sz w:val="26"/>
          <w:szCs w:val="26"/>
        </w:rPr>
        <w:t>The estimate uses the FERC’s FY 2019 average annual salary plus benefits of one FERC FTE (full-time equivalent [$167,091 per year or $80.00 per hour]).  (These estimates were updated in July 1, 2019.)</w:t>
      </w:r>
    </w:p>
  </w:footnote>
  <w:footnote w:id="17">
    <w:p w14:paraId="4B763EC2" w14:textId="055662CD" w:rsidR="00D7191B" w:rsidRPr="000D5296" w:rsidRDefault="00D7191B" w:rsidP="00677FF7">
      <w:pPr>
        <w:pStyle w:val="FootnoteText"/>
        <w:rPr>
          <w:sz w:val="24"/>
          <w:szCs w:val="24"/>
        </w:rPr>
      </w:pPr>
      <w:r w:rsidRPr="002D68D0">
        <w:rPr>
          <w:rStyle w:val="FootnoteReference"/>
          <w:sz w:val="26"/>
          <w:szCs w:val="26"/>
          <w:vertAlign w:val="superscript"/>
        </w:rPr>
        <w:footnoteRef/>
      </w:r>
      <w:r w:rsidRPr="002D68D0">
        <w:rPr>
          <w:sz w:val="26"/>
          <w:szCs w:val="26"/>
        </w:rPr>
        <w:t xml:space="preserve"> This estimate was updated </w:t>
      </w:r>
      <w:r>
        <w:rPr>
          <w:sz w:val="26"/>
          <w:szCs w:val="26"/>
        </w:rPr>
        <w:t>July 1, 2019</w:t>
      </w:r>
      <w:r w:rsidRPr="002D68D0">
        <w:rPr>
          <w:sz w:val="26"/>
          <w:szCs w:val="26"/>
        </w:rPr>
        <w:t>.</w:t>
      </w:r>
    </w:p>
  </w:footnote>
  <w:footnote w:id="18">
    <w:p w14:paraId="5BA14AF2" w14:textId="219F01A1" w:rsidR="00D7191B" w:rsidRPr="001D7397" w:rsidRDefault="00D7191B">
      <w:pPr>
        <w:pStyle w:val="FootnoteText"/>
        <w:rPr>
          <w:sz w:val="26"/>
          <w:szCs w:val="26"/>
        </w:rPr>
      </w:pPr>
      <w:r w:rsidRPr="001D7397">
        <w:rPr>
          <w:rStyle w:val="FootnoteReference"/>
          <w:sz w:val="26"/>
          <w:szCs w:val="26"/>
          <w:vertAlign w:val="superscript"/>
        </w:rPr>
        <w:footnoteRef/>
      </w:r>
      <w:r w:rsidRPr="001D7397">
        <w:rPr>
          <w:sz w:val="26"/>
          <w:szCs w:val="26"/>
        </w:rPr>
        <w:t xml:space="preserve"> The existing FERC-556 has an annual estimate of two (2) FERC FTEs.</w:t>
      </w:r>
      <w:r>
        <w:rPr>
          <w:sz w:val="26"/>
          <w:szCs w:val="26"/>
        </w:rPr>
        <w:t xml:space="preserve">  The proposed changes in the NOPR in Docket Nos. RM19-15 and AD16-16 would add one (1) FERC FTE (shown in this supporting statement for </w:t>
      </w:r>
      <w:r w:rsidRPr="00285A83">
        <w:rPr>
          <w:sz w:val="26"/>
          <w:szCs w:val="26"/>
        </w:rPr>
        <w:t>temporary info</w:t>
      </w:r>
      <w:r>
        <w:rPr>
          <w:sz w:val="26"/>
          <w:szCs w:val="26"/>
        </w:rPr>
        <w:t>rmation collection number FERC-556A), giving a new total of three (3) FERC FTEs annually to analyze and process the filings.</w:t>
      </w:r>
    </w:p>
  </w:footnote>
  <w:footnote w:id="19">
    <w:p w14:paraId="13040B39" w14:textId="77777777" w:rsidR="00D7191B" w:rsidRPr="002D68D0" w:rsidRDefault="00D7191B" w:rsidP="00427B00">
      <w:pPr>
        <w:pStyle w:val="FootnoteText"/>
        <w:rPr>
          <w:sz w:val="26"/>
          <w:szCs w:val="26"/>
        </w:rPr>
      </w:pPr>
      <w:r w:rsidRPr="002D68D0">
        <w:rPr>
          <w:rStyle w:val="FootnoteReference"/>
          <w:sz w:val="26"/>
          <w:szCs w:val="26"/>
          <w:vertAlign w:val="superscript"/>
        </w:rPr>
        <w:footnoteRef/>
      </w:r>
      <w:r w:rsidRPr="002D68D0">
        <w:rPr>
          <w:sz w:val="26"/>
          <w:szCs w:val="26"/>
        </w:rPr>
        <w:t xml:space="preserve"> Subsequent items in that section of the form would be retained, but re-numbered and moved down accordingly.</w:t>
      </w:r>
    </w:p>
  </w:footnote>
  <w:footnote w:id="20">
    <w:p w14:paraId="1D2F3F82" w14:textId="77777777" w:rsidR="00D7191B" w:rsidRPr="002D68D0" w:rsidRDefault="00D7191B" w:rsidP="00427B00">
      <w:pPr>
        <w:pStyle w:val="FootnoteText"/>
        <w:rPr>
          <w:sz w:val="26"/>
          <w:szCs w:val="26"/>
        </w:rPr>
      </w:pPr>
      <w:r w:rsidRPr="002D68D0">
        <w:rPr>
          <w:rStyle w:val="FootnoteReference"/>
          <w:sz w:val="26"/>
          <w:szCs w:val="26"/>
          <w:vertAlign w:val="superscript"/>
        </w:rPr>
        <w:footnoteRef/>
      </w:r>
      <w:r w:rsidRPr="002D68D0">
        <w:rPr>
          <w:sz w:val="26"/>
          <w:szCs w:val="26"/>
        </w:rPr>
        <w:t xml:space="preserve"> </w:t>
      </w:r>
      <w:r w:rsidRPr="002D68D0">
        <w:rPr>
          <w:i/>
          <w:iCs/>
          <w:sz w:val="26"/>
          <w:szCs w:val="26"/>
        </w:rPr>
        <w:t>Revisions to Form, Procedures, and Criteria for Certification of Qualifying Facility Status for a Small Power Production or Cogeneration Facility</w:t>
      </w:r>
      <w:r w:rsidRPr="002D68D0">
        <w:rPr>
          <w:sz w:val="26"/>
          <w:szCs w:val="26"/>
        </w:rPr>
        <w:t>, </w:t>
      </w:r>
      <w:r w:rsidRPr="002D68D0">
        <w:rPr>
          <w:bCs/>
          <w:sz w:val="26"/>
          <w:szCs w:val="26"/>
        </w:rPr>
        <w:t>Order</w:t>
      </w:r>
      <w:r w:rsidRPr="002D68D0">
        <w:rPr>
          <w:sz w:val="26"/>
          <w:szCs w:val="26"/>
        </w:rPr>
        <w:t> </w:t>
      </w:r>
      <w:r w:rsidRPr="002D68D0">
        <w:rPr>
          <w:bCs/>
          <w:sz w:val="26"/>
          <w:szCs w:val="26"/>
        </w:rPr>
        <w:t>No</w:t>
      </w:r>
      <w:r w:rsidRPr="002D68D0">
        <w:rPr>
          <w:sz w:val="26"/>
          <w:szCs w:val="26"/>
        </w:rPr>
        <w:t>. </w:t>
      </w:r>
      <w:r w:rsidRPr="002D68D0">
        <w:rPr>
          <w:bCs/>
          <w:sz w:val="26"/>
          <w:szCs w:val="26"/>
        </w:rPr>
        <w:t>732</w:t>
      </w:r>
      <w:r w:rsidRPr="002D68D0">
        <w:rPr>
          <w:sz w:val="26"/>
          <w:szCs w:val="26"/>
        </w:rPr>
        <w:t>, 130 FERC ¶ 61,214, at P 100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C61D" w14:textId="77777777" w:rsidR="00E61EAE" w:rsidRDefault="00E61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34F9" w14:textId="77777777" w:rsidR="00D7191B" w:rsidRDefault="00D7191B" w:rsidP="003B475D">
    <w:pPr>
      <w:pStyle w:val="Header"/>
    </w:pPr>
    <w:r w:rsidRPr="00B74468">
      <w:t>FERC Form 556A (OMB Control No. TBD)</w:t>
    </w:r>
  </w:p>
  <w:p w14:paraId="7017FCFC" w14:textId="591677E4" w:rsidR="00D7191B" w:rsidRDefault="00D7191B" w:rsidP="003B475D">
    <w:pPr>
      <w:pStyle w:val="Header"/>
    </w:pPr>
    <w:r w:rsidRPr="0098462E">
      <w:t>NOPR (</w:t>
    </w:r>
    <w:r w:rsidRPr="002B2622">
      <w:t>issued 9/19/2019)</w:t>
    </w:r>
    <w:r w:rsidRPr="0098462E">
      <w:t xml:space="preserve"> in</w:t>
    </w:r>
    <w:r>
      <w:t xml:space="preserve"> </w:t>
    </w:r>
    <w:bookmarkStart w:id="4" w:name="_Hlk31721277"/>
    <w:r>
      <w:t>Docket Nos. RM19-15 and AD16-16</w:t>
    </w:r>
    <w:bookmarkEnd w:id="4"/>
  </w:p>
  <w:p w14:paraId="63514927" w14:textId="1CE67D2F" w:rsidR="00D7191B" w:rsidRDefault="00D7191B" w:rsidP="003B475D">
    <w:pPr>
      <w:pStyle w:val="Header"/>
    </w:pPr>
    <w:r w:rsidRPr="008B09A1">
      <w:t>RIN: 1902- AF67</w:t>
    </w:r>
  </w:p>
  <w:p w14:paraId="515D44EC" w14:textId="39E50C7D" w:rsidR="00D7191B" w:rsidRDefault="00D7191B" w:rsidP="003B475D">
    <w:pPr>
      <w:pStyle w:val="Header"/>
    </w:pPr>
    <w:r>
      <w:t>(updated 2/</w:t>
    </w:r>
    <w:r w:rsidR="00E61EAE">
      <w:t>5</w:t>
    </w:r>
    <w:r>
      <w:t>/2020)</w:t>
    </w:r>
  </w:p>
  <w:p w14:paraId="407055E1" w14:textId="77777777" w:rsidR="00D7191B" w:rsidRDefault="00D71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074F" w14:textId="77777777" w:rsidR="00D7191B" w:rsidRDefault="00D7191B">
    <w:pPr>
      <w:pStyle w:val="Header"/>
    </w:pPr>
    <w:r w:rsidRPr="00DF0A88">
      <w:rPr>
        <w:highlight w:val="yellow"/>
      </w:rPr>
      <w:t>draft 3/5/2019</w:t>
    </w:r>
  </w:p>
  <w:p w14:paraId="64E95294" w14:textId="77777777" w:rsidR="00D7191B" w:rsidRDefault="00D7191B">
    <w:pPr>
      <w:pStyle w:val="Header"/>
    </w:pPr>
    <w:r w:rsidRPr="00684722">
      <w:rPr>
        <w:highlight w:val="cyan"/>
      </w:rPr>
      <w:t>FERC Form 556</w:t>
    </w:r>
    <w:r>
      <w:rPr>
        <w:highlight w:val="cyan"/>
      </w:rPr>
      <w:t>A</w:t>
    </w:r>
    <w:r w:rsidRPr="00684722">
      <w:rPr>
        <w:highlight w:val="cyan"/>
      </w:rPr>
      <w:t xml:space="preserve"> (OMB Control No. </w:t>
    </w:r>
    <w:r>
      <w:rPr>
        <w:highlight w:val="cyan"/>
      </w:rPr>
      <w:t>TBD</w:t>
    </w:r>
    <w:r w:rsidRPr="00684722">
      <w:rPr>
        <w:highlight w:val="cyan"/>
      </w:rPr>
      <w:t>)</w:t>
    </w:r>
  </w:p>
  <w:p w14:paraId="6611D713" w14:textId="77777777" w:rsidR="00D7191B" w:rsidRDefault="00D7191B">
    <w:pPr>
      <w:pStyle w:val="Header"/>
    </w:pPr>
    <w:r>
      <w:t>NOPR (</w:t>
    </w:r>
    <w:r w:rsidRPr="00684722">
      <w:rPr>
        <w:highlight w:val="yellow"/>
      </w:rPr>
      <w:t>issued 3/??/2019)</w:t>
    </w:r>
    <w:r>
      <w:t xml:space="preserve"> in Docket No. RM19-15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0DA7693"/>
    <w:multiLevelType w:val="hybridMultilevel"/>
    <w:tmpl w:val="6DC0C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A1C07"/>
    <w:multiLevelType w:val="hybridMultilevel"/>
    <w:tmpl w:val="EB0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B09D3"/>
    <w:multiLevelType w:val="hybridMultilevel"/>
    <w:tmpl w:val="290E8058"/>
    <w:lvl w:ilvl="0" w:tplc="313E6436">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10"/>
  </w:num>
  <w:num w:numId="10">
    <w:abstractNumId w:val="0"/>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18AD"/>
    <w:rsid w:val="00004FDF"/>
    <w:rsid w:val="0002051D"/>
    <w:rsid w:val="000218B7"/>
    <w:rsid w:val="000345DA"/>
    <w:rsid w:val="0004237C"/>
    <w:rsid w:val="00052B87"/>
    <w:rsid w:val="00052CF2"/>
    <w:rsid w:val="00061AA1"/>
    <w:rsid w:val="00066385"/>
    <w:rsid w:val="00071C9D"/>
    <w:rsid w:val="00077BFF"/>
    <w:rsid w:val="000806CF"/>
    <w:rsid w:val="00082CB0"/>
    <w:rsid w:val="0008502B"/>
    <w:rsid w:val="000855B9"/>
    <w:rsid w:val="000969B5"/>
    <w:rsid w:val="000A3061"/>
    <w:rsid w:val="000A5A00"/>
    <w:rsid w:val="000B22A3"/>
    <w:rsid w:val="000C5C56"/>
    <w:rsid w:val="000D0F12"/>
    <w:rsid w:val="000D5296"/>
    <w:rsid w:val="000F0869"/>
    <w:rsid w:val="000F53A6"/>
    <w:rsid w:val="001076D3"/>
    <w:rsid w:val="00110126"/>
    <w:rsid w:val="00121733"/>
    <w:rsid w:val="00147917"/>
    <w:rsid w:val="001513C1"/>
    <w:rsid w:val="00160C20"/>
    <w:rsid w:val="00162EEC"/>
    <w:rsid w:val="0016485C"/>
    <w:rsid w:val="001706BC"/>
    <w:rsid w:val="00176972"/>
    <w:rsid w:val="001771E1"/>
    <w:rsid w:val="00181B4A"/>
    <w:rsid w:val="00183077"/>
    <w:rsid w:val="001900B3"/>
    <w:rsid w:val="001922FC"/>
    <w:rsid w:val="00193596"/>
    <w:rsid w:val="001A07E0"/>
    <w:rsid w:val="001A213B"/>
    <w:rsid w:val="001A36F4"/>
    <w:rsid w:val="001A5F96"/>
    <w:rsid w:val="001A6C4C"/>
    <w:rsid w:val="001B1350"/>
    <w:rsid w:val="001B6647"/>
    <w:rsid w:val="001C042A"/>
    <w:rsid w:val="001C1769"/>
    <w:rsid w:val="001C1D03"/>
    <w:rsid w:val="001D2EC1"/>
    <w:rsid w:val="001D3F6D"/>
    <w:rsid w:val="001D4F14"/>
    <w:rsid w:val="001D7397"/>
    <w:rsid w:val="001D7D27"/>
    <w:rsid w:val="001E6D2B"/>
    <w:rsid w:val="002000AA"/>
    <w:rsid w:val="00202221"/>
    <w:rsid w:val="00206823"/>
    <w:rsid w:val="002142A2"/>
    <w:rsid w:val="002223ED"/>
    <w:rsid w:val="00227EB4"/>
    <w:rsid w:val="00240D1B"/>
    <w:rsid w:val="0024137A"/>
    <w:rsid w:val="002565F8"/>
    <w:rsid w:val="00263931"/>
    <w:rsid w:val="00267978"/>
    <w:rsid w:val="00267F92"/>
    <w:rsid w:val="00270B94"/>
    <w:rsid w:val="00271529"/>
    <w:rsid w:val="00271D15"/>
    <w:rsid w:val="00271DE5"/>
    <w:rsid w:val="002766FC"/>
    <w:rsid w:val="00277A46"/>
    <w:rsid w:val="00285A83"/>
    <w:rsid w:val="002906AD"/>
    <w:rsid w:val="002939AF"/>
    <w:rsid w:val="00295C38"/>
    <w:rsid w:val="002A2B8E"/>
    <w:rsid w:val="002A52BE"/>
    <w:rsid w:val="002B0B46"/>
    <w:rsid w:val="002B17F2"/>
    <w:rsid w:val="002B2622"/>
    <w:rsid w:val="002C6D8C"/>
    <w:rsid w:val="002D5138"/>
    <w:rsid w:val="002D538F"/>
    <w:rsid w:val="002D68D0"/>
    <w:rsid w:val="002E3174"/>
    <w:rsid w:val="002E5488"/>
    <w:rsid w:val="002F4A74"/>
    <w:rsid w:val="00301EF6"/>
    <w:rsid w:val="00303A0C"/>
    <w:rsid w:val="00304435"/>
    <w:rsid w:val="00316F67"/>
    <w:rsid w:val="00320824"/>
    <w:rsid w:val="0032225E"/>
    <w:rsid w:val="00332BCC"/>
    <w:rsid w:val="0034276C"/>
    <w:rsid w:val="00346CA0"/>
    <w:rsid w:val="00351BC7"/>
    <w:rsid w:val="0035481D"/>
    <w:rsid w:val="00355086"/>
    <w:rsid w:val="00357EC7"/>
    <w:rsid w:val="00362236"/>
    <w:rsid w:val="00372AEC"/>
    <w:rsid w:val="00375C7A"/>
    <w:rsid w:val="00376B37"/>
    <w:rsid w:val="00385E4B"/>
    <w:rsid w:val="003A40B3"/>
    <w:rsid w:val="003A4AD2"/>
    <w:rsid w:val="003B475D"/>
    <w:rsid w:val="003B6102"/>
    <w:rsid w:val="003B7DB9"/>
    <w:rsid w:val="0041460C"/>
    <w:rsid w:val="00426B6E"/>
    <w:rsid w:val="00427B00"/>
    <w:rsid w:val="00432DA3"/>
    <w:rsid w:val="00436890"/>
    <w:rsid w:val="004445CE"/>
    <w:rsid w:val="004472EB"/>
    <w:rsid w:val="00454D32"/>
    <w:rsid w:val="00475BA5"/>
    <w:rsid w:val="004857D1"/>
    <w:rsid w:val="00486BAD"/>
    <w:rsid w:val="004935DE"/>
    <w:rsid w:val="00493F6A"/>
    <w:rsid w:val="004A1A48"/>
    <w:rsid w:val="004A40A9"/>
    <w:rsid w:val="004A55C2"/>
    <w:rsid w:val="004B0930"/>
    <w:rsid w:val="004C2FBC"/>
    <w:rsid w:val="004D46EC"/>
    <w:rsid w:val="004D5061"/>
    <w:rsid w:val="004D6DEB"/>
    <w:rsid w:val="004E539E"/>
    <w:rsid w:val="004F3784"/>
    <w:rsid w:val="005060D5"/>
    <w:rsid w:val="00506840"/>
    <w:rsid w:val="00506EA3"/>
    <w:rsid w:val="005240A1"/>
    <w:rsid w:val="0053750C"/>
    <w:rsid w:val="00537DF5"/>
    <w:rsid w:val="00545B62"/>
    <w:rsid w:val="0055763B"/>
    <w:rsid w:val="00560503"/>
    <w:rsid w:val="005646BD"/>
    <w:rsid w:val="00573B03"/>
    <w:rsid w:val="00583C12"/>
    <w:rsid w:val="005919F4"/>
    <w:rsid w:val="00592E82"/>
    <w:rsid w:val="00593CC7"/>
    <w:rsid w:val="005970B6"/>
    <w:rsid w:val="005B4C82"/>
    <w:rsid w:val="005C2BA6"/>
    <w:rsid w:val="005C5DE2"/>
    <w:rsid w:val="005C6866"/>
    <w:rsid w:val="005C6964"/>
    <w:rsid w:val="005D1354"/>
    <w:rsid w:val="005D6791"/>
    <w:rsid w:val="005E0C29"/>
    <w:rsid w:val="005E2C46"/>
    <w:rsid w:val="005E3672"/>
    <w:rsid w:val="005F24C0"/>
    <w:rsid w:val="005F5558"/>
    <w:rsid w:val="005F62ED"/>
    <w:rsid w:val="006019F5"/>
    <w:rsid w:val="00603167"/>
    <w:rsid w:val="006070B1"/>
    <w:rsid w:val="00617EE5"/>
    <w:rsid w:val="006265E5"/>
    <w:rsid w:val="00636253"/>
    <w:rsid w:val="00645E9E"/>
    <w:rsid w:val="00667D7B"/>
    <w:rsid w:val="00675D29"/>
    <w:rsid w:val="00677FF7"/>
    <w:rsid w:val="0068360C"/>
    <w:rsid w:val="00684722"/>
    <w:rsid w:val="00684F30"/>
    <w:rsid w:val="006878C0"/>
    <w:rsid w:val="006919FD"/>
    <w:rsid w:val="0069286F"/>
    <w:rsid w:val="006A1A2E"/>
    <w:rsid w:val="006A3E12"/>
    <w:rsid w:val="006A64D6"/>
    <w:rsid w:val="006A6928"/>
    <w:rsid w:val="006A6CBE"/>
    <w:rsid w:val="006C38B0"/>
    <w:rsid w:val="006C47B2"/>
    <w:rsid w:val="006D01D8"/>
    <w:rsid w:val="006D202F"/>
    <w:rsid w:val="006D2B65"/>
    <w:rsid w:val="006D6DCF"/>
    <w:rsid w:val="006E4D24"/>
    <w:rsid w:val="006F3AF6"/>
    <w:rsid w:val="00704953"/>
    <w:rsid w:val="007256E6"/>
    <w:rsid w:val="00730AFC"/>
    <w:rsid w:val="007324F2"/>
    <w:rsid w:val="00736F4A"/>
    <w:rsid w:val="0075420C"/>
    <w:rsid w:val="007625CD"/>
    <w:rsid w:val="007737C3"/>
    <w:rsid w:val="00781809"/>
    <w:rsid w:val="00782420"/>
    <w:rsid w:val="00791C9E"/>
    <w:rsid w:val="007A3AB9"/>
    <w:rsid w:val="007A4F18"/>
    <w:rsid w:val="007B3C48"/>
    <w:rsid w:val="007D23C1"/>
    <w:rsid w:val="007D7B85"/>
    <w:rsid w:val="007E2E0B"/>
    <w:rsid w:val="007E66BF"/>
    <w:rsid w:val="007F1EAC"/>
    <w:rsid w:val="00802098"/>
    <w:rsid w:val="00803F0F"/>
    <w:rsid w:val="00806E35"/>
    <w:rsid w:val="0081029B"/>
    <w:rsid w:val="00812C43"/>
    <w:rsid w:val="008203D7"/>
    <w:rsid w:val="00821716"/>
    <w:rsid w:val="0083273C"/>
    <w:rsid w:val="008333BB"/>
    <w:rsid w:val="00833D86"/>
    <w:rsid w:val="00843A86"/>
    <w:rsid w:val="00851D29"/>
    <w:rsid w:val="0085537A"/>
    <w:rsid w:val="008564A7"/>
    <w:rsid w:val="0086129F"/>
    <w:rsid w:val="0086542A"/>
    <w:rsid w:val="00867774"/>
    <w:rsid w:val="00870A54"/>
    <w:rsid w:val="00874546"/>
    <w:rsid w:val="00875368"/>
    <w:rsid w:val="00876B07"/>
    <w:rsid w:val="0088393C"/>
    <w:rsid w:val="00891C89"/>
    <w:rsid w:val="00893289"/>
    <w:rsid w:val="0089369D"/>
    <w:rsid w:val="00896FA6"/>
    <w:rsid w:val="008A0126"/>
    <w:rsid w:val="008A38B5"/>
    <w:rsid w:val="008A7CDE"/>
    <w:rsid w:val="008B09A1"/>
    <w:rsid w:val="008B1A17"/>
    <w:rsid w:val="008D1BFA"/>
    <w:rsid w:val="008D2858"/>
    <w:rsid w:val="008F0D53"/>
    <w:rsid w:val="008F1166"/>
    <w:rsid w:val="00907A71"/>
    <w:rsid w:val="00914162"/>
    <w:rsid w:val="00920524"/>
    <w:rsid w:val="00920A5D"/>
    <w:rsid w:val="00920FC3"/>
    <w:rsid w:val="00922CB7"/>
    <w:rsid w:val="00925996"/>
    <w:rsid w:val="00933292"/>
    <w:rsid w:val="009377CA"/>
    <w:rsid w:val="0095049A"/>
    <w:rsid w:val="009505F2"/>
    <w:rsid w:val="00951DFF"/>
    <w:rsid w:val="00957296"/>
    <w:rsid w:val="00957DA2"/>
    <w:rsid w:val="00971A3E"/>
    <w:rsid w:val="00980E8E"/>
    <w:rsid w:val="0098462E"/>
    <w:rsid w:val="00987F04"/>
    <w:rsid w:val="009918FF"/>
    <w:rsid w:val="009A1DDC"/>
    <w:rsid w:val="009B263A"/>
    <w:rsid w:val="009B3F20"/>
    <w:rsid w:val="009B65A9"/>
    <w:rsid w:val="009C0BDB"/>
    <w:rsid w:val="009D0266"/>
    <w:rsid w:val="009D14C5"/>
    <w:rsid w:val="009D6018"/>
    <w:rsid w:val="009D6B6D"/>
    <w:rsid w:val="009E2B49"/>
    <w:rsid w:val="009E4DD8"/>
    <w:rsid w:val="009E7F52"/>
    <w:rsid w:val="009F1933"/>
    <w:rsid w:val="009F5CC5"/>
    <w:rsid w:val="00A02928"/>
    <w:rsid w:val="00A0754A"/>
    <w:rsid w:val="00A1572A"/>
    <w:rsid w:val="00A23B2C"/>
    <w:rsid w:val="00A30374"/>
    <w:rsid w:val="00A303F1"/>
    <w:rsid w:val="00A50F11"/>
    <w:rsid w:val="00A52074"/>
    <w:rsid w:val="00A53CD6"/>
    <w:rsid w:val="00A61C06"/>
    <w:rsid w:val="00A735D0"/>
    <w:rsid w:val="00A8206E"/>
    <w:rsid w:val="00A8207E"/>
    <w:rsid w:val="00A969B9"/>
    <w:rsid w:val="00AA1FE8"/>
    <w:rsid w:val="00AA3F59"/>
    <w:rsid w:val="00AA5015"/>
    <w:rsid w:val="00AB0DCF"/>
    <w:rsid w:val="00AC0958"/>
    <w:rsid w:val="00AC158D"/>
    <w:rsid w:val="00AC7273"/>
    <w:rsid w:val="00AC7670"/>
    <w:rsid w:val="00AD1277"/>
    <w:rsid w:val="00AD5B1D"/>
    <w:rsid w:val="00AE16CB"/>
    <w:rsid w:val="00AF57C8"/>
    <w:rsid w:val="00AF6889"/>
    <w:rsid w:val="00B0391A"/>
    <w:rsid w:val="00B113CB"/>
    <w:rsid w:val="00B211C1"/>
    <w:rsid w:val="00B31D5B"/>
    <w:rsid w:val="00B3246A"/>
    <w:rsid w:val="00B37A77"/>
    <w:rsid w:val="00B50864"/>
    <w:rsid w:val="00B514E0"/>
    <w:rsid w:val="00B5555A"/>
    <w:rsid w:val="00B61F02"/>
    <w:rsid w:val="00B675BE"/>
    <w:rsid w:val="00B67AF1"/>
    <w:rsid w:val="00B71BDC"/>
    <w:rsid w:val="00B74468"/>
    <w:rsid w:val="00B927E7"/>
    <w:rsid w:val="00B9294E"/>
    <w:rsid w:val="00B960F5"/>
    <w:rsid w:val="00B97EA5"/>
    <w:rsid w:val="00BA03F7"/>
    <w:rsid w:val="00BA126B"/>
    <w:rsid w:val="00BB2636"/>
    <w:rsid w:val="00BB6095"/>
    <w:rsid w:val="00BC5A24"/>
    <w:rsid w:val="00BC5BC5"/>
    <w:rsid w:val="00BD2EC6"/>
    <w:rsid w:val="00BD3FEA"/>
    <w:rsid w:val="00BD4039"/>
    <w:rsid w:val="00BE49B2"/>
    <w:rsid w:val="00BF0CFA"/>
    <w:rsid w:val="00BF493B"/>
    <w:rsid w:val="00BF5413"/>
    <w:rsid w:val="00C02043"/>
    <w:rsid w:val="00C07492"/>
    <w:rsid w:val="00C10148"/>
    <w:rsid w:val="00C12DC0"/>
    <w:rsid w:val="00C13E47"/>
    <w:rsid w:val="00C16DD3"/>
    <w:rsid w:val="00C209AC"/>
    <w:rsid w:val="00C3086A"/>
    <w:rsid w:val="00C31524"/>
    <w:rsid w:val="00C33FDE"/>
    <w:rsid w:val="00C4175D"/>
    <w:rsid w:val="00C41EA5"/>
    <w:rsid w:val="00C46FA4"/>
    <w:rsid w:val="00C532F1"/>
    <w:rsid w:val="00C546FD"/>
    <w:rsid w:val="00C56045"/>
    <w:rsid w:val="00C71181"/>
    <w:rsid w:val="00C7666C"/>
    <w:rsid w:val="00C94860"/>
    <w:rsid w:val="00C97FEE"/>
    <w:rsid w:val="00CA42DA"/>
    <w:rsid w:val="00CA5A70"/>
    <w:rsid w:val="00CA5AF7"/>
    <w:rsid w:val="00CB032A"/>
    <w:rsid w:val="00CD5360"/>
    <w:rsid w:val="00CD7879"/>
    <w:rsid w:val="00CE3289"/>
    <w:rsid w:val="00CE4257"/>
    <w:rsid w:val="00CE43A7"/>
    <w:rsid w:val="00CF4F34"/>
    <w:rsid w:val="00D00417"/>
    <w:rsid w:val="00D0054E"/>
    <w:rsid w:val="00D00D07"/>
    <w:rsid w:val="00D00D55"/>
    <w:rsid w:val="00D0256C"/>
    <w:rsid w:val="00D05C1E"/>
    <w:rsid w:val="00D26BE1"/>
    <w:rsid w:val="00D441DB"/>
    <w:rsid w:val="00D51D7E"/>
    <w:rsid w:val="00D56050"/>
    <w:rsid w:val="00D7191B"/>
    <w:rsid w:val="00D84733"/>
    <w:rsid w:val="00D86E8F"/>
    <w:rsid w:val="00D875FA"/>
    <w:rsid w:val="00D93813"/>
    <w:rsid w:val="00DA4553"/>
    <w:rsid w:val="00DC65E7"/>
    <w:rsid w:val="00DD746B"/>
    <w:rsid w:val="00DE07FD"/>
    <w:rsid w:val="00DE0C3A"/>
    <w:rsid w:val="00DE72C1"/>
    <w:rsid w:val="00DF0A88"/>
    <w:rsid w:val="00DF4D6E"/>
    <w:rsid w:val="00DF7EF4"/>
    <w:rsid w:val="00E009DC"/>
    <w:rsid w:val="00E10B0F"/>
    <w:rsid w:val="00E138E1"/>
    <w:rsid w:val="00E32773"/>
    <w:rsid w:val="00E34039"/>
    <w:rsid w:val="00E36012"/>
    <w:rsid w:val="00E37B53"/>
    <w:rsid w:val="00E40D6E"/>
    <w:rsid w:val="00E46B67"/>
    <w:rsid w:val="00E5128E"/>
    <w:rsid w:val="00E525FF"/>
    <w:rsid w:val="00E61EAE"/>
    <w:rsid w:val="00E6514A"/>
    <w:rsid w:val="00E76211"/>
    <w:rsid w:val="00E8005E"/>
    <w:rsid w:val="00E82BDC"/>
    <w:rsid w:val="00E876B2"/>
    <w:rsid w:val="00E930D8"/>
    <w:rsid w:val="00E93379"/>
    <w:rsid w:val="00EA026E"/>
    <w:rsid w:val="00EA108C"/>
    <w:rsid w:val="00EA479F"/>
    <w:rsid w:val="00EA592C"/>
    <w:rsid w:val="00EB052D"/>
    <w:rsid w:val="00EB0FCB"/>
    <w:rsid w:val="00EC27E6"/>
    <w:rsid w:val="00EC3CFF"/>
    <w:rsid w:val="00EC5373"/>
    <w:rsid w:val="00ED0BED"/>
    <w:rsid w:val="00EF40FF"/>
    <w:rsid w:val="00F07B6F"/>
    <w:rsid w:val="00F105FE"/>
    <w:rsid w:val="00F12253"/>
    <w:rsid w:val="00F14D3D"/>
    <w:rsid w:val="00F205D2"/>
    <w:rsid w:val="00F272E4"/>
    <w:rsid w:val="00F30B0D"/>
    <w:rsid w:val="00F32C3C"/>
    <w:rsid w:val="00F37733"/>
    <w:rsid w:val="00F442B3"/>
    <w:rsid w:val="00F46908"/>
    <w:rsid w:val="00F528CE"/>
    <w:rsid w:val="00F52E73"/>
    <w:rsid w:val="00F54C61"/>
    <w:rsid w:val="00F620F6"/>
    <w:rsid w:val="00F72412"/>
    <w:rsid w:val="00F9124E"/>
    <w:rsid w:val="00F9165E"/>
    <w:rsid w:val="00F94A03"/>
    <w:rsid w:val="00FA06DD"/>
    <w:rsid w:val="00FA33AC"/>
    <w:rsid w:val="00FB3723"/>
    <w:rsid w:val="00FB5EB8"/>
    <w:rsid w:val="00FC0BE1"/>
    <w:rsid w:val="00FC1370"/>
    <w:rsid w:val="00FC7C5C"/>
    <w:rsid w:val="00FD049C"/>
    <w:rsid w:val="00FF255E"/>
    <w:rsid w:val="00FF278C"/>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391928"/>
  <w15:docId w15:val="{15D36615-0BAC-4B76-918D-544C4B6B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t Char Char,ft Char1"/>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qFormat/>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styleId="CommentReference">
    <w:name w:val="annotation reference"/>
    <w:basedOn w:val="DefaultParagraphFont"/>
    <w:uiPriority w:val="99"/>
    <w:semiHidden/>
    <w:unhideWhenUsed/>
    <w:rsid w:val="00EC5373"/>
    <w:rPr>
      <w:sz w:val="16"/>
      <w:szCs w:val="16"/>
    </w:rPr>
  </w:style>
  <w:style w:type="paragraph" w:styleId="CommentText">
    <w:name w:val="annotation text"/>
    <w:basedOn w:val="Normal"/>
    <w:link w:val="CommentTextChar"/>
    <w:uiPriority w:val="99"/>
    <w:unhideWhenUsed/>
    <w:rsid w:val="00EC5373"/>
    <w:rPr>
      <w:sz w:val="20"/>
      <w:szCs w:val="20"/>
    </w:rPr>
  </w:style>
  <w:style w:type="character" w:customStyle="1" w:styleId="CommentTextChar">
    <w:name w:val="Comment Text Char"/>
    <w:basedOn w:val="DefaultParagraphFont"/>
    <w:link w:val="CommentText"/>
    <w:uiPriority w:val="99"/>
    <w:rsid w:val="00EC53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C5373"/>
    <w:rPr>
      <w:b/>
      <w:bCs/>
    </w:rPr>
  </w:style>
  <w:style w:type="character" w:customStyle="1" w:styleId="CommentSubjectChar">
    <w:name w:val="Comment Subject Char"/>
    <w:basedOn w:val="CommentTextChar"/>
    <w:link w:val="CommentSubject"/>
    <w:uiPriority w:val="99"/>
    <w:semiHidden/>
    <w:rsid w:val="00EC5373"/>
    <w:rPr>
      <w:rFonts w:eastAsia="Times New Roman"/>
      <w:b/>
      <w:bCs/>
      <w:sz w:val="20"/>
      <w:szCs w:val="20"/>
    </w:rPr>
  </w:style>
  <w:style w:type="paragraph" w:styleId="Revision">
    <w:name w:val="Revision"/>
    <w:hidden/>
    <w:uiPriority w:val="99"/>
    <w:semiHidden/>
    <w:rsid w:val="00EC5373"/>
    <w:pPr>
      <w:spacing w:after="0" w:line="240" w:lineRule="auto"/>
    </w:pPr>
    <w:rPr>
      <w:rFonts w:eastAsia="Times New Roman"/>
      <w:sz w:val="24"/>
      <w:szCs w:val="24"/>
    </w:rPr>
  </w:style>
  <w:style w:type="character" w:customStyle="1" w:styleId="UnresolvedMention1">
    <w:name w:val="Unresolved Mention1"/>
    <w:basedOn w:val="DefaultParagraphFont"/>
    <w:uiPriority w:val="99"/>
    <w:semiHidden/>
    <w:unhideWhenUsed/>
    <w:rsid w:val="00301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forms.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erc.gov/Q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forms.as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www.ferc.gov/resources/faqs/qf-faqs.asp" TargetMode="External"/><Relationship Id="rId1" Type="http://schemas.openxmlformats.org/officeDocument/2006/relationships/hyperlink" Target="https://www.ferc.gov/industries/electric/gen-info/qual-fa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556A</_x0031__x002e__x0020_Collection_x0020_Number>
    <Date xmlns="d6eefc7d-9817-4fa6-84d5-3bc009be21b8">2020-02-05T05:00:00+00:00</Date>
    <Status xmlns="d6eefc7d-9817-4fa6-84d5-3bc009be21b8">Draft</Status>
    <_x0032__x002e__x0020_Docket_x0020_Number xmlns="d6eefc7d-9817-4fa6-84d5-3bc009be21b8">AD16-16</_x0032__x002e__x0020_Docket_x0020_Number>
    <_x0032__x002e__x0020_Collection_x0020_Number xmlns="d6eefc7d-9817-4fa6-84d5-3bc009be21b8">556</_x0032__x002e__x0020_Collection_x0020_Number>
    <_x0031__x002e__x0020_Docket_x0020_Number xmlns="d6eefc7d-9817-4fa6-84d5-3bc009be21b8">RM19-15</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10FD-78F8-4EE3-85B1-ECBD4703B7F1}">
  <ds:schemaRefs>
    <ds:schemaRef ds:uri="http://schemas.microsoft.com/sharepoint/v3/contenttype/forms"/>
  </ds:schemaRefs>
</ds:datastoreItem>
</file>

<file path=customXml/itemProps2.xml><?xml version="1.0" encoding="utf-8"?>
<ds:datastoreItem xmlns:ds="http://schemas.openxmlformats.org/officeDocument/2006/customXml" ds:itemID="{E893762E-DD30-41FA-BE95-7A3DAA0E9F6E}">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7433C2-97A4-4D75-BCCF-B75B6C08A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EB23C-E31B-4413-8323-CE569A574EBF}">
  <ds:schemaRefs>
    <ds:schemaRef ds:uri="http://schemas.microsoft.com/office/2006/metadata/customXsn"/>
  </ds:schemaRefs>
</ds:datastoreItem>
</file>

<file path=customXml/itemProps5.xml><?xml version="1.0" encoding="utf-8"?>
<ds:datastoreItem xmlns:ds="http://schemas.openxmlformats.org/officeDocument/2006/customXml" ds:itemID="{6E117E1C-DE12-4FFE-87D2-E4D85E811355}">
  <ds:schemaRefs>
    <ds:schemaRef ds:uri="Microsoft.SharePoint.Taxonomy.ContentTypeSync"/>
  </ds:schemaRefs>
</ds:datastoreItem>
</file>

<file path=customXml/itemProps6.xml><?xml version="1.0" encoding="utf-8"?>
<ds:datastoreItem xmlns:ds="http://schemas.openxmlformats.org/officeDocument/2006/customXml" ds:itemID="{FE84B812-4F52-48A6-9EE0-66C13B9B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Brown</dc:creator>
  <cp:lastModifiedBy>Ellen Brown</cp:lastModifiedBy>
  <cp:revision>12</cp:revision>
  <dcterms:created xsi:type="dcterms:W3CDTF">2020-02-04T20:03:00Z</dcterms:created>
  <dcterms:modified xsi:type="dcterms:W3CDTF">2020-02-05T18:48:00Z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