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57541B" w14:textId="77777777" w:rsidR="00F86890" w:rsidRDefault="00F86890" w:rsidP="00F86890">
      <w:pPr>
        <w:jc w:val="center"/>
      </w:pPr>
      <w:bookmarkStart w:id="0" w:name="_GoBack"/>
      <w:bookmarkEnd w:id="0"/>
      <w:smartTag w:uri="urn:schemas-microsoft-com:office:smarttags" w:element="place">
        <w:smartTag w:uri="urn:schemas-microsoft-com:office:smarttags" w:element="country-region">
          <w:r>
            <w:t>UNITED STATES OF AMERICA</w:t>
          </w:r>
        </w:smartTag>
      </w:smartTag>
    </w:p>
    <w:p w14:paraId="79428585" w14:textId="77777777" w:rsidR="00F86890" w:rsidRDefault="00F86890" w:rsidP="00F86890">
      <w:pPr>
        <w:jc w:val="center"/>
      </w:pPr>
      <w:r>
        <w:t>FEDERAL ENERGY REGULATORY COMMISSION</w:t>
      </w:r>
    </w:p>
    <w:p w14:paraId="080926DF" w14:textId="77777777" w:rsidR="00F86890" w:rsidRDefault="00F86890" w:rsidP="00F86890"/>
    <w:p w14:paraId="6224EDAF" w14:textId="680C92C8" w:rsidR="00F86890" w:rsidRDefault="00F86890" w:rsidP="00F86890">
      <w:pPr>
        <w:jc w:val="center"/>
      </w:pPr>
      <w:r w:rsidRPr="00AA2FBE">
        <w:t xml:space="preserve">[Docket No. </w:t>
      </w:r>
      <w:r w:rsidR="005554A9">
        <w:t>IC19-</w:t>
      </w:r>
      <w:r w:rsidR="00230385">
        <w:t>23</w:t>
      </w:r>
      <w:r w:rsidRPr="00AA2FBE">
        <w:t>-000]</w:t>
      </w:r>
    </w:p>
    <w:p w14:paraId="3DBF4703" w14:textId="77777777" w:rsidR="00F86890" w:rsidRDefault="00F86890" w:rsidP="00F86890"/>
    <w:p w14:paraId="6E142244" w14:textId="77777777" w:rsidR="005054E9" w:rsidRDefault="00F86890" w:rsidP="00F86890">
      <w:pPr>
        <w:jc w:val="center"/>
      </w:pPr>
      <w:r>
        <w:t xml:space="preserve">COMMISSION INFORMATION COLLECTION ACTIVITIES </w:t>
      </w:r>
    </w:p>
    <w:p w14:paraId="1573854A" w14:textId="756C91DB" w:rsidR="00F86890" w:rsidRPr="00ED7AAA" w:rsidRDefault="00F86890" w:rsidP="00F86890">
      <w:pPr>
        <w:jc w:val="center"/>
      </w:pPr>
      <w:r w:rsidRPr="00ED7AAA">
        <w:t>(FERC</w:t>
      </w:r>
      <w:r w:rsidR="005554A9">
        <w:t>-725P1</w:t>
      </w:r>
      <w:r w:rsidRPr="00ED7AAA">
        <w:t>);</w:t>
      </w:r>
    </w:p>
    <w:p w14:paraId="0BCD21A8" w14:textId="77777777" w:rsidR="00F86890" w:rsidRPr="00ED7AAA" w:rsidRDefault="00FE709D" w:rsidP="00F86890">
      <w:pPr>
        <w:jc w:val="center"/>
      </w:pPr>
      <w:r w:rsidRPr="00ED7AAA">
        <w:t xml:space="preserve">CONSOLIDATED </w:t>
      </w:r>
      <w:r w:rsidR="00F86890" w:rsidRPr="00ED7AAA">
        <w:t>COMMENT REQUEST; EXTENSION</w:t>
      </w:r>
    </w:p>
    <w:p w14:paraId="5790DF3B" w14:textId="77777777" w:rsidR="00F86890" w:rsidRPr="00ED7AAA" w:rsidRDefault="00F86890" w:rsidP="00F86890"/>
    <w:p w14:paraId="43126939" w14:textId="45EBDD8F" w:rsidR="002B69CF" w:rsidRDefault="00747976" w:rsidP="00747976">
      <w:pPr>
        <w:jc w:val="center"/>
      </w:pPr>
      <w:r w:rsidRPr="00747976">
        <w:t>(May 23, 2019)</w:t>
      </w:r>
    </w:p>
    <w:p w14:paraId="049F9896" w14:textId="77777777" w:rsidR="00747976" w:rsidRPr="00747976" w:rsidRDefault="00747976" w:rsidP="00747976"/>
    <w:p w14:paraId="406CF56E" w14:textId="3902D83C" w:rsidR="00F86890" w:rsidRDefault="00CE64F2" w:rsidP="00CE64F2">
      <w:pPr>
        <w:spacing w:line="480" w:lineRule="auto"/>
      </w:pPr>
      <w:r w:rsidRPr="00747976">
        <w:rPr>
          <w:u w:val="single"/>
        </w:rPr>
        <w:t>AGENCY</w:t>
      </w:r>
      <w:r w:rsidRPr="00747976">
        <w:t>:</w:t>
      </w:r>
      <w:r>
        <w:t xml:space="preserve">  </w:t>
      </w:r>
      <w:r w:rsidR="00F86890">
        <w:t>Federal Energy Regulatory Commission</w:t>
      </w:r>
    </w:p>
    <w:p w14:paraId="2F1053CE" w14:textId="77777777" w:rsidR="00F86890" w:rsidRDefault="00CE64F2" w:rsidP="00CE64F2">
      <w:pPr>
        <w:spacing w:line="480" w:lineRule="auto"/>
      </w:pPr>
      <w:r w:rsidRPr="00747976">
        <w:rPr>
          <w:u w:val="single"/>
        </w:rPr>
        <w:t>ACTION</w:t>
      </w:r>
      <w:r w:rsidRPr="00747976">
        <w:t>:</w:t>
      </w:r>
      <w:r>
        <w:t xml:space="preserve">  </w:t>
      </w:r>
      <w:r w:rsidR="00F86890">
        <w:t>Notice of information collection</w:t>
      </w:r>
      <w:r w:rsidR="005054E9">
        <w:t>s</w:t>
      </w:r>
      <w:r w:rsidR="00F86890">
        <w:t xml:space="preserve"> and request for comments.</w:t>
      </w:r>
    </w:p>
    <w:p w14:paraId="206BCD52" w14:textId="56BA370B" w:rsidR="005054E9" w:rsidRDefault="00F86890" w:rsidP="00CE64F2">
      <w:pPr>
        <w:spacing w:line="480" w:lineRule="auto"/>
      </w:pPr>
      <w:r w:rsidRPr="00747976">
        <w:rPr>
          <w:u w:val="single"/>
        </w:rPr>
        <w:t>SUMMARY</w:t>
      </w:r>
      <w:r w:rsidRPr="00747976">
        <w:t>:</w:t>
      </w:r>
      <w:r>
        <w:t xml:space="preserve">  In compliance with the requirements of </w:t>
      </w:r>
      <w:r w:rsidR="00DA7F57">
        <w:t xml:space="preserve">the </w:t>
      </w:r>
      <w:r w:rsidR="0005366B">
        <w:t>Paperwork Reduction Act of 1995</w:t>
      </w:r>
      <w:r w:rsidR="00002127">
        <w:t xml:space="preserve">, </w:t>
      </w:r>
      <w:r>
        <w:t xml:space="preserve">the Federal Energy Regulatory Commission (Commission or FERC) is soliciting public comment on the </w:t>
      </w:r>
      <w:r w:rsidR="00493451">
        <w:t>requirements and burden of the</w:t>
      </w:r>
      <w:r w:rsidR="00E146ED">
        <w:t xml:space="preserve"> information collection</w:t>
      </w:r>
      <w:r w:rsidR="005054E9">
        <w:t>s</w:t>
      </w:r>
      <w:r w:rsidR="0075407F">
        <w:t xml:space="preserve"> described below</w:t>
      </w:r>
      <w:r w:rsidR="0096244F">
        <w:t>.</w:t>
      </w:r>
    </w:p>
    <w:p w14:paraId="62B08134" w14:textId="761CA416" w:rsidR="00F86890" w:rsidRDefault="00F86890" w:rsidP="00CE64F2">
      <w:pPr>
        <w:spacing w:line="480" w:lineRule="auto"/>
      </w:pPr>
      <w:r w:rsidRPr="00747976">
        <w:rPr>
          <w:u w:val="single"/>
        </w:rPr>
        <w:t>DATES</w:t>
      </w:r>
      <w:r w:rsidRPr="00747976">
        <w:t xml:space="preserve">: </w:t>
      </w:r>
      <w:r>
        <w:t xml:space="preserve"> Comments </w:t>
      </w:r>
      <w:r w:rsidR="00DA7F57">
        <w:t>on</w:t>
      </w:r>
      <w:r>
        <w:t xml:space="preserve"> the collection</w:t>
      </w:r>
      <w:r w:rsidR="00FE709D">
        <w:t>s</w:t>
      </w:r>
      <w:r>
        <w:t xml:space="preserve"> of information are due</w:t>
      </w:r>
      <w:r w:rsidRPr="002B69CF">
        <w:rPr>
          <w:caps/>
        </w:rPr>
        <w:t xml:space="preserve"> [</w:t>
      </w:r>
      <w:r w:rsidR="0027273D" w:rsidRPr="002B69CF">
        <w:rPr>
          <w:b/>
          <w:caps/>
        </w:rPr>
        <w:t>insert dat</w:t>
      </w:r>
      <w:r w:rsidR="00AE61E0" w:rsidRPr="002B69CF">
        <w:rPr>
          <w:b/>
          <w:caps/>
        </w:rPr>
        <w:t>e</w:t>
      </w:r>
      <w:r w:rsidR="0027273D" w:rsidRPr="002B69CF">
        <w:rPr>
          <w:b/>
          <w:caps/>
        </w:rPr>
        <w:t xml:space="preserve"> </w:t>
      </w:r>
      <w:r w:rsidRPr="002B69CF">
        <w:rPr>
          <w:b/>
          <w:caps/>
        </w:rPr>
        <w:t xml:space="preserve">60 days </w:t>
      </w:r>
      <w:r w:rsidR="00724CBD">
        <w:rPr>
          <w:b/>
          <w:caps/>
        </w:rPr>
        <w:t>AFTER</w:t>
      </w:r>
      <w:r w:rsidR="002B69CF" w:rsidRPr="002B69CF">
        <w:rPr>
          <w:b/>
          <w:caps/>
        </w:rPr>
        <w:t xml:space="preserve"> </w:t>
      </w:r>
      <w:r w:rsidRPr="002B69CF">
        <w:rPr>
          <w:b/>
          <w:caps/>
        </w:rPr>
        <w:t>publication</w:t>
      </w:r>
      <w:r w:rsidR="0027273D" w:rsidRPr="002B69CF">
        <w:rPr>
          <w:b/>
          <w:caps/>
        </w:rPr>
        <w:t xml:space="preserve"> </w:t>
      </w:r>
      <w:r w:rsidRPr="002B69CF">
        <w:rPr>
          <w:b/>
          <w:caps/>
        </w:rPr>
        <w:t>in the Federal Register</w:t>
      </w:r>
      <w:r w:rsidRPr="002B69CF">
        <w:rPr>
          <w:caps/>
        </w:rPr>
        <w:t>]</w:t>
      </w:r>
      <w:r w:rsidR="002B69CF" w:rsidRPr="002B69CF">
        <w:rPr>
          <w:caps/>
        </w:rPr>
        <w:t xml:space="preserve">.  </w:t>
      </w:r>
    </w:p>
    <w:p w14:paraId="28598D7F" w14:textId="67E19BC0" w:rsidR="00537276" w:rsidRDefault="00F86890" w:rsidP="00CE64F2">
      <w:pPr>
        <w:spacing w:line="480" w:lineRule="auto"/>
      </w:pPr>
      <w:r w:rsidRPr="00747976">
        <w:rPr>
          <w:u w:val="single"/>
        </w:rPr>
        <w:t>ADDRESSES</w:t>
      </w:r>
      <w:r w:rsidRPr="00747976">
        <w:t>:</w:t>
      </w:r>
      <w:r w:rsidRPr="00AA2FBE">
        <w:t xml:space="preserve">  </w:t>
      </w:r>
      <w:r w:rsidR="005346F4" w:rsidRPr="00AA2FBE">
        <w:t>You may submit comments</w:t>
      </w:r>
      <w:r w:rsidR="00537276" w:rsidRPr="00AA2FBE">
        <w:t xml:space="preserve"> </w:t>
      </w:r>
      <w:r w:rsidR="00AB436E" w:rsidRPr="00AA2FBE">
        <w:t>(</w:t>
      </w:r>
      <w:r w:rsidR="00537276" w:rsidRPr="00AA2FBE">
        <w:t xml:space="preserve">identified by Docket No. </w:t>
      </w:r>
      <w:r w:rsidR="005554A9">
        <w:t>IC19-</w:t>
      </w:r>
      <w:r w:rsidR="00230385">
        <w:t>23</w:t>
      </w:r>
      <w:r w:rsidR="00537276" w:rsidRPr="00AA2FBE">
        <w:t>-000</w:t>
      </w:r>
      <w:r w:rsidR="00AB436E" w:rsidRPr="00AA2FBE">
        <w:t xml:space="preserve">) </w:t>
      </w:r>
      <w:r w:rsidR="00537276" w:rsidRPr="00AA2FBE">
        <w:t>by</w:t>
      </w:r>
      <w:r w:rsidR="00537276">
        <w:t xml:space="preserve"> </w:t>
      </w:r>
      <w:r w:rsidR="00004A34">
        <w:t>either</w:t>
      </w:r>
      <w:r w:rsidR="00537276">
        <w:t xml:space="preserve"> of the following methods:</w:t>
      </w:r>
    </w:p>
    <w:p w14:paraId="0E96004E" w14:textId="77777777" w:rsidR="008410EA" w:rsidRDefault="00537276" w:rsidP="00AB436E">
      <w:pPr>
        <w:numPr>
          <w:ilvl w:val="0"/>
          <w:numId w:val="2"/>
        </w:numPr>
        <w:tabs>
          <w:tab w:val="clear" w:pos="1500"/>
          <w:tab w:val="num" w:pos="1080"/>
        </w:tabs>
        <w:spacing w:line="480" w:lineRule="auto"/>
        <w:ind w:left="720" w:firstLine="0"/>
      </w:pPr>
      <w:bookmarkStart w:id="1" w:name="OLE_LINK1"/>
      <w:r>
        <w:t>eFiling</w:t>
      </w:r>
      <w:r w:rsidR="00EC657E">
        <w:t xml:space="preserve"> at Commission’s Web Site: </w:t>
      </w:r>
      <w:hyperlink r:id="rId13" w:history="1">
        <w:r w:rsidR="00AB436E" w:rsidRPr="00EC7068">
          <w:rPr>
            <w:rStyle w:val="Hyperlink"/>
          </w:rPr>
          <w:t>http://www.ferc.gov/docs-filing/efiling.asp</w:t>
        </w:r>
      </w:hyperlink>
    </w:p>
    <w:p w14:paraId="2B966889" w14:textId="77777777" w:rsidR="00EE64A4" w:rsidRDefault="008410EA" w:rsidP="00A17794">
      <w:pPr>
        <w:numPr>
          <w:ilvl w:val="0"/>
          <w:numId w:val="2"/>
        </w:numPr>
        <w:tabs>
          <w:tab w:val="clear" w:pos="1500"/>
          <w:tab w:val="num" w:pos="1080"/>
        </w:tabs>
        <w:spacing w:line="480" w:lineRule="auto"/>
        <w:ind w:left="1080"/>
      </w:pPr>
      <w:r>
        <w:t xml:space="preserve">Mail/Hand Delivery/Courier: </w:t>
      </w:r>
      <w:r w:rsidR="00EE64A4">
        <w:t xml:space="preserve">Federal Energy Regulatory Commission, Secretary of the Commission, </w:t>
      </w:r>
      <w:smartTag w:uri="urn:schemas-microsoft-com:office:smarttags" w:element="address">
        <w:smartTag w:uri="urn:schemas-microsoft-com:office:smarttags" w:element="Street">
          <w:r w:rsidR="00EE64A4">
            <w:t>888 First Street, NE</w:t>
          </w:r>
        </w:smartTag>
        <w:r w:rsidR="00EE64A4">
          <w:t xml:space="preserve">, </w:t>
        </w:r>
        <w:smartTag w:uri="urn:schemas-microsoft-com:office:smarttags" w:element="City">
          <w:r w:rsidR="00EE64A4">
            <w:t>Washington</w:t>
          </w:r>
        </w:smartTag>
        <w:r w:rsidR="00EE64A4">
          <w:t xml:space="preserve">, </w:t>
        </w:r>
        <w:smartTag w:uri="urn:schemas-microsoft-com:office:smarttags" w:element="State">
          <w:r w:rsidR="00EE64A4">
            <w:t>DC</w:t>
          </w:r>
        </w:smartTag>
        <w:r w:rsidR="00EE64A4">
          <w:t xml:space="preserve"> </w:t>
        </w:r>
        <w:smartTag w:uri="urn:schemas-microsoft-com:office:smarttags" w:element="PostalCode">
          <w:r w:rsidR="00EE64A4">
            <w:t>20426</w:t>
          </w:r>
        </w:smartTag>
      </w:smartTag>
      <w:r w:rsidR="00EE64A4">
        <w:t>.</w:t>
      </w:r>
    </w:p>
    <w:p w14:paraId="44350C16" w14:textId="77777777" w:rsidR="005054E9" w:rsidRDefault="005054E9" w:rsidP="0096244F">
      <w:pPr>
        <w:spacing w:line="480" w:lineRule="auto"/>
      </w:pPr>
      <w:r>
        <w:t>Please reference the specific collection number and/or title in your comments.</w:t>
      </w:r>
    </w:p>
    <w:p w14:paraId="421D8A4C" w14:textId="77777777" w:rsidR="00785CF9" w:rsidRDefault="00EE64A4" w:rsidP="00EE64A4">
      <w:pPr>
        <w:spacing w:line="480" w:lineRule="auto"/>
      </w:pPr>
      <w:r>
        <w:rPr>
          <w:i/>
        </w:rPr>
        <w:t xml:space="preserve">Instructions: </w:t>
      </w:r>
      <w:r>
        <w:t xml:space="preserve">All submissions must </w:t>
      </w:r>
      <w:r w:rsidR="005346F4">
        <w:t xml:space="preserve">be </w:t>
      </w:r>
      <w:r w:rsidR="00D63246">
        <w:t xml:space="preserve">formatted and </w:t>
      </w:r>
      <w:r>
        <w:t>filed in accordance with submission guidelines</w:t>
      </w:r>
      <w:r w:rsidR="00A17794">
        <w:t xml:space="preserve"> at:</w:t>
      </w:r>
      <w:r>
        <w:t xml:space="preserve"> </w:t>
      </w:r>
      <w:hyperlink r:id="rId14" w:history="1">
        <w:r w:rsidR="00D63246" w:rsidRPr="00866BB4">
          <w:rPr>
            <w:rStyle w:val="Hyperlink"/>
          </w:rPr>
          <w:t>http://www.ferc.gov/help/submission-guide.asp</w:t>
        </w:r>
      </w:hyperlink>
      <w:r w:rsidR="00D63246">
        <w:t xml:space="preserve">.  </w:t>
      </w:r>
      <w:r w:rsidR="00D76D45">
        <w:t xml:space="preserve">For user assistance </w:t>
      </w:r>
      <w:r w:rsidR="00F30FE9">
        <w:lastRenderedPageBreak/>
        <w:t>c</w:t>
      </w:r>
      <w:r w:rsidR="00D76D45">
        <w:t>ontact FERC Online Support by e-mail at ferconlinesupport@ferc.gov, or by phone at:  (866) 208-3676 (toll-free), or (202) 502-8659 for TTY.</w:t>
      </w:r>
    </w:p>
    <w:p w14:paraId="024F6B71" w14:textId="77777777" w:rsidR="00D76D45" w:rsidRPr="00ED7AAA" w:rsidRDefault="00785CF9" w:rsidP="006902C3">
      <w:pPr>
        <w:spacing w:line="480" w:lineRule="auto"/>
      </w:pPr>
      <w:r>
        <w:rPr>
          <w:i/>
        </w:rPr>
        <w:t>Docket:</w:t>
      </w:r>
      <w:r>
        <w:t xml:space="preserve"> </w:t>
      </w:r>
      <w:r w:rsidR="00F86890">
        <w:t xml:space="preserve">Users interested in receiving automatic notification of activity </w:t>
      </w:r>
      <w:r w:rsidR="00241BFD">
        <w:t>in this docket or in viewing/downloading comments and issuances</w:t>
      </w:r>
      <w:r w:rsidR="00F86890">
        <w:t xml:space="preserve"> </w:t>
      </w:r>
      <w:r w:rsidR="00241BFD">
        <w:t xml:space="preserve">in this docket </w:t>
      </w:r>
      <w:r w:rsidR="00F86890">
        <w:t xml:space="preserve">may do so </w:t>
      </w:r>
      <w:r w:rsidR="00241BFD">
        <w:t xml:space="preserve">at </w:t>
      </w:r>
      <w:hyperlink r:id="rId15" w:history="1">
        <w:r w:rsidR="00241BFD" w:rsidRPr="00ED7AAA">
          <w:rPr>
            <w:rStyle w:val="Hyperlink"/>
          </w:rPr>
          <w:t>http://www.ferc.gov/docs-filing/docs-filing.asp</w:t>
        </w:r>
      </w:hyperlink>
      <w:r w:rsidR="00241BFD" w:rsidRPr="00ED7AAA">
        <w:t xml:space="preserve">. </w:t>
      </w:r>
    </w:p>
    <w:bookmarkEnd w:id="1"/>
    <w:p w14:paraId="3BD97BC2" w14:textId="77777777" w:rsidR="00F86890" w:rsidRDefault="00F86890" w:rsidP="00CE64F2">
      <w:pPr>
        <w:spacing w:line="480" w:lineRule="auto"/>
      </w:pPr>
      <w:r w:rsidRPr="00747976">
        <w:rPr>
          <w:u w:val="single"/>
        </w:rPr>
        <w:t>FOR FURTHER INFORMATION</w:t>
      </w:r>
      <w:r w:rsidRPr="00747976">
        <w:t>:</w:t>
      </w:r>
      <w:r w:rsidRPr="00ED7AAA">
        <w:t xml:space="preserve">  </w:t>
      </w:r>
      <w:smartTag w:uri="urn:schemas-microsoft-com:office:smarttags" w:element="PersonName">
        <w:r w:rsidRPr="00ED7AAA">
          <w:t>Ellen Brown</w:t>
        </w:r>
      </w:smartTag>
      <w:r w:rsidRPr="00ED7AAA">
        <w:t xml:space="preserve"> may be reached by e-mail at </w:t>
      </w:r>
      <w:hyperlink r:id="rId16" w:history="1">
        <w:r w:rsidR="00C56512" w:rsidRPr="00ED7AAA">
          <w:rPr>
            <w:rStyle w:val="Hyperlink"/>
          </w:rPr>
          <w:t>DataClearance@FERC.gov</w:t>
        </w:r>
      </w:hyperlink>
      <w:r w:rsidRPr="00ED7AAA">
        <w:t>, telephone at (202) 502-8663,</w:t>
      </w:r>
      <w:r>
        <w:t xml:space="preserve"> and fax at (202) 273-0873.</w:t>
      </w:r>
    </w:p>
    <w:p w14:paraId="216D93AD" w14:textId="77777777" w:rsidR="00C056FE" w:rsidRPr="00747976" w:rsidRDefault="00F86890" w:rsidP="00CE64F2">
      <w:pPr>
        <w:spacing w:line="480" w:lineRule="auto"/>
      </w:pPr>
      <w:r>
        <w:t xml:space="preserve"> </w:t>
      </w:r>
      <w:r w:rsidRPr="00747976">
        <w:rPr>
          <w:u w:val="single"/>
        </w:rPr>
        <w:t>SUPPLEMENTARY INFORMATION</w:t>
      </w:r>
      <w:r w:rsidRPr="00747976">
        <w:t xml:space="preserve">:  </w:t>
      </w:r>
    </w:p>
    <w:p w14:paraId="03C7284C" w14:textId="3CA7AB24" w:rsidR="00493451" w:rsidRDefault="00493451" w:rsidP="00CE64F2">
      <w:pPr>
        <w:spacing w:line="480" w:lineRule="auto"/>
      </w:pPr>
      <w:r w:rsidRPr="00747976">
        <w:rPr>
          <w:u w:val="single"/>
        </w:rPr>
        <w:t>Type of Request</w:t>
      </w:r>
      <w:r w:rsidR="00747976">
        <w:t>:</w:t>
      </w:r>
      <w:r>
        <w:t xml:space="preserve"> </w:t>
      </w:r>
      <w:r w:rsidR="00747976">
        <w:t xml:space="preserve"> </w:t>
      </w:r>
      <w:r>
        <w:t>Three-year extension of the information collection requirements for all collections described below with no changes to the current reporting requirements.</w:t>
      </w:r>
      <w:r w:rsidR="00152FDA">
        <w:t xml:space="preserve">  Please note </w:t>
      </w:r>
      <w:r w:rsidR="005C0F22">
        <w:t xml:space="preserve">the </w:t>
      </w:r>
      <w:r w:rsidR="009F47BC">
        <w:t xml:space="preserve">three </w:t>
      </w:r>
      <w:r w:rsidR="00152FDA">
        <w:t>collection</w:t>
      </w:r>
      <w:r w:rsidR="005C0F22">
        <w:t>s</w:t>
      </w:r>
      <w:r w:rsidR="00152FDA">
        <w:t xml:space="preserve"> </w:t>
      </w:r>
      <w:r w:rsidR="005C0F22">
        <w:t xml:space="preserve">are </w:t>
      </w:r>
      <w:r w:rsidR="00152FDA">
        <w:t>distinct.</w:t>
      </w:r>
    </w:p>
    <w:p w14:paraId="5C7493EF" w14:textId="60543814" w:rsidR="00FA1071" w:rsidRPr="0055344C" w:rsidRDefault="00493451" w:rsidP="00CE64F2">
      <w:pPr>
        <w:spacing w:line="480" w:lineRule="auto"/>
      </w:pPr>
      <w:r w:rsidRPr="00747976">
        <w:rPr>
          <w:u w:val="single"/>
        </w:rPr>
        <w:t>Comments</w:t>
      </w:r>
      <w:r w:rsidRPr="00747976">
        <w:t>:</w:t>
      </w:r>
      <w:r>
        <w:rPr>
          <w:i/>
        </w:rPr>
        <w:t xml:space="preserve">  </w:t>
      </w:r>
      <w:r>
        <w:t>Comments are invited on:  (1) whether the collections of information are necessary for the proper performance of the functions of the Commission, including whether the information will have practical utility; (2) the accuracy of the agency's estimate</w:t>
      </w:r>
      <w:r w:rsidR="009A1881">
        <w:t>s</w:t>
      </w:r>
      <w:r>
        <w:t xml:space="preserve"> of the burden and cost of the collections of information, including the validity of the methodology and assumptions used; (3) ways to enhance the quality, utility and clarity of the information collections; and (4) ways to minimize the burden of the collections of information on those who are to respond, including the use of automated collection techniques or other forms of information tech</w:t>
      </w:r>
      <w:r w:rsidR="00692852">
        <w:t xml:space="preserve">nology.  </w:t>
      </w:r>
    </w:p>
    <w:p w14:paraId="7F5C116F" w14:textId="23616F8F" w:rsidR="0057644D" w:rsidRPr="005554A9" w:rsidRDefault="005554A9" w:rsidP="00CE64F2">
      <w:pPr>
        <w:spacing w:line="480" w:lineRule="auto"/>
      </w:pPr>
      <w:r w:rsidRPr="005554A9">
        <w:rPr>
          <w:i/>
        </w:rPr>
        <w:t>Title:</w:t>
      </w:r>
      <w:r>
        <w:t xml:space="preserve"> </w:t>
      </w:r>
      <w:r w:rsidR="00871390" w:rsidRPr="005554A9">
        <w:t>FERC</w:t>
      </w:r>
      <w:r>
        <w:t>-725P1</w:t>
      </w:r>
      <w:r w:rsidR="00C1462E" w:rsidRPr="005554A9">
        <w:t xml:space="preserve"> </w:t>
      </w:r>
      <w:r w:rsidR="00871390" w:rsidRPr="005554A9">
        <w:t>(</w:t>
      </w:r>
      <w:r w:rsidRPr="005554A9">
        <w:t>Mandatory Reliability Standards: PRC-005-6 Reliability Standard)</w:t>
      </w:r>
    </w:p>
    <w:p w14:paraId="7B630A59" w14:textId="1168CDEA" w:rsidR="00871390" w:rsidRPr="0098180D" w:rsidRDefault="00871390" w:rsidP="00871390">
      <w:pPr>
        <w:spacing w:line="480" w:lineRule="auto"/>
      </w:pPr>
      <w:r>
        <w:rPr>
          <w:i/>
        </w:rPr>
        <w:t xml:space="preserve">OMB Control No.: </w:t>
      </w:r>
      <w:r w:rsidR="005554A9">
        <w:t>1902-0280</w:t>
      </w:r>
    </w:p>
    <w:p w14:paraId="4F0AD2D7" w14:textId="30EE2EE5" w:rsidR="005554A9" w:rsidRPr="005554A9" w:rsidRDefault="00871390" w:rsidP="005554A9">
      <w:pPr>
        <w:spacing w:line="480" w:lineRule="auto"/>
      </w:pPr>
      <w:r>
        <w:rPr>
          <w:i/>
        </w:rPr>
        <w:lastRenderedPageBreak/>
        <w:t>Abstract:</w:t>
      </w:r>
      <w:r>
        <w:t xml:space="preserve"> </w:t>
      </w:r>
      <w:r w:rsidR="005554A9" w:rsidRPr="005554A9">
        <w:t xml:space="preserve">The Commission requires the information collected by the FERC-725P1 to </w:t>
      </w:r>
      <w:r w:rsidR="00230385">
        <w:t xml:space="preserve">Ok. </w:t>
      </w:r>
      <w:r w:rsidR="005554A9" w:rsidRPr="005554A9">
        <w:t>implement the statutory provisions of section 215 of the Federal Power Act (FPA).</w:t>
      </w:r>
      <w:r w:rsidR="005554A9" w:rsidRPr="005554A9">
        <w:rPr>
          <w:vertAlign w:val="superscript"/>
        </w:rPr>
        <w:footnoteReference w:id="2"/>
      </w:r>
      <w:r w:rsidR="005554A9" w:rsidRPr="005554A9">
        <w:t xml:space="preserve">  On August 8, 2005, Congress enacted into law the Electricity Modernization Act of 2005, which is Title XII, Subtitle A, of the Energy Policy Act of 2005 (EPAct 2005).</w:t>
      </w:r>
      <w:r w:rsidR="005554A9" w:rsidRPr="005554A9">
        <w:rPr>
          <w:vertAlign w:val="superscript"/>
        </w:rPr>
        <w:footnoteReference w:id="3"/>
      </w:r>
      <w:r w:rsidR="005554A9" w:rsidRPr="005554A9">
        <w:t xml:space="preserve">  EPAct 2005 added a new section 215 to the FPA, which required a Commission-certified Electric Reliability Organization (ERO) to develop mandatory and enforceable Reliability Standards, which are subject to Commission review and approval.  Once approved, the Reliability Standards may be enforced by the ERO subject to Commission oversight, or the Commission can independently enforce Reliability Standards.</w:t>
      </w:r>
      <w:r w:rsidR="005554A9" w:rsidRPr="005554A9">
        <w:rPr>
          <w:vertAlign w:val="superscript"/>
        </w:rPr>
        <w:footnoteReference w:id="4"/>
      </w:r>
    </w:p>
    <w:p w14:paraId="6D474F94" w14:textId="77777777" w:rsidR="005554A9" w:rsidRPr="005554A9" w:rsidRDefault="005554A9" w:rsidP="005554A9">
      <w:pPr>
        <w:spacing w:line="480" w:lineRule="auto"/>
      </w:pPr>
      <w:r w:rsidRPr="005554A9">
        <w:t>On February 3, 2006, the Commission issued Order No. 672, implementing section 215 of the FPA.</w:t>
      </w:r>
      <w:r w:rsidRPr="005554A9">
        <w:rPr>
          <w:vertAlign w:val="superscript"/>
        </w:rPr>
        <w:footnoteReference w:id="5"/>
      </w:r>
      <w:r w:rsidRPr="005554A9">
        <w:t xml:space="preserve">  Pursuant to Order No. 672, the Commission certified one organization, North American Electric Reliability Corporation (NERC), as the ERO.</w:t>
      </w:r>
      <w:r w:rsidRPr="005554A9">
        <w:rPr>
          <w:vertAlign w:val="superscript"/>
        </w:rPr>
        <w:footnoteReference w:id="6"/>
      </w:r>
      <w:r w:rsidRPr="005554A9">
        <w:t xml:space="preserve">  The Reliability Standards developed by the ERO and approved by the Commission apply to users, owners and operators of the Bulk-Power System as set forth in each Reliability Standard.</w:t>
      </w:r>
    </w:p>
    <w:p w14:paraId="63C4D9EC" w14:textId="77777777" w:rsidR="005554A9" w:rsidRPr="005554A9" w:rsidRDefault="005554A9" w:rsidP="005554A9">
      <w:pPr>
        <w:spacing w:line="480" w:lineRule="auto"/>
      </w:pPr>
      <w:r w:rsidRPr="005554A9">
        <w:t xml:space="preserve"> On November 13, 2015, the North American Electric Reliability Corporation (NERC) filed a petition for Commission approval of proposed Reliability Standard PRC-005-6 (Protection System, Automatic Reclosing, and Sudden Pressure Relaying Maintenance).  NERC also requested approval of the proposed implementation plan for PRC-005-6, and the retirement of previous versions of Reliability Standard PRC-005. </w:t>
      </w:r>
    </w:p>
    <w:p w14:paraId="4114AB92" w14:textId="78601225" w:rsidR="00871390" w:rsidRPr="005554A9" w:rsidRDefault="005554A9" w:rsidP="005554A9">
      <w:pPr>
        <w:spacing w:line="480" w:lineRule="auto"/>
      </w:pPr>
      <w:r w:rsidRPr="005554A9">
        <w:t>NERC explained in its petition that Reliability Standard PRC-005-6 represents an improvement upon the most recently-approved version of the standard, PRC-005-4.</w:t>
      </w:r>
      <w:r w:rsidRPr="005554A9">
        <w:rPr>
          <w:vertAlign w:val="superscript"/>
        </w:rPr>
        <w:t xml:space="preserve"> </w:t>
      </w:r>
      <w:r w:rsidRPr="005554A9">
        <w:t>FERC approved the proposed Reliability Standard PRC-005-6 on December 18, 2015.</w:t>
      </w:r>
    </w:p>
    <w:p w14:paraId="5106E843" w14:textId="17C4DD93" w:rsidR="00871390" w:rsidRPr="0098180D" w:rsidRDefault="00871390" w:rsidP="00871390">
      <w:pPr>
        <w:spacing w:line="480" w:lineRule="auto"/>
      </w:pPr>
      <w:r>
        <w:rPr>
          <w:i/>
        </w:rPr>
        <w:t xml:space="preserve">Type of Respondent: </w:t>
      </w:r>
      <w:r w:rsidR="005554A9" w:rsidRPr="005554A9">
        <w:t>Transmission Owners (TO), Generator Owners (GO), and Distribution Providers</w:t>
      </w:r>
      <w:r w:rsidR="005554A9">
        <w:t>.</w:t>
      </w:r>
    </w:p>
    <w:p w14:paraId="618BED95" w14:textId="79A065D5" w:rsidR="00D53545" w:rsidRDefault="00871390" w:rsidP="00ED7AAA">
      <w:pPr>
        <w:spacing w:line="480" w:lineRule="auto"/>
      </w:pPr>
      <w:r>
        <w:rPr>
          <w:i/>
        </w:rPr>
        <w:t xml:space="preserve">Estimate of Annual Burden: </w:t>
      </w:r>
      <w:r>
        <w:t>The Commission estimates the annual public reporting burden for the information collection as:</w:t>
      </w:r>
    </w:p>
    <w:tbl>
      <w:tblPr>
        <w:tblW w:w="5427"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1532"/>
        <w:gridCol w:w="1532"/>
        <w:gridCol w:w="1443"/>
        <w:gridCol w:w="1871"/>
        <w:gridCol w:w="2214"/>
      </w:tblGrid>
      <w:tr w:rsidR="007D0362" w:rsidRPr="00EA41F0" w14:paraId="16FBD32C" w14:textId="77777777" w:rsidTr="004A0580">
        <w:trPr>
          <w:cantSplit/>
        </w:trPr>
        <w:tc>
          <w:tcPr>
            <w:tcW w:w="5000" w:type="pct"/>
            <w:gridSpan w:val="6"/>
            <w:tcBorders>
              <w:bottom w:val="single" w:sz="4" w:space="0" w:color="auto"/>
            </w:tcBorders>
            <w:shd w:val="clear" w:color="auto" w:fill="D9D9D9"/>
          </w:tcPr>
          <w:p w14:paraId="41E55BB4" w14:textId="77777777" w:rsidR="007D0362" w:rsidRPr="00EA41F0" w:rsidRDefault="007D0362" w:rsidP="00C10364">
            <w:pPr>
              <w:jc w:val="center"/>
              <w:rPr>
                <w:rFonts w:eastAsia="Calibri"/>
                <w:b/>
                <w:sz w:val="20"/>
                <w:szCs w:val="20"/>
              </w:rPr>
            </w:pPr>
            <w:r w:rsidRPr="00EA41F0">
              <w:rPr>
                <w:rFonts w:eastAsia="Calibri"/>
                <w:b/>
                <w:sz w:val="20"/>
                <w:szCs w:val="20"/>
              </w:rPr>
              <w:t>FERC-725K: Mandatory Reliability Standards for the SERC Region</w:t>
            </w:r>
            <w:r w:rsidRPr="00EA41F0">
              <w:rPr>
                <w:rFonts w:eastAsia="Calibri"/>
                <w:b/>
                <w:sz w:val="20"/>
                <w:szCs w:val="20"/>
                <w:vertAlign w:val="superscript"/>
              </w:rPr>
              <w:footnoteReference w:id="7"/>
            </w:r>
          </w:p>
        </w:tc>
      </w:tr>
      <w:tr w:rsidR="004A0580" w:rsidRPr="00EA41F0" w14:paraId="1FBB9F33" w14:textId="77777777" w:rsidTr="004A0580">
        <w:trPr>
          <w:cantSplit/>
        </w:trPr>
        <w:tc>
          <w:tcPr>
            <w:tcW w:w="867" w:type="pct"/>
            <w:shd w:val="clear" w:color="auto" w:fill="D9D9D9"/>
          </w:tcPr>
          <w:p w14:paraId="55E0FD19" w14:textId="77777777" w:rsidR="004A0580" w:rsidRPr="00EA41F0" w:rsidRDefault="004A0580" w:rsidP="00C10364">
            <w:pPr>
              <w:jc w:val="center"/>
              <w:rPr>
                <w:rFonts w:eastAsia="Calibri"/>
                <w:b/>
                <w:sz w:val="20"/>
                <w:szCs w:val="20"/>
              </w:rPr>
            </w:pPr>
          </w:p>
        </w:tc>
        <w:tc>
          <w:tcPr>
            <w:tcW w:w="737" w:type="pct"/>
            <w:shd w:val="clear" w:color="auto" w:fill="D9D9D9"/>
            <w:vAlign w:val="bottom"/>
          </w:tcPr>
          <w:p w14:paraId="335A982D" w14:textId="77777777" w:rsidR="004A0580" w:rsidRPr="00EA41F0" w:rsidRDefault="004A0580" w:rsidP="00C10364">
            <w:pPr>
              <w:jc w:val="center"/>
              <w:rPr>
                <w:rFonts w:eastAsia="Calibri"/>
                <w:b/>
                <w:sz w:val="20"/>
                <w:szCs w:val="20"/>
              </w:rPr>
            </w:pPr>
            <w:r w:rsidRPr="00EA41F0">
              <w:rPr>
                <w:rFonts w:eastAsia="Calibri"/>
                <w:b/>
                <w:sz w:val="20"/>
                <w:szCs w:val="20"/>
              </w:rPr>
              <w:t>Number of Respondents</w:t>
            </w:r>
            <w:r w:rsidRPr="00EA41F0">
              <w:rPr>
                <w:rFonts w:eastAsia="Calibri"/>
                <w:b/>
                <w:sz w:val="20"/>
                <w:szCs w:val="20"/>
              </w:rPr>
              <w:br/>
              <w:t>(1)</w:t>
            </w:r>
          </w:p>
        </w:tc>
        <w:tc>
          <w:tcPr>
            <w:tcW w:w="737" w:type="pct"/>
            <w:shd w:val="clear" w:color="auto" w:fill="D9D9D9"/>
            <w:vAlign w:val="bottom"/>
          </w:tcPr>
          <w:p w14:paraId="358CC5FF" w14:textId="77777777" w:rsidR="004A0580" w:rsidRPr="00EA41F0" w:rsidRDefault="004A0580" w:rsidP="00C10364">
            <w:pPr>
              <w:jc w:val="center"/>
              <w:rPr>
                <w:rFonts w:eastAsia="Calibri"/>
                <w:b/>
                <w:sz w:val="20"/>
                <w:szCs w:val="20"/>
              </w:rPr>
            </w:pPr>
            <w:r w:rsidRPr="00EA41F0">
              <w:rPr>
                <w:rFonts w:eastAsia="Calibri"/>
                <w:b/>
                <w:sz w:val="20"/>
                <w:szCs w:val="20"/>
              </w:rPr>
              <w:t>Annual Number of Responses per Respondent</w:t>
            </w:r>
          </w:p>
          <w:p w14:paraId="7494A4B2" w14:textId="77777777" w:rsidR="004A0580" w:rsidRPr="00EA41F0" w:rsidRDefault="004A0580" w:rsidP="00C10364">
            <w:pPr>
              <w:jc w:val="center"/>
              <w:rPr>
                <w:rFonts w:eastAsia="Calibri"/>
                <w:b/>
                <w:sz w:val="20"/>
                <w:szCs w:val="20"/>
              </w:rPr>
            </w:pPr>
            <w:r w:rsidRPr="00EA41F0">
              <w:rPr>
                <w:rFonts w:eastAsia="Calibri"/>
                <w:b/>
                <w:sz w:val="20"/>
                <w:szCs w:val="20"/>
              </w:rPr>
              <w:t>(2)</w:t>
            </w:r>
          </w:p>
        </w:tc>
        <w:tc>
          <w:tcPr>
            <w:tcW w:w="694" w:type="pct"/>
            <w:shd w:val="clear" w:color="auto" w:fill="D9D9D9"/>
            <w:vAlign w:val="bottom"/>
          </w:tcPr>
          <w:p w14:paraId="057F316F" w14:textId="77777777" w:rsidR="004A0580" w:rsidRPr="00EA41F0" w:rsidRDefault="004A0580" w:rsidP="00C10364">
            <w:pPr>
              <w:jc w:val="center"/>
              <w:rPr>
                <w:rFonts w:eastAsia="Calibri"/>
                <w:b/>
                <w:sz w:val="20"/>
                <w:szCs w:val="20"/>
              </w:rPr>
            </w:pPr>
            <w:r w:rsidRPr="00EA41F0">
              <w:rPr>
                <w:rFonts w:eastAsia="Calibri"/>
                <w:b/>
                <w:sz w:val="20"/>
                <w:szCs w:val="20"/>
              </w:rPr>
              <w:t>Total Number of Responses (1)*(2)=(3)</w:t>
            </w:r>
          </w:p>
        </w:tc>
        <w:tc>
          <w:tcPr>
            <w:tcW w:w="900" w:type="pct"/>
            <w:shd w:val="clear" w:color="auto" w:fill="D9D9D9"/>
            <w:vAlign w:val="bottom"/>
          </w:tcPr>
          <w:p w14:paraId="7B983108" w14:textId="77777777" w:rsidR="004A0580" w:rsidRPr="00EA41F0" w:rsidRDefault="004A0580" w:rsidP="00C10364">
            <w:pPr>
              <w:jc w:val="center"/>
              <w:rPr>
                <w:rFonts w:eastAsia="Calibri"/>
                <w:b/>
                <w:sz w:val="20"/>
                <w:szCs w:val="20"/>
              </w:rPr>
            </w:pPr>
            <w:r w:rsidRPr="00EA41F0">
              <w:rPr>
                <w:rFonts w:eastAsia="Calibri"/>
                <w:b/>
                <w:sz w:val="20"/>
                <w:szCs w:val="20"/>
              </w:rPr>
              <w:t>Average Burden Hrs. &amp; Cost Per Response</w:t>
            </w:r>
            <w:r w:rsidRPr="00EA41F0">
              <w:rPr>
                <w:rFonts w:eastAsia="Calibri"/>
                <w:b/>
                <w:sz w:val="20"/>
                <w:szCs w:val="20"/>
                <w:vertAlign w:val="superscript"/>
              </w:rPr>
              <w:footnoteReference w:id="8"/>
            </w:r>
          </w:p>
          <w:p w14:paraId="189E0B93" w14:textId="77777777" w:rsidR="004A0580" w:rsidRPr="00EA41F0" w:rsidRDefault="004A0580" w:rsidP="00C10364">
            <w:pPr>
              <w:jc w:val="center"/>
              <w:rPr>
                <w:rFonts w:eastAsia="Calibri"/>
                <w:b/>
                <w:sz w:val="20"/>
                <w:szCs w:val="20"/>
              </w:rPr>
            </w:pPr>
            <w:r w:rsidRPr="00EA41F0">
              <w:rPr>
                <w:rFonts w:eastAsia="Calibri"/>
                <w:b/>
                <w:sz w:val="20"/>
                <w:szCs w:val="20"/>
              </w:rPr>
              <w:t>(4)</w:t>
            </w:r>
          </w:p>
        </w:tc>
        <w:tc>
          <w:tcPr>
            <w:tcW w:w="1065" w:type="pct"/>
            <w:shd w:val="clear" w:color="auto" w:fill="D9D9D9"/>
            <w:vAlign w:val="bottom"/>
          </w:tcPr>
          <w:p w14:paraId="022ED010" w14:textId="0BB9917F" w:rsidR="004A0580" w:rsidRPr="00EA41F0" w:rsidRDefault="004A0580" w:rsidP="00C10364">
            <w:pPr>
              <w:jc w:val="center"/>
              <w:rPr>
                <w:rFonts w:eastAsia="Calibri"/>
                <w:b/>
                <w:sz w:val="20"/>
                <w:szCs w:val="20"/>
              </w:rPr>
            </w:pPr>
            <w:r w:rsidRPr="00EA41F0">
              <w:rPr>
                <w:rFonts w:eastAsia="Calibri"/>
                <w:b/>
                <w:sz w:val="20"/>
                <w:szCs w:val="20"/>
              </w:rPr>
              <w:t>Total Annual Burden Hours &amp; Total Annual Cost</w:t>
            </w:r>
            <w:r w:rsidR="00681157" w:rsidRPr="00714803">
              <w:rPr>
                <w:rStyle w:val="FootnoteReference"/>
                <w:rFonts w:eastAsia="Calibri"/>
                <w:sz w:val="20"/>
                <w:szCs w:val="20"/>
              </w:rPr>
              <w:footnoteReference w:id="9"/>
            </w:r>
          </w:p>
          <w:p w14:paraId="58F09821" w14:textId="77777777" w:rsidR="004A0580" w:rsidRPr="00EA41F0" w:rsidRDefault="004A0580" w:rsidP="00C10364">
            <w:pPr>
              <w:jc w:val="center"/>
              <w:rPr>
                <w:rFonts w:eastAsia="Calibri"/>
                <w:b/>
                <w:sz w:val="20"/>
                <w:szCs w:val="20"/>
              </w:rPr>
            </w:pPr>
            <w:r w:rsidRPr="00EA41F0">
              <w:rPr>
                <w:rFonts w:eastAsia="Calibri"/>
                <w:b/>
                <w:sz w:val="20"/>
                <w:szCs w:val="20"/>
              </w:rPr>
              <w:t>(3)*(4)=(5)</w:t>
            </w:r>
          </w:p>
        </w:tc>
      </w:tr>
      <w:tr w:rsidR="004A0580" w:rsidRPr="00EA41F0" w14:paraId="25CA0103" w14:textId="77777777" w:rsidTr="004A0580">
        <w:trPr>
          <w:cantSplit/>
        </w:trPr>
        <w:tc>
          <w:tcPr>
            <w:tcW w:w="867" w:type="pct"/>
          </w:tcPr>
          <w:p w14:paraId="0D0C0A04" w14:textId="3F4F3CD4" w:rsidR="004A0580" w:rsidRDefault="004A0580" w:rsidP="00C10364">
            <w:pPr>
              <w:rPr>
                <w:rFonts w:eastAsia="Calibri"/>
                <w:sz w:val="20"/>
                <w:szCs w:val="20"/>
              </w:rPr>
            </w:pPr>
            <w:r>
              <w:rPr>
                <w:rFonts w:eastAsia="Calibri"/>
                <w:sz w:val="20"/>
                <w:szCs w:val="20"/>
              </w:rPr>
              <w:t>PRC-005-6 Reliability Standard</w:t>
            </w:r>
          </w:p>
        </w:tc>
        <w:tc>
          <w:tcPr>
            <w:tcW w:w="737" w:type="pct"/>
          </w:tcPr>
          <w:p w14:paraId="21E8E0EB" w14:textId="25857A83" w:rsidR="004A0580" w:rsidRDefault="004A0580" w:rsidP="00C10364">
            <w:pPr>
              <w:jc w:val="right"/>
              <w:rPr>
                <w:rFonts w:eastAsia="Calibri"/>
                <w:sz w:val="20"/>
                <w:szCs w:val="20"/>
              </w:rPr>
            </w:pPr>
            <w:r>
              <w:rPr>
                <w:rFonts w:eastAsia="Calibri"/>
                <w:sz w:val="20"/>
                <w:szCs w:val="20"/>
              </w:rPr>
              <w:t>996</w:t>
            </w:r>
            <w:r w:rsidRPr="00714803">
              <w:rPr>
                <w:rStyle w:val="FootnoteReference"/>
                <w:rFonts w:eastAsia="Calibri"/>
                <w:sz w:val="20"/>
                <w:szCs w:val="20"/>
              </w:rPr>
              <w:footnoteReference w:id="10"/>
            </w:r>
          </w:p>
        </w:tc>
        <w:tc>
          <w:tcPr>
            <w:tcW w:w="737" w:type="pct"/>
          </w:tcPr>
          <w:p w14:paraId="7E096A50" w14:textId="77777777" w:rsidR="004A0580" w:rsidRPr="00EA41F0" w:rsidRDefault="004A0580" w:rsidP="00C10364">
            <w:pPr>
              <w:jc w:val="right"/>
              <w:rPr>
                <w:rFonts w:eastAsia="Calibri"/>
                <w:sz w:val="20"/>
                <w:szCs w:val="20"/>
              </w:rPr>
            </w:pPr>
            <w:r>
              <w:rPr>
                <w:rFonts w:eastAsia="Calibri"/>
                <w:sz w:val="20"/>
                <w:szCs w:val="20"/>
              </w:rPr>
              <w:t>1</w:t>
            </w:r>
          </w:p>
        </w:tc>
        <w:tc>
          <w:tcPr>
            <w:tcW w:w="694" w:type="pct"/>
          </w:tcPr>
          <w:p w14:paraId="4A408230" w14:textId="0C40B206" w:rsidR="004A0580" w:rsidRDefault="004A0580" w:rsidP="00C10364">
            <w:pPr>
              <w:jc w:val="right"/>
              <w:rPr>
                <w:rFonts w:eastAsia="Calibri"/>
                <w:sz w:val="20"/>
                <w:szCs w:val="20"/>
              </w:rPr>
            </w:pPr>
            <w:r>
              <w:rPr>
                <w:rFonts w:eastAsia="Calibri"/>
                <w:sz w:val="20"/>
                <w:szCs w:val="20"/>
              </w:rPr>
              <w:t>996</w:t>
            </w:r>
          </w:p>
        </w:tc>
        <w:tc>
          <w:tcPr>
            <w:tcW w:w="900" w:type="pct"/>
          </w:tcPr>
          <w:p w14:paraId="28FA5A10" w14:textId="77777777" w:rsidR="004A0580" w:rsidRDefault="004A0580" w:rsidP="00C10364">
            <w:pPr>
              <w:jc w:val="right"/>
              <w:rPr>
                <w:rFonts w:eastAsia="Calibri"/>
                <w:sz w:val="20"/>
                <w:szCs w:val="20"/>
              </w:rPr>
            </w:pPr>
            <w:r>
              <w:rPr>
                <w:rFonts w:eastAsia="Calibri"/>
                <w:sz w:val="20"/>
                <w:szCs w:val="20"/>
              </w:rPr>
              <w:t>2 hrs.;</w:t>
            </w:r>
          </w:p>
          <w:p w14:paraId="27CF407C" w14:textId="52155D7F" w:rsidR="004A0580" w:rsidRDefault="004A0580" w:rsidP="00C10364">
            <w:pPr>
              <w:jc w:val="right"/>
              <w:rPr>
                <w:rFonts w:eastAsia="Calibri"/>
                <w:sz w:val="20"/>
                <w:szCs w:val="20"/>
              </w:rPr>
            </w:pPr>
            <w:r>
              <w:rPr>
                <w:rFonts w:eastAsia="Calibri"/>
                <w:sz w:val="20"/>
                <w:szCs w:val="20"/>
              </w:rPr>
              <w:t>$133.80</w:t>
            </w:r>
          </w:p>
        </w:tc>
        <w:tc>
          <w:tcPr>
            <w:tcW w:w="1065" w:type="pct"/>
          </w:tcPr>
          <w:p w14:paraId="18B0A103" w14:textId="77777777" w:rsidR="004A0580" w:rsidRDefault="004A0580" w:rsidP="00C10364">
            <w:pPr>
              <w:jc w:val="right"/>
              <w:rPr>
                <w:rFonts w:eastAsia="Calibri"/>
                <w:sz w:val="20"/>
                <w:szCs w:val="20"/>
              </w:rPr>
            </w:pPr>
            <w:r>
              <w:rPr>
                <w:rFonts w:eastAsia="Calibri"/>
                <w:sz w:val="20"/>
                <w:szCs w:val="20"/>
              </w:rPr>
              <w:t>1,992 hrs.;</w:t>
            </w:r>
          </w:p>
          <w:p w14:paraId="54E98EBE" w14:textId="6437CFCB" w:rsidR="004A0580" w:rsidRDefault="004A0580" w:rsidP="00C10364">
            <w:pPr>
              <w:jc w:val="right"/>
              <w:rPr>
                <w:rFonts w:eastAsia="Calibri"/>
                <w:sz w:val="20"/>
                <w:szCs w:val="20"/>
              </w:rPr>
            </w:pPr>
            <w:r>
              <w:rPr>
                <w:rFonts w:eastAsia="Calibri"/>
                <w:sz w:val="20"/>
                <w:szCs w:val="20"/>
              </w:rPr>
              <w:t>$133,265</w:t>
            </w:r>
            <w:r w:rsidR="00F035BD" w:rsidRPr="00714803">
              <w:rPr>
                <w:rStyle w:val="FootnoteReference"/>
                <w:rFonts w:eastAsia="Calibri"/>
                <w:sz w:val="20"/>
                <w:szCs w:val="20"/>
              </w:rPr>
              <w:footnoteReference w:id="11"/>
            </w:r>
          </w:p>
        </w:tc>
      </w:tr>
    </w:tbl>
    <w:p w14:paraId="542C1DCA" w14:textId="115A8E9A" w:rsidR="00F035BD" w:rsidRDefault="00F035BD" w:rsidP="00ED7AAA">
      <w:pPr>
        <w:spacing w:line="480" w:lineRule="auto"/>
      </w:pPr>
    </w:p>
    <w:p w14:paraId="101BB0CE" w14:textId="47A46A05" w:rsidR="00F035BD" w:rsidRDefault="00F035BD" w:rsidP="00ED7AAA">
      <w:pPr>
        <w:spacing w:line="480" w:lineRule="auto"/>
      </w:pPr>
      <w:r>
        <w:t>One-time reporting requirements related to the implementation of the PRC-005-6 Reliability Standard are being removed from the FERC-725P1 information collection.  A list of those removed reporting requirements and their related burdens follows:</w:t>
      </w:r>
    </w:p>
    <w:p w14:paraId="29BC35BA" w14:textId="6551E0A1" w:rsidR="00F035BD" w:rsidRDefault="00F035BD" w:rsidP="00F035BD">
      <w:pPr>
        <w:pStyle w:val="ListParagraph"/>
        <w:numPr>
          <w:ilvl w:val="0"/>
          <w:numId w:val="11"/>
        </w:numPr>
        <w:spacing w:line="480" w:lineRule="auto"/>
      </w:pPr>
      <w:r>
        <w:t>One-time review of existing plant and substation sites: 937 responses and 1,874 hours.</w:t>
      </w:r>
    </w:p>
    <w:p w14:paraId="1D7A86AE" w14:textId="05F1AC3A" w:rsidR="00F035BD" w:rsidRDefault="00F035BD" w:rsidP="00F035BD">
      <w:pPr>
        <w:pStyle w:val="ListParagraph"/>
        <w:numPr>
          <w:ilvl w:val="0"/>
          <w:numId w:val="11"/>
        </w:numPr>
        <w:spacing w:line="480" w:lineRule="auto"/>
      </w:pPr>
      <w:r>
        <w:t>One-time review and adjustment of existing programs for reclosing relays and associated equipment: 288 responses and 2,448 hours.</w:t>
      </w:r>
    </w:p>
    <w:p w14:paraId="1479868B" w14:textId="7FF5FCB5" w:rsidR="00F035BD" w:rsidRDefault="00F035BD" w:rsidP="00F035BD">
      <w:pPr>
        <w:pStyle w:val="ListParagraph"/>
        <w:numPr>
          <w:ilvl w:val="0"/>
          <w:numId w:val="11"/>
        </w:numPr>
        <w:spacing w:line="480" w:lineRule="auto"/>
      </w:pPr>
      <w:r>
        <w:t>One-time review and adjustment of existing program for sudden pressure relays: 1,287 responses and 10,296 hours.</w:t>
      </w:r>
    </w:p>
    <w:p w14:paraId="518438EB" w14:textId="69DE787F" w:rsidR="002B69CF" w:rsidRDefault="00F035BD" w:rsidP="00747976">
      <w:pPr>
        <w:spacing w:line="480" w:lineRule="auto"/>
      </w:pPr>
      <w:r>
        <w:t>The previous table presents the FERC-725P1 burden estimate after these three one-time</w:t>
      </w:r>
      <w:r w:rsidR="00747976">
        <w:t xml:space="preserve"> </w:t>
      </w:r>
      <w:r>
        <w:t>requirements were removed</w:t>
      </w:r>
      <w:r w:rsidR="00824E90">
        <w:t xml:space="preserve"> and the burden was reduced</w:t>
      </w:r>
      <w:r>
        <w:t>.</w:t>
      </w:r>
    </w:p>
    <w:p w14:paraId="1F028A6E" w14:textId="7094CF8B" w:rsidR="00747976" w:rsidRDefault="00747976" w:rsidP="00747976"/>
    <w:p w14:paraId="17EAEAA1" w14:textId="15E6F964" w:rsidR="00747976" w:rsidRDefault="00747976" w:rsidP="00747976"/>
    <w:p w14:paraId="58FA3FB4" w14:textId="49660300" w:rsidR="00747976" w:rsidRDefault="00747976" w:rsidP="00747976"/>
    <w:p w14:paraId="698DE1B4" w14:textId="7E857D3D" w:rsidR="00747976" w:rsidRDefault="00747976" w:rsidP="00747976"/>
    <w:p w14:paraId="62229A79" w14:textId="2CB7883D" w:rsidR="00747976" w:rsidRPr="00747976" w:rsidRDefault="00747976" w:rsidP="00747976">
      <w:pPr>
        <w:ind w:firstLine="2174"/>
        <w:jc w:val="center"/>
      </w:pPr>
      <w:r w:rsidRPr="00747976">
        <w:t>Kimberly D. Bose,</w:t>
      </w:r>
    </w:p>
    <w:p w14:paraId="155B472C" w14:textId="17F24782" w:rsidR="00747976" w:rsidRPr="00747976" w:rsidRDefault="00747976" w:rsidP="00747976">
      <w:pPr>
        <w:ind w:firstLine="2174"/>
        <w:jc w:val="center"/>
      </w:pPr>
      <w:r w:rsidRPr="00747976">
        <w:t>Secretary.</w:t>
      </w:r>
    </w:p>
    <w:p w14:paraId="1CF105A4" w14:textId="77777777" w:rsidR="00747976" w:rsidRDefault="00747976" w:rsidP="00747976"/>
    <w:sectPr w:rsidR="00747976" w:rsidSect="00EF5878">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B451D1" w14:textId="77777777" w:rsidR="00DF4AB1" w:rsidRDefault="00DF4AB1">
      <w:r>
        <w:separator/>
      </w:r>
    </w:p>
  </w:endnote>
  <w:endnote w:type="continuationSeparator" w:id="0">
    <w:p w14:paraId="4DE6D2B5" w14:textId="77777777" w:rsidR="00DF4AB1" w:rsidRDefault="00DF4AB1">
      <w:r>
        <w:continuationSeparator/>
      </w:r>
    </w:p>
  </w:endnote>
  <w:endnote w:type="continuationNotice" w:id="1">
    <w:p w14:paraId="27238411" w14:textId="77777777" w:rsidR="00DF4AB1" w:rsidRDefault="00DF4A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ED9CA" w14:textId="77777777" w:rsidR="001E113F" w:rsidRDefault="001E11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F29C3" w14:textId="77777777" w:rsidR="001E113F" w:rsidRDefault="001E11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1347B7" w14:textId="77777777" w:rsidR="001E113F" w:rsidRDefault="001E11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1ED17A" w14:textId="77777777" w:rsidR="00DF4AB1" w:rsidRDefault="00DF4AB1">
      <w:r>
        <w:separator/>
      </w:r>
    </w:p>
  </w:footnote>
  <w:footnote w:type="continuationSeparator" w:id="0">
    <w:p w14:paraId="63E26C9D" w14:textId="77777777" w:rsidR="00DF4AB1" w:rsidRDefault="00DF4AB1">
      <w:r>
        <w:continuationSeparator/>
      </w:r>
    </w:p>
  </w:footnote>
  <w:footnote w:type="continuationNotice" w:id="1">
    <w:p w14:paraId="08BAA874" w14:textId="77777777" w:rsidR="00DF4AB1" w:rsidRDefault="00DF4AB1"/>
  </w:footnote>
  <w:footnote w:id="2">
    <w:p w14:paraId="38B045BE" w14:textId="77777777" w:rsidR="005554A9" w:rsidRPr="00F035BD" w:rsidRDefault="005554A9" w:rsidP="005554A9">
      <w:pPr>
        <w:pStyle w:val="FootnoteText"/>
        <w:rPr>
          <w:b/>
          <w:sz w:val="26"/>
          <w:szCs w:val="26"/>
        </w:rPr>
      </w:pPr>
      <w:r w:rsidRPr="00F035BD">
        <w:rPr>
          <w:rStyle w:val="FootnoteReference"/>
        </w:rPr>
        <w:footnoteRef/>
      </w:r>
      <w:r w:rsidRPr="00F035BD">
        <w:rPr>
          <w:sz w:val="26"/>
          <w:szCs w:val="26"/>
        </w:rPr>
        <w:t xml:space="preserve">  16 U.S.C. 824</w:t>
      </w:r>
      <w:r w:rsidRPr="00F035BD">
        <w:rPr>
          <w:i/>
          <w:sz w:val="26"/>
          <w:szCs w:val="26"/>
        </w:rPr>
        <w:t>o</w:t>
      </w:r>
      <w:r w:rsidRPr="00F035BD">
        <w:rPr>
          <w:sz w:val="26"/>
          <w:szCs w:val="26"/>
        </w:rPr>
        <w:t xml:space="preserve"> (2012).</w:t>
      </w:r>
    </w:p>
  </w:footnote>
  <w:footnote w:id="3">
    <w:p w14:paraId="5D705746" w14:textId="77777777" w:rsidR="005554A9" w:rsidRPr="00F035BD" w:rsidRDefault="005554A9" w:rsidP="005554A9">
      <w:pPr>
        <w:pStyle w:val="FootnoteText"/>
        <w:rPr>
          <w:sz w:val="26"/>
          <w:szCs w:val="26"/>
        </w:rPr>
      </w:pPr>
      <w:r w:rsidRPr="00F035BD">
        <w:rPr>
          <w:rStyle w:val="FootnoteReference"/>
        </w:rPr>
        <w:footnoteRef/>
      </w:r>
      <w:r w:rsidRPr="00F035BD">
        <w:rPr>
          <w:sz w:val="26"/>
          <w:szCs w:val="26"/>
        </w:rPr>
        <w:t xml:space="preserve">  Energy Policy Act of 2005, Pub. L. No. 109-58, Title XII, Subtitle A, 119 Stat. 594, 941 (codified at 16 U.S.C. 824</w:t>
      </w:r>
      <w:r w:rsidRPr="00F035BD">
        <w:rPr>
          <w:i/>
          <w:sz w:val="26"/>
          <w:szCs w:val="26"/>
        </w:rPr>
        <w:t>o</w:t>
      </w:r>
      <w:r w:rsidRPr="00F035BD">
        <w:rPr>
          <w:sz w:val="26"/>
          <w:szCs w:val="26"/>
        </w:rPr>
        <w:t>).</w:t>
      </w:r>
    </w:p>
  </w:footnote>
  <w:footnote w:id="4">
    <w:p w14:paraId="39D0FCAF" w14:textId="77777777" w:rsidR="005554A9" w:rsidRPr="00F035BD" w:rsidRDefault="005554A9" w:rsidP="005554A9">
      <w:pPr>
        <w:pStyle w:val="FootnoteText"/>
        <w:rPr>
          <w:sz w:val="26"/>
          <w:szCs w:val="26"/>
        </w:rPr>
      </w:pPr>
      <w:r w:rsidRPr="00F035BD">
        <w:rPr>
          <w:rStyle w:val="FootnoteReference"/>
        </w:rPr>
        <w:footnoteRef/>
      </w:r>
      <w:r w:rsidRPr="00F035BD">
        <w:rPr>
          <w:sz w:val="26"/>
          <w:szCs w:val="26"/>
        </w:rPr>
        <w:t xml:space="preserve">  16 U.S.C. 824</w:t>
      </w:r>
      <w:r w:rsidRPr="00F035BD">
        <w:rPr>
          <w:i/>
          <w:sz w:val="26"/>
          <w:szCs w:val="26"/>
        </w:rPr>
        <w:t>o</w:t>
      </w:r>
      <w:r w:rsidRPr="00F035BD">
        <w:rPr>
          <w:sz w:val="26"/>
          <w:szCs w:val="26"/>
        </w:rPr>
        <w:t>(e)(3).</w:t>
      </w:r>
    </w:p>
  </w:footnote>
  <w:footnote w:id="5">
    <w:p w14:paraId="217AA0C4" w14:textId="77777777" w:rsidR="005554A9" w:rsidRPr="00F035BD" w:rsidRDefault="005554A9" w:rsidP="005554A9">
      <w:pPr>
        <w:pStyle w:val="FootnoteText"/>
        <w:keepLines/>
        <w:rPr>
          <w:sz w:val="26"/>
          <w:szCs w:val="26"/>
        </w:rPr>
      </w:pPr>
      <w:r w:rsidRPr="00F035BD">
        <w:rPr>
          <w:rStyle w:val="FootnoteReference"/>
        </w:rPr>
        <w:footnoteRef/>
      </w:r>
      <w:r w:rsidRPr="00F035BD">
        <w:rPr>
          <w:sz w:val="26"/>
          <w:szCs w:val="26"/>
        </w:rPr>
        <w:t xml:space="preserve">  </w:t>
      </w:r>
      <w:r w:rsidRPr="00F035BD">
        <w:rPr>
          <w:i/>
          <w:iCs/>
          <w:sz w:val="26"/>
          <w:szCs w:val="26"/>
        </w:rPr>
        <w:t>Rules Concerning Certification of the Electric Reliability Organization; and Procedures for the Establishment, Approval, and Enforcement of Electric Reliability Standards</w:t>
      </w:r>
      <w:r w:rsidRPr="00F035BD">
        <w:rPr>
          <w:sz w:val="26"/>
          <w:szCs w:val="26"/>
        </w:rPr>
        <w:t xml:space="preserve">, Order No. 672, FERC Stats. &amp; Regs. ¶ 31,204, </w:t>
      </w:r>
      <w:r w:rsidRPr="00F035BD">
        <w:rPr>
          <w:i/>
          <w:iCs/>
          <w:sz w:val="26"/>
          <w:szCs w:val="26"/>
        </w:rPr>
        <w:t>order on reh’g</w:t>
      </w:r>
      <w:r w:rsidRPr="00F035BD">
        <w:rPr>
          <w:sz w:val="26"/>
          <w:szCs w:val="26"/>
        </w:rPr>
        <w:t>, Order No. 672-A, FERC Stats. &amp; Regs. ¶ 31,212 (2006).</w:t>
      </w:r>
    </w:p>
  </w:footnote>
  <w:footnote w:id="6">
    <w:p w14:paraId="787634D9" w14:textId="77777777" w:rsidR="005554A9" w:rsidRPr="00F035BD" w:rsidRDefault="005554A9" w:rsidP="005554A9">
      <w:pPr>
        <w:pStyle w:val="FootnoteText"/>
        <w:rPr>
          <w:sz w:val="26"/>
          <w:szCs w:val="26"/>
        </w:rPr>
      </w:pPr>
      <w:r w:rsidRPr="00F035BD">
        <w:rPr>
          <w:rStyle w:val="FootnoteReference"/>
        </w:rPr>
        <w:footnoteRef/>
      </w:r>
      <w:r w:rsidRPr="00F035BD">
        <w:rPr>
          <w:sz w:val="26"/>
          <w:szCs w:val="26"/>
        </w:rPr>
        <w:t xml:space="preserve">  </w:t>
      </w:r>
      <w:r w:rsidRPr="00F035BD">
        <w:rPr>
          <w:i/>
          <w:sz w:val="26"/>
          <w:szCs w:val="26"/>
        </w:rPr>
        <w:t>North American Electric Reliability Corp</w:t>
      </w:r>
      <w:r w:rsidRPr="00F035BD">
        <w:rPr>
          <w:sz w:val="26"/>
          <w:szCs w:val="26"/>
        </w:rPr>
        <w:t xml:space="preserve">., 116 FERC ¶ 61,062, </w:t>
      </w:r>
      <w:r w:rsidRPr="00F035BD">
        <w:rPr>
          <w:i/>
          <w:sz w:val="26"/>
          <w:szCs w:val="26"/>
        </w:rPr>
        <w:t>order on reh’g and compliance</w:t>
      </w:r>
      <w:r w:rsidRPr="00F035BD">
        <w:rPr>
          <w:sz w:val="26"/>
          <w:szCs w:val="26"/>
        </w:rPr>
        <w:t>, 117 FERC ¶ 61,126 (2006),</w:t>
      </w:r>
      <w:r w:rsidRPr="00F035BD">
        <w:rPr>
          <w:i/>
          <w:sz w:val="26"/>
          <w:szCs w:val="26"/>
        </w:rPr>
        <w:t xml:space="preserve"> order on compliance</w:t>
      </w:r>
      <w:r w:rsidRPr="00F035BD">
        <w:rPr>
          <w:sz w:val="26"/>
          <w:szCs w:val="26"/>
        </w:rPr>
        <w:t xml:space="preserve">, 118 FERC ¶ 61,190, </w:t>
      </w:r>
      <w:r w:rsidRPr="00F035BD">
        <w:rPr>
          <w:i/>
          <w:sz w:val="26"/>
          <w:szCs w:val="26"/>
        </w:rPr>
        <w:t>order on reh’g</w:t>
      </w:r>
      <w:r w:rsidRPr="00F035BD">
        <w:rPr>
          <w:sz w:val="26"/>
          <w:szCs w:val="26"/>
        </w:rPr>
        <w:t xml:space="preserve">, 119 FERC ¶ 61,046 (2007), </w:t>
      </w:r>
      <w:r w:rsidRPr="00F035BD">
        <w:rPr>
          <w:i/>
          <w:sz w:val="26"/>
          <w:szCs w:val="26"/>
        </w:rPr>
        <w:t>aff’d sub nom. Alcoa Inc. v. FERC</w:t>
      </w:r>
      <w:r w:rsidRPr="00F035BD">
        <w:rPr>
          <w:sz w:val="26"/>
          <w:szCs w:val="26"/>
        </w:rPr>
        <w:t>, 564 F.3d 1342 (D.C. Cir. 2009).</w:t>
      </w:r>
    </w:p>
  </w:footnote>
  <w:footnote w:id="7">
    <w:p w14:paraId="477D85C7" w14:textId="77777777" w:rsidR="004A0580" w:rsidRPr="00F035BD" w:rsidRDefault="007D0362" w:rsidP="007D0362">
      <w:pPr>
        <w:pStyle w:val="FootnoteText"/>
        <w:rPr>
          <w:sz w:val="26"/>
          <w:szCs w:val="26"/>
        </w:rPr>
      </w:pPr>
      <w:r w:rsidRPr="00F035BD">
        <w:rPr>
          <w:rStyle w:val="FootnoteReference"/>
        </w:rPr>
        <w:footnoteRef/>
      </w:r>
      <w:r w:rsidRPr="00F035BD">
        <w:rPr>
          <w:sz w:val="26"/>
          <w:szCs w:val="26"/>
        </w:rPr>
        <w:t xml:space="preserve"> </w:t>
      </w:r>
      <w:r w:rsidR="004A0580" w:rsidRPr="00F035BD">
        <w:rPr>
          <w:sz w:val="26"/>
          <w:szCs w:val="26"/>
        </w:rPr>
        <w:t xml:space="preserve">Entities affected by the PRC-005-6 Reliability Standard are registered to serve any of the following roles: </w:t>
      </w:r>
    </w:p>
    <w:p w14:paraId="6F9727D5" w14:textId="77777777" w:rsidR="004A0580" w:rsidRPr="00F035BD" w:rsidRDefault="007D0362" w:rsidP="004A0580">
      <w:pPr>
        <w:pStyle w:val="FootnoteText"/>
        <w:numPr>
          <w:ilvl w:val="0"/>
          <w:numId w:val="10"/>
        </w:numPr>
        <w:rPr>
          <w:sz w:val="26"/>
          <w:szCs w:val="26"/>
        </w:rPr>
      </w:pPr>
      <w:r w:rsidRPr="00F035BD">
        <w:rPr>
          <w:sz w:val="26"/>
          <w:szCs w:val="26"/>
        </w:rPr>
        <w:t xml:space="preserve">PC=Planning Coordinators; </w:t>
      </w:r>
    </w:p>
    <w:p w14:paraId="3CA580E5" w14:textId="047A27DE" w:rsidR="004A0580" w:rsidRPr="00F035BD" w:rsidRDefault="007D0362" w:rsidP="004A0580">
      <w:pPr>
        <w:pStyle w:val="FootnoteText"/>
        <w:numPr>
          <w:ilvl w:val="0"/>
          <w:numId w:val="10"/>
        </w:numPr>
        <w:rPr>
          <w:sz w:val="26"/>
          <w:szCs w:val="26"/>
        </w:rPr>
      </w:pPr>
      <w:r w:rsidRPr="00F035BD">
        <w:rPr>
          <w:sz w:val="26"/>
          <w:szCs w:val="26"/>
        </w:rPr>
        <w:t>GO=Generator Owners</w:t>
      </w:r>
      <w:r w:rsidR="004A0580" w:rsidRPr="00F035BD">
        <w:rPr>
          <w:sz w:val="26"/>
          <w:szCs w:val="26"/>
        </w:rPr>
        <w:t>.</w:t>
      </w:r>
    </w:p>
    <w:p w14:paraId="50D56684" w14:textId="344EB8BE" w:rsidR="007D0362" w:rsidRPr="00F035BD" w:rsidRDefault="004A0580" w:rsidP="004A0580">
      <w:pPr>
        <w:pStyle w:val="FootnoteText"/>
        <w:rPr>
          <w:sz w:val="26"/>
          <w:szCs w:val="26"/>
        </w:rPr>
      </w:pPr>
      <w:r w:rsidRPr="00F035BD">
        <w:rPr>
          <w:sz w:val="26"/>
          <w:szCs w:val="26"/>
        </w:rPr>
        <w:t>Some entities are registered to serve both roles.</w:t>
      </w:r>
    </w:p>
  </w:footnote>
  <w:footnote w:id="8">
    <w:p w14:paraId="25CAAE12" w14:textId="67877160" w:rsidR="004A0580" w:rsidRPr="00F035BD" w:rsidRDefault="004A0580" w:rsidP="007D0362">
      <w:pPr>
        <w:pStyle w:val="FootnoteText"/>
        <w:rPr>
          <w:sz w:val="26"/>
          <w:szCs w:val="26"/>
        </w:rPr>
      </w:pPr>
      <w:r w:rsidRPr="00F035BD">
        <w:rPr>
          <w:rStyle w:val="FootnoteReference"/>
        </w:rPr>
        <w:footnoteRef/>
      </w:r>
      <w:r w:rsidRPr="00F035BD">
        <w:rPr>
          <w:sz w:val="26"/>
          <w:szCs w:val="26"/>
        </w:rPr>
        <w:t xml:space="preserve"> The estimated hourly cost (salary plus benefits) provided in this section is based on the salary figures (</w:t>
      </w:r>
      <w:hyperlink r:id="rId1" w:history="1">
        <w:r w:rsidRPr="00F035BD">
          <w:rPr>
            <w:rStyle w:val="Hyperlink"/>
            <w:sz w:val="26"/>
            <w:szCs w:val="26"/>
          </w:rPr>
          <w:t>http://www.bls.gov/oes/current/naics2_22.htm</w:t>
        </w:r>
      </w:hyperlink>
      <w:r w:rsidRPr="00F035BD">
        <w:rPr>
          <w:rStyle w:val="Hyperlink"/>
          <w:sz w:val="26"/>
          <w:szCs w:val="26"/>
        </w:rPr>
        <w:t>)</w:t>
      </w:r>
      <w:r w:rsidRPr="00F035BD">
        <w:rPr>
          <w:sz w:val="26"/>
          <w:szCs w:val="26"/>
        </w:rPr>
        <w:t xml:space="preserve"> and benefits (</w:t>
      </w:r>
      <w:hyperlink r:id="rId2" w:history="1">
        <w:r w:rsidRPr="00F035BD">
          <w:rPr>
            <w:rStyle w:val="Hyperlink"/>
            <w:sz w:val="26"/>
            <w:szCs w:val="26"/>
          </w:rPr>
          <w:t>http://www.bls.gov/news.release/ecec.nr0.htm</w:t>
        </w:r>
      </w:hyperlink>
      <w:r w:rsidRPr="00F035BD">
        <w:rPr>
          <w:rStyle w:val="Hyperlink"/>
          <w:sz w:val="26"/>
          <w:szCs w:val="26"/>
        </w:rPr>
        <w:t>)</w:t>
      </w:r>
      <w:r w:rsidRPr="00F035BD">
        <w:rPr>
          <w:sz w:val="26"/>
          <w:szCs w:val="26"/>
        </w:rPr>
        <w:t xml:space="preserve"> for May 2017 posted by the Bureau of Labor Statistics for the Utilities sector.  The hourly estimates for salary plus benefits are $66.90/hour based on the Electrical Engineering career (Occupation Code: 17-2071).</w:t>
      </w:r>
    </w:p>
  </w:footnote>
  <w:footnote w:id="9">
    <w:p w14:paraId="690F7A25" w14:textId="5C6102AD" w:rsidR="00681157" w:rsidRPr="00F035BD" w:rsidRDefault="00681157">
      <w:pPr>
        <w:pStyle w:val="FootnoteText"/>
        <w:rPr>
          <w:sz w:val="26"/>
          <w:szCs w:val="26"/>
        </w:rPr>
      </w:pPr>
      <w:r w:rsidRPr="00F035BD">
        <w:rPr>
          <w:rStyle w:val="FootnoteReference"/>
        </w:rPr>
        <w:footnoteRef/>
      </w:r>
      <w:r w:rsidRPr="00F035BD">
        <w:rPr>
          <w:sz w:val="26"/>
          <w:szCs w:val="26"/>
        </w:rPr>
        <w:t xml:space="preserve"> Total Annual Cost is rounded-up from $133,264.80 to $133,265.</w:t>
      </w:r>
    </w:p>
  </w:footnote>
  <w:footnote w:id="10">
    <w:p w14:paraId="0CB9AE30" w14:textId="55199931" w:rsidR="004A0580" w:rsidRPr="00F035BD" w:rsidRDefault="004A0580">
      <w:pPr>
        <w:pStyle w:val="FootnoteText"/>
        <w:rPr>
          <w:sz w:val="26"/>
          <w:szCs w:val="26"/>
        </w:rPr>
      </w:pPr>
      <w:r w:rsidRPr="00F035BD">
        <w:rPr>
          <w:rStyle w:val="FootnoteReference"/>
        </w:rPr>
        <w:footnoteRef/>
      </w:r>
      <w:r w:rsidRPr="00F035BD">
        <w:rPr>
          <w:sz w:val="26"/>
          <w:szCs w:val="26"/>
        </w:rPr>
        <w:t xml:space="preserve"> 20 (PC role only) + 927 (GO role only) + 49 (joint role as PC and GO) = 996 unique entities</w:t>
      </w:r>
    </w:p>
  </w:footnote>
  <w:footnote w:id="11">
    <w:p w14:paraId="4C2B9296" w14:textId="6D750C8B" w:rsidR="00F035BD" w:rsidRPr="00F035BD" w:rsidRDefault="00F035BD">
      <w:pPr>
        <w:pStyle w:val="FootnoteText"/>
        <w:rPr>
          <w:sz w:val="26"/>
          <w:szCs w:val="26"/>
        </w:rPr>
      </w:pPr>
      <w:r w:rsidRPr="00F035BD">
        <w:rPr>
          <w:rStyle w:val="FootnoteReference"/>
        </w:rPr>
        <w:footnoteRef/>
      </w:r>
      <w:r w:rsidRPr="00F035BD">
        <w:rPr>
          <w:sz w:val="26"/>
          <w:szCs w:val="26"/>
        </w:rPr>
        <w:t xml:space="preserve"> This number is rounded from $133,264.80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49406" w14:textId="77777777" w:rsidR="00CA5988" w:rsidRDefault="00CA5988" w:rsidP="00920A1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724F67EB" w14:textId="77777777" w:rsidR="00CA5988" w:rsidRDefault="00CA5988" w:rsidP="005E318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0C8E0" w14:textId="77777777" w:rsidR="00CA5988" w:rsidRDefault="00CA5988" w:rsidP="00920A1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6E5F">
      <w:rPr>
        <w:rStyle w:val="PageNumber"/>
        <w:noProof/>
      </w:rPr>
      <w:t>2</w:t>
    </w:r>
    <w:r>
      <w:rPr>
        <w:rStyle w:val="PageNumber"/>
      </w:rPr>
      <w:fldChar w:fldCharType="end"/>
    </w:r>
  </w:p>
  <w:p w14:paraId="68371B9B" w14:textId="63892A39" w:rsidR="00CA5988" w:rsidRDefault="00CA5988" w:rsidP="002B69CF">
    <w:pPr>
      <w:pStyle w:val="Header"/>
      <w:ind w:right="360"/>
    </w:pPr>
    <w:r>
      <w:t xml:space="preserve">Docket </w:t>
    </w:r>
    <w:r w:rsidRPr="00AA2FBE">
      <w:t xml:space="preserve">No. </w:t>
    </w:r>
    <w:r w:rsidR="005554A9">
      <w:t>IC19-</w:t>
    </w:r>
    <w:r w:rsidR="00230385">
      <w:t>23</w:t>
    </w:r>
    <w:r w:rsidRPr="00AA2FBE">
      <w:t>-000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E47D4" w14:textId="77777777" w:rsidR="001E113F" w:rsidRDefault="001E11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DFE0A4E"/>
    <w:lvl w:ilvl="0">
      <w:start w:val="1"/>
      <w:numFmt w:val="bullet"/>
      <w:lvlText w:val=""/>
      <w:lvlJc w:val="left"/>
      <w:pPr>
        <w:tabs>
          <w:tab w:val="num" w:pos="360"/>
        </w:tabs>
        <w:ind w:left="360" w:hanging="360"/>
      </w:pPr>
      <w:rPr>
        <w:rFonts w:ascii="Symbol" w:hAnsi="Symbol" w:hint="default"/>
      </w:rPr>
    </w:lvl>
  </w:abstractNum>
  <w:abstractNum w:abstractNumId="1">
    <w:nsid w:val="0AA05161"/>
    <w:multiLevelType w:val="hybridMultilevel"/>
    <w:tmpl w:val="5A140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A76466"/>
    <w:multiLevelType w:val="hybridMultilevel"/>
    <w:tmpl w:val="78E68C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0F02A8"/>
    <w:multiLevelType w:val="hybridMultilevel"/>
    <w:tmpl w:val="1F3240CC"/>
    <w:lvl w:ilvl="0" w:tplc="DE32E332">
      <w:start w:val="1"/>
      <w:numFmt w:val="bullet"/>
      <w:lvlText w:val=""/>
      <w:lvlJc w:val="left"/>
      <w:pPr>
        <w:tabs>
          <w:tab w:val="num" w:pos="1500"/>
        </w:tabs>
        <w:ind w:left="1500" w:hanging="360"/>
      </w:pPr>
      <w:rPr>
        <w:rFonts w:ascii="Symbol" w:hAnsi="Symbol" w:hint="default"/>
        <w:color w:val="auto"/>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33156D43"/>
    <w:multiLevelType w:val="multilevel"/>
    <w:tmpl w:val="B140707E"/>
    <w:lvl w:ilvl="0">
      <w:start w:val="1"/>
      <w:numFmt w:val="decimal"/>
      <w:pStyle w:val="ListContinue"/>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5">
    <w:nsid w:val="35B066AB"/>
    <w:multiLevelType w:val="hybridMultilevel"/>
    <w:tmpl w:val="12C2D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C91B5B"/>
    <w:multiLevelType w:val="hybridMultilevel"/>
    <w:tmpl w:val="51EC4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0413DC"/>
    <w:multiLevelType w:val="hybridMultilevel"/>
    <w:tmpl w:val="3C588E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9334CE6"/>
    <w:multiLevelType w:val="hybridMultilevel"/>
    <w:tmpl w:val="BE30E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3B442C"/>
    <w:multiLevelType w:val="hybridMultilevel"/>
    <w:tmpl w:val="16587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E719D3"/>
    <w:multiLevelType w:val="hybridMultilevel"/>
    <w:tmpl w:val="B9A2F77C"/>
    <w:lvl w:ilvl="0" w:tplc="E4FAF836">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3"/>
  </w:num>
  <w:num w:numId="3">
    <w:abstractNumId w:val="4"/>
  </w:num>
  <w:num w:numId="4">
    <w:abstractNumId w:val="6"/>
  </w:num>
  <w:num w:numId="5">
    <w:abstractNumId w:val="1"/>
  </w:num>
  <w:num w:numId="6">
    <w:abstractNumId w:val="7"/>
  </w:num>
  <w:num w:numId="7">
    <w:abstractNumId w:val="5"/>
  </w:num>
  <w:num w:numId="8">
    <w:abstractNumId w:val="0"/>
  </w:num>
  <w:num w:numId="9">
    <w:abstractNumId w:val="2"/>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890"/>
    <w:rsid w:val="0000007C"/>
    <w:rsid w:val="00002127"/>
    <w:rsid w:val="0000305D"/>
    <w:rsid w:val="00003A58"/>
    <w:rsid w:val="00004A34"/>
    <w:rsid w:val="00004D97"/>
    <w:rsid w:val="00004E01"/>
    <w:rsid w:val="00014E36"/>
    <w:rsid w:val="00024ECA"/>
    <w:rsid w:val="00026BA2"/>
    <w:rsid w:val="000354FA"/>
    <w:rsid w:val="0003588A"/>
    <w:rsid w:val="00036FEC"/>
    <w:rsid w:val="00041471"/>
    <w:rsid w:val="00043468"/>
    <w:rsid w:val="000436E9"/>
    <w:rsid w:val="0005366B"/>
    <w:rsid w:val="00055C05"/>
    <w:rsid w:val="000561C9"/>
    <w:rsid w:val="00057E4E"/>
    <w:rsid w:val="0006335A"/>
    <w:rsid w:val="00072256"/>
    <w:rsid w:val="00072448"/>
    <w:rsid w:val="00080D5F"/>
    <w:rsid w:val="000838BE"/>
    <w:rsid w:val="000854B7"/>
    <w:rsid w:val="00085D06"/>
    <w:rsid w:val="00093E92"/>
    <w:rsid w:val="000A27CA"/>
    <w:rsid w:val="000A5308"/>
    <w:rsid w:val="000A7D1F"/>
    <w:rsid w:val="000B723A"/>
    <w:rsid w:val="000C22B5"/>
    <w:rsid w:val="000C47F2"/>
    <w:rsid w:val="000C56A4"/>
    <w:rsid w:val="000D0906"/>
    <w:rsid w:val="000D3639"/>
    <w:rsid w:val="000D5216"/>
    <w:rsid w:val="000D61A1"/>
    <w:rsid w:val="000D76E7"/>
    <w:rsid w:val="000D7CAB"/>
    <w:rsid w:val="000E00B4"/>
    <w:rsid w:val="000E11CB"/>
    <w:rsid w:val="000F2C1E"/>
    <w:rsid w:val="000F3E00"/>
    <w:rsid w:val="001009D2"/>
    <w:rsid w:val="00103D50"/>
    <w:rsid w:val="00104D16"/>
    <w:rsid w:val="00106249"/>
    <w:rsid w:val="00114B14"/>
    <w:rsid w:val="00116835"/>
    <w:rsid w:val="001175E1"/>
    <w:rsid w:val="001240FD"/>
    <w:rsid w:val="00125F00"/>
    <w:rsid w:val="0012726A"/>
    <w:rsid w:val="00141EBE"/>
    <w:rsid w:val="00145F34"/>
    <w:rsid w:val="00146600"/>
    <w:rsid w:val="00146B5E"/>
    <w:rsid w:val="001470C0"/>
    <w:rsid w:val="001475FE"/>
    <w:rsid w:val="00147B28"/>
    <w:rsid w:val="00150CA6"/>
    <w:rsid w:val="00152D2F"/>
    <w:rsid w:val="00152FDA"/>
    <w:rsid w:val="001552DA"/>
    <w:rsid w:val="00163BBE"/>
    <w:rsid w:val="00176D66"/>
    <w:rsid w:val="00181F00"/>
    <w:rsid w:val="0019407A"/>
    <w:rsid w:val="0019691F"/>
    <w:rsid w:val="001974D5"/>
    <w:rsid w:val="001A29CA"/>
    <w:rsid w:val="001A4577"/>
    <w:rsid w:val="001A5E0A"/>
    <w:rsid w:val="001A6B7C"/>
    <w:rsid w:val="001A7291"/>
    <w:rsid w:val="001B40FA"/>
    <w:rsid w:val="001B49BD"/>
    <w:rsid w:val="001B4DDD"/>
    <w:rsid w:val="001B6B4A"/>
    <w:rsid w:val="001B7575"/>
    <w:rsid w:val="001B7F83"/>
    <w:rsid w:val="001C3324"/>
    <w:rsid w:val="001C3703"/>
    <w:rsid w:val="001C4D3A"/>
    <w:rsid w:val="001C4FC0"/>
    <w:rsid w:val="001C5D46"/>
    <w:rsid w:val="001D7C1F"/>
    <w:rsid w:val="001E113F"/>
    <w:rsid w:val="001E52EB"/>
    <w:rsid w:val="001E69DB"/>
    <w:rsid w:val="001F0B06"/>
    <w:rsid w:val="001F2664"/>
    <w:rsid w:val="001F47CB"/>
    <w:rsid w:val="00201D68"/>
    <w:rsid w:val="00204D0F"/>
    <w:rsid w:val="00215A17"/>
    <w:rsid w:val="0022552F"/>
    <w:rsid w:val="002265E9"/>
    <w:rsid w:val="00230385"/>
    <w:rsid w:val="00233B3F"/>
    <w:rsid w:val="002401B4"/>
    <w:rsid w:val="00241BAC"/>
    <w:rsid w:val="00241BFD"/>
    <w:rsid w:val="00250418"/>
    <w:rsid w:val="00251C88"/>
    <w:rsid w:val="00252CD0"/>
    <w:rsid w:val="00253C62"/>
    <w:rsid w:val="00262921"/>
    <w:rsid w:val="002677D6"/>
    <w:rsid w:val="0027273D"/>
    <w:rsid w:val="00285E62"/>
    <w:rsid w:val="0028677A"/>
    <w:rsid w:val="0029205A"/>
    <w:rsid w:val="00292163"/>
    <w:rsid w:val="0029476E"/>
    <w:rsid w:val="00296592"/>
    <w:rsid w:val="002A2A4E"/>
    <w:rsid w:val="002A5F2B"/>
    <w:rsid w:val="002A6174"/>
    <w:rsid w:val="002B293D"/>
    <w:rsid w:val="002B43A6"/>
    <w:rsid w:val="002B62A0"/>
    <w:rsid w:val="002B69CF"/>
    <w:rsid w:val="002C0ECB"/>
    <w:rsid w:val="002C23E9"/>
    <w:rsid w:val="002E34B5"/>
    <w:rsid w:val="00317A96"/>
    <w:rsid w:val="00321793"/>
    <w:rsid w:val="00321EB8"/>
    <w:rsid w:val="00323139"/>
    <w:rsid w:val="00324D93"/>
    <w:rsid w:val="00332BC6"/>
    <w:rsid w:val="003331C8"/>
    <w:rsid w:val="00335092"/>
    <w:rsid w:val="003400C1"/>
    <w:rsid w:val="00341866"/>
    <w:rsid w:val="00346FFD"/>
    <w:rsid w:val="00356E26"/>
    <w:rsid w:val="00361561"/>
    <w:rsid w:val="00366669"/>
    <w:rsid w:val="00370763"/>
    <w:rsid w:val="00374409"/>
    <w:rsid w:val="00376A65"/>
    <w:rsid w:val="00381700"/>
    <w:rsid w:val="00386BED"/>
    <w:rsid w:val="003911C0"/>
    <w:rsid w:val="003A1D7A"/>
    <w:rsid w:val="003B4D70"/>
    <w:rsid w:val="003C1644"/>
    <w:rsid w:val="003C1F91"/>
    <w:rsid w:val="003D6813"/>
    <w:rsid w:val="003F1774"/>
    <w:rsid w:val="003F32A9"/>
    <w:rsid w:val="00414715"/>
    <w:rsid w:val="00417DE1"/>
    <w:rsid w:val="004230B0"/>
    <w:rsid w:val="00423C49"/>
    <w:rsid w:val="0042785C"/>
    <w:rsid w:val="00430164"/>
    <w:rsid w:val="00432C41"/>
    <w:rsid w:val="0043489E"/>
    <w:rsid w:val="004374D3"/>
    <w:rsid w:val="00445DDF"/>
    <w:rsid w:val="004530E0"/>
    <w:rsid w:val="00453F74"/>
    <w:rsid w:val="00455A33"/>
    <w:rsid w:val="00455C4D"/>
    <w:rsid w:val="004605D1"/>
    <w:rsid w:val="00462DBE"/>
    <w:rsid w:val="00470106"/>
    <w:rsid w:val="0047321C"/>
    <w:rsid w:val="004750C1"/>
    <w:rsid w:val="004760FD"/>
    <w:rsid w:val="00484FC3"/>
    <w:rsid w:val="0048505F"/>
    <w:rsid w:val="004855F2"/>
    <w:rsid w:val="00487256"/>
    <w:rsid w:val="00487BA3"/>
    <w:rsid w:val="00490E50"/>
    <w:rsid w:val="00493451"/>
    <w:rsid w:val="004A0580"/>
    <w:rsid w:val="004A51DF"/>
    <w:rsid w:val="004A6E59"/>
    <w:rsid w:val="004B1355"/>
    <w:rsid w:val="004B5341"/>
    <w:rsid w:val="004B665B"/>
    <w:rsid w:val="004C36C3"/>
    <w:rsid w:val="004C3BB0"/>
    <w:rsid w:val="004C3C65"/>
    <w:rsid w:val="004D1EE5"/>
    <w:rsid w:val="004D4CD3"/>
    <w:rsid w:val="004D53C3"/>
    <w:rsid w:val="004D6B95"/>
    <w:rsid w:val="004D778A"/>
    <w:rsid w:val="004D79AA"/>
    <w:rsid w:val="004E2B11"/>
    <w:rsid w:val="004F16D2"/>
    <w:rsid w:val="004F3E67"/>
    <w:rsid w:val="005033BF"/>
    <w:rsid w:val="0050437A"/>
    <w:rsid w:val="005054E9"/>
    <w:rsid w:val="00510E5A"/>
    <w:rsid w:val="00515CA5"/>
    <w:rsid w:val="00517B18"/>
    <w:rsid w:val="00521ABE"/>
    <w:rsid w:val="00524B22"/>
    <w:rsid w:val="00530BB4"/>
    <w:rsid w:val="005320C7"/>
    <w:rsid w:val="005346F4"/>
    <w:rsid w:val="00534B97"/>
    <w:rsid w:val="005358CB"/>
    <w:rsid w:val="00537276"/>
    <w:rsid w:val="0054477B"/>
    <w:rsid w:val="00551B13"/>
    <w:rsid w:val="005521E7"/>
    <w:rsid w:val="0055344C"/>
    <w:rsid w:val="005554A9"/>
    <w:rsid w:val="00556AC8"/>
    <w:rsid w:val="00562351"/>
    <w:rsid w:val="00562387"/>
    <w:rsid w:val="005665D1"/>
    <w:rsid w:val="005701E9"/>
    <w:rsid w:val="0057644D"/>
    <w:rsid w:val="00577139"/>
    <w:rsid w:val="00584568"/>
    <w:rsid w:val="0058734A"/>
    <w:rsid w:val="0058744A"/>
    <w:rsid w:val="005916D2"/>
    <w:rsid w:val="00592AD7"/>
    <w:rsid w:val="00594550"/>
    <w:rsid w:val="005953A4"/>
    <w:rsid w:val="0059780B"/>
    <w:rsid w:val="005A02C5"/>
    <w:rsid w:val="005A3CFC"/>
    <w:rsid w:val="005A6D8E"/>
    <w:rsid w:val="005B0E46"/>
    <w:rsid w:val="005C0F22"/>
    <w:rsid w:val="005D0272"/>
    <w:rsid w:val="005E318F"/>
    <w:rsid w:val="005E6B6B"/>
    <w:rsid w:val="00603DFB"/>
    <w:rsid w:val="006053EE"/>
    <w:rsid w:val="00606103"/>
    <w:rsid w:val="006064BB"/>
    <w:rsid w:val="006070B9"/>
    <w:rsid w:val="00617E46"/>
    <w:rsid w:val="0062025E"/>
    <w:rsid w:val="00625882"/>
    <w:rsid w:val="006276C9"/>
    <w:rsid w:val="006400D4"/>
    <w:rsid w:val="00647B24"/>
    <w:rsid w:val="00655152"/>
    <w:rsid w:val="00656DF0"/>
    <w:rsid w:val="0065768D"/>
    <w:rsid w:val="00660961"/>
    <w:rsid w:val="00663000"/>
    <w:rsid w:val="00672BEA"/>
    <w:rsid w:val="00681157"/>
    <w:rsid w:val="0068483B"/>
    <w:rsid w:val="006902C3"/>
    <w:rsid w:val="0069142C"/>
    <w:rsid w:val="00692852"/>
    <w:rsid w:val="00694675"/>
    <w:rsid w:val="006950DF"/>
    <w:rsid w:val="00695504"/>
    <w:rsid w:val="006A2074"/>
    <w:rsid w:val="006A4D89"/>
    <w:rsid w:val="006A60CF"/>
    <w:rsid w:val="006A64E7"/>
    <w:rsid w:val="006B4821"/>
    <w:rsid w:val="006C0407"/>
    <w:rsid w:val="006C550B"/>
    <w:rsid w:val="006C57B1"/>
    <w:rsid w:val="006D549E"/>
    <w:rsid w:val="006E6000"/>
    <w:rsid w:val="006E7FB0"/>
    <w:rsid w:val="006F4A80"/>
    <w:rsid w:val="006F77BE"/>
    <w:rsid w:val="0070048D"/>
    <w:rsid w:val="00703DFC"/>
    <w:rsid w:val="0070558B"/>
    <w:rsid w:val="0071251E"/>
    <w:rsid w:val="00713943"/>
    <w:rsid w:val="00714803"/>
    <w:rsid w:val="00715910"/>
    <w:rsid w:val="00720B54"/>
    <w:rsid w:val="00720E07"/>
    <w:rsid w:val="00724CBD"/>
    <w:rsid w:val="00725908"/>
    <w:rsid w:val="0072643A"/>
    <w:rsid w:val="00727A9F"/>
    <w:rsid w:val="00730BA0"/>
    <w:rsid w:val="00731F88"/>
    <w:rsid w:val="007341B0"/>
    <w:rsid w:val="00747976"/>
    <w:rsid w:val="00750DA1"/>
    <w:rsid w:val="00752E4A"/>
    <w:rsid w:val="0075407F"/>
    <w:rsid w:val="00764A91"/>
    <w:rsid w:val="00766823"/>
    <w:rsid w:val="007724B8"/>
    <w:rsid w:val="007726D7"/>
    <w:rsid w:val="00773856"/>
    <w:rsid w:val="0078241C"/>
    <w:rsid w:val="00783AD0"/>
    <w:rsid w:val="00785CF9"/>
    <w:rsid w:val="0079477E"/>
    <w:rsid w:val="007957B9"/>
    <w:rsid w:val="007A067E"/>
    <w:rsid w:val="007A46B4"/>
    <w:rsid w:val="007A5C4A"/>
    <w:rsid w:val="007A6D53"/>
    <w:rsid w:val="007D0362"/>
    <w:rsid w:val="007D2400"/>
    <w:rsid w:val="007D4A4A"/>
    <w:rsid w:val="007E3E3D"/>
    <w:rsid w:val="007E52AC"/>
    <w:rsid w:val="007E6973"/>
    <w:rsid w:val="007E699A"/>
    <w:rsid w:val="007E7573"/>
    <w:rsid w:val="007F0AFE"/>
    <w:rsid w:val="007F4F00"/>
    <w:rsid w:val="007F4F94"/>
    <w:rsid w:val="007F7E3C"/>
    <w:rsid w:val="00802E90"/>
    <w:rsid w:val="008035F0"/>
    <w:rsid w:val="00810CEC"/>
    <w:rsid w:val="008164E3"/>
    <w:rsid w:val="00823FC2"/>
    <w:rsid w:val="00824E90"/>
    <w:rsid w:val="00825C98"/>
    <w:rsid w:val="00827DA2"/>
    <w:rsid w:val="00831DBA"/>
    <w:rsid w:val="0083270A"/>
    <w:rsid w:val="00834B9E"/>
    <w:rsid w:val="0083507A"/>
    <w:rsid w:val="008410EA"/>
    <w:rsid w:val="00841CCE"/>
    <w:rsid w:val="00852671"/>
    <w:rsid w:val="00855434"/>
    <w:rsid w:val="0086417D"/>
    <w:rsid w:val="00865949"/>
    <w:rsid w:val="00865E72"/>
    <w:rsid w:val="0086706C"/>
    <w:rsid w:val="00871390"/>
    <w:rsid w:val="0087254C"/>
    <w:rsid w:val="00880EEA"/>
    <w:rsid w:val="008814F7"/>
    <w:rsid w:val="00884BAD"/>
    <w:rsid w:val="00887A76"/>
    <w:rsid w:val="00887D7E"/>
    <w:rsid w:val="00891E91"/>
    <w:rsid w:val="00893FB3"/>
    <w:rsid w:val="008956A4"/>
    <w:rsid w:val="008A01C0"/>
    <w:rsid w:val="008A6480"/>
    <w:rsid w:val="008B5814"/>
    <w:rsid w:val="008C2E94"/>
    <w:rsid w:val="008D2F61"/>
    <w:rsid w:val="008D377B"/>
    <w:rsid w:val="008D7DF2"/>
    <w:rsid w:val="008E4CB7"/>
    <w:rsid w:val="008E4F8D"/>
    <w:rsid w:val="008E7889"/>
    <w:rsid w:val="008F66AB"/>
    <w:rsid w:val="00900278"/>
    <w:rsid w:val="00906BFB"/>
    <w:rsid w:val="009124A0"/>
    <w:rsid w:val="009131BC"/>
    <w:rsid w:val="0091686D"/>
    <w:rsid w:val="00920A1C"/>
    <w:rsid w:val="00924B80"/>
    <w:rsid w:val="00937BCD"/>
    <w:rsid w:val="009447D3"/>
    <w:rsid w:val="009537F4"/>
    <w:rsid w:val="00953BFD"/>
    <w:rsid w:val="00956FF9"/>
    <w:rsid w:val="00957A3A"/>
    <w:rsid w:val="00961DAE"/>
    <w:rsid w:val="0096244F"/>
    <w:rsid w:val="00966148"/>
    <w:rsid w:val="009679E3"/>
    <w:rsid w:val="009713C5"/>
    <w:rsid w:val="0097434D"/>
    <w:rsid w:val="00977E05"/>
    <w:rsid w:val="00981DA2"/>
    <w:rsid w:val="0099139C"/>
    <w:rsid w:val="00991D87"/>
    <w:rsid w:val="0099287A"/>
    <w:rsid w:val="009929A6"/>
    <w:rsid w:val="009947B6"/>
    <w:rsid w:val="00994B38"/>
    <w:rsid w:val="00997AE4"/>
    <w:rsid w:val="009A1881"/>
    <w:rsid w:val="009A4614"/>
    <w:rsid w:val="009A61E8"/>
    <w:rsid w:val="009A7153"/>
    <w:rsid w:val="009B0172"/>
    <w:rsid w:val="009B7DFA"/>
    <w:rsid w:val="009C2E1C"/>
    <w:rsid w:val="009D505F"/>
    <w:rsid w:val="009E1DA1"/>
    <w:rsid w:val="009E205B"/>
    <w:rsid w:val="009E2813"/>
    <w:rsid w:val="009F47BC"/>
    <w:rsid w:val="009F4AB4"/>
    <w:rsid w:val="009F71DC"/>
    <w:rsid w:val="009F7CE3"/>
    <w:rsid w:val="00A02006"/>
    <w:rsid w:val="00A073B8"/>
    <w:rsid w:val="00A0763E"/>
    <w:rsid w:val="00A10B21"/>
    <w:rsid w:val="00A13709"/>
    <w:rsid w:val="00A15BF1"/>
    <w:rsid w:val="00A17794"/>
    <w:rsid w:val="00A33B2B"/>
    <w:rsid w:val="00A34319"/>
    <w:rsid w:val="00A34518"/>
    <w:rsid w:val="00A35158"/>
    <w:rsid w:val="00A3726A"/>
    <w:rsid w:val="00A40B65"/>
    <w:rsid w:val="00A4355D"/>
    <w:rsid w:val="00A439EA"/>
    <w:rsid w:val="00A46BD3"/>
    <w:rsid w:val="00A51FCA"/>
    <w:rsid w:val="00A52502"/>
    <w:rsid w:val="00A536DA"/>
    <w:rsid w:val="00A56980"/>
    <w:rsid w:val="00A60681"/>
    <w:rsid w:val="00A72F11"/>
    <w:rsid w:val="00A85DE0"/>
    <w:rsid w:val="00A96311"/>
    <w:rsid w:val="00A9631E"/>
    <w:rsid w:val="00A967B1"/>
    <w:rsid w:val="00AA2FBE"/>
    <w:rsid w:val="00AA33E5"/>
    <w:rsid w:val="00AA7819"/>
    <w:rsid w:val="00AB0A99"/>
    <w:rsid w:val="00AB20D8"/>
    <w:rsid w:val="00AB436E"/>
    <w:rsid w:val="00AC1CD9"/>
    <w:rsid w:val="00AC4CC5"/>
    <w:rsid w:val="00AC614A"/>
    <w:rsid w:val="00AC7096"/>
    <w:rsid w:val="00AC7480"/>
    <w:rsid w:val="00AE0995"/>
    <w:rsid w:val="00AE4572"/>
    <w:rsid w:val="00AE61E0"/>
    <w:rsid w:val="00AF4F93"/>
    <w:rsid w:val="00B018B9"/>
    <w:rsid w:val="00B1101F"/>
    <w:rsid w:val="00B2439B"/>
    <w:rsid w:val="00B3254F"/>
    <w:rsid w:val="00B33628"/>
    <w:rsid w:val="00B337D1"/>
    <w:rsid w:val="00B3471E"/>
    <w:rsid w:val="00B36EF3"/>
    <w:rsid w:val="00B43366"/>
    <w:rsid w:val="00B4345E"/>
    <w:rsid w:val="00B4431A"/>
    <w:rsid w:val="00B460AF"/>
    <w:rsid w:val="00B47AB9"/>
    <w:rsid w:val="00B52047"/>
    <w:rsid w:val="00B62B35"/>
    <w:rsid w:val="00B710EA"/>
    <w:rsid w:val="00B75595"/>
    <w:rsid w:val="00B757A7"/>
    <w:rsid w:val="00B806DB"/>
    <w:rsid w:val="00B81BC5"/>
    <w:rsid w:val="00B835C5"/>
    <w:rsid w:val="00B94AA8"/>
    <w:rsid w:val="00B96593"/>
    <w:rsid w:val="00B97BC8"/>
    <w:rsid w:val="00BA7702"/>
    <w:rsid w:val="00BB1C54"/>
    <w:rsid w:val="00BB61B4"/>
    <w:rsid w:val="00BC1B93"/>
    <w:rsid w:val="00BC6FD9"/>
    <w:rsid w:val="00BD0A6B"/>
    <w:rsid w:val="00BD15D4"/>
    <w:rsid w:val="00BF0461"/>
    <w:rsid w:val="00BF144D"/>
    <w:rsid w:val="00BF72E1"/>
    <w:rsid w:val="00C01B8E"/>
    <w:rsid w:val="00C0487E"/>
    <w:rsid w:val="00C056FE"/>
    <w:rsid w:val="00C05E2D"/>
    <w:rsid w:val="00C1080B"/>
    <w:rsid w:val="00C13D4D"/>
    <w:rsid w:val="00C1462E"/>
    <w:rsid w:val="00C14CA1"/>
    <w:rsid w:val="00C209EA"/>
    <w:rsid w:val="00C20BA6"/>
    <w:rsid w:val="00C211B3"/>
    <w:rsid w:val="00C2490D"/>
    <w:rsid w:val="00C26871"/>
    <w:rsid w:val="00C3310F"/>
    <w:rsid w:val="00C33BBC"/>
    <w:rsid w:val="00C35212"/>
    <w:rsid w:val="00C41016"/>
    <w:rsid w:val="00C41350"/>
    <w:rsid w:val="00C432BC"/>
    <w:rsid w:val="00C446C7"/>
    <w:rsid w:val="00C4788A"/>
    <w:rsid w:val="00C531D6"/>
    <w:rsid w:val="00C53513"/>
    <w:rsid w:val="00C538C7"/>
    <w:rsid w:val="00C56512"/>
    <w:rsid w:val="00C62221"/>
    <w:rsid w:val="00C63FEE"/>
    <w:rsid w:val="00C66E5F"/>
    <w:rsid w:val="00C70D6C"/>
    <w:rsid w:val="00C71F08"/>
    <w:rsid w:val="00C775FE"/>
    <w:rsid w:val="00C818BC"/>
    <w:rsid w:val="00C856C1"/>
    <w:rsid w:val="00C936A0"/>
    <w:rsid w:val="00C950B8"/>
    <w:rsid w:val="00C9728E"/>
    <w:rsid w:val="00C97402"/>
    <w:rsid w:val="00CA5395"/>
    <w:rsid w:val="00CA582B"/>
    <w:rsid w:val="00CA5988"/>
    <w:rsid w:val="00CA5D25"/>
    <w:rsid w:val="00CB10EF"/>
    <w:rsid w:val="00CB15DD"/>
    <w:rsid w:val="00CB2469"/>
    <w:rsid w:val="00CB4543"/>
    <w:rsid w:val="00CC084C"/>
    <w:rsid w:val="00CC23B2"/>
    <w:rsid w:val="00CC312A"/>
    <w:rsid w:val="00CC74B4"/>
    <w:rsid w:val="00CD31E5"/>
    <w:rsid w:val="00CD787F"/>
    <w:rsid w:val="00CE0248"/>
    <w:rsid w:val="00CE0EF2"/>
    <w:rsid w:val="00CE64F2"/>
    <w:rsid w:val="00CF4A57"/>
    <w:rsid w:val="00CF5B9A"/>
    <w:rsid w:val="00CF6E85"/>
    <w:rsid w:val="00D02D61"/>
    <w:rsid w:val="00D10325"/>
    <w:rsid w:val="00D20E2B"/>
    <w:rsid w:val="00D222BA"/>
    <w:rsid w:val="00D23599"/>
    <w:rsid w:val="00D308CE"/>
    <w:rsid w:val="00D33436"/>
    <w:rsid w:val="00D43998"/>
    <w:rsid w:val="00D44616"/>
    <w:rsid w:val="00D47828"/>
    <w:rsid w:val="00D53545"/>
    <w:rsid w:val="00D54123"/>
    <w:rsid w:val="00D60583"/>
    <w:rsid w:val="00D63246"/>
    <w:rsid w:val="00D63C82"/>
    <w:rsid w:val="00D67693"/>
    <w:rsid w:val="00D70310"/>
    <w:rsid w:val="00D76D45"/>
    <w:rsid w:val="00D77890"/>
    <w:rsid w:val="00D87C24"/>
    <w:rsid w:val="00D90CBF"/>
    <w:rsid w:val="00D90F2B"/>
    <w:rsid w:val="00D90F48"/>
    <w:rsid w:val="00D9166B"/>
    <w:rsid w:val="00D91D1B"/>
    <w:rsid w:val="00D92CB4"/>
    <w:rsid w:val="00D93E95"/>
    <w:rsid w:val="00D94313"/>
    <w:rsid w:val="00D96098"/>
    <w:rsid w:val="00DA5AC1"/>
    <w:rsid w:val="00DA6F3C"/>
    <w:rsid w:val="00DA7F57"/>
    <w:rsid w:val="00DB44CE"/>
    <w:rsid w:val="00DC05D3"/>
    <w:rsid w:val="00DC09DD"/>
    <w:rsid w:val="00DC0CCD"/>
    <w:rsid w:val="00DC4367"/>
    <w:rsid w:val="00DC60EC"/>
    <w:rsid w:val="00DD02E8"/>
    <w:rsid w:val="00DD0A4B"/>
    <w:rsid w:val="00DD3402"/>
    <w:rsid w:val="00DD3C10"/>
    <w:rsid w:val="00DD3E84"/>
    <w:rsid w:val="00DD64A0"/>
    <w:rsid w:val="00DE01AF"/>
    <w:rsid w:val="00DF20AE"/>
    <w:rsid w:val="00DF281F"/>
    <w:rsid w:val="00DF3DC8"/>
    <w:rsid w:val="00DF4AB1"/>
    <w:rsid w:val="00DF57D1"/>
    <w:rsid w:val="00DF60F5"/>
    <w:rsid w:val="00E027CE"/>
    <w:rsid w:val="00E0745C"/>
    <w:rsid w:val="00E102DA"/>
    <w:rsid w:val="00E146ED"/>
    <w:rsid w:val="00E2091C"/>
    <w:rsid w:val="00E23C2C"/>
    <w:rsid w:val="00E310B1"/>
    <w:rsid w:val="00E347E1"/>
    <w:rsid w:val="00E4230F"/>
    <w:rsid w:val="00E426AE"/>
    <w:rsid w:val="00E436DC"/>
    <w:rsid w:val="00E43FF3"/>
    <w:rsid w:val="00E52021"/>
    <w:rsid w:val="00E521EB"/>
    <w:rsid w:val="00E54A1B"/>
    <w:rsid w:val="00E57F5B"/>
    <w:rsid w:val="00E60318"/>
    <w:rsid w:val="00E6445A"/>
    <w:rsid w:val="00E6573E"/>
    <w:rsid w:val="00E77D25"/>
    <w:rsid w:val="00E817F1"/>
    <w:rsid w:val="00E81E89"/>
    <w:rsid w:val="00E92ACF"/>
    <w:rsid w:val="00E956A6"/>
    <w:rsid w:val="00E9701C"/>
    <w:rsid w:val="00EA07A3"/>
    <w:rsid w:val="00EA26F9"/>
    <w:rsid w:val="00EA41F0"/>
    <w:rsid w:val="00EA50B2"/>
    <w:rsid w:val="00EA5404"/>
    <w:rsid w:val="00EA5739"/>
    <w:rsid w:val="00EB6EE6"/>
    <w:rsid w:val="00EC0705"/>
    <w:rsid w:val="00EC4610"/>
    <w:rsid w:val="00EC4C08"/>
    <w:rsid w:val="00EC657E"/>
    <w:rsid w:val="00EC7372"/>
    <w:rsid w:val="00ED7AAA"/>
    <w:rsid w:val="00EE4D69"/>
    <w:rsid w:val="00EE4F64"/>
    <w:rsid w:val="00EE5F32"/>
    <w:rsid w:val="00EE64A4"/>
    <w:rsid w:val="00EE66D8"/>
    <w:rsid w:val="00EF0E3A"/>
    <w:rsid w:val="00EF1CA3"/>
    <w:rsid w:val="00EF5878"/>
    <w:rsid w:val="00F02B46"/>
    <w:rsid w:val="00F035BD"/>
    <w:rsid w:val="00F04F98"/>
    <w:rsid w:val="00F05061"/>
    <w:rsid w:val="00F15EB8"/>
    <w:rsid w:val="00F17D46"/>
    <w:rsid w:val="00F2283B"/>
    <w:rsid w:val="00F23985"/>
    <w:rsid w:val="00F239CB"/>
    <w:rsid w:val="00F252DC"/>
    <w:rsid w:val="00F30FE9"/>
    <w:rsid w:val="00F31331"/>
    <w:rsid w:val="00F32B20"/>
    <w:rsid w:val="00F332D0"/>
    <w:rsid w:val="00F33CC9"/>
    <w:rsid w:val="00F34211"/>
    <w:rsid w:val="00F4212C"/>
    <w:rsid w:val="00F42509"/>
    <w:rsid w:val="00F500B7"/>
    <w:rsid w:val="00F50EDA"/>
    <w:rsid w:val="00F5423F"/>
    <w:rsid w:val="00F567F0"/>
    <w:rsid w:val="00F57AC4"/>
    <w:rsid w:val="00F619B0"/>
    <w:rsid w:val="00F62C6E"/>
    <w:rsid w:val="00F63C6E"/>
    <w:rsid w:val="00F63D05"/>
    <w:rsid w:val="00F6512C"/>
    <w:rsid w:val="00F67CA1"/>
    <w:rsid w:val="00F703BA"/>
    <w:rsid w:val="00F72A15"/>
    <w:rsid w:val="00F730F8"/>
    <w:rsid w:val="00F75289"/>
    <w:rsid w:val="00F76482"/>
    <w:rsid w:val="00F80272"/>
    <w:rsid w:val="00F81786"/>
    <w:rsid w:val="00F82F43"/>
    <w:rsid w:val="00F8508A"/>
    <w:rsid w:val="00F86890"/>
    <w:rsid w:val="00F94545"/>
    <w:rsid w:val="00FA1071"/>
    <w:rsid w:val="00FA1560"/>
    <w:rsid w:val="00FA2A52"/>
    <w:rsid w:val="00FA4464"/>
    <w:rsid w:val="00FA654D"/>
    <w:rsid w:val="00FB5088"/>
    <w:rsid w:val="00FB7DD6"/>
    <w:rsid w:val="00FC34C8"/>
    <w:rsid w:val="00FC4CD8"/>
    <w:rsid w:val="00FC5072"/>
    <w:rsid w:val="00FC5E3E"/>
    <w:rsid w:val="00FC69C5"/>
    <w:rsid w:val="00FE02F1"/>
    <w:rsid w:val="00FE439E"/>
    <w:rsid w:val="00FE709D"/>
    <w:rsid w:val="00FF1BE8"/>
    <w:rsid w:val="00FF2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16385"/>
    <o:shapelayout v:ext="edit">
      <o:idmap v:ext="edit" data="1"/>
    </o:shapelayout>
  </w:shapeDefaults>
  <w:decimalSymbol w:val="."/>
  <w:listSeparator w:val=","/>
  <w14:docId w14:val="6510D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86D"/>
    <w:rPr>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rsid w:val="00487256"/>
    <w:pPr>
      <w:numPr>
        <w:numId w:val="1"/>
      </w:numPr>
    </w:pPr>
  </w:style>
  <w:style w:type="character" w:styleId="FootnoteReference">
    <w:name w:val="footnote reference"/>
    <w:rsid w:val="00487256"/>
    <w:rPr>
      <w:rFonts w:ascii="Times New Roman" w:hAnsi="Times New Roman"/>
      <w:b/>
      <w:sz w:val="26"/>
      <w:szCs w:val="26"/>
      <w:vertAlign w:val="superscript"/>
    </w:rPr>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 Char,Char,fn1,fn3"/>
    <w:basedOn w:val="Normal"/>
    <w:link w:val="FootnoteTextChar"/>
    <w:qFormat/>
    <w:rsid w:val="00D20E2B"/>
    <w:rPr>
      <w:sz w:val="22"/>
      <w:szCs w:val="20"/>
    </w:rPr>
  </w:style>
  <w:style w:type="paragraph" w:styleId="Header">
    <w:name w:val="header"/>
    <w:basedOn w:val="Normal"/>
    <w:rsid w:val="005E318F"/>
    <w:pPr>
      <w:tabs>
        <w:tab w:val="center" w:pos="4320"/>
        <w:tab w:val="right" w:pos="8640"/>
      </w:tabs>
    </w:pPr>
  </w:style>
  <w:style w:type="character" w:styleId="PageNumber">
    <w:name w:val="page number"/>
    <w:basedOn w:val="DefaultParagraphFont"/>
    <w:rsid w:val="005E318F"/>
  </w:style>
  <w:style w:type="paragraph" w:styleId="Footer">
    <w:name w:val="footer"/>
    <w:basedOn w:val="Normal"/>
    <w:rsid w:val="005E318F"/>
    <w:pPr>
      <w:tabs>
        <w:tab w:val="center" w:pos="4320"/>
        <w:tab w:val="right" w:pos="8640"/>
      </w:tabs>
    </w:pPr>
  </w:style>
  <w:style w:type="character" w:styleId="Hyperlink">
    <w:name w:val="Hyperlink"/>
    <w:rsid w:val="00C56512"/>
    <w:rPr>
      <w:color w:val="0000FF"/>
      <w:u w:val="single"/>
    </w:rPr>
  </w:style>
  <w:style w:type="character" w:styleId="FollowedHyperlink">
    <w:name w:val="FollowedHyperlink"/>
    <w:rsid w:val="00F42509"/>
    <w:rPr>
      <w:color w:val="800080"/>
      <w:u w:val="single"/>
    </w:rPr>
  </w:style>
  <w:style w:type="paragraph" w:styleId="BalloonText">
    <w:name w:val="Balloon Text"/>
    <w:basedOn w:val="Normal"/>
    <w:semiHidden/>
    <w:rsid w:val="00F42509"/>
    <w:rPr>
      <w:rFonts w:ascii="Tahoma" w:hAnsi="Tahoma" w:cs="Tahoma"/>
      <w:sz w:val="16"/>
      <w:szCs w:val="16"/>
    </w:rPr>
  </w:style>
  <w:style w:type="table" w:styleId="TableGrid">
    <w:name w:val="Table Grid"/>
    <w:basedOn w:val="TableNormal"/>
    <w:rsid w:val="00215A1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
    <w:name w:val="List Continue"/>
    <w:basedOn w:val="Normal"/>
    <w:rsid w:val="00DC05D3"/>
    <w:pPr>
      <w:numPr>
        <w:numId w:val="3"/>
      </w:numPr>
      <w:spacing w:after="120" w:line="480" w:lineRule="auto"/>
    </w:pPr>
  </w:style>
  <w:style w:type="paragraph" w:customStyle="1" w:styleId="LegalFormat">
    <w:name w:val="Legal Format"/>
    <w:basedOn w:val="ListContinue"/>
    <w:rsid w:val="00DC05D3"/>
    <w:pPr>
      <w:spacing w:after="0"/>
      <w:ind w:left="0"/>
    </w:pPr>
    <w:rPr>
      <w:u w:val="single"/>
    </w:rPr>
  </w:style>
  <w:style w:type="character" w:styleId="CommentReference">
    <w:name w:val="annotation reference"/>
    <w:rsid w:val="00FE709D"/>
    <w:rPr>
      <w:sz w:val="16"/>
      <w:szCs w:val="16"/>
    </w:rPr>
  </w:style>
  <w:style w:type="paragraph" w:styleId="CommentText">
    <w:name w:val="annotation text"/>
    <w:basedOn w:val="Normal"/>
    <w:link w:val="CommentTextChar"/>
    <w:rsid w:val="00FE709D"/>
    <w:rPr>
      <w:sz w:val="20"/>
      <w:szCs w:val="20"/>
    </w:rPr>
  </w:style>
  <w:style w:type="character" w:customStyle="1" w:styleId="CommentTextChar">
    <w:name w:val="Comment Text Char"/>
    <w:basedOn w:val="DefaultParagraphFont"/>
    <w:link w:val="CommentText"/>
    <w:rsid w:val="00FE709D"/>
  </w:style>
  <w:style w:type="paragraph" w:styleId="CommentSubject">
    <w:name w:val="annotation subject"/>
    <w:basedOn w:val="CommentText"/>
    <w:next w:val="CommentText"/>
    <w:link w:val="CommentSubjectChar"/>
    <w:rsid w:val="00FE709D"/>
    <w:rPr>
      <w:b/>
      <w:bCs/>
    </w:rPr>
  </w:style>
  <w:style w:type="character" w:customStyle="1" w:styleId="CommentSubjectChar">
    <w:name w:val="Comment Subject Char"/>
    <w:link w:val="CommentSubject"/>
    <w:rsid w:val="00FE709D"/>
    <w:rPr>
      <w:b/>
      <w:bCs/>
    </w:rPr>
  </w:style>
  <w:style w:type="character" w:customStyle="1" w:styleId="FootnoteTextChar">
    <w:name w:val="Footnote Text Char"/>
    <w:aliases w:val="Footnote Text Char2 Char Char,Footnote Text Char Char1 Char Char,Footnote Text Char1 Char Char Char Char,Footnote Text Char Char Char Char Char Char,Footnote Text Char1 Char Char Char Char Char Char Char Char,ft Char,fn Char,Char Char"/>
    <w:basedOn w:val="DefaultParagraphFont"/>
    <w:link w:val="FootnoteText"/>
    <w:rsid w:val="00ED7AAA"/>
    <w:rPr>
      <w:sz w:val="22"/>
    </w:rPr>
  </w:style>
  <w:style w:type="paragraph" w:styleId="ListParagraph">
    <w:name w:val="List Paragraph"/>
    <w:basedOn w:val="Normal"/>
    <w:uiPriority w:val="34"/>
    <w:qFormat/>
    <w:rsid w:val="00660961"/>
    <w:pPr>
      <w:ind w:left="720"/>
      <w:contextualSpacing/>
    </w:pPr>
  </w:style>
  <w:style w:type="paragraph" w:styleId="Revision">
    <w:name w:val="Revision"/>
    <w:hidden/>
    <w:uiPriority w:val="99"/>
    <w:semiHidden/>
    <w:rsid w:val="00FC5072"/>
    <w:rPr>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86D"/>
    <w:rPr>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rsid w:val="00487256"/>
    <w:pPr>
      <w:numPr>
        <w:numId w:val="1"/>
      </w:numPr>
    </w:pPr>
  </w:style>
  <w:style w:type="character" w:styleId="FootnoteReference">
    <w:name w:val="footnote reference"/>
    <w:rsid w:val="00487256"/>
    <w:rPr>
      <w:rFonts w:ascii="Times New Roman" w:hAnsi="Times New Roman"/>
      <w:b/>
      <w:sz w:val="26"/>
      <w:szCs w:val="26"/>
      <w:vertAlign w:val="superscript"/>
    </w:rPr>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 Char,Char,fn1,fn3"/>
    <w:basedOn w:val="Normal"/>
    <w:link w:val="FootnoteTextChar"/>
    <w:qFormat/>
    <w:rsid w:val="00D20E2B"/>
    <w:rPr>
      <w:sz w:val="22"/>
      <w:szCs w:val="20"/>
    </w:rPr>
  </w:style>
  <w:style w:type="paragraph" w:styleId="Header">
    <w:name w:val="header"/>
    <w:basedOn w:val="Normal"/>
    <w:rsid w:val="005E318F"/>
    <w:pPr>
      <w:tabs>
        <w:tab w:val="center" w:pos="4320"/>
        <w:tab w:val="right" w:pos="8640"/>
      </w:tabs>
    </w:pPr>
  </w:style>
  <w:style w:type="character" w:styleId="PageNumber">
    <w:name w:val="page number"/>
    <w:basedOn w:val="DefaultParagraphFont"/>
    <w:rsid w:val="005E318F"/>
  </w:style>
  <w:style w:type="paragraph" w:styleId="Footer">
    <w:name w:val="footer"/>
    <w:basedOn w:val="Normal"/>
    <w:rsid w:val="005E318F"/>
    <w:pPr>
      <w:tabs>
        <w:tab w:val="center" w:pos="4320"/>
        <w:tab w:val="right" w:pos="8640"/>
      </w:tabs>
    </w:pPr>
  </w:style>
  <w:style w:type="character" w:styleId="Hyperlink">
    <w:name w:val="Hyperlink"/>
    <w:rsid w:val="00C56512"/>
    <w:rPr>
      <w:color w:val="0000FF"/>
      <w:u w:val="single"/>
    </w:rPr>
  </w:style>
  <w:style w:type="character" w:styleId="FollowedHyperlink">
    <w:name w:val="FollowedHyperlink"/>
    <w:rsid w:val="00F42509"/>
    <w:rPr>
      <w:color w:val="800080"/>
      <w:u w:val="single"/>
    </w:rPr>
  </w:style>
  <w:style w:type="paragraph" w:styleId="BalloonText">
    <w:name w:val="Balloon Text"/>
    <w:basedOn w:val="Normal"/>
    <w:semiHidden/>
    <w:rsid w:val="00F42509"/>
    <w:rPr>
      <w:rFonts w:ascii="Tahoma" w:hAnsi="Tahoma" w:cs="Tahoma"/>
      <w:sz w:val="16"/>
      <w:szCs w:val="16"/>
    </w:rPr>
  </w:style>
  <w:style w:type="table" w:styleId="TableGrid">
    <w:name w:val="Table Grid"/>
    <w:basedOn w:val="TableNormal"/>
    <w:rsid w:val="00215A1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
    <w:name w:val="List Continue"/>
    <w:basedOn w:val="Normal"/>
    <w:rsid w:val="00DC05D3"/>
    <w:pPr>
      <w:numPr>
        <w:numId w:val="3"/>
      </w:numPr>
      <w:spacing w:after="120" w:line="480" w:lineRule="auto"/>
    </w:pPr>
  </w:style>
  <w:style w:type="paragraph" w:customStyle="1" w:styleId="LegalFormat">
    <w:name w:val="Legal Format"/>
    <w:basedOn w:val="ListContinue"/>
    <w:rsid w:val="00DC05D3"/>
    <w:pPr>
      <w:spacing w:after="0"/>
      <w:ind w:left="0"/>
    </w:pPr>
    <w:rPr>
      <w:u w:val="single"/>
    </w:rPr>
  </w:style>
  <w:style w:type="character" w:styleId="CommentReference">
    <w:name w:val="annotation reference"/>
    <w:rsid w:val="00FE709D"/>
    <w:rPr>
      <w:sz w:val="16"/>
      <w:szCs w:val="16"/>
    </w:rPr>
  </w:style>
  <w:style w:type="paragraph" w:styleId="CommentText">
    <w:name w:val="annotation text"/>
    <w:basedOn w:val="Normal"/>
    <w:link w:val="CommentTextChar"/>
    <w:rsid w:val="00FE709D"/>
    <w:rPr>
      <w:sz w:val="20"/>
      <w:szCs w:val="20"/>
    </w:rPr>
  </w:style>
  <w:style w:type="character" w:customStyle="1" w:styleId="CommentTextChar">
    <w:name w:val="Comment Text Char"/>
    <w:basedOn w:val="DefaultParagraphFont"/>
    <w:link w:val="CommentText"/>
    <w:rsid w:val="00FE709D"/>
  </w:style>
  <w:style w:type="paragraph" w:styleId="CommentSubject">
    <w:name w:val="annotation subject"/>
    <w:basedOn w:val="CommentText"/>
    <w:next w:val="CommentText"/>
    <w:link w:val="CommentSubjectChar"/>
    <w:rsid w:val="00FE709D"/>
    <w:rPr>
      <w:b/>
      <w:bCs/>
    </w:rPr>
  </w:style>
  <w:style w:type="character" w:customStyle="1" w:styleId="CommentSubjectChar">
    <w:name w:val="Comment Subject Char"/>
    <w:link w:val="CommentSubject"/>
    <w:rsid w:val="00FE709D"/>
    <w:rPr>
      <w:b/>
      <w:bCs/>
    </w:rPr>
  </w:style>
  <w:style w:type="character" w:customStyle="1" w:styleId="FootnoteTextChar">
    <w:name w:val="Footnote Text Char"/>
    <w:aliases w:val="Footnote Text Char2 Char Char,Footnote Text Char Char1 Char Char,Footnote Text Char1 Char Char Char Char,Footnote Text Char Char Char Char Char Char,Footnote Text Char1 Char Char Char Char Char Char Char Char,ft Char,fn Char,Char Char"/>
    <w:basedOn w:val="DefaultParagraphFont"/>
    <w:link w:val="FootnoteText"/>
    <w:rsid w:val="00ED7AAA"/>
    <w:rPr>
      <w:sz w:val="22"/>
    </w:rPr>
  </w:style>
  <w:style w:type="paragraph" w:styleId="ListParagraph">
    <w:name w:val="List Paragraph"/>
    <w:basedOn w:val="Normal"/>
    <w:uiPriority w:val="34"/>
    <w:qFormat/>
    <w:rsid w:val="00660961"/>
    <w:pPr>
      <w:ind w:left="720"/>
      <w:contextualSpacing/>
    </w:pPr>
  </w:style>
  <w:style w:type="paragraph" w:styleId="Revision">
    <w:name w:val="Revision"/>
    <w:hidden/>
    <w:uiPriority w:val="99"/>
    <w:semiHidden/>
    <w:rsid w:val="00FC5072"/>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437088">
      <w:bodyDiv w:val="1"/>
      <w:marLeft w:val="0"/>
      <w:marRight w:val="0"/>
      <w:marTop w:val="0"/>
      <w:marBottom w:val="0"/>
      <w:divBdr>
        <w:top w:val="none" w:sz="0" w:space="0" w:color="auto"/>
        <w:left w:val="none" w:sz="0" w:space="0" w:color="auto"/>
        <w:bottom w:val="none" w:sz="0" w:space="0" w:color="auto"/>
        <w:right w:val="none" w:sz="0" w:space="0" w:color="auto"/>
      </w:divBdr>
    </w:div>
    <w:div w:id="651183727">
      <w:bodyDiv w:val="1"/>
      <w:marLeft w:val="0"/>
      <w:marRight w:val="0"/>
      <w:marTop w:val="0"/>
      <w:marBottom w:val="0"/>
      <w:divBdr>
        <w:top w:val="none" w:sz="0" w:space="0" w:color="auto"/>
        <w:left w:val="none" w:sz="0" w:space="0" w:color="auto"/>
        <w:bottom w:val="none" w:sz="0" w:space="0" w:color="auto"/>
        <w:right w:val="none" w:sz="0" w:space="0" w:color="auto"/>
      </w:divBdr>
    </w:div>
    <w:div w:id="894897693">
      <w:bodyDiv w:val="1"/>
      <w:marLeft w:val="0"/>
      <w:marRight w:val="0"/>
      <w:marTop w:val="0"/>
      <w:marBottom w:val="0"/>
      <w:divBdr>
        <w:top w:val="none" w:sz="0" w:space="0" w:color="auto"/>
        <w:left w:val="none" w:sz="0" w:space="0" w:color="auto"/>
        <w:bottom w:val="none" w:sz="0" w:space="0" w:color="auto"/>
        <w:right w:val="none" w:sz="0" w:space="0" w:color="auto"/>
      </w:divBdr>
    </w:div>
    <w:div w:id="1499534438">
      <w:bodyDiv w:val="1"/>
      <w:marLeft w:val="0"/>
      <w:marRight w:val="0"/>
      <w:marTop w:val="0"/>
      <w:marBottom w:val="0"/>
      <w:divBdr>
        <w:top w:val="none" w:sz="0" w:space="0" w:color="auto"/>
        <w:left w:val="none" w:sz="0" w:space="0" w:color="auto"/>
        <w:bottom w:val="none" w:sz="0" w:space="0" w:color="auto"/>
        <w:right w:val="none" w:sz="0" w:space="0" w:color="auto"/>
      </w:divBdr>
    </w:div>
    <w:div w:id="1589923453">
      <w:bodyDiv w:val="1"/>
      <w:marLeft w:val="0"/>
      <w:marRight w:val="0"/>
      <w:marTop w:val="0"/>
      <w:marBottom w:val="0"/>
      <w:divBdr>
        <w:top w:val="none" w:sz="0" w:space="0" w:color="auto"/>
        <w:left w:val="none" w:sz="0" w:space="0" w:color="auto"/>
        <w:bottom w:val="none" w:sz="0" w:space="0" w:color="auto"/>
        <w:right w:val="none" w:sz="0" w:space="0" w:color="auto"/>
      </w:divBdr>
    </w:div>
    <w:div w:id="1783376280">
      <w:bodyDiv w:val="1"/>
      <w:marLeft w:val="0"/>
      <w:marRight w:val="0"/>
      <w:marTop w:val="0"/>
      <w:marBottom w:val="0"/>
      <w:divBdr>
        <w:top w:val="none" w:sz="0" w:space="0" w:color="auto"/>
        <w:left w:val="none" w:sz="0" w:space="0" w:color="auto"/>
        <w:bottom w:val="none" w:sz="0" w:space="0" w:color="auto"/>
        <w:right w:val="none" w:sz="0" w:space="0" w:color="auto"/>
      </w:divBdr>
    </w:div>
    <w:div w:id="182878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ferc.gov/docs-filing/efiling.asp"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ataClearance@FERC.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ferc.gov/docs-filing/docs-filing.as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erc.gov/help/submission-guide.asp"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www.bls.gov/news.release/ecec.nr0.htm" TargetMode="External"/><Relationship Id="rId1" Type="http://schemas.openxmlformats.org/officeDocument/2006/relationships/hyperlink" Target="http://www.bls.gov/oes/current/naics2_2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4a4cd09-5f17-433b-814a-38e7e9115d16"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D96B0-4C5B-4AAD-A8C1-80F8CD968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9B43F1-6C62-4D84-B95E-29E7D9F29019}">
  <ds:schemaRefs>
    <ds:schemaRef ds:uri="http://schemas.microsoft.com/sharepoint/v3/contenttype/forms"/>
  </ds:schemaRefs>
</ds:datastoreItem>
</file>

<file path=customXml/itemProps3.xml><?xml version="1.0" encoding="utf-8"?>
<ds:datastoreItem xmlns:ds="http://schemas.openxmlformats.org/officeDocument/2006/customXml" ds:itemID="{DFD2D9A5-875E-4120-8093-C7C721DC2B16}">
  <ds:schemaRefs>
    <ds:schemaRef ds:uri="Microsoft.SharePoint.Taxonomy.ContentTypeSync"/>
  </ds:schemaRefs>
</ds:datastoreItem>
</file>

<file path=customXml/itemProps4.xml><?xml version="1.0" encoding="utf-8"?>
<ds:datastoreItem xmlns:ds="http://schemas.openxmlformats.org/officeDocument/2006/customXml" ds:itemID="{5FA25B6D-8E53-4A32-B2D4-B8BEF26B3A24}">
  <ds:schemaRefs>
    <ds:schemaRef ds:uri="http://purl.org/dc/terms/"/>
    <ds:schemaRef ds:uri="http://schemas.openxmlformats.org/package/2006/metadata/core-properties"/>
    <ds:schemaRef ds:uri="http://schemas.microsoft.com/office/2006/documentManagement/types"/>
    <ds:schemaRef ds:uri="5e8733a2-e908-454b-85cf-c9d17e1d094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3822C610-65B4-46ED-975B-54DE804EB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6175</CharactersWithSpaces>
  <SharedDoc>false</SharedDoc>
  <HyperlinkBase/>
  <HLinks>
    <vt:vector size="24" baseType="variant">
      <vt:variant>
        <vt:i4>5767268</vt:i4>
      </vt:variant>
      <vt:variant>
        <vt:i4>9</vt:i4>
      </vt:variant>
      <vt:variant>
        <vt:i4>0</vt:i4>
      </vt:variant>
      <vt:variant>
        <vt:i4>5</vt:i4>
      </vt:variant>
      <vt:variant>
        <vt:lpwstr>mailto:DataClearance@FERC.gov</vt:lpwstr>
      </vt:variant>
      <vt:variant>
        <vt:lpwstr/>
      </vt:variant>
      <vt:variant>
        <vt:i4>2293798</vt:i4>
      </vt:variant>
      <vt:variant>
        <vt:i4>6</vt:i4>
      </vt:variant>
      <vt:variant>
        <vt:i4>0</vt:i4>
      </vt:variant>
      <vt:variant>
        <vt:i4>5</vt:i4>
      </vt:variant>
      <vt:variant>
        <vt:lpwstr>http://www.ferc.gov/docs-filing/docs-filing.asp</vt:lpwstr>
      </vt:variant>
      <vt:variant>
        <vt:lpwstr/>
      </vt:variant>
      <vt:variant>
        <vt:i4>4259850</vt:i4>
      </vt:variant>
      <vt:variant>
        <vt:i4>3</vt:i4>
      </vt:variant>
      <vt:variant>
        <vt:i4>0</vt:i4>
      </vt:variant>
      <vt:variant>
        <vt:i4>5</vt:i4>
      </vt:variant>
      <vt:variant>
        <vt:lpwstr>http://www.ferc.gov/help/submission-guide.asp</vt:lpwstr>
      </vt:variant>
      <vt:variant>
        <vt:lpwstr/>
      </vt:variant>
      <vt:variant>
        <vt:i4>4128873</vt:i4>
      </vt:variant>
      <vt:variant>
        <vt:i4>0</vt:i4>
      </vt:variant>
      <vt:variant>
        <vt:i4>0</vt:i4>
      </vt:variant>
      <vt:variant>
        <vt:i4>5</vt:i4>
      </vt:variant>
      <vt:variant>
        <vt:lpwstr>http://www.ferc.gov/docs-filing/efiling.asp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May</dc:creator>
  <cp:keywords/>
  <dc:description/>
  <cp:lastModifiedBy>SYSTEM</cp:lastModifiedBy>
  <cp:revision>2</cp:revision>
  <cp:lastPrinted>2019-02-26T20:14:00Z</cp:lastPrinted>
  <dcterms:created xsi:type="dcterms:W3CDTF">2019-09-20T18:50:00Z</dcterms:created>
  <dcterms:modified xsi:type="dcterms:W3CDTF">2019-09-20T18:50:00Z</dcterms:modified>
  <cp:category/>
  <dc:identifier/>
  <cp:contentStatus/>
  <cp:version/>
</cp:coreProperties>
</file>