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24888" w14:textId="30355336" w:rsidR="00187C4F" w:rsidRDefault="00187C4F" w:rsidP="005E7829">
      <w:pPr>
        <w:tabs>
          <w:tab w:val="center" w:pos="4680"/>
        </w:tabs>
        <w:jc w:val="center"/>
        <w:rPr>
          <w:b/>
        </w:rPr>
      </w:pPr>
      <w:bookmarkStart w:id="0" w:name="_GoBack"/>
      <w:bookmarkEnd w:id="0"/>
      <w:r>
        <w:rPr>
          <w:b/>
        </w:rPr>
        <w:t>U.S. Department of Energy</w:t>
      </w:r>
    </w:p>
    <w:p w14:paraId="7EA86C1B" w14:textId="77777777" w:rsidR="005E7829" w:rsidRDefault="007C4762" w:rsidP="005E7829">
      <w:pPr>
        <w:tabs>
          <w:tab w:val="center" w:pos="4680"/>
        </w:tabs>
        <w:jc w:val="center"/>
        <w:rPr>
          <w:b/>
        </w:rPr>
      </w:pPr>
      <w:r>
        <w:rPr>
          <w:b/>
        </w:rPr>
        <w:t>Supporting Statement:</w:t>
      </w:r>
    </w:p>
    <w:p w14:paraId="1E48337C" w14:textId="77777777" w:rsidR="008D0464" w:rsidRDefault="007C4762" w:rsidP="005E7829">
      <w:pPr>
        <w:tabs>
          <w:tab w:val="center" w:pos="4680"/>
        </w:tabs>
        <w:jc w:val="center"/>
        <w:rPr>
          <w:b/>
        </w:rPr>
      </w:pPr>
      <w:r>
        <w:rPr>
          <w:b/>
        </w:rPr>
        <w:t>Technology Partnership</w:t>
      </w:r>
      <w:r w:rsidR="0051136B">
        <w:rPr>
          <w:b/>
        </w:rPr>
        <w:t>s Ombudsman</w:t>
      </w:r>
      <w:r>
        <w:rPr>
          <w:b/>
        </w:rPr>
        <w:t xml:space="preserve"> Reporting Requirements</w:t>
      </w:r>
    </w:p>
    <w:p w14:paraId="52EBD045" w14:textId="77777777" w:rsidR="007C4762" w:rsidRDefault="007C4762" w:rsidP="005E7829">
      <w:pPr>
        <w:tabs>
          <w:tab w:val="center" w:pos="4680"/>
        </w:tabs>
        <w:jc w:val="center"/>
      </w:pPr>
      <w:r>
        <w:rPr>
          <w:b/>
        </w:rPr>
        <w:t>OMB Control Number 1910-5118</w:t>
      </w:r>
    </w:p>
    <w:p w14:paraId="3BA1D80F" w14:textId="77777777" w:rsidR="008D0464" w:rsidRDefault="008D0464"/>
    <w:p w14:paraId="4AEA8DFE" w14:textId="77777777" w:rsidR="008D0464" w:rsidRDefault="008D0464"/>
    <w:p w14:paraId="23561B3F" w14:textId="77777777" w:rsidR="008D0464" w:rsidRDefault="008D0464">
      <w:pPr>
        <w:rPr>
          <w:bCs/>
        </w:rPr>
      </w:pPr>
      <w:r w:rsidRPr="007C4762">
        <w:rPr>
          <w:bCs/>
        </w:rPr>
        <w:t xml:space="preserve">This supporting statement provides </w:t>
      </w:r>
      <w:r w:rsidR="007C4762">
        <w:rPr>
          <w:bCs/>
        </w:rPr>
        <w:t xml:space="preserve">additional </w:t>
      </w:r>
      <w:r w:rsidRPr="007C4762">
        <w:rPr>
          <w:bCs/>
        </w:rPr>
        <w:t xml:space="preserve">information regarding the Department of Energy (DOE) </w:t>
      </w:r>
      <w:r w:rsidR="007C4762">
        <w:rPr>
          <w:bCs/>
        </w:rPr>
        <w:t>request for processing of the proposed information collection, Technology Partnership</w:t>
      </w:r>
      <w:r w:rsidR="00745F5C">
        <w:rPr>
          <w:bCs/>
        </w:rPr>
        <w:t>s</w:t>
      </w:r>
      <w:r w:rsidR="0051136B">
        <w:rPr>
          <w:bCs/>
        </w:rPr>
        <w:t xml:space="preserve"> Ombudsman</w:t>
      </w:r>
      <w:r w:rsidR="007C4762">
        <w:rPr>
          <w:bCs/>
        </w:rPr>
        <w:t xml:space="preserve"> Reporting Requirements.  The numbered questions correspond to the order shown on the Office of Management and Budget (OMB) Form 83-I, “Instructions for Completing OMB Form 83-I.”</w:t>
      </w:r>
    </w:p>
    <w:p w14:paraId="39600EC9" w14:textId="77777777" w:rsidR="007C4762" w:rsidRPr="007C4762" w:rsidRDefault="007C4762"/>
    <w:p w14:paraId="35241920" w14:textId="77777777" w:rsidR="008D0464" w:rsidRPr="007C4762" w:rsidRDefault="008D0464">
      <w:pPr>
        <w:tabs>
          <w:tab w:val="left" w:pos="-1440"/>
        </w:tabs>
        <w:ind w:left="720" w:hanging="720"/>
        <w:rPr>
          <w:u w:val="single"/>
        </w:rPr>
      </w:pPr>
      <w:r>
        <w:rPr>
          <w:b/>
          <w:bCs/>
        </w:rPr>
        <w:t>A.</w:t>
      </w:r>
      <w:r>
        <w:rPr>
          <w:b/>
          <w:bCs/>
        </w:rPr>
        <w:tab/>
      </w:r>
      <w:r w:rsidRPr="007C4762">
        <w:rPr>
          <w:b/>
          <w:bCs/>
          <w:u w:val="single"/>
        </w:rPr>
        <w:t>JUSTIFICATION</w:t>
      </w:r>
    </w:p>
    <w:p w14:paraId="44E4ADE0" w14:textId="77777777" w:rsidR="008D0464" w:rsidRPr="007C4762" w:rsidRDefault="008D0464">
      <w:pPr>
        <w:rPr>
          <w:u w:val="single"/>
        </w:rPr>
      </w:pPr>
    </w:p>
    <w:p w14:paraId="13EF4EA2" w14:textId="77777777" w:rsidR="008D0464" w:rsidRPr="007C4762" w:rsidRDefault="008D0464">
      <w:pPr>
        <w:tabs>
          <w:tab w:val="left" w:pos="-1440"/>
        </w:tabs>
        <w:ind w:left="720" w:hanging="720"/>
        <w:rPr>
          <w:u w:val="single"/>
        </w:rPr>
      </w:pPr>
      <w:r>
        <w:rPr>
          <w:b/>
          <w:bCs/>
        </w:rPr>
        <w:t>1.</w:t>
      </w:r>
      <w:r>
        <w:rPr>
          <w:b/>
          <w:bCs/>
        </w:rPr>
        <w:tab/>
      </w:r>
      <w:r w:rsidRPr="007C4762">
        <w:rPr>
          <w:b/>
          <w:bCs/>
          <w:u w:val="singl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5EA851AD" w14:textId="77777777" w:rsidR="008D0464" w:rsidRPr="007C4762" w:rsidRDefault="008D0464">
      <w:pPr>
        <w:rPr>
          <w:u w:val="single"/>
        </w:rPr>
      </w:pPr>
    </w:p>
    <w:p w14:paraId="7A5235DB" w14:textId="3BBE57DB" w:rsidR="008D0464" w:rsidRDefault="008D0464">
      <w:pPr>
        <w:ind w:left="720"/>
      </w:pPr>
      <w:r>
        <w:t>Public Law</w:t>
      </w:r>
      <w:r w:rsidR="00A62360">
        <w:t xml:space="preserve"> (PL) </w:t>
      </w:r>
      <w:r>
        <w:t xml:space="preserve">106-404, requires that the Secretary of Energy direct each DOE </w:t>
      </w:r>
      <w:r w:rsidR="00250960">
        <w:t>n</w:t>
      </w:r>
      <w:r>
        <w:t xml:space="preserve">ational </w:t>
      </w:r>
      <w:r w:rsidR="00250960">
        <w:t>l</w:t>
      </w:r>
      <w:r>
        <w:t>aboratory</w:t>
      </w:r>
      <w:r w:rsidR="009B72B5">
        <w:t xml:space="preserve"> </w:t>
      </w:r>
      <w:r>
        <w:t>to appoint a Technology Transfer Ombudsman</w:t>
      </w:r>
      <w:r w:rsidR="00770BDB">
        <w:t xml:space="preserve"> (Ombudsman)</w:t>
      </w:r>
      <w:r>
        <w:t xml:space="preserve"> to hear and help resolve complaints from outside organizations regarding the policies and actions of each laboratory with respect to technology tr</w:t>
      </w:r>
      <w:r w:rsidR="00770BDB">
        <w:t>ansfer partnerships, including c</w:t>
      </w:r>
      <w:r>
        <w:t xml:space="preserve">ooperative </w:t>
      </w:r>
      <w:r w:rsidR="00770BDB">
        <w:t>r</w:t>
      </w:r>
      <w:r>
        <w:t xml:space="preserve">esearch and </w:t>
      </w:r>
      <w:r w:rsidR="00770BDB">
        <w:t>d</w:t>
      </w:r>
      <w:r>
        <w:t xml:space="preserve">evelopment </w:t>
      </w:r>
      <w:r w:rsidR="00770BDB">
        <w:t>a</w:t>
      </w:r>
      <w:r>
        <w:t>greements, patents, and technology licensing.  These Ombudsmen are required to report quarterly on the number and nature of complaints and disputes raised, along with the Ombudsman’s assessment of their resolution</w:t>
      </w:r>
      <w:r w:rsidR="000B2F01">
        <w:t>, consistent with the protection of confidential and sensitive information</w:t>
      </w:r>
      <w:r>
        <w:t>.</w:t>
      </w:r>
    </w:p>
    <w:p w14:paraId="3EE914DC" w14:textId="77777777" w:rsidR="008D0464" w:rsidRDefault="008D0464"/>
    <w:p w14:paraId="0ED210F8" w14:textId="77777777" w:rsidR="008D0464" w:rsidRDefault="008D0464"/>
    <w:p w14:paraId="2BE1B3CA" w14:textId="77777777" w:rsidR="008D0464" w:rsidRPr="007C4762" w:rsidRDefault="008D0464">
      <w:pPr>
        <w:tabs>
          <w:tab w:val="left" w:pos="-1440"/>
        </w:tabs>
        <w:ind w:left="720" w:hanging="720"/>
        <w:rPr>
          <w:u w:val="single"/>
        </w:rPr>
      </w:pPr>
      <w:r>
        <w:rPr>
          <w:b/>
          <w:bCs/>
        </w:rPr>
        <w:t>2.</w:t>
      </w:r>
      <w:r>
        <w:rPr>
          <w:b/>
          <w:bCs/>
        </w:rPr>
        <w:tab/>
      </w:r>
      <w:r w:rsidRPr="007C4762">
        <w:rPr>
          <w:b/>
          <w:bCs/>
          <w:u w:val="single"/>
        </w:rPr>
        <w:t>Indicate how, by whom, and for what purpose the information is to be used.  Except for a new collection, indicate the actual use the agency has made of the information received from the current collection.</w:t>
      </w:r>
    </w:p>
    <w:p w14:paraId="0CBB20FB" w14:textId="77777777" w:rsidR="008D0464" w:rsidRPr="007C4762" w:rsidRDefault="008D0464">
      <w:pPr>
        <w:rPr>
          <w:u w:val="single"/>
        </w:rPr>
      </w:pPr>
    </w:p>
    <w:p w14:paraId="01ECF370" w14:textId="41451580" w:rsidR="008D0464" w:rsidRPr="00F27EB3" w:rsidRDefault="008D0464">
      <w:pPr>
        <w:ind w:left="720"/>
      </w:pPr>
      <w:r>
        <w:t>T</w:t>
      </w:r>
      <w:r w:rsidRPr="00F27EB3">
        <w:t xml:space="preserve">he reports </w:t>
      </w:r>
      <w:r w:rsidR="002245D9" w:rsidRPr="00F27EB3">
        <w:t xml:space="preserve">received from DOE’s </w:t>
      </w:r>
      <w:r w:rsidR="00250960">
        <w:t>n</w:t>
      </w:r>
      <w:r w:rsidR="002245D9" w:rsidRPr="00F27EB3">
        <w:t xml:space="preserve">ational </w:t>
      </w:r>
      <w:r w:rsidR="00250960">
        <w:t>l</w:t>
      </w:r>
      <w:r w:rsidR="002245D9" w:rsidRPr="00F27EB3">
        <w:t>aborator</w:t>
      </w:r>
      <w:r w:rsidR="009B72B5">
        <w:t xml:space="preserve">ies </w:t>
      </w:r>
      <w:r w:rsidRPr="00F27EB3">
        <w:t xml:space="preserve">are submitted to the Director of the Office of </w:t>
      </w:r>
      <w:r w:rsidR="00DE6771">
        <w:t>Alternative Dispute</w:t>
      </w:r>
      <w:r w:rsidR="00745F5C" w:rsidRPr="00F27EB3">
        <w:t xml:space="preserve"> </w:t>
      </w:r>
      <w:r w:rsidRPr="00F27EB3">
        <w:t>Resolution</w:t>
      </w:r>
      <w:r w:rsidR="00DE6771">
        <w:t xml:space="preserve"> (ADR)</w:t>
      </w:r>
      <w:r w:rsidRPr="00F27EB3">
        <w:t xml:space="preserve"> in DOE headquarters</w:t>
      </w:r>
      <w:r w:rsidR="00770BDB">
        <w:t>, who acts as a resource to assist Ombudsm</w:t>
      </w:r>
      <w:r w:rsidR="000A2AC0">
        <w:t>e</w:t>
      </w:r>
      <w:r w:rsidR="00770BDB">
        <w:t>n in providing alternative dispute resolution services</w:t>
      </w:r>
      <w:r w:rsidRPr="00F27EB3">
        <w:t>.</w:t>
      </w:r>
    </w:p>
    <w:p w14:paraId="7A43B047" w14:textId="77777777" w:rsidR="008D0464" w:rsidRPr="00F27EB3" w:rsidRDefault="008D0464"/>
    <w:p w14:paraId="11CE9486" w14:textId="1B4D07C8" w:rsidR="008D0464" w:rsidRDefault="008D0464">
      <w:pPr>
        <w:ind w:left="720"/>
      </w:pPr>
      <w:r w:rsidRPr="00F27EB3">
        <w:t>The</w:t>
      </w:r>
      <w:r w:rsidR="00C14F28" w:rsidRPr="00F27EB3">
        <w:t xml:space="preserve"> reports</w:t>
      </w:r>
      <w:r w:rsidRPr="00F27EB3">
        <w:t xml:space="preserve"> are to be submitted electronically, on a quarterly basis.  The information is</w:t>
      </w:r>
      <w:r w:rsidR="00770BDB">
        <w:t xml:space="preserve"> </w:t>
      </w:r>
      <w:r w:rsidRPr="00F27EB3">
        <w:t>used to determine whether the Ombudsmen are prope</w:t>
      </w:r>
      <w:r>
        <w:t>rly hearing and helping to resolve complaints from outside organizations regarding laboratory policies and actions with respect to technology partnerships.</w:t>
      </w:r>
    </w:p>
    <w:p w14:paraId="3D24A57B" w14:textId="77777777" w:rsidR="008D0464" w:rsidRDefault="008D0464"/>
    <w:p w14:paraId="41ED407E" w14:textId="77777777" w:rsidR="008D0464" w:rsidRPr="002245D9" w:rsidRDefault="008D0464">
      <w:pPr>
        <w:rPr>
          <w:specVanish/>
        </w:rPr>
      </w:pPr>
    </w:p>
    <w:p w14:paraId="45CFEF53" w14:textId="77777777" w:rsidR="007C4762" w:rsidRPr="0021768E" w:rsidRDefault="007C4762" w:rsidP="007C4762">
      <w:pPr>
        <w:numPr>
          <w:ilvl w:val="0"/>
          <w:numId w:val="1"/>
        </w:numPr>
        <w:tabs>
          <w:tab w:val="left" w:pos="-1440"/>
        </w:tabs>
        <w:rPr>
          <w:b/>
          <w:bCs/>
          <w:u w:val="single"/>
        </w:rPr>
      </w:pPr>
      <w:r>
        <w:rPr>
          <w:b/>
          <w:bCs/>
        </w:rPr>
        <w:t xml:space="preserve"> </w:t>
      </w:r>
      <w:r w:rsidR="008D0464" w:rsidRPr="0021768E">
        <w:rPr>
          <w:b/>
          <w:bCs/>
          <w:u w:val="single"/>
        </w:rPr>
        <w:t>Describe whether, and to what extent, the collection of information involves the use</w:t>
      </w:r>
      <w:r w:rsidR="008D0464">
        <w:rPr>
          <w:b/>
          <w:bCs/>
        </w:rPr>
        <w:t xml:space="preserve"> </w:t>
      </w:r>
      <w:r w:rsidR="008D0464" w:rsidRPr="0021768E">
        <w:rPr>
          <w:b/>
          <w:bCs/>
          <w:u w:val="single"/>
        </w:rPr>
        <w:lastRenderedPageBreak/>
        <w:t xml:space="preserve">of automated, electronic, mechanical, or other technological collection techniques or </w:t>
      </w:r>
    </w:p>
    <w:p w14:paraId="551D1CEA" w14:textId="77777777" w:rsidR="008D0464" w:rsidRPr="0021768E" w:rsidRDefault="008D0464" w:rsidP="007C4762">
      <w:pPr>
        <w:tabs>
          <w:tab w:val="left" w:pos="-1440"/>
        </w:tabs>
        <w:ind w:left="720"/>
        <w:rPr>
          <w:b/>
          <w:bCs/>
          <w:u w:val="single"/>
        </w:rPr>
      </w:pPr>
      <w:r w:rsidRPr="0021768E">
        <w:rPr>
          <w:b/>
          <w:bCs/>
          <w:u w:val="single"/>
        </w:rPr>
        <w:t>other forms of information technology, e.g., permitting electronic submission of responses</w:t>
      </w:r>
      <w:r w:rsidR="007C4762" w:rsidRPr="0021768E">
        <w:rPr>
          <w:b/>
          <w:bCs/>
          <w:u w:val="single"/>
        </w:rPr>
        <w:t>.</w:t>
      </w:r>
    </w:p>
    <w:p w14:paraId="58EB2E13" w14:textId="77777777" w:rsidR="007C4762" w:rsidRDefault="007C4762" w:rsidP="007C4762">
      <w:pPr>
        <w:tabs>
          <w:tab w:val="left" w:pos="-1440"/>
        </w:tabs>
        <w:ind w:left="360"/>
      </w:pPr>
    </w:p>
    <w:p w14:paraId="51536C6A" w14:textId="090C5674" w:rsidR="008D0464" w:rsidRDefault="008D0464">
      <w:pPr>
        <w:ind w:left="720"/>
      </w:pPr>
      <w:r>
        <w:t xml:space="preserve">The information is submitted </w:t>
      </w:r>
      <w:r w:rsidR="00871CAA">
        <w:t xml:space="preserve">via </w:t>
      </w:r>
      <w:r w:rsidR="00866692">
        <w:t>e-mail</w:t>
      </w:r>
      <w:r>
        <w:t xml:space="preserve"> to DOE’s </w:t>
      </w:r>
      <w:r w:rsidR="003D129C">
        <w:t xml:space="preserve">ADR </w:t>
      </w:r>
      <w:r>
        <w:t xml:space="preserve">Office, which is part of the Office of </w:t>
      </w:r>
      <w:r w:rsidR="009B72B5">
        <w:t>Hearings and Appeals</w:t>
      </w:r>
      <w:r>
        <w:t>.  This office maintains a</w:t>
      </w:r>
      <w:r w:rsidR="005116C2">
        <w:t xml:space="preserve"> record</w:t>
      </w:r>
      <w:r>
        <w:t xml:space="preserve"> of </w:t>
      </w:r>
      <w:r w:rsidR="003D129C">
        <w:t>the number of</w:t>
      </w:r>
      <w:r>
        <w:t xml:space="preserve"> complaints which have been raised, and distributes the information to the </w:t>
      </w:r>
      <w:r w:rsidR="00F55C6F">
        <w:t xml:space="preserve">DOE </w:t>
      </w:r>
      <w:r w:rsidR="005116C2">
        <w:t>Technology Transfer Coordinator.</w:t>
      </w:r>
    </w:p>
    <w:p w14:paraId="0872EC5D" w14:textId="77777777" w:rsidR="008D0464" w:rsidRDefault="008D0464"/>
    <w:p w14:paraId="3BE254B2" w14:textId="77777777" w:rsidR="008D0464" w:rsidRDefault="008D0464"/>
    <w:p w14:paraId="74D8113E" w14:textId="77777777" w:rsidR="008D0464" w:rsidRDefault="008D0464">
      <w:pPr>
        <w:tabs>
          <w:tab w:val="left" w:pos="-1440"/>
        </w:tabs>
        <w:ind w:left="720" w:hanging="720"/>
      </w:pPr>
      <w:r>
        <w:rPr>
          <w:b/>
          <w:bCs/>
        </w:rPr>
        <w:t>4.</w:t>
      </w:r>
      <w:r>
        <w:rPr>
          <w:b/>
          <w:bCs/>
        </w:rPr>
        <w:tab/>
      </w:r>
      <w:r w:rsidRPr="0021768E">
        <w:rPr>
          <w:b/>
          <w:bCs/>
          <w:u w:val="single"/>
        </w:rPr>
        <w:t>Describe efforts to identify duplication.</w:t>
      </w:r>
      <w:r>
        <w:rPr>
          <w:b/>
          <w:bCs/>
        </w:rPr>
        <w:t xml:space="preserve">  </w:t>
      </w:r>
    </w:p>
    <w:p w14:paraId="201A7CE6" w14:textId="77777777" w:rsidR="008D0464" w:rsidRDefault="008D0464"/>
    <w:p w14:paraId="33364352" w14:textId="26BFF6CB" w:rsidR="008D0464" w:rsidRDefault="008D0464">
      <w:pPr>
        <w:ind w:left="720"/>
      </w:pPr>
      <w:r>
        <w:t xml:space="preserve">There is no duplication of reporting requirements because the only DOE contact for the </w:t>
      </w:r>
      <w:r w:rsidR="00B57E7C">
        <w:t>n</w:t>
      </w:r>
      <w:r w:rsidR="005116C2">
        <w:t xml:space="preserve">ational </w:t>
      </w:r>
      <w:r w:rsidR="00B57E7C">
        <w:t>l</w:t>
      </w:r>
      <w:r>
        <w:t xml:space="preserve">aboratories is the </w:t>
      </w:r>
      <w:r w:rsidR="003D129C">
        <w:t>ADR Office</w:t>
      </w:r>
      <w:r>
        <w:t>.  This Office will provide</w:t>
      </w:r>
      <w:r w:rsidR="00770BDB">
        <w:t xml:space="preserve"> the</w:t>
      </w:r>
      <w:r>
        <w:t xml:space="preserve"> information to the other offices within DOE</w:t>
      </w:r>
      <w:r w:rsidR="002245D9">
        <w:t>.</w:t>
      </w:r>
      <w:r>
        <w:t xml:space="preserve">  The information to be collected is not available from any other source.  It is a DOE-specific requirement which was imposed by </w:t>
      </w:r>
      <w:r w:rsidR="00841583">
        <w:t>PL</w:t>
      </w:r>
      <w:r>
        <w:t xml:space="preserve"> 106-404.  The same law also required the </w:t>
      </w:r>
      <w:r w:rsidR="00250960">
        <w:t>n</w:t>
      </w:r>
      <w:r w:rsidR="005116C2">
        <w:t xml:space="preserve">ational </w:t>
      </w:r>
      <w:r w:rsidR="00250960">
        <w:t>l</w:t>
      </w:r>
      <w:r>
        <w:t>aboratories to create the position of Ombudsman.  Thus, there is no preexisting information gathering process that could be utilized.</w:t>
      </w:r>
    </w:p>
    <w:p w14:paraId="43C16A5E" w14:textId="77777777" w:rsidR="008D0464" w:rsidRDefault="008D0464"/>
    <w:p w14:paraId="6E1A8039" w14:textId="77777777" w:rsidR="008D0464" w:rsidRDefault="008D0464"/>
    <w:p w14:paraId="09B5F004" w14:textId="77777777" w:rsidR="008D0464" w:rsidRDefault="008D0464">
      <w:pPr>
        <w:tabs>
          <w:tab w:val="left" w:pos="-1440"/>
        </w:tabs>
        <w:ind w:left="720" w:hanging="720"/>
      </w:pPr>
      <w:r>
        <w:rPr>
          <w:b/>
          <w:bCs/>
        </w:rPr>
        <w:t>5.</w:t>
      </w:r>
      <w:r>
        <w:rPr>
          <w:b/>
          <w:bCs/>
        </w:rPr>
        <w:tab/>
      </w:r>
      <w:r w:rsidRPr="0021768E">
        <w:rPr>
          <w:b/>
          <w:bCs/>
          <w:u w:val="single"/>
        </w:rPr>
        <w:t>If the collection of information impacts small bus</w:t>
      </w:r>
      <w:r w:rsidR="007C4762" w:rsidRPr="0021768E">
        <w:rPr>
          <w:b/>
          <w:bCs/>
          <w:u w:val="single"/>
        </w:rPr>
        <w:t>inesses or other small entities</w:t>
      </w:r>
      <w:r w:rsidRPr="0021768E">
        <w:rPr>
          <w:b/>
          <w:bCs/>
          <w:u w:val="single"/>
        </w:rPr>
        <w:t>, describe any methods used to minimize burden.</w:t>
      </w:r>
    </w:p>
    <w:p w14:paraId="23C56CBF" w14:textId="77777777" w:rsidR="008D0464" w:rsidRDefault="008D0464"/>
    <w:p w14:paraId="67E9A411" w14:textId="77777777" w:rsidR="008D0464" w:rsidRDefault="00770BDB">
      <w:pPr>
        <w:ind w:left="720"/>
      </w:pPr>
      <w:r>
        <w:t>None of the contractors operating national laboratories are small businesses, and therefore the collection of information has no impact on small businesses.</w:t>
      </w:r>
      <w:r w:rsidR="008D0464">
        <w:t xml:space="preserve"> </w:t>
      </w:r>
    </w:p>
    <w:p w14:paraId="0948015D" w14:textId="77777777" w:rsidR="008D0464" w:rsidRDefault="008D0464"/>
    <w:p w14:paraId="2A68F074" w14:textId="77777777" w:rsidR="008D0464" w:rsidRDefault="008D0464"/>
    <w:p w14:paraId="16DD574D" w14:textId="77777777" w:rsidR="008D0464" w:rsidRDefault="008D0464">
      <w:pPr>
        <w:tabs>
          <w:tab w:val="left" w:pos="-1440"/>
        </w:tabs>
        <w:ind w:left="720" w:hanging="720"/>
      </w:pPr>
      <w:r>
        <w:rPr>
          <w:b/>
          <w:bCs/>
        </w:rPr>
        <w:t>6.</w:t>
      </w:r>
      <w:r>
        <w:rPr>
          <w:b/>
          <w:bCs/>
        </w:rPr>
        <w:tab/>
      </w:r>
      <w:r w:rsidRPr="0021768E">
        <w:rPr>
          <w:b/>
          <w:bCs/>
          <w:u w:val="single"/>
        </w:rPr>
        <w:t xml:space="preserve">Describe the consequence to Federal program or policy activities if the collection is not conducted or is conducted less frequently, as well as any technical or legal obstacles to </w:t>
      </w:r>
      <w:r w:rsidRPr="000A2AC0">
        <w:rPr>
          <w:b/>
          <w:bCs/>
          <w:u w:val="single"/>
        </w:rPr>
        <w:t>reducing</w:t>
      </w:r>
      <w:r w:rsidRPr="00C82356">
        <w:rPr>
          <w:b/>
          <w:bCs/>
          <w:u w:val="single"/>
        </w:rPr>
        <w:t xml:space="preserve"> burden</w:t>
      </w:r>
      <w:r>
        <w:rPr>
          <w:b/>
          <w:bCs/>
        </w:rPr>
        <w:t>.</w:t>
      </w:r>
    </w:p>
    <w:p w14:paraId="446AF18D" w14:textId="77777777" w:rsidR="008D0464" w:rsidRDefault="008D0464"/>
    <w:p w14:paraId="55C17A20" w14:textId="13BD76B2" w:rsidR="008D0464" w:rsidRDefault="008D0464">
      <w:pPr>
        <w:ind w:left="720"/>
      </w:pPr>
      <w:r>
        <w:t>The information produced by this collection of information is necessary to enable DOE to fulfill its statutory obligations under PL 106-404.  Additionally, if the information is not collected, DOE will be unable to determine whether the Ombudsmen are carrying out their duties.</w:t>
      </w:r>
    </w:p>
    <w:p w14:paraId="7A76F789" w14:textId="77777777" w:rsidR="008D0464" w:rsidRDefault="008D0464"/>
    <w:p w14:paraId="410341C6" w14:textId="77777777" w:rsidR="008D0464" w:rsidRDefault="008D0464"/>
    <w:p w14:paraId="34FF1E46" w14:textId="77777777" w:rsidR="008D0464" w:rsidRDefault="008D0464">
      <w:pPr>
        <w:sectPr w:rsidR="008D0464">
          <w:footerReference w:type="default" r:id="rId9"/>
          <w:type w:val="continuous"/>
          <w:pgSz w:w="12240" w:h="15840"/>
          <w:pgMar w:top="1440" w:right="1440" w:bottom="1440" w:left="1440" w:header="1440" w:footer="1440" w:gutter="0"/>
          <w:cols w:space="720"/>
          <w:noEndnote/>
        </w:sectPr>
      </w:pPr>
    </w:p>
    <w:p w14:paraId="3A393900" w14:textId="77777777" w:rsidR="008D0464" w:rsidRDefault="008D0464">
      <w:pPr>
        <w:tabs>
          <w:tab w:val="left" w:pos="-1440"/>
        </w:tabs>
        <w:ind w:left="720" w:hanging="720"/>
      </w:pPr>
      <w:r>
        <w:rPr>
          <w:b/>
          <w:bCs/>
        </w:rPr>
        <w:lastRenderedPageBreak/>
        <w:t>7.</w:t>
      </w:r>
      <w:r>
        <w:rPr>
          <w:b/>
          <w:bCs/>
        </w:rPr>
        <w:tab/>
      </w:r>
      <w:r w:rsidRPr="0021768E">
        <w:rPr>
          <w:b/>
          <w:bCs/>
          <w:u w:val="single"/>
        </w:rPr>
        <w:t>Explain any special circumstances that would cause an information collection to be conducted in a manner</w:t>
      </w:r>
      <w:r w:rsidR="0021768E" w:rsidRPr="0021768E">
        <w:rPr>
          <w:b/>
          <w:bCs/>
          <w:u w:val="single"/>
        </w:rPr>
        <w:t xml:space="preserve"> inconsistent with OMB guidelines</w:t>
      </w:r>
      <w:r w:rsidRPr="0021768E">
        <w:rPr>
          <w:b/>
          <w:bCs/>
          <w:u w:val="single"/>
        </w:rPr>
        <w:t xml:space="preserve">: </w:t>
      </w:r>
      <w:r w:rsidR="0021768E" w:rsidRPr="0021768E">
        <w:rPr>
          <w:b/>
          <w:bCs/>
          <w:u w:val="single"/>
        </w:rPr>
        <w:t>(a)</w:t>
      </w:r>
      <w:r w:rsidRPr="0021768E">
        <w:rPr>
          <w:b/>
          <w:bCs/>
          <w:u w:val="single"/>
        </w:rPr>
        <w:t xml:space="preserve"> requiring respondents to report information to the agency more often than quarterly; </w:t>
      </w:r>
      <w:r w:rsidR="0021768E" w:rsidRPr="0021768E">
        <w:rPr>
          <w:b/>
          <w:bCs/>
          <w:u w:val="single"/>
        </w:rPr>
        <w:t>(b)</w:t>
      </w:r>
      <w:r w:rsidRPr="0021768E">
        <w:rPr>
          <w:b/>
          <w:bCs/>
          <w:u w:val="single"/>
        </w:rPr>
        <w:t xml:space="preserve"> requiring respondents to prepare a written response to a collection of information in fewer</w:t>
      </w:r>
      <w:r>
        <w:rPr>
          <w:b/>
          <w:bCs/>
        </w:rPr>
        <w:t xml:space="preserve"> </w:t>
      </w:r>
      <w:r w:rsidRPr="0021768E">
        <w:rPr>
          <w:b/>
          <w:bCs/>
          <w:u w:val="single"/>
        </w:rPr>
        <w:t xml:space="preserve">than 30 days after the receipt of it; </w:t>
      </w:r>
      <w:r w:rsidR="0021768E" w:rsidRPr="0021768E">
        <w:rPr>
          <w:b/>
          <w:bCs/>
          <w:u w:val="single"/>
        </w:rPr>
        <w:t>(c</w:t>
      </w:r>
      <w:r w:rsidRPr="0021768E">
        <w:rPr>
          <w:b/>
          <w:bCs/>
          <w:u w:val="single"/>
        </w:rPr>
        <w:t xml:space="preserve">) requiring respondents to submit more than an original and two copies of any document; </w:t>
      </w:r>
      <w:r w:rsidR="0021768E" w:rsidRPr="0021768E">
        <w:rPr>
          <w:b/>
          <w:bCs/>
          <w:u w:val="single"/>
        </w:rPr>
        <w:t>(d)</w:t>
      </w:r>
      <w:r w:rsidRPr="0021768E">
        <w:rPr>
          <w:b/>
          <w:bCs/>
          <w:u w:val="single"/>
        </w:rPr>
        <w:t xml:space="preserve"> requiring respondents to retain records, other than health, medical, Government contract, grant-in-aid, or tax records for more than three years</w:t>
      </w:r>
      <w:r w:rsidR="0021768E" w:rsidRPr="0021768E">
        <w:rPr>
          <w:b/>
          <w:bCs/>
          <w:u w:val="single"/>
        </w:rPr>
        <w:t>;</w:t>
      </w:r>
      <w:r w:rsidRPr="0021768E">
        <w:rPr>
          <w:b/>
          <w:bCs/>
          <w:u w:val="single"/>
        </w:rPr>
        <w:t xml:space="preserve"> </w:t>
      </w:r>
      <w:r w:rsidR="0021768E" w:rsidRPr="0021768E">
        <w:rPr>
          <w:b/>
          <w:bCs/>
          <w:u w:val="single"/>
        </w:rPr>
        <w:t>e</w:t>
      </w:r>
      <w:r w:rsidRPr="0021768E">
        <w:rPr>
          <w:b/>
          <w:bCs/>
          <w:u w:val="single"/>
        </w:rPr>
        <w:t xml:space="preserve">) in connection with a statistical survey, that is not designed to produce valid and reliable results that can be generalized to the universe of study; </w:t>
      </w:r>
      <w:r w:rsidR="0021768E" w:rsidRPr="0021768E">
        <w:rPr>
          <w:b/>
          <w:bCs/>
          <w:u w:val="single"/>
        </w:rPr>
        <w:t>f</w:t>
      </w:r>
      <w:r w:rsidRPr="0021768E">
        <w:rPr>
          <w:b/>
          <w:bCs/>
          <w:u w:val="single"/>
        </w:rPr>
        <w:t xml:space="preserve">) requiring the use of a statistical data classification that has not been reviewed and approved by OMB: </w:t>
      </w:r>
      <w:r w:rsidR="0021768E" w:rsidRPr="0021768E">
        <w:rPr>
          <w:b/>
          <w:bCs/>
          <w:u w:val="single"/>
        </w:rPr>
        <w:t>g</w:t>
      </w:r>
      <w:r w:rsidRPr="0021768E">
        <w:rPr>
          <w:b/>
          <w:bCs/>
          <w:u w:val="single"/>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r w:rsidR="0021768E" w:rsidRPr="0021768E">
        <w:rPr>
          <w:b/>
          <w:bCs/>
          <w:u w:val="single"/>
        </w:rPr>
        <w:t>(h</w:t>
      </w:r>
      <w:r w:rsidRPr="0021768E">
        <w:rPr>
          <w:b/>
          <w:bCs/>
          <w:u w:val="single"/>
        </w:rPr>
        <w:t>) requiring respondents to submit proprietary trade secrets, or other confidential information unless the agency can demonstrate that it has instituted procedures to protect the information’s confidentiality to the extent permitted by law</w:t>
      </w:r>
      <w:r>
        <w:rPr>
          <w:b/>
          <w:bCs/>
        </w:rPr>
        <w:t>.</w:t>
      </w:r>
    </w:p>
    <w:p w14:paraId="404C791C" w14:textId="77777777" w:rsidR="008D0464" w:rsidRDefault="008D0464"/>
    <w:p w14:paraId="50CF0548" w14:textId="7BF08A91" w:rsidR="008D0464" w:rsidRDefault="008D0464">
      <w:pPr>
        <w:ind w:left="720"/>
      </w:pPr>
      <w:r>
        <w:t xml:space="preserve">This collection of information has been reviewed and has been found to be consistent with </w:t>
      </w:r>
      <w:r w:rsidR="00841583">
        <w:t>d</w:t>
      </w:r>
      <w:r>
        <w:t>epartmental management requirements, statutes, Departmental Orders and other internal DOE requirements, and is collected in a manner consistent with 5 C.F.R. 1320 guidelines.  There are no special circumstances that require an explanation.</w:t>
      </w:r>
    </w:p>
    <w:p w14:paraId="310A7A64" w14:textId="77777777" w:rsidR="008D0464" w:rsidRDefault="008D0464"/>
    <w:p w14:paraId="7A0622FE" w14:textId="77777777" w:rsidR="008D0464" w:rsidRDefault="008D0464"/>
    <w:p w14:paraId="58797437" w14:textId="77777777" w:rsidR="008D0464" w:rsidRDefault="008D0464" w:rsidP="0021768E">
      <w:pPr>
        <w:tabs>
          <w:tab w:val="left" w:pos="-1440"/>
        </w:tabs>
        <w:ind w:left="720" w:hanging="720"/>
        <w:rPr>
          <w:b/>
          <w:bCs/>
        </w:rPr>
      </w:pPr>
      <w:r>
        <w:rPr>
          <w:b/>
          <w:bCs/>
        </w:rPr>
        <w:t>8.</w:t>
      </w:r>
      <w:r>
        <w:rPr>
          <w:b/>
          <w:bCs/>
        </w:rPr>
        <w:tab/>
      </w:r>
      <w:r w:rsidRPr="0021768E">
        <w:rPr>
          <w:b/>
          <w:bCs/>
          <w:u w:val="single"/>
        </w:rPr>
        <w:t>If applicable, provide a copy and identify the date and page number of publication in the Federal register of the agency’s notice, required by 5 C.F.R. 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0021768E" w:rsidRPr="0021768E">
        <w:rPr>
          <w:b/>
          <w:bCs/>
          <w:u w:val="single"/>
        </w:rPr>
        <w:t xml:space="preserve"> </w:t>
      </w:r>
      <w:r w:rsidRPr="0021768E">
        <w:rPr>
          <w:b/>
          <w:bCs/>
          <w:u w:val="single"/>
        </w:rPr>
        <w:t xml:space="preserve">Describe efforts to consult with persons outside </w:t>
      </w:r>
      <w:r w:rsidR="0021768E" w:rsidRPr="0021768E">
        <w:rPr>
          <w:b/>
          <w:bCs/>
          <w:u w:val="single"/>
        </w:rPr>
        <w:t>DOE</w:t>
      </w:r>
      <w:r w:rsidRPr="0021768E">
        <w:rPr>
          <w:b/>
          <w:bCs/>
          <w:u w:val="single"/>
        </w:rPr>
        <w:t xml:space="preserve"> to obtain their views on the availability of data, frequency of collection, the clarity of instructions and recordkeeping, disclosure, or reporting format (if any), and on the data elements to be recorded, disclosed, or reported.</w:t>
      </w:r>
    </w:p>
    <w:p w14:paraId="466C4B41" w14:textId="77777777" w:rsidR="008D0464" w:rsidRDefault="008D0464">
      <w:pPr>
        <w:rPr>
          <w:b/>
          <w:bCs/>
        </w:rPr>
      </w:pPr>
    </w:p>
    <w:p w14:paraId="438FDE52" w14:textId="77777777" w:rsidR="008D0464" w:rsidRDefault="00745F5C" w:rsidP="00F01849">
      <w:pPr>
        <w:ind w:left="720"/>
      </w:pPr>
      <w:r w:rsidRPr="00F27EB3">
        <w:t xml:space="preserve">A </w:t>
      </w:r>
      <w:r w:rsidR="00981A4A" w:rsidRPr="00F27EB3">
        <w:t>n</w:t>
      </w:r>
      <w:r w:rsidRPr="00F27EB3">
        <w:t xml:space="preserve">otice and </w:t>
      </w:r>
      <w:r w:rsidR="00981A4A" w:rsidRPr="00F27EB3">
        <w:t>r</w:t>
      </w:r>
      <w:r w:rsidRPr="00F27EB3">
        <w:t xml:space="preserve">equest for comments on this information collection extension was published </w:t>
      </w:r>
      <w:r w:rsidR="005116C2">
        <w:t xml:space="preserve">at </w:t>
      </w:r>
      <w:r w:rsidR="00770BDB" w:rsidRPr="00871CAA">
        <w:t>83 FR 54732</w:t>
      </w:r>
      <w:r w:rsidR="005116C2" w:rsidRPr="00871CAA">
        <w:t xml:space="preserve"> on </w:t>
      </w:r>
      <w:r w:rsidR="00770BDB" w:rsidRPr="00871CAA">
        <w:t>October 31, 2018</w:t>
      </w:r>
      <w:r w:rsidR="005116C2" w:rsidRPr="00871CAA">
        <w:t>.</w:t>
      </w:r>
      <w:r w:rsidR="005116C2" w:rsidRPr="000B2F01">
        <w:rPr>
          <w:b/>
        </w:rPr>
        <w:t xml:space="preserve">  </w:t>
      </w:r>
      <w:r w:rsidRPr="00F27EB3">
        <w:t>D</w:t>
      </w:r>
      <w:r w:rsidR="008D0464" w:rsidRPr="00F27EB3">
        <w:t xml:space="preserve">OE </w:t>
      </w:r>
      <w:r w:rsidR="00770BDB">
        <w:t>did not receive any comments by December 31, 2018, the deadline for public comment.</w:t>
      </w:r>
    </w:p>
    <w:p w14:paraId="0150C43D" w14:textId="77777777" w:rsidR="00F01849" w:rsidRPr="006C193B" w:rsidRDefault="00F01849" w:rsidP="00F01849">
      <w:pPr>
        <w:ind w:left="720"/>
        <w:rPr>
          <w:i/>
        </w:rPr>
      </w:pPr>
    </w:p>
    <w:p w14:paraId="1285007A" w14:textId="77777777" w:rsidR="008D0464" w:rsidRPr="0021768E" w:rsidRDefault="008D0464">
      <w:pPr>
        <w:tabs>
          <w:tab w:val="left" w:pos="-1440"/>
        </w:tabs>
        <w:ind w:left="720" w:hanging="720"/>
        <w:rPr>
          <w:u w:val="single"/>
        </w:rPr>
      </w:pPr>
      <w:r>
        <w:rPr>
          <w:b/>
          <w:bCs/>
        </w:rPr>
        <w:t>9.</w:t>
      </w:r>
      <w:r>
        <w:rPr>
          <w:b/>
          <w:bCs/>
        </w:rPr>
        <w:tab/>
      </w:r>
      <w:r w:rsidRPr="0021768E">
        <w:rPr>
          <w:b/>
          <w:bCs/>
          <w:u w:val="single"/>
        </w:rPr>
        <w:t>Explain any decision to provide any payment or gift to respondents, other than remuneration of contractors or grantees.</w:t>
      </w:r>
    </w:p>
    <w:p w14:paraId="136FF129" w14:textId="77777777" w:rsidR="008D0464" w:rsidRPr="0021768E" w:rsidRDefault="008D0464">
      <w:pPr>
        <w:rPr>
          <w:u w:val="single"/>
        </w:rPr>
      </w:pPr>
    </w:p>
    <w:p w14:paraId="488370A6" w14:textId="77777777" w:rsidR="008D0464" w:rsidRDefault="008D0464">
      <w:pPr>
        <w:ind w:left="720"/>
      </w:pPr>
      <w:r>
        <w:t>DOE will not provide any payment or gift to respondents.  All of the respondents are DOE contractors</w:t>
      </w:r>
      <w:r w:rsidR="005116C2">
        <w:t xml:space="preserve"> or their subcontractors</w:t>
      </w:r>
      <w:r>
        <w:t>.  The costs of providing the information will be “allowable costs” under their contracts.</w:t>
      </w:r>
    </w:p>
    <w:p w14:paraId="75855BB8" w14:textId="77777777" w:rsidR="00391B8C" w:rsidRDefault="00391B8C">
      <w:pPr>
        <w:ind w:left="720"/>
      </w:pPr>
    </w:p>
    <w:p w14:paraId="181C880C" w14:textId="77777777" w:rsidR="008D0464" w:rsidRPr="0021768E" w:rsidRDefault="008D0464">
      <w:pPr>
        <w:tabs>
          <w:tab w:val="left" w:pos="-1440"/>
        </w:tabs>
        <w:ind w:left="720" w:hanging="720"/>
        <w:rPr>
          <w:u w:val="single"/>
        </w:rPr>
      </w:pPr>
      <w:r>
        <w:rPr>
          <w:b/>
          <w:bCs/>
        </w:rPr>
        <w:t>10.</w:t>
      </w:r>
      <w:r>
        <w:rPr>
          <w:b/>
          <w:bCs/>
        </w:rPr>
        <w:tab/>
      </w:r>
      <w:r w:rsidRPr="0021768E">
        <w:rPr>
          <w:b/>
          <w:bCs/>
          <w:u w:val="single"/>
        </w:rPr>
        <w:t>Describe any assurance of confidentiality provided to respondents and the basis for the assurance in statute, regulation, or agency policy.</w:t>
      </w:r>
    </w:p>
    <w:p w14:paraId="199C04E9" w14:textId="77777777" w:rsidR="008D0464" w:rsidRPr="0021768E" w:rsidRDefault="008D0464">
      <w:pPr>
        <w:rPr>
          <w:u w:val="single"/>
        </w:rPr>
      </w:pPr>
    </w:p>
    <w:p w14:paraId="11751C3D" w14:textId="3946FEA1" w:rsidR="008D0464" w:rsidRDefault="007824A0">
      <w:pPr>
        <w:ind w:left="720"/>
      </w:pPr>
      <w:r>
        <w:t>C</w:t>
      </w:r>
      <w:r w:rsidR="008D0464">
        <w:t>omplaints which the Ombudsmen report may contain confidential information belonging to the parties who lodge the complaints.  If so, this information will be protected in accordance with the Tra</w:t>
      </w:r>
      <w:r w:rsidR="00871CAA">
        <w:t>de Secrets Act [18 U.S.C. 1905]</w:t>
      </w:r>
      <w:r w:rsidR="00DE0FE2">
        <w:t>,</w:t>
      </w:r>
      <w:r w:rsidR="00871CAA">
        <w:t xml:space="preserve"> the Privacy Act [5 U.S.C. 552a],</w:t>
      </w:r>
      <w:r w:rsidR="00DE0FE2">
        <w:t xml:space="preserve"> </w:t>
      </w:r>
      <w:r w:rsidR="008D0464">
        <w:t>Departmental Orders</w:t>
      </w:r>
      <w:r w:rsidR="00871CAA">
        <w:t>,</w:t>
      </w:r>
      <w:r w:rsidR="008D0464">
        <w:t xml:space="preserve"> and other internal DOE requirements.</w:t>
      </w:r>
    </w:p>
    <w:p w14:paraId="54C90F79" w14:textId="77777777" w:rsidR="008D0464" w:rsidRDefault="008D0464"/>
    <w:p w14:paraId="40638174" w14:textId="77777777" w:rsidR="008D0464" w:rsidRDefault="008D0464"/>
    <w:p w14:paraId="446A1994" w14:textId="77777777" w:rsidR="008D0464" w:rsidRDefault="008D0464">
      <w:pPr>
        <w:tabs>
          <w:tab w:val="left" w:pos="-1440"/>
        </w:tabs>
        <w:ind w:left="720" w:hanging="720"/>
      </w:pPr>
      <w:r>
        <w:rPr>
          <w:b/>
          <w:bCs/>
        </w:rPr>
        <w:t>11.</w:t>
      </w:r>
      <w:r>
        <w:rPr>
          <w:b/>
          <w:bCs/>
        </w:rPr>
        <w:tab/>
      </w:r>
      <w:r w:rsidRPr="0021768E">
        <w:rPr>
          <w:b/>
          <w:bCs/>
          <w:u w:val="single"/>
        </w:rPr>
        <w:t xml:space="preserve">Provide additional justification for any questions of a sensitive nature, such as sexual behavior and attitudes, religious beliefs, and other matters that are commonly considered private.  The justification should include the reasons why </w:t>
      </w:r>
      <w:r w:rsidR="0021768E" w:rsidRPr="0021768E">
        <w:rPr>
          <w:b/>
          <w:bCs/>
          <w:u w:val="single"/>
        </w:rPr>
        <w:t>DOE</w:t>
      </w:r>
      <w:r w:rsidRPr="0021768E">
        <w:rPr>
          <w:b/>
          <w:bCs/>
          <w:u w:val="single"/>
        </w:rPr>
        <w:t xml:space="preserve"> considers the questions necessary, the specific uses to be made of the information, the explanation to be given to persons from whom the information is requested, and any steps to be taken to obtain their consent.</w:t>
      </w:r>
    </w:p>
    <w:p w14:paraId="356425D2" w14:textId="77777777" w:rsidR="008D0464" w:rsidRDefault="008D0464"/>
    <w:p w14:paraId="5E0BC812" w14:textId="77777777" w:rsidR="008D0464" w:rsidRDefault="008D0464">
      <w:pPr>
        <w:ind w:left="720"/>
      </w:pPr>
      <w:r>
        <w:t>This collection of information does not include any questions of a sensitive nature.</w:t>
      </w:r>
    </w:p>
    <w:p w14:paraId="05075221" w14:textId="77777777" w:rsidR="008D0464" w:rsidRDefault="008D0464"/>
    <w:p w14:paraId="04E66B92" w14:textId="77777777" w:rsidR="008D0464" w:rsidRDefault="008D0464"/>
    <w:p w14:paraId="16B980A1" w14:textId="77777777" w:rsidR="008D0464" w:rsidRPr="001D67A7" w:rsidRDefault="008D0464">
      <w:pPr>
        <w:tabs>
          <w:tab w:val="left" w:pos="-1440"/>
        </w:tabs>
        <w:ind w:left="720" w:hanging="720"/>
        <w:rPr>
          <w:u w:val="single"/>
        </w:rPr>
      </w:pPr>
      <w:r>
        <w:rPr>
          <w:b/>
          <w:bCs/>
        </w:rPr>
        <w:t>12.</w:t>
      </w:r>
      <w:r>
        <w:rPr>
          <w:b/>
          <w:bCs/>
        </w:rPr>
        <w:tab/>
      </w:r>
      <w:r w:rsidRPr="001D67A7">
        <w:rPr>
          <w:b/>
          <w:bCs/>
          <w:u w:val="single"/>
        </w:rPr>
        <w:t xml:space="preserve">Provide estimates of the hour burden of the collection of information.  The statement should indicate the number of respondents, frequency of response, annual hour burden, and an estimate of how the burden was estimated.  Unless directed to do so, </w:t>
      </w:r>
      <w:r w:rsidR="0021768E" w:rsidRPr="001D67A7">
        <w:rPr>
          <w:b/>
          <w:bCs/>
          <w:u w:val="single"/>
        </w:rPr>
        <w:t>DOE</w:t>
      </w:r>
      <w:r w:rsidRPr="001D67A7">
        <w:rPr>
          <w:b/>
          <w:bCs/>
          <w:u w:val="single"/>
        </w:rPr>
        <w:t xml:space="preserve"> should not conduct special surveys to obtain information on which to base hour burden estimates.  Consultation with a sample (fewer than 10) of potential respondents is desirable.  </w:t>
      </w:r>
    </w:p>
    <w:p w14:paraId="658869FE" w14:textId="77777777" w:rsidR="008D0464" w:rsidRPr="001D67A7" w:rsidRDefault="008D0464">
      <w:pPr>
        <w:rPr>
          <w:u w:val="single"/>
        </w:rPr>
      </w:pPr>
    </w:p>
    <w:p w14:paraId="3D571662" w14:textId="77777777" w:rsidR="00346491" w:rsidRDefault="009725F3" w:rsidP="009725F3">
      <w:pPr>
        <w:pStyle w:val="PlainText"/>
        <w:ind w:left="720"/>
        <w:rPr>
          <w:rFonts w:ascii="Times New Roman" w:hAnsi="Times New Roman"/>
          <w:color w:val="auto"/>
        </w:rPr>
      </w:pPr>
      <w:r w:rsidRPr="009725F3">
        <w:rPr>
          <w:rFonts w:ascii="Times New Roman" w:hAnsi="Times New Roman"/>
          <w:color w:val="auto"/>
        </w:rPr>
        <w:t>Total numb</w:t>
      </w:r>
      <w:r w:rsidR="000B2F01">
        <w:rPr>
          <w:rFonts w:ascii="Times New Roman" w:hAnsi="Times New Roman"/>
          <w:color w:val="auto"/>
        </w:rPr>
        <w:t xml:space="preserve">er of unduplicated respondents:  </w:t>
      </w:r>
      <w:r w:rsidR="00FF73E1">
        <w:rPr>
          <w:rFonts w:ascii="Times New Roman" w:hAnsi="Times New Roman"/>
          <w:color w:val="auto"/>
        </w:rPr>
        <w:t>17</w:t>
      </w:r>
      <w:r w:rsidRPr="009725F3">
        <w:rPr>
          <w:rFonts w:ascii="Times New Roman" w:hAnsi="Times New Roman"/>
          <w:color w:val="auto"/>
        </w:rPr>
        <w:t xml:space="preserve">   </w:t>
      </w:r>
    </w:p>
    <w:p w14:paraId="510270A9" w14:textId="7C6DB979" w:rsidR="00346491" w:rsidRDefault="003D129C" w:rsidP="009725F3">
      <w:pPr>
        <w:pStyle w:val="PlainText"/>
        <w:ind w:left="720"/>
        <w:rPr>
          <w:rFonts w:ascii="Times New Roman" w:hAnsi="Times New Roman"/>
          <w:color w:val="auto"/>
        </w:rPr>
      </w:pPr>
      <w:r>
        <w:rPr>
          <w:rFonts w:ascii="Times New Roman" w:hAnsi="Times New Roman"/>
          <w:color w:val="auto"/>
        </w:rPr>
        <w:t>Reports filed per O</w:t>
      </w:r>
      <w:r w:rsidR="000B2F01">
        <w:rPr>
          <w:rFonts w:ascii="Times New Roman" w:hAnsi="Times New Roman"/>
          <w:color w:val="auto"/>
        </w:rPr>
        <w:t xml:space="preserve">mbudsman:  </w:t>
      </w:r>
      <w:r w:rsidR="006C193B">
        <w:rPr>
          <w:rFonts w:ascii="Times New Roman" w:hAnsi="Times New Roman"/>
          <w:color w:val="auto"/>
        </w:rPr>
        <w:t>4</w:t>
      </w:r>
    </w:p>
    <w:p w14:paraId="65A8F309" w14:textId="77777777" w:rsidR="00346491" w:rsidRDefault="000B2F01" w:rsidP="009725F3">
      <w:pPr>
        <w:pStyle w:val="PlainText"/>
        <w:ind w:left="720"/>
        <w:rPr>
          <w:rFonts w:ascii="Times New Roman" w:hAnsi="Times New Roman"/>
          <w:color w:val="auto"/>
        </w:rPr>
      </w:pPr>
      <w:r>
        <w:rPr>
          <w:rFonts w:ascii="Times New Roman" w:hAnsi="Times New Roman"/>
          <w:color w:val="auto"/>
        </w:rPr>
        <w:t xml:space="preserve">Total annual responses:  </w:t>
      </w:r>
      <w:r w:rsidR="00FF73E1">
        <w:rPr>
          <w:rFonts w:ascii="Times New Roman" w:hAnsi="Times New Roman"/>
          <w:color w:val="auto"/>
        </w:rPr>
        <w:t>6</w:t>
      </w:r>
      <w:r w:rsidR="006C193B">
        <w:rPr>
          <w:rFonts w:ascii="Times New Roman" w:hAnsi="Times New Roman"/>
          <w:color w:val="auto"/>
        </w:rPr>
        <w:t>8</w:t>
      </w:r>
      <w:r w:rsidR="009725F3" w:rsidRPr="009725F3">
        <w:rPr>
          <w:rFonts w:ascii="Times New Roman" w:hAnsi="Times New Roman"/>
          <w:color w:val="auto"/>
        </w:rPr>
        <w:t xml:space="preserve">  </w:t>
      </w:r>
    </w:p>
    <w:p w14:paraId="1D8092D6" w14:textId="77777777" w:rsidR="009725F3" w:rsidRPr="009725F3" w:rsidRDefault="000B2F01" w:rsidP="009725F3">
      <w:pPr>
        <w:pStyle w:val="PlainText"/>
        <w:ind w:left="720"/>
        <w:rPr>
          <w:rFonts w:ascii="Times New Roman" w:hAnsi="Times New Roman"/>
          <w:color w:val="auto"/>
        </w:rPr>
      </w:pPr>
      <w:r>
        <w:rPr>
          <w:rFonts w:ascii="Times New Roman" w:hAnsi="Times New Roman"/>
          <w:color w:val="auto"/>
        </w:rPr>
        <w:t xml:space="preserve">Total annual burden hours:  </w:t>
      </w:r>
      <w:r w:rsidR="00FF73E1">
        <w:rPr>
          <w:rFonts w:ascii="Times New Roman" w:hAnsi="Times New Roman"/>
          <w:color w:val="auto"/>
        </w:rPr>
        <w:t>17</w:t>
      </w:r>
      <w:r w:rsidR="009725F3" w:rsidRPr="009725F3">
        <w:rPr>
          <w:rFonts w:ascii="Times New Roman" w:hAnsi="Times New Roman"/>
          <w:color w:val="auto"/>
        </w:rPr>
        <w:t xml:space="preserve"> </w:t>
      </w:r>
    </w:p>
    <w:p w14:paraId="688DEB2A" w14:textId="77777777" w:rsidR="009725F3" w:rsidRPr="009725F3" w:rsidRDefault="009725F3" w:rsidP="009725F3">
      <w:pPr>
        <w:pStyle w:val="PlainText"/>
        <w:ind w:left="720"/>
        <w:rPr>
          <w:rFonts w:ascii="Times New Roman" w:hAnsi="Times New Roman"/>
          <w:color w:val="auto"/>
        </w:rPr>
      </w:pPr>
    </w:p>
    <w:p w14:paraId="278398C7" w14:textId="77777777" w:rsidR="009725F3" w:rsidRPr="009725F3" w:rsidRDefault="006C193B" w:rsidP="009725F3">
      <w:pPr>
        <w:pStyle w:val="PlainText"/>
        <w:ind w:left="720"/>
        <w:rPr>
          <w:rFonts w:ascii="Times New Roman" w:hAnsi="Times New Roman"/>
          <w:color w:val="auto"/>
        </w:rPr>
      </w:pPr>
      <w:r>
        <w:rPr>
          <w:rFonts w:ascii="Times New Roman" w:hAnsi="Times New Roman"/>
          <w:color w:val="auto"/>
        </w:rPr>
        <w:t xml:space="preserve">Average Burden </w:t>
      </w:r>
      <w:r w:rsidR="009725F3" w:rsidRPr="009725F3">
        <w:rPr>
          <w:rFonts w:ascii="Times New Roman" w:hAnsi="Times New Roman"/>
          <w:color w:val="auto"/>
        </w:rPr>
        <w:t xml:space="preserve">Per Collection: </w:t>
      </w:r>
      <w:r w:rsidR="000B2F01">
        <w:rPr>
          <w:rFonts w:ascii="Times New Roman" w:hAnsi="Times New Roman"/>
          <w:color w:val="auto"/>
        </w:rPr>
        <w:t xml:space="preserve"> </w:t>
      </w:r>
      <w:r w:rsidR="00346491">
        <w:rPr>
          <w:rFonts w:ascii="Times New Roman" w:hAnsi="Times New Roman"/>
          <w:color w:val="auto"/>
        </w:rPr>
        <w:t>0.</w:t>
      </w:r>
      <w:r w:rsidR="00FF73E1">
        <w:rPr>
          <w:rFonts w:ascii="Times New Roman" w:hAnsi="Times New Roman"/>
          <w:color w:val="auto"/>
        </w:rPr>
        <w:t>25</w:t>
      </w:r>
      <w:r w:rsidR="00346491">
        <w:rPr>
          <w:rFonts w:ascii="Times New Roman" w:hAnsi="Times New Roman"/>
          <w:color w:val="auto"/>
        </w:rPr>
        <w:t xml:space="preserve"> hours</w:t>
      </w:r>
    </w:p>
    <w:p w14:paraId="7E88E10E" w14:textId="77777777" w:rsidR="006C193B" w:rsidRDefault="000B2F01" w:rsidP="006C193B">
      <w:pPr>
        <w:pStyle w:val="PlainText"/>
        <w:ind w:left="720"/>
        <w:rPr>
          <w:rFonts w:ascii="Times New Roman" w:hAnsi="Times New Roman"/>
          <w:color w:val="auto"/>
        </w:rPr>
      </w:pPr>
      <w:r>
        <w:rPr>
          <w:rFonts w:ascii="Times New Roman" w:hAnsi="Times New Roman"/>
          <w:color w:val="auto"/>
        </w:rPr>
        <w:t xml:space="preserve">Per Applicants:  </w:t>
      </w:r>
      <w:r w:rsidR="00FF73E1">
        <w:rPr>
          <w:rFonts w:ascii="Times New Roman" w:hAnsi="Times New Roman"/>
          <w:color w:val="auto"/>
        </w:rPr>
        <w:t>1</w:t>
      </w:r>
      <w:r w:rsidR="009725F3" w:rsidRPr="009725F3">
        <w:rPr>
          <w:rFonts w:ascii="Times New Roman" w:hAnsi="Times New Roman"/>
          <w:color w:val="auto"/>
        </w:rPr>
        <w:t xml:space="preserve"> hour</w:t>
      </w:r>
    </w:p>
    <w:p w14:paraId="59E447D2" w14:textId="77777777" w:rsidR="000B2F01" w:rsidRDefault="000B2F01"/>
    <w:p w14:paraId="14CEFDC2" w14:textId="77777777" w:rsidR="00F92386" w:rsidRDefault="00F92386"/>
    <w:p w14:paraId="25A42838" w14:textId="77777777" w:rsidR="001D67A7" w:rsidRDefault="001D67A7" w:rsidP="001D67A7">
      <w:pPr>
        <w:ind w:left="720" w:hanging="720"/>
        <w:rPr>
          <w:b/>
          <w:bCs/>
        </w:rPr>
      </w:pPr>
      <w:r>
        <w:rPr>
          <w:b/>
          <w:bCs/>
        </w:rPr>
        <w:t>13.</w:t>
      </w:r>
      <w:r>
        <w:rPr>
          <w:b/>
          <w:bCs/>
        </w:rPr>
        <w:tab/>
      </w:r>
      <w:r w:rsidR="008D0464" w:rsidRPr="001D67A7">
        <w:rPr>
          <w:b/>
          <w:bCs/>
          <w:u w:val="single"/>
        </w:rPr>
        <w:t xml:space="preserve">Provide an estimate for the total annual cost burden to respondents or </w:t>
      </w:r>
      <w:r>
        <w:rPr>
          <w:b/>
          <w:bCs/>
          <w:u w:val="single"/>
        </w:rPr>
        <w:t>r</w:t>
      </w:r>
      <w:r w:rsidR="008D0464" w:rsidRPr="001D67A7">
        <w:rPr>
          <w:b/>
          <w:bCs/>
          <w:u w:val="single"/>
        </w:rPr>
        <w:t>ecordkeepers resulting from the collection of information</w:t>
      </w:r>
      <w:r w:rsidRPr="001D67A7">
        <w:rPr>
          <w:b/>
          <w:bCs/>
          <w:u w:val="single"/>
        </w:rPr>
        <w:t>.</w:t>
      </w:r>
    </w:p>
    <w:p w14:paraId="25A7B986" w14:textId="77777777" w:rsidR="008D0464" w:rsidRDefault="008D0464">
      <w:pPr>
        <w:ind w:left="720"/>
        <w:rPr>
          <w:b/>
          <w:bCs/>
        </w:rPr>
      </w:pPr>
    </w:p>
    <w:p w14:paraId="2E85009B" w14:textId="6003DE92" w:rsidR="00E512F3" w:rsidRPr="00E512F3" w:rsidRDefault="00E512F3" w:rsidP="00E512F3">
      <w:pPr>
        <w:widowControl/>
        <w:autoSpaceDE/>
        <w:autoSpaceDN/>
        <w:adjustRightInd/>
        <w:ind w:left="720"/>
        <w:rPr>
          <w:rFonts w:eastAsia="Calibri"/>
        </w:rPr>
      </w:pPr>
      <w:r w:rsidRPr="00E512F3">
        <w:rPr>
          <w:rFonts w:eastAsia="Calibri"/>
        </w:rPr>
        <w:t xml:space="preserve">The cost burden </w:t>
      </w:r>
      <w:r w:rsidR="00F42B2C">
        <w:rPr>
          <w:rFonts w:eastAsia="Calibri"/>
        </w:rPr>
        <w:t xml:space="preserve">to respondents </w:t>
      </w:r>
      <w:r w:rsidR="00F01849">
        <w:rPr>
          <w:rFonts w:eastAsia="Calibri"/>
        </w:rPr>
        <w:t>i</w:t>
      </w:r>
      <w:r w:rsidRPr="00E512F3">
        <w:rPr>
          <w:rFonts w:eastAsia="Calibri"/>
        </w:rPr>
        <w:t xml:space="preserve">s based on an average hourly rate of $50 per </w:t>
      </w:r>
      <w:r w:rsidR="00F01849">
        <w:rPr>
          <w:rFonts w:eastAsia="Calibri"/>
        </w:rPr>
        <w:t>hou</w:t>
      </w:r>
      <w:r w:rsidRPr="00E512F3">
        <w:rPr>
          <w:rFonts w:eastAsia="Calibri"/>
        </w:rPr>
        <w:t>r</w:t>
      </w:r>
      <w:r w:rsidR="00F01849">
        <w:rPr>
          <w:rFonts w:eastAsia="Calibri"/>
        </w:rPr>
        <w:t xml:space="preserve"> times </w:t>
      </w:r>
      <w:r w:rsidR="00FF73E1">
        <w:rPr>
          <w:rFonts w:eastAsia="Calibri"/>
        </w:rPr>
        <w:t>17</w:t>
      </w:r>
      <w:r w:rsidR="00F01849">
        <w:rPr>
          <w:rFonts w:eastAsia="Calibri"/>
        </w:rPr>
        <w:t xml:space="preserve"> total annual burden hours</w:t>
      </w:r>
      <w:r w:rsidR="00DE0FE2">
        <w:rPr>
          <w:rFonts w:eastAsia="Calibri"/>
        </w:rPr>
        <w:t xml:space="preserve"> which</w:t>
      </w:r>
      <w:r w:rsidR="00F01849">
        <w:rPr>
          <w:rFonts w:eastAsia="Calibri"/>
        </w:rPr>
        <w:t xml:space="preserve"> equals $</w:t>
      </w:r>
      <w:r w:rsidR="00FF73E1">
        <w:rPr>
          <w:rFonts w:eastAsia="Calibri"/>
        </w:rPr>
        <w:t>850</w:t>
      </w:r>
      <w:r w:rsidRPr="00E512F3">
        <w:rPr>
          <w:rFonts w:eastAsia="Calibri"/>
        </w:rPr>
        <w:t xml:space="preserve">.  </w:t>
      </w:r>
    </w:p>
    <w:p w14:paraId="3F74F341" w14:textId="77777777" w:rsidR="008D0464" w:rsidRDefault="008D0464"/>
    <w:p w14:paraId="04A4E041" w14:textId="77777777" w:rsidR="008D0464" w:rsidRDefault="008D0464"/>
    <w:p w14:paraId="443BD6B5" w14:textId="77777777" w:rsidR="008D0464" w:rsidRDefault="008D0464">
      <w:pPr>
        <w:tabs>
          <w:tab w:val="left" w:pos="-1440"/>
        </w:tabs>
        <w:ind w:left="720" w:hanging="720"/>
        <w:rPr>
          <w:b/>
          <w:bCs/>
        </w:rPr>
      </w:pPr>
      <w:r>
        <w:rPr>
          <w:b/>
          <w:bCs/>
        </w:rPr>
        <w:t>14.</w:t>
      </w:r>
      <w:r>
        <w:rPr>
          <w:b/>
          <w:bCs/>
        </w:rPr>
        <w:tab/>
      </w:r>
      <w:r w:rsidRPr="001D67A7">
        <w:rPr>
          <w:b/>
          <w:bCs/>
          <w:u w:val="single"/>
        </w:rPr>
        <w:t>Provide estimates of annualized costs to the Federal government.</w:t>
      </w:r>
      <w:r>
        <w:rPr>
          <w:b/>
          <w:bCs/>
        </w:rPr>
        <w:t xml:space="preserve">  </w:t>
      </w:r>
    </w:p>
    <w:p w14:paraId="46A8C754" w14:textId="77777777" w:rsidR="008D0464" w:rsidRDefault="008D0464"/>
    <w:p w14:paraId="53F3B8BB" w14:textId="5E9577D8" w:rsidR="008D0464" w:rsidRDefault="00054E77" w:rsidP="00054E77">
      <w:pPr>
        <w:ind w:left="720"/>
      </w:pPr>
      <w:r>
        <w:rPr>
          <w:rFonts w:eastAsia="Calibri"/>
        </w:rPr>
        <w:t xml:space="preserve">The </w:t>
      </w:r>
      <w:r w:rsidR="001265CE">
        <w:rPr>
          <w:rFonts w:eastAsia="Calibri"/>
        </w:rPr>
        <w:t>annual cost</w:t>
      </w:r>
      <w:r>
        <w:rPr>
          <w:rFonts w:eastAsia="Calibri"/>
        </w:rPr>
        <w:t xml:space="preserve"> to the Federal go</w:t>
      </w:r>
      <w:r w:rsidR="00F42B2C">
        <w:rPr>
          <w:rFonts w:eastAsia="Calibri"/>
        </w:rPr>
        <w:t>vernment is estimated at $3</w:t>
      </w:r>
      <w:r w:rsidR="001265CE">
        <w:rPr>
          <w:rFonts w:eastAsia="Calibri"/>
        </w:rPr>
        <w:t>00.</w:t>
      </w:r>
      <w:r w:rsidR="00C73F12">
        <w:rPr>
          <w:rFonts w:eastAsia="Calibri"/>
        </w:rPr>
        <w:t xml:space="preserve"> ADR Office staff with an average loaded wage rate of $50 per hour will devote an estimated </w:t>
      </w:r>
      <w:r w:rsidR="004805DA">
        <w:rPr>
          <w:rFonts w:eastAsia="Calibri"/>
        </w:rPr>
        <w:t>six</w:t>
      </w:r>
      <w:r w:rsidR="00C73F12">
        <w:rPr>
          <w:rFonts w:eastAsia="Calibri"/>
        </w:rPr>
        <w:t xml:space="preserve"> hours to reviewing the reports. $50</w:t>
      </w:r>
      <w:r w:rsidR="004805DA">
        <w:rPr>
          <w:rFonts w:eastAsia="Calibri"/>
        </w:rPr>
        <w:t xml:space="preserve"> per hour x 6</w:t>
      </w:r>
      <w:r w:rsidR="00C73F12">
        <w:rPr>
          <w:rFonts w:eastAsia="Calibri"/>
        </w:rPr>
        <w:t xml:space="preserve"> hours = $300.</w:t>
      </w:r>
    </w:p>
    <w:p w14:paraId="4802C842" w14:textId="77777777" w:rsidR="00391B8C" w:rsidRDefault="00391B8C"/>
    <w:p w14:paraId="2DC95C27" w14:textId="77777777" w:rsidR="008D0464" w:rsidRDefault="008D0464">
      <w:pPr>
        <w:tabs>
          <w:tab w:val="left" w:pos="-1440"/>
        </w:tabs>
        <w:ind w:left="720" w:hanging="720"/>
        <w:rPr>
          <w:b/>
          <w:bCs/>
        </w:rPr>
      </w:pPr>
      <w:r>
        <w:rPr>
          <w:b/>
          <w:bCs/>
        </w:rPr>
        <w:t>15.</w:t>
      </w:r>
      <w:r>
        <w:rPr>
          <w:b/>
          <w:bCs/>
        </w:rPr>
        <w:tab/>
      </w:r>
      <w:r w:rsidRPr="00981A4A">
        <w:rPr>
          <w:b/>
          <w:bCs/>
          <w:u w:val="single"/>
        </w:rPr>
        <w:t>Explain the reasons for any program changes or adjustments reported in Items 13 or 14 of the OMB Form 83-I.</w:t>
      </w:r>
    </w:p>
    <w:p w14:paraId="20E10548" w14:textId="77777777" w:rsidR="008D0464" w:rsidRDefault="008D0464"/>
    <w:p w14:paraId="73946F13" w14:textId="38DDA8C0" w:rsidR="008D0464" w:rsidRDefault="004805DA">
      <w:pPr>
        <w:ind w:left="720"/>
      </w:pPr>
      <w:r>
        <w:t>The reporting and recordkeeping hour burden decreased</w:t>
      </w:r>
      <w:r w:rsidR="00494E03">
        <w:t xml:space="preserve"> </w:t>
      </w:r>
      <w:r>
        <w:t>from forty-four hours to seventeen hours</w:t>
      </w:r>
      <w:r w:rsidR="00494E03">
        <w:t xml:space="preserve"> and the cost decreased from $2,500 to $850</w:t>
      </w:r>
      <w:r>
        <w:t xml:space="preserve">. </w:t>
      </w:r>
      <w:r w:rsidR="007503AD">
        <w:t>Program changes a</w:t>
      </w:r>
      <w:r w:rsidR="00494E03">
        <w:t>llowing</w:t>
      </w:r>
      <w:r w:rsidR="00467EF3">
        <w:t xml:space="preserve"> Ombudsmen to submit reports via e-mail messages and eliminating the collection of information not specifically enumerated for collection in PL 106-404</w:t>
      </w:r>
      <w:r w:rsidR="00494E03">
        <w:t xml:space="preserve"> accounted for a savings of seventeen hours</w:t>
      </w:r>
      <w:r w:rsidR="007503AD">
        <w:t xml:space="preserve"> and $1,040</w:t>
      </w:r>
      <w:r w:rsidR="00155053">
        <w:t>.</w:t>
      </w:r>
      <w:r w:rsidR="00494E03">
        <w:t xml:space="preserve"> A reduction in the number of ombudsmen </w:t>
      </w:r>
      <w:r w:rsidR="007503AD">
        <w:t xml:space="preserve">from twenty-two to seventeen </w:t>
      </w:r>
      <w:r w:rsidR="00866692">
        <w:t>resulted in a savings of ten hours and $610.</w:t>
      </w:r>
    </w:p>
    <w:p w14:paraId="711DDC6E" w14:textId="77777777" w:rsidR="008D0464" w:rsidRDefault="008D0464"/>
    <w:p w14:paraId="219E5FC6" w14:textId="77777777" w:rsidR="008D0464" w:rsidRDefault="008D0464"/>
    <w:p w14:paraId="53CCF37D" w14:textId="77777777" w:rsidR="008D0464" w:rsidRDefault="008D0464">
      <w:pPr>
        <w:tabs>
          <w:tab w:val="left" w:pos="-1440"/>
        </w:tabs>
        <w:ind w:left="720" w:hanging="720"/>
        <w:rPr>
          <w:b/>
          <w:bCs/>
        </w:rPr>
      </w:pPr>
      <w:r>
        <w:rPr>
          <w:b/>
          <w:bCs/>
        </w:rPr>
        <w:t>16.</w:t>
      </w:r>
      <w:r>
        <w:rPr>
          <w:b/>
          <w:bCs/>
        </w:rPr>
        <w:tab/>
      </w:r>
      <w:r w:rsidRPr="00981A4A">
        <w:rPr>
          <w:b/>
          <w:bCs/>
          <w:u w:val="single"/>
        </w:rPr>
        <w:t>For collections of information whose results will be published, outline plans for tabulation and publication.</w:t>
      </w:r>
      <w:r>
        <w:rPr>
          <w:b/>
          <w:bCs/>
        </w:rPr>
        <w:t xml:space="preserve">  </w:t>
      </w:r>
    </w:p>
    <w:p w14:paraId="78A5E3F7" w14:textId="77777777" w:rsidR="008D0464" w:rsidRDefault="008D0464"/>
    <w:p w14:paraId="0F27679B" w14:textId="77777777" w:rsidR="008D0464" w:rsidRDefault="008D0464">
      <w:pPr>
        <w:ind w:left="720"/>
      </w:pPr>
      <w:r>
        <w:t>This information collection is not published, or subjected to statistical analysis.</w:t>
      </w:r>
    </w:p>
    <w:p w14:paraId="75BE55EF" w14:textId="77777777" w:rsidR="008D0464" w:rsidRDefault="008D0464"/>
    <w:p w14:paraId="21F3AD9C" w14:textId="77777777" w:rsidR="008D0464" w:rsidRDefault="008D0464"/>
    <w:p w14:paraId="1C57EFD9" w14:textId="77777777" w:rsidR="008D0464" w:rsidRDefault="008D0464">
      <w:pPr>
        <w:tabs>
          <w:tab w:val="left" w:pos="-1440"/>
        </w:tabs>
        <w:ind w:left="720" w:hanging="720"/>
        <w:rPr>
          <w:b/>
          <w:bCs/>
        </w:rPr>
      </w:pPr>
      <w:r>
        <w:rPr>
          <w:b/>
          <w:bCs/>
        </w:rPr>
        <w:t>17.</w:t>
      </w:r>
      <w:r>
        <w:rPr>
          <w:b/>
          <w:bCs/>
        </w:rPr>
        <w:tab/>
      </w:r>
      <w:r w:rsidRPr="00981A4A">
        <w:rPr>
          <w:b/>
          <w:bCs/>
          <w:u w:val="single"/>
        </w:rPr>
        <w:t>If seeking approval to not display the expiration date for OMB approval of the information collection, explain the reasons that display would be inappropriate.</w:t>
      </w:r>
    </w:p>
    <w:p w14:paraId="749917D1" w14:textId="77777777" w:rsidR="008D0464" w:rsidRDefault="008D0464"/>
    <w:p w14:paraId="3033B1C6" w14:textId="77777777" w:rsidR="008D0464" w:rsidRDefault="008D0464">
      <w:pPr>
        <w:ind w:left="720"/>
      </w:pPr>
      <w:r>
        <w:t>The Department is not seeking approval to not display the expiration date for OMB approval of this information collection.</w:t>
      </w:r>
    </w:p>
    <w:p w14:paraId="4A37D4B7" w14:textId="77777777" w:rsidR="008D0464" w:rsidRDefault="008D0464"/>
    <w:p w14:paraId="5AE85DE0" w14:textId="77777777" w:rsidR="008D0464" w:rsidRDefault="008D0464"/>
    <w:p w14:paraId="1F663BB6" w14:textId="77777777" w:rsidR="008D0464" w:rsidRDefault="008D0464">
      <w:pPr>
        <w:tabs>
          <w:tab w:val="left" w:pos="-1440"/>
        </w:tabs>
        <w:ind w:left="720" w:hanging="720"/>
        <w:rPr>
          <w:b/>
          <w:bCs/>
        </w:rPr>
      </w:pPr>
      <w:r>
        <w:rPr>
          <w:b/>
          <w:bCs/>
        </w:rPr>
        <w:t>18.</w:t>
      </w:r>
      <w:r>
        <w:rPr>
          <w:b/>
          <w:bCs/>
        </w:rPr>
        <w:tab/>
      </w:r>
      <w:r w:rsidRPr="00B806EB">
        <w:rPr>
          <w:b/>
          <w:bCs/>
          <w:u w:val="single"/>
        </w:rPr>
        <w:t>Explain each exception to the certification statem</w:t>
      </w:r>
      <w:r w:rsidR="00B806EB" w:rsidRPr="00B806EB">
        <w:rPr>
          <w:b/>
          <w:bCs/>
          <w:u w:val="single"/>
        </w:rPr>
        <w:t xml:space="preserve">ent identified in Item 19, </w:t>
      </w:r>
      <w:r w:rsidRPr="00B806EB">
        <w:rPr>
          <w:b/>
          <w:bCs/>
          <w:u w:val="single"/>
        </w:rPr>
        <w:t>of OMB Form 83-I.</w:t>
      </w:r>
    </w:p>
    <w:p w14:paraId="300D66B9" w14:textId="77777777" w:rsidR="008D0464" w:rsidRDefault="008D0464"/>
    <w:p w14:paraId="0D2A8421" w14:textId="16B74654" w:rsidR="00F01849" w:rsidRDefault="008D0464" w:rsidP="00F01849">
      <w:pPr>
        <w:ind w:left="720"/>
      </w:pPr>
      <w:r>
        <w:t xml:space="preserve">This collection of information has been reviewed and is justified by </w:t>
      </w:r>
      <w:r w:rsidR="008D6CDD">
        <w:t>d</w:t>
      </w:r>
      <w:r>
        <w:t>epartmental management requirements, statutes, external regulations or interagency reporting requirements, Departmental Orders or other internal DOE requirements, and meets the requirements listed in the Certification for Paperwork Reduction Act Submissions.  There are no exceptions to discuss.</w:t>
      </w:r>
    </w:p>
    <w:sectPr w:rsidR="00F01849" w:rsidSect="008D0464">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3ED47" w14:textId="77777777" w:rsidR="00004768" w:rsidRDefault="00004768" w:rsidP="000B2F01">
      <w:r>
        <w:separator/>
      </w:r>
    </w:p>
  </w:endnote>
  <w:endnote w:type="continuationSeparator" w:id="0">
    <w:p w14:paraId="1D9686E5" w14:textId="77777777" w:rsidR="00004768" w:rsidRDefault="00004768" w:rsidP="000B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89A91" w14:textId="77777777" w:rsidR="000B2F01" w:rsidRDefault="000B2F01">
    <w:pPr>
      <w:pStyle w:val="Footer"/>
      <w:jc w:val="center"/>
    </w:pPr>
    <w:r>
      <w:fldChar w:fldCharType="begin"/>
    </w:r>
    <w:r>
      <w:instrText xml:space="preserve"> PAGE   \* MERGEFORMAT </w:instrText>
    </w:r>
    <w:r>
      <w:fldChar w:fldCharType="separate"/>
    </w:r>
    <w:r w:rsidR="00B3000C">
      <w:rPr>
        <w:noProof/>
      </w:rPr>
      <w:t>1</w:t>
    </w:r>
    <w:r>
      <w:rPr>
        <w:noProof/>
      </w:rPr>
      <w:fldChar w:fldCharType="end"/>
    </w:r>
  </w:p>
  <w:p w14:paraId="10CE834C" w14:textId="77777777" w:rsidR="000B2F01" w:rsidRDefault="000B2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674DC" w14:textId="77777777" w:rsidR="00004768" w:rsidRDefault="00004768" w:rsidP="000B2F01">
      <w:r>
        <w:separator/>
      </w:r>
    </w:p>
  </w:footnote>
  <w:footnote w:type="continuationSeparator" w:id="0">
    <w:p w14:paraId="4A0F8089" w14:textId="77777777" w:rsidR="00004768" w:rsidRDefault="00004768" w:rsidP="000B2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6660"/>
    <w:multiLevelType w:val="hybridMultilevel"/>
    <w:tmpl w:val="AA58816E"/>
    <w:lvl w:ilvl="0" w:tplc="064AA89A">
      <w:start w:val="2"/>
      <w:numFmt w:val="upp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4D11D3"/>
    <w:multiLevelType w:val="hybridMultilevel"/>
    <w:tmpl w:val="09D828F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B94BE2"/>
    <w:multiLevelType w:val="hybridMultilevel"/>
    <w:tmpl w:val="DC789FBE"/>
    <w:lvl w:ilvl="0" w:tplc="C21AF612">
      <w:start w:val="1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464"/>
    <w:rsid w:val="00004768"/>
    <w:rsid w:val="00054E77"/>
    <w:rsid w:val="000561EC"/>
    <w:rsid w:val="000A2AC0"/>
    <w:rsid w:val="000B2F01"/>
    <w:rsid w:val="000C649C"/>
    <w:rsid w:val="001163A6"/>
    <w:rsid w:val="00117004"/>
    <w:rsid w:val="001265CE"/>
    <w:rsid w:val="00145890"/>
    <w:rsid w:val="00155053"/>
    <w:rsid w:val="001747F2"/>
    <w:rsid w:val="0017710C"/>
    <w:rsid w:val="00187C4F"/>
    <w:rsid w:val="001C5841"/>
    <w:rsid w:val="001D67A7"/>
    <w:rsid w:val="0021768E"/>
    <w:rsid w:val="002245D9"/>
    <w:rsid w:val="00250960"/>
    <w:rsid w:val="002A131E"/>
    <w:rsid w:val="00346491"/>
    <w:rsid w:val="00391B8C"/>
    <w:rsid w:val="003D129C"/>
    <w:rsid w:val="00467EF3"/>
    <w:rsid w:val="00472FB1"/>
    <w:rsid w:val="004805DA"/>
    <w:rsid w:val="00494E03"/>
    <w:rsid w:val="0051136B"/>
    <w:rsid w:val="005116C2"/>
    <w:rsid w:val="00513C3B"/>
    <w:rsid w:val="005D717B"/>
    <w:rsid w:val="005D7EC0"/>
    <w:rsid w:val="005E7829"/>
    <w:rsid w:val="0066637C"/>
    <w:rsid w:val="00682257"/>
    <w:rsid w:val="006C193B"/>
    <w:rsid w:val="00745F5C"/>
    <w:rsid w:val="007503AD"/>
    <w:rsid w:val="00770BDB"/>
    <w:rsid w:val="007824A0"/>
    <w:rsid w:val="007C4762"/>
    <w:rsid w:val="00841583"/>
    <w:rsid w:val="00866692"/>
    <w:rsid w:val="00871CAA"/>
    <w:rsid w:val="00876749"/>
    <w:rsid w:val="008C0431"/>
    <w:rsid w:val="008D0464"/>
    <w:rsid w:val="008D6CDD"/>
    <w:rsid w:val="008F2CE7"/>
    <w:rsid w:val="00905EC0"/>
    <w:rsid w:val="009725F3"/>
    <w:rsid w:val="00981A4A"/>
    <w:rsid w:val="00986E63"/>
    <w:rsid w:val="009B72B5"/>
    <w:rsid w:val="009D1A2D"/>
    <w:rsid w:val="00A12D1E"/>
    <w:rsid w:val="00A62360"/>
    <w:rsid w:val="00AE34CD"/>
    <w:rsid w:val="00B3000C"/>
    <w:rsid w:val="00B57E7C"/>
    <w:rsid w:val="00B806EB"/>
    <w:rsid w:val="00C064C4"/>
    <w:rsid w:val="00C14F28"/>
    <w:rsid w:val="00C573CE"/>
    <w:rsid w:val="00C73F12"/>
    <w:rsid w:val="00C82356"/>
    <w:rsid w:val="00CB66C9"/>
    <w:rsid w:val="00D10122"/>
    <w:rsid w:val="00DE0FE2"/>
    <w:rsid w:val="00DE6771"/>
    <w:rsid w:val="00E1256F"/>
    <w:rsid w:val="00E512F3"/>
    <w:rsid w:val="00E7657C"/>
    <w:rsid w:val="00F01849"/>
    <w:rsid w:val="00F27EB3"/>
    <w:rsid w:val="00F42B2C"/>
    <w:rsid w:val="00F47A7B"/>
    <w:rsid w:val="00F55C6F"/>
    <w:rsid w:val="00F74B02"/>
    <w:rsid w:val="00F92386"/>
    <w:rsid w:val="00FD395D"/>
    <w:rsid w:val="00FF5029"/>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8B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2F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PlainText">
    <w:name w:val="Plain Text"/>
    <w:basedOn w:val="Normal"/>
    <w:link w:val="PlainTextChar"/>
    <w:uiPriority w:val="99"/>
    <w:unhideWhenUsed/>
    <w:rsid w:val="009725F3"/>
    <w:pPr>
      <w:widowControl/>
      <w:autoSpaceDE/>
      <w:autoSpaceDN/>
      <w:adjustRightInd/>
    </w:pPr>
    <w:rPr>
      <w:rFonts w:ascii="Comic Sans MS" w:eastAsia="Calibri" w:hAnsi="Comic Sans MS"/>
      <w:color w:val="008000"/>
    </w:rPr>
  </w:style>
  <w:style w:type="character" w:customStyle="1" w:styleId="PlainTextChar">
    <w:name w:val="Plain Text Char"/>
    <w:link w:val="PlainText"/>
    <w:uiPriority w:val="99"/>
    <w:rsid w:val="009725F3"/>
    <w:rPr>
      <w:rFonts w:ascii="Comic Sans MS" w:eastAsia="Calibri" w:hAnsi="Comic Sans MS" w:cs="Times New Roman"/>
      <w:color w:val="008000"/>
      <w:sz w:val="24"/>
      <w:szCs w:val="24"/>
    </w:rPr>
  </w:style>
  <w:style w:type="paragraph" w:styleId="Header">
    <w:name w:val="header"/>
    <w:basedOn w:val="Normal"/>
    <w:link w:val="HeaderChar"/>
    <w:rsid w:val="000B2F01"/>
    <w:pPr>
      <w:tabs>
        <w:tab w:val="center" w:pos="4680"/>
        <w:tab w:val="right" w:pos="9360"/>
      </w:tabs>
    </w:pPr>
  </w:style>
  <w:style w:type="character" w:customStyle="1" w:styleId="HeaderChar">
    <w:name w:val="Header Char"/>
    <w:link w:val="Header"/>
    <w:rsid w:val="000B2F01"/>
    <w:rPr>
      <w:sz w:val="24"/>
      <w:szCs w:val="24"/>
    </w:rPr>
  </w:style>
  <w:style w:type="paragraph" w:styleId="Footer">
    <w:name w:val="footer"/>
    <w:basedOn w:val="Normal"/>
    <w:link w:val="FooterChar"/>
    <w:uiPriority w:val="99"/>
    <w:rsid w:val="000B2F01"/>
    <w:pPr>
      <w:tabs>
        <w:tab w:val="center" w:pos="4680"/>
        <w:tab w:val="right" w:pos="9360"/>
      </w:tabs>
    </w:pPr>
  </w:style>
  <w:style w:type="character" w:customStyle="1" w:styleId="FooterChar">
    <w:name w:val="Footer Char"/>
    <w:link w:val="Footer"/>
    <w:uiPriority w:val="99"/>
    <w:rsid w:val="000B2F01"/>
    <w:rPr>
      <w:sz w:val="24"/>
      <w:szCs w:val="24"/>
    </w:rPr>
  </w:style>
  <w:style w:type="paragraph" w:styleId="HTMLPreformatted">
    <w:name w:val="HTML Preformatted"/>
    <w:basedOn w:val="Normal"/>
    <w:link w:val="HTMLPreformattedChar"/>
    <w:rsid w:val="006C1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rsid w:val="006C193B"/>
    <w:rPr>
      <w:rFonts w:ascii="Courier New" w:hAnsi="Courier New" w:cs="Courier New"/>
    </w:rPr>
  </w:style>
  <w:style w:type="paragraph" w:styleId="BalloonText">
    <w:name w:val="Balloon Text"/>
    <w:basedOn w:val="Normal"/>
    <w:link w:val="BalloonTextChar"/>
    <w:rsid w:val="000A2AC0"/>
    <w:rPr>
      <w:rFonts w:ascii="Segoe UI" w:hAnsi="Segoe UI" w:cs="Segoe UI"/>
      <w:sz w:val="18"/>
      <w:szCs w:val="18"/>
    </w:rPr>
  </w:style>
  <w:style w:type="character" w:customStyle="1" w:styleId="BalloonTextChar">
    <w:name w:val="Balloon Text Char"/>
    <w:basedOn w:val="DefaultParagraphFont"/>
    <w:link w:val="BalloonText"/>
    <w:rsid w:val="000A2AC0"/>
    <w:rPr>
      <w:rFonts w:ascii="Segoe UI" w:hAnsi="Segoe UI" w:cs="Segoe UI"/>
      <w:sz w:val="18"/>
      <w:szCs w:val="18"/>
    </w:rPr>
  </w:style>
  <w:style w:type="character" w:styleId="CommentReference">
    <w:name w:val="annotation reference"/>
    <w:basedOn w:val="DefaultParagraphFont"/>
    <w:rsid w:val="000A2AC0"/>
    <w:rPr>
      <w:sz w:val="16"/>
      <w:szCs w:val="16"/>
    </w:rPr>
  </w:style>
  <w:style w:type="paragraph" w:styleId="CommentText">
    <w:name w:val="annotation text"/>
    <w:basedOn w:val="Normal"/>
    <w:link w:val="CommentTextChar"/>
    <w:rsid w:val="000A2AC0"/>
    <w:rPr>
      <w:sz w:val="20"/>
      <w:szCs w:val="20"/>
    </w:rPr>
  </w:style>
  <w:style w:type="character" w:customStyle="1" w:styleId="CommentTextChar">
    <w:name w:val="Comment Text Char"/>
    <w:basedOn w:val="DefaultParagraphFont"/>
    <w:link w:val="CommentText"/>
    <w:rsid w:val="000A2AC0"/>
  </w:style>
  <w:style w:type="paragraph" w:styleId="CommentSubject">
    <w:name w:val="annotation subject"/>
    <w:basedOn w:val="CommentText"/>
    <w:next w:val="CommentText"/>
    <w:link w:val="CommentSubjectChar"/>
    <w:rsid w:val="000A2AC0"/>
    <w:rPr>
      <w:b/>
      <w:bCs/>
    </w:rPr>
  </w:style>
  <w:style w:type="character" w:customStyle="1" w:styleId="CommentSubjectChar">
    <w:name w:val="Comment Subject Char"/>
    <w:basedOn w:val="CommentTextChar"/>
    <w:link w:val="CommentSubject"/>
    <w:rsid w:val="000A2A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2F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PlainText">
    <w:name w:val="Plain Text"/>
    <w:basedOn w:val="Normal"/>
    <w:link w:val="PlainTextChar"/>
    <w:uiPriority w:val="99"/>
    <w:unhideWhenUsed/>
    <w:rsid w:val="009725F3"/>
    <w:pPr>
      <w:widowControl/>
      <w:autoSpaceDE/>
      <w:autoSpaceDN/>
      <w:adjustRightInd/>
    </w:pPr>
    <w:rPr>
      <w:rFonts w:ascii="Comic Sans MS" w:eastAsia="Calibri" w:hAnsi="Comic Sans MS"/>
      <w:color w:val="008000"/>
    </w:rPr>
  </w:style>
  <w:style w:type="character" w:customStyle="1" w:styleId="PlainTextChar">
    <w:name w:val="Plain Text Char"/>
    <w:link w:val="PlainText"/>
    <w:uiPriority w:val="99"/>
    <w:rsid w:val="009725F3"/>
    <w:rPr>
      <w:rFonts w:ascii="Comic Sans MS" w:eastAsia="Calibri" w:hAnsi="Comic Sans MS" w:cs="Times New Roman"/>
      <w:color w:val="008000"/>
      <w:sz w:val="24"/>
      <w:szCs w:val="24"/>
    </w:rPr>
  </w:style>
  <w:style w:type="paragraph" w:styleId="Header">
    <w:name w:val="header"/>
    <w:basedOn w:val="Normal"/>
    <w:link w:val="HeaderChar"/>
    <w:rsid w:val="000B2F01"/>
    <w:pPr>
      <w:tabs>
        <w:tab w:val="center" w:pos="4680"/>
        <w:tab w:val="right" w:pos="9360"/>
      </w:tabs>
    </w:pPr>
  </w:style>
  <w:style w:type="character" w:customStyle="1" w:styleId="HeaderChar">
    <w:name w:val="Header Char"/>
    <w:link w:val="Header"/>
    <w:rsid w:val="000B2F01"/>
    <w:rPr>
      <w:sz w:val="24"/>
      <w:szCs w:val="24"/>
    </w:rPr>
  </w:style>
  <w:style w:type="paragraph" w:styleId="Footer">
    <w:name w:val="footer"/>
    <w:basedOn w:val="Normal"/>
    <w:link w:val="FooterChar"/>
    <w:uiPriority w:val="99"/>
    <w:rsid w:val="000B2F01"/>
    <w:pPr>
      <w:tabs>
        <w:tab w:val="center" w:pos="4680"/>
        <w:tab w:val="right" w:pos="9360"/>
      </w:tabs>
    </w:pPr>
  </w:style>
  <w:style w:type="character" w:customStyle="1" w:styleId="FooterChar">
    <w:name w:val="Footer Char"/>
    <w:link w:val="Footer"/>
    <w:uiPriority w:val="99"/>
    <w:rsid w:val="000B2F01"/>
    <w:rPr>
      <w:sz w:val="24"/>
      <w:szCs w:val="24"/>
    </w:rPr>
  </w:style>
  <w:style w:type="paragraph" w:styleId="HTMLPreformatted">
    <w:name w:val="HTML Preformatted"/>
    <w:basedOn w:val="Normal"/>
    <w:link w:val="HTMLPreformattedChar"/>
    <w:rsid w:val="006C1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rsid w:val="006C193B"/>
    <w:rPr>
      <w:rFonts w:ascii="Courier New" w:hAnsi="Courier New" w:cs="Courier New"/>
    </w:rPr>
  </w:style>
  <w:style w:type="paragraph" w:styleId="BalloonText">
    <w:name w:val="Balloon Text"/>
    <w:basedOn w:val="Normal"/>
    <w:link w:val="BalloonTextChar"/>
    <w:rsid w:val="000A2AC0"/>
    <w:rPr>
      <w:rFonts w:ascii="Segoe UI" w:hAnsi="Segoe UI" w:cs="Segoe UI"/>
      <w:sz w:val="18"/>
      <w:szCs w:val="18"/>
    </w:rPr>
  </w:style>
  <w:style w:type="character" w:customStyle="1" w:styleId="BalloonTextChar">
    <w:name w:val="Balloon Text Char"/>
    <w:basedOn w:val="DefaultParagraphFont"/>
    <w:link w:val="BalloonText"/>
    <w:rsid w:val="000A2AC0"/>
    <w:rPr>
      <w:rFonts w:ascii="Segoe UI" w:hAnsi="Segoe UI" w:cs="Segoe UI"/>
      <w:sz w:val="18"/>
      <w:szCs w:val="18"/>
    </w:rPr>
  </w:style>
  <w:style w:type="character" w:styleId="CommentReference">
    <w:name w:val="annotation reference"/>
    <w:basedOn w:val="DefaultParagraphFont"/>
    <w:rsid w:val="000A2AC0"/>
    <w:rPr>
      <w:sz w:val="16"/>
      <w:szCs w:val="16"/>
    </w:rPr>
  </w:style>
  <w:style w:type="paragraph" w:styleId="CommentText">
    <w:name w:val="annotation text"/>
    <w:basedOn w:val="Normal"/>
    <w:link w:val="CommentTextChar"/>
    <w:rsid w:val="000A2AC0"/>
    <w:rPr>
      <w:sz w:val="20"/>
      <w:szCs w:val="20"/>
    </w:rPr>
  </w:style>
  <w:style w:type="character" w:customStyle="1" w:styleId="CommentTextChar">
    <w:name w:val="Comment Text Char"/>
    <w:basedOn w:val="DefaultParagraphFont"/>
    <w:link w:val="CommentText"/>
    <w:rsid w:val="000A2AC0"/>
  </w:style>
  <w:style w:type="paragraph" w:styleId="CommentSubject">
    <w:name w:val="annotation subject"/>
    <w:basedOn w:val="CommentText"/>
    <w:next w:val="CommentText"/>
    <w:link w:val="CommentSubjectChar"/>
    <w:rsid w:val="000A2AC0"/>
    <w:rPr>
      <w:b/>
      <w:bCs/>
    </w:rPr>
  </w:style>
  <w:style w:type="character" w:customStyle="1" w:styleId="CommentSubjectChar">
    <w:name w:val="Comment Subject Char"/>
    <w:basedOn w:val="CommentTextChar"/>
    <w:link w:val="CommentSubject"/>
    <w:rsid w:val="000A2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9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F0D1A-67B8-49FB-81A1-BB0513B2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Energy</Company>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hollagr</dc:creator>
  <cp:keywords/>
  <cp:lastModifiedBy>SYSTEM</cp:lastModifiedBy>
  <cp:revision>2</cp:revision>
  <cp:lastPrinted>2008-09-15T11:30:00Z</cp:lastPrinted>
  <dcterms:created xsi:type="dcterms:W3CDTF">2019-04-24T19:26:00Z</dcterms:created>
  <dcterms:modified xsi:type="dcterms:W3CDTF">2019-04-24T19:26:00Z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