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F17E4A" w14:textId="77777777" w:rsidR="006E492A" w:rsidRPr="00D15828" w:rsidRDefault="006E492A" w:rsidP="006E492A">
      <w:pPr>
        <w:pStyle w:val="CM24"/>
        <w:spacing w:after="0" w:line="360" w:lineRule="atLeast"/>
        <w:jc w:val="center"/>
        <w:rPr>
          <w:b/>
          <w:bCs/>
          <w:color w:val="000000"/>
          <w:sz w:val="28"/>
          <w:szCs w:val="28"/>
        </w:rPr>
      </w:pPr>
      <w:bookmarkStart w:id="0" w:name="_GoBack"/>
      <w:bookmarkEnd w:id="0"/>
    </w:p>
    <w:p w14:paraId="2B86C8DB" w14:textId="77777777" w:rsidR="006E492A" w:rsidRPr="00D15828" w:rsidRDefault="006E492A" w:rsidP="006E492A">
      <w:pPr>
        <w:pStyle w:val="CM24"/>
        <w:spacing w:after="0" w:line="360" w:lineRule="atLeast"/>
        <w:jc w:val="center"/>
        <w:rPr>
          <w:b/>
          <w:bCs/>
          <w:color w:val="000000"/>
          <w:sz w:val="28"/>
          <w:szCs w:val="28"/>
        </w:rPr>
      </w:pPr>
    </w:p>
    <w:p w14:paraId="6CD44994" w14:textId="77777777" w:rsidR="006E492A" w:rsidRPr="00D15828" w:rsidRDefault="006E492A" w:rsidP="006E492A">
      <w:pPr>
        <w:pStyle w:val="CM24"/>
        <w:spacing w:after="0" w:line="360" w:lineRule="atLeast"/>
        <w:jc w:val="center"/>
        <w:rPr>
          <w:b/>
          <w:bCs/>
          <w:color w:val="000000"/>
          <w:sz w:val="28"/>
          <w:szCs w:val="28"/>
        </w:rPr>
      </w:pPr>
    </w:p>
    <w:p w14:paraId="2717B2AC" w14:textId="77777777" w:rsidR="006E492A" w:rsidRPr="00D15828" w:rsidRDefault="006E492A" w:rsidP="006E492A">
      <w:pPr>
        <w:pStyle w:val="CM24"/>
        <w:spacing w:after="0" w:line="360" w:lineRule="atLeast"/>
        <w:jc w:val="center"/>
        <w:rPr>
          <w:b/>
          <w:bCs/>
          <w:color w:val="000000"/>
          <w:sz w:val="28"/>
          <w:szCs w:val="28"/>
        </w:rPr>
      </w:pPr>
    </w:p>
    <w:p w14:paraId="532E265B" w14:textId="77777777" w:rsidR="006E492A" w:rsidRPr="00D15828" w:rsidRDefault="006E492A" w:rsidP="006E492A">
      <w:pPr>
        <w:pStyle w:val="CM24"/>
        <w:spacing w:after="0" w:line="360" w:lineRule="atLeast"/>
        <w:jc w:val="center"/>
        <w:rPr>
          <w:b/>
          <w:bCs/>
          <w:color w:val="000000"/>
          <w:sz w:val="28"/>
          <w:szCs w:val="28"/>
        </w:rPr>
      </w:pPr>
    </w:p>
    <w:p w14:paraId="2C8261E7" w14:textId="77777777" w:rsidR="006E492A" w:rsidRPr="00D15828" w:rsidRDefault="006E492A" w:rsidP="006E492A">
      <w:pPr>
        <w:pStyle w:val="CM24"/>
        <w:spacing w:after="0" w:line="360" w:lineRule="atLeast"/>
        <w:jc w:val="center"/>
        <w:rPr>
          <w:b/>
          <w:bCs/>
          <w:color w:val="000000"/>
          <w:sz w:val="28"/>
          <w:szCs w:val="28"/>
        </w:rPr>
      </w:pPr>
    </w:p>
    <w:p w14:paraId="20F2A387" w14:textId="77777777" w:rsidR="006E492A" w:rsidRPr="00D15828" w:rsidRDefault="006E492A" w:rsidP="006E492A">
      <w:pPr>
        <w:pStyle w:val="CM24"/>
        <w:spacing w:after="0" w:line="360" w:lineRule="atLeast"/>
        <w:jc w:val="center"/>
        <w:rPr>
          <w:b/>
          <w:bCs/>
          <w:color w:val="000000"/>
          <w:sz w:val="28"/>
          <w:szCs w:val="28"/>
        </w:rPr>
      </w:pPr>
    </w:p>
    <w:p w14:paraId="177825E5" w14:textId="77777777" w:rsidR="006E492A" w:rsidRPr="00D15828" w:rsidRDefault="006E492A" w:rsidP="006E492A">
      <w:pPr>
        <w:pStyle w:val="CM24"/>
        <w:spacing w:after="0" w:line="360" w:lineRule="atLeast"/>
        <w:jc w:val="center"/>
        <w:rPr>
          <w:b/>
          <w:bCs/>
          <w:color w:val="000000"/>
          <w:sz w:val="28"/>
          <w:szCs w:val="28"/>
        </w:rPr>
      </w:pPr>
    </w:p>
    <w:p w14:paraId="77529057" w14:textId="77777777" w:rsidR="006E492A" w:rsidRDefault="006E492A" w:rsidP="006E492A">
      <w:pPr>
        <w:pStyle w:val="CM24"/>
        <w:spacing w:after="0" w:line="360" w:lineRule="atLeast"/>
        <w:jc w:val="center"/>
        <w:rPr>
          <w:rFonts w:ascii="Times New Roman" w:hAnsi="Times New Roman" w:cs="Times New Roman"/>
          <w:b/>
          <w:bCs/>
          <w:color w:val="000000"/>
        </w:rPr>
      </w:pPr>
      <w:r w:rsidRPr="00D15828">
        <w:rPr>
          <w:rFonts w:ascii="Times New Roman" w:hAnsi="Times New Roman" w:cs="Times New Roman"/>
          <w:b/>
          <w:bCs/>
          <w:color w:val="000000"/>
        </w:rPr>
        <w:t xml:space="preserve">SUPPORTING STATEMENT FOR </w:t>
      </w:r>
    </w:p>
    <w:p w14:paraId="357844C1" w14:textId="73D9EF32" w:rsidR="006E492A" w:rsidRPr="00D15828" w:rsidRDefault="006E492A" w:rsidP="006E492A">
      <w:pPr>
        <w:pStyle w:val="CM24"/>
        <w:spacing w:after="0" w:line="360" w:lineRule="atLeast"/>
        <w:jc w:val="center"/>
        <w:rPr>
          <w:rFonts w:ascii="Times New Roman" w:hAnsi="Times New Roman" w:cs="Times New Roman"/>
          <w:b/>
          <w:bCs/>
          <w:color w:val="000000"/>
        </w:rPr>
      </w:pPr>
      <w:r w:rsidRPr="00D15828">
        <w:rPr>
          <w:rFonts w:ascii="Times New Roman" w:hAnsi="Times New Roman" w:cs="Times New Roman"/>
          <w:b/>
          <w:bCs/>
          <w:color w:val="000000"/>
        </w:rPr>
        <w:t xml:space="preserve">EPA INFORMATION COLLECTION REQUEST NUMBER </w:t>
      </w:r>
      <w:r w:rsidR="0072270C">
        <w:rPr>
          <w:rFonts w:ascii="Times New Roman" w:hAnsi="Times New Roman" w:cs="Times New Roman"/>
          <w:b/>
          <w:bCs/>
          <w:color w:val="000000"/>
        </w:rPr>
        <w:t>2589.0</w:t>
      </w:r>
      <w:r w:rsidR="003F48D6">
        <w:rPr>
          <w:rFonts w:ascii="Times New Roman" w:hAnsi="Times New Roman" w:cs="Times New Roman"/>
          <w:b/>
          <w:bCs/>
          <w:color w:val="000000"/>
        </w:rPr>
        <w:t>4</w:t>
      </w:r>
      <w:r w:rsidRPr="00D15828">
        <w:rPr>
          <w:rFonts w:ascii="Times New Roman" w:hAnsi="Times New Roman" w:cs="Times New Roman"/>
          <w:b/>
          <w:bCs/>
          <w:color w:val="000000"/>
        </w:rPr>
        <w:t xml:space="preserve"> </w:t>
      </w:r>
    </w:p>
    <w:p w14:paraId="61F2705C" w14:textId="77777777" w:rsidR="006E492A" w:rsidRPr="00D15828" w:rsidRDefault="006E492A" w:rsidP="006E492A">
      <w:pPr>
        <w:pStyle w:val="CM24"/>
        <w:spacing w:after="0" w:line="360" w:lineRule="atLeast"/>
        <w:jc w:val="center"/>
        <w:rPr>
          <w:rFonts w:ascii="Times New Roman" w:hAnsi="Times New Roman" w:cs="Times New Roman"/>
          <w:b/>
          <w:bCs/>
          <w:color w:val="000000"/>
        </w:rPr>
      </w:pPr>
    </w:p>
    <w:p w14:paraId="2CCD67DE" w14:textId="5642C19D" w:rsidR="006E492A" w:rsidRPr="0064226C" w:rsidRDefault="006E492A" w:rsidP="006E492A">
      <w:pPr>
        <w:pStyle w:val="CM24"/>
        <w:spacing w:after="0" w:line="360" w:lineRule="atLeast"/>
        <w:jc w:val="center"/>
        <w:rPr>
          <w:rFonts w:ascii="Times New Roman" w:hAnsi="Times New Roman" w:cs="Times New Roman"/>
          <w:b/>
          <w:bCs/>
          <w:color w:val="000000"/>
        </w:rPr>
      </w:pPr>
      <w:r w:rsidRPr="0064226C">
        <w:rPr>
          <w:rFonts w:ascii="Times New Roman" w:hAnsi="Times New Roman" w:cs="Times New Roman"/>
          <w:b/>
          <w:bCs/>
          <w:color w:val="000000"/>
        </w:rPr>
        <w:t xml:space="preserve">REPORTING AND RECORDKEEPING REQUIREMENTS FOR THE </w:t>
      </w:r>
      <w:r w:rsidR="00606259">
        <w:rPr>
          <w:rFonts w:ascii="Times New Roman" w:hAnsi="Times New Roman" w:cs="Times New Roman"/>
          <w:b/>
          <w:bCs/>
          <w:color w:val="000000"/>
        </w:rPr>
        <w:t>INTERIM FINAL SAFE MANAGEMENT OF RECALLED AIRBAGS RULE</w:t>
      </w:r>
      <w:r w:rsidR="00EE47E0">
        <w:rPr>
          <w:rFonts w:ascii="Times New Roman" w:hAnsi="Times New Roman" w:cs="Times New Roman"/>
          <w:b/>
          <w:bCs/>
          <w:color w:val="000000"/>
        </w:rPr>
        <w:t xml:space="preserve"> (Renewal)</w:t>
      </w:r>
    </w:p>
    <w:p w14:paraId="5F167F72" w14:textId="77777777" w:rsidR="006E492A" w:rsidRPr="00D15828" w:rsidRDefault="006E492A" w:rsidP="006E492A">
      <w:pPr>
        <w:pStyle w:val="CM1"/>
        <w:jc w:val="center"/>
        <w:rPr>
          <w:rFonts w:ascii="Times New Roman" w:hAnsi="Times New Roman" w:cs="Times New Roman"/>
          <w:b/>
          <w:bCs/>
          <w:color w:val="000000"/>
        </w:rPr>
      </w:pPr>
    </w:p>
    <w:p w14:paraId="7D242369" w14:textId="77777777" w:rsidR="006E492A" w:rsidRPr="00D15828" w:rsidRDefault="006E492A" w:rsidP="006E492A">
      <w:pPr>
        <w:pStyle w:val="Default"/>
        <w:jc w:val="center"/>
        <w:rPr>
          <w:rFonts w:ascii="Times New Roman" w:hAnsi="Times New Roman" w:cs="Times New Roman"/>
        </w:rPr>
      </w:pPr>
    </w:p>
    <w:p w14:paraId="6E6F5BAB" w14:textId="77777777" w:rsidR="006E492A" w:rsidRPr="00D15828" w:rsidRDefault="006E492A" w:rsidP="006E492A">
      <w:pPr>
        <w:pStyle w:val="Default"/>
        <w:jc w:val="center"/>
        <w:rPr>
          <w:rFonts w:ascii="Times New Roman" w:hAnsi="Times New Roman" w:cs="Times New Roman"/>
        </w:rPr>
      </w:pPr>
    </w:p>
    <w:p w14:paraId="411C97F2" w14:textId="77777777" w:rsidR="006E492A" w:rsidRPr="00D15828" w:rsidRDefault="006E492A" w:rsidP="006E492A">
      <w:pPr>
        <w:pStyle w:val="Default"/>
        <w:jc w:val="center"/>
        <w:rPr>
          <w:rFonts w:ascii="Times New Roman" w:hAnsi="Times New Roman" w:cs="Times New Roman"/>
        </w:rPr>
      </w:pPr>
    </w:p>
    <w:p w14:paraId="00FDFD41" w14:textId="77777777" w:rsidR="006E492A" w:rsidRPr="00D15828" w:rsidRDefault="006E492A" w:rsidP="006E492A">
      <w:pPr>
        <w:pStyle w:val="Default"/>
        <w:jc w:val="center"/>
        <w:rPr>
          <w:rFonts w:ascii="Times New Roman" w:hAnsi="Times New Roman" w:cs="Times New Roman"/>
        </w:rPr>
      </w:pPr>
    </w:p>
    <w:p w14:paraId="2AE94E07" w14:textId="77777777" w:rsidR="006E492A" w:rsidRPr="00D15828" w:rsidRDefault="006E492A" w:rsidP="006E492A">
      <w:pPr>
        <w:pStyle w:val="Default"/>
        <w:jc w:val="center"/>
        <w:rPr>
          <w:rFonts w:ascii="Times New Roman" w:hAnsi="Times New Roman" w:cs="Times New Roman"/>
          <w:b/>
        </w:rPr>
      </w:pPr>
    </w:p>
    <w:p w14:paraId="53632AD9" w14:textId="45F2B19F" w:rsidR="006E492A" w:rsidRPr="00D15828" w:rsidRDefault="00EE47E0" w:rsidP="006E492A">
      <w:pPr>
        <w:pStyle w:val="CM1"/>
        <w:jc w:val="center"/>
        <w:rPr>
          <w:rFonts w:ascii="Times New Roman" w:hAnsi="Times New Roman" w:cs="Times New Roman"/>
          <w:color w:val="000000"/>
        </w:rPr>
      </w:pPr>
      <w:r>
        <w:rPr>
          <w:rFonts w:ascii="Times New Roman" w:hAnsi="Times New Roman" w:cs="Times New Roman"/>
          <w:bCs/>
          <w:color w:val="000000"/>
        </w:rPr>
        <w:t xml:space="preserve">April </w:t>
      </w:r>
      <w:r w:rsidR="0066566E">
        <w:rPr>
          <w:rFonts w:ascii="Times New Roman" w:hAnsi="Times New Roman" w:cs="Times New Roman"/>
          <w:bCs/>
          <w:color w:val="000000"/>
        </w:rPr>
        <w:t xml:space="preserve"> 201</w:t>
      </w:r>
      <w:r>
        <w:rPr>
          <w:rFonts w:ascii="Times New Roman" w:hAnsi="Times New Roman" w:cs="Times New Roman"/>
          <w:bCs/>
          <w:color w:val="000000"/>
        </w:rPr>
        <w:t>9</w:t>
      </w:r>
    </w:p>
    <w:p w14:paraId="1E6FB70A" w14:textId="77777777" w:rsidR="006E492A" w:rsidRPr="00D15828" w:rsidRDefault="006E492A" w:rsidP="006E492A"/>
    <w:p w14:paraId="3ECDC184" w14:textId="77777777" w:rsidR="006E492A" w:rsidRDefault="006E492A" w:rsidP="006E492A"/>
    <w:p w14:paraId="7685B858" w14:textId="77777777" w:rsidR="006E492A" w:rsidRDefault="006E492A">
      <w:pPr>
        <w:pStyle w:val="BodyTextIndent"/>
      </w:pPr>
      <w:r>
        <w:br w:type="page"/>
      </w:r>
    </w:p>
    <w:p w14:paraId="02FE0E8B" w14:textId="77777777" w:rsidR="00E05801" w:rsidRPr="00D15828" w:rsidRDefault="00E05801" w:rsidP="00E05801">
      <w:pPr>
        <w:jc w:val="center"/>
        <w:outlineLvl w:val="0"/>
      </w:pPr>
      <w:r w:rsidRPr="00D15828">
        <w:rPr>
          <w:b/>
          <w:bCs/>
        </w:rPr>
        <w:lastRenderedPageBreak/>
        <w:t>TABLE OF CONTENTS</w:t>
      </w:r>
    </w:p>
    <w:p w14:paraId="6780A6A9" w14:textId="77777777" w:rsidR="00E05801" w:rsidRDefault="00E05801" w:rsidP="00E05801"/>
    <w:p w14:paraId="4D869C21" w14:textId="77777777" w:rsidR="00E05801" w:rsidRDefault="00E05801" w:rsidP="00E05801"/>
    <w:p w14:paraId="40207CB3" w14:textId="77777777" w:rsidR="00E05801" w:rsidRDefault="00E05801" w:rsidP="00E05801">
      <w:pPr>
        <w:pStyle w:val="ListParagraph"/>
        <w:numPr>
          <w:ilvl w:val="0"/>
          <w:numId w:val="4"/>
        </w:numPr>
        <w:tabs>
          <w:tab w:val="right" w:leader="dot" w:pos="9360"/>
        </w:tabs>
        <w:ind w:left="360"/>
        <w:contextualSpacing w:val="0"/>
      </w:pPr>
      <w:r>
        <w:t>IDENTIFICATION OF THE INFORMATION COLLECTION</w:t>
      </w:r>
      <w:r>
        <w:tab/>
      </w:r>
      <w:r w:rsidR="00503B65">
        <w:t>4</w:t>
      </w:r>
    </w:p>
    <w:p w14:paraId="395CA948" w14:textId="77777777" w:rsidR="00E05801" w:rsidRDefault="00E05801" w:rsidP="00E05801">
      <w:pPr>
        <w:pStyle w:val="ListParagraph"/>
        <w:tabs>
          <w:tab w:val="right" w:leader="dot" w:pos="9360"/>
        </w:tabs>
        <w:ind w:left="360"/>
        <w:contextualSpacing w:val="0"/>
      </w:pPr>
      <w:r>
        <w:t>1(a)  Title and Number</w:t>
      </w:r>
      <w:r w:rsidR="00503B65">
        <w:t xml:space="preserve"> of the Information Collection</w:t>
      </w:r>
      <w:r w:rsidR="00503B65">
        <w:tab/>
        <w:t>4</w:t>
      </w:r>
    </w:p>
    <w:p w14:paraId="32D70939" w14:textId="77777777" w:rsidR="00E05801" w:rsidRDefault="00503B65" w:rsidP="00E05801">
      <w:pPr>
        <w:pStyle w:val="ListParagraph"/>
        <w:tabs>
          <w:tab w:val="right" w:leader="dot" w:pos="9360"/>
        </w:tabs>
        <w:ind w:left="360"/>
        <w:contextualSpacing w:val="0"/>
      </w:pPr>
      <w:r>
        <w:t>1(b)  Short Characterization</w:t>
      </w:r>
      <w:r>
        <w:tab/>
        <w:t>4</w:t>
      </w:r>
      <w:r w:rsidR="00E05801">
        <w:br/>
      </w:r>
    </w:p>
    <w:p w14:paraId="7E898FEB" w14:textId="77777777" w:rsidR="00E05801" w:rsidRDefault="00E05801" w:rsidP="00E05801">
      <w:pPr>
        <w:pStyle w:val="ListParagraph"/>
        <w:numPr>
          <w:ilvl w:val="0"/>
          <w:numId w:val="4"/>
        </w:numPr>
        <w:tabs>
          <w:tab w:val="right" w:leader="dot" w:pos="9360"/>
        </w:tabs>
        <w:ind w:left="360"/>
        <w:contextualSpacing w:val="0"/>
      </w:pPr>
      <w:r>
        <w:t>NEED FOR AND USE OF THE COLLECTION</w:t>
      </w:r>
      <w:r>
        <w:tab/>
      </w:r>
      <w:r w:rsidR="00503B65">
        <w:t>5</w:t>
      </w:r>
    </w:p>
    <w:p w14:paraId="7E631DC2" w14:textId="77777777" w:rsidR="00E05801" w:rsidRDefault="00E05801" w:rsidP="00E05801">
      <w:pPr>
        <w:pStyle w:val="ListParagraph"/>
        <w:tabs>
          <w:tab w:val="right" w:leader="dot" w:pos="9360"/>
        </w:tabs>
        <w:ind w:left="360"/>
        <w:contextualSpacing w:val="0"/>
      </w:pPr>
      <w:r>
        <w:t>2(a)  Need an</w:t>
      </w:r>
      <w:r w:rsidR="00503B65">
        <w:t>d Authority for the Collection</w:t>
      </w:r>
      <w:r w:rsidR="00503B65">
        <w:tab/>
        <w:t>5</w:t>
      </w:r>
    </w:p>
    <w:p w14:paraId="3B799131" w14:textId="77777777" w:rsidR="00E05801" w:rsidRDefault="00E05801" w:rsidP="00E05801">
      <w:pPr>
        <w:pStyle w:val="ListParagraph"/>
        <w:tabs>
          <w:tab w:val="right" w:leader="dot" w:pos="9360"/>
        </w:tabs>
        <w:ind w:left="360"/>
        <w:contextualSpacing w:val="0"/>
      </w:pPr>
      <w:r>
        <w:t>2(b)  Practical</w:t>
      </w:r>
      <w:r w:rsidR="00503B65">
        <w:t xml:space="preserve"> Utility and Users of the Data</w:t>
      </w:r>
      <w:r w:rsidR="00503B65">
        <w:tab/>
        <w:t>5</w:t>
      </w:r>
      <w:r>
        <w:br/>
      </w:r>
    </w:p>
    <w:p w14:paraId="41C3C610" w14:textId="77777777" w:rsidR="00E05801" w:rsidRDefault="00E05801" w:rsidP="00E05801">
      <w:pPr>
        <w:pStyle w:val="ListParagraph"/>
        <w:numPr>
          <w:ilvl w:val="0"/>
          <w:numId w:val="4"/>
        </w:numPr>
        <w:tabs>
          <w:tab w:val="right" w:leader="dot" w:pos="9360"/>
        </w:tabs>
        <w:ind w:left="360"/>
      </w:pPr>
      <w:r>
        <w:t xml:space="preserve">NONDUPLICATION, CONSULTATIONS, </w:t>
      </w:r>
      <w:r w:rsidR="00503B65">
        <w:t xml:space="preserve">AND OTHER COLLECTION </w:t>
      </w:r>
      <w:r w:rsidR="00503B65">
        <w:br/>
        <w:t>CRITERIA</w:t>
      </w:r>
      <w:r w:rsidR="00503B65">
        <w:tab/>
        <w:t>5</w:t>
      </w:r>
    </w:p>
    <w:p w14:paraId="0E9235AC" w14:textId="77777777" w:rsidR="00E05801" w:rsidRDefault="00503B65" w:rsidP="00E05801">
      <w:pPr>
        <w:pStyle w:val="ListParagraph"/>
        <w:tabs>
          <w:tab w:val="right" w:leader="dot" w:pos="9360"/>
        </w:tabs>
        <w:ind w:left="360"/>
      </w:pPr>
      <w:r>
        <w:t>3(a)  Nonduplication</w:t>
      </w:r>
      <w:r>
        <w:tab/>
        <w:t>5</w:t>
      </w:r>
    </w:p>
    <w:p w14:paraId="1A21C381" w14:textId="77777777" w:rsidR="00E05801" w:rsidRDefault="00503B65" w:rsidP="00E05801">
      <w:pPr>
        <w:pStyle w:val="ListParagraph"/>
        <w:tabs>
          <w:tab w:val="right" w:leader="dot" w:pos="9360"/>
        </w:tabs>
        <w:ind w:left="360"/>
      </w:pPr>
      <w:r>
        <w:t>3(b)  Public Notice</w:t>
      </w:r>
      <w:r>
        <w:tab/>
        <w:t>5</w:t>
      </w:r>
    </w:p>
    <w:p w14:paraId="1C55F24C" w14:textId="3A2316C8" w:rsidR="00E05801" w:rsidRDefault="00B32FA3" w:rsidP="00E05801">
      <w:pPr>
        <w:pStyle w:val="ListParagraph"/>
        <w:tabs>
          <w:tab w:val="right" w:leader="dot" w:pos="9360"/>
        </w:tabs>
        <w:ind w:left="360"/>
      </w:pPr>
      <w:r>
        <w:t>3(c)  Consultations</w:t>
      </w:r>
      <w:r>
        <w:tab/>
        <w:t>5</w:t>
      </w:r>
    </w:p>
    <w:p w14:paraId="283D1D8F" w14:textId="34CB7FCE" w:rsidR="00E05801" w:rsidRDefault="00E05801" w:rsidP="00E05801">
      <w:pPr>
        <w:pStyle w:val="ListParagraph"/>
        <w:tabs>
          <w:tab w:val="right" w:leader="dot" w:pos="9360"/>
        </w:tabs>
        <w:ind w:left="360"/>
      </w:pPr>
      <w:r>
        <w:t>3(d)  Effec</w:t>
      </w:r>
      <w:r w:rsidR="004078AF">
        <w:t>ts of Less Frequent Collection</w:t>
      </w:r>
      <w:r w:rsidR="004078AF">
        <w:tab/>
        <w:t>5</w:t>
      </w:r>
    </w:p>
    <w:p w14:paraId="4BA3C985" w14:textId="77777777" w:rsidR="00E05801" w:rsidRDefault="00503B65" w:rsidP="00E05801">
      <w:pPr>
        <w:pStyle w:val="ListParagraph"/>
        <w:tabs>
          <w:tab w:val="right" w:leader="dot" w:pos="9360"/>
        </w:tabs>
        <w:ind w:left="360"/>
      </w:pPr>
      <w:r>
        <w:t>3(e)  General Guidelines</w:t>
      </w:r>
      <w:r>
        <w:tab/>
        <w:t>6</w:t>
      </w:r>
    </w:p>
    <w:p w14:paraId="6576D399" w14:textId="77777777" w:rsidR="00E05801" w:rsidRDefault="00503B65" w:rsidP="00E05801">
      <w:pPr>
        <w:pStyle w:val="ListParagraph"/>
        <w:tabs>
          <w:tab w:val="right" w:leader="dot" w:pos="9360"/>
        </w:tabs>
        <w:ind w:left="360"/>
      </w:pPr>
      <w:r>
        <w:t>3(f)  Confidentiality</w:t>
      </w:r>
      <w:r>
        <w:tab/>
        <w:t>6</w:t>
      </w:r>
    </w:p>
    <w:p w14:paraId="1AA07E15" w14:textId="77777777" w:rsidR="00E05801" w:rsidRDefault="00503B65" w:rsidP="00E05801">
      <w:pPr>
        <w:pStyle w:val="ListParagraph"/>
        <w:tabs>
          <w:tab w:val="right" w:leader="dot" w:pos="9360"/>
        </w:tabs>
        <w:ind w:left="360"/>
      </w:pPr>
      <w:r>
        <w:t>3(g)  Sensitive Questions</w:t>
      </w:r>
      <w:r>
        <w:tab/>
        <w:t>6</w:t>
      </w:r>
      <w:r w:rsidR="00E05801">
        <w:br/>
      </w:r>
    </w:p>
    <w:p w14:paraId="1A11BBE1" w14:textId="77777777" w:rsidR="00E05801" w:rsidRDefault="00E05801" w:rsidP="00E05801">
      <w:pPr>
        <w:pStyle w:val="ListParagraph"/>
        <w:numPr>
          <w:ilvl w:val="0"/>
          <w:numId w:val="4"/>
        </w:numPr>
        <w:tabs>
          <w:tab w:val="right" w:leader="dot" w:pos="9360"/>
        </w:tabs>
        <w:ind w:left="360"/>
      </w:pPr>
      <w:r>
        <w:t>THE RESPONDENTS</w:t>
      </w:r>
      <w:r w:rsidR="00503B65">
        <w:t xml:space="preserve"> AND THE INFORMATION REQUESTED</w:t>
      </w:r>
      <w:r w:rsidR="00503B65">
        <w:tab/>
        <w:t>7</w:t>
      </w:r>
    </w:p>
    <w:p w14:paraId="35616ED2" w14:textId="77777777" w:rsidR="00E05801" w:rsidRDefault="00E05801" w:rsidP="00E05801">
      <w:pPr>
        <w:pStyle w:val="ListParagraph"/>
        <w:tabs>
          <w:tab w:val="right" w:leader="dot" w:pos="9360"/>
        </w:tabs>
        <w:ind w:left="360"/>
      </w:pPr>
      <w:r>
        <w:t>4(a</w:t>
      </w:r>
      <w:r w:rsidR="00503B65">
        <w:t>)  Respondents and NAICS Codes</w:t>
      </w:r>
      <w:r w:rsidR="00503B65">
        <w:tab/>
        <w:t>7</w:t>
      </w:r>
    </w:p>
    <w:p w14:paraId="75E53E16" w14:textId="3A78BA02" w:rsidR="00E05801" w:rsidRDefault="00503B65" w:rsidP="00E05801">
      <w:pPr>
        <w:pStyle w:val="ListParagraph"/>
        <w:tabs>
          <w:tab w:val="right" w:leader="dot" w:pos="9360"/>
        </w:tabs>
        <w:ind w:left="360"/>
      </w:pPr>
      <w:r>
        <w:t>4(b)  Information Requested</w:t>
      </w:r>
      <w:r>
        <w:tab/>
      </w:r>
      <w:r w:rsidR="004078AF">
        <w:t>7</w:t>
      </w:r>
      <w:r w:rsidR="00E05801">
        <w:br/>
      </w:r>
    </w:p>
    <w:p w14:paraId="768BBCFD" w14:textId="56C25533" w:rsidR="00E05801" w:rsidRDefault="00E05801" w:rsidP="00E05801">
      <w:pPr>
        <w:pStyle w:val="ListParagraph"/>
        <w:numPr>
          <w:ilvl w:val="0"/>
          <w:numId w:val="4"/>
        </w:numPr>
        <w:tabs>
          <w:tab w:val="right" w:leader="dot" w:pos="9360"/>
        </w:tabs>
        <w:ind w:left="360"/>
      </w:pPr>
      <w:r>
        <w:t>THE INFORMATION COLLECTED-AGENCY ACTIVITIES, COLLECTION METHODOLO</w:t>
      </w:r>
      <w:r w:rsidR="004078AF">
        <w:t>GY, AND INFORMATION MANAGEMENT</w:t>
      </w:r>
      <w:r w:rsidR="004078AF">
        <w:tab/>
        <w:t>7</w:t>
      </w:r>
    </w:p>
    <w:p w14:paraId="69DE1E6F" w14:textId="17E1DE27" w:rsidR="00E05801" w:rsidRDefault="004078AF" w:rsidP="00E05801">
      <w:pPr>
        <w:pStyle w:val="ListParagraph"/>
        <w:tabs>
          <w:tab w:val="right" w:leader="dot" w:pos="9360"/>
        </w:tabs>
        <w:ind w:left="360"/>
      </w:pPr>
      <w:r>
        <w:t>5(a)  Agency Activities</w:t>
      </w:r>
      <w:r>
        <w:tab/>
        <w:t>7</w:t>
      </w:r>
    </w:p>
    <w:p w14:paraId="09427127" w14:textId="572781BD" w:rsidR="00E05801" w:rsidRDefault="00E05801" w:rsidP="00E05801">
      <w:pPr>
        <w:pStyle w:val="ListParagraph"/>
        <w:tabs>
          <w:tab w:val="right" w:leader="dot" w:pos="9360"/>
        </w:tabs>
        <w:ind w:left="360"/>
      </w:pPr>
      <w:r>
        <w:t>5(b)  Collection Methodology</w:t>
      </w:r>
      <w:r w:rsidR="00503B65">
        <w:t xml:space="preserve"> and Mana</w:t>
      </w:r>
      <w:r w:rsidR="004078AF">
        <w:t>gement</w:t>
      </w:r>
      <w:r w:rsidR="004078AF">
        <w:tab/>
        <w:t>7</w:t>
      </w:r>
    </w:p>
    <w:p w14:paraId="54FB9D10" w14:textId="43FD5262" w:rsidR="00E05801" w:rsidRDefault="00E05801" w:rsidP="00E05801">
      <w:pPr>
        <w:pStyle w:val="ListParagraph"/>
        <w:tabs>
          <w:tab w:val="right" w:leader="dot" w:pos="9360"/>
        </w:tabs>
        <w:ind w:left="360"/>
      </w:pPr>
      <w:r>
        <w:t>5</w:t>
      </w:r>
      <w:r w:rsidR="004078AF">
        <w:t>(c)  Small Entity Flexibility</w:t>
      </w:r>
      <w:r w:rsidR="004078AF">
        <w:tab/>
        <w:t>8</w:t>
      </w:r>
    </w:p>
    <w:p w14:paraId="53C55BFB" w14:textId="0FF89B32" w:rsidR="00E05801" w:rsidRDefault="00503B65" w:rsidP="00E05801">
      <w:pPr>
        <w:pStyle w:val="ListParagraph"/>
        <w:tabs>
          <w:tab w:val="right" w:leader="dot" w:pos="9360"/>
        </w:tabs>
        <w:ind w:left="360"/>
      </w:pPr>
      <w:r>
        <w:t>5(d)  Collection Schedule</w:t>
      </w:r>
      <w:r>
        <w:tab/>
      </w:r>
      <w:r w:rsidR="004078AF">
        <w:t>8</w:t>
      </w:r>
      <w:r w:rsidR="00E05801">
        <w:br/>
      </w:r>
    </w:p>
    <w:p w14:paraId="55669EF9" w14:textId="18D0B21E" w:rsidR="00E05801" w:rsidRDefault="00E05801" w:rsidP="00E05801">
      <w:pPr>
        <w:pStyle w:val="ListParagraph"/>
        <w:numPr>
          <w:ilvl w:val="0"/>
          <w:numId w:val="4"/>
        </w:numPr>
        <w:tabs>
          <w:tab w:val="right" w:leader="dot" w:pos="9360"/>
        </w:tabs>
        <w:ind w:left="360"/>
      </w:pPr>
      <w:r>
        <w:t xml:space="preserve">ESTIMATING THE HOUR AND </w:t>
      </w:r>
      <w:r w:rsidR="004078AF">
        <w:t>COST BURDEN OF THE COLLECTION</w:t>
      </w:r>
      <w:r w:rsidR="004078AF">
        <w:tab/>
        <w:t>8</w:t>
      </w:r>
    </w:p>
    <w:p w14:paraId="5CED9AC9" w14:textId="3B2E9C77" w:rsidR="00E05801" w:rsidRDefault="00E05801" w:rsidP="00E05801">
      <w:pPr>
        <w:pStyle w:val="ListParagraph"/>
        <w:tabs>
          <w:tab w:val="right" w:leader="dot" w:pos="9360"/>
        </w:tabs>
        <w:ind w:left="360"/>
      </w:pPr>
      <w:r>
        <w:t xml:space="preserve">6(a) </w:t>
      </w:r>
      <w:r w:rsidR="004078AF">
        <w:t xml:space="preserve"> Estimating Respondent Burden</w:t>
      </w:r>
      <w:r w:rsidR="004078AF">
        <w:tab/>
        <w:t>8</w:t>
      </w:r>
    </w:p>
    <w:p w14:paraId="2257F32D" w14:textId="3BFF04C9" w:rsidR="00E05801" w:rsidRDefault="00E05801" w:rsidP="00E05801">
      <w:pPr>
        <w:pStyle w:val="ListParagraph"/>
        <w:tabs>
          <w:tab w:val="right" w:leader="dot" w:pos="9360"/>
        </w:tabs>
        <w:ind w:left="360"/>
      </w:pPr>
      <w:r>
        <w:t>6(b)</w:t>
      </w:r>
      <w:r w:rsidR="00503B65">
        <w:t xml:space="preserve">  Estimating Respondent Costs</w:t>
      </w:r>
      <w:r w:rsidR="00503B65">
        <w:tab/>
      </w:r>
      <w:r w:rsidR="004078AF">
        <w:t>8</w:t>
      </w:r>
    </w:p>
    <w:p w14:paraId="2318DD3E" w14:textId="328F0708" w:rsidR="00E05801" w:rsidRDefault="00E05801" w:rsidP="00E05801">
      <w:pPr>
        <w:pStyle w:val="ListParagraph"/>
        <w:tabs>
          <w:tab w:val="right" w:leader="dot" w:pos="9360"/>
        </w:tabs>
        <w:ind w:left="360"/>
      </w:pPr>
      <w:r>
        <w:t>6(c)  Estimating Agency Burden and Costs</w:t>
      </w:r>
      <w:r>
        <w:tab/>
      </w:r>
      <w:r w:rsidR="004078AF">
        <w:t>9</w:t>
      </w:r>
    </w:p>
    <w:p w14:paraId="02CB7868" w14:textId="750D39DF" w:rsidR="00E05801" w:rsidRDefault="00613D9F" w:rsidP="00E05801">
      <w:pPr>
        <w:pStyle w:val="ListParagraph"/>
        <w:tabs>
          <w:tab w:val="right" w:leader="dot" w:pos="9360"/>
        </w:tabs>
        <w:ind w:left="360"/>
      </w:pPr>
      <w:r>
        <w:t>6(d</w:t>
      </w:r>
      <w:r w:rsidR="00E05801">
        <w:t xml:space="preserve">)  </w:t>
      </w:r>
      <w:r w:rsidR="00E05801" w:rsidRPr="000E1258">
        <w:rPr>
          <w:bCs/>
        </w:rPr>
        <w:t>Bottom Line Burden Hours and Cost Tables</w:t>
      </w:r>
      <w:r w:rsidR="00503B65">
        <w:rPr>
          <w:bCs/>
        </w:rPr>
        <w:tab/>
      </w:r>
      <w:r w:rsidR="004078AF">
        <w:rPr>
          <w:bCs/>
        </w:rPr>
        <w:t>10</w:t>
      </w:r>
    </w:p>
    <w:p w14:paraId="52D6F244" w14:textId="57A18AE5" w:rsidR="00E05801" w:rsidRDefault="00613D9F" w:rsidP="00E05801">
      <w:pPr>
        <w:pStyle w:val="ListParagraph"/>
        <w:tabs>
          <w:tab w:val="right" w:leader="dot" w:pos="9360"/>
        </w:tabs>
        <w:ind w:left="360"/>
      </w:pPr>
      <w:r>
        <w:t>6(e</w:t>
      </w:r>
      <w:r w:rsidR="00E05801">
        <w:t xml:space="preserve">) </w:t>
      </w:r>
      <w:r w:rsidR="00503B65">
        <w:t xml:space="preserve"> Reasons for Change in Burden</w:t>
      </w:r>
      <w:r w:rsidR="00503B65">
        <w:tab/>
      </w:r>
      <w:r w:rsidR="004078AF">
        <w:t>12</w:t>
      </w:r>
    </w:p>
    <w:p w14:paraId="1B18F54C" w14:textId="1ECCED13" w:rsidR="00E05801" w:rsidRDefault="00613D9F" w:rsidP="00E05801">
      <w:pPr>
        <w:pStyle w:val="ListParagraph"/>
        <w:tabs>
          <w:tab w:val="right" w:leader="dot" w:pos="9360"/>
        </w:tabs>
        <w:ind w:left="360"/>
      </w:pPr>
      <w:r>
        <w:t>6(f</w:t>
      </w:r>
      <w:r w:rsidR="00503B65">
        <w:t>)  Burden Statement</w:t>
      </w:r>
      <w:r w:rsidR="00503B65">
        <w:tab/>
      </w:r>
      <w:r w:rsidR="004078AF">
        <w:t>12</w:t>
      </w:r>
    </w:p>
    <w:p w14:paraId="27871FE1" w14:textId="77777777" w:rsidR="00E05801" w:rsidRDefault="00E05801" w:rsidP="00E05801">
      <w:pPr>
        <w:pStyle w:val="BodyTextIndent"/>
        <w:ind w:firstLine="0"/>
      </w:pPr>
      <w:r>
        <w:br w:type="page"/>
      </w:r>
    </w:p>
    <w:p w14:paraId="05DEC838" w14:textId="77777777" w:rsidR="00E05801" w:rsidRDefault="00E05801" w:rsidP="000A43E6">
      <w:pPr>
        <w:jc w:val="center"/>
        <w:outlineLvl w:val="0"/>
        <w:rPr>
          <w:b/>
          <w:bCs/>
        </w:rPr>
      </w:pPr>
      <w:r w:rsidRPr="008E075A">
        <w:rPr>
          <w:b/>
          <w:bCs/>
        </w:rPr>
        <w:lastRenderedPageBreak/>
        <w:t>EXHIBITS</w:t>
      </w:r>
    </w:p>
    <w:p w14:paraId="4EB3B8C7" w14:textId="77777777" w:rsidR="000A43E6" w:rsidRDefault="000A43E6" w:rsidP="000A43E6"/>
    <w:p w14:paraId="5FC4791E" w14:textId="77777777" w:rsidR="000A43E6" w:rsidRPr="008E075A" w:rsidRDefault="000A43E6" w:rsidP="000A43E6"/>
    <w:p w14:paraId="0F67510A" w14:textId="2961904E" w:rsidR="000A43E6" w:rsidRPr="0051780A" w:rsidRDefault="000A43E6" w:rsidP="000A43E6">
      <w:pPr>
        <w:tabs>
          <w:tab w:val="right" w:leader="dot" w:pos="9360"/>
        </w:tabs>
        <w:ind w:left="1440" w:right="720" w:hanging="1440"/>
        <w:rPr>
          <w:rFonts w:eastAsiaTheme="minorHAnsi"/>
        </w:rPr>
      </w:pPr>
      <w:r w:rsidRPr="0051780A">
        <w:rPr>
          <w:rFonts w:eastAsiaTheme="minorHAnsi"/>
        </w:rPr>
        <w:t>Exhibit 1:</w:t>
      </w:r>
      <w:r w:rsidRPr="0051780A">
        <w:rPr>
          <w:rFonts w:eastAsiaTheme="minorHAnsi"/>
        </w:rPr>
        <w:tab/>
      </w:r>
      <w:r w:rsidR="004078AF" w:rsidRPr="004078AF">
        <w:rPr>
          <w:bCs/>
          <w:szCs w:val="28"/>
        </w:rPr>
        <w:t>Annual Respondent Burden &amp; Cost Estimates</w:t>
      </w:r>
      <w:r>
        <w:rPr>
          <w:rFonts w:eastAsiaTheme="minorHAnsi"/>
        </w:rPr>
        <w:tab/>
      </w:r>
      <w:r w:rsidR="00344FFC">
        <w:rPr>
          <w:rFonts w:eastAsiaTheme="minorHAnsi"/>
        </w:rPr>
        <w:t>1</w:t>
      </w:r>
      <w:r w:rsidR="004078AF">
        <w:rPr>
          <w:rFonts w:eastAsiaTheme="minorHAnsi"/>
        </w:rPr>
        <w:t>1</w:t>
      </w:r>
    </w:p>
    <w:p w14:paraId="099C97A5" w14:textId="77777777" w:rsidR="000A43E6" w:rsidRPr="0051780A" w:rsidRDefault="000A43E6" w:rsidP="000A43E6">
      <w:pPr>
        <w:tabs>
          <w:tab w:val="right" w:leader="dot" w:pos="9360"/>
        </w:tabs>
        <w:ind w:left="1440" w:right="720" w:hanging="1440"/>
        <w:rPr>
          <w:rFonts w:eastAsiaTheme="minorHAnsi"/>
        </w:rPr>
      </w:pPr>
    </w:p>
    <w:p w14:paraId="40372115" w14:textId="77777777" w:rsidR="000A43E6" w:rsidRDefault="000A43E6" w:rsidP="000A43E6">
      <w:pPr>
        <w:tabs>
          <w:tab w:val="right" w:leader="dot" w:pos="9360"/>
        </w:tabs>
        <w:ind w:left="1440" w:right="720" w:hanging="1440"/>
        <w:rPr>
          <w:bCs/>
        </w:rPr>
      </w:pPr>
    </w:p>
    <w:p w14:paraId="0B4DA1BD" w14:textId="77777777" w:rsidR="00E05801" w:rsidRDefault="00E05801" w:rsidP="00E05801">
      <w:pPr>
        <w:pStyle w:val="BodyTextIndent"/>
        <w:ind w:firstLine="0"/>
      </w:pPr>
    </w:p>
    <w:p w14:paraId="3C428CE1" w14:textId="77777777" w:rsidR="000A43E6" w:rsidRDefault="000A43E6" w:rsidP="00E05801">
      <w:pPr>
        <w:outlineLvl w:val="0"/>
        <w:rPr>
          <w:b/>
          <w:bCs/>
        </w:rPr>
      </w:pPr>
      <w:r>
        <w:rPr>
          <w:b/>
          <w:bCs/>
        </w:rPr>
        <w:br w:type="page"/>
      </w:r>
    </w:p>
    <w:p w14:paraId="60235693" w14:textId="77777777" w:rsidR="00E05801" w:rsidRPr="0015005D" w:rsidRDefault="00E05801" w:rsidP="00E05801">
      <w:pPr>
        <w:outlineLvl w:val="0"/>
        <w:rPr>
          <w:b/>
          <w:bCs/>
        </w:rPr>
      </w:pPr>
      <w:r w:rsidRPr="0015005D">
        <w:rPr>
          <w:b/>
          <w:bCs/>
        </w:rPr>
        <w:t>1.</w:t>
      </w:r>
      <w:r w:rsidRPr="0015005D">
        <w:rPr>
          <w:b/>
          <w:bCs/>
        </w:rPr>
        <w:tab/>
        <w:t>IDENTIFICATION OF THE INFORMATION COLLECTION</w:t>
      </w:r>
    </w:p>
    <w:p w14:paraId="46BD2024" w14:textId="77777777" w:rsidR="00E05801" w:rsidRPr="00D15828" w:rsidRDefault="00E05801" w:rsidP="00E05801">
      <w:pPr>
        <w:rPr>
          <w:b/>
          <w:szCs w:val="28"/>
        </w:rPr>
      </w:pPr>
    </w:p>
    <w:p w14:paraId="6086DDA4" w14:textId="77777777" w:rsidR="00E05801" w:rsidRPr="00D15828" w:rsidRDefault="00E05801" w:rsidP="00E05801">
      <w:pPr>
        <w:ind w:firstLine="720"/>
        <w:rPr>
          <w:b/>
        </w:rPr>
      </w:pPr>
      <w:r w:rsidRPr="00D15828">
        <w:rPr>
          <w:b/>
        </w:rPr>
        <w:t>1(a)</w:t>
      </w:r>
      <w:r w:rsidRPr="00D15828">
        <w:rPr>
          <w:b/>
        </w:rPr>
        <w:tab/>
        <w:t>Title and Number of the Information Collection</w:t>
      </w:r>
    </w:p>
    <w:p w14:paraId="30F1D13E" w14:textId="77777777" w:rsidR="00E05801" w:rsidRPr="00D15828" w:rsidRDefault="00E05801" w:rsidP="00E05801">
      <w:pPr>
        <w:ind w:firstLine="720"/>
        <w:rPr>
          <w:b/>
        </w:rPr>
      </w:pPr>
    </w:p>
    <w:p w14:paraId="47F50A3E" w14:textId="0FA3F708" w:rsidR="00E05801" w:rsidRPr="00066290" w:rsidRDefault="00E05801" w:rsidP="00E05801">
      <w:pPr>
        <w:ind w:firstLine="720"/>
        <w:jc w:val="both"/>
        <w:rPr>
          <w:bCs/>
        </w:rPr>
      </w:pPr>
      <w:r w:rsidRPr="00066290">
        <w:t>This information Collection Request (I</w:t>
      </w:r>
      <w:r w:rsidRPr="000B1DF5">
        <w:t>CR) is entitled “</w:t>
      </w:r>
      <w:r w:rsidR="00076256">
        <w:t>Reporting a</w:t>
      </w:r>
      <w:r w:rsidRPr="0064226C">
        <w:t xml:space="preserve">nd Recordkeeping Requirements for </w:t>
      </w:r>
      <w:r w:rsidR="008022A8">
        <w:t xml:space="preserve">the Interim Final </w:t>
      </w:r>
      <w:r w:rsidR="001A05DA">
        <w:t xml:space="preserve">Safe Management of Recalled Airbags </w:t>
      </w:r>
      <w:r w:rsidR="008022A8">
        <w:t>Rule</w:t>
      </w:r>
      <w:r w:rsidRPr="0064226C">
        <w:t>,”</w:t>
      </w:r>
      <w:r w:rsidRPr="000B1DF5">
        <w:rPr>
          <w:bCs/>
        </w:rPr>
        <w:t xml:space="preserve"> EPA ICR Number</w:t>
      </w:r>
      <w:r w:rsidR="0064226C">
        <w:rPr>
          <w:bCs/>
        </w:rPr>
        <w:t xml:space="preserve"> </w:t>
      </w:r>
      <w:r w:rsidR="001A05DA">
        <w:rPr>
          <w:bCs/>
        </w:rPr>
        <w:t>2589</w:t>
      </w:r>
      <w:r w:rsidR="006D1B8A">
        <w:rPr>
          <w:bCs/>
        </w:rPr>
        <w:t>.</w:t>
      </w:r>
      <w:r w:rsidR="001A05DA">
        <w:rPr>
          <w:bCs/>
        </w:rPr>
        <w:t>0</w:t>
      </w:r>
      <w:r w:rsidR="00EE47E0">
        <w:rPr>
          <w:bCs/>
        </w:rPr>
        <w:t>3</w:t>
      </w:r>
      <w:r w:rsidRPr="000B1DF5">
        <w:rPr>
          <w:bCs/>
        </w:rPr>
        <w:t xml:space="preserve">, OMB </w:t>
      </w:r>
      <w:r w:rsidRPr="00FB08D1">
        <w:t xml:space="preserve">Number </w:t>
      </w:r>
      <w:r w:rsidR="00662A34" w:rsidRPr="00662A34">
        <w:t>2050-0221</w:t>
      </w:r>
      <w:r w:rsidR="00662A34">
        <w:t>.</w:t>
      </w:r>
    </w:p>
    <w:p w14:paraId="1E96DABF" w14:textId="77777777" w:rsidR="00E05801" w:rsidRDefault="00E05801" w:rsidP="00E05801">
      <w:pPr>
        <w:ind w:firstLine="720"/>
        <w:jc w:val="both"/>
        <w:rPr>
          <w:bCs/>
        </w:rPr>
      </w:pPr>
    </w:p>
    <w:p w14:paraId="1C528C48" w14:textId="77777777" w:rsidR="00E05801" w:rsidRDefault="00E05801" w:rsidP="00E05801">
      <w:pPr>
        <w:ind w:firstLine="720"/>
        <w:rPr>
          <w:b/>
          <w:bCs/>
        </w:rPr>
      </w:pPr>
      <w:r w:rsidRPr="00D15828">
        <w:rPr>
          <w:b/>
          <w:bCs/>
        </w:rPr>
        <w:t>1(b)</w:t>
      </w:r>
      <w:r w:rsidRPr="00D15828">
        <w:rPr>
          <w:b/>
          <w:bCs/>
        </w:rPr>
        <w:tab/>
        <w:t>Short Characterization</w:t>
      </w:r>
    </w:p>
    <w:p w14:paraId="25DC7728" w14:textId="77777777" w:rsidR="00E05801" w:rsidRPr="00D15828" w:rsidRDefault="00E05801" w:rsidP="00E05801">
      <w:pPr>
        <w:rPr>
          <w:b/>
          <w:bCs/>
        </w:rPr>
      </w:pPr>
    </w:p>
    <w:p w14:paraId="0057A90E" w14:textId="2CC89259" w:rsidR="001A05DA" w:rsidRDefault="001A05DA" w:rsidP="000405F9">
      <w:pPr>
        <w:spacing w:after="120"/>
        <w:ind w:firstLine="720"/>
      </w:pPr>
      <w:r w:rsidRPr="001A05DA">
        <w:t>Under this rule, automobile dealerships and other entities that remove used airbag inflators from vehicles would not be required to manage the airbag waste under the hazardous waste requirements or count it towards their hazardous waste generator status under the Resource Conservation and Recovery Act (RCRA). Consistent with EPA’s mandate under RCRA to protect human health and the environment, the interim final rule promotes the timely and environmentally sound management and disposal of airbag waste.</w:t>
      </w:r>
    </w:p>
    <w:p w14:paraId="1A152158" w14:textId="4A7409B4" w:rsidR="00C93DA5" w:rsidRPr="005834B3" w:rsidRDefault="00C93DA5" w:rsidP="000405F9">
      <w:pPr>
        <w:spacing w:after="120"/>
        <w:ind w:firstLine="720"/>
      </w:pPr>
      <w:r w:rsidRPr="005834B3">
        <w:t xml:space="preserve">The key provisions of the </w:t>
      </w:r>
      <w:r w:rsidR="004078AF">
        <w:t>interim final</w:t>
      </w:r>
      <w:r w:rsidRPr="005834B3">
        <w:t xml:space="preserve"> rule include the following:</w:t>
      </w:r>
    </w:p>
    <w:p w14:paraId="265FE992" w14:textId="77777777" w:rsidR="001A05DA" w:rsidRPr="001A05DA" w:rsidRDefault="001A05DA" w:rsidP="001A05DA">
      <w:pPr>
        <w:pStyle w:val="ListParagraph"/>
        <w:numPr>
          <w:ilvl w:val="0"/>
          <w:numId w:val="34"/>
        </w:numPr>
      </w:pPr>
      <w:r w:rsidRPr="001A05DA">
        <w:t>Airbag waste collected by automobile manufacturers or their authorized representative for the purpose of safe disposal is not counted toward a facility’s RCRA generator status.</w:t>
      </w:r>
    </w:p>
    <w:p w14:paraId="37441CAF" w14:textId="77777777" w:rsidR="001A05DA" w:rsidRPr="001A05DA" w:rsidRDefault="001A05DA" w:rsidP="001A05DA">
      <w:pPr>
        <w:pStyle w:val="ListParagraph"/>
        <w:numPr>
          <w:ilvl w:val="0"/>
          <w:numId w:val="34"/>
        </w:numPr>
      </w:pPr>
      <w:r w:rsidRPr="001A05DA">
        <w:t>This exemption will apply to both Takata and non-Takata airbag waste.</w:t>
      </w:r>
    </w:p>
    <w:p w14:paraId="2686556A" w14:textId="77777777" w:rsidR="001A05DA" w:rsidRPr="001A05DA" w:rsidRDefault="001A05DA" w:rsidP="001A05DA">
      <w:pPr>
        <w:pStyle w:val="ListParagraph"/>
        <w:numPr>
          <w:ilvl w:val="0"/>
          <w:numId w:val="34"/>
        </w:numPr>
      </w:pPr>
      <w:r w:rsidRPr="001A05DA">
        <w:t>Under the airbag waste exemption, airbag waste handlers may accumulate up to 250 airbag modules or airbag inflators for up to 180 days, whichever comes first.</w:t>
      </w:r>
    </w:p>
    <w:p w14:paraId="07E69F70" w14:textId="77777777" w:rsidR="001A05DA" w:rsidRPr="001A05DA" w:rsidRDefault="001A05DA" w:rsidP="001A05DA">
      <w:pPr>
        <w:pStyle w:val="ListParagraph"/>
        <w:numPr>
          <w:ilvl w:val="0"/>
          <w:numId w:val="34"/>
        </w:numPr>
      </w:pPr>
      <w:r w:rsidRPr="001A05DA">
        <w:t>During accumulation under the airbag waste exemption, airbag waste must be packaged in a container designed to address the risk posed by the airbag waste. Each container must be labeled “Airbag Waste – Do Not Reuse.”</w:t>
      </w:r>
    </w:p>
    <w:p w14:paraId="5B0245B6" w14:textId="77777777" w:rsidR="001A05DA" w:rsidRPr="00374605" w:rsidRDefault="001A05DA" w:rsidP="001A05DA">
      <w:pPr>
        <w:pStyle w:val="ListParagraph"/>
        <w:numPr>
          <w:ilvl w:val="0"/>
          <w:numId w:val="34"/>
        </w:numPr>
      </w:pPr>
      <w:r w:rsidRPr="001A05DA">
        <w:t>Airbag waste must be shipped directly to either (1) a designated facility as defined in 40 CFR 260.10, or (2) an airbag collection facility in the United States under the control of a vehicle manufacturer or their authorized representative, or under the control of an authorized party administering a remedy program in response to a recall under the National Highway Traffic Safety Administration</w:t>
      </w:r>
      <w:r w:rsidRPr="00374605">
        <w:t>.</w:t>
      </w:r>
    </w:p>
    <w:p w14:paraId="25D3DCD2" w14:textId="6B2A510B" w:rsidR="001A05DA" w:rsidRPr="005D2FC0" w:rsidRDefault="001A05DA" w:rsidP="001A05DA">
      <w:pPr>
        <w:pStyle w:val="IEcBulletText"/>
        <w:numPr>
          <w:ilvl w:val="0"/>
          <w:numId w:val="34"/>
        </w:numPr>
        <w:tabs>
          <w:tab w:val="clear" w:pos="576"/>
          <w:tab w:val="left" w:pos="630"/>
        </w:tabs>
        <w:rPr>
          <w:sz w:val="24"/>
          <w:szCs w:val="24"/>
        </w:rPr>
      </w:pPr>
      <w:r w:rsidRPr="005D2FC0">
        <w:rPr>
          <w:sz w:val="24"/>
          <w:szCs w:val="24"/>
        </w:rPr>
        <w:t>As a condition for exemption from RCRA hazardous waste requirements, airbag waste handlers must maintain at the facility and make available upon inspection certain records that document off-site shipments of airbag waste for a period of three years to help verify the airbag waste was sent to an appropriate destination.</w:t>
      </w:r>
    </w:p>
    <w:p w14:paraId="4CE3432B" w14:textId="77777777" w:rsidR="001A05DA" w:rsidRPr="005D2FC0" w:rsidRDefault="001A05DA" w:rsidP="001A05DA">
      <w:pPr>
        <w:pStyle w:val="ListParagraph"/>
        <w:numPr>
          <w:ilvl w:val="0"/>
          <w:numId w:val="34"/>
        </w:numPr>
        <w:rPr>
          <w:rFonts w:eastAsia="Times"/>
        </w:rPr>
      </w:pPr>
      <w:r w:rsidRPr="005D2FC0">
        <w:rPr>
          <w:rFonts w:eastAsia="Times"/>
        </w:rPr>
        <w:t>While non-defective used airbag modules and used airbag inflators are not solid waste when reused for their intended purpose, in the case of airbag modules and airbag inflators that are subject to a recall under the National Highway Traffic Safety Administration, such a reuse is not allowed under RCRA.</w:t>
      </w:r>
    </w:p>
    <w:p w14:paraId="6D388F79" w14:textId="77777777" w:rsidR="00C93DA5" w:rsidRDefault="00C93DA5" w:rsidP="00E05801">
      <w:pPr>
        <w:ind w:firstLine="720"/>
      </w:pPr>
    </w:p>
    <w:p w14:paraId="2DE519BB" w14:textId="773471FC" w:rsidR="001A05DA" w:rsidRDefault="009E4235" w:rsidP="00E05801">
      <w:pPr>
        <w:ind w:firstLine="720"/>
      </w:pPr>
      <w:r>
        <w:t xml:space="preserve">This </w:t>
      </w:r>
      <w:r w:rsidR="00E05801" w:rsidRPr="00066290">
        <w:t xml:space="preserve">ICR is a description of the information collection requirements for all </w:t>
      </w:r>
      <w:r>
        <w:t xml:space="preserve">handlers of </w:t>
      </w:r>
      <w:r w:rsidR="001A05DA">
        <w:t>airbag waste</w:t>
      </w:r>
      <w:r w:rsidR="00E05801" w:rsidRPr="00066290">
        <w:t>.</w:t>
      </w:r>
      <w:r w:rsidR="00F33FA1">
        <w:t xml:space="preserve"> </w:t>
      </w:r>
      <w:r w:rsidR="00E34E9C">
        <w:t xml:space="preserve">The burden </w:t>
      </w:r>
      <w:r w:rsidR="00715427">
        <w:t>described in this ICR is currently covered by a temporary Emergency ICR, which can be found in the same docket as this ICR and the relevant rule.</w:t>
      </w:r>
    </w:p>
    <w:p w14:paraId="5432DEE6" w14:textId="77777777" w:rsidR="001A05DA" w:rsidRDefault="001A05DA">
      <w:r>
        <w:br w:type="page"/>
      </w:r>
    </w:p>
    <w:p w14:paraId="66A28508" w14:textId="77777777" w:rsidR="00E05801" w:rsidRPr="00066290" w:rsidRDefault="00E05801" w:rsidP="00E05801">
      <w:pPr>
        <w:ind w:firstLine="720"/>
      </w:pPr>
    </w:p>
    <w:p w14:paraId="4918EFAD" w14:textId="77777777" w:rsidR="00E05801" w:rsidRDefault="00E05801" w:rsidP="00E05801">
      <w:pPr>
        <w:jc w:val="both"/>
        <w:rPr>
          <w:b/>
          <w:szCs w:val="28"/>
        </w:rPr>
      </w:pPr>
    </w:p>
    <w:p w14:paraId="5CAFAA65" w14:textId="77777777" w:rsidR="00E05801" w:rsidRPr="00D15828" w:rsidRDefault="00E05801" w:rsidP="00E05801">
      <w:pPr>
        <w:outlineLvl w:val="0"/>
        <w:rPr>
          <w:b/>
          <w:szCs w:val="28"/>
        </w:rPr>
      </w:pPr>
      <w:r w:rsidRPr="0015005D">
        <w:rPr>
          <w:b/>
          <w:bCs/>
        </w:rPr>
        <w:t>2.</w:t>
      </w:r>
      <w:r w:rsidRPr="0015005D">
        <w:rPr>
          <w:b/>
          <w:bCs/>
        </w:rPr>
        <w:tab/>
        <w:t>NEED FOR AND USE OF THE COLLECTION</w:t>
      </w:r>
    </w:p>
    <w:p w14:paraId="5A28C9C5" w14:textId="77777777" w:rsidR="00E05801" w:rsidRPr="00D15828" w:rsidRDefault="00E05801" w:rsidP="00E05801">
      <w:pPr>
        <w:jc w:val="both"/>
        <w:rPr>
          <w:szCs w:val="28"/>
        </w:rPr>
      </w:pPr>
    </w:p>
    <w:p w14:paraId="69D165AD" w14:textId="77777777" w:rsidR="00E05801" w:rsidRPr="00D15828" w:rsidRDefault="00E05801" w:rsidP="00E05801">
      <w:pPr>
        <w:ind w:firstLine="720"/>
        <w:jc w:val="both"/>
        <w:rPr>
          <w:b/>
          <w:bCs/>
          <w:u w:val="single"/>
        </w:rPr>
      </w:pPr>
      <w:r w:rsidRPr="00D15828">
        <w:rPr>
          <w:b/>
          <w:bCs/>
        </w:rPr>
        <w:t xml:space="preserve">2(a) </w:t>
      </w:r>
      <w:r w:rsidRPr="00D15828">
        <w:rPr>
          <w:b/>
          <w:bCs/>
        </w:rPr>
        <w:tab/>
        <w:t>Need and Authority for the Collection</w:t>
      </w:r>
      <w:r w:rsidRPr="00D15828">
        <w:rPr>
          <w:b/>
          <w:bCs/>
          <w:u w:val="single"/>
        </w:rPr>
        <w:t xml:space="preserve"> </w:t>
      </w:r>
    </w:p>
    <w:p w14:paraId="21369942" w14:textId="77777777" w:rsidR="00E05801" w:rsidRDefault="00E05801" w:rsidP="00E05801"/>
    <w:p w14:paraId="46A232AC" w14:textId="04422566" w:rsidR="00E05801" w:rsidRDefault="00E05801" w:rsidP="00E05801">
      <w:pPr>
        <w:ind w:firstLine="720"/>
      </w:pPr>
      <w:r w:rsidRPr="00D15828">
        <w:t>The requirements covered in this ICR are necessary for EPA</w:t>
      </w:r>
      <w:r>
        <w:t xml:space="preserve"> to oversee the </w:t>
      </w:r>
      <w:r w:rsidR="001811FE">
        <w:t>handling</w:t>
      </w:r>
      <w:r>
        <w:t xml:space="preserve"> and management of </w:t>
      </w:r>
      <w:r w:rsidR="00C458C1">
        <w:t>airbag waste</w:t>
      </w:r>
      <w:r>
        <w:t xml:space="preserve">. </w:t>
      </w:r>
      <w:r w:rsidRPr="00D15828">
        <w:t>EPA is</w:t>
      </w:r>
      <w:r>
        <w:t xml:space="preserve"> requiring</w:t>
      </w:r>
      <w:r w:rsidRPr="00D15828">
        <w:t xml:space="preserve"> the establishment of these information collection requirements under the authority of </w:t>
      </w:r>
      <w:r w:rsidR="00C458C1">
        <w:t>s</w:t>
      </w:r>
      <w:r w:rsidR="00C458C1" w:rsidRPr="00C458C1">
        <w:t>ections 2002, 3001, 3002, 3003, 3004, 3006, 3010, and 3017 of the Solid Waste Disposal Act of 1965, as amended by the Resource Conservation and Recovery Act of 1976 (RCRA), as amended by the Hazardous and Solid Waste Amendments of 1984 (HSWA).</w:t>
      </w:r>
    </w:p>
    <w:p w14:paraId="577EC514" w14:textId="77777777" w:rsidR="00E05801" w:rsidRDefault="00E05801" w:rsidP="00E05801">
      <w:pPr>
        <w:ind w:firstLine="720"/>
        <w:jc w:val="both"/>
        <w:rPr>
          <w:b/>
          <w:bCs/>
        </w:rPr>
      </w:pPr>
    </w:p>
    <w:p w14:paraId="355B6CE1" w14:textId="77777777" w:rsidR="00E05801" w:rsidRPr="00D15828" w:rsidRDefault="00E05801" w:rsidP="00E05801">
      <w:pPr>
        <w:ind w:firstLine="720"/>
        <w:jc w:val="both"/>
        <w:rPr>
          <w:b/>
          <w:bCs/>
          <w:u w:val="single"/>
        </w:rPr>
      </w:pPr>
      <w:r w:rsidRPr="00D15828">
        <w:rPr>
          <w:b/>
          <w:bCs/>
        </w:rPr>
        <w:t xml:space="preserve">2(b) </w:t>
      </w:r>
      <w:r w:rsidRPr="00D15828">
        <w:rPr>
          <w:b/>
          <w:bCs/>
        </w:rPr>
        <w:tab/>
        <w:t>Practical Utility and Users of the Data</w:t>
      </w:r>
      <w:r w:rsidRPr="00D15828">
        <w:rPr>
          <w:b/>
          <w:bCs/>
          <w:u w:val="single"/>
        </w:rPr>
        <w:t xml:space="preserve"> </w:t>
      </w:r>
    </w:p>
    <w:p w14:paraId="0F6CBAB3" w14:textId="77777777" w:rsidR="00E05801" w:rsidRDefault="00E05801" w:rsidP="00E05801"/>
    <w:p w14:paraId="59431907" w14:textId="347065DF" w:rsidR="00E05801" w:rsidRDefault="00E05801" w:rsidP="00E05801">
      <w:pPr>
        <w:ind w:firstLine="720"/>
      </w:pPr>
      <w:r w:rsidRPr="00D15828">
        <w:t>EPA will use the collected information to ensure that</w:t>
      </w:r>
      <w:r>
        <w:t xml:space="preserve"> </w:t>
      </w:r>
      <w:r w:rsidR="00C458C1">
        <w:t>airbag waste is</w:t>
      </w:r>
      <w:r>
        <w:t xml:space="preserve"> managed in a cost-effective manner that minimizes risks to hu</w:t>
      </w:r>
      <w:r w:rsidR="00A91403">
        <w:t>man health and the environment.</w:t>
      </w:r>
    </w:p>
    <w:p w14:paraId="7E23FDA0" w14:textId="77777777" w:rsidR="00E05801" w:rsidRDefault="00E05801" w:rsidP="00E05801">
      <w:r>
        <w:t xml:space="preserve">  </w:t>
      </w:r>
    </w:p>
    <w:p w14:paraId="45C5EC65" w14:textId="77777777" w:rsidR="00E05801" w:rsidRPr="0015005D" w:rsidRDefault="00E05801" w:rsidP="00E05801">
      <w:pPr>
        <w:outlineLvl w:val="0"/>
        <w:rPr>
          <w:b/>
          <w:bCs/>
        </w:rPr>
      </w:pPr>
      <w:r w:rsidRPr="0015005D">
        <w:rPr>
          <w:b/>
          <w:bCs/>
        </w:rPr>
        <w:t>3.</w:t>
      </w:r>
      <w:r w:rsidRPr="0015005D">
        <w:rPr>
          <w:b/>
          <w:bCs/>
        </w:rPr>
        <w:tab/>
        <w:t xml:space="preserve">NONDUPLICATION, CONSULTATIONS, AND OTHER COLLECTION CRITERIA </w:t>
      </w:r>
    </w:p>
    <w:p w14:paraId="550AAF8A" w14:textId="77777777" w:rsidR="00E05801" w:rsidRDefault="00E05801" w:rsidP="00E05801">
      <w:pPr>
        <w:ind w:firstLine="720"/>
        <w:jc w:val="both"/>
        <w:rPr>
          <w:b/>
        </w:rPr>
      </w:pPr>
    </w:p>
    <w:p w14:paraId="15FD1A9A" w14:textId="77777777" w:rsidR="00E05801" w:rsidRPr="00D15828" w:rsidRDefault="00E05801" w:rsidP="00E05801">
      <w:pPr>
        <w:ind w:firstLine="720"/>
        <w:jc w:val="both"/>
        <w:rPr>
          <w:b/>
        </w:rPr>
      </w:pPr>
      <w:r w:rsidRPr="00D15828">
        <w:rPr>
          <w:b/>
        </w:rPr>
        <w:t>3(a)</w:t>
      </w:r>
      <w:r w:rsidRPr="00D15828">
        <w:rPr>
          <w:b/>
        </w:rPr>
        <w:tab/>
        <w:t>Nonduplication</w:t>
      </w:r>
    </w:p>
    <w:p w14:paraId="29F234C7" w14:textId="77777777" w:rsidR="00E05801" w:rsidRPr="00D15828" w:rsidRDefault="00E05801" w:rsidP="00E05801">
      <w:pPr>
        <w:ind w:firstLine="720"/>
        <w:jc w:val="both"/>
        <w:rPr>
          <w:b/>
          <w:szCs w:val="28"/>
        </w:rPr>
      </w:pPr>
    </w:p>
    <w:p w14:paraId="4BDF7DED" w14:textId="0BD58ABE" w:rsidR="00E05801" w:rsidRPr="00D15828" w:rsidRDefault="00E05801" w:rsidP="00E05801">
      <w:pPr>
        <w:ind w:firstLine="720"/>
        <w:jc w:val="both"/>
      </w:pPr>
      <w:r w:rsidRPr="00D15828">
        <w:t xml:space="preserve">None of the information required by the </w:t>
      </w:r>
      <w:r w:rsidR="004078AF">
        <w:t>interim final</w:t>
      </w:r>
      <w:r>
        <w:t xml:space="preserve"> rule</w:t>
      </w:r>
      <w:r w:rsidRPr="00D15828">
        <w:t xml:space="preserve"> </w:t>
      </w:r>
      <w:r>
        <w:t>will</w:t>
      </w:r>
      <w:r w:rsidRPr="00D15828">
        <w:t xml:space="preserve"> duplicate information required by existing RCRA regulations.</w:t>
      </w:r>
    </w:p>
    <w:p w14:paraId="57EEB973" w14:textId="77777777" w:rsidR="00E05801" w:rsidRDefault="00E05801" w:rsidP="00E05801"/>
    <w:p w14:paraId="7C4D4E22" w14:textId="77777777" w:rsidR="00E05801" w:rsidRPr="00D15828" w:rsidRDefault="00E05801" w:rsidP="00E05801">
      <w:pPr>
        <w:ind w:firstLine="720"/>
        <w:rPr>
          <w:b/>
        </w:rPr>
      </w:pPr>
      <w:r w:rsidRPr="00D15828">
        <w:rPr>
          <w:b/>
        </w:rPr>
        <w:t>3(b)</w:t>
      </w:r>
      <w:r w:rsidRPr="00D15828">
        <w:rPr>
          <w:b/>
        </w:rPr>
        <w:tab/>
        <w:t>Public Notice</w:t>
      </w:r>
    </w:p>
    <w:p w14:paraId="3CBB7AFE" w14:textId="77777777" w:rsidR="00E05801" w:rsidRPr="00D15828" w:rsidRDefault="00E05801" w:rsidP="00E05801">
      <w:pPr>
        <w:ind w:firstLine="720"/>
        <w:rPr>
          <w:b/>
        </w:rPr>
      </w:pPr>
    </w:p>
    <w:p w14:paraId="4D01BFEC" w14:textId="2821A5E1" w:rsidR="00E05801" w:rsidRDefault="00E05801" w:rsidP="00E05801">
      <w:pPr>
        <w:ind w:firstLine="720"/>
        <w:rPr>
          <w:b/>
          <w:bCs/>
        </w:rPr>
      </w:pPr>
      <w:r w:rsidRPr="00C221C2">
        <w:t xml:space="preserve">In compliance with the Paperwork Reduction Act of 1995, EPA </w:t>
      </w:r>
      <w:r w:rsidR="00126621" w:rsidRPr="00C221C2">
        <w:t>open</w:t>
      </w:r>
      <w:r w:rsidR="004F193F">
        <w:t>ed</w:t>
      </w:r>
      <w:r w:rsidR="00126621" w:rsidRPr="00C221C2">
        <w:t xml:space="preserve"> a </w:t>
      </w:r>
      <w:r w:rsidR="00C458C1">
        <w:t>6</w:t>
      </w:r>
      <w:r w:rsidR="004F193F">
        <w:t>0</w:t>
      </w:r>
      <w:r w:rsidR="00126621" w:rsidRPr="00C221C2">
        <w:t xml:space="preserve">-day public comment period </w:t>
      </w:r>
      <w:r w:rsidR="004F193F">
        <w:t>for collection activities in the</w:t>
      </w:r>
      <w:r w:rsidR="00126621" w:rsidRPr="00C221C2">
        <w:t xml:space="preserve"> </w:t>
      </w:r>
      <w:r w:rsidR="00C458C1">
        <w:t>interim final</w:t>
      </w:r>
      <w:r w:rsidR="00126621" w:rsidRPr="00C221C2">
        <w:t xml:space="preserve"> </w:t>
      </w:r>
      <w:r w:rsidR="00076256" w:rsidRPr="00C221C2">
        <w:t>rule,</w:t>
      </w:r>
      <w:r w:rsidR="004F193F">
        <w:t xml:space="preserve"> which was published </w:t>
      </w:r>
      <w:r w:rsidR="00AD58EC">
        <w:t xml:space="preserve">on November 30, 2018 </w:t>
      </w:r>
      <w:r w:rsidRPr="00C221C2">
        <w:t xml:space="preserve">in the </w:t>
      </w:r>
      <w:r w:rsidRPr="00C221C2">
        <w:rPr>
          <w:i/>
        </w:rPr>
        <w:t>Federal Register</w:t>
      </w:r>
      <w:r w:rsidR="00AD58EC">
        <w:rPr>
          <w:i/>
        </w:rPr>
        <w:t xml:space="preserve"> </w:t>
      </w:r>
      <w:r w:rsidR="00AD58EC" w:rsidRPr="00AD58EC">
        <w:t>(83 FR 61552)</w:t>
      </w:r>
      <w:r w:rsidR="00126621" w:rsidRPr="00AD58EC">
        <w:t>.</w:t>
      </w:r>
      <w:r w:rsidRPr="00C221C2">
        <w:rPr>
          <w:i/>
        </w:rPr>
        <w:t xml:space="preserve"> </w:t>
      </w:r>
      <w:r w:rsidR="00126621" w:rsidRPr="00C221C2">
        <w:t xml:space="preserve">To assist the public in commenting on the </w:t>
      </w:r>
      <w:r w:rsidR="004078AF">
        <w:t>rule</w:t>
      </w:r>
      <w:r w:rsidR="00126621" w:rsidRPr="00C221C2">
        <w:t>, EPA raised a number of</w:t>
      </w:r>
      <w:r w:rsidR="00C458C1">
        <w:t xml:space="preserve"> issues in the preamble to the interim final </w:t>
      </w:r>
      <w:r w:rsidR="00126621" w:rsidRPr="00C221C2">
        <w:t>rule and asked for the public to comment on them. At the end of the comment period, EPA will review public comments received in response to the notice and will address comments received, as appropriate.</w:t>
      </w:r>
    </w:p>
    <w:p w14:paraId="41BCB8CE" w14:textId="77777777" w:rsidR="00127EE6" w:rsidRDefault="00127EE6" w:rsidP="00E05801">
      <w:pPr>
        <w:ind w:firstLine="720"/>
        <w:rPr>
          <w:b/>
          <w:bCs/>
        </w:rPr>
      </w:pPr>
    </w:p>
    <w:p w14:paraId="572CAA15" w14:textId="2464E916" w:rsidR="00E05801" w:rsidRPr="00D15828" w:rsidRDefault="00E05801" w:rsidP="00E05801">
      <w:pPr>
        <w:ind w:firstLine="720"/>
      </w:pPr>
      <w:r w:rsidRPr="00D15828">
        <w:rPr>
          <w:b/>
          <w:bCs/>
        </w:rPr>
        <w:t>3(c)</w:t>
      </w:r>
      <w:r w:rsidRPr="00D15828">
        <w:rPr>
          <w:b/>
          <w:bCs/>
        </w:rPr>
        <w:tab/>
        <w:t>Consultations</w:t>
      </w:r>
    </w:p>
    <w:p w14:paraId="6785D04D" w14:textId="77777777" w:rsidR="00E05801" w:rsidRDefault="00E05801" w:rsidP="00E05801"/>
    <w:p w14:paraId="139510A9" w14:textId="01176F48" w:rsidR="00A91403" w:rsidRDefault="00C458C1" w:rsidP="00E05801">
      <w:pPr>
        <w:ind w:firstLine="720"/>
        <w:rPr>
          <w:bCs/>
        </w:rPr>
      </w:pPr>
      <w:r>
        <w:rPr>
          <w:bCs/>
        </w:rPr>
        <w:t xml:space="preserve">EPA had numerous meetings with impacted stakeholders while developing this rule. The notes from </w:t>
      </w:r>
      <w:r w:rsidR="00613DB9">
        <w:rPr>
          <w:bCs/>
        </w:rPr>
        <w:t>the relevant meetings can be viewed in the docket for this rule.</w:t>
      </w:r>
      <w:r w:rsidR="00613DB9">
        <w:rPr>
          <w:rStyle w:val="FootnoteReference"/>
          <w:bCs/>
        </w:rPr>
        <w:footnoteReference w:id="1"/>
      </w:r>
      <w:r>
        <w:rPr>
          <w:bCs/>
        </w:rPr>
        <w:t xml:space="preserve"> </w:t>
      </w:r>
      <w:r w:rsidR="002E14DF">
        <w:t xml:space="preserve">  </w:t>
      </w:r>
    </w:p>
    <w:p w14:paraId="58ACF271" w14:textId="77777777" w:rsidR="007C10E7" w:rsidRPr="00A91403" w:rsidRDefault="007C10E7" w:rsidP="00E05801">
      <w:pPr>
        <w:ind w:firstLine="720"/>
        <w:rPr>
          <w:bCs/>
        </w:rPr>
      </w:pPr>
    </w:p>
    <w:p w14:paraId="7DDDCB17" w14:textId="527D1A40" w:rsidR="00E05801" w:rsidRPr="00D15828" w:rsidRDefault="00E05801" w:rsidP="00E05801">
      <w:pPr>
        <w:ind w:firstLine="720"/>
      </w:pPr>
      <w:r w:rsidRPr="00D15828">
        <w:rPr>
          <w:b/>
          <w:bCs/>
        </w:rPr>
        <w:t>3(d)</w:t>
      </w:r>
      <w:r w:rsidRPr="00D15828">
        <w:rPr>
          <w:b/>
          <w:bCs/>
        </w:rPr>
        <w:tab/>
        <w:t>Effects of Less Frequent Collection</w:t>
      </w:r>
    </w:p>
    <w:p w14:paraId="40C51CBA" w14:textId="77777777" w:rsidR="00E05801" w:rsidRDefault="00E05801" w:rsidP="00E05801">
      <w:pPr>
        <w:ind w:firstLine="720"/>
      </w:pPr>
    </w:p>
    <w:p w14:paraId="64EBF0A6" w14:textId="48CC632C" w:rsidR="00E05801" w:rsidRDefault="00126621" w:rsidP="00126621">
      <w:pPr>
        <w:ind w:firstLine="720"/>
      </w:pPr>
      <w:r>
        <w:t xml:space="preserve">EPA has carefully considered the burden imposed upon the regulated community by the </w:t>
      </w:r>
      <w:r w:rsidR="004078AF">
        <w:t>interim final</w:t>
      </w:r>
      <w:r>
        <w:t xml:space="preserve"> rule. EPA is confident that those activities required of respondents are necessary, and to the extent possible, the Agency has attempted to minimize the burden imposed. EPA believes strongly that, if the minimum information collection requirements of the </w:t>
      </w:r>
      <w:r w:rsidR="00613DB9">
        <w:t>interim final</w:t>
      </w:r>
      <w:r>
        <w:t xml:space="preserve"> rule are not met, neither the industry nor EPA will be able to ensure that</w:t>
      </w:r>
      <w:r w:rsidR="00C221C2">
        <w:t xml:space="preserve"> </w:t>
      </w:r>
      <w:r w:rsidR="00613DB9">
        <w:t>airbag waste is</w:t>
      </w:r>
      <w:r>
        <w:t xml:space="preserve"> being managed in a manner protective of human health and the environment.</w:t>
      </w:r>
    </w:p>
    <w:p w14:paraId="4A7BEB6B" w14:textId="77777777" w:rsidR="00126621" w:rsidRDefault="00126621" w:rsidP="00126621">
      <w:pPr>
        <w:ind w:firstLine="720"/>
      </w:pPr>
    </w:p>
    <w:p w14:paraId="0F033CEB" w14:textId="21881E75" w:rsidR="00E05801" w:rsidRPr="00D15828" w:rsidRDefault="00E05801" w:rsidP="00E05801">
      <w:pPr>
        <w:ind w:firstLine="720"/>
      </w:pPr>
      <w:r w:rsidRPr="00D15828">
        <w:rPr>
          <w:b/>
          <w:bCs/>
        </w:rPr>
        <w:t>3(e)</w:t>
      </w:r>
      <w:r w:rsidRPr="00D15828">
        <w:rPr>
          <w:b/>
          <w:bCs/>
        </w:rPr>
        <w:tab/>
        <w:t>General Guidelines</w:t>
      </w:r>
    </w:p>
    <w:p w14:paraId="0A44BD12" w14:textId="77777777" w:rsidR="00E05801" w:rsidRDefault="00E05801" w:rsidP="00E05801">
      <w:pPr>
        <w:ind w:firstLine="720"/>
      </w:pPr>
    </w:p>
    <w:p w14:paraId="0A1609C6" w14:textId="77777777" w:rsidR="00E05801" w:rsidRDefault="00E05801" w:rsidP="00E05801">
      <w:pPr>
        <w:ind w:firstLine="720"/>
        <w:jc w:val="both"/>
      </w:pPr>
      <w:r w:rsidRPr="00D15828">
        <w:t>This ICR adheres to the guidelines stated in the Paperwork Reduction Act of 1995,</w:t>
      </w:r>
      <w:r>
        <w:t xml:space="preserve"> </w:t>
      </w:r>
      <w:r w:rsidRPr="00D15828">
        <w:t>OMB’s implementing regulations, EPA’s ICR Handbook, and other applicable OMB guidance.</w:t>
      </w:r>
    </w:p>
    <w:p w14:paraId="0A81A72E" w14:textId="77777777" w:rsidR="00E05801" w:rsidRDefault="00E05801" w:rsidP="00E05801">
      <w:pPr>
        <w:ind w:firstLine="720"/>
        <w:jc w:val="both"/>
      </w:pPr>
    </w:p>
    <w:p w14:paraId="2AF756AB" w14:textId="7E053921" w:rsidR="00E05801" w:rsidRPr="00D15828" w:rsidRDefault="00E05801" w:rsidP="00E05801">
      <w:pPr>
        <w:ind w:firstLine="720"/>
      </w:pPr>
      <w:r w:rsidRPr="00D15828">
        <w:rPr>
          <w:b/>
          <w:bCs/>
        </w:rPr>
        <w:t>3(f)</w:t>
      </w:r>
      <w:r w:rsidRPr="00D15828">
        <w:rPr>
          <w:b/>
          <w:bCs/>
        </w:rPr>
        <w:tab/>
        <w:t>Confidentiality</w:t>
      </w:r>
    </w:p>
    <w:p w14:paraId="6DC4B87B" w14:textId="77777777" w:rsidR="00E05801" w:rsidRDefault="00E05801" w:rsidP="00E05801">
      <w:pPr>
        <w:ind w:firstLine="720"/>
        <w:jc w:val="both"/>
      </w:pPr>
    </w:p>
    <w:p w14:paraId="2EE64923" w14:textId="120591AE" w:rsidR="00E05801" w:rsidRPr="00D15828" w:rsidRDefault="00E05801" w:rsidP="00BD34BE">
      <w:pPr>
        <w:ind w:firstLine="720"/>
      </w:pPr>
      <w:r w:rsidRPr="00D15828">
        <w:t xml:space="preserve">Section 3007(b) of RCRA and 40 </w:t>
      </w:r>
      <w:r w:rsidRPr="00D15828">
        <w:rPr>
          <w:i/>
          <w:iCs/>
        </w:rPr>
        <w:t>CFR</w:t>
      </w:r>
      <w:r w:rsidRPr="00D15828">
        <w:t xml:space="preserve"> Part 2, Subpart B, which defines EPA’s general policy on public disclosure of information, contain provisions for confidentiality</w:t>
      </w:r>
      <w:r>
        <w:t xml:space="preserve">. </w:t>
      </w:r>
      <w:r w:rsidRPr="00D15828">
        <w:t xml:space="preserve">However, the Agency does not anticipate that businesses will assert a claim of confidentiality covering all or part of the </w:t>
      </w:r>
      <w:r>
        <w:t xml:space="preserve">rule. </w:t>
      </w:r>
      <w:r w:rsidRPr="00D15828">
        <w:t>If such a claim is asserted, EPA must and will treat the information in accordance with the regulations cited above</w:t>
      </w:r>
      <w:r>
        <w:t xml:space="preserve">. </w:t>
      </w:r>
      <w:r w:rsidRPr="00D15828">
        <w:t>EPA also will assure that this information collection complies with the Privacy Act of 1974 and OMB Circular 108.</w:t>
      </w:r>
    </w:p>
    <w:p w14:paraId="53908055" w14:textId="77777777" w:rsidR="00E05801" w:rsidRDefault="00E05801" w:rsidP="00E05801">
      <w:pPr>
        <w:ind w:firstLine="720"/>
        <w:rPr>
          <w:b/>
          <w:bCs/>
        </w:rPr>
      </w:pPr>
    </w:p>
    <w:p w14:paraId="699814B1" w14:textId="296DA3E5" w:rsidR="00E05801" w:rsidRPr="00D15828" w:rsidRDefault="00E05801" w:rsidP="00E05801">
      <w:pPr>
        <w:ind w:firstLine="720"/>
      </w:pPr>
      <w:r w:rsidRPr="00D15828">
        <w:rPr>
          <w:b/>
          <w:bCs/>
        </w:rPr>
        <w:t>3(g)</w:t>
      </w:r>
      <w:r w:rsidRPr="00D15828">
        <w:rPr>
          <w:b/>
          <w:bCs/>
        </w:rPr>
        <w:tab/>
        <w:t>Sensitive Questions</w:t>
      </w:r>
    </w:p>
    <w:p w14:paraId="0A5EC603" w14:textId="77777777" w:rsidR="00E05801" w:rsidRPr="00D15828" w:rsidRDefault="00E05801" w:rsidP="00E05801">
      <w:pPr>
        <w:ind w:firstLine="720"/>
      </w:pPr>
    </w:p>
    <w:p w14:paraId="3880F7B8" w14:textId="14F86538" w:rsidR="00E05801" w:rsidRDefault="00E05801" w:rsidP="00BC03B5">
      <w:pPr>
        <w:ind w:firstLine="720"/>
        <w:jc w:val="both"/>
        <w:rPr>
          <w:b/>
          <w:bCs/>
        </w:rPr>
      </w:pPr>
      <w:r w:rsidRPr="00D15828">
        <w:t>No questions of a sensitive nature are included in the information collection requirements associated with the</w:t>
      </w:r>
      <w:r w:rsidR="004078AF">
        <w:t xml:space="preserve"> interim final</w:t>
      </w:r>
      <w:r>
        <w:t xml:space="preserve"> rule</w:t>
      </w:r>
      <w:r w:rsidRPr="00D15828">
        <w:t>.</w:t>
      </w:r>
    </w:p>
    <w:p w14:paraId="46AC2C07" w14:textId="77777777" w:rsidR="001C54A7" w:rsidRDefault="001C54A7">
      <w:pPr>
        <w:rPr>
          <w:b/>
          <w:bCs/>
        </w:rPr>
      </w:pPr>
      <w:r>
        <w:rPr>
          <w:b/>
          <w:bCs/>
        </w:rPr>
        <w:br w:type="page"/>
      </w:r>
    </w:p>
    <w:p w14:paraId="5621EEBE" w14:textId="77777777" w:rsidR="00E05801" w:rsidRPr="00D15828" w:rsidRDefault="00E05801" w:rsidP="00E05801">
      <w:pPr>
        <w:outlineLvl w:val="0"/>
        <w:rPr>
          <w:b/>
          <w:bCs/>
        </w:rPr>
      </w:pPr>
      <w:r w:rsidRPr="00D15828">
        <w:rPr>
          <w:b/>
          <w:bCs/>
        </w:rPr>
        <w:t>4.</w:t>
      </w:r>
      <w:r w:rsidRPr="00D15828">
        <w:rPr>
          <w:b/>
          <w:bCs/>
        </w:rPr>
        <w:tab/>
        <w:t>THE RESPONDENTS AND THE INFORMATION REQUESTED</w:t>
      </w:r>
      <w:r w:rsidRPr="00D15828">
        <w:rPr>
          <w:b/>
          <w:bCs/>
        </w:rPr>
        <w:fldChar w:fldCharType="begin"/>
      </w:r>
      <w:r w:rsidRPr="00D15828">
        <w:rPr>
          <w:b/>
          <w:bCs/>
        </w:rPr>
        <w:instrText>tc \l1 "4.</w:instrText>
      </w:r>
      <w:r w:rsidRPr="00D15828">
        <w:rPr>
          <w:b/>
          <w:bCs/>
        </w:rPr>
        <w:tab/>
        <w:instrText>THE RESPONDENTS AND THE INFORMATION REQUESTED</w:instrText>
      </w:r>
      <w:r w:rsidRPr="00D15828">
        <w:rPr>
          <w:b/>
          <w:bCs/>
        </w:rPr>
        <w:fldChar w:fldCharType="end"/>
      </w:r>
    </w:p>
    <w:p w14:paraId="6ED0E5EF" w14:textId="77777777" w:rsidR="00E05801" w:rsidRPr="00D15828" w:rsidRDefault="00E05801" w:rsidP="00E05801">
      <w:pPr>
        <w:keepNext/>
        <w:keepLines/>
        <w:rPr>
          <w:b/>
          <w:bCs/>
        </w:rPr>
      </w:pPr>
    </w:p>
    <w:p w14:paraId="5F11E5C7" w14:textId="6E355A3C" w:rsidR="00E05801" w:rsidRPr="00D15828" w:rsidRDefault="00E05801" w:rsidP="00E05801">
      <w:pPr>
        <w:keepNext/>
        <w:keepLines/>
        <w:tabs>
          <w:tab w:val="left" w:pos="-1440"/>
        </w:tabs>
        <w:ind w:left="1440" w:hanging="720"/>
      </w:pPr>
      <w:r w:rsidRPr="00D15828">
        <w:rPr>
          <w:b/>
          <w:bCs/>
        </w:rPr>
        <w:t>4(a)</w:t>
      </w:r>
      <w:r w:rsidRPr="00D15828">
        <w:rPr>
          <w:b/>
          <w:bCs/>
        </w:rPr>
        <w:tab/>
        <w:t>Respondents and NAICS Codes</w:t>
      </w:r>
    </w:p>
    <w:p w14:paraId="4CA8E91F" w14:textId="77777777" w:rsidR="00E05801" w:rsidRPr="00D15828" w:rsidRDefault="00E05801" w:rsidP="00E05801">
      <w:pPr>
        <w:keepNext/>
        <w:keepLines/>
      </w:pPr>
    </w:p>
    <w:p w14:paraId="3DAB45F0" w14:textId="1F10F1D0" w:rsidR="00E45564" w:rsidRPr="00D15828" w:rsidRDefault="00414C02" w:rsidP="00A23F32">
      <w:r>
        <w:tab/>
        <w:t>The primary entities impacted by this rule are automobile dealerships that perform warranty repair/replacement work related to the recalled airbag inflators. These dealerships fall under NAICS code 441: Motor Vehicle and Parts Dealers.</w:t>
      </w:r>
      <w:r w:rsidRPr="009D1639">
        <w:rPr>
          <w:rStyle w:val="FootnoteReference"/>
        </w:rPr>
        <w:footnoteReference w:id="2"/>
      </w:r>
      <w:r>
        <w:t xml:space="preserve"> EPA estimates that approximately 15,256 automobile dealerships will be </w:t>
      </w:r>
      <w:r w:rsidR="00F96CAD">
        <w:t>respondents under this rule. The methodology for developing this estimate can be found in the Economic Analysis, which is available in the docket of the interim final rule.</w:t>
      </w:r>
    </w:p>
    <w:p w14:paraId="5CF67FE2" w14:textId="77777777" w:rsidR="00E05801" w:rsidRDefault="00E05801" w:rsidP="00E05801">
      <w:pPr>
        <w:ind w:firstLine="720"/>
        <w:rPr>
          <w:b/>
        </w:rPr>
      </w:pPr>
    </w:p>
    <w:p w14:paraId="7794E128" w14:textId="77777777" w:rsidR="00E05801" w:rsidRPr="0090669D" w:rsidRDefault="00E05801" w:rsidP="00E05801">
      <w:pPr>
        <w:ind w:firstLine="720"/>
        <w:rPr>
          <w:b/>
        </w:rPr>
      </w:pPr>
      <w:r w:rsidRPr="0090669D">
        <w:rPr>
          <w:b/>
        </w:rPr>
        <w:t>4(b)</w:t>
      </w:r>
      <w:r w:rsidRPr="0090669D">
        <w:rPr>
          <w:b/>
        </w:rPr>
        <w:tab/>
        <w:t>Info</w:t>
      </w:r>
      <w:r w:rsidRPr="00AE16F1">
        <w:rPr>
          <w:b/>
        </w:rPr>
        <w:t>rmatio</w:t>
      </w:r>
      <w:r w:rsidRPr="0090669D">
        <w:rPr>
          <w:b/>
        </w:rPr>
        <w:t>n Requested</w:t>
      </w:r>
    </w:p>
    <w:p w14:paraId="258EB67E" w14:textId="77777777" w:rsidR="00E05801" w:rsidRPr="0090669D" w:rsidRDefault="00E05801" w:rsidP="00E05801">
      <w:pPr>
        <w:jc w:val="both"/>
      </w:pPr>
    </w:p>
    <w:p w14:paraId="6EFBB618" w14:textId="21CDF2DC" w:rsidR="00E05801" w:rsidRPr="0090669D" w:rsidRDefault="00E05801" w:rsidP="00E45564">
      <w:pPr>
        <w:ind w:firstLine="720"/>
      </w:pPr>
      <w:r w:rsidRPr="0090669D">
        <w:t xml:space="preserve">This section describes information collection requirements applicable to entities that </w:t>
      </w:r>
      <w:r>
        <w:t>will</w:t>
      </w:r>
      <w:r w:rsidRPr="0090669D">
        <w:t xml:space="preserve"> be affected by the </w:t>
      </w:r>
      <w:r w:rsidR="00B71711">
        <w:t>interim final</w:t>
      </w:r>
      <w:r>
        <w:t xml:space="preserve"> rule. </w:t>
      </w:r>
      <w:r w:rsidR="00437401">
        <w:t>All of</w:t>
      </w:r>
      <w:r w:rsidRPr="0090669D">
        <w:t xml:space="preserve"> the</w:t>
      </w:r>
      <w:r w:rsidR="00437401">
        <w:t xml:space="preserve"> provisions in </w:t>
      </w:r>
      <w:r w:rsidRPr="0090669D">
        <w:t xml:space="preserve">the rule are intended to provide greater flexibility to </w:t>
      </w:r>
      <w:r w:rsidR="00586EF1">
        <w:t>handlers of airbag waste</w:t>
      </w:r>
      <w:r w:rsidR="005834B3">
        <w:t>.</w:t>
      </w:r>
      <w:r w:rsidR="00437401">
        <w:t xml:space="preserve"> </w:t>
      </w:r>
    </w:p>
    <w:p w14:paraId="06F8439F" w14:textId="50EAFCB0" w:rsidR="0063605B" w:rsidRDefault="0063605B" w:rsidP="00586EF1">
      <w:pPr>
        <w:pStyle w:val="Default"/>
        <w:rPr>
          <w:rFonts w:ascii="Times New Roman" w:hAnsi="Times New Roman" w:cs="Times New Roman"/>
          <w:b/>
          <w:i/>
        </w:rPr>
      </w:pPr>
    </w:p>
    <w:p w14:paraId="7D46ED98" w14:textId="77777777" w:rsidR="0063605B" w:rsidRDefault="0063605B" w:rsidP="0063605B">
      <w:pPr>
        <w:pStyle w:val="Default"/>
        <w:ind w:firstLine="720"/>
        <w:rPr>
          <w:rFonts w:ascii="Times New Roman" w:hAnsi="Times New Roman" w:cs="Times New Roman"/>
          <w:b/>
          <w:i/>
        </w:rPr>
      </w:pPr>
      <w:r>
        <w:rPr>
          <w:rFonts w:ascii="Times New Roman" w:hAnsi="Times New Roman" w:cs="Times New Roman"/>
          <w:b/>
          <w:i/>
        </w:rPr>
        <w:t>Shipping Recordkeeeping</w:t>
      </w:r>
    </w:p>
    <w:p w14:paraId="2515E152" w14:textId="77777777" w:rsidR="0063605B" w:rsidRPr="0063605B" w:rsidRDefault="0063605B" w:rsidP="0063605B">
      <w:pPr>
        <w:pStyle w:val="Default"/>
        <w:ind w:firstLine="720"/>
        <w:rPr>
          <w:rFonts w:ascii="Times New Roman" w:hAnsi="Times New Roman" w:cs="Times New Roman"/>
          <w:b/>
          <w:i/>
        </w:rPr>
      </w:pPr>
    </w:p>
    <w:p w14:paraId="2440033D" w14:textId="080A8C01" w:rsidR="004A09A0" w:rsidRDefault="00586EF1" w:rsidP="004A09A0">
      <w:pPr>
        <w:pStyle w:val="Default"/>
        <w:ind w:firstLine="720"/>
        <w:rPr>
          <w:rFonts w:ascii="Times New Roman" w:hAnsi="Times New Roman" w:cs="Times New Roman"/>
        </w:rPr>
      </w:pPr>
      <w:r w:rsidRPr="5C6E89A6">
        <w:rPr>
          <w:rFonts w:ascii="Times New Roman" w:hAnsi="Times New Roman" w:cs="Times New Roman"/>
        </w:rPr>
        <w:t>The recordkeeping requirements for the interim final rule consist of maintaining at the airbag handler for no less than three years records of (1) all off-site shipments and (2) confirmations of receipt of airbag waste. The recordkeeping requirements may be fulfilled by ordinary business records, such as bills of lading, and are intended to allow the Agency to verify that the airbag waste reaches its intended destination and is not diverted back into vehicles.</w:t>
      </w:r>
      <w:r>
        <w:rPr>
          <w:rFonts w:ascii="Times New Roman" w:hAnsi="Times New Roman" w:cs="Times New Roman"/>
        </w:rPr>
        <w:t xml:space="preserve"> It is estimated that .05 hours of a clerical workers time will be required for each off-site shipment and confirmation of receipt (</w:t>
      </w:r>
      <w:r w:rsidR="00076256">
        <w:rPr>
          <w:rFonts w:ascii="Times New Roman" w:hAnsi="Times New Roman" w:cs="Times New Roman"/>
        </w:rPr>
        <w:t>individually</w:t>
      </w:r>
      <w:r>
        <w:rPr>
          <w:rFonts w:ascii="Times New Roman" w:hAnsi="Times New Roman" w:cs="Times New Roman"/>
        </w:rPr>
        <w:t>).</w:t>
      </w:r>
      <w:r>
        <w:rPr>
          <w:rStyle w:val="FootnoteReference"/>
          <w:rFonts w:ascii="Times New Roman" w:hAnsi="Times New Roman" w:cs="Times New Roman"/>
        </w:rPr>
        <w:footnoteReference w:id="3"/>
      </w:r>
    </w:p>
    <w:p w14:paraId="68D20EFF" w14:textId="77777777" w:rsidR="00586EF1" w:rsidRPr="004A09A0" w:rsidRDefault="00586EF1" w:rsidP="004A09A0">
      <w:pPr>
        <w:pStyle w:val="Default"/>
        <w:ind w:firstLine="720"/>
        <w:rPr>
          <w:rFonts w:ascii="Times New Roman" w:hAnsi="Times New Roman" w:cs="Times New Roman"/>
        </w:rPr>
      </w:pPr>
    </w:p>
    <w:p w14:paraId="2D64E4BC" w14:textId="77777777" w:rsidR="00E05801" w:rsidRPr="0090669D" w:rsidRDefault="00E05801" w:rsidP="00550AEF">
      <w:pPr>
        <w:rPr>
          <w:b/>
          <w:bCs/>
        </w:rPr>
      </w:pPr>
      <w:r w:rsidRPr="0090669D">
        <w:rPr>
          <w:b/>
          <w:bCs/>
        </w:rPr>
        <w:t>5.</w:t>
      </w:r>
      <w:r w:rsidRPr="0090669D">
        <w:rPr>
          <w:b/>
          <w:bCs/>
        </w:rPr>
        <w:tab/>
        <w:t>THE INFORMATION C</w:t>
      </w:r>
      <w:r w:rsidRPr="00AE16F1">
        <w:rPr>
          <w:b/>
          <w:bCs/>
        </w:rPr>
        <w:t>OLLECT</w:t>
      </w:r>
      <w:r w:rsidRPr="0090669D">
        <w:rPr>
          <w:b/>
          <w:bCs/>
        </w:rPr>
        <w:t>ED—AGENCY ACTIVITIES, COLLECTION METHODOLOGY, AND INFORMATION MANAGEMENT</w:t>
      </w:r>
    </w:p>
    <w:p w14:paraId="12A7D51E" w14:textId="77777777" w:rsidR="00E05801" w:rsidRPr="0090669D" w:rsidRDefault="00E05801" w:rsidP="00E05801">
      <w:pPr>
        <w:pStyle w:val="CM25"/>
        <w:spacing w:after="0"/>
        <w:rPr>
          <w:rFonts w:ascii="Times New Roman" w:hAnsi="Times New Roman" w:cs="Times New Roman"/>
          <w:b/>
          <w:bCs/>
        </w:rPr>
      </w:pPr>
    </w:p>
    <w:p w14:paraId="4BA7AB0D" w14:textId="77777777" w:rsidR="00E05801" w:rsidRPr="0090669D" w:rsidRDefault="00E05801" w:rsidP="00E05801">
      <w:pPr>
        <w:pStyle w:val="CM25"/>
        <w:spacing w:after="0"/>
        <w:ind w:firstLine="720"/>
        <w:rPr>
          <w:rFonts w:ascii="Times New Roman" w:hAnsi="Times New Roman" w:cs="Times New Roman"/>
          <w:b/>
          <w:bCs/>
        </w:rPr>
      </w:pPr>
      <w:r w:rsidRPr="0090669D">
        <w:rPr>
          <w:rFonts w:ascii="Times New Roman" w:hAnsi="Times New Roman" w:cs="Times New Roman"/>
          <w:b/>
          <w:bCs/>
        </w:rPr>
        <w:t>5(a)</w:t>
      </w:r>
      <w:r w:rsidRPr="0090669D">
        <w:rPr>
          <w:rFonts w:ascii="Times New Roman" w:hAnsi="Times New Roman" w:cs="Times New Roman"/>
          <w:b/>
          <w:bCs/>
        </w:rPr>
        <w:tab/>
        <w:t xml:space="preserve">Agency Activities </w:t>
      </w:r>
    </w:p>
    <w:p w14:paraId="7A59F2AD" w14:textId="77777777" w:rsidR="00E05801" w:rsidRPr="0090669D" w:rsidRDefault="00E05801" w:rsidP="00E05801">
      <w:pPr>
        <w:pStyle w:val="Default"/>
        <w:ind w:firstLine="720"/>
        <w:rPr>
          <w:rFonts w:ascii="Times New Roman" w:hAnsi="Times New Roman" w:cs="Times New Roman"/>
          <w:b/>
          <w:i/>
        </w:rPr>
      </w:pPr>
    </w:p>
    <w:p w14:paraId="4F7AE534" w14:textId="29E4AF2A" w:rsidR="00E05801" w:rsidRDefault="00586EF1" w:rsidP="00586EF1">
      <w:pPr>
        <w:pStyle w:val="Default"/>
        <w:ind w:firstLine="720"/>
        <w:rPr>
          <w:rFonts w:ascii="Times New Roman" w:hAnsi="Times New Roman" w:cs="Times New Roman"/>
        </w:rPr>
      </w:pPr>
      <w:r>
        <w:rPr>
          <w:rFonts w:ascii="Times New Roman" w:hAnsi="Times New Roman" w:cs="Times New Roman"/>
        </w:rPr>
        <w:t>The</w:t>
      </w:r>
      <w:r w:rsidR="00ED29BA" w:rsidRPr="00ED29BA">
        <w:rPr>
          <w:rFonts w:ascii="Times New Roman" w:hAnsi="Times New Roman" w:cs="Times New Roman"/>
        </w:rPr>
        <w:t xml:space="preserve"> information that is required of </w:t>
      </w:r>
      <w:r>
        <w:rPr>
          <w:rFonts w:ascii="Times New Roman" w:hAnsi="Times New Roman" w:cs="Times New Roman"/>
        </w:rPr>
        <w:t>airbag waste handlers</w:t>
      </w:r>
      <w:r w:rsidR="00ED29BA">
        <w:rPr>
          <w:rFonts w:ascii="Times New Roman" w:hAnsi="Times New Roman" w:cs="Times New Roman"/>
        </w:rPr>
        <w:t xml:space="preserve"> </w:t>
      </w:r>
      <w:r w:rsidR="00ED29BA" w:rsidRPr="00ED29BA">
        <w:rPr>
          <w:rFonts w:ascii="Times New Roman" w:hAnsi="Times New Roman" w:cs="Times New Roman"/>
        </w:rPr>
        <w:t>would be kept on site and not</w:t>
      </w:r>
      <w:r w:rsidR="00ED29BA">
        <w:rPr>
          <w:rFonts w:ascii="Times New Roman" w:hAnsi="Times New Roman" w:cs="Times New Roman"/>
        </w:rPr>
        <w:t xml:space="preserve"> </w:t>
      </w:r>
      <w:r w:rsidR="00ED29BA" w:rsidRPr="00ED29BA">
        <w:rPr>
          <w:rFonts w:ascii="Times New Roman" w:hAnsi="Times New Roman" w:cs="Times New Roman"/>
        </w:rPr>
        <w:t xml:space="preserve">submitted to EPA formally. </w:t>
      </w:r>
      <w:r w:rsidR="00076256">
        <w:rPr>
          <w:rFonts w:ascii="Times New Roman" w:hAnsi="Times New Roman" w:cs="Times New Roman"/>
        </w:rPr>
        <w:t>The records of shipment and confirmation of receipt would be available to EPA in the event of an inspection.</w:t>
      </w:r>
    </w:p>
    <w:p w14:paraId="38B7EDA2" w14:textId="77777777" w:rsidR="00ED29BA" w:rsidRPr="0090669D" w:rsidRDefault="00ED29BA" w:rsidP="00ED29BA">
      <w:pPr>
        <w:pStyle w:val="Default"/>
        <w:rPr>
          <w:rFonts w:ascii="Times New Roman" w:hAnsi="Times New Roman" w:cs="Times New Roman"/>
        </w:rPr>
      </w:pPr>
    </w:p>
    <w:p w14:paraId="03242F5B" w14:textId="77777777" w:rsidR="00E05801" w:rsidRDefault="00E05801" w:rsidP="00E05801">
      <w:pPr>
        <w:pStyle w:val="Default"/>
        <w:ind w:firstLine="720"/>
        <w:rPr>
          <w:rFonts w:ascii="Times New Roman" w:hAnsi="Times New Roman" w:cs="Times New Roman"/>
          <w:b/>
          <w:bCs/>
        </w:rPr>
      </w:pPr>
      <w:r w:rsidRPr="0090669D">
        <w:rPr>
          <w:rFonts w:ascii="Times New Roman" w:hAnsi="Times New Roman" w:cs="Times New Roman"/>
          <w:b/>
          <w:bCs/>
        </w:rPr>
        <w:t>5(b)</w:t>
      </w:r>
      <w:r w:rsidRPr="0090669D">
        <w:rPr>
          <w:rFonts w:ascii="Times New Roman" w:hAnsi="Times New Roman" w:cs="Times New Roman"/>
          <w:b/>
          <w:bCs/>
        </w:rPr>
        <w:tab/>
      </w:r>
      <w:r>
        <w:rPr>
          <w:rFonts w:ascii="Times New Roman" w:hAnsi="Times New Roman" w:cs="Times New Roman"/>
          <w:b/>
          <w:bCs/>
        </w:rPr>
        <w:t>Collection Methodology and Management</w:t>
      </w:r>
    </w:p>
    <w:p w14:paraId="1E395ED2" w14:textId="77777777" w:rsidR="00E05801" w:rsidRDefault="00E05801" w:rsidP="00E05801">
      <w:pPr>
        <w:pStyle w:val="Default"/>
        <w:ind w:firstLine="720"/>
        <w:rPr>
          <w:rFonts w:ascii="Times New Roman" w:hAnsi="Times New Roman" w:cs="Times New Roman"/>
          <w:b/>
          <w:bCs/>
        </w:rPr>
      </w:pPr>
    </w:p>
    <w:p w14:paraId="19F770F1" w14:textId="6098D83F" w:rsidR="00E05801" w:rsidRDefault="00E05801" w:rsidP="00E05801">
      <w:pPr>
        <w:pStyle w:val="Default"/>
        <w:ind w:firstLine="720"/>
        <w:rPr>
          <w:rFonts w:ascii="Times New Roman" w:hAnsi="Times New Roman" w:cs="Times New Roman"/>
        </w:rPr>
      </w:pPr>
      <w:r w:rsidRPr="008C5460">
        <w:rPr>
          <w:rFonts w:ascii="Times New Roman" w:hAnsi="Times New Roman" w:cs="Times New Roman"/>
        </w:rPr>
        <w:t xml:space="preserve">In collecting and analyzing the information required by the </w:t>
      </w:r>
      <w:r w:rsidR="00586EF1">
        <w:rPr>
          <w:rFonts w:ascii="Times New Roman" w:hAnsi="Times New Roman" w:cs="Times New Roman"/>
        </w:rPr>
        <w:t>Safe Management of Recalled Airbags Interim Final Rule</w:t>
      </w:r>
      <w:r w:rsidRPr="008C5460">
        <w:rPr>
          <w:rFonts w:ascii="Times New Roman" w:hAnsi="Times New Roman" w:cs="Times New Roman"/>
        </w:rPr>
        <w:t>, the Agency will rely upon hard copy forms, electronic submissions, and applicable database software, where appropriate</w:t>
      </w:r>
      <w:r w:rsidR="000E4866">
        <w:rPr>
          <w:rFonts w:ascii="Times New Roman" w:hAnsi="Times New Roman" w:cs="Times New Roman"/>
        </w:rPr>
        <w:t>.</w:t>
      </w:r>
    </w:p>
    <w:p w14:paraId="44B47F14" w14:textId="77777777" w:rsidR="00035828" w:rsidRDefault="00035828" w:rsidP="00E05801">
      <w:pPr>
        <w:pStyle w:val="Default"/>
        <w:ind w:firstLine="720"/>
        <w:rPr>
          <w:rFonts w:ascii="Times New Roman" w:hAnsi="Times New Roman" w:cs="Times New Roman"/>
        </w:rPr>
      </w:pPr>
    </w:p>
    <w:p w14:paraId="5B7BFE93" w14:textId="77777777" w:rsidR="00E05801" w:rsidRPr="0090669D" w:rsidRDefault="00E05801" w:rsidP="00E05801">
      <w:pPr>
        <w:pStyle w:val="Default"/>
        <w:ind w:firstLine="720"/>
        <w:rPr>
          <w:rFonts w:ascii="Times New Roman" w:hAnsi="Times New Roman" w:cs="Times New Roman"/>
          <w:b/>
          <w:bCs/>
        </w:rPr>
      </w:pPr>
      <w:r>
        <w:rPr>
          <w:rFonts w:ascii="Times New Roman" w:hAnsi="Times New Roman" w:cs="Times New Roman"/>
          <w:b/>
          <w:bCs/>
        </w:rPr>
        <w:t>5(c)</w:t>
      </w:r>
      <w:r>
        <w:rPr>
          <w:rFonts w:ascii="Times New Roman" w:hAnsi="Times New Roman" w:cs="Times New Roman"/>
          <w:b/>
          <w:bCs/>
        </w:rPr>
        <w:tab/>
        <w:t>S</w:t>
      </w:r>
      <w:r w:rsidRPr="0090669D">
        <w:rPr>
          <w:rFonts w:ascii="Times New Roman" w:hAnsi="Times New Roman" w:cs="Times New Roman"/>
          <w:b/>
          <w:bCs/>
        </w:rPr>
        <w:t>mall Entity Flexibility</w:t>
      </w:r>
    </w:p>
    <w:p w14:paraId="3EE24537" w14:textId="77777777" w:rsidR="00E05801" w:rsidRPr="0090669D" w:rsidRDefault="00E05801" w:rsidP="00E05801">
      <w:pPr>
        <w:pStyle w:val="Default"/>
        <w:ind w:firstLine="720"/>
        <w:rPr>
          <w:rFonts w:ascii="Times New Roman" w:hAnsi="Times New Roman" w:cs="Times New Roman"/>
          <w:b/>
          <w:bCs/>
        </w:rPr>
      </w:pPr>
    </w:p>
    <w:p w14:paraId="09861378" w14:textId="12622A85" w:rsidR="00615835" w:rsidRDefault="00E05801" w:rsidP="004D3D2B">
      <w:pPr>
        <w:pStyle w:val="Default"/>
        <w:ind w:firstLine="720"/>
        <w:rPr>
          <w:rFonts w:ascii="Times New Roman" w:hAnsi="Times New Roman" w:cs="Times New Roman"/>
        </w:rPr>
      </w:pPr>
      <w:r w:rsidRPr="0090669D">
        <w:rPr>
          <w:rFonts w:ascii="Times New Roman" w:hAnsi="Times New Roman" w:cs="Times New Roman"/>
        </w:rPr>
        <w:t>Some respondents will be small organizations</w:t>
      </w:r>
      <w:r>
        <w:rPr>
          <w:rFonts w:ascii="Times New Roman" w:hAnsi="Times New Roman" w:cs="Times New Roman"/>
        </w:rPr>
        <w:t xml:space="preserve">. </w:t>
      </w:r>
      <w:r w:rsidR="004D3D2B">
        <w:rPr>
          <w:rFonts w:ascii="Times New Roman" w:hAnsi="Times New Roman" w:cs="Times New Roman"/>
        </w:rPr>
        <w:t xml:space="preserve">However, </w:t>
      </w:r>
      <w:r w:rsidR="00076256">
        <w:rPr>
          <w:rFonts w:ascii="Times New Roman" w:hAnsi="Times New Roman" w:cs="Times New Roman"/>
        </w:rPr>
        <w:t>a</w:t>
      </w:r>
      <w:r w:rsidR="00076256" w:rsidRPr="004D3D2B">
        <w:rPr>
          <w:rFonts w:ascii="Times New Roman" w:hAnsi="Times New Roman" w:cs="Times New Roman"/>
        </w:rPr>
        <w:t>ll</w:t>
      </w:r>
      <w:r w:rsidR="004D3D2B" w:rsidRPr="004D3D2B">
        <w:rPr>
          <w:rFonts w:ascii="Times New Roman" w:hAnsi="Times New Roman" w:cs="Times New Roman"/>
        </w:rPr>
        <w:t xml:space="preserve"> the provisions in the rule are intended to provide greater flexibility to </w:t>
      </w:r>
      <w:r w:rsidR="004D3D2B">
        <w:rPr>
          <w:rFonts w:ascii="Times New Roman" w:hAnsi="Times New Roman" w:cs="Times New Roman"/>
        </w:rPr>
        <w:t>facilit</w:t>
      </w:r>
      <w:r w:rsidR="004D3D2B" w:rsidRPr="004D3D2B">
        <w:rPr>
          <w:rFonts w:ascii="Times New Roman" w:hAnsi="Times New Roman" w:cs="Times New Roman"/>
        </w:rPr>
        <w:t xml:space="preserve">ies involved in </w:t>
      </w:r>
      <w:r w:rsidR="00586EF1">
        <w:rPr>
          <w:rFonts w:ascii="Times New Roman" w:hAnsi="Times New Roman" w:cs="Times New Roman"/>
        </w:rPr>
        <w:t>handling airbag waste</w:t>
      </w:r>
      <w:r w:rsidR="004D3D2B" w:rsidRPr="004D3D2B">
        <w:rPr>
          <w:rFonts w:ascii="Times New Roman" w:hAnsi="Times New Roman" w:cs="Times New Roman"/>
        </w:rPr>
        <w:t>.</w:t>
      </w:r>
      <w:r w:rsidR="004D3D2B">
        <w:rPr>
          <w:rFonts w:ascii="Times New Roman" w:hAnsi="Times New Roman" w:cs="Times New Roman"/>
        </w:rPr>
        <w:t xml:space="preserve"> </w:t>
      </w:r>
      <w:r w:rsidR="00586EF1">
        <w:rPr>
          <w:rFonts w:ascii="Times New Roman" w:hAnsi="Times New Roman" w:cs="Times New Roman"/>
        </w:rPr>
        <w:t xml:space="preserve">In the absence of this rule, some facilities that are currently </w:t>
      </w:r>
      <w:r w:rsidR="007A1FFD">
        <w:rPr>
          <w:rFonts w:ascii="Times New Roman" w:hAnsi="Times New Roman" w:cs="Times New Roman"/>
        </w:rPr>
        <w:t xml:space="preserve">RCRA </w:t>
      </w:r>
      <w:r w:rsidR="00586EF1">
        <w:rPr>
          <w:rFonts w:ascii="Times New Roman" w:hAnsi="Times New Roman" w:cs="Times New Roman"/>
        </w:rPr>
        <w:t xml:space="preserve">very small quantity generators or small quantity generators </w:t>
      </w:r>
      <w:r w:rsidR="007A1FFD">
        <w:rPr>
          <w:rFonts w:ascii="Times New Roman" w:hAnsi="Times New Roman" w:cs="Times New Roman"/>
        </w:rPr>
        <w:t>could become large quantity generators and face increased regulatory costs,</w:t>
      </w:r>
    </w:p>
    <w:p w14:paraId="77A596D1" w14:textId="77777777" w:rsidR="004D3D2B" w:rsidRDefault="004D3D2B" w:rsidP="00E05801">
      <w:pPr>
        <w:pStyle w:val="Default"/>
        <w:ind w:firstLine="720"/>
        <w:rPr>
          <w:rFonts w:ascii="Times New Roman" w:hAnsi="Times New Roman" w:cs="Times New Roman"/>
        </w:rPr>
      </w:pPr>
    </w:p>
    <w:p w14:paraId="2B6D7B16" w14:textId="77777777" w:rsidR="00E05801" w:rsidRDefault="00E05801" w:rsidP="00E05801">
      <w:pPr>
        <w:pStyle w:val="Default"/>
        <w:ind w:firstLine="720"/>
        <w:rPr>
          <w:rFonts w:ascii="Times New Roman" w:hAnsi="Times New Roman" w:cs="Times New Roman"/>
        </w:rPr>
      </w:pPr>
    </w:p>
    <w:p w14:paraId="2217B8BC" w14:textId="4E4EB0AE" w:rsidR="00E05801" w:rsidRPr="0090669D" w:rsidRDefault="00E05801" w:rsidP="00E05801">
      <w:pPr>
        <w:pStyle w:val="Default"/>
        <w:ind w:firstLine="720"/>
        <w:rPr>
          <w:rFonts w:ascii="Times New Roman" w:hAnsi="Times New Roman" w:cs="Times New Roman"/>
          <w:b/>
          <w:bCs/>
        </w:rPr>
      </w:pPr>
      <w:r>
        <w:rPr>
          <w:rFonts w:ascii="Times New Roman" w:hAnsi="Times New Roman" w:cs="Times New Roman"/>
          <w:b/>
          <w:bCs/>
        </w:rPr>
        <w:t>5(d)  Collection Schedule</w:t>
      </w:r>
    </w:p>
    <w:p w14:paraId="0316D18D" w14:textId="77777777" w:rsidR="00E05801" w:rsidRDefault="00E05801" w:rsidP="00E05801">
      <w:pPr>
        <w:pStyle w:val="Default"/>
        <w:ind w:firstLine="720"/>
        <w:rPr>
          <w:rFonts w:ascii="Times New Roman" w:hAnsi="Times New Roman" w:cs="Times New Roman"/>
        </w:rPr>
      </w:pPr>
    </w:p>
    <w:p w14:paraId="1D71CC1E" w14:textId="35C6E8B5" w:rsidR="00E05801" w:rsidRDefault="0050405E" w:rsidP="0050405E">
      <w:pPr>
        <w:ind w:firstLine="720"/>
        <w:jc w:val="both"/>
        <w:rPr>
          <w:color w:val="000000"/>
        </w:rPr>
      </w:pPr>
      <w:r w:rsidRPr="0050405E">
        <w:rPr>
          <w:color w:val="000000"/>
        </w:rPr>
        <w:t xml:space="preserve">EPA </w:t>
      </w:r>
      <w:r w:rsidR="006735A5">
        <w:rPr>
          <w:color w:val="000000"/>
        </w:rPr>
        <w:t>will collect</w:t>
      </w:r>
      <w:r w:rsidRPr="0050405E">
        <w:rPr>
          <w:color w:val="000000"/>
        </w:rPr>
        <w:t xml:space="preserve"> information under </w:t>
      </w:r>
      <w:r w:rsidR="006735A5">
        <w:rPr>
          <w:color w:val="000000"/>
        </w:rPr>
        <w:t xml:space="preserve">the </w:t>
      </w:r>
      <w:r w:rsidR="004078AF">
        <w:rPr>
          <w:color w:val="000000"/>
        </w:rPr>
        <w:t>interim final</w:t>
      </w:r>
      <w:r w:rsidR="006735A5">
        <w:rPr>
          <w:color w:val="000000"/>
        </w:rPr>
        <w:t xml:space="preserve"> rule </w:t>
      </w:r>
      <w:r w:rsidRPr="0050405E">
        <w:rPr>
          <w:color w:val="000000"/>
        </w:rPr>
        <w:t xml:space="preserve">on a one-time or as-needed basis. EPA </w:t>
      </w:r>
      <w:r w:rsidR="006735A5">
        <w:rPr>
          <w:color w:val="000000"/>
        </w:rPr>
        <w:t>will</w:t>
      </w:r>
      <w:r w:rsidRPr="0050405E">
        <w:rPr>
          <w:color w:val="000000"/>
        </w:rPr>
        <w:t xml:space="preserve"> not collect any information on a regular schedule.</w:t>
      </w:r>
    </w:p>
    <w:p w14:paraId="31B04FBA" w14:textId="77777777" w:rsidR="0050405E" w:rsidRPr="0090669D" w:rsidRDefault="0050405E" w:rsidP="00E05801">
      <w:pPr>
        <w:jc w:val="both"/>
      </w:pPr>
    </w:p>
    <w:p w14:paraId="2124E094" w14:textId="77777777" w:rsidR="00E05801" w:rsidRPr="0090669D" w:rsidRDefault="00E05801" w:rsidP="00550AEF">
      <w:pPr>
        <w:rPr>
          <w:b/>
          <w:bCs/>
        </w:rPr>
      </w:pPr>
      <w:r w:rsidRPr="0090669D">
        <w:rPr>
          <w:b/>
          <w:bCs/>
        </w:rPr>
        <w:t>6.</w:t>
      </w:r>
      <w:r w:rsidRPr="0090669D">
        <w:rPr>
          <w:b/>
          <w:bCs/>
        </w:rPr>
        <w:tab/>
        <w:t>ESTIMATING THE HOUR AND</w:t>
      </w:r>
      <w:r>
        <w:rPr>
          <w:b/>
          <w:bCs/>
        </w:rPr>
        <w:t xml:space="preserve"> COST BURDEN OF THE COLLECTION</w:t>
      </w:r>
    </w:p>
    <w:p w14:paraId="1EC86390" w14:textId="77777777" w:rsidR="00E05801" w:rsidRPr="0090669D" w:rsidRDefault="00E05801" w:rsidP="00E05801">
      <w:pPr>
        <w:ind w:left="720"/>
        <w:rPr>
          <w:b/>
        </w:rPr>
      </w:pPr>
    </w:p>
    <w:p w14:paraId="0675FE7B" w14:textId="77777777" w:rsidR="00E05801" w:rsidRDefault="00E05801" w:rsidP="00E05801">
      <w:pPr>
        <w:ind w:firstLine="720"/>
      </w:pPr>
    </w:p>
    <w:p w14:paraId="77B06EAD" w14:textId="77777777" w:rsidR="00E05801" w:rsidRPr="0090669D" w:rsidRDefault="00E05801" w:rsidP="00E05801">
      <w:pPr>
        <w:ind w:firstLine="720"/>
        <w:rPr>
          <w:b/>
        </w:rPr>
      </w:pPr>
      <w:r w:rsidRPr="0090669D">
        <w:rPr>
          <w:b/>
        </w:rPr>
        <w:t>6(a)</w:t>
      </w:r>
      <w:r w:rsidRPr="0090669D">
        <w:rPr>
          <w:b/>
        </w:rPr>
        <w:tab/>
        <w:t>Estimating Respondent Burden</w:t>
      </w:r>
    </w:p>
    <w:p w14:paraId="4692D351" w14:textId="77777777" w:rsidR="00E05801" w:rsidRPr="0090669D" w:rsidRDefault="00E05801" w:rsidP="00E05801">
      <w:pPr>
        <w:ind w:left="720"/>
        <w:rPr>
          <w:b/>
        </w:rPr>
      </w:pPr>
    </w:p>
    <w:p w14:paraId="09C196A2" w14:textId="1F73D08B" w:rsidR="00266A6B" w:rsidRDefault="00266A6B" w:rsidP="00E05801">
      <w:pPr>
        <w:ind w:firstLine="720"/>
      </w:pPr>
      <w:r w:rsidRPr="0070551B">
        <w:t>Exhibit 1</w:t>
      </w:r>
      <w:r w:rsidR="00AD75ED">
        <w:t xml:space="preserve">, on page </w:t>
      </w:r>
      <w:r w:rsidR="00076256">
        <w:t>11</w:t>
      </w:r>
      <w:r w:rsidR="00E05801" w:rsidRPr="0070551B">
        <w:t xml:space="preserve"> summarizes the respondent burden associated with the new paperwork requirements in the </w:t>
      </w:r>
      <w:r w:rsidR="00AD75ED">
        <w:t>interim final</w:t>
      </w:r>
      <w:r w:rsidR="00E05801" w:rsidRPr="0070551B">
        <w:t xml:space="preserve"> rule. </w:t>
      </w:r>
      <w:r w:rsidR="00416471">
        <w:t xml:space="preserve">While </w:t>
      </w:r>
      <w:r w:rsidR="003A6C67" w:rsidRPr="0070551B">
        <w:t xml:space="preserve">EPA expects that the </w:t>
      </w:r>
      <w:r w:rsidR="00076256">
        <w:t xml:space="preserve">rule </w:t>
      </w:r>
      <w:r w:rsidR="003A6C67" w:rsidRPr="0070551B">
        <w:t xml:space="preserve">will result in </w:t>
      </w:r>
      <w:r w:rsidR="00AD75ED">
        <w:t>cost savings for</w:t>
      </w:r>
      <w:r w:rsidR="003A6C67" w:rsidRPr="0070551B">
        <w:t xml:space="preserve"> </w:t>
      </w:r>
      <w:r w:rsidR="00AD75ED">
        <w:t>handlers of airbag waste</w:t>
      </w:r>
      <w:r w:rsidR="00416471">
        <w:t xml:space="preserve">, EPA </w:t>
      </w:r>
      <w:r w:rsidR="00076256">
        <w:t xml:space="preserve">also </w:t>
      </w:r>
      <w:r w:rsidR="00416471">
        <w:t xml:space="preserve">expects </w:t>
      </w:r>
      <w:r w:rsidR="00076256">
        <w:t>an</w:t>
      </w:r>
      <w:r w:rsidR="00416471">
        <w:t xml:space="preserve"> increase </w:t>
      </w:r>
      <w:r w:rsidR="00076256">
        <w:t xml:space="preserve">in </w:t>
      </w:r>
      <w:r w:rsidR="00416471">
        <w:t xml:space="preserve">the burden associated with </w:t>
      </w:r>
      <w:r w:rsidR="00AD75ED">
        <w:t>shipping recordkeeping for the relevant entities (although the Agency believes many facilities likely already meet the shipment recordkeeping requirements through their existing business practices)</w:t>
      </w:r>
      <w:r w:rsidR="00416471">
        <w:t xml:space="preserve">. </w:t>
      </w:r>
      <w:r w:rsidR="00E05801" w:rsidRPr="0070551B">
        <w:t xml:space="preserve">As shown in the exhibit, </w:t>
      </w:r>
      <w:r w:rsidR="003A6C67" w:rsidRPr="0070551B">
        <w:t xml:space="preserve">the expected </w:t>
      </w:r>
      <w:r w:rsidR="00416471">
        <w:t>increase</w:t>
      </w:r>
      <w:r w:rsidR="00416471" w:rsidRPr="0070551B">
        <w:t xml:space="preserve"> </w:t>
      </w:r>
      <w:r w:rsidR="003A6C67" w:rsidRPr="0070551B">
        <w:t xml:space="preserve">in burden for </w:t>
      </w:r>
      <w:r w:rsidR="003C3611">
        <w:t>handlers</w:t>
      </w:r>
      <w:r w:rsidR="003C3611" w:rsidRPr="0070551B">
        <w:t xml:space="preserve"> </w:t>
      </w:r>
      <w:r w:rsidR="003A6C67" w:rsidRPr="0070551B">
        <w:t xml:space="preserve">of </w:t>
      </w:r>
      <w:r w:rsidR="00AD75ED">
        <w:t>airbag waste</w:t>
      </w:r>
      <w:r w:rsidR="00416471">
        <w:t xml:space="preserve"> </w:t>
      </w:r>
      <w:r w:rsidR="003A6C67" w:rsidRPr="0070551B">
        <w:t xml:space="preserve">is a total of </w:t>
      </w:r>
      <w:r w:rsidR="00AD75ED">
        <w:t>4</w:t>
      </w:r>
      <w:r w:rsidR="001356C9">
        <w:t>,</w:t>
      </w:r>
      <w:r w:rsidR="00AD75ED">
        <w:t>270</w:t>
      </w:r>
      <w:r w:rsidR="003A6C67" w:rsidRPr="0070551B">
        <w:t xml:space="preserve"> hours </w:t>
      </w:r>
      <w:r w:rsidR="008B0BB5" w:rsidRPr="0070551B">
        <w:t xml:space="preserve">annually </w:t>
      </w:r>
      <w:r w:rsidR="003A6C67" w:rsidRPr="0070551B">
        <w:t xml:space="preserve">under the provisions of the </w:t>
      </w:r>
      <w:r w:rsidR="00AD75ED">
        <w:t>interim final</w:t>
      </w:r>
      <w:r w:rsidR="003A6C67" w:rsidRPr="0070551B">
        <w:t xml:space="preserve"> rule</w:t>
      </w:r>
      <w:r w:rsidR="007D186D">
        <w:t xml:space="preserve"> (an average of 0.28</w:t>
      </w:r>
      <w:r w:rsidR="00AD75ED">
        <w:t xml:space="preserve"> hours per facility)</w:t>
      </w:r>
      <w:r w:rsidR="003A6C67" w:rsidRPr="0070551B">
        <w:t xml:space="preserve">. </w:t>
      </w:r>
      <w:r w:rsidR="00E05801" w:rsidRPr="0070551B">
        <w:t xml:space="preserve">Thus, the </w:t>
      </w:r>
      <w:r w:rsidR="00011413">
        <w:t>total</w:t>
      </w:r>
      <w:r w:rsidR="00E05801" w:rsidRPr="0070551B">
        <w:t xml:space="preserve"> number of </w:t>
      </w:r>
      <w:r w:rsidR="00416471">
        <w:t xml:space="preserve">burden </w:t>
      </w:r>
      <w:r w:rsidR="00E05801" w:rsidRPr="0070551B">
        <w:t xml:space="preserve">hours during the first three years is estimated to be approximately </w:t>
      </w:r>
      <w:r w:rsidR="00AD75ED">
        <w:t>12</w:t>
      </w:r>
      <w:r w:rsidR="001356C9">
        <w:t>,</w:t>
      </w:r>
      <w:r w:rsidR="00AD75ED">
        <w:t>810</w:t>
      </w:r>
      <w:r w:rsidR="00E05801" w:rsidRPr="0070551B">
        <w:t xml:space="preserve"> hours.</w:t>
      </w:r>
      <w:r w:rsidR="00E05801">
        <w:t xml:space="preserve"> </w:t>
      </w:r>
    </w:p>
    <w:p w14:paraId="62BC6DE9" w14:textId="77777777" w:rsidR="00266A6B" w:rsidRDefault="00266A6B" w:rsidP="00E05801">
      <w:pPr>
        <w:ind w:firstLine="720"/>
      </w:pPr>
    </w:p>
    <w:p w14:paraId="71D17229" w14:textId="6B5C81AF" w:rsidR="00E05801" w:rsidRPr="0090669D" w:rsidRDefault="00E05801" w:rsidP="00E05801">
      <w:pPr>
        <w:ind w:firstLine="720"/>
      </w:pPr>
      <w:r>
        <w:t xml:space="preserve">The expected annual </w:t>
      </w:r>
      <w:r w:rsidR="00416471">
        <w:t xml:space="preserve">increase </w:t>
      </w:r>
      <w:r w:rsidR="0024408D">
        <w:t>in respondent burden reflect</w:t>
      </w:r>
      <w:r w:rsidR="00932702">
        <w:t>s</w:t>
      </w:r>
      <w:r>
        <w:t xml:space="preserve"> </w:t>
      </w:r>
      <w:r w:rsidR="00416471">
        <w:t xml:space="preserve">costs </w:t>
      </w:r>
      <w:r w:rsidR="00AD75ED">
        <w:t xml:space="preserve">from two required recordkeeping activities: 1) </w:t>
      </w:r>
      <w:r w:rsidR="00AD75ED" w:rsidRPr="00AD75ED">
        <w:t>Maintain</w:t>
      </w:r>
      <w:r w:rsidR="00AD75ED">
        <w:t>ing</w:t>
      </w:r>
      <w:r w:rsidR="00AD75ED" w:rsidRPr="00AD75ED">
        <w:t xml:space="preserve"> at the airbag ha</w:t>
      </w:r>
      <w:r w:rsidR="000806A7">
        <w:t>ndler for no less than three</w:t>
      </w:r>
      <w:r w:rsidR="00AD75ED" w:rsidRPr="00AD75ED">
        <w:t xml:space="preserve"> years records of all off-site shipments of hazardous secondary materials</w:t>
      </w:r>
      <w:r w:rsidR="00AD75ED">
        <w:t>; 2)</w:t>
      </w:r>
      <w:r w:rsidR="00AD75ED" w:rsidRPr="00AD75ED">
        <w:t xml:space="preserve"> Maintain</w:t>
      </w:r>
      <w:r w:rsidR="00AD75ED">
        <w:t>ing</w:t>
      </w:r>
      <w:r w:rsidR="00AD75ED" w:rsidRPr="00AD75ED">
        <w:t xml:space="preserve"> at the airbag handler for no less than thr</w:t>
      </w:r>
      <w:r w:rsidR="000806A7">
        <w:t>ee</w:t>
      </w:r>
      <w:r w:rsidR="00AD75ED" w:rsidRPr="00AD75ED">
        <w:t xml:space="preserve"> years confirmations of receipt</w:t>
      </w:r>
      <w:r w:rsidR="00AD75ED">
        <w:t>.</w:t>
      </w:r>
    </w:p>
    <w:p w14:paraId="706E0971" w14:textId="77777777" w:rsidR="000015A5" w:rsidRPr="0090669D" w:rsidRDefault="000015A5" w:rsidP="00E05801">
      <w:pPr>
        <w:ind w:left="720"/>
        <w:rPr>
          <w:b/>
        </w:rPr>
      </w:pPr>
    </w:p>
    <w:p w14:paraId="2D3004C0" w14:textId="77777777" w:rsidR="00BD34BE" w:rsidRDefault="00BD34BE" w:rsidP="00E05801">
      <w:pPr>
        <w:ind w:left="720"/>
        <w:rPr>
          <w:b/>
        </w:rPr>
      </w:pPr>
    </w:p>
    <w:p w14:paraId="54A9A935" w14:textId="77777777" w:rsidR="00E05801" w:rsidRPr="0090669D" w:rsidRDefault="00E05801" w:rsidP="00E05801">
      <w:pPr>
        <w:ind w:left="720"/>
        <w:rPr>
          <w:b/>
        </w:rPr>
      </w:pPr>
      <w:r w:rsidRPr="0090669D">
        <w:rPr>
          <w:b/>
        </w:rPr>
        <w:t>6(b)</w:t>
      </w:r>
      <w:r w:rsidRPr="0090669D">
        <w:rPr>
          <w:b/>
        </w:rPr>
        <w:tab/>
        <w:t>Estimating Respondent Costs</w:t>
      </w:r>
    </w:p>
    <w:p w14:paraId="0BCD26BB" w14:textId="77777777" w:rsidR="00E05801" w:rsidRPr="0090669D" w:rsidRDefault="00E05801" w:rsidP="00E05801">
      <w:pPr>
        <w:ind w:left="720"/>
        <w:rPr>
          <w:b/>
        </w:rPr>
      </w:pPr>
    </w:p>
    <w:p w14:paraId="58538A8E" w14:textId="59A4074E" w:rsidR="00E05801" w:rsidRDefault="00AD75ED" w:rsidP="00E05801">
      <w:pPr>
        <w:ind w:firstLine="720"/>
        <w:rPr>
          <w:bCs/>
        </w:rPr>
      </w:pPr>
      <w:r>
        <w:rPr>
          <w:bCs/>
        </w:rPr>
        <w:t>O</w:t>
      </w:r>
      <w:r w:rsidR="000806A7">
        <w:rPr>
          <w:bCs/>
        </w:rPr>
        <w:t>n page 11</w:t>
      </w:r>
      <w:r w:rsidR="00035C85">
        <w:rPr>
          <w:bCs/>
        </w:rPr>
        <w:t xml:space="preserve">, </w:t>
      </w:r>
      <w:r w:rsidR="00E05801">
        <w:rPr>
          <w:bCs/>
        </w:rPr>
        <w:t xml:space="preserve">Exhibit </w:t>
      </w:r>
      <w:r w:rsidR="00266A6B">
        <w:rPr>
          <w:bCs/>
        </w:rPr>
        <w:t>1</w:t>
      </w:r>
      <w:r w:rsidR="00E05801">
        <w:rPr>
          <w:bCs/>
        </w:rPr>
        <w:t xml:space="preserve"> also summari</w:t>
      </w:r>
      <w:r w:rsidR="00266A6B">
        <w:rPr>
          <w:bCs/>
        </w:rPr>
        <w:t>z</w:t>
      </w:r>
      <w:r w:rsidR="00E05801">
        <w:rPr>
          <w:bCs/>
        </w:rPr>
        <w:t>es the total cost</w:t>
      </w:r>
      <w:r w:rsidR="00410C20">
        <w:rPr>
          <w:bCs/>
        </w:rPr>
        <w:t>s</w:t>
      </w:r>
      <w:r w:rsidR="00E05801">
        <w:rPr>
          <w:bCs/>
        </w:rPr>
        <w:t xml:space="preserve"> </w:t>
      </w:r>
      <w:r w:rsidR="00266A6B">
        <w:rPr>
          <w:bCs/>
        </w:rPr>
        <w:t xml:space="preserve">for </w:t>
      </w:r>
      <w:r w:rsidR="00E05801" w:rsidRPr="0090669D">
        <w:rPr>
          <w:bCs/>
        </w:rPr>
        <w:t>information collection activities associated</w:t>
      </w:r>
      <w:r w:rsidR="00E05801">
        <w:rPr>
          <w:bCs/>
        </w:rPr>
        <w:t xml:space="preserve"> with the </w:t>
      </w:r>
      <w:r>
        <w:rPr>
          <w:bCs/>
        </w:rPr>
        <w:t>interim final</w:t>
      </w:r>
      <w:r w:rsidR="00E05801">
        <w:rPr>
          <w:bCs/>
        </w:rPr>
        <w:t xml:space="preserve"> rule</w:t>
      </w:r>
      <w:r>
        <w:rPr>
          <w:bCs/>
        </w:rPr>
        <w:t xml:space="preserve">. Exhibit 1 indicates that </w:t>
      </w:r>
      <w:r w:rsidR="000806A7">
        <w:rPr>
          <w:bCs/>
        </w:rPr>
        <w:t xml:space="preserve">the </w:t>
      </w:r>
      <w:r>
        <w:rPr>
          <w:bCs/>
        </w:rPr>
        <w:t>total annual labor cost related to the two recordkeeping activities is $132,971</w:t>
      </w:r>
      <w:r w:rsidR="000F5826">
        <w:rPr>
          <w:bCs/>
        </w:rPr>
        <w:t xml:space="preserve"> (an average of $9 per facility)</w:t>
      </w:r>
      <w:r>
        <w:rPr>
          <w:bCs/>
        </w:rPr>
        <w:t xml:space="preserve">. </w:t>
      </w:r>
      <w:r w:rsidR="000F5826">
        <w:rPr>
          <w:bCs/>
        </w:rPr>
        <w:t>Thus, the total cost during the first three years is estimated to be $398,914.</w:t>
      </w:r>
    </w:p>
    <w:p w14:paraId="17F75363" w14:textId="77777777" w:rsidR="00E05801" w:rsidRPr="0090669D" w:rsidRDefault="00E05801" w:rsidP="00E05801">
      <w:pPr>
        <w:ind w:left="720"/>
        <w:rPr>
          <w:b/>
          <w:bCs/>
        </w:rPr>
      </w:pPr>
    </w:p>
    <w:p w14:paraId="0646C2BA" w14:textId="77777777" w:rsidR="00E05801" w:rsidRPr="0090669D" w:rsidRDefault="00E05801" w:rsidP="00E05801">
      <w:pPr>
        <w:ind w:left="720"/>
        <w:rPr>
          <w:b/>
          <w:bCs/>
        </w:rPr>
      </w:pPr>
      <w:r w:rsidRPr="001C54A7">
        <w:rPr>
          <w:b/>
          <w:bCs/>
        </w:rPr>
        <w:t>Labor Costs</w:t>
      </w:r>
      <w:r w:rsidRPr="0090669D">
        <w:rPr>
          <w:b/>
          <w:bCs/>
        </w:rPr>
        <w:t xml:space="preserve"> </w:t>
      </w:r>
    </w:p>
    <w:p w14:paraId="63A9112A" w14:textId="77777777" w:rsidR="00E05801" w:rsidRPr="0090669D" w:rsidRDefault="00E05801" w:rsidP="00E05801">
      <w:pPr>
        <w:ind w:left="720"/>
      </w:pPr>
    </w:p>
    <w:p w14:paraId="68046FEB" w14:textId="090ABB53" w:rsidR="00E05801" w:rsidRPr="0090669D" w:rsidRDefault="00E05801" w:rsidP="00E05801">
      <w:pPr>
        <w:ind w:firstLine="720"/>
      </w:pPr>
      <w:r w:rsidRPr="002D0913">
        <w:t>For purposes of this analysis, this ICR estimates an average hourly respondent labor cost (including fringe benefits and overhead costs) of $</w:t>
      </w:r>
      <w:r w:rsidR="000F5826">
        <w:t>13</w:t>
      </w:r>
      <w:r w:rsidR="00FB3348">
        <w:t>0.</w:t>
      </w:r>
      <w:r w:rsidR="000F5826">
        <w:t>33</w:t>
      </w:r>
      <w:r w:rsidRPr="002D0913">
        <w:t xml:space="preserve"> for legal staff, $</w:t>
      </w:r>
      <w:r w:rsidR="00FB3348">
        <w:t>1</w:t>
      </w:r>
      <w:r w:rsidR="000F5826">
        <w:t>13.39</w:t>
      </w:r>
      <w:r w:rsidRPr="002D0913">
        <w:t xml:space="preserve"> for managerial staff, $</w:t>
      </w:r>
      <w:r w:rsidR="000F5826">
        <w:t>83.74</w:t>
      </w:r>
      <w:r w:rsidRPr="002D0913">
        <w:t xml:space="preserve"> for technical staff, and $</w:t>
      </w:r>
      <w:r w:rsidR="000F5826">
        <w:t>31</w:t>
      </w:r>
      <w:r w:rsidR="00FB3348">
        <w:t>.1</w:t>
      </w:r>
      <w:r w:rsidR="000F5826">
        <w:t>4</w:t>
      </w:r>
      <w:r w:rsidRPr="002D0913">
        <w:t xml:space="preserve"> for clerical staff.</w:t>
      </w:r>
      <w:r>
        <w:t xml:space="preserve"> </w:t>
      </w:r>
      <w:r w:rsidRPr="0090669D">
        <w:t>These hourly labor costs were obtained from the following sources:</w:t>
      </w:r>
    </w:p>
    <w:p w14:paraId="0D466749" w14:textId="77777777" w:rsidR="00E05801" w:rsidRPr="0090669D" w:rsidRDefault="00E05801" w:rsidP="00E05801">
      <w:pPr>
        <w:ind w:left="720"/>
      </w:pPr>
    </w:p>
    <w:p w14:paraId="3DCF1035" w14:textId="0679445D" w:rsidR="000F5826" w:rsidRDefault="000F5826" w:rsidP="000F5826">
      <w:pPr>
        <w:pStyle w:val="ListParagraph"/>
        <w:numPr>
          <w:ilvl w:val="0"/>
          <w:numId w:val="7"/>
        </w:numPr>
        <w:autoSpaceDE w:val="0"/>
        <w:autoSpaceDN w:val="0"/>
        <w:adjustRightInd w:val="0"/>
        <w:rPr>
          <w:rFonts w:eastAsiaTheme="minorHAnsi"/>
        </w:rPr>
      </w:pPr>
      <w:r w:rsidRPr="000F5826">
        <w:rPr>
          <w:rFonts w:eastAsiaTheme="minorHAnsi"/>
        </w:rPr>
        <w:t>The 201</w:t>
      </w:r>
      <w:r w:rsidR="000806A7">
        <w:rPr>
          <w:rFonts w:eastAsiaTheme="minorHAnsi"/>
        </w:rPr>
        <w:t>7 average wage rates</w:t>
      </w:r>
      <w:r w:rsidRPr="000F5826">
        <w:rPr>
          <w:rFonts w:eastAsiaTheme="minorHAnsi"/>
        </w:rPr>
        <w:t xml:space="preserve"> are the average wage rates are reported in the Bureau of Labor Statistics, 2017 National Occupational Employment and Wage Estimate, released March 30, 2018</w:t>
      </w:r>
    </w:p>
    <w:p w14:paraId="5E7ED4B8" w14:textId="77777777" w:rsidR="000F5826" w:rsidRDefault="000F5826" w:rsidP="000F5826">
      <w:pPr>
        <w:pStyle w:val="ListParagraph"/>
        <w:numPr>
          <w:ilvl w:val="0"/>
          <w:numId w:val="7"/>
        </w:numPr>
        <w:autoSpaceDE w:val="0"/>
        <w:autoSpaceDN w:val="0"/>
        <w:adjustRightInd w:val="0"/>
        <w:rPr>
          <w:rFonts w:eastAsiaTheme="minorHAnsi"/>
        </w:rPr>
      </w:pPr>
      <w:r w:rsidRPr="000F5826">
        <w:rPr>
          <w:rFonts w:eastAsiaTheme="minorHAnsi"/>
        </w:rPr>
        <w:t>Fringe benefit cost factor calculated from Bureau of Labor Statistics, Employer Costs for Worker Compensation, released June 9, 2017. Table 10: Employer Costs per Hour Worked for Employee Compensation and Costs as a Percent of Total Compensation: Private Workers, by Industry Group, March 2017</w:t>
      </w:r>
    </w:p>
    <w:p w14:paraId="2C95D2FE" w14:textId="0B5F34F2" w:rsidR="004130A7" w:rsidRDefault="007B387D" w:rsidP="000F5826">
      <w:pPr>
        <w:pStyle w:val="ListParagraph"/>
        <w:numPr>
          <w:ilvl w:val="0"/>
          <w:numId w:val="7"/>
        </w:numPr>
        <w:autoSpaceDE w:val="0"/>
        <w:autoSpaceDN w:val="0"/>
        <w:adjustRightInd w:val="0"/>
        <w:rPr>
          <w:rFonts w:eastAsiaTheme="minorHAnsi"/>
        </w:rPr>
      </w:pPr>
      <w:r>
        <w:rPr>
          <w:rFonts w:eastAsiaTheme="minorHAnsi"/>
        </w:rPr>
        <w:t>Overhead L</w:t>
      </w:r>
      <w:r w:rsidRPr="007B387D">
        <w:rPr>
          <w:rFonts w:eastAsiaTheme="minorHAnsi"/>
        </w:rPr>
        <w:t xml:space="preserve">oading </w:t>
      </w:r>
      <w:r>
        <w:rPr>
          <w:rFonts w:eastAsiaTheme="minorHAnsi"/>
        </w:rPr>
        <w:t>F</w:t>
      </w:r>
      <w:r w:rsidRPr="007B387D">
        <w:rPr>
          <w:rFonts w:eastAsiaTheme="minorHAnsi"/>
        </w:rPr>
        <w:t>actor</w:t>
      </w:r>
      <w:r>
        <w:rPr>
          <w:rFonts w:eastAsiaTheme="minorHAnsi"/>
        </w:rPr>
        <w:t>:</w:t>
      </w:r>
      <w:r w:rsidRPr="007B387D">
        <w:rPr>
          <w:rFonts w:eastAsiaTheme="minorHAnsi"/>
        </w:rPr>
        <w:t xml:space="preserve"> Remedial Action Cost Engineering and Requirements (RACER) cost estimating software 2005 defaults.</w:t>
      </w:r>
    </w:p>
    <w:p w14:paraId="3F96DA79" w14:textId="77777777" w:rsidR="004130A7" w:rsidRPr="004130A7" w:rsidRDefault="004130A7" w:rsidP="00EF00AA">
      <w:pPr>
        <w:pStyle w:val="ListParagraph"/>
        <w:autoSpaceDE w:val="0"/>
        <w:autoSpaceDN w:val="0"/>
        <w:adjustRightInd w:val="0"/>
        <w:ind w:left="1080"/>
        <w:rPr>
          <w:rFonts w:eastAsiaTheme="minorHAnsi"/>
        </w:rPr>
      </w:pPr>
    </w:p>
    <w:p w14:paraId="0AA056EB" w14:textId="308418A8" w:rsidR="00E05801" w:rsidRDefault="009F1856" w:rsidP="00232824">
      <w:pPr>
        <w:autoSpaceDE w:val="0"/>
        <w:autoSpaceDN w:val="0"/>
        <w:adjustRightInd w:val="0"/>
        <w:ind w:firstLine="720"/>
        <w:rPr>
          <w:rFonts w:eastAsiaTheme="minorHAnsi"/>
        </w:rPr>
      </w:pPr>
      <w:r>
        <w:rPr>
          <w:rFonts w:eastAsiaTheme="minorHAnsi"/>
        </w:rPr>
        <w:t>The overhead cost adjustment factor is approximately 1.336.</w:t>
      </w:r>
      <w:r>
        <w:rPr>
          <w:rStyle w:val="FootnoteReference"/>
          <w:rFonts w:eastAsiaTheme="minorHAnsi"/>
        </w:rPr>
        <w:footnoteReference w:id="4"/>
      </w:r>
      <w:r>
        <w:rPr>
          <w:rFonts w:eastAsiaTheme="minorHAnsi"/>
        </w:rPr>
        <w:t xml:space="preserve"> </w:t>
      </w:r>
      <w:r w:rsidR="000806A7">
        <w:rPr>
          <w:rFonts w:eastAsiaTheme="minorHAnsi"/>
        </w:rPr>
        <w:t>Because industry-specific data are</w:t>
      </w:r>
      <w:r w:rsidR="004130A7" w:rsidRPr="004130A7">
        <w:rPr>
          <w:rFonts w:eastAsiaTheme="minorHAnsi"/>
        </w:rPr>
        <w:t xml:space="preserve"> not readily available, this </w:t>
      </w:r>
      <w:r w:rsidR="000F5826">
        <w:rPr>
          <w:rFonts w:eastAsiaTheme="minorHAnsi"/>
        </w:rPr>
        <w:t>ICR</w:t>
      </w:r>
      <w:r w:rsidR="004130A7" w:rsidRPr="004130A7">
        <w:rPr>
          <w:rFonts w:eastAsiaTheme="minorHAnsi"/>
        </w:rPr>
        <w:t xml:space="preserve"> uses the overhead cost adjustment factor from the Remedial Action Cost Engineering Requirements (RACER) System software (a cost estimating </w:t>
      </w:r>
      <w:r w:rsidR="000F5826">
        <w:rPr>
          <w:rFonts w:eastAsiaTheme="minorHAnsi"/>
        </w:rPr>
        <w:t>software) 2005 defaults. This ICR</w:t>
      </w:r>
      <w:r w:rsidR="004130A7" w:rsidRPr="004130A7">
        <w:rPr>
          <w:rFonts w:eastAsiaTheme="minorHAnsi"/>
        </w:rPr>
        <w:t xml:space="preserve"> </w:t>
      </w:r>
      <w:r w:rsidR="000048CC">
        <w:rPr>
          <w:rFonts w:eastAsiaTheme="minorHAnsi"/>
        </w:rPr>
        <w:t>estimates</w:t>
      </w:r>
      <w:r w:rsidR="000048CC" w:rsidRPr="004130A7">
        <w:rPr>
          <w:rFonts w:eastAsiaTheme="minorHAnsi"/>
        </w:rPr>
        <w:t xml:space="preserve"> </w:t>
      </w:r>
      <w:r w:rsidR="004130A7" w:rsidRPr="004130A7">
        <w:rPr>
          <w:rFonts w:eastAsiaTheme="minorHAnsi"/>
        </w:rPr>
        <w:t xml:space="preserve">that costs included in the overhead cost adjustment factor generally do not overlap with the overhead costs estimated directly in the </w:t>
      </w:r>
      <w:r w:rsidR="000F5826">
        <w:rPr>
          <w:rFonts w:eastAsiaTheme="minorHAnsi"/>
        </w:rPr>
        <w:t>ICR</w:t>
      </w:r>
      <w:r w:rsidR="004130A7" w:rsidRPr="004130A7">
        <w:rPr>
          <w:rFonts w:eastAsiaTheme="minorHAnsi"/>
        </w:rPr>
        <w:t xml:space="preserve">. </w:t>
      </w:r>
      <w:r w:rsidRPr="009F1856">
        <w:rPr>
          <w:rFonts w:eastAsiaTheme="minorHAnsi"/>
        </w:rPr>
        <w:t xml:space="preserve">Importantly, there are drawbacks to accounting for overhead costs by adjusting hourly labor rates. Overhead costs might not vary with the magnitude of changes in labor caused by the rule. Some of the overhead costs that facilities experience are unlikely to vary continuously with quantities of labor. However, due to the lack of facility-specific data and due to the inherent uncertainty in the changes in overhead costs associated with changes in labor hours devoted to regulatory compliance, this </w:t>
      </w:r>
      <w:r w:rsidR="000F5826">
        <w:rPr>
          <w:rFonts w:eastAsiaTheme="minorHAnsi"/>
        </w:rPr>
        <w:t>ICR</w:t>
      </w:r>
      <w:r w:rsidRPr="009F1856">
        <w:rPr>
          <w:rFonts w:eastAsiaTheme="minorHAnsi"/>
        </w:rPr>
        <w:t xml:space="preserve"> concludes that the average relationship is the best that can be approximated. In order to ensure that this </w:t>
      </w:r>
      <w:r w:rsidR="000F5826">
        <w:rPr>
          <w:rFonts w:eastAsiaTheme="minorHAnsi"/>
        </w:rPr>
        <w:t>ICR</w:t>
      </w:r>
      <w:r w:rsidRPr="009F1856">
        <w:rPr>
          <w:rFonts w:eastAsiaTheme="minorHAnsi"/>
        </w:rPr>
        <w:t xml:space="preserve"> fully captures the opportunity cost of a unit of time associated with RCRA regulatory compliance, this </w:t>
      </w:r>
      <w:r w:rsidR="000F5826">
        <w:rPr>
          <w:rFonts w:eastAsiaTheme="minorHAnsi"/>
        </w:rPr>
        <w:t>ICR</w:t>
      </w:r>
      <w:r w:rsidRPr="009F1856">
        <w:rPr>
          <w:rFonts w:eastAsiaTheme="minorHAnsi"/>
        </w:rPr>
        <w:t xml:space="preserve"> relies on the RACER overhead cost adjustment factor</w:t>
      </w:r>
      <w:r>
        <w:rPr>
          <w:rFonts w:eastAsiaTheme="minorHAnsi"/>
        </w:rPr>
        <w:t>.</w:t>
      </w:r>
    </w:p>
    <w:p w14:paraId="1FA296D8" w14:textId="77777777" w:rsidR="009F1856" w:rsidRPr="0090669D" w:rsidRDefault="009F1856" w:rsidP="00232824">
      <w:pPr>
        <w:autoSpaceDE w:val="0"/>
        <w:autoSpaceDN w:val="0"/>
        <w:adjustRightInd w:val="0"/>
        <w:ind w:firstLine="720"/>
        <w:rPr>
          <w:rFonts w:eastAsiaTheme="minorHAnsi"/>
        </w:rPr>
      </w:pPr>
    </w:p>
    <w:p w14:paraId="44331A29" w14:textId="77777777" w:rsidR="00E05801" w:rsidRPr="0090669D" w:rsidRDefault="00E05801" w:rsidP="00E05801">
      <w:pPr>
        <w:ind w:left="720"/>
        <w:rPr>
          <w:b/>
          <w:bCs/>
        </w:rPr>
      </w:pPr>
      <w:r w:rsidRPr="0090669D">
        <w:rPr>
          <w:b/>
          <w:bCs/>
        </w:rPr>
        <w:t>Operation &amp; Maintenance Costs</w:t>
      </w:r>
    </w:p>
    <w:p w14:paraId="777F77D9" w14:textId="77777777" w:rsidR="00E05801" w:rsidRPr="0090669D" w:rsidRDefault="00E05801" w:rsidP="00E05801">
      <w:pPr>
        <w:ind w:firstLine="720"/>
      </w:pPr>
    </w:p>
    <w:p w14:paraId="7025C1AE" w14:textId="09EA2AA4" w:rsidR="00E05801" w:rsidRPr="0090669D" w:rsidRDefault="00E05801" w:rsidP="00E05801">
      <w:pPr>
        <w:ind w:firstLine="720"/>
        <w:rPr>
          <w:b/>
          <w:bCs/>
        </w:rPr>
      </w:pPr>
      <w:r w:rsidRPr="001B0656">
        <w:t xml:space="preserve">O&amp;M costs are those costs associated with materials and services procured for the information collection requirements included in the ICR. For this ICR, </w:t>
      </w:r>
      <w:r w:rsidR="000F5826">
        <w:t>there are no relevant O&amp;M costs.</w:t>
      </w:r>
    </w:p>
    <w:p w14:paraId="7384282B" w14:textId="77777777" w:rsidR="00E05801" w:rsidRDefault="00E05801" w:rsidP="00E05801">
      <w:pPr>
        <w:ind w:left="720"/>
        <w:rPr>
          <w:b/>
          <w:bCs/>
        </w:rPr>
      </w:pPr>
    </w:p>
    <w:p w14:paraId="3005F27B" w14:textId="77777777" w:rsidR="00E05801" w:rsidRPr="0090669D" w:rsidRDefault="00E05801" w:rsidP="00E05801">
      <w:pPr>
        <w:ind w:left="720"/>
        <w:rPr>
          <w:b/>
          <w:bCs/>
        </w:rPr>
      </w:pPr>
      <w:r w:rsidRPr="0090669D">
        <w:rPr>
          <w:b/>
          <w:bCs/>
        </w:rPr>
        <w:t>6(c)</w:t>
      </w:r>
      <w:r w:rsidRPr="0090669D">
        <w:rPr>
          <w:b/>
          <w:bCs/>
        </w:rPr>
        <w:tab/>
        <w:t>Estimating Agency Burden and Costs</w:t>
      </w:r>
    </w:p>
    <w:p w14:paraId="6F343212" w14:textId="77777777" w:rsidR="00E05801" w:rsidRPr="0090669D" w:rsidRDefault="00E05801" w:rsidP="00E05801">
      <w:pPr>
        <w:ind w:left="720"/>
        <w:rPr>
          <w:b/>
          <w:bCs/>
        </w:rPr>
      </w:pPr>
    </w:p>
    <w:p w14:paraId="20E837EA" w14:textId="06A6E9F2" w:rsidR="00E05801" w:rsidRPr="0090669D" w:rsidRDefault="009F6354" w:rsidP="00E05801">
      <w:pPr>
        <w:ind w:firstLine="720"/>
        <w:rPr>
          <w:bCs/>
        </w:rPr>
      </w:pPr>
      <w:r>
        <w:rPr>
          <w:bCs/>
        </w:rPr>
        <w:t xml:space="preserve">Since EPA is not required to regularly collect or monitor shipment records, there is no expected </w:t>
      </w:r>
      <w:r w:rsidR="00613D9F">
        <w:rPr>
          <w:bCs/>
        </w:rPr>
        <w:t>burden for the Agency associated with this rule.</w:t>
      </w:r>
    </w:p>
    <w:p w14:paraId="07B5C542" w14:textId="77777777" w:rsidR="00E05801" w:rsidRPr="00CA3B1F" w:rsidRDefault="00E05801" w:rsidP="00E05801">
      <w:pPr>
        <w:pStyle w:val="Default"/>
        <w:ind w:firstLine="720"/>
        <w:rPr>
          <w:rFonts w:ascii="Times New Roman" w:hAnsi="Times New Roman" w:cs="Times New Roman"/>
        </w:rPr>
      </w:pPr>
    </w:p>
    <w:p w14:paraId="635D1FC2" w14:textId="64205050" w:rsidR="00E05801" w:rsidRPr="001D0195" w:rsidRDefault="00E05801" w:rsidP="00E05801">
      <w:pPr>
        <w:ind w:left="720"/>
        <w:rPr>
          <w:b/>
          <w:bCs/>
        </w:rPr>
      </w:pPr>
      <w:r w:rsidRPr="001D0195">
        <w:rPr>
          <w:b/>
          <w:bCs/>
        </w:rPr>
        <w:t>Estimating State and Local Authority Burden and Cost</w:t>
      </w:r>
    </w:p>
    <w:p w14:paraId="06984AD1" w14:textId="77777777" w:rsidR="00E05801" w:rsidRDefault="00E05801" w:rsidP="00E05801">
      <w:pPr>
        <w:ind w:firstLine="720"/>
        <w:jc w:val="both"/>
        <w:rPr>
          <w:b/>
          <w:bCs/>
        </w:rPr>
      </w:pPr>
    </w:p>
    <w:p w14:paraId="62476A98" w14:textId="4101E0FC" w:rsidR="0070551B" w:rsidRDefault="00613D9F" w:rsidP="00E05801">
      <w:pPr>
        <w:ind w:firstLine="720"/>
        <w:rPr>
          <w:bCs/>
        </w:rPr>
      </w:pPr>
      <w:r>
        <w:rPr>
          <w:bCs/>
        </w:rPr>
        <w:t>States and local authorities are not expected to experience any burden associated with this interim final rule.</w:t>
      </w:r>
    </w:p>
    <w:p w14:paraId="68D1473F" w14:textId="77777777" w:rsidR="00CF589B" w:rsidRPr="0090669D" w:rsidRDefault="00CF589B" w:rsidP="00E05801">
      <w:pPr>
        <w:ind w:firstLine="720"/>
        <w:rPr>
          <w:b/>
          <w:bCs/>
        </w:rPr>
      </w:pPr>
    </w:p>
    <w:p w14:paraId="67D7ED01" w14:textId="77777777" w:rsidR="009317B2" w:rsidRPr="004037A8" w:rsidRDefault="009317B2" w:rsidP="009317B2">
      <w:pPr>
        <w:pStyle w:val="IEcNormalText"/>
        <w:rPr>
          <w:sz w:val="24"/>
          <w:szCs w:val="24"/>
        </w:rPr>
      </w:pPr>
    </w:p>
    <w:p w14:paraId="61AC209E" w14:textId="1378721E" w:rsidR="00E05801" w:rsidRPr="004037A8" w:rsidRDefault="00613D9F" w:rsidP="00E05801">
      <w:pPr>
        <w:ind w:firstLine="720"/>
        <w:rPr>
          <w:b/>
          <w:bCs/>
        </w:rPr>
      </w:pPr>
      <w:r>
        <w:rPr>
          <w:b/>
          <w:bCs/>
        </w:rPr>
        <w:t>6(d</w:t>
      </w:r>
      <w:r w:rsidR="00E05801" w:rsidRPr="004037A8">
        <w:rPr>
          <w:b/>
          <w:bCs/>
        </w:rPr>
        <w:t>)</w:t>
      </w:r>
      <w:r w:rsidR="00E05801" w:rsidRPr="004037A8">
        <w:rPr>
          <w:b/>
          <w:bCs/>
        </w:rPr>
        <w:tab/>
        <w:t xml:space="preserve">Bottom Line Burden Hours and Cost Tables </w:t>
      </w:r>
    </w:p>
    <w:p w14:paraId="236C44C3" w14:textId="77777777" w:rsidR="00E05801" w:rsidRPr="004037A8" w:rsidRDefault="00E05801" w:rsidP="00E05801">
      <w:pPr>
        <w:ind w:firstLine="720"/>
        <w:rPr>
          <w:b/>
          <w:bCs/>
        </w:rPr>
      </w:pPr>
    </w:p>
    <w:p w14:paraId="0B96ADE2" w14:textId="354AB8EC" w:rsidR="00E05801" w:rsidRDefault="00E05801" w:rsidP="00E05801">
      <w:r w:rsidRPr="004037A8">
        <w:rPr>
          <w:b/>
          <w:bCs/>
        </w:rPr>
        <w:tab/>
      </w:r>
      <w:r w:rsidR="00823A25" w:rsidRPr="00823A25">
        <w:rPr>
          <w:bCs/>
        </w:rPr>
        <w:t xml:space="preserve">On </w:t>
      </w:r>
      <w:r w:rsidR="00721ACD">
        <w:rPr>
          <w:bCs/>
        </w:rPr>
        <w:t>p</w:t>
      </w:r>
      <w:r w:rsidR="000806A7">
        <w:rPr>
          <w:bCs/>
        </w:rPr>
        <w:t>age 11</w:t>
      </w:r>
      <w:r w:rsidR="00823A25" w:rsidRPr="00823A25">
        <w:rPr>
          <w:bCs/>
        </w:rPr>
        <w:t>,</w:t>
      </w:r>
      <w:r w:rsidR="00823A25">
        <w:rPr>
          <w:b/>
          <w:bCs/>
        </w:rPr>
        <w:t xml:space="preserve"> </w:t>
      </w:r>
      <w:r w:rsidRPr="004037A8">
        <w:rPr>
          <w:bCs/>
        </w:rPr>
        <w:t>Exhibit 1 summarizes the</w:t>
      </w:r>
      <w:r w:rsidR="00613D9F">
        <w:rPr>
          <w:bCs/>
        </w:rPr>
        <w:t xml:space="preserve"> universe,</w:t>
      </w:r>
      <w:r w:rsidRPr="004037A8">
        <w:rPr>
          <w:bCs/>
        </w:rPr>
        <w:t xml:space="preserve"> total </w:t>
      </w:r>
      <w:r w:rsidRPr="004037A8">
        <w:t>cost</w:t>
      </w:r>
      <w:r w:rsidR="004F2906">
        <w:t>s</w:t>
      </w:r>
      <w:r w:rsidR="00613D9F">
        <w:t>, and hourly burden</w:t>
      </w:r>
      <w:r w:rsidR="00F54938" w:rsidRPr="004037A8">
        <w:t xml:space="preserve"> </w:t>
      </w:r>
      <w:r w:rsidRPr="004037A8">
        <w:t xml:space="preserve">of the </w:t>
      </w:r>
      <w:r w:rsidR="00613D9F">
        <w:t>interim final</w:t>
      </w:r>
      <w:r w:rsidRPr="004037A8">
        <w:t xml:space="preserve"> rule</w:t>
      </w:r>
      <w:r w:rsidR="000806A7">
        <w:t>.</w:t>
      </w:r>
    </w:p>
    <w:p w14:paraId="13A8B109" w14:textId="77777777" w:rsidR="00BD34BE" w:rsidRDefault="00BD34BE" w:rsidP="00E05801"/>
    <w:p w14:paraId="508A2D21" w14:textId="1EF5BC6F" w:rsidR="00BD34BE" w:rsidRPr="00EF422C" w:rsidRDefault="00BD34BE" w:rsidP="00D147C5">
      <w:pPr>
        <w:ind w:firstLine="720"/>
        <w:sectPr w:rsidR="00BD34BE" w:rsidRPr="00EF422C" w:rsidSect="00E05801">
          <w:footerReference w:type="default" r:id="rId9"/>
          <w:footerReference w:type="first" r:id="rId10"/>
          <w:pgSz w:w="12240" w:h="15840"/>
          <w:pgMar w:top="1440" w:right="1440" w:bottom="1440" w:left="1440" w:header="720" w:footer="720" w:gutter="0"/>
          <w:pgNumType w:start="1"/>
          <w:cols w:space="720"/>
          <w:docGrid w:linePitch="360"/>
        </w:sectPr>
      </w:pPr>
    </w:p>
    <w:tbl>
      <w:tblPr>
        <w:tblW w:w="13680" w:type="dxa"/>
        <w:tblLook w:val="04A0" w:firstRow="1" w:lastRow="0" w:firstColumn="1" w:lastColumn="0" w:noHBand="0" w:noVBand="1"/>
      </w:tblPr>
      <w:tblGrid>
        <w:gridCol w:w="2787"/>
        <w:gridCol w:w="866"/>
        <w:gridCol w:w="866"/>
        <w:gridCol w:w="1050"/>
        <w:gridCol w:w="894"/>
        <w:gridCol w:w="987"/>
        <w:gridCol w:w="850"/>
        <w:gridCol w:w="727"/>
        <w:gridCol w:w="1306"/>
        <w:gridCol w:w="1261"/>
        <w:gridCol w:w="1017"/>
        <w:gridCol w:w="811"/>
        <w:gridCol w:w="966"/>
      </w:tblGrid>
      <w:tr w:rsidR="006304BC" w14:paraId="35880943" w14:textId="77777777" w:rsidTr="00FD2D9B">
        <w:trPr>
          <w:trHeight w:val="223"/>
        </w:trPr>
        <w:tc>
          <w:tcPr>
            <w:tcW w:w="13680" w:type="dxa"/>
            <w:gridSpan w:val="13"/>
            <w:tcBorders>
              <w:top w:val="nil"/>
              <w:left w:val="nil"/>
              <w:bottom w:val="single" w:sz="8" w:space="0" w:color="auto"/>
              <w:right w:val="nil"/>
            </w:tcBorders>
            <w:shd w:val="clear" w:color="auto" w:fill="auto"/>
            <w:noWrap/>
            <w:vAlign w:val="bottom"/>
            <w:hideMark/>
          </w:tcPr>
          <w:p w14:paraId="2CB88D82" w14:textId="77777777" w:rsidR="00FD2D9B" w:rsidRDefault="00FD2D9B">
            <w:pPr>
              <w:rPr>
                <w:rFonts w:ascii="Calibri" w:hAnsi="Calibri" w:cs="Calibri"/>
                <w:b/>
                <w:bCs/>
                <w:color w:val="000000"/>
              </w:rPr>
            </w:pPr>
          </w:p>
          <w:p w14:paraId="4E5E4289" w14:textId="77777777" w:rsidR="00FD2D9B" w:rsidRDefault="00FD2D9B">
            <w:pPr>
              <w:rPr>
                <w:rFonts w:ascii="Calibri" w:hAnsi="Calibri" w:cs="Calibri"/>
                <w:b/>
                <w:bCs/>
                <w:color w:val="000000"/>
              </w:rPr>
            </w:pPr>
          </w:p>
          <w:p w14:paraId="461030BC" w14:textId="77777777" w:rsidR="00FD2D9B" w:rsidRDefault="00FD2D9B">
            <w:pPr>
              <w:rPr>
                <w:rFonts w:ascii="Calibri" w:hAnsi="Calibri" w:cs="Calibri"/>
                <w:b/>
                <w:bCs/>
                <w:color w:val="000000"/>
              </w:rPr>
            </w:pPr>
          </w:p>
          <w:p w14:paraId="1F95165F" w14:textId="6351C038" w:rsidR="00FD2D9B" w:rsidRDefault="006304BC">
            <w:pPr>
              <w:rPr>
                <w:rFonts w:ascii="Calibri" w:hAnsi="Calibri" w:cs="Calibri"/>
                <w:b/>
                <w:bCs/>
                <w:color w:val="000000"/>
              </w:rPr>
            </w:pPr>
            <w:r>
              <w:rPr>
                <w:rFonts w:ascii="Calibri" w:hAnsi="Calibri" w:cs="Calibri"/>
                <w:b/>
                <w:bCs/>
                <w:color w:val="000000"/>
              </w:rPr>
              <w:t>Exhibit 1:  Annual Respondent Burden &amp; Cost Estimates</w:t>
            </w:r>
          </w:p>
        </w:tc>
      </w:tr>
      <w:tr w:rsidR="006304BC" w14:paraId="67E09F90" w14:textId="77777777" w:rsidTr="00FD2D9B">
        <w:trPr>
          <w:trHeight w:val="213"/>
        </w:trPr>
        <w:tc>
          <w:tcPr>
            <w:tcW w:w="2787"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3ED82582" w14:textId="77777777" w:rsidR="006304BC" w:rsidRDefault="006304BC">
            <w:pPr>
              <w:jc w:val="center"/>
              <w:rPr>
                <w:b/>
                <w:bCs/>
                <w:color w:val="000000"/>
                <w:sz w:val="20"/>
                <w:szCs w:val="20"/>
              </w:rPr>
            </w:pPr>
            <w:r>
              <w:rPr>
                <w:b/>
                <w:bCs/>
                <w:color w:val="000000"/>
                <w:sz w:val="20"/>
                <w:szCs w:val="20"/>
              </w:rPr>
              <w:t>Information Collection Activity</w:t>
            </w:r>
          </w:p>
        </w:tc>
        <w:tc>
          <w:tcPr>
            <w:tcW w:w="6240" w:type="dxa"/>
            <w:gridSpan w:val="7"/>
            <w:tcBorders>
              <w:top w:val="single" w:sz="8" w:space="0" w:color="auto"/>
              <w:left w:val="nil"/>
              <w:bottom w:val="single" w:sz="8" w:space="0" w:color="auto"/>
              <w:right w:val="nil"/>
            </w:tcBorders>
            <w:shd w:val="clear" w:color="000000" w:fill="D9D9D9"/>
            <w:noWrap/>
            <w:vAlign w:val="center"/>
            <w:hideMark/>
          </w:tcPr>
          <w:p w14:paraId="0523C1B9" w14:textId="77777777" w:rsidR="006304BC" w:rsidRDefault="006304BC">
            <w:pPr>
              <w:jc w:val="center"/>
              <w:rPr>
                <w:b/>
                <w:bCs/>
                <w:color w:val="000000"/>
                <w:sz w:val="20"/>
                <w:szCs w:val="20"/>
              </w:rPr>
            </w:pPr>
            <w:r>
              <w:rPr>
                <w:b/>
                <w:bCs/>
                <w:color w:val="000000"/>
                <w:sz w:val="20"/>
                <w:szCs w:val="20"/>
              </w:rPr>
              <w:t>Hours and Costs Per Response</w:t>
            </w:r>
          </w:p>
        </w:tc>
        <w:tc>
          <w:tcPr>
            <w:tcW w:w="4653" w:type="dxa"/>
            <w:gridSpan w:val="5"/>
            <w:tcBorders>
              <w:top w:val="single" w:sz="8" w:space="0" w:color="auto"/>
              <w:left w:val="nil"/>
              <w:bottom w:val="single" w:sz="8" w:space="0" w:color="auto"/>
              <w:right w:val="single" w:sz="8" w:space="0" w:color="000000"/>
            </w:tcBorders>
            <w:shd w:val="clear" w:color="000000" w:fill="D9D9D9"/>
            <w:noWrap/>
            <w:vAlign w:val="center"/>
            <w:hideMark/>
          </w:tcPr>
          <w:p w14:paraId="47CB9359" w14:textId="77777777" w:rsidR="006304BC" w:rsidRDefault="006304BC">
            <w:pPr>
              <w:jc w:val="center"/>
              <w:rPr>
                <w:b/>
                <w:bCs/>
                <w:color w:val="000000"/>
                <w:sz w:val="20"/>
                <w:szCs w:val="20"/>
              </w:rPr>
            </w:pPr>
            <w:r>
              <w:rPr>
                <w:b/>
                <w:bCs/>
                <w:color w:val="000000"/>
                <w:sz w:val="20"/>
                <w:szCs w:val="20"/>
              </w:rPr>
              <w:t>Total Hours and Costs</w:t>
            </w:r>
          </w:p>
        </w:tc>
      </w:tr>
      <w:tr w:rsidR="006304BC" w14:paraId="65528466" w14:textId="77777777" w:rsidTr="00FD2D9B">
        <w:trPr>
          <w:trHeight w:val="304"/>
        </w:trPr>
        <w:tc>
          <w:tcPr>
            <w:tcW w:w="2787" w:type="dxa"/>
            <w:vMerge/>
            <w:tcBorders>
              <w:top w:val="nil"/>
              <w:left w:val="single" w:sz="8" w:space="0" w:color="auto"/>
              <w:bottom w:val="single" w:sz="8" w:space="0" w:color="000000"/>
              <w:right w:val="single" w:sz="8" w:space="0" w:color="auto"/>
            </w:tcBorders>
            <w:vAlign w:val="center"/>
            <w:hideMark/>
          </w:tcPr>
          <w:p w14:paraId="2F56362C" w14:textId="77777777" w:rsidR="006304BC" w:rsidRDefault="006304BC">
            <w:pPr>
              <w:rPr>
                <w:b/>
                <w:bCs/>
                <w:color w:val="000000"/>
                <w:sz w:val="20"/>
                <w:szCs w:val="20"/>
              </w:rPr>
            </w:pPr>
          </w:p>
        </w:tc>
        <w:tc>
          <w:tcPr>
            <w:tcW w:w="3676" w:type="dxa"/>
            <w:gridSpan w:val="4"/>
            <w:tcBorders>
              <w:top w:val="single" w:sz="8" w:space="0" w:color="auto"/>
              <w:left w:val="nil"/>
              <w:bottom w:val="single" w:sz="8" w:space="0" w:color="auto"/>
              <w:right w:val="single" w:sz="8" w:space="0" w:color="000000"/>
            </w:tcBorders>
            <w:shd w:val="clear" w:color="000000" w:fill="D9D9D9"/>
            <w:vAlign w:val="center"/>
            <w:hideMark/>
          </w:tcPr>
          <w:p w14:paraId="19690E2D" w14:textId="77777777" w:rsidR="006304BC" w:rsidRDefault="006304BC">
            <w:pPr>
              <w:jc w:val="center"/>
              <w:rPr>
                <w:b/>
                <w:bCs/>
                <w:color w:val="000000"/>
                <w:sz w:val="20"/>
                <w:szCs w:val="20"/>
              </w:rPr>
            </w:pPr>
            <w:r>
              <w:rPr>
                <w:b/>
                <w:bCs/>
                <w:color w:val="000000"/>
                <w:sz w:val="20"/>
                <w:szCs w:val="20"/>
              </w:rPr>
              <w:t>Loaded Hourly Wages</w:t>
            </w:r>
          </w:p>
        </w:tc>
        <w:tc>
          <w:tcPr>
            <w:tcW w:w="98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E51A62B" w14:textId="3471C5B2" w:rsidR="006304BC" w:rsidRDefault="006304BC" w:rsidP="00FD2D9B">
            <w:pPr>
              <w:jc w:val="center"/>
              <w:rPr>
                <w:b/>
                <w:bCs/>
                <w:color w:val="000000"/>
                <w:sz w:val="20"/>
                <w:szCs w:val="20"/>
              </w:rPr>
            </w:pPr>
            <w:r>
              <w:rPr>
                <w:b/>
                <w:bCs/>
                <w:color w:val="000000"/>
                <w:sz w:val="20"/>
                <w:szCs w:val="20"/>
              </w:rPr>
              <w:t>Labor Costs/ Activity</w:t>
            </w:r>
          </w:p>
        </w:tc>
        <w:tc>
          <w:tcPr>
            <w:tcW w:w="85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D60A6F2" w14:textId="77777777" w:rsidR="006304BC" w:rsidRDefault="006304BC">
            <w:pPr>
              <w:jc w:val="center"/>
              <w:rPr>
                <w:b/>
                <w:bCs/>
                <w:color w:val="000000"/>
                <w:sz w:val="20"/>
                <w:szCs w:val="20"/>
              </w:rPr>
            </w:pPr>
            <w:r>
              <w:rPr>
                <w:b/>
                <w:bCs/>
                <w:color w:val="000000"/>
                <w:sz w:val="20"/>
                <w:szCs w:val="20"/>
              </w:rPr>
              <w:t>Capital Costs</w:t>
            </w:r>
          </w:p>
        </w:tc>
        <w:tc>
          <w:tcPr>
            <w:tcW w:w="72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FF17E57" w14:textId="77777777" w:rsidR="006304BC" w:rsidRDefault="006304BC">
            <w:pPr>
              <w:jc w:val="center"/>
              <w:rPr>
                <w:b/>
                <w:bCs/>
                <w:color w:val="000000"/>
                <w:sz w:val="20"/>
                <w:szCs w:val="20"/>
              </w:rPr>
            </w:pPr>
            <w:r>
              <w:rPr>
                <w:b/>
                <w:bCs/>
                <w:color w:val="000000"/>
                <w:sz w:val="20"/>
                <w:szCs w:val="20"/>
              </w:rPr>
              <w:t xml:space="preserve"> O&amp;M Costs</w:t>
            </w:r>
          </w:p>
        </w:tc>
        <w:tc>
          <w:tcPr>
            <w:tcW w:w="1306"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3E887CB6" w14:textId="77777777" w:rsidR="006304BC" w:rsidRDefault="006304BC">
            <w:pPr>
              <w:jc w:val="center"/>
              <w:rPr>
                <w:b/>
                <w:bCs/>
                <w:color w:val="000000"/>
                <w:sz w:val="20"/>
                <w:szCs w:val="20"/>
              </w:rPr>
            </w:pPr>
            <w:r>
              <w:rPr>
                <w:b/>
                <w:bCs/>
                <w:color w:val="000000"/>
                <w:sz w:val="20"/>
                <w:szCs w:val="20"/>
              </w:rPr>
              <w:t>No. of Respondents</w:t>
            </w:r>
          </w:p>
        </w:tc>
        <w:tc>
          <w:tcPr>
            <w:tcW w:w="1261"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525394C" w14:textId="77777777" w:rsidR="006304BC" w:rsidRDefault="006304BC">
            <w:pPr>
              <w:jc w:val="center"/>
              <w:rPr>
                <w:b/>
                <w:bCs/>
                <w:color w:val="000000"/>
                <w:sz w:val="20"/>
                <w:szCs w:val="20"/>
              </w:rPr>
            </w:pPr>
            <w:r>
              <w:rPr>
                <w:b/>
                <w:bCs/>
                <w:color w:val="000000"/>
                <w:sz w:val="20"/>
                <w:szCs w:val="20"/>
              </w:rPr>
              <w:t>No. of Responses per Respondent</w:t>
            </w:r>
          </w:p>
        </w:tc>
        <w:tc>
          <w:tcPr>
            <w:tcW w:w="101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013D0A8" w14:textId="77777777" w:rsidR="006304BC" w:rsidRDefault="006304BC">
            <w:pPr>
              <w:jc w:val="center"/>
              <w:rPr>
                <w:b/>
                <w:bCs/>
                <w:color w:val="000000"/>
                <w:sz w:val="20"/>
                <w:szCs w:val="20"/>
              </w:rPr>
            </w:pPr>
            <w:r>
              <w:rPr>
                <w:b/>
                <w:bCs/>
                <w:color w:val="000000"/>
                <w:sz w:val="20"/>
                <w:szCs w:val="20"/>
              </w:rPr>
              <w:t>Total Reponses</w:t>
            </w:r>
          </w:p>
        </w:tc>
        <w:tc>
          <w:tcPr>
            <w:tcW w:w="811"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33891C7" w14:textId="77777777" w:rsidR="006304BC" w:rsidRDefault="006304BC">
            <w:pPr>
              <w:jc w:val="center"/>
              <w:rPr>
                <w:b/>
                <w:bCs/>
                <w:color w:val="000000"/>
                <w:sz w:val="20"/>
                <w:szCs w:val="20"/>
              </w:rPr>
            </w:pPr>
            <w:r>
              <w:rPr>
                <w:b/>
                <w:bCs/>
                <w:color w:val="000000"/>
                <w:sz w:val="20"/>
                <w:szCs w:val="20"/>
              </w:rPr>
              <w:t>Total Hours</w:t>
            </w:r>
          </w:p>
        </w:tc>
        <w:tc>
          <w:tcPr>
            <w:tcW w:w="25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C3D437A" w14:textId="77777777" w:rsidR="006304BC" w:rsidRDefault="006304BC">
            <w:pPr>
              <w:jc w:val="center"/>
              <w:rPr>
                <w:b/>
                <w:bCs/>
                <w:color w:val="000000"/>
                <w:sz w:val="20"/>
                <w:szCs w:val="20"/>
              </w:rPr>
            </w:pPr>
            <w:r>
              <w:rPr>
                <w:b/>
                <w:bCs/>
                <w:color w:val="000000"/>
                <w:sz w:val="20"/>
                <w:szCs w:val="20"/>
              </w:rPr>
              <w:t>Total Cost</w:t>
            </w:r>
          </w:p>
        </w:tc>
      </w:tr>
      <w:tr w:rsidR="006304BC" w14:paraId="25EDA113" w14:textId="77777777" w:rsidTr="00FD2D9B">
        <w:trPr>
          <w:trHeight w:val="213"/>
        </w:trPr>
        <w:tc>
          <w:tcPr>
            <w:tcW w:w="2787" w:type="dxa"/>
            <w:vMerge/>
            <w:tcBorders>
              <w:top w:val="nil"/>
              <w:left w:val="single" w:sz="8" w:space="0" w:color="auto"/>
              <w:bottom w:val="single" w:sz="8" w:space="0" w:color="000000"/>
              <w:right w:val="single" w:sz="8" w:space="0" w:color="auto"/>
            </w:tcBorders>
            <w:vAlign w:val="center"/>
            <w:hideMark/>
          </w:tcPr>
          <w:p w14:paraId="29AE182B" w14:textId="77777777" w:rsidR="006304BC" w:rsidRDefault="006304BC">
            <w:pPr>
              <w:rPr>
                <w:b/>
                <w:bCs/>
                <w:color w:val="000000"/>
                <w:sz w:val="20"/>
                <w:szCs w:val="20"/>
              </w:rPr>
            </w:pPr>
          </w:p>
        </w:tc>
        <w:tc>
          <w:tcPr>
            <w:tcW w:w="866" w:type="dxa"/>
            <w:tcBorders>
              <w:top w:val="nil"/>
              <w:left w:val="nil"/>
              <w:bottom w:val="single" w:sz="8" w:space="0" w:color="auto"/>
              <w:right w:val="single" w:sz="8" w:space="0" w:color="auto"/>
            </w:tcBorders>
            <w:shd w:val="clear" w:color="000000" w:fill="D9D9D9"/>
            <w:vAlign w:val="center"/>
            <w:hideMark/>
          </w:tcPr>
          <w:p w14:paraId="16E1FEAB" w14:textId="77777777" w:rsidR="006304BC" w:rsidRDefault="006304BC">
            <w:pPr>
              <w:jc w:val="center"/>
              <w:rPr>
                <w:b/>
                <w:bCs/>
                <w:color w:val="000000"/>
                <w:sz w:val="20"/>
                <w:szCs w:val="20"/>
              </w:rPr>
            </w:pPr>
            <w:r>
              <w:rPr>
                <w:b/>
                <w:bCs/>
                <w:color w:val="000000"/>
                <w:sz w:val="20"/>
                <w:szCs w:val="20"/>
              </w:rPr>
              <w:t>Legal</w:t>
            </w:r>
          </w:p>
        </w:tc>
        <w:tc>
          <w:tcPr>
            <w:tcW w:w="866" w:type="dxa"/>
            <w:tcBorders>
              <w:top w:val="nil"/>
              <w:left w:val="nil"/>
              <w:bottom w:val="single" w:sz="8" w:space="0" w:color="auto"/>
              <w:right w:val="single" w:sz="8" w:space="0" w:color="auto"/>
            </w:tcBorders>
            <w:shd w:val="clear" w:color="000000" w:fill="D9D9D9"/>
            <w:vAlign w:val="center"/>
            <w:hideMark/>
          </w:tcPr>
          <w:p w14:paraId="76F39FD0" w14:textId="77777777" w:rsidR="006304BC" w:rsidRDefault="006304BC">
            <w:pPr>
              <w:jc w:val="center"/>
              <w:rPr>
                <w:b/>
                <w:bCs/>
                <w:color w:val="000000"/>
                <w:sz w:val="20"/>
                <w:szCs w:val="20"/>
              </w:rPr>
            </w:pPr>
            <w:r>
              <w:rPr>
                <w:b/>
                <w:bCs/>
                <w:color w:val="000000"/>
                <w:sz w:val="20"/>
                <w:szCs w:val="20"/>
              </w:rPr>
              <w:t>Manag.</w:t>
            </w:r>
          </w:p>
        </w:tc>
        <w:tc>
          <w:tcPr>
            <w:tcW w:w="1050" w:type="dxa"/>
            <w:tcBorders>
              <w:top w:val="nil"/>
              <w:left w:val="nil"/>
              <w:bottom w:val="single" w:sz="8" w:space="0" w:color="auto"/>
              <w:right w:val="single" w:sz="8" w:space="0" w:color="auto"/>
            </w:tcBorders>
            <w:shd w:val="clear" w:color="000000" w:fill="D9D9D9"/>
            <w:vAlign w:val="center"/>
            <w:hideMark/>
          </w:tcPr>
          <w:p w14:paraId="7B46E984" w14:textId="77777777" w:rsidR="006304BC" w:rsidRDefault="006304BC">
            <w:pPr>
              <w:jc w:val="center"/>
              <w:rPr>
                <w:b/>
                <w:bCs/>
                <w:color w:val="000000"/>
                <w:sz w:val="20"/>
                <w:szCs w:val="20"/>
              </w:rPr>
            </w:pPr>
            <w:r>
              <w:rPr>
                <w:b/>
                <w:bCs/>
                <w:color w:val="000000"/>
                <w:sz w:val="20"/>
                <w:szCs w:val="20"/>
              </w:rPr>
              <w:t>Technical</w:t>
            </w:r>
          </w:p>
        </w:tc>
        <w:tc>
          <w:tcPr>
            <w:tcW w:w="894" w:type="dxa"/>
            <w:tcBorders>
              <w:top w:val="nil"/>
              <w:left w:val="nil"/>
              <w:bottom w:val="single" w:sz="8" w:space="0" w:color="auto"/>
              <w:right w:val="single" w:sz="8" w:space="0" w:color="auto"/>
            </w:tcBorders>
            <w:shd w:val="clear" w:color="000000" w:fill="D9D9D9"/>
            <w:vAlign w:val="center"/>
            <w:hideMark/>
          </w:tcPr>
          <w:p w14:paraId="6A797000" w14:textId="77777777" w:rsidR="006304BC" w:rsidRDefault="006304BC">
            <w:pPr>
              <w:jc w:val="center"/>
              <w:rPr>
                <w:b/>
                <w:bCs/>
                <w:color w:val="000000"/>
                <w:sz w:val="20"/>
                <w:szCs w:val="20"/>
              </w:rPr>
            </w:pPr>
            <w:r>
              <w:rPr>
                <w:b/>
                <w:bCs/>
                <w:color w:val="000000"/>
                <w:sz w:val="20"/>
                <w:szCs w:val="20"/>
              </w:rPr>
              <w:t>Clerical</w:t>
            </w:r>
          </w:p>
        </w:tc>
        <w:tc>
          <w:tcPr>
            <w:tcW w:w="987" w:type="dxa"/>
            <w:vMerge/>
            <w:tcBorders>
              <w:top w:val="nil"/>
              <w:left w:val="single" w:sz="8" w:space="0" w:color="auto"/>
              <w:bottom w:val="single" w:sz="8" w:space="0" w:color="000000"/>
              <w:right w:val="single" w:sz="8" w:space="0" w:color="auto"/>
            </w:tcBorders>
            <w:vAlign w:val="center"/>
            <w:hideMark/>
          </w:tcPr>
          <w:p w14:paraId="4FCAA45D" w14:textId="77777777" w:rsidR="006304BC" w:rsidRDefault="006304BC">
            <w:pPr>
              <w:rPr>
                <w:b/>
                <w:bCs/>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14:paraId="2C1060FF" w14:textId="77777777" w:rsidR="006304BC" w:rsidRDefault="006304BC">
            <w:pPr>
              <w:rPr>
                <w:b/>
                <w:bCs/>
                <w:color w:val="000000"/>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0B65EEFB" w14:textId="77777777" w:rsidR="006304BC" w:rsidRDefault="006304BC">
            <w:pPr>
              <w:rPr>
                <w:b/>
                <w:bCs/>
                <w:color w:val="000000"/>
                <w:sz w:val="20"/>
                <w:szCs w:val="20"/>
              </w:rPr>
            </w:pPr>
          </w:p>
        </w:tc>
        <w:tc>
          <w:tcPr>
            <w:tcW w:w="1306" w:type="dxa"/>
            <w:vMerge/>
            <w:tcBorders>
              <w:top w:val="nil"/>
              <w:left w:val="single" w:sz="8" w:space="0" w:color="auto"/>
              <w:bottom w:val="single" w:sz="8" w:space="0" w:color="000000"/>
              <w:right w:val="single" w:sz="8" w:space="0" w:color="auto"/>
            </w:tcBorders>
            <w:vAlign w:val="center"/>
            <w:hideMark/>
          </w:tcPr>
          <w:p w14:paraId="608DCC94" w14:textId="77777777" w:rsidR="006304BC" w:rsidRDefault="006304BC">
            <w:pPr>
              <w:rPr>
                <w:b/>
                <w:bCs/>
                <w:color w:val="000000"/>
                <w:sz w:val="20"/>
                <w:szCs w:val="20"/>
              </w:rPr>
            </w:pPr>
          </w:p>
        </w:tc>
        <w:tc>
          <w:tcPr>
            <w:tcW w:w="1261" w:type="dxa"/>
            <w:vMerge/>
            <w:tcBorders>
              <w:top w:val="nil"/>
              <w:left w:val="single" w:sz="8" w:space="0" w:color="auto"/>
              <w:bottom w:val="single" w:sz="8" w:space="0" w:color="000000"/>
              <w:right w:val="single" w:sz="8" w:space="0" w:color="auto"/>
            </w:tcBorders>
            <w:vAlign w:val="center"/>
            <w:hideMark/>
          </w:tcPr>
          <w:p w14:paraId="3AEE28DA" w14:textId="77777777" w:rsidR="006304BC" w:rsidRDefault="006304BC">
            <w:pPr>
              <w:rPr>
                <w:b/>
                <w:bCs/>
                <w:color w:val="000000"/>
                <w:sz w:val="20"/>
                <w:szCs w:val="20"/>
              </w:rPr>
            </w:pPr>
          </w:p>
        </w:tc>
        <w:tc>
          <w:tcPr>
            <w:tcW w:w="1017" w:type="dxa"/>
            <w:vMerge/>
            <w:tcBorders>
              <w:top w:val="nil"/>
              <w:left w:val="single" w:sz="8" w:space="0" w:color="auto"/>
              <w:bottom w:val="single" w:sz="8" w:space="0" w:color="000000"/>
              <w:right w:val="single" w:sz="8" w:space="0" w:color="auto"/>
            </w:tcBorders>
            <w:vAlign w:val="center"/>
            <w:hideMark/>
          </w:tcPr>
          <w:p w14:paraId="5DA1F9ED" w14:textId="77777777" w:rsidR="006304BC" w:rsidRDefault="006304BC">
            <w:pPr>
              <w:rPr>
                <w:b/>
                <w:bCs/>
                <w:color w:val="000000"/>
                <w:sz w:val="20"/>
                <w:szCs w:val="20"/>
              </w:rPr>
            </w:pPr>
          </w:p>
        </w:tc>
        <w:tc>
          <w:tcPr>
            <w:tcW w:w="811" w:type="dxa"/>
            <w:vMerge/>
            <w:tcBorders>
              <w:top w:val="nil"/>
              <w:left w:val="single" w:sz="8" w:space="0" w:color="auto"/>
              <w:bottom w:val="single" w:sz="8" w:space="0" w:color="000000"/>
              <w:right w:val="single" w:sz="8" w:space="0" w:color="auto"/>
            </w:tcBorders>
            <w:vAlign w:val="center"/>
            <w:hideMark/>
          </w:tcPr>
          <w:p w14:paraId="29FDE4EC" w14:textId="77777777" w:rsidR="006304BC" w:rsidRDefault="006304BC">
            <w:pPr>
              <w:rPr>
                <w:b/>
                <w:bCs/>
                <w:color w:val="000000"/>
                <w:sz w:val="20"/>
                <w:szCs w:val="20"/>
              </w:rPr>
            </w:pPr>
          </w:p>
        </w:tc>
        <w:tc>
          <w:tcPr>
            <w:tcW w:w="258" w:type="dxa"/>
            <w:vMerge/>
            <w:tcBorders>
              <w:top w:val="nil"/>
              <w:left w:val="single" w:sz="8" w:space="0" w:color="auto"/>
              <w:bottom w:val="single" w:sz="8" w:space="0" w:color="000000"/>
              <w:right w:val="single" w:sz="8" w:space="0" w:color="auto"/>
            </w:tcBorders>
            <w:vAlign w:val="center"/>
            <w:hideMark/>
          </w:tcPr>
          <w:p w14:paraId="0C43F3D3" w14:textId="77777777" w:rsidR="006304BC" w:rsidRDefault="006304BC">
            <w:pPr>
              <w:rPr>
                <w:b/>
                <w:bCs/>
                <w:color w:val="000000"/>
                <w:sz w:val="20"/>
                <w:szCs w:val="20"/>
              </w:rPr>
            </w:pPr>
          </w:p>
        </w:tc>
      </w:tr>
      <w:tr w:rsidR="006304BC" w14:paraId="2B817708" w14:textId="77777777" w:rsidTr="00FD2D9B">
        <w:trPr>
          <w:trHeight w:val="213"/>
        </w:trPr>
        <w:tc>
          <w:tcPr>
            <w:tcW w:w="2787" w:type="dxa"/>
            <w:vMerge/>
            <w:tcBorders>
              <w:top w:val="nil"/>
              <w:left w:val="single" w:sz="8" w:space="0" w:color="auto"/>
              <w:bottom w:val="single" w:sz="8" w:space="0" w:color="000000"/>
              <w:right w:val="single" w:sz="8" w:space="0" w:color="auto"/>
            </w:tcBorders>
            <w:vAlign w:val="center"/>
            <w:hideMark/>
          </w:tcPr>
          <w:p w14:paraId="28490AF4" w14:textId="77777777" w:rsidR="006304BC" w:rsidRDefault="006304BC">
            <w:pPr>
              <w:rPr>
                <w:b/>
                <w:bCs/>
                <w:color w:val="000000"/>
                <w:sz w:val="20"/>
                <w:szCs w:val="20"/>
              </w:rPr>
            </w:pPr>
          </w:p>
        </w:tc>
        <w:tc>
          <w:tcPr>
            <w:tcW w:w="866" w:type="dxa"/>
            <w:tcBorders>
              <w:top w:val="nil"/>
              <w:left w:val="nil"/>
              <w:bottom w:val="single" w:sz="8" w:space="0" w:color="auto"/>
              <w:right w:val="single" w:sz="8" w:space="0" w:color="auto"/>
            </w:tcBorders>
            <w:shd w:val="clear" w:color="000000" w:fill="D9D9D9"/>
            <w:noWrap/>
            <w:vAlign w:val="center"/>
            <w:hideMark/>
          </w:tcPr>
          <w:p w14:paraId="1535FD32" w14:textId="77777777" w:rsidR="006304BC" w:rsidRDefault="006304BC">
            <w:pPr>
              <w:jc w:val="center"/>
              <w:rPr>
                <w:color w:val="000000"/>
                <w:sz w:val="20"/>
                <w:szCs w:val="20"/>
              </w:rPr>
            </w:pPr>
            <w:r>
              <w:rPr>
                <w:color w:val="000000"/>
                <w:sz w:val="20"/>
                <w:szCs w:val="20"/>
              </w:rPr>
              <w:t xml:space="preserve">$130.33 </w:t>
            </w:r>
          </w:p>
        </w:tc>
        <w:tc>
          <w:tcPr>
            <w:tcW w:w="866" w:type="dxa"/>
            <w:tcBorders>
              <w:top w:val="nil"/>
              <w:left w:val="nil"/>
              <w:bottom w:val="single" w:sz="8" w:space="0" w:color="auto"/>
              <w:right w:val="single" w:sz="8" w:space="0" w:color="auto"/>
            </w:tcBorders>
            <w:shd w:val="clear" w:color="000000" w:fill="D9D9D9"/>
            <w:noWrap/>
            <w:vAlign w:val="center"/>
            <w:hideMark/>
          </w:tcPr>
          <w:p w14:paraId="533F36BD" w14:textId="77777777" w:rsidR="006304BC" w:rsidRDefault="006304BC">
            <w:pPr>
              <w:jc w:val="center"/>
              <w:rPr>
                <w:color w:val="000000"/>
                <w:sz w:val="20"/>
                <w:szCs w:val="20"/>
              </w:rPr>
            </w:pPr>
            <w:r>
              <w:rPr>
                <w:color w:val="000000"/>
                <w:sz w:val="20"/>
                <w:szCs w:val="20"/>
              </w:rPr>
              <w:t xml:space="preserve">$113.39 </w:t>
            </w:r>
          </w:p>
        </w:tc>
        <w:tc>
          <w:tcPr>
            <w:tcW w:w="1050" w:type="dxa"/>
            <w:tcBorders>
              <w:top w:val="nil"/>
              <w:left w:val="nil"/>
              <w:bottom w:val="single" w:sz="8" w:space="0" w:color="auto"/>
              <w:right w:val="single" w:sz="8" w:space="0" w:color="auto"/>
            </w:tcBorders>
            <w:shd w:val="clear" w:color="000000" w:fill="D9D9D9"/>
            <w:noWrap/>
            <w:vAlign w:val="center"/>
            <w:hideMark/>
          </w:tcPr>
          <w:p w14:paraId="3B23C6C1" w14:textId="77777777" w:rsidR="006304BC" w:rsidRDefault="006304BC">
            <w:pPr>
              <w:jc w:val="center"/>
              <w:rPr>
                <w:color w:val="000000"/>
                <w:sz w:val="20"/>
                <w:szCs w:val="20"/>
              </w:rPr>
            </w:pPr>
            <w:r>
              <w:rPr>
                <w:color w:val="000000"/>
                <w:sz w:val="20"/>
                <w:szCs w:val="20"/>
              </w:rPr>
              <w:t xml:space="preserve">$83.74 </w:t>
            </w:r>
          </w:p>
        </w:tc>
        <w:tc>
          <w:tcPr>
            <w:tcW w:w="894" w:type="dxa"/>
            <w:tcBorders>
              <w:top w:val="nil"/>
              <w:left w:val="nil"/>
              <w:bottom w:val="single" w:sz="8" w:space="0" w:color="auto"/>
              <w:right w:val="single" w:sz="8" w:space="0" w:color="auto"/>
            </w:tcBorders>
            <w:shd w:val="clear" w:color="000000" w:fill="D9D9D9"/>
            <w:noWrap/>
            <w:vAlign w:val="center"/>
            <w:hideMark/>
          </w:tcPr>
          <w:p w14:paraId="668CA8A3" w14:textId="77777777" w:rsidR="006304BC" w:rsidRDefault="006304BC">
            <w:pPr>
              <w:jc w:val="center"/>
              <w:rPr>
                <w:color w:val="000000"/>
                <w:sz w:val="20"/>
                <w:szCs w:val="20"/>
              </w:rPr>
            </w:pPr>
            <w:r>
              <w:rPr>
                <w:color w:val="000000"/>
                <w:sz w:val="20"/>
                <w:szCs w:val="20"/>
              </w:rPr>
              <w:t xml:space="preserve">$31.14 </w:t>
            </w:r>
          </w:p>
        </w:tc>
        <w:tc>
          <w:tcPr>
            <w:tcW w:w="987" w:type="dxa"/>
            <w:vMerge/>
            <w:tcBorders>
              <w:top w:val="nil"/>
              <w:left w:val="single" w:sz="8" w:space="0" w:color="auto"/>
              <w:bottom w:val="single" w:sz="8" w:space="0" w:color="000000"/>
              <w:right w:val="single" w:sz="8" w:space="0" w:color="auto"/>
            </w:tcBorders>
            <w:vAlign w:val="center"/>
            <w:hideMark/>
          </w:tcPr>
          <w:p w14:paraId="3D2E5CD7" w14:textId="77777777" w:rsidR="006304BC" w:rsidRDefault="006304BC">
            <w:pPr>
              <w:rPr>
                <w:b/>
                <w:bCs/>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14:paraId="36AC85F6" w14:textId="77777777" w:rsidR="006304BC" w:rsidRDefault="006304BC">
            <w:pPr>
              <w:rPr>
                <w:b/>
                <w:bCs/>
                <w:color w:val="000000"/>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139C10C0" w14:textId="77777777" w:rsidR="006304BC" w:rsidRDefault="006304BC">
            <w:pPr>
              <w:rPr>
                <w:b/>
                <w:bCs/>
                <w:color w:val="000000"/>
                <w:sz w:val="20"/>
                <w:szCs w:val="20"/>
              </w:rPr>
            </w:pPr>
          </w:p>
        </w:tc>
        <w:tc>
          <w:tcPr>
            <w:tcW w:w="1306" w:type="dxa"/>
            <w:vMerge/>
            <w:tcBorders>
              <w:top w:val="nil"/>
              <w:left w:val="single" w:sz="8" w:space="0" w:color="auto"/>
              <w:bottom w:val="single" w:sz="8" w:space="0" w:color="000000"/>
              <w:right w:val="single" w:sz="8" w:space="0" w:color="auto"/>
            </w:tcBorders>
            <w:vAlign w:val="center"/>
            <w:hideMark/>
          </w:tcPr>
          <w:p w14:paraId="653B5C2E" w14:textId="77777777" w:rsidR="006304BC" w:rsidRDefault="006304BC">
            <w:pPr>
              <w:rPr>
                <w:b/>
                <w:bCs/>
                <w:color w:val="000000"/>
                <w:sz w:val="20"/>
                <w:szCs w:val="20"/>
              </w:rPr>
            </w:pPr>
          </w:p>
        </w:tc>
        <w:tc>
          <w:tcPr>
            <w:tcW w:w="1261" w:type="dxa"/>
            <w:vMerge/>
            <w:tcBorders>
              <w:top w:val="nil"/>
              <w:left w:val="single" w:sz="8" w:space="0" w:color="auto"/>
              <w:bottom w:val="single" w:sz="8" w:space="0" w:color="000000"/>
              <w:right w:val="single" w:sz="8" w:space="0" w:color="auto"/>
            </w:tcBorders>
            <w:vAlign w:val="center"/>
            <w:hideMark/>
          </w:tcPr>
          <w:p w14:paraId="314C4706" w14:textId="77777777" w:rsidR="006304BC" w:rsidRDefault="006304BC">
            <w:pPr>
              <w:rPr>
                <w:b/>
                <w:bCs/>
                <w:color w:val="000000"/>
                <w:sz w:val="20"/>
                <w:szCs w:val="20"/>
              </w:rPr>
            </w:pPr>
          </w:p>
        </w:tc>
        <w:tc>
          <w:tcPr>
            <w:tcW w:w="1017" w:type="dxa"/>
            <w:vMerge/>
            <w:tcBorders>
              <w:top w:val="nil"/>
              <w:left w:val="single" w:sz="8" w:space="0" w:color="auto"/>
              <w:bottom w:val="single" w:sz="8" w:space="0" w:color="000000"/>
              <w:right w:val="single" w:sz="8" w:space="0" w:color="auto"/>
            </w:tcBorders>
            <w:vAlign w:val="center"/>
            <w:hideMark/>
          </w:tcPr>
          <w:p w14:paraId="564D83C0" w14:textId="77777777" w:rsidR="006304BC" w:rsidRDefault="006304BC">
            <w:pPr>
              <w:rPr>
                <w:b/>
                <w:bCs/>
                <w:color w:val="000000"/>
                <w:sz w:val="20"/>
                <w:szCs w:val="20"/>
              </w:rPr>
            </w:pPr>
          </w:p>
        </w:tc>
        <w:tc>
          <w:tcPr>
            <w:tcW w:w="811" w:type="dxa"/>
            <w:vMerge/>
            <w:tcBorders>
              <w:top w:val="nil"/>
              <w:left w:val="single" w:sz="8" w:space="0" w:color="auto"/>
              <w:bottom w:val="single" w:sz="8" w:space="0" w:color="000000"/>
              <w:right w:val="single" w:sz="8" w:space="0" w:color="auto"/>
            </w:tcBorders>
            <w:vAlign w:val="center"/>
            <w:hideMark/>
          </w:tcPr>
          <w:p w14:paraId="76C43D08" w14:textId="77777777" w:rsidR="006304BC" w:rsidRDefault="006304BC">
            <w:pPr>
              <w:rPr>
                <w:b/>
                <w:bCs/>
                <w:color w:val="000000"/>
                <w:sz w:val="20"/>
                <w:szCs w:val="20"/>
              </w:rPr>
            </w:pPr>
          </w:p>
        </w:tc>
        <w:tc>
          <w:tcPr>
            <w:tcW w:w="258" w:type="dxa"/>
            <w:vMerge/>
            <w:tcBorders>
              <w:top w:val="nil"/>
              <w:left w:val="single" w:sz="8" w:space="0" w:color="auto"/>
              <w:bottom w:val="single" w:sz="8" w:space="0" w:color="000000"/>
              <w:right w:val="single" w:sz="8" w:space="0" w:color="auto"/>
            </w:tcBorders>
            <w:vAlign w:val="center"/>
            <w:hideMark/>
          </w:tcPr>
          <w:p w14:paraId="61664567" w14:textId="77777777" w:rsidR="006304BC" w:rsidRDefault="006304BC">
            <w:pPr>
              <w:rPr>
                <w:b/>
                <w:bCs/>
                <w:color w:val="000000"/>
                <w:sz w:val="20"/>
                <w:szCs w:val="20"/>
              </w:rPr>
            </w:pPr>
          </w:p>
        </w:tc>
      </w:tr>
      <w:tr w:rsidR="006304BC" w14:paraId="76E7061F" w14:textId="77777777" w:rsidTr="00FD2D9B">
        <w:trPr>
          <w:trHeight w:val="700"/>
        </w:trPr>
        <w:tc>
          <w:tcPr>
            <w:tcW w:w="2787" w:type="dxa"/>
            <w:tcBorders>
              <w:top w:val="nil"/>
              <w:left w:val="single" w:sz="8" w:space="0" w:color="auto"/>
              <w:bottom w:val="single" w:sz="8" w:space="0" w:color="auto"/>
              <w:right w:val="single" w:sz="8" w:space="0" w:color="auto"/>
            </w:tcBorders>
            <w:shd w:val="clear" w:color="auto" w:fill="auto"/>
            <w:vAlign w:val="center"/>
            <w:hideMark/>
          </w:tcPr>
          <w:p w14:paraId="20C035FD" w14:textId="77777777" w:rsidR="006304BC" w:rsidRDefault="006304BC">
            <w:pPr>
              <w:rPr>
                <w:color w:val="000000"/>
                <w:sz w:val="20"/>
                <w:szCs w:val="20"/>
              </w:rPr>
            </w:pPr>
            <w:r>
              <w:rPr>
                <w:color w:val="000000"/>
                <w:sz w:val="20"/>
                <w:szCs w:val="20"/>
              </w:rPr>
              <w:t>Maintain at the airbag handler for no less than three (3) years records of all off-site shipments of hazardous secondary materials</w:t>
            </w:r>
          </w:p>
        </w:tc>
        <w:tc>
          <w:tcPr>
            <w:tcW w:w="866" w:type="dxa"/>
            <w:tcBorders>
              <w:top w:val="nil"/>
              <w:left w:val="nil"/>
              <w:bottom w:val="single" w:sz="8" w:space="0" w:color="auto"/>
              <w:right w:val="single" w:sz="8" w:space="0" w:color="auto"/>
            </w:tcBorders>
            <w:shd w:val="clear" w:color="auto" w:fill="auto"/>
            <w:noWrap/>
            <w:vAlign w:val="center"/>
            <w:hideMark/>
          </w:tcPr>
          <w:p w14:paraId="08E3FAB6" w14:textId="77777777" w:rsidR="006304BC" w:rsidRDefault="006304BC">
            <w:pPr>
              <w:jc w:val="center"/>
              <w:rPr>
                <w:color w:val="000000"/>
                <w:sz w:val="20"/>
                <w:szCs w:val="20"/>
              </w:rPr>
            </w:pPr>
            <w:r>
              <w:rPr>
                <w:color w:val="000000"/>
                <w:sz w:val="20"/>
                <w:szCs w:val="20"/>
              </w:rPr>
              <w:t xml:space="preserve">0.00 </w:t>
            </w:r>
          </w:p>
        </w:tc>
        <w:tc>
          <w:tcPr>
            <w:tcW w:w="866" w:type="dxa"/>
            <w:tcBorders>
              <w:top w:val="nil"/>
              <w:left w:val="nil"/>
              <w:bottom w:val="single" w:sz="8" w:space="0" w:color="auto"/>
              <w:right w:val="single" w:sz="8" w:space="0" w:color="auto"/>
            </w:tcBorders>
            <w:shd w:val="clear" w:color="auto" w:fill="auto"/>
            <w:noWrap/>
            <w:vAlign w:val="center"/>
            <w:hideMark/>
          </w:tcPr>
          <w:p w14:paraId="2D15DCC1" w14:textId="77777777" w:rsidR="006304BC" w:rsidRDefault="006304BC">
            <w:pPr>
              <w:jc w:val="center"/>
              <w:rPr>
                <w:color w:val="000000"/>
                <w:sz w:val="20"/>
                <w:szCs w:val="20"/>
              </w:rPr>
            </w:pPr>
            <w:r>
              <w:rPr>
                <w:color w:val="000000"/>
                <w:sz w:val="20"/>
                <w:szCs w:val="20"/>
              </w:rPr>
              <w:t xml:space="preserve">0.00 </w:t>
            </w:r>
          </w:p>
        </w:tc>
        <w:tc>
          <w:tcPr>
            <w:tcW w:w="1050" w:type="dxa"/>
            <w:tcBorders>
              <w:top w:val="nil"/>
              <w:left w:val="nil"/>
              <w:bottom w:val="single" w:sz="8" w:space="0" w:color="auto"/>
              <w:right w:val="single" w:sz="8" w:space="0" w:color="auto"/>
            </w:tcBorders>
            <w:shd w:val="clear" w:color="auto" w:fill="auto"/>
            <w:noWrap/>
            <w:vAlign w:val="center"/>
            <w:hideMark/>
          </w:tcPr>
          <w:p w14:paraId="3AC29A47" w14:textId="77777777" w:rsidR="006304BC" w:rsidRDefault="006304BC">
            <w:pPr>
              <w:jc w:val="center"/>
              <w:rPr>
                <w:color w:val="000000"/>
                <w:sz w:val="20"/>
                <w:szCs w:val="20"/>
              </w:rPr>
            </w:pPr>
            <w:r>
              <w:rPr>
                <w:color w:val="000000"/>
                <w:sz w:val="20"/>
                <w:szCs w:val="20"/>
              </w:rPr>
              <w:t xml:space="preserve">0.00 </w:t>
            </w:r>
          </w:p>
        </w:tc>
        <w:tc>
          <w:tcPr>
            <w:tcW w:w="894" w:type="dxa"/>
            <w:tcBorders>
              <w:top w:val="nil"/>
              <w:left w:val="nil"/>
              <w:bottom w:val="single" w:sz="8" w:space="0" w:color="auto"/>
              <w:right w:val="single" w:sz="8" w:space="0" w:color="auto"/>
            </w:tcBorders>
            <w:shd w:val="clear" w:color="auto" w:fill="auto"/>
            <w:noWrap/>
            <w:vAlign w:val="center"/>
            <w:hideMark/>
          </w:tcPr>
          <w:p w14:paraId="56A5582E" w14:textId="77777777" w:rsidR="006304BC" w:rsidRDefault="006304BC">
            <w:pPr>
              <w:jc w:val="center"/>
              <w:rPr>
                <w:color w:val="000000"/>
                <w:sz w:val="20"/>
                <w:szCs w:val="20"/>
              </w:rPr>
            </w:pPr>
            <w:r>
              <w:rPr>
                <w:color w:val="000000"/>
                <w:sz w:val="20"/>
                <w:szCs w:val="20"/>
              </w:rPr>
              <w:t xml:space="preserve">0.05 </w:t>
            </w:r>
          </w:p>
        </w:tc>
        <w:tc>
          <w:tcPr>
            <w:tcW w:w="987" w:type="dxa"/>
            <w:tcBorders>
              <w:top w:val="nil"/>
              <w:left w:val="nil"/>
              <w:bottom w:val="single" w:sz="8" w:space="0" w:color="auto"/>
              <w:right w:val="single" w:sz="8" w:space="0" w:color="auto"/>
            </w:tcBorders>
            <w:shd w:val="clear" w:color="auto" w:fill="auto"/>
            <w:noWrap/>
            <w:vAlign w:val="center"/>
            <w:hideMark/>
          </w:tcPr>
          <w:p w14:paraId="2034B401" w14:textId="77777777" w:rsidR="006304BC" w:rsidRDefault="006304BC">
            <w:pPr>
              <w:jc w:val="center"/>
              <w:rPr>
                <w:color w:val="000000"/>
                <w:sz w:val="20"/>
                <w:szCs w:val="20"/>
              </w:rPr>
            </w:pPr>
            <w:r>
              <w:rPr>
                <w:color w:val="000000"/>
                <w:sz w:val="20"/>
                <w:szCs w:val="20"/>
              </w:rPr>
              <w:t>$1.56</w:t>
            </w:r>
          </w:p>
        </w:tc>
        <w:tc>
          <w:tcPr>
            <w:tcW w:w="850" w:type="dxa"/>
            <w:tcBorders>
              <w:top w:val="nil"/>
              <w:left w:val="nil"/>
              <w:bottom w:val="single" w:sz="8" w:space="0" w:color="auto"/>
              <w:right w:val="single" w:sz="8" w:space="0" w:color="auto"/>
            </w:tcBorders>
            <w:shd w:val="clear" w:color="auto" w:fill="auto"/>
            <w:noWrap/>
            <w:vAlign w:val="center"/>
            <w:hideMark/>
          </w:tcPr>
          <w:p w14:paraId="20EA554B" w14:textId="77777777" w:rsidR="006304BC" w:rsidRDefault="006304BC">
            <w:pPr>
              <w:jc w:val="center"/>
              <w:rPr>
                <w:color w:val="000000"/>
                <w:sz w:val="20"/>
                <w:szCs w:val="20"/>
              </w:rPr>
            </w:pPr>
            <w:r>
              <w:rPr>
                <w:color w:val="000000"/>
                <w:sz w:val="20"/>
                <w:szCs w:val="20"/>
              </w:rPr>
              <w:t xml:space="preserve">0 </w:t>
            </w:r>
          </w:p>
        </w:tc>
        <w:tc>
          <w:tcPr>
            <w:tcW w:w="727" w:type="dxa"/>
            <w:tcBorders>
              <w:top w:val="nil"/>
              <w:left w:val="nil"/>
              <w:bottom w:val="single" w:sz="8" w:space="0" w:color="auto"/>
              <w:right w:val="single" w:sz="8" w:space="0" w:color="auto"/>
            </w:tcBorders>
            <w:shd w:val="clear" w:color="auto" w:fill="auto"/>
            <w:noWrap/>
            <w:vAlign w:val="center"/>
            <w:hideMark/>
          </w:tcPr>
          <w:p w14:paraId="58D6EA4C" w14:textId="77777777" w:rsidR="006304BC" w:rsidRDefault="006304BC">
            <w:pPr>
              <w:jc w:val="center"/>
              <w:rPr>
                <w:color w:val="000000"/>
                <w:sz w:val="20"/>
                <w:szCs w:val="20"/>
              </w:rPr>
            </w:pPr>
            <w:r>
              <w:rPr>
                <w:color w:val="000000"/>
                <w:sz w:val="20"/>
                <w:szCs w:val="20"/>
              </w:rPr>
              <w:t xml:space="preserve">0 </w:t>
            </w:r>
          </w:p>
        </w:tc>
        <w:tc>
          <w:tcPr>
            <w:tcW w:w="1306" w:type="dxa"/>
            <w:tcBorders>
              <w:top w:val="nil"/>
              <w:left w:val="nil"/>
              <w:bottom w:val="single" w:sz="8" w:space="0" w:color="auto"/>
              <w:right w:val="single" w:sz="8" w:space="0" w:color="auto"/>
            </w:tcBorders>
            <w:shd w:val="clear" w:color="auto" w:fill="auto"/>
            <w:noWrap/>
            <w:vAlign w:val="center"/>
            <w:hideMark/>
          </w:tcPr>
          <w:p w14:paraId="47E74D76" w14:textId="77777777" w:rsidR="006304BC" w:rsidRDefault="006304BC">
            <w:pPr>
              <w:jc w:val="center"/>
              <w:rPr>
                <w:color w:val="000000"/>
                <w:sz w:val="20"/>
                <w:szCs w:val="20"/>
              </w:rPr>
            </w:pPr>
            <w:r>
              <w:rPr>
                <w:color w:val="000000"/>
                <w:sz w:val="20"/>
                <w:szCs w:val="20"/>
              </w:rPr>
              <w:t xml:space="preserve">15,256 </w:t>
            </w:r>
          </w:p>
        </w:tc>
        <w:tc>
          <w:tcPr>
            <w:tcW w:w="1261" w:type="dxa"/>
            <w:tcBorders>
              <w:top w:val="nil"/>
              <w:left w:val="nil"/>
              <w:bottom w:val="single" w:sz="8" w:space="0" w:color="auto"/>
              <w:right w:val="single" w:sz="8" w:space="0" w:color="auto"/>
            </w:tcBorders>
            <w:shd w:val="clear" w:color="auto" w:fill="auto"/>
            <w:noWrap/>
            <w:vAlign w:val="center"/>
            <w:hideMark/>
          </w:tcPr>
          <w:p w14:paraId="0F937845" w14:textId="77777777" w:rsidR="006304BC" w:rsidRDefault="006304BC">
            <w:pPr>
              <w:jc w:val="center"/>
              <w:rPr>
                <w:color w:val="000000"/>
                <w:sz w:val="20"/>
                <w:szCs w:val="20"/>
              </w:rPr>
            </w:pPr>
            <w:r>
              <w:rPr>
                <w:color w:val="000000"/>
                <w:sz w:val="20"/>
                <w:szCs w:val="20"/>
              </w:rPr>
              <w:t xml:space="preserve">3 </w:t>
            </w:r>
          </w:p>
        </w:tc>
        <w:tc>
          <w:tcPr>
            <w:tcW w:w="1017" w:type="dxa"/>
            <w:tcBorders>
              <w:top w:val="nil"/>
              <w:left w:val="nil"/>
              <w:bottom w:val="single" w:sz="8" w:space="0" w:color="auto"/>
              <w:right w:val="single" w:sz="8" w:space="0" w:color="auto"/>
            </w:tcBorders>
            <w:shd w:val="clear" w:color="auto" w:fill="auto"/>
            <w:noWrap/>
            <w:vAlign w:val="center"/>
            <w:hideMark/>
          </w:tcPr>
          <w:p w14:paraId="27799EB9" w14:textId="77777777" w:rsidR="006304BC" w:rsidRDefault="006304BC">
            <w:pPr>
              <w:jc w:val="center"/>
              <w:rPr>
                <w:color w:val="000000"/>
                <w:sz w:val="20"/>
                <w:szCs w:val="20"/>
              </w:rPr>
            </w:pPr>
            <w:r>
              <w:rPr>
                <w:color w:val="000000"/>
                <w:sz w:val="20"/>
                <w:szCs w:val="20"/>
              </w:rPr>
              <w:t xml:space="preserve">42,700 </w:t>
            </w:r>
          </w:p>
        </w:tc>
        <w:tc>
          <w:tcPr>
            <w:tcW w:w="811" w:type="dxa"/>
            <w:tcBorders>
              <w:top w:val="nil"/>
              <w:left w:val="nil"/>
              <w:bottom w:val="single" w:sz="8" w:space="0" w:color="auto"/>
              <w:right w:val="single" w:sz="8" w:space="0" w:color="auto"/>
            </w:tcBorders>
            <w:shd w:val="clear" w:color="auto" w:fill="auto"/>
            <w:noWrap/>
            <w:vAlign w:val="center"/>
            <w:hideMark/>
          </w:tcPr>
          <w:p w14:paraId="7FCAE6C3" w14:textId="77777777" w:rsidR="006304BC" w:rsidRDefault="006304BC">
            <w:pPr>
              <w:jc w:val="center"/>
              <w:rPr>
                <w:color w:val="000000"/>
                <w:sz w:val="20"/>
                <w:szCs w:val="20"/>
              </w:rPr>
            </w:pPr>
            <w:r>
              <w:rPr>
                <w:color w:val="000000"/>
                <w:sz w:val="20"/>
                <w:szCs w:val="20"/>
              </w:rPr>
              <w:t xml:space="preserve">2,135 </w:t>
            </w:r>
          </w:p>
        </w:tc>
        <w:tc>
          <w:tcPr>
            <w:tcW w:w="258" w:type="dxa"/>
            <w:tcBorders>
              <w:top w:val="nil"/>
              <w:left w:val="nil"/>
              <w:bottom w:val="single" w:sz="8" w:space="0" w:color="auto"/>
              <w:right w:val="single" w:sz="8" w:space="0" w:color="auto"/>
            </w:tcBorders>
            <w:shd w:val="clear" w:color="auto" w:fill="auto"/>
            <w:noWrap/>
            <w:vAlign w:val="center"/>
            <w:hideMark/>
          </w:tcPr>
          <w:p w14:paraId="2603B297" w14:textId="77777777" w:rsidR="006304BC" w:rsidRDefault="006304BC">
            <w:pPr>
              <w:jc w:val="center"/>
              <w:rPr>
                <w:color w:val="000000"/>
                <w:sz w:val="20"/>
                <w:szCs w:val="20"/>
              </w:rPr>
            </w:pPr>
            <w:r>
              <w:rPr>
                <w:color w:val="000000"/>
                <w:sz w:val="20"/>
                <w:szCs w:val="20"/>
              </w:rPr>
              <w:t xml:space="preserve">66,486 </w:t>
            </w:r>
          </w:p>
        </w:tc>
      </w:tr>
      <w:tr w:rsidR="006304BC" w14:paraId="5BB51DF3" w14:textId="77777777" w:rsidTr="00FD2D9B">
        <w:trPr>
          <w:trHeight w:val="527"/>
        </w:trPr>
        <w:tc>
          <w:tcPr>
            <w:tcW w:w="2787" w:type="dxa"/>
            <w:tcBorders>
              <w:top w:val="nil"/>
              <w:left w:val="single" w:sz="8" w:space="0" w:color="auto"/>
              <w:bottom w:val="single" w:sz="8" w:space="0" w:color="auto"/>
              <w:right w:val="single" w:sz="8" w:space="0" w:color="auto"/>
            </w:tcBorders>
            <w:shd w:val="clear" w:color="auto" w:fill="auto"/>
            <w:vAlign w:val="center"/>
            <w:hideMark/>
          </w:tcPr>
          <w:p w14:paraId="17E2C71B" w14:textId="77777777" w:rsidR="006304BC" w:rsidRDefault="006304BC">
            <w:pPr>
              <w:rPr>
                <w:color w:val="000000"/>
                <w:sz w:val="20"/>
                <w:szCs w:val="20"/>
              </w:rPr>
            </w:pPr>
            <w:r>
              <w:rPr>
                <w:color w:val="000000"/>
                <w:sz w:val="20"/>
                <w:szCs w:val="20"/>
              </w:rPr>
              <w:t>Maintain at the airbag handler for no less than three (3) years confirmations of receipt</w:t>
            </w:r>
          </w:p>
        </w:tc>
        <w:tc>
          <w:tcPr>
            <w:tcW w:w="866" w:type="dxa"/>
            <w:tcBorders>
              <w:top w:val="nil"/>
              <w:left w:val="nil"/>
              <w:bottom w:val="single" w:sz="8" w:space="0" w:color="auto"/>
              <w:right w:val="single" w:sz="8" w:space="0" w:color="auto"/>
            </w:tcBorders>
            <w:shd w:val="clear" w:color="auto" w:fill="auto"/>
            <w:noWrap/>
            <w:vAlign w:val="center"/>
            <w:hideMark/>
          </w:tcPr>
          <w:p w14:paraId="71FD0363" w14:textId="77777777" w:rsidR="006304BC" w:rsidRDefault="006304BC">
            <w:pPr>
              <w:jc w:val="center"/>
              <w:rPr>
                <w:color w:val="000000"/>
                <w:sz w:val="20"/>
                <w:szCs w:val="20"/>
              </w:rPr>
            </w:pPr>
            <w:r>
              <w:rPr>
                <w:color w:val="000000"/>
                <w:sz w:val="20"/>
                <w:szCs w:val="20"/>
              </w:rPr>
              <w:t xml:space="preserve">0.00 </w:t>
            </w:r>
          </w:p>
        </w:tc>
        <w:tc>
          <w:tcPr>
            <w:tcW w:w="866" w:type="dxa"/>
            <w:tcBorders>
              <w:top w:val="nil"/>
              <w:left w:val="nil"/>
              <w:bottom w:val="single" w:sz="8" w:space="0" w:color="auto"/>
              <w:right w:val="single" w:sz="8" w:space="0" w:color="auto"/>
            </w:tcBorders>
            <w:shd w:val="clear" w:color="auto" w:fill="auto"/>
            <w:noWrap/>
            <w:vAlign w:val="center"/>
            <w:hideMark/>
          </w:tcPr>
          <w:p w14:paraId="1277F018" w14:textId="77777777" w:rsidR="006304BC" w:rsidRDefault="006304BC">
            <w:pPr>
              <w:jc w:val="center"/>
              <w:rPr>
                <w:color w:val="000000"/>
                <w:sz w:val="20"/>
                <w:szCs w:val="20"/>
              </w:rPr>
            </w:pPr>
            <w:r>
              <w:rPr>
                <w:color w:val="000000"/>
                <w:sz w:val="20"/>
                <w:szCs w:val="20"/>
              </w:rPr>
              <w:t xml:space="preserve">0.00 </w:t>
            </w:r>
          </w:p>
        </w:tc>
        <w:tc>
          <w:tcPr>
            <w:tcW w:w="1050" w:type="dxa"/>
            <w:tcBorders>
              <w:top w:val="nil"/>
              <w:left w:val="nil"/>
              <w:bottom w:val="single" w:sz="8" w:space="0" w:color="auto"/>
              <w:right w:val="single" w:sz="8" w:space="0" w:color="auto"/>
            </w:tcBorders>
            <w:shd w:val="clear" w:color="auto" w:fill="auto"/>
            <w:noWrap/>
            <w:vAlign w:val="center"/>
            <w:hideMark/>
          </w:tcPr>
          <w:p w14:paraId="1E427767" w14:textId="77777777" w:rsidR="006304BC" w:rsidRDefault="006304BC">
            <w:pPr>
              <w:jc w:val="center"/>
              <w:rPr>
                <w:color w:val="000000"/>
                <w:sz w:val="20"/>
                <w:szCs w:val="20"/>
              </w:rPr>
            </w:pPr>
            <w:r>
              <w:rPr>
                <w:color w:val="000000"/>
                <w:sz w:val="20"/>
                <w:szCs w:val="20"/>
              </w:rPr>
              <w:t xml:space="preserve">0.00 </w:t>
            </w:r>
          </w:p>
        </w:tc>
        <w:tc>
          <w:tcPr>
            <w:tcW w:w="894" w:type="dxa"/>
            <w:tcBorders>
              <w:top w:val="nil"/>
              <w:left w:val="nil"/>
              <w:bottom w:val="single" w:sz="8" w:space="0" w:color="auto"/>
              <w:right w:val="single" w:sz="8" w:space="0" w:color="auto"/>
            </w:tcBorders>
            <w:shd w:val="clear" w:color="auto" w:fill="auto"/>
            <w:noWrap/>
            <w:vAlign w:val="center"/>
            <w:hideMark/>
          </w:tcPr>
          <w:p w14:paraId="76EB641C" w14:textId="77777777" w:rsidR="006304BC" w:rsidRDefault="006304BC">
            <w:pPr>
              <w:jc w:val="center"/>
              <w:rPr>
                <w:color w:val="000000"/>
                <w:sz w:val="20"/>
                <w:szCs w:val="20"/>
              </w:rPr>
            </w:pPr>
            <w:r>
              <w:rPr>
                <w:color w:val="000000"/>
                <w:sz w:val="20"/>
                <w:szCs w:val="20"/>
              </w:rPr>
              <w:t xml:space="preserve">0.05 </w:t>
            </w:r>
          </w:p>
        </w:tc>
        <w:tc>
          <w:tcPr>
            <w:tcW w:w="987" w:type="dxa"/>
            <w:tcBorders>
              <w:top w:val="nil"/>
              <w:left w:val="nil"/>
              <w:bottom w:val="single" w:sz="8" w:space="0" w:color="auto"/>
              <w:right w:val="single" w:sz="8" w:space="0" w:color="auto"/>
            </w:tcBorders>
            <w:shd w:val="clear" w:color="auto" w:fill="auto"/>
            <w:noWrap/>
            <w:vAlign w:val="center"/>
            <w:hideMark/>
          </w:tcPr>
          <w:p w14:paraId="3F6C8121" w14:textId="77777777" w:rsidR="006304BC" w:rsidRDefault="006304BC">
            <w:pPr>
              <w:jc w:val="center"/>
              <w:rPr>
                <w:color w:val="000000"/>
                <w:sz w:val="20"/>
                <w:szCs w:val="20"/>
              </w:rPr>
            </w:pPr>
            <w:r>
              <w:rPr>
                <w:color w:val="000000"/>
                <w:sz w:val="20"/>
                <w:szCs w:val="20"/>
              </w:rPr>
              <w:t>$1.56</w:t>
            </w:r>
          </w:p>
        </w:tc>
        <w:tc>
          <w:tcPr>
            <w:tcW w:w="850" w:type="dxa"/>
            <w:tcBorders>
              <w:top w:val="nil"/>
              <w:left w:val="nil"/>
              <w:bottom w:val="single" w:sz="8" w:space="0" w:color="auto"/>
              <w:right w:val="single" w:sz="8" w:space="0" w:color="auto"/>
            </w:tcBorders>
            <w:shd w:val="clear" w:color="auto" w:fill="auto"/>
            <w:noWrap/>
            <w:vAlign w:val="center"/>
            <w:hideMark/>
          </w:tcPr>
          <w:p w14:paraId="40A2ABAD" w14:textId="77777777" w:rsidR="006304BC" w:rsidRDefault="006304BC">
            <w:pPr>
              <w:jc w:val="center"/>
              <w:rPr>
                <w:color w:val="000000"/>
                <w:sz w:val="20"/>
                <w:szCs w:val="20"/>
              </w:rPr>
            </w:pPr>
            <w:r>
              <w:rPr>
                <w:color w:val="000000"/>
                <w:sz w:val="20"/>
                <w:szCs w:val="20"/>
              </w:rPr>
              <w:t xml:space="preserve">0 </w:t>
            </w:r>
          </w:p>
        </w:tc>
        <w:tc>
          <w:tcPr>
            <w:tcW w:w="727" w:type="dxa"/>
            <w:tcBorders>
              <w:top w:val="nil"/>
              <w:left w:val="nil"/>
              <w:bottom w:val="single" w:sz="8" w:space="0" w:color="auto"/>
              <w:right w:val="single" w:sz="8" w:space="0" w:color="auto"/>
            </w:tcBorders>
            <w:shd w:val="clear" w:color="auto" w:fill="auto"/>
            <w:noWrap/>
            <w:vAlign w:val="center"/>
            <w:hideMark/>
          </w:tcPr>
          <w:p w14:paraId="3BA0D9C6" w14:textId="77777777" w:rsidR="006304BC" w:rsidRDefault="006304BC">
            <w:pPr>
              <w:jc w:val="center"/>
              <w:rPr>
                <w:color w:val="000000"/>
                <w:sz w:val="20"/>
                <w:szCs w:val="20"/>
              </w:rPr>
            </w:pPr>
            <w:r>
              <w:rPr>
                <w:color w:val="000000"/>
                <w:sz w:val="20"/>
                <w:szCs w:val="20"/>
              </w:rPr>
              <w:t xml:space="preserve">0 </w:t>
            </w:r>
          </w:p>
        </w:tc>
        <w:tc>
          <w:tcPr>
            <w:tcW w:w="1306" w:type="dxa"/>
            <w:tcBorders>
              <w:top w:val="nil"/>
              <w:left w:val="nil"/>
              <w:bottom w:val="single" w:sz="8" w:space="0" w:color="auto"/>
              <w:right w:val="single" w:sz="8" w:space="0" w:color="auto"/>
            </w:tcBorders>
            <w:shd w:val="clear" w:color="auto" w:fill="auto"/>
            <w:noWrap/>
            <w:vAlign w:val="center"/>
            <w:hideMark/>
          </w:tcPr>
          <w:p w14:paraId="24CF572D" w14:textId="77777777" w:rsidR="006304BC" w:rsidRDefault="006304BC">
            <w:pPr>
              <w:jc w:val="center"/>
              <w:rPr>
                <w:color w:val="000000"/>
                <w:sz w:val="20"/>
                <w:szCs w:val="20"/>
              </w:rPr>
            </w:pPr>
            <w:r>
              <w:rPr>
                <w:color w:val="000000"/>
                <w:sz w:val="20"/>
                <w:szCs w:val="20"/>
              </w:rPr>
              <w:t xml:space="preserve">15,256 </w:t>
            </w:r>
          </w:p>
        </w:tc>
        <w:tc>
          <w:tcPr>
            <w:tcW w:w="1261" w:type="dxa"/>
            <w:tcBorders>
              <w:top w:val="nil"/>
              <w:left w:val="nil"/>
              <w:bottom w:val="single" w:sz="8" w:space="0" w:color="auto"/>
              <w:right w:val="single" w:sz="8" w:space="0" w:color="auto"/>
            </w:tcBorders>
            <w:shd w:val="clear" w:color="auto" w:fill="auto"/>
            <w:noWrap/>
            <w:vAlign w:val="center"/>
            <w:hideMark/>
          </w:tcPr>
          <w:p w14:paraId="41500F72" w14:textId="77777777" w:rsidR="006304BC" w:rsidRDefault="006304BC">
            <w:pPr>
              <w:jc w:val="center"/>
              <w:rPr>
                <w:color w:val="000000"/>
                <w:sz w:val="20"/>
                <w:szCs w:val="20"/>
              </w:rPr>
            </w:pPr>
            <w:r>
              <w:rPr>
                <w:color w:val="000000"/>
                <w:sz w:val="20"/>
                <w:szCs w:val="20"/>
              </w:rPr>
              <w:t xml:space="preserve">3 </w:t>
            </w:r>
          </w:p>
        </w:tc>
        <w:tc>
          <w:tcPr>
            <w:tcW w:w="1017" w:type="dxa"/>
            <w:tcBorders>
              <w:top w:val="nil"/>
              <w:left w:val="nil"/>
              <w:bottom w:val="single" w:sz="8" w:space="0" w:color="auto"/>
              <w:right w:val="single" w:sz="8" w:space="0" w:color="auto"/>
            </w:tcBorders>
            <w:shd w:val="clear" w:color="auto" w:fill="auto"/>
            <w:noWrap/>
            <w:vAlign w:val="center"/>
            <w:hideMark/>
          </w:tcPr>
          <w:p w14:paraId="376D67CC" w14:textId="77777777" w:rsidR="006304BC" w:rsidRDefault="006304BC">
            <w:pPr>
              <w:jc w:val="center"/>
              <w:rPr>
                <w:color w:val="000000"/>
                <w:sz w:val="20"/>
                <w:szCs w:val="20"/>
              </w:rPr>
            </w:pPr>
            <w:r>
              <w:rPr>
                <w:color w:val="000000"/>
                <w:sz w:val="20"/>
                <w:szCs w:val="20"/>
              </w:rPr>
              <w:t xml:space="preserve">42,700 </w:t>
            </w:r>
          </w:p>
        </w:tc>
        <w:tc>
          <w:tcPr>
            <w:tcW w:w="811" w:type="dxa"/>
            <w:tcBorders>
              <w:top w:val="nil"/>
              <w:left w:val="nil"/>
              <w:bottom w:val="single" w:sz="8" w:space="0" w:color="auto"/>
              <w:right w:val="single" w:sz="8" w:space="0" w:color="auto"/>
            </w:tcBorders>
            <w:shd w:val="clear" w:color="auto" w:fill="auto"/>
            <w:noWrap/>
            <w:vAlign w:val="center"/>
            <w:hideMark/>
          </w:tcPr>
          <w:p w14:paraId="7B33DFB6" w14:textId="77777777" w:rsidR="006304BC" w:rsidRDefault="006304BC">
            <w:pPr>
              <w:jc w:val="center"/>
              <w:rPr>
                <w:color w:val="000000"/>
                <w:sz w:val="20"/>
                <w:szCs w:val="20"/>
              </w:rPr>
            </w:pPr>
            <w:r>
              <w:rPr>
                <w:color w:val="000000"/>
                <w:sz w:val="20"/>
                <w:szCs w:val="20"/>
              </w:rPr>
              <w:t xml:space="preserve">2,135 </w:t>
            </w:r>
          </w:p>
        </w:tc>
        <w:tc>
          <w:tcPr>
            <w:tcW w:w="258" w:type="dxa"/>
            <w:tcBorders>
              <w:top w:val="nil"/>
              <w:left w:val="nil"/>
              <w:bottom w:val="single" w:sz="8" w:space="0" w:color="auto"/>
              <w:right w:val="single" w:sz="8" w:space="0" w:color="auto"/>
            </w:tcBorders>
            <w:shd w:val="clear" w:color="auto" w:fill="auto"/>
            <w:noWrap/>
            <w:vAlign w:val="center"/>
            <w:hideMark/>
          </w:tcPr>
          <w:p w14:paraId="101A4AD2" w14:textId="77777777" w:rsidR="006304BC" w:rsidRDefault="006304BC">
            <w:pPr>
              <w:jc w:val="center"/>
              <w:rPr>
                <w:color w:val="000000"/>
                <w:sz w:val="20"/>
                <w:szCs w:val="20"/>
              </w:rPr>
            </w:pPr>
            <w:r>
              <w:rPr>
                <w:color w:val="000000"/>
                <w:sz w:val="20"/>
                <w:szCs w:val="20"/>
              </w:rPr>
              <w:t xml:space="preserve">66,486 </w:t>
            </w:r>
          </w:p>
        </w:tc>
      </w:tr>
      <w:tr w:rsidR="006304BC" w14:paraId="7B96F3BC" w14:textId="77777777" w:rsidTr="00FD2D9B">
        <w:trPr>
          <w:trHeight w:val="548"/>
        </w:trPr>
        <w:tc>
          <w:tcPr>
            <w:tcW w:w="2787" w:type="dxa"/>
            <w:tcBorders>
              <w:top w:val="nil"/>
              <w:left w:val="single" w:sz="8" w:space="0" w:color="auto"/>
              <w:bottom w:val="single" w:sz="8" w:space="0" w:color="auto"/>
              <w:right w:val="single" w:sz="8" w:space="0" w:color="auto"/>
            </w:tcBorders>
            <w:shd w:val="clear" w:color="000000" w:fill="FFFFFF"/>
            <w:noWrap/>
            <w:vAlign w:val="bottom"/>
            <w:hideMark/>
          </w:tcPr>
          <w:p w14:paraId="4E4ACDF1" w14:textId="77777777" w:rsidR="006304BC" w:rsidRDefault="006304BC">
            <w:pPr>
              <w:jc w:val="center"/>
              <w:rPr>
                <w:b/>
                <w:bCs/>
                <w:color w:val="000000"/>
                <w:sz w:val="20"/>
                <w:szCs w:val="20"/>
              </w:rPr>
            </w:pPr>
            <w:r>
              <w:rPr>
                <w:b/>
                <w:bCs/>
                <w:color w:val="000000"/>
                <w:sz w:val="20"/>
                <w:szCs w:val="20"/>
              </w:rPr>
              <w:t>TOTAL</w:t>
            </w:r>
          </w:p>
        </w:tc>
        <w:tc>
          <w:tcPr>
            <w:tcW w:w="866" w:type="dxa"/>
            <w:tcBorders>
              <w:top w:val="nil"/>
              <w:left w:val="nil"/>
              <w:bottom w:val="single" w:sz="8" w:space="0" w:color="auto"/>
              <w:right w:val="single" w:sz="8" w:space="0" w:color="auto"/>
            </w:tcBorders>
            <w:shd w:val="clear" w:color="000000" w:fill="FFFFFF"/>
            <w:noWrap/>
            <w:vAlign w:val="bottom"/>
            <w:hideMark/>
          </w:tcPr>
          <w:p w14:paraId="26CB6826" w14:textId="77777777" w:rsidR="006304BC" w:rsidRDefault="006304BC">
            <w:pPr>
              <w:jc w:val="center"/>
              <w:rPr>
                <w:b/>
                <w:bCs/>
                <w:color w:val="000000"/>
                <w:sz w:val="20"/>
                <w:szCs w:val="20"/>
              </w:rPr>
            </w:pPr>
            <w:r>
              <w:rPr>
                <w:b/>
                <w:bCs/>
                <w:color w:val="000000"/>
                <w:sz w:val="20"/>
                <w:szCs w:val="20"/>
              </w:rPr>
              <w:t xml:space="preserve">0.00 </w:t>
            </w:r>
          </w:p>
        </w:tc>
        <w:tc>
          <w:tcPr>
            <w:tcW w:w="866" w:type="dxa"/>
            <w:tcBorders>
              <w:top w:val="nil"/>
              <w:left w:val="nil"/>
              <w:bottom w:val="single" w:sz="8" w:space="0" w:color="auto"/>
              <w:right w:val="single" w:sz="8" w:space="0" w:color="auto"/>
            </w:tcBorders>
            <w:shd w:val="clear" w:color="000000" w:fill="FFFFFF"/>
            <w:noWrap/>
            <w:vAlign w:val="bottom"/>
            <w:hideMark/>
          </w:tcPr>
          <w:p w14:paraId="64674C39" w14:textId="77777777" w:rsidR="006304BC" w:rsidRDefault="006304BC">
            <w:pPr>
              <w:jc w:val="center"/>
              <w:rPr>
                <w:b/>
                <w:bCs/>
                <w:color w:val="000000"/>
                <w:sz w:val="20"/>
                <w:szCs w:val="20"/>
              </w:rPr>
            </w:pPr>
            <w:r>
              <w:rPr>
                <w:b/>
                <w:bCs/>
                <w:color w:val="000000"/>
                <w:sz w:val="20"/>
                <w:szCs w:val="20"/>
              </w:rPr>
              <w:t xml:space="preserve">0.00 </w:t>
            </w:r>
          </w:p>
        </w:tc>
        <w:tc>
          <w:tcPr>
            <w:tcW w:w="1050" w:type="dxa"/>
            <w:tcBorders>
              <w:top w:val="nil"/>
              <w:left w:val="nil"/>
              <w:bottom w:val="single" w:sz="8" w:space="0" w:color="auto"/>
              <w:right w:val="single" w:sz="8" w:space="0" w:color="auto"/>
            </w:tcBorders>
            <w:shd w:val="clear" w:color="000000" w:fill="FFFFFF"/>
            <w:noWrap/>
            <w:vAlign w:val="bottom"/>
            <w:hideMark/>
          </w:tcPr>
          <w:p w14:paraId="69E41F6A" w14:textId="77777777" w:rsidR="006304BC" w:rsidRDefault="006304BC">
            <w:pPr>
              <w:jc w:val="center"/>
              <w:rPr>
                <w:b/>
                <w:bCs/>
                <w:color w:val="000000"/>
                <w:sz w:val="20"/>
                <w:szCs w:val="20"/>
              </w:rPr>
            </w:pPr>
            <w:r>
              <w:rPr>
                <w:b/>
                <w:bCs/>
                <w:color w:val="000000"/>
                <w:sz w:val="20"/>
                <w:szCs w:val="20"/>
              </w:rPr>
              <w:t xml:space="preserve">0.00 </w:t>
            </w:r>
          </w:p>
        </w:tc>
        <w:tc>
          <w:tcPr>
            <w:tcW w:w="894" w:type="dxa"/>
            <w:tcBorders>
              <w:top w:val="nil"/>
              <w:left w:val="nil"/>
              <w:bottom w:val="single" w:sz="8" w:space="0" w:color="auto"/>
              <w:right w:val="single" w:sz="8" w:space="0" w:color="auto"/>
            </w:tcBorders>
            <w:shd w:val="clear" w:color="000000" w:fill="FFFFFF"/>
            <w:noWrap/>
            <w:vAlign w:val="bottom"/>
            <w:hideMark/>
          </w:tcPr>
          <w:p w14:paraId="6F96173F" w14:textId="77777777" w:rsidR="006304BC" w:rsidRDefault="006304BC">
            <w:pPr>
              <w:jc w:val="center"/>
              <w:rPr>
                <w:b/>
                <w:bCs/>
                <w:color w:val="000000"/>
                <w:sz w:val="20"/>
                <w:szCs w:val="20"/>
              </w:rPr>
            </w:pPr>
            <w:r>
              <w:rPr>
                <w:b/>
                <w:bCs/>
                <w:color w:val="000000"/>
                <w:sz w:val="20"/>
                <w:szCs w:val="20"/>
              </w:rPr>
              <w:t xml:space="preserve">0.10 </w:t>
            </w:r>
          </w:p>
        </w:tc>
        <w:tc>
          <w:tcPr>
            <w:tcW w:w="987" w:type="dxa"/>
            <w:tcBorders>
              <w:top w:val="nil"/>
              <w:left w:val="nil"/>
              <w:bottom w:val="single" w:sz="8" w:space="0" w:color="auto"/>
              <w:right w:val="single" w:sz="8" w:space="0" w:color="auto"/>
            </w:tcBorders>
            <w:shd w:val="clear" w:color="000000" w:fill="FFFFFF"/>
            <w:noWrap/>
            <w:vAlign w:val="bottom"/>
            <w:hideMark/>
          </w:tcPr>
          <w:p w14:paraId="6C06C1BF" w14:textId="77777777" w:rsidR="006304BC" w:rsidRDefault="006304BC">
            <w:pPr>
              <w:jc w:val="center"/>
              <w:rPr>
                <w:b/>
                <w:bCs/>
                <w:color w:val="000000"/>
                <w:sz w:val="20"/>
                <w:szCs w:val="20"/>
              </w:rPr>
            </w:pPr>
            <w:r>
              <w:rPr>
                <w:b/>
                <w:bCs/>
                <w:color w:val="000000"/>
                <w:sz w:val="20"/>
                <w:szCs w:val="20"/>
              </w:rPr>
              <w:t xml:space="preserve">$3.11 </w:t>
            </w:r>
          </w:p>
        </w:tc>
        <w:tc>
          <w:tcPr>
            <w:tcW w:w="850" w:type="dxa"/>
            <w:tcBorders>
              <w:top w:val="nil"/>
              <w:left w:val="nil"/>
              <w:bottom w:val="single" w:sz="8" w:space="0" w:color="auto"/>
              <w:right w:val="single" w:sz="8" w:space="0" w:color="auto"/>
            </w:tcBorders>
            <w:shd w:val="clear" w:color="000000" w:fill="FFFFFF"/>
            <w:noWrap/>
            <w:vAlign w:val="bottom"/>
            <w:hideMark/>
          </w:tcPr>
          <w:p w14:paraId="5A43B1F3" w14:textId="77777777" w:rsidR="006304BC" w:rsidRDefault="006304BC">
            <w:pPr>
              <w:jc w:val="center"/>
              <w:rPr>
                <w:b/>
                <w:bCs/>
                <w:color w:val="000000"/>
                <w:sz w:val="20"/>
                <w:szCs w:val="20"/>
              </w:rPr>
            </w:pPr>
            <w:r>
              <w:rPr>
                <w:b/>
                <w:bCs/>
                <w:color w:val="000000"/>
                <w:sz w:val="20"/>
                <w:szCs w:val="20"/>
              </w:rPr>
              <w:t xml:space="preserve">$0.00 </w:t>
            </w:r>
          </w:p>
        </w:tc>
        <w:tc>
          <w:tcPr>
            <w:tcW w:w="727" w:type="dxa"/>
            <w:tcBorders>
              <w:top w:val="nil"/>
              <w:left w:val="nil"/>
              <w:bottom w:val="single" w:sz="8" w:space="0" w:color="auto"/>
              <w:right w:val="single" w:sz="8" w:space="0" w:color="auto"/>
            </w:tcBorders>
            <w:shd w:val="clear" w:color="000000" w:fill="FFFFFF"/>
            <w:noWrap/>
            <w:vAlign w:val="bottom"/>
            <w:hideMark/>
          </w:tcPr>
          <w:p w14:paraId="720E90F7" w14:textId="77777777" w:rsidR="006304BC" w:rsidRDefault="006304BC">
            <w:pPr>
              <w:jc w:val="center"/>
              <w:rPr>
                <w:b/>
                <w:bCs/>
                <w:color w:val="000000"/>
                <w:sz w:val="20"/>
                <w:szCs w:val="20"/>
              </w:rPr>
            </w:pPr>
            <w:r>
              <w:rPr>
                <w:b/>
                <w:bCs/>
                <w:color w:val="000000"/>
                <w:sz w:val="20"/>
                <w:szCs w:val="20"/>
              </w:rPr>
              <w:t xml:space="preserve">$0.00 </w:t>
            </w:r>
          </w:p>
        </w:tc>
        <w:tc>
          <w:tcPr>
            <w:tcW w:w="1306" w:type="dxa"/>
            <w:tcBorders>
              <w:top w:val="nil"/>
              <w:left w:val="nil"/>
              <w:bottom w:val="single" w:sz="8" w:space="0" w:color="auto"/>
              <w:right w:val="single" w:sz="8" w:space="0" w:color="auto"/>
            </w:tcBorders>
            <w:shd w:val="clear" w:color="000000" w:fill="FFFFFF"/>
            <w:noWrap/>
            <w:vAlign w:val="bottom"/>
            <w:hideMark/>
          </w:tcPr>
          <w:p w14:paraId="33DC3DD4" w14:textId="77777777" w:rsidR="006304BC" w:rsidRDefault="006304BC">
            <w:pPr>
              <w:jc w:val="center"/>
              <w:rPr>
                <w:b/>
                <w:bCs/>
                <w:color w:val="000000"/>
                <w:sz w:val="20"/>
                <w:szCs w:val="20"/>
              </w:rPr>
            </w:pPr>
            <w:r>
              <w:rPr>
                <w:b/>
                <w:bCs/>
                <w:color w:val="000000"/>
                <w:sz w:val="20"/>
                <w:szCs w:val="20"/>
              </w:rPr>
              <w:t xml:space="preserve">15,256 </w:t>
            </w:r>
          </w:p>
        </w:tc>
        <w:tc>
          <w:tcPr>
            <w:tcW w:w="1261" w:type="dxa"/>
            <w:tcBorders>
              <w:top w:val="nil"/>
              <w:left w:val="nil"/>
              <w:bottom w:val="single" w:sz="8" w:space="0" w:color="auto"/>
              <w:right w:val="single" w:sz="8" w:space="0" w:color="auto"/>
            </w:tcBorders>
            <w:shd w:val="clear" w:color="000000" w:fill="FFFFFF"/>
            <w:noWrap/>
            <w:vAlign w:val="bottom"/>
            <w:hideMark/>
          </w:tcPr>
          <w:p w14:paraId="233CCFA6" w14:textId="77777777" w:rsidR="006304BC" w:rsidRDefault="006304BC">
            <w:pPr>
              <w:jc w:val="center"/>
              <w:rPr>
                <w:b/>
                <w:bCs/>
                <w:color w:val="000000"/>
                <w:sz w:val="20"/>
                <w:szCs w:val="20"/>
              </w:rPr>
            </w:pPr>
            <w:r>
              <w:rPr>
                <w:b/>
                <w:bCs/>
                <w:color w:val="000000"/>
                <w:sz w:val="20"/>
                <w:szCs w:val="20"/>
              </w:rPr>
              <w:t xml:space="preserve">6.0 </w:t>
            </w:r>
          </w:p>
        </w:tc>
        <w:tc>
          <w:tcPr>
            <w:tcW w:w="1017" w:type="dxa"/>
            <w:tcBorders>
              <w:top w:val="nil"/>
              <w:left w:val="nil"/>
              <w:bottom w:val="single" w:sz="8" w:space="0" w:color="auto"/>
              <w:right w:val="single" w:sz="8" w:space="0" w:color="auto"/>
            </w:tcBorders>
            <w:shd w:val="clear" w:color="000000" w:fill="FFFFFF"/>
            <w:noWrap/>
            <w:vAlign w:val="bottom"/>
            <w:hideMark/>
          </w:tcPr>
          <w:p w14:paraId="6EF6E0C7" w14:textId="77777777" w:rsidR="006304BC" w:rsidRDefault="006304BC">
            <w:pPr>
              <w:jc w:val="center"/>
              <w:rPr>
                <w:b/>
                <w:bCs/>
                <w:color w:val="000000"/>
                <w:sz w:val="20"/>
                <w:szCs w:val="20"/>
              </w:rPr>
            </w:pPr>
            <w:r>
              <w:rPr>
                <w:b/>
                <w:bCs/>
                <w:color w:val="000000"/>
                <w:sz w:val="20"/>
                <w:szCs w:val="20"/>
              </w:rPr>
              <w:t xml:space="preserve">85,400 </w:t>
            </w:r>
          </w:p>
        </w:tc>
        <w:tc>
          <w:tcPr>
            <w:tcW w:w="811" w:type="dxa"/>
            <w:tcBorders>
              <w:top w:val="nil"/>
              <w:left w:val="nil"/>
              <w:bottom w:val="single" w:sz="8" w:space="0" w:color="auto"/>
              <w:right w:val="single" w:sz="8" w:space="0" w:color="auto"/>
            </w:tcBorders>
            <w:shd w:val="clear" w:color="000000" w:fill="FFFFFF"/>
            <w:noWrap/>
            <w:vAlign w:val="bottom"/>
            <w:hideMark/>
          </w:tcPr>
          <w:p w14:paraId="101A2B75" w14:textId="77777777" w:rsidR="006304BC" w:rsidRDefault="006304BC">
            <w:pPr>
              <w:jc w:val="center"/>
              <w:rPr>
                <w:b/>
                <w:bCs/>
                <w:color w:val="000000"/>
                <w:sz w:val="20"/>
                <w:szCs w:val="20"/>
              </w:rPr>
            </w:pPr>
            <w:r>
              <w:rPr>
                <w:b/>
                <w:bCs/>
                <w:color w:val="000000"/>
                <w:sz w:val="20"/>
                <w:szCs w:val="20"/>
              </w:rPr>
              <w:t xml:space="preserve">4,270 </w:t>
            </w:r>
          </w:p>
        </w:tc>
        <w:tc>
          <w:tcPr>
            <w:tcW w:w="258" w:type="dxa"/>
            <w:tcBorders>
              <w:top w:val="nil"/>
              <w:left w:val="nil"/>
              <w:bottom w:val="single" w:sz="8" w:space="0" w:color="auto"/>
              <w:right w:val="single" w:sz="8" w:space="0" w:color="auto"/>
            </w:tcBorders>
            <w:shd w:val="clear" w:color="000000" w:fill="FFFFFF"/>
            <w:noWrap/>
            <w:vAlign w:val="bottom"/>
            <w:hideMark/>
          </w:tcPr>
          <w:p w14:paraId="5701D00A" w14:textId="77777777" w:rsidR="006304BC" w:rsidRDefault="006304BC">
            <w:pPr>
              <w:jc w:val="center"/>
              <w:rPr>
                <w:b/>
                <w:bCs/>
                <w:color w:val="000000"/>
                <w:sz w:val="20"/>
                <w:szCs w:val="20"/>
              </w:rPr>
            </w:pPr>
            <w:r>
              <w:rPr>
                <w:b/>
                <w:bCs/>
                <w:color w:val="000000"/>
                <w:sz w:val="20"/>
                <w:szCs w:val="20"/>
              </w:rPr>
              <w:t xml:space="preserve">$132,971 </w:t>
            </w:r>
          </w:p>
        </w:tc>
      </w:tr>
    </w:tbl>
    <w:p w14:paraId="15D0D2CD" w14:textId="77777777" w:rsidR="006304BC" w:rsidRDefault="006304BC" w:rsidP="00C94474">
      <w:pPr>
        <w:rPr>
          <w:b/>
          <w:bCs/>
        </w:rPr>
      </w:pPr>
    </w:p>
    <w:p w14:paraId="6886FE0A" w14:textId="77777777" w:rsidR="006304BC" w:rsidRDefault="006304BC">
      <w:pPr>
        <w:rPr>
          <w:b/>
          <w:bCs/>
        </w:rPr>
      </w:pPr>
      <w:r>
        <w:rPr>
          <w:b/>
          <w:bCs/>
        </w:rPr>
        <w:br w:type="page"/>
      </w:r>
    </w:p>
    <w:p w14:paraId="04EE611D" w14:textId="77777777" w:rsidR="000806A7" w:rsidRDefault="000806A7" w:rsidP="004078AF">
      <w:pPr>
        <w:ind w:firstLine="720"/>
        <w:rPr>
          <w:b/>
          <w:bCs/>
        </w:rPr>
        <w:sectPr w:rsidR="000806A7" w:rsidSect="00FD2D9B">
          <w:footerReference w:type="default" r:id="rId11"/>
          <w:pgSz w:w="15840" w:h="12240" w:orient="landscape"/>
          <w:pgMar w:top="720" w:right="720" w:bottom="720" w:left="720" w:header="720" w:footer="720" w:gutter="0"/>
          <w:cols w:space="720"/>
          <w:titlePg/>
          <w:docGrid w:linePitch="326"/>
        </w:sectPr>
      </w:pPr>
    </w:p>
    <w:p w14:paraId="44869F87" w14:textId="3432337F" w:rsidR="004078AF" w:rsidRPr="0090669D" w:rsidRDefault="004078AF" w:rsidP="004078AF">
      <w:pPr>
        <w:ind w:firstLine="720"/>
        <w:rPr>
          <w:b/>
          <w:bCs/>
        </w:rPr>
      </w:pPr>
      <w:r w:rsidRPr="0090669D">
        <w:rPr>
          <w:b/>
          <w:bCs/>
        </w:rPr>
        <w:t>6(</w:t>
      </w:r>
      <w:r>
        <w:rPr>
          <w:b/>
          <w:bCs/>
        </w:rPr>
        <w:t>e</w:t>
      </w:r>
      <w:r w:rsidRPr="0090669D">
        <w:rPr>
          <w:b/>
          <w:bCs/>
        </w:rPr>
        <w:t>)</w:t>
      </w:r>
      <w:r w:rsidRPr="0090669D">
        <w:rPr>
          <w:b/>
          <w:bCs/>
        </w:rPr>
        <w:tab/>
        <w:t>Reasons for Change in Burden</w:t>
      </w:r>
    </w:p>
    <w:p w14:paraId="7BA2D93A" w14:textId="77777777" w:rsidR="004078AF" w:rsidRPr="0090669D" w:rsidRDefault="004078AF" w:rsidP="004078AF">
      <w:pPr>
        <w:ind w:firstLine="720"/>
      </w:pPr>
    </w:p>
    <w:p w14:paraId="104DFB96" w14:textId="13E02F62" w:rsidR="004078AF" w:rsidRDefault="004078AF" w:rsidP="004078AF">
      <w:pPr>
        <w:ind w:firstLine="720"/>
      </w:pPr>
      <w:r>
        <w:t xml:space="preserve">The expected annual increase in burden for handlers of airbag waste is a total </w:t>
      </w:r>
      <w:r w:rsidRPr="00826E13">
        <w:t xml:space="preserve">of </w:t>
      </w:r>
      <w:r>
        <w:t>4,270</w:t>
      </w:r>
      <w:r w:rsidRPr="00826E13">
        <w:t xml:space="preserve"> hours under</w:t>
      </w:r>
      <w:r>
        <w:t xml:space="preserve"> the provisions of the </w:t>
      </w:r>
      <w:r w:rsidR="001E60EF">
        <w:t>interim final</w:t>
      </w:r>
      <w:r>
        <w:t xml:space="preserve"> rule. This corresponds to a cumulative increase in burden </w:t>
      </w:r>
      <w:r w:rsidRPr="00043A1B">
        <w:t xml:space="preserve">of </w:t>
      </w:r>
      <w:r>
        <w:t xml:space="preserve">12,810 hours for the first three years following the rule. </w:t>
      </w:r>
      <w:r w:rsidR="00715427">
        <w:t>The Emergency ICR associated with this interim final rule reports an annual burden</w:t>
      </w:r>
      <w:r w:rsidR="00AD58EC">
        <w:t xml:space="preserve"> of 4,200 hours and $130,791 </w:t>
      </w:r>
      <w:r w:rsidR="00715427">
        <w:t xml:space="preserve">per year. The slight </w:t>
      </w:r>
      <w:r w:rsidR="00AD58EC">
        <w:t xml:space="preserve">increase of </w:t>
      </w:r>
      <w:r w:rsidR="00715427">
        <w:t>70 hours can be attributed to minor modeling adjustments. The types of burden covered remain consistent between this ICR and the Emergency ICR.</w:t>
      </w:r>
    </w:p>
    <w:p w14:paraId="216D8ECB" w14:textId="77777777" w:rsidR="004078AF" w:rsidRDefault="004078AF" w:rsidP="004078AF">
      <w:pPr>
        <w:ind w:firstLine="720"/>
        <w:rPr>
          <w:b/>
          <w:bCs/>
        </w:rPr>
      </w:pPr>
    </w:p>
    <w:p w14:paraId="72B3D084" w14:textId="3D200433" w:rsidR="00E05801" w:rsidRPr="0090669D" w:rsidRDefault="00E05801" w:rsidP="004078AF">
      <w:pPr>
        <w:ind w:firstLine="720"/>
        <w:rPr>
          <w:b/>
          <w:bCs/>
        </w:rPr>
      </w:pPr>
      <w:r w:rsidRPr="0090669D">
        <w:rPr>
          <w:b/>
          <w:bCs/>
        </w:rPr>
        <w:t>6(</w:t>
      </w:r>
      <w:r>
        <w:rPr>
          <w:b/>
          <w:bCs/>
        </w:rPr>
        <w:t>g</w:t>
      </w:r>
      <w:r w:rsidRPr="0090669D">
        <w:rPr>
          <w:b/>
          <w:bCs/>
        </w:rPr>
        <w:t>)</w:t>
      </w:r>
      <w:r w:rsidRPr="0090669D">
        <w:rPr>
          <w:b/>
          <w:bCs/>
        </w:rPr>
        <w:tab/>
        <w:t>Burden Statement</w:t>
      </w:r>
    </w:p>
    <w:p w14:paraId="77535169" w14:textId="77777777" w:rsidR="00E05801" w:rsidRPr="0090669D" w:rsidRDefault="00E05801" w:rsidP="00E05801">
      <w:pPr>
        <w:rPr>
          <w:b/>
          <w:bCs/>
        </w:rPr>
      </w:pPr>
    </w:p>
    <w:p w14:paraId="526713EB" w14:textId="1D1F27A8" w:rsidR="004C07A4" w:rsidRDefault="00E05801" w:rsidP="00E05801">
      <w:pPr>
        <w:pStyle w:val="Default"/>
        <w:ind w:firstLine="720"/>
        <w:rPr>
          <w:rFonts w:ascii="Times New Roman" w:hAnsi="Times New Roman" w:cs="Times New Roman"/>
        </w:rPr>
      </w:pPr>
      <w:r w:rsidRPr="000B3556">
        <w:rPr>
          <w:rFonts w:ascii="Times New Roman" w:hAnsi="Times New Roman" w:cs="Times New Roman"/>
        </w:rPr>
        <w:t>The average</w:t>
      </w:r>
      <w:r w:rsidR="00FC27F5">
        <w:rPr>
          <w:rFonts w:ascii="Times New Roman" w:hAnsi="Times New Roman" w:cs="Times New Roman"/>
        </w:rPr>
        <w:t xml:space="preserve"> </w:t>
      </w:r>
      <w:r w:rsidR="00AA5DF6">
        <w:rPr>
          <w:rFonts w:ascii="Times New Roman" w:hAnsi="Times New Roman" w:cs="Times New Roman"/>
        </w:rPr>
        <w:t xml:space="preserve">per-facility </w:t>
      </w:r>
      <w:r w:rsidRPr="000405F9">
        <w:rPr>
          <w:rFonts w:ascii="Times New Roman" w:hAnsi="Times New Roman" w:cs="Times New Roman"/>
        </w:rPr>
        <w:t xml:space="preserve">public reporting and recordkeeping burden for this collection of information during the first year of the rule is estimated to be </w:t>
      </w:r>
      <w:r w:rsidR="007D186D">
        <w:rPr>
          <w:rFonts w:ascii="Times New Roman" w:hAnsi="Times New Roman" w:cs="Times New Roman"/>
        </w:rPr>
        <w:t>0.28 hours.</w:t>
      </w:r>
      <w:r w:rsidR="00043A1B" w:rsidRPr="000405F9">
        <w:rPr>
          <w:rFonts w:ascii="Times New Roman" w:hAnsi="Times New Roman" w:cs="Times New Roman"/>
        </w:rPr>
        <w:t xml:space="preserve"> </w:t>
      </w:r>
    </w:p>
    <w:p w14:paraId="5773F211" w14:textId="77777777" w:rsidR="004C07A4" w:rsidRDefault="004C07A4" w:rsidP="00E05801">
      <w:pPr>
        <w:pStyle w:val="Default"/>
        <w:ind w:firstLine="720"/>
        <w:rPr>
          <w:rFonts w:ascii="Times New Roman" w:hAnsi="Times New Roman" w:cs="Times New Roman"/>
        </w:rPr>
      </w:pPr>
    </w:p>
    <w:p w14:paraId="161A4BE6" w14:textId="77777777" w:rsidR="00E05801" w:rsidRDefault="00E05801" w:rsidP="00E05801">
      <w:pPr>
        <w:pStyle w:val="Default"/>
        <w:ind w:firstLine="720"/>
        <w:rPr>
          <w:rFonts w:ascii="Times New Roman" w:hAnsi="Times New Roman" w:cs="Times New Roman"/>
        </w:rPr>
      </w:pPr>
      <w:r>
        <w:rPr>
          <w:rFonts w:ascii="Times New Roman" w:hAnsi="Times New Roman" w:cs="Times New Roman"/>
        </w:rPr>
        <w:t xml:space="preserve">Burden means </w:t>
      </w:r>
      <w:r w:rsidRPr="000B3556">
        <w:rPr>
          <w:rFonts w:ascii="Times New Roman" w:hAnsi="Times New Roman" w:cs="Times New Roman"/>
        </w:rPr>
        <w:t>the</w:t>
      </w:r>
      <w:r w:rsidRPr="002C28D3">
        <w:rPr>
          <w:rFonts w:ascii="Times New Roman" w:hAnsi="Times New Roman" w:cs="Times New Roman"/>
        </w:rPr>
        <w:t xml:space="preserve"> total time, effort, or financial resources expended by persons to generate, maintain, retain, or disclose or provide information to or for a Federal agency</w:t>
      </w:r>
      <w:r>
        <w:rPr>
          <w:rFonts w:ascii="Times New Roman" w:hAnsi="Times New Roman" w:cs="Times New Roman"/>
        </w:rPr>
        <w:t xml:space="preserve">. </w:t>
      </w:r>
      <w:r w:rsidRPr="002C28D3">
        <w:rPr>
          <w:rFonts w:ascii="Times New Roman" w:hAnsi="Times New Roman" w:cs="Times New Roman"/>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r>
        <w:rPr>
          <w:rFonts w:ascii="Times New Roman" w:hAnsi="Times New Roman" w:cs="Times New Roman"/>
        </w:rPr>
        <w:t xml:space="preserve">. </w:t>
      </w:r>
      <w:r w:rsidRPr="002C28D3">
        <w:rPr>
          <w:rFonts w:ascii="Times New Roman" w:hAnsi="Times New Roman" w:cs="Times New Roman"/>
        </w:rPr>
        <w:t>An agency may not conduct or sponsor, and a person is not required to respond to, a collection of information unless it displays a currently valid OMB control number</w:t>
      </w:r>
      <w:r>
        <w:rPr>
          <w:rFonts w:ascii="Times New Roman" w:hAnsi="Times New Roman" w:cs="Times New Roman"/>
        </w:rPr>
        <w:t xml:space="preserve">. </w:t>
      </w:r>
      <w:r w:rsidRPr="002C28D3">
        <w:rPr>
          <w:rFonts w:ascii="Times New Roman" w:hAnsi="Times New Roman" w:cs="Times New Roman"/>
        </w:rPr>
        <w:t xml:space="preserve">The OMB control numbers for EPA's regulations are listed in 40 CFR part 9 and 48 CFR </w:t>
      </w:r>
      <w:r>
        <w:rPr>
          <w:rFonts w:ascii="Times New Roman" w:hAnsi="Times New Roman" w:cs="Times New Roman"/>
        </w:rPr>
        <w:t>C</w:t>
      </w:r>
      <w:r w:rsidRPr="002C28D3">
        <w:rPr>
          <w:rFonts w:ascii="Times New Roman" w:hAnsi="Times New Roman" w:cs="Times New Roman"/>
        </w:rPr>
        <w:t>hapter 15.</w:t>
      </w:r>
    </w:p>
    <w:p w14:paraId="09DE623E" w14:textId="77777777" w:rsidR="004C07A4" w:rsidRDefault="004C07A4" w:rsidP="00E05801">
      <w:pPr>
        <w:pStyle w:val="Default"/>
        <w:ind w:firstLine="720"/>
        <w:rPr>
          <w:rFonts w:ascii="Times New Roman" w:hAnsi="Times New Roman" w:cs="Times New Roman"/>
          <w:color w:val="auto"/>
        </w:rPr>
      </w:pPr>
    </w:p>
    <w:p w14:paraId="336B9407" w14:textId="0E09D62D" w:rsidR="00E05801" w:rsidRPr="0090669D" w:rsidRDefault="00E05801" w:rsidP="00E05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90669D">
        <w:rPr>
          <w:color w:val="000000"/>
        </w:rPr>
        <w:tab/>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74605" w:rsidRPr="00374605">
        <w:t>EPA-HQ -OLEM-2018-0646</w:t>
      </w:r>
      <w:r w:rsidRPr="0090669D">
        <w:rPr>
          <w:color w:val="000000"/>
        </w:rPr>
        <w:t xml:space="preserve">, which is available for online viewing at </w:t>
      </w:r>
      <w:hyperlink r:id="rId12" w:history="1">
        <w:r w:rsidRPr="0090669D">
          <w:rPr>
            <w:rStyle w:val="Hyperlink"/>
          </w:rPr>
          <w:t>www.regulations.gov</w:t>
        </w:r>
      </w:hyperlink>
      <w:r w:rsidRPr="0090669D">
        <w:rPr>
          <w:color w:val="000000"/>
        </w:rPr>
        <w:t>, or in person viewing at the RCRA Docket in the EPA Docket Center (EPA/DC), EPA West, Room 3334, 1301 Constitution Ave., NW, Washington, D.C</w:t>
      </w:r>
      <w:r>
        <w:rPr>
          <w:color w:val="000000"/>
        </w:rPr>
        <w:t xml:space="preserve">. </w:t>
      </w:r>
      <w:r w:rsidRPr="0090669D">
        <w:rPr>
          <w:color w:val="000000"/>
        </w:rPr>
        <w:t>The EPA Docket Center Public Reading Room is open from 8:30 a.m. to 4:30 p.m., Monday through Friday, excluding legal holidays</w:t>
      </w:r>
      <w:r>
        <w:rPr>
          <w:color w:val="000000"/>
        </w:rPr>
        <w:t xml:space="preserve">. </w:t>
      </w:r>
      <w:r w:rsidRPr="0090669D">
        <w:rPr>
          <w:color w:val="000000"/>
        </w:rPr>
        <w:t>The telephone number for the Reading Room is (202) 566-1744, and the telephone number for the RCRA Docket is (202) 566-0270</w:t>
      </w:r>
      <w:r>
        <w:rPr>
          <w:color w:val="000000"/>
        </w:rPr>
        <w:t xml:space="preserve">. </w:t>
      </w:r>
      <w:r w:rsidRPr="0090669D">
        <w:rPr>
          <w:color w:val="000000"/>
        </w:rPr>
        <w:t xml:space="preserve">An electronic version of the public docket is available at </w:t>
      </w:r>
      <w:hyperlink r:id="rId13" w:history="1">
        <w:r w:rsidRPr="0090669D">
          <w:rPr>
            <w:rStyle w:val="Hyperlink"/>
          </w:rPr>
          <w:t>www.regulations.gov</w:t>
        </w:r>
      </w:hyperlink>
      <w:r>
        <w:rPr>
          <w:color w:val="000000"/>
        </w:rPr>
        <w:t xml:space="preserve">. </w:t>
      </w:r>
      <w:r w:rsidRPr="0090669D">
        <w:rPr>
          <w:color w:val="000000"/>
        </w:rPr>
        <w:t>This site can be used to submit or view public comments, access the index listing of the contents of the public docket, and to access those documents in the public docket that are available electronically</w:t>
      </w:r>
      <w:r>
        <w:rPr>
          <w:color w:val="000000"/>
        </w:rPr>
        <w:t xml:space="preserve">. </w:t>
      </w:r>
      <w:r w:rsidRPr="0090669D">
        <w:rPr>
          <w:color w:val="000000"/>
        </w:rPr>
        <w:t>When in the system, select “search,” then key in the Docket ID Number identified above</w:t>
      </w:r>
      <w:r>
        <w:rPr>
          <w:color w:val="000000"/>
        </w:rPr>
        <w:t xml:space="preserve">. </w:t>
      </w:r>
      <w:r w:rsidRPr="0090669D">
        <w:rPr>
          <w:color w:val="000000"/>
        </w:rPr>
        <w:t>Also, you can send comments to the Office of Information and Regulatory Affairs, Office of Management and Budget, 725 17th Street, NW, Washington, D.C. 20503, Attention: Desk Officer for EPA</w:t>
      </w:r>
      <w:r>
        <w:rPr>
          <w:color w:val="000000"/>
        </w:rPr>
        <w:t xml:space="preserve">. </w:t>
      </w:r>
      <w:r w:rsidRPr="0090669D">
        <w:rPr>
          <w:color w:val="000000"/>
        </w:rPr>
        <w:t xml:space="preserve">Please include the EPA Docket ID Number </w:t>
      </w:r>
      <w:r w:rsidR="00374605" w:rsidRPr="00374605">
        <w:t>EPA-HQ -OLEM-2018-0646</w:t>
      </w:r>
      <w:r w:rsidR="00662A34">
        <w:t xml:space="preserve"> </w:t>
      </w:r>
      <w:r w:rsidRPr="0090669D">
        <w:rPr>
          <w:color w:val="000000"/>
        </w:rPr>
        <w:t xml:space="preserve">and OMB Control Number </w:t>
      </w:r>
      <w:r w:rsidR="00662A34">
        <w:t xml:space="preserve">2050-0221 </w:t>
      </w:r>
      <w:r w:rsidRPr="0090669D">
        <w:rPr>
          <w:color w:val="000000"/>
        </w:rPr>
        <w:t>in any correspondence.</w:t>
      </w:r>
    </w:p>
    <w:p w14:paraId="37F2F8AB" w14:textId="77777777" w:rsidR="00E05801" w:rsidRDefault="00E05801" w:rsidP="00E05801">
      <w:pPr>
        <w:pStyle w:val="BodyTextIndent"/>
        <w:ind w:firstLine="0"/>
      </w:pPr>
    </w:p>
    <w:sectPr w:rsidR="00E05801" w:rsidSect="000806A7">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DBF5C" w14:textId="77777777" w:rsidR="00E3596E" w:rsidRDefault="00E3596E">
      <w:r>
        <w:separator/>
      </w:r>
    </w:p>
  </w:endnote>
  <w:endnote w:type="continuationSeparator" w:id="0">
    <w:p w14:paraId="262CEBD7" w14:textId="77777777" w:rsidR="00E3596E" w:rsidRDefault="00E35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072338"/>
      <w:docPartObj>
        <w:docPartGallery w:val="Page Numbers (Bottom of Page)"/>
        <w:docPartUnique/>
      </w:docPartObj>
    </w:sdtPr>
    <w:sdtEndPr>
      <w:rPr>
        <w:noProof/>
        <w:sz w:val="22"/>
        <w:szCs w:val="22"/>
      </w:rPr>
    </w:sdtEndPr>
    <w:sdtContent>
      <w:p w14:paraId="4807B2B8" w14:textId="02675564" w:rsidR="00076256" w:rsidRPr="00E35CAD" w:rsidRDefault="00076256">
        <w:pPr>
          <w:pStyle w:val="Footer"/>
          <w:jc w:val="center"/>
          <w:rPr>
            <w:sz w:val="22"/>
            <w:szCs w:val="22"/>
          </w:rPr>
        </w:pPr>
        <w:r w:rsidRPr="00E35CAD">
          <w:rPr>
            <w:sz w:val="22"/>
            <w:szCs w:val="22"/>
          </w:rPr>
          <w:fldChar w:fldCharType="begin"/>
        </w:r>
        <w:r w:rsidRPr="00E35CAD">
          <w:rPr>
            <w:sz w:val="22"/>
            <w:szCs w:val="22"/>
          </w:rPr>
          <w:instrText xml:space="preserve"> PAGE  \* Arabic  \* MERGEFORMAT </w:instrText>
        </w:r>
        <w:r w:rsidRPr="00E35CAD">
          <w:rPr>
            <w:sz w:val="22"/>
            <w:szCs w:val="22"/>
          </w:rPr>
          <w:fldChar w:fldCharType="separate"/>
        </w:r>
        <w:r w:rsidR="00617A89">
          <w:rPr>
            <w:noProof/>
            <w:sz w:val="22"/>
            <w:szCs w:val="22"/>
          </w:rPr>
          <w:t>1</w:t>
        </w:r>
        <w:r w:rsidRPr="00E35CAD">
          <w:rPr>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319693"/>
      <w:docPartObj>
        <w:docPartGallery w:val="Page Numbers (Bottom of Page)"/>
        <w:docPartUnique/>
      </w:docPartObj>
    </w:sdtPr>
    <w:sdtEndPr>
      <w:rPr>
        <w:noProof/>
      </w:rPr>
    </w:sdtEndPr>
    <w:sdtContent>
      <w:p w14:paraId="00CC4659" w14:textId="2A336833" w:rsidR="00076256" w:rsidRDefault="00076256">
        <w:pPr>
          <w:pStyle w:val="Footer"/>
          <w:jc w:val="center"/>
        </w:pPr>
        <w:r w:rsidRPr="00693F41">
          <w:rPr>
            <w:sz w:val="22"/>
            <w:szCs w:val="22"/>
          </w:rPr>
          <w:fldChar w:fldCharType="begin"/>
        </w:r>
        <w:r w:rsidRPr="00693F41">
          <w:rPr>
            <w:sz w:val="22"/>
            <w:szCs w:val="22"/>
          </w:rPr>
          <w:instrText xml:space="preserve"> PAGE   \* MERGEFORMAT </w:instrText>
        </w:r>
        <w:r w:rsidRPr="00693F41">
          <w:rPr>
            <w:sz w:val="22"/>
            <w:szCs w:val="22"/>
          </w:rPr>
          <w:fldChar w:fldCharType="separate"/>
        </w:r>
        <w:r w:rsidR="00662A34">
          <w:rPr>
            <w:noProof/>
            <w:sz w:val="22"/>
            <w:szCs w:val="22"/>
          </w:rPr>
          <w:t>11</w:t>
        </w:r>
        <w:r w:rsidRPr="00693F41">
          <w:rPr>
            <w:noProof/>
            <w:sz w:val="22"/>
            <w:szCs w:val="22"/>
          </w:rPr>
          <w:fldChar w:fldCharType="end"/>
        </w:r>
      </w:p>
    </w:sdtContent>
  </w:sdt>
  <w:p w14:paraId="37B37DE1" w14:textId="77777777" w:rsidR="00076256" w:rsidRDefault="000762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9FE02" w14:textId="71D5C485" w:rsidR="00076256" w:rsidRDefault="00076256">
    <w:pPr>
      <w:pStyle w:val="Footer"/>
      <w:jc w:val="center"/>
    </w:pPr>
    <w:r>
      <w:rPr>
        <w:rStyle w:val="PageNumber"/>
      </w:rPr>
      <w:fldChar w:fldCharType="begin"/>
    </w:r>
    <w:r>
      <w:rPr>
        <w:rStyle w:val="PageNumber"/>
      </w:rPr>
      <w:instrText xml:space="preserve"> PAGE </w:instrText>
    </w:r>
    <w:r>
      <w:rPr>
        <w:rStyle w:val="PageNumber"/>
      </w:rPr>
      <w:fldChar w:fldCharType="separate"/>
    </w:r>
    <w:r w:rsidR="000806A7">
      <w:rPr>
        <w:rStyle w:val="PageNumber"/>
        <w:noProof/>
      </w:rPr>
      <w:t>13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9AEFF9" w14:textId="77777777" w:rsidR="00E3596E" w:rsidRDefault="00E3596E">
      <w:r>
        <w:separator/>
      </w:r>
    </w:p>
  </w:footnote>
  <w:footnote w:type="continuationSeparator" w:id="0">
    <w:p w14:paraId="12A18F1D" w14:textId="77777777" w:rsidR="00E3596E" w:rsidRDefault="00E3596E">
      <w:r>
        <w:continuationSeparator/>
      </w:r>
    </w:p>
  </w:footnote>
  <w:footnote w:id="1">
    <w:p w14:paraId="7B14D98C" w14:textId="2A383C8F" w:rsidR="00076256" w:rsidRDefault="00076256">
      <w:pPr>
        <w:pStyle w:val="FootnoteText"/>
      </w:pPr>
      <w:r>
        <w:rPr>
          <w:rStyle w:val="FootnoteReference"/>
        </w:rPr>
        <w:footnoteRef/>
      </w:r>
      <w:r>
        <w:t xml:space="preserve"> </w:t>
      </w:r>
      <w:r w:rsidRPr="00613DB9">
        <w:rPr>
          <w:sz w:val="18"/>
          <w:szCs w:val="18"/>
        </w:rPr>
        <w:t xml:space="preserve">EPA 2018. </w:t>
      </w:r>
      <w:r w:rsidRPr="00613DB9">
        <w:rPr>
          <w:i/>
          <w:sz w:val="18"/>
          <w:szCs w:val="18"/>
        </w:rPr>
        <w:t>Compilation of Stakeholder Meeting Summaries Regarding RCRA Regulation of Airbag Waste.</w:t>
      </w:r>
    </w:p>
  </w:footnote>
  <w:footnote w:id="2">
    <w:p w14:paraId="2839F415" w14:textId="237B460F" w:rsidR="00076256" w:rsidRPr="00414C02" w:rsidRDefault="00076256" w:rsidP="00076256">
      <w:pPr>
        <w:pStyle w:val="FootnoteText"/>
        <w:jc w:val="left"/>
        <w:rPr>
          <w:sz w:val="18"/>
          <w:szCs w:val="18"/>
        </w:rPr>
      </w:pPr>
      <w:r>
        <w:rPr>
          <w:rStyle w:val="FootnoteReference"/>
        </w:rPr>
        <w:footnoteRef/>
      </w:r>
      <w:r>
        <w:t xml:space="preserve"> </w:t>
      </w:r>
      <w:r>
        <w:rPr>
          <w:sz w:val="18"/>
          <w:szCs w:val="18"/>
        </w:rPr>
        <w:t xml:space="preserve">United </w:t>
      </w:r>
      <w:r w:rsidRPr="00414C02">
        <w:rPr>
          <w:sz w:val="18"/>
          <w:szCs w:val="18"/>
        </w:rPr>
        <w:t>States Census Bureau (201</w:t>
      </w:r>
      <w:r>
        <w:rPr>
          <w:sz w:val="18"/>
          <w:szCs w:val="18"/>
        </w:rPr>
        <w:t xml:space="preserve">8), Industry Statistics Portal, </w:t>
      </w:r>
      <w:r w:rsidRPr="00414C02">
        <w:rPr>
          <w:sz w:val="18"/>
          <w:szCs w:val="18"/>
        </w:rPr>
        <w:t>https://www.census.gov/econ/isp/sampler.php?naicscode=441&amp;naicslevel=3.</w:t>
      </w:r>
    </w:p>
  </w:footnote>
  <w:footnote w:id="3">
    <w:p w14:paraId="11AB02FC" w14:textId="7E2CE00C" w:rsidR="00076256" w:rsidRPr="00586EF1" w:rsidRDefault="00076256">
      <w:pPr>
        <w:pStyle w:val="FootnoteText"/>
        <w:rPr>
          <w:i/>
        </w:rPr>
      </w:pPr>
      <w:r>
        <w:rPr>
          <w:rStyle w:val="FootnoteReference"/>
        </w:rPr>
        <w:footnoteRef/>
      </w:r>
      <w:r>
        <w:t xml:space="preserve"> </w:t>
      </w:r>
      <w:r w:rsidRPr="00586EF1">
        <w:rPr>
          <w:sz w:val="18"/>
          <w:szCs w:val="18"/>
        </w:rPr>
        <w:t xml:space="preserve">EPA 2011. </w:t>
      </w:r>
      <w:r w:rsidRPr="00586EF1">
        <w:rPr>
          <w:i/>
          <w:sz w:val="18"/>
          <w:szCs w:val="18"/>
        </w:rPr>
        <w:t>Information Collection Request Supporting Statement for Revisions to the RCRA Definition of Solid Waste (Proposed Rule)</w:t>
      </w:r>
    </w:p>
  </w:footnote>
  <w:footnote w:id="4">
    <w:p w14:paraId="5E94FF24" w14:textId="6BACAE35" w:rsidR="00076256" w:rsidRDefault="00076256">
      <w:pPr>
        <w:pStyle w:val="FootnoteText"/>
      </w:pPr>
      <w:r>
        <w:rPr>
          <w:rStyle w:val="FootnoteReference"/>
        </w:rPr>
        <w:footnoteRef/>
      </w:r>
      <w:r>
        <w:t xml:space="preserve"> </w:t>
      </w:r>
      <w:r w:rsidRPr="00F545CC">
        <w:rPr>
          <w:rFonts w:ascii="Trebuchet MS" w:hAnsi="Trebuchet MS"/>
          <w:sz w:val="14"/>
          <w:szCs w:val="14"/>
        </w:rPr>
        <w:t>Loaded labor rates are adjusted to include 2 percent general and administrative overhead, 16.6 percent fixed overhead, 5 percent insurance, and 10 percent profit (1 + 0.02 + 0.166 + 0.05 + 0.10 = 1.336) estimated using RACER cost estimating software 2005 defaults. General and administrative cost overhead can include expenses such as human resources, payroll, accounting, sales personnel, executive salaries, legal fees, office supplies, equipment, communications, administrative buildings, office space, travel, subscriptions, and other overhead items related to administrative activities that support operating labor</w:t>
      </w:r>
      <w:r>
        <w:rPr>
          <w:rFonts w:ascii="Trebuchet MS" w:hAnsi="Trebuchet MS"/>
          <w:sz w:val="14"/>
          <w:szCs w:val="14"/>
        </w:rPr>
        <w:t xml:space="preserve">. </w:t>
      </w:r>
      <w:r w:rsidRPr="00F545CC">
        <w:rPr>
          <w:rFonts w:ascii="Trebuchet MS" w:hAnsi="Trebuchet MS"/>
          <w:sz w:val="14"/>
          <w:szCs w:val="14"/>
        </w:rPr>
        <w:t>Fixed overhead can include a proportion of the cost of building services (e.g., medical, safety, recreation, general engineering, general plant maintenance, janitorial, and cafeteria), electricity, heating, interplant transportation, warehouses, shipping and receiving facilities, insurance, and other resources shared throughout the organization in support of operating labor.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D82736D"/>
    <w:multiLevelType w:val="hybridMultilevel"/>
    <w:tmpl w:val="65DE7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77791"/>
    <w:multiLevelType w:val="hybridMultilevel"/>
    <w:tmpl w:val="B7EEA4D8"/>
    <w:lvl w:ilvl="0" w:tplc="9F701C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AA1890"/>
    <w:multiLevelType w:val="hybridMultilevel"/>
    <w:tmpl w:val="0AA6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911B06"/>
    <w:multiLevelType w:val="hybridMultilevel"/>
    <w:tmpl w:val="48BA5F42"/>
    <w:lvl w:ilvl="0" w:tplc="0124FCA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0905C6"/>
    <w:multiLevelType w:val="hybridMultilevel"/>
    <w:tmpl w:val="52C84E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920BF4"/>
    <w:multiLevelType w:val="hybridMultilevel"/>
    <w:tmpl w:val="349A7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C401D2"/>
    <w:multiLevelType w:val="hybridMultilevel"/>
    <w:tmpl w:val="09EAB1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A126B79"/>
    <w:multiLevelType w:val="hybridMultilevel"/>
    <w:tmpl w:val="DDD84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8D1562"/>
    <w:multiLevelType w:val="hybridMultilevel"/>
    <w:tmpl w:val="6570DA16"/>
    <w:lvl w:ilvl="0" w:tplc="BB8C6DC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1B7C94"/>
    <w:multiLevelType w:val="hybridMultilevel"/>
    <w:tmpl w:val="889A15BC"/>
    <w:lvl w:ilvl="0" w:tplc="5D7E1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7276CE"/>
    <w:multiLevelType w:val="hybridMultilevel"/>
    <w:tmpl w:val="12468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33B4C2C"/>
    <w:multiLevelType w:val="hybridMultilevel"/>
    <w:tmpl w:val="D8086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42C7163"/>
    <w:multiLevelType w:val="hybridMultilevel"/>
    <w:tmpl w:val="5D46A156"/>
    <w:lvl w:ilvl="0" w:tplc="DCAE91DE">
      <w:start w:val="1"/>
      <w:numFmt w:val="bullet"/>
      <w:pStyle w:val="IEcBulletText"/>
      <w:lvlText w:val=""/>
      <w:lvlJc w:val="left"/>
      <w:pPr>
        <w:tabs>
          <w:tab w:val="num" w:pos="806"/>
        </w:tabs>
        <w:ind w:left="648" w:hanging="202"/>
      </w:pPr>
      <w:rPr>
        <w:rFonts w:ascii="Symbol" w:hAnsi="Symbol" w:hint="default"/>
        <w:position w:val="2"/>
        <w:sz w:val="16"/>
      </w:rPr>
    </w:lvl>
    <w:lvl w:ilvl="1" w:tplc="FFFFFFFF" w:tentative="1">
      <w:start w:val="1"/>
      <w:numFmt w:val="bullet"/>
      <w:lvlText w:val="o"/>
      <w:lvlJc w:val="left"/>
      <w:pPr>
        <w:tabs>
          <w:tab w:val="num" w:pos="1872"/>
        </w:tabs>
        <w:ind w:left="1872" w:hanging="360"/>
      </w:pPr>
      <w:rPr>
        <w:rFonts w:ascii="Courier New" w:hAnsi="Courier New" w:hint="default"/>
      </w:rPr>
    </w:lvl>
    <w:lvl w:ilvl="2" w:tplc="FFFFFFFF" w:tentative="1">
      <w:start w:val="1"/>
      <w:numFmt w:val="bullet"/>
      <w:lvlText w:val=""/>
      <w:lvlJc w:val="left"/>
      <w:pPr>
        <w:tabs>
          <w:tab w:val="num" w:pos="2592"/>
        </w:tabs>
        <w:ind w:left="2592" w:hanging="360"/>
      </w:pPr>
      <w:rPr>
        <w:rFonts w:ascii="Wingdings" w:hAnsi="Wingdings" w:hint="default"/>
      </w:rPr>
    </w:lvl>
    <w:lvl w:ilvl="3" w:tplc="FFFFFFFF" w:tentative="1">
      <w:start w:val="1"/>
      <w:numFmt w:val="bullet"/>
      <w:lvlText w:val=""/>
      <w:lvlJc w:val="left"/>
      <w:pPr>
        <w:tabs>
          <w:tab w:val="num" w:pos="3312"/>
        </w:tabs>
        <w:ind w:left="3312" w:hanging="360"/>
      </w:pPr>
      <w:rPr>
        <w:rFonts w:ascii="Symbol" w:hAnsi="Symbol" w:hint="default"/>
      </w:rPr>
    </w:lvl>
    <w:lvl w:ilvl="4" w:tplc="FFFFFFFF" w:tentative="1">
      <w:start w:val="1"/>
      <w:numFmt w:val="bullet"/>
      <w:lvlText w:val="o"/>
      <w:lvlJc w:val="left"/>
      <w:pPr>
        <w:tabs>
          <w:tab w:val="num" w:pos="4032"/>
        </w:tabs>
        <w:ind w:left="4032" w:hanging="360"/>
      </w:pPr>
      <w:rPr>
        <w:rFonts w:ascii="Courier New" w:hAnsi="Courier New" w:hint="default"/>
      </w:rPr>
    </w:lvl>
    <w:lvl w:ilvl="5" w:tplc="FFFFFFFF" w:tentative="1">
      <w:start w:val="1"/>
      <w:numFmt w:val="bullet"/>
      <w:lvlText w:val=""/>
      <w:lvlJc w:val="left"/>
      <w:pPr>
        <w:tabs>
          <w:tab w:val="num" w:pos="4752"/>
        </w:tabs>
        <w:ind w:left="4752" w:hanging="360"/>
      </w:pPr>
      <w:rPr>
        <w:rFonts w:ascii="Wingdings" w:hAnsi="Wingdings" w:hint="default"/>
      </w:rPr>
    </w:lvl>
    <w:lvl w:ilvl="6" w:tplc="FFFFFFFF" w:tentative="1">
      <w:start w:val="1"/>
      <w:numFmt w:val="bullet"/>
      <w:lvlText w:val=""/>
      <w:lvlJc w:val="left"/>
      <w:pPr>
        <w:tabs>
          <w:tab w:val="num" w:pos="5472"/>
        </w:tabs>
        <w:ind w:left="5472" w:hanging="360"/>
      </w:pPr>
      <w:rPr>
        <w:rFonts w:ascii="Symbol" w:hAnsi="Symbol" w:hint="default"/>
      </w:rPr>
    </w:lvl>
    <w:lvl w:ilvl="7" w:tplc="FFFFFFFF" w:tentative="1">
      <w:start w:val="1"/>
      <w:numFmt w:val="bullet"/>
      <w:lvlText w:val="o"/>
      <w:lvlJc w:val="left"/>
      <w:pPr>
        <w:tabs>
          <w:tab w:val="num" w:pos="6192"/>
        </w:tabs>
        <w:ind w:left="6192" w:hanging="360"/>
      </w:pPr>
      <w:rPr>
        <w:rFonts w:ascii="Courier New" w:hAnsi="Courier New" w:hint="default"/>
      </w:rPr>
    </w:lvl>
    <w:lvl w:ilvl="8" w:tplc="FFFFFFFF" w:tentative="1">
      <w:start w:val="1"/>
      <w:numFmt w:val="bullet"/>
      <w:lvlText w:val=""/>
      <w:lvlJc w:val="left"/>
      <w:pPr>
        <w:tabs>
          <w:tab w:val="num" w:pos="6912"/>
        </w:tabs>
        <w:ind w:left="6912" w:hanging="360"/>
      </w:pPr>
      <w:rPr>
        <w:rFonts w:ascii="Wingdings" w:hAnsi="Wingdings" w:hint="default"/>
      </w:rPr>
    </w:lvl>
  </w:abstractNum>
  <w:abstractNum w:abstractNumId="14">
    <w:nsid w:val="252C351D"/>
    <w:multiLevelType w:val="hybridMultilevel"/>
    <w:tmpl w:val="6570DA16"/>
    <w:lvl w:ilvl="0" w:tplc="BB8C6DC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4B431B"/>
    <w:multiLevelType w:val="hybridMultilevel"/>
    <w:tmpl w:val="4394E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ED5131"/>
    <w:multiLevelType w:val="hybridMultilevel"/>
    <w:tmpl w:val="0D6C69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A373BE1"/>
    <w:multiLevelType w:val="hybridMultilevel"/>
    <w:tmpl w:val="DCB0CBF6"/>
    <w:lvl w:ilvl="0" w:tplc="04090001">
      <w:start w:val="1"/>
      <w:numFmt w:val="bullet"/>
      <w:lvlText w:val=""/>
      <w:lvlJc w:val="left"/>
      <w:pPr>
        <w:ind w:left="1080" w:hanging="360"/>
      </w:pPr>
      <w:rPr>
        <w:rFonts w:ascii="Symbol" w:hAnsi="Symbol"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C057D46"/>
    <w:multiLevelType w:val="hybridMultilevel"/>
    <w:tmpl w:val="8146E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D47366E"/>
    <w:multiLevelType w:val="hybridMultilevel"/>
    <w:tmpl w:val="9982A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04A4D43"/>
    <w:multiLevelType w:val="singleLevel"/>
    <w:tmpl w:val="00000000"/>
    <w:lvl w:ilvl="0">
      <w:start w:val="3"/>
      <w:numFmt w:val="decimal"/>
      <w:lvlText w:val="%1."/>
      <w:legacy w:legacy="1" w:legacySpace="0" w:legacyIndent="360"/>
      <w:lvlJc w:val="left"/>
      <w:pPr>
        <w:ind w:left="360" w:hanging="360"/>
      </w:pPr>
    </w:lvl>
  </w:abstractNum>
  <w:abstractNum w:abstractNumId="21">
    <w:nsid w:val="33395CF0"/>
    <w:multiLevelType w:val="hybridMultilevel"/>
    <w:tmpl w:val="D540A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471E79"/>
    <w:multiLevelType w:val="hybridMultilevel"/>
    <w:tmpl w:val="6570DA16"/>
    <w:lvl w:ilvl="0" w:tplc="BB8C6DC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94041A"/>
    <w:multiLevelType w:val="hybridMultilevel"/>
    <w:tmpl w:val="1242A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DF92C21"/>
    <w:multiLevelType w:val="hybridMultilevel"/>
    <w:tmpl w:val="1B7E3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641B3C"/>
    <w:multiLevelType w:val="hybridMultilevel"/>
    <w:tmpl w:val="23DE4BCA"/>
    <w:lvl w:ilvl="0" w:tplc="661CE178">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3B65A30"/>
    <w:multiLevelType w:val="hybridMultilevel"/>
    <w:tmpl w:val="386603E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7">
    <w:nsid w:val="45E10AA4"/>
    <w:multiLevelType w:val="hybridMultilevel"/>
    <w:tmpl w:val="EA44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225171"/>
    <w:multiLevelType w:val="hybridMultilevel"/>
    <w:tmpl w:val="EC4E0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BE363A"/>
    <w:multiLevelType w:val="hybridMultilevel"/>
    <w:tmpl w:val="EC4E0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263AA1"/>
    <w:multiLevelType w:val="hybridMultilevel"/>
    <w:tmpl w:val="13203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AC3EED"/>
    <w:multiLevelType w:val="hybridMultilevel"/>
    <w:tmpl w:val="D540A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620A7E"/>
    <w:multiLevelType w:val="hybridMultilevel"/>
    <w:tmpl w:val="7A5EF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747601C"/>
    <w:multiLevelType w:val="hybridMultilevel"/>
    <w:tmpl w:val="48BA5F42"/>
    <w:lvl w:ilvl="0" w:tplc="0124FCA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C263F37"/>
    <w:multiLevelType w:val="hybridMultilevel"/>
    <w:tmpl w:val="B76E9F1E"/>
    <w:lvl w:ilvl="0" w:tplc="661CE178">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E840787"/>
    <w:multiLevelType w:val="hybridMultilevel"/>
    <w:tmpl w:val="12E2C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F974FCF"/>
    <w:multiLevelType w:val="hybridMultilevel"/>
    <w:tmpl w:val="183E5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715699"/>
    <w:multiLevelType w:val="hybridMultilevel"/>
    <w:tmpl w:val="EFBA4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B24060"/>
    <w:multiLevelType w:val="hybridMultilevel"/>
    <w:tmpl w:val="EE32908C"/>
    <w:lvl w:ilvl="0" w:tplc="BFACD368">
      <w:start w:val="1"/>
      <w:numFmt w:val="decimal"/>
      <w:lvlText w:val="%1."/>
      <w:lvlJc w:val="left"/>
      <w:pPr>
        <w:ind w:left="720" w:hanging="36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AF277A"/>
    <w:multiLevelType w:val="hybridMultilevel"/>
    <w:tmpl w:val="F0C204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01160C"/>
    <w:multiLevelType w:val="hybridMultilevel"/>
    <w:tmpl w:val="6570DA16"/>
    <w:lvl w:ilvl="0" w:tplc="BB8C6DC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9B2BF6"/>
    <w:multiLevelType w:val="hybridMultilevel"/>
    <w:tmpl w:val="8C2AB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D0B700C"/>
    <w:multiLevelType w:val="hybridMultilevel"/>
    <w:tmpl w:val="026C2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6F40C2"/>
    <w:multiLevelType w:val="hybridMultilevel"/>
    <w:tmpl w:val="27B00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lvlOverride w:ilvl="0">
      <w:lvl w:ilvl="0">
        <w:start w:val="1"/>
        <w:numFmt w:val="bullet"/>
        <w:lvlText w:val=""/>
        <w:legacy w:legacy="1" w:legacySpace="0" w:legacyIndent="360"/>
        <w:lvlJc w:val="left"/>
        <w:pPr>
          <w:ind w:left="1080" w:hanging="360"/>
        </w:pPr>
        <w:rPr>
          <w:rFonts w:ascii="Arial" w:hAnsi="Arial" w:hint="default"/>
        </w:rPr>
      </w:lvl>
    </w:lvlOverride>
  </w:num>
  <w:num w:numId="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4">
    <w:abstractNumId w:val="42"/>
  </w:num>
  <w:num w:numId="5">
    <w:abstractNumId w:val="2"/>
  </w:num>
  <w:num w:numId="6">
    <w:abstractNumId w:val="16"/>
  </w:num>
  <w:num w:numId="7">
    <w:abstractNumId w:val="37"/>
  </w:num>
  <w:num w:numId="8">
    <w:abstractNumId w:val="35"/>
  </w:num>
  <w:num w:numId="9">
    <w:abstractNumId w:val="33"/>
  </w:num>
  <w:num w:numId="10">
    <w:abstractNumId w:val="4"/>
  </w:num>
  <w:num w:numId="11">
    <w:abstractNumId w:val="25"/>
  </w:num>
  <w:num w:numId="12">
    <w:abstractNumId w:val="17"/>
  </w:num>
  <w:num w:numId="13">
    <w:abstractNumId w:val="34"/>
  </w:num>
  <w:num w:numId="14">
    <w:abstractNumId w:val="23"/>
  </w:num>
  <w:num w:numId="15">
    <w:abstractNumId w:val="7"/>
  </w:num>
  <w:num w:numId="16">
    <w:abstractNumId w:val="36"/>
  </w:num>
  <w:num w:numId="17">
    <w:abstractNumId w:val="28"/>
  </w:num>
  <w:num w:numId="18">
    <w:abstractNumId w:val="9"/>
  </w:num>
  <w:num w:numId="19">
    <w:abstractNumId w:val="43"/>
  </w:num>
  <w:num w:numId="20">
    <w:abstractNumId w:val="1"/>
  </w:num>
  <w:num w:numId="21">
    <w:abstractNumId w:val="39"/>
  </w:num>
  <w:num w:numId="22">
    <w:abstractNumId w:val="40"/>
  </w:num>
  <w:num w:numId="23">
    <w:abstractNumId w:val="14"/>
  </w:num>
  <w:num w:numId="24">
    <w:abstractNumId w:val="22"/>
  </w:num>
  <w:num w:numId="25">
    <w:abstractNumId w:val="26"/>
  </w:num>
  <w:num w:numId="26">
    <w:abstractNumId w:val="31"/>
  </w:num>
  <w:num w:numId="27">
    <w:abstractNumId w:val="21"/>
  </w:num>
  <w:num w:numId="28">
    <w:abstractNumId w:val="29"/>
  </w:num>
  <w:num w:numId="29">
    <w:abstractNumId w:val="38"/>
  </w:num>
  <w:num w:numId="30">
    <w:abstractNumId w:val="8"/>
  </w:num>
  <w:num w:numId="31">
    <w:abstractNumId w:val="19"/>
  </w:num>
  <w:num w:numId="32">
    <w:abstractNumId w:val="10"/>
  </w:num>
  <w:num w:numId="33">
    <w:abstractNumId w:val="30"/>
  </w:num>
  <w:num w:numId="34">
    <w:abstractNumId w:val="12"/>
  </w:num>
  <w:num w:numId="35">
    <w:abstractNumId w:val="41"/>
  </w:num>
  <w:num w:numId="36">
    <w:abstractNumId w:val="18"/>
  </w:num>
  <w:num w:numId="37">
    <w:abstractNumId w:val="32"/>
  </w:num>
  <w:num w:numId="38">
    <w:abstractNumId w:val="11"/>
  </w:num>
  <w:num w:numId="39">
    <w:abstractNumId w:val="5"/>
  </w:num>
  <w:num w:numId="40">
    <w:abstractNumId w:val="15"/>
  </w:num>
  <w:num w:numId="41">
    <w:abstractNumId w:val="24"/>
  </w:num>
  <w:num w:numId="42">
    <w:abstractNumId w:val="3"/>
  </w:num>
  <w:num w:numId="43">
    <w:abstractNumId w:val="27"/>
  </w:num>
  <w:num w:numId="44">
    <w:abstractNumId w:val="6"/>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1DF"/>
    <w:rsid w:val="000015A5"/>
    <w:rsid w:val="00003FB0"/>
    <w:rsid w:val="000048CC"/>
    <w:rsid w:val="000076FA"/>
    <w:rsid w:val="00011413"/>
    <w:rsid w:val="00021FA6"/>
    <w:rsid w:val="00035828"/>
    <w:rsid w:val="00035C85"/>
    <w:rsid w:val="000405F9"/>
    <w:rsid w:val="00043A1B"/>
    <w:rsid w:val="000538FF"/>
    <w:rsid w:val="00054079"/>
    <w:rsid w:val="00054762"/>
    <w:rsid w:val="00066BA6"/>
    <w:rsid w:val="00067FE8"/>
    <w:rsid w:val="00076256"/>
    <w:rsid w:val="00076A22"/>
    <w:rsid w:val="000806A7"/>
    <w:rsid w:val="0008508A"/>
    <w:rsid w:val="00085F6A"/>
    <w:rsid w:val="000A1BAC"/>
    <w:rsid w:val="000A1D78"/>
    <w:rsid w:val="000A2F2F"/>
    <w:rsid w:val="000A4262"/>
    <w:rsid w:val="000A43E6"/>
    <w:rsid w:val="000B1DF5"/>
    <w:rsid w:val="000C1FA6"/>
    <w:rsid w:val="000C45A2"/>
    <w:rsid w:val="000C6B59"/>
    <w:rsid w:val="000E20AF"/>
    <w:rsid w:val="000E269B"/>
    <w:rsid w:val="000E4866"/>
    <w:rsid w:val="000E73E6"/>
    <w:rsid w:val="000F132A"/>
    <w:rsid w:val="000F142A"/>
    <w:rsid w:val="000F1B98"/>
    <w:rsid w:val="000F5826"/>
    <w:rsid w:val="000F71EA"/>
    <w:rsid w:val="001005B5"/>
    <w:rsid w:val="00105504"/>
    <w:rsid w:val="00105B31"/>
    <w:rsid w:val="001062C8"/>
    <w:rsid w:val="001113DC"/>
    <w:rsid w:val="00114E8C"/>
    <w:rsid w:val="001222ED"/>
    <w:rsid w:val="00125561"/>
    <w:rsid w:val="00125631"/>
    <w:rsid w:val="00126621"/>
    <w:rsid w:val="00127EE6"/>
    <w:rsid w:val="00132DFA"/>
    <w:rsid w:val="00134D4F"/>
    <w:rsid w:val="001356C9"/>
    <w:rsid w:val="00143786"/>
    <w:rsid w:val="00143C2A"/>
    <w:rsid w:val="0014780D"/>
    <w:rsid w:val="0015211E"/>
    <w:rsid w:val="00166021"/>
    <w:rsid w:val="00166B94"/>
    <w:rsid w:val="00167B69"/>
    <w:rsid w:val="001712B2"/>
    <w:rsid w:val="001811B9"/>
    <w:rsid w:val="001811FE"/>
    <w:rsid w:val="00191B26"/>
    <w:rsid w:val="00196698"/>
    <w:rsid w:val="001A05DA"/>
    <w:rsid w:val="001A2AAE"/>
    <w:rsid w:val="001A4AE2"/>
    <w:rsid w:val="001A502D"/>
    <w:rsid w:val="001A596E"/>
    <w:rsid w:val="001B2C82"/>
    <w:rsid w:val="001C54A7"/>
    <w:rsid w:val="001E60EF"/>
    <w:rsid w:val="001E71CA"/>
    <w:rsid w:val="00207090"/>
    <w:rsid w:val="00210FB4"/>
    <w:rsid w:val="00225662"/>
    <w:rsid w:val="00232824"/>
    <w:rsid w:val="0023358B"/>
    <w:rsid w:val="002345DE"/>
    <w:rsid w:val="00240949"/>
    <w:rsid w:val="002415E5"/>
    <w:rsid w:val="00242636"/>
    <w:rsid w:val="0024408D"/>
    <w:rsid w:val="002669BF"/>
    <w:rsid w:val="00266A6B"/>
    <w:rsid w:val="002912B7"/>
    <w:rsid w:val="00293EB3"/>
    <w:rsid w:val="002A2CAF"/>
    <w:rsid w:val="002A31C4"/>
    <w:rsid w:val="002A5B1C"/>
    <w:rsid w:val="002B3263"/>
    <w:rsid w:val="002C5347"/>
    <w:rsid w:val="002D2728"/>
    <w:rsid w:val="002D3E14"/>
    <w:rsid w:val="002E14DF"/>
    <w:rsid w:val="002E1A29"/>
    <w:rsid w:val="002E1F06"/>
    <w:rsid w:val="002F2A05"/>
    <w:rsid w:val="00300E01"/>
    <w:rsid w:val="0030474D"/>
    <w:rsid w:val="00306D89"/>
    <w:rsid w:val="0032593C"/>
    <w:rsid w:val="0033116A"/>
    <w:rsid w:val="00331F60"/>
    <w:rsid w:val="003438CE"/>
    <w:rsid w:val="00343FC7"/>
    <w:rsid w:val="00344FFC"/>
    <w:rsid w:val="0034527E"/>
    <w:rsid w:val="003474B3"/>
    <w:rsid w:val="00351871"/>
    <w:rsid w:val="0036173B"/>
    <w:rsid w:val="00374605"/>
    <w:rsid w:val="00393AC8"/>
    <w:rsid w:val="003A0748"/>
    <w:rsid w:val="003A2A92"/>
    <w:rsid w:val="003A34A6"/>
    <w:rsid w:val="003A6A2F"/>
    <w:rsid w:val="003A6C67"/>
    <w:rsid w:val="003C314D"/>
    <w:rsid w:val="003C3611"/>
    <w:rsid w:val="003C6570"/>
    <w:rsid w:val="003E2525"/>
    <w:rsid w:val="003E6A51"/>
    <w:rsid w:val="003F117A"/>
    <w:rsid w:val="003F48D6"/>
    <w:rsid w:val="004021D5"/>
    <w:rsid w:val="004037A8"/>
    <w:rsid w:val="00403A59"/>
    <w:rsid w:val="004071B8"/>
    <w:rsid w:val="004078AF"/>
    <w:rsid w:val="00410C20"/>
    <w:rsid w:val="00410D3E"/>
    <w:rsid w:val="00412811"/>
    <w:rsid w:val="00412AB6"/>
    <w:rsid w:val="004130A7"/>
    <w:rsid w:val="00414C02"/>
    <w:rsid w:val="00416471"/>
    <w:rsid w:val="00420818"/>
    <w:rsid w:val="00422D55"/>
    <w:rsid w:val="00423167"/>
    <w:rsid w:val="00432E2A"/>
    <w:rsid w:val="00437401"/>
    <w:rsid w:val="00442236"/>
    <w:rsid w:val="00464FA5"/>
    <w:rsid w:val="00466C5B"/>
    <w:rsid w:val="00467519"/>
    <w:rsid w:val="00470C46"/>
    <w:rsid w:val="00473730"/>
    <w:rsid w:val="00474385"/>
    <w:rsid w:val="004754C6"/>
    <w:rsid w:val="004829B2"/>
    <w:rsid w:val="004859AB"/>
    <w:rsid w:val="004A09A0"/>
    <w:rsid w:val="004A7651"/>
    <w:rsid w:val="004B0EFB"/>
    <w:rsid w:val="004B1B05"/>
    <w:rsid w:val="004B4FE6"/>
    <w:rsid w:val="004C07A4"/>
    <w:rsid w:val="004C436D"/>
    <w:rsid w:val="004C61EE"/>
    <w:rsid w:val="004D1987"/>
    <w:rsid w:val="004D3D2B"/>
    <w:rsid w:val="004E0F53"/>
    <w:rsid w:val="004E2C76"/>
    <w:rsid w:val="004E61E1"/>
    <w:rsid w:val="004F005B"/>
    <w:rsid w:val="004F025E"/>
    <w:rsid w:val="004F06F0"/>
    <w:rsid w:val="004F193F"/>
    <w:rsid w:val="004F2906"/>
    <w:rsid w:val="00503B65"/>
    <w:rsid w:val="0050405E"/>
    <w:rsid w:val="005054FB"/>
    <w:rsid w:val="0051153B"/>
    <w:rsid w:val="00512714"/>
    <w:rsid w:val="00523FFE"/>
    <w:rsid w:val="005277C4"/>
    <w:rsid w:val="00531FB0"/>
    <w:rsid w:val="00541ADC"/>
    <w:rsid w:val="00542E06"/>
    <w:rsid w:val="005478BE"/>
    <w:rsid w:val="00550AEF"/>
    <w:rsid w:val="00552C34"/>
    <w:rsid w:val="00555CFF"/>
    <w:rsid w:val="00565585"/>
    <w:rsid w:val="00566D3E"/>
    <w:rsid w:val="005834B3"/>
    <w:rsid w:val="0058603C"/>
    <w:rsid w:val="00586EF1"/>
    <w:rsid w:val="00593711"/>
    <w:rsid w:val="005B0B97"/>
    <w:rsid w:val="005B1A92"/>
    <w:rsid w:val="005B2FAA"/>
    <w:rsid w:val="005B3845"/>
    <w:rsid w:val="005B3BD2"/>
    <w:rsid w:val="005C61B3"/>
    <w:rsid w:val="005C7C80"/>
    <w:rsid w:val="005D2FC0"/>
    <w:rsid w:val="005E59BA"/>
    <w:rsid w:val="005E61CA"/>
    <w:rsid w:val="005F2D23"/>
    <w:rsid w:val="005F6C2E"/>
    <w:rsid w:val="00601E2A"/>
    <w:rsid w:val="00603F1A"/>
    <w:rsid w:val="00606259"/>
    <w:rsid w:val="00613D9F"/>
    <w:rsid w:val="00613DB9"/>
    <w:rsid w:val="00614E5C"/>
    <w:rsid w:val="00615835"/>
    <w:rsid w:val="00617A89"/>
    <w:rsid w:val="006203C5"/>
    <w:rsid w:val="006256CA"/>
    <w:rsid w:val="00625742"/>
    <w:rsid w:val="006304BC"/>
    <w:rsid w:val="00632228"/>
    <w:rsid w:val="0063247A"/>
    <w:rsid w:val="0063605B"/>
    <w:rsid w:val="00640F8D"/>
    <w:rsid w:val="0064226C"/>
    <w:rsid w:val="00643898"/>
    <w:rsid w:val="00651A7B"/>
    <w:rsid w:val="006562D8"/>
    <w:rsid w:val="0065644A"/>
    <w:rsid w:val="00661E6F"/>
    <w:rsid w:val="006620DC"/>
    <w:rsid w:val="00662A34"/>
    <w:rsid w:val="00664CCF"/>
    <w:rsid w:val="0066566E"/>
    <w:rsid w:val="00666BE1"/>
    <w:rsid w:val="00666FE4"/>
    <w:rsid w:val="00667DA4"/>
    <w:rsid w:val="00670FFE"/>
    <w:rsid w:val="006735A5"/>
    <w:rsid w:val="00674230"/>
    <w:rsid w:val="00683AFE"/>
    <w:rsid w:val="00685523"/>
    <w:rsid w:val="00686C71"/>
    <w:rsid w:val="0068738F"/>
    <w:rsid w:val="00692490"/>
    <w:rsid w:val="00693F41"/>
    <w:rsid w:val="006A2564"/>
    <w:rsid w:val="006A2B1B"/>
    <w:rsid w:val="006B5DCD"/>
    <w:rsid w:val="006B662F"/>
    <w:rsid w:val="006D0EAD"/>
    <w:rsid w:val="006D1B8A"/>
    <w:rsid w:val="006D3C5E"/>
    <w:rsid w:val="006D46FE"/>
    <w:rsid w:val="006D7E9E"/>
    <w:rsid w:val="006E492A"/>
    <w:rsid w:val="006F0173"/>
    <w:rsid w:val="006F0181"/>
    <w:rsid w:val="00702BEB"/>
    <w:rsid w:val="0070551B"/>
    <w:rsid w:val="00713D48"/>
    <w:rsid w:val="00715427"/>
    <w:rsid w:val="007164D2"/>
    <w:rsid w:val="00721ACD"/>
    <w:rsid w:val="0072270C"/>
    <w:rsid w:val="00724DA0"/>
    <w:rsid w:val="00726C01"/>
    <w:rsid w:val="00736788"/>
    <w:rsid w:val="00737D52"/>
    <w:rsid w:val="00743D1D"/>
    <w:rsid w:val="0075655F"/>
    <w:rsid w:val="00771435"/>
    <w:rsid w:val="00771EEB"/>
    <w:rsid w:val="0077591C"/>
    <w:rsid w:val="00775D05"/>
    <w:rsid w:val="00777B48"/>
    <w:rsid w:val="0078639C"/>
    <w:rsid w:val="007A1FFD"/>
    <w:rsid w:val="007A6491"/>
    <w:rsid w:val="007B387D"/>
    <w:rsid w:val="007C10E7"/>
    <w:rsid w:val="007D186D"/>
    <w:rsid w:val="007D2AE7"/>
    <w:rsid w:val="007D5524"/>
    <w:rsid w:val="007F4096"/>
    <w:rsid w:val="007F5E24"/>
    <w:rsid w:val="007F6F55"/>
    <w:rsid w:val="008022A8"/>
    <w:rsid w:val="00804633"/>
    <w:rsid w:val="00823A25"/>
    <w:rsid w:val="00826995"/>
    <w:rsid w:val="00826E13"/>
    <w:rsid w:val="00833B12"/>
    <w:rsid w:val="00835407"/>
    <w:rsid w:val="00835443"/>
    <w:rsid w:val="00845333"/>
    <w:rsid w:val="00862D8F"/>
    <w:rsid w:val="00864858"/>
    <w:rsid w:val="00867222"/>
    <w:rsid w:val="008730A1"/>
    <w:rsid w:val="00873647"/>
    <w:rsid w:val="00873BFD"/>
    <w:rsid w:val="0088194E"/>
    <w:rsid w:val="00882DF3"/>
    <w:rsid w:val="008919F3"/>
    <w:rsid w:val="008A0B0F"/>
    <w:rsid w:val="008A3AD4"/>
    <w:rsid w:val="008B0A5E"/>
    <w:rsid w:val="008B0BB5"/>
    <w:rsid w:val="008B1235"/>
    <w:rsid w:val="008B267E"/>
    <w:rsid w:val="008B486D"/>
    <w:rsid w:val="008C5256"/>
    <w:rsid w:val="008D499E"/>
    <w:rsid w:val="008E022D"/>
    <w:rsid w:val="008E7265"/>
    <w:rsid w:val="008F6401"/>
    <w:rsid w:val="008F78D3"/>
    <w:rsid w:val="00913675"/>
    <w:rsid w:val="009166A6"/>
    <w:rsid w:val="009248ED"/>
    <w:rsid w:val="00925DE2"/>
    <w:rsid w:val="00926605"/>
    <w:rsid w:val="00926CA1"/>
    <w:rsid w:val="0092743A"/>
    <w:rsid w:val="00931542"/>
    <w:rsid w:val="009317B2"/>
    <w:rsid w:val="00932702"/>
    <w:rsid w:val="00941EC9"/>
    <w:rsid w:val="009421CB"/>
    <w:rsid w:val="00942604"/>
    <w:rsid w:val="009503F6"/>
    <w:rsid w:val="00953BF4"/>
    <w:rsid w:val="009636D7"/>
    <w:rsid w:val="00964161"/>
    <w:rsid w:val="00966178"/>
    <w:rsid w:val="0097427A"/>
    <w:rsid w:val="00976207"/>
    <w:rsid w:val="00981A94"/>
    <w:rsid w:val="00983D15"/>
    <w:rsid w:val="00987F9F"/>
    <w:rsid w:val="00997912"/>
    <w:rsid w:val="009A204A"/>
    <w:rsid w:val="009A3487"/>
    <w:rsid w:val="009A3996"/>
    <w:rsid w:val="009A545E"/>
    <w:rsid w:val="009A61F8"/>
    <w:rsid w:val="009C06C5"/>
    <w:rsid w:val="009C1594"/>
    <w:rsid w:val="009C3A36"/>
    <w:rsid w:val="009D2291"/>
    <w:rsid w:val="009D5C54"/>
    <w:rsid w:val="009E3FD1"/>
    <w:rsid w:val="009E4235"/>
    <w:rsid w:val="009F072E"/>
    <w:rsid w:val="009F1856"/>
    <w:rsid w:val="009F6354"/>
    <w:rsid w:val="00A11043"/>
    <w:rsid w:val="00A20E2C"/>
    <w:rsid w:val="00A239BB"/>
    <w:rsid w:val="00A23F32"/>
    <w:rsid w:val="00A30A14"/>
    <w:rsid w:val="00A3154B"/>
    <w:rsid w:val="00A34673"/>
    <w:rsid w:val="00A4266B"/>
    <w:rsid w:val="00A45DC0"/>
    <w:rsid w:val="00A514FD"/>
    <w:rsid w:val="00A54F83"/>
    <w:rsid w:val="00A5645F"/>
    <w:rsid w:val="00A62085"/>
    <w:rsid w:val="00A67DB4"/>
    <w:rsid w:val="00A718D9"/>
    <w:rsid w:val="00A84C8B"/>
    <w:rsid w:val="00A86426"/>
    <w:rsid w:val="00A91403"/>
    <w:rsid w:val="00A95DF6"/>
    <w:rsid w:val="00AA25FC"/>
    <w:rsid w:val="00AA3294"/>
    <w:rsid w:val="00AA5DF6"/>
    <w:rsid w:val="00AB20D8"/>
    <w:rsid w:val="00AB29EE"/>
    <w:rsid w:val="00AB6A38"/>
    <w:rsid w:val="00AC4DBB"/>
    <w:rsid w:val="00AC4F2A"/>
    <w:rsid w:val="00AD498F"/>
    <w:rsid w:val="00AD58EC"/>
    <w:rsid w:val="00AD75ED"/>
    <w:rsid w:val="00AE16F1"/>
    <w:rsid w:val="00AE6464"/>
    <w:rsid w:val="00AF3D06"/>
    <w:rsid w:val="00AF439A"/>
    <w:rsid w:val="00AF61FD"/>
    <w:rsid w:val="00AF7D11"/>
    <w:rsid w:val="00B007D8"/>
    <w:rsid w:val="00B05DF1"/>
    <w:rsid w:val="00B07735"/>
    <w:rsid w:val="00B14F6E"/>
    <w:rsid w:val="00B21ADD"/>
    <w:rsid w:val="00B220B2"/>
    <w:rsid w:val="00B32FA3"/>
    <w:rsid w:val="00B41335"/>
    <w:rsid w:val="00B41CAC"/>
    <w:rsid w:val="00B44771"/>
    <w:rsid w:val="00B52A29"/>
    <w:rsid w:val="00B55BF0"/>
    <w:rsid w:val="00B57A66"/>
    <w:rsid w:val="00B626C3"/>
    <w:rsid w:val="00B63DB5"/>
    <w:rsid w:val="00B675D3"/>
    <w:rsid w:val="00B71711"/>
    <w:rsid w:val="00B7206C"/>
    <w:rsid w:val="00B72329"/>
    <w:rsid w:val="00B8335D"/>
    <w:rsid w:val="00B91246"/>
    <w:rsid w:val="00B93E6B"/>
    <w:rsid w:val="00B958E4"/>
    <w:rsid w:val="00B95A3D"/>
    <w:rsid w:val="00BB15EE"/>
    <w:rsid w:val="00BB4990"/>
    <w:rsid w:val="00BB5481"/>
    <w:rsid w:val="00BC03B5"/>
    <w:rsid w:val="00BC24C2"/>
    <w:rsid w:val="00BC58A3"/>
    <w:rsid w:val="00BD22DC"/>
    <w:rsid w:val="00BD34BE"/>
    <w:rsid w:val="00BE0854"/>
    <w:rsid w:val="00BE2DFE"/>
    <w:rsid w:val="00BF14C9"/>
    <w:rsid w:val="00BF181C"/>
    <w:rsid w:val="00BF33EC"/>
    <w:rsid w:val="00C06044"/>
    <w:rsid w:val="00C221C2"/>
    <w:rsid w:val="00C238E2"/>
    <w:rsid w:val="00C27BC7"/>
    <w:rsid w:val="00C3096E"/>
    <w:rsid w:val="00C337B5"/>
    <w:rsid w:val="00C41387"/>
    <w:rsid w:val="00C450FE"/>
    <w:rsid w:val="00C458C1"/>
    <w:rsid w:val="00C5096C"/>
    <w:rsid w:val="00C509F7"/>
    <w:rsid w:val="00C5369D"/>
    <w:rsid w:val="00C54D05"/>
    <w:rsid w:val="00C5503A"/>
    <w:rsid w:val="00C62AAF"/>
    <w:rsid w:val="00C661AC"/>
    <w:rsid w:val="00C77FCE"/>
    <w:rsid w:val="00C82EC6"/>
    <w:rsid w:val="00C83495"/>
    <w:rsid w:val="00C866F6"/>
    <w:rsid w:val="00C91CA2"/>
    <w:rsid w:val="00C93DA5"/>
    <w:rsid w:val="00C94474"/>
    <w:rsid w:val="00CA3B1F"/>
    <w:rsid w:val="00CB06EA"/>
    <w:rsid w:val="00CC44EB"/>
    <w:rsid w:val="00CC7C21"/>
    <w:rsid w:val="00CD5B08"/>
    <w:rsid w:val="00CF02B6"/>
    <w:rsid w:val="00CF11DF"/>
    <w:rsid w:val="00CF589B"/>
    <w:rsid w:val="00D005DF"/>
    <w:rsid w:val="00D01410"/>
    <w:rsid w:val="00D03B3D"/>
    <w:rsid w:val="00D11F4A"/>
    <w:rsid w:val="00D14681"/>
    <w:rsid w:val="00D147C5"/>
    <w:rsid w:val="00D30E9D"/>
    <w:rsid w:val="00D32115"/>
    <w:rsid w:val="00D32B8B"/>
    <w:rsid w:val="00D36C73"/>
    <w:rsid w:val="00D4400D"/>
    <w:rsid w:val="00D5205D"/>
    <w:rsid w:val="00D6082A"/>
    <w:rsid w:val="00D608A2"/>
    <w:rsid w:val="00D67328"/>
    <w:rsid w:val="00D75A2A"/>
    <w:rsid w:val="00D81393"/>
    <w:rsid w:val="00D87BB8"/>
    <w:rsid w:val="00DA63BF"/>
    <w:rsid w:val="00DB44B7"/>
    <w:rsid w:val="00DE23F9"/>
    <w:rsid w:val="00DE5871"/>
    <w:rsid w:val="00E05801"/>
    <w:rsid w:val="00E0708D"/>
    <w:rsid w:val="00E3172F"/>
    <w:rsid w:val="00E337DC"/>
    <w:rsid w:val="00E34E9C"/>
    <w:rsid w:val="00E3596E"/>
    <w:rsid w:val="00E414BC"/>
    <w:rsid w:val="00E44D99"/>
    <w:rsid w:val="00E45564"/>
    <w:rsid w:val="00E547A4"/>
    <w:rsid w:val="00E55890"/>
    <w:rsid w:val="00E701E0"/>
    <w:rsid w:val="00E71D6E"/>
    <w:rsid w:val="00E72351"/>
    <w:rsid w:val="00E7655B"/>
    <w:rsid w:val="00E94F8F"/>
    <w:rsid w:val="00E953A9"/>
    <w:rsid w:val="00EA48DD"/>
    <w:rsid w:val="00EA6946"/>
    <w:rsid w:val="00EA792F"/>
    <w:rsid w:val="00EC52FB"/>
    <w:rsid w:val="00EC565D"/>
    <w:rsid w:val="00ED29BA"/>
    <w:rsid w:val="00ED37B7"/>
    <w:rsid w:val="00EE47E0"/>
    <w:rsid w:val="00EE69B7"/>
    <w:rsid w:val="00EF00AA"/>
    <w:rsid w:val="00EF1070"/>
    <w:rsid w:val="00EF422C"/>
    <w:rsid w:val="00EF61CA"/>
    <w:rsid w:val="00EF70DB"/>
    <w:rsid w:val="00EF7444"/>
    <w:rsid w:val="00F04421"/>
    <w:rsid w:val="00F060B9"/>
    <w:rsid w:val="00F1189D"/>
    <w:rsid w:val="00F15F23"/>
    <w:rsid w:val="00F16BC8"/>
    <w:rsid w:val="00F33FA1"/>
    <w:rsid w:val="00F41479"/>
    <w:rsid w:val="00F42C2D"/>
    <w:rsid w:val="00F43B5C"/>
    <w:rsid w:val="00F449E7"/>
    <w:rsid w:val="00F54938"/>
    <w:rsid w:val="00F622FC"/>
    <w:rsid w:val="00F76ABE"/>
    <w:rsid w:val="00F80268"/>
    <w:rsid w:val="00F858BC"/>
    <w:rsid w:val="00F9572B"/>
    <w:rsid w:val="00F96CAD"/>
    <w:rsid w:val="00FA23DA"/>
    <w:rsid w:val="00FA4B82"/>
    <w:rsid w:val="00FA614A"/>
    <w:rsid w:val="00FB04D1"/>
    <w:rsid w:val="00FB08D1"/>
    <w:rsid w:val="00FB3348"/>
    <w:rsid w:val="00FC12B0"/>
    <w:rsid w:val="00FC274C"/>
    <w:rsid w:val="00FC27F5"/>
    <w:rsid w:val="00FC3267"/>
    <w:rsid w:val="00FC3AA1"/>
    <w:rsid w:val="00FD2D9B"/>
    <w:rsid w:val="00FE372F"/>
    <w:rsid w:val="00FF3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D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92A"/>
    <w:rPr>
      <w:sz w:val="24"/>
      <w:szCs w:val="24"/>
    </w:rPr>
  </w:style>
  <w:style w:type="paragraph" w:styleId="Heading1">
    <w:name w:val="heading 1"/>
    <w:basedOn w:val="Normal"/>
    <w:next w:val="BodyTextIndent"/>
    <w:link w:val="Heading1Char"/>
    <w:uiPriority w:val="9"/>
    <w:qFormat/>
    <w:pPr>
      <w:keepNext/>
      <w:spacing w:before="240" w:after="240"/>
      <w:ind w:left="360" w:hanging="360"/>
      <w:outlineLvl w:val="0"/>
    </w:pPr>
    <w:rPr>
      <w:b/>
      <w:caps/>
      <w:kern w:val="28"/>
    </w:rPr>
  </w:style>
  <w:style w:type="paragraph" w:styleId="Heading2">
    <w:name w:val="heading 2"/>
    <w:basedOn w:val="Normal"/>
    <w:next w:val="BodyTextIndent"/>
    <w:qFormat/>
    <w:pPr>
      <w:keepNext/>
      <w:spacing w:before="240" w:after="240"/>
      <w:ind w:left="360" w:hanging="360"/>
      <w:outlineLvl w:val="1"/>
    </w:pPr>
    <w:rPr>
      <w:b/>
      <w:u w:val="single"/>
    </w:rPr>
  </w:style>
  <w:style w:type="paragraph" w:styleId="Heading3">
    <w:name w:val="heading 3"/>
    <w:basedOn w:val="Normal"/>
    <w:next w:val="BodyTextIndent"/>
    <w:qFormat/>
    <w:pPr>
      <w:keepNext/>
      <w:spacing w:before="240" w:after="240"/>
      <w:ind w:left="360" w:hanging="360"/>
      <w:outlineLvl w:val="2"/>
    </w:pPr>
    <w:rPr>
      <w:b/>
    </w:rPr>
  </w:style>
  <w:style w:type="paragraph" w:styleId="Heading4">
    <w:name w:val="heading 4"/>
    <w:basedOn w:val="Normal"/>
    <w:next w:val="BodyTextIndent"/>
    <w:qFormat/>
    <w:pPr>
      <w:keepNext/>
      <w:spacing w:before="240" w:after="240"/>
      <w:ind w:left="1080" w:hanging="360"/>
      <w:outlineLvl w:val="3"/>
    </w:pPr>
    <w:rPr>
      <w:b/>
      <w:u w:val="single"/>
    </w:rPr>
  </w:style>
  <w:style w:type="paragraph" w:styleId="Heading5">
    <w:name w:val="heading 5"/>
    <w:basedOn w:val="Normal"/>
    <w:next w:val="BodyTextIndent"/>
    <w:qFormat/>
    <w:pPr>
      <w:keepNext/>
      <w:spacing w:before="240" w:after="240"/>
      <w:ind w:left="1080" w:hanging="3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after="240"/>
      <w:ind w:firstLine="720"/>
      <w:jc w:val="both"/>
    </w:pPr>
  </w:style>
  <w:style w:type="character" w:customStyle="1" w:styleId="Heading1Char">
    <w:name w:val="Heading 1 Char"/>
    <w:basedOn w:val="DefaultParagraphFont"/>
    <w:link w:val="Heading1"/>
    <w:uiPriority w:val="9"/>
    <w:rsid w:val="00E05801"/>
    <w:rPr>
      <w:b/>
      <w:caps/>
      <w:kern w:val="28"/>
      <w:sz w:val="24"/>
      <w:szCs w:val="24"/>
    </w:rPr>
  </w:style>
  <w:style w:type="paragraph" w:customStyle="1" w:styleId="Normal11point">
    <w:name w:val="Normal 11point"/>
    <w:basedOn w:val="Normal"/>
    <w:rPr>
      <w:sz w:val="22"/>
    </w:rPr>
  </w:style>
  <w:style w:type="paragraph" w:customStyle="1" w:styleId="ReferencesHeading">
    <w:name w:val="References Heading"/>
    <w:basedOn w:val="Normal11point"/>
    <w:pPr>
      <w:keepNext/>
      <w:spacing w:before="240" w:after="480"/>
      <w:jc w:val="center"/>
    </w:pPr>
    <w:rPr>
      <w:b/>
      <w:caps/>
    </w:rPr>
  </w:style>
  <w:style w:type="paragraph" w:customStyle="1" w:styleId="Heading4under3">
    <w:name w:val="Heading 4 under 3"/>
    <w:basedOn w:val="Normal"/>
    <w:next w:val="BodyTextIndent"/>
    <w:pPr>
      <w:keepNext/>
      <w:spacing w:after="240"/>
      <w:ind w:left="1080" w:hanging="360"/>
    </w:pPr>
    <w:rPr>
      <w:b/>
      <w:u w:val="single"/>
    </w:rPr>
  </w:style>
  <w:style w:type="paragraph" w:customStyle="1" w:styleId="Heading5under4">
    <w:name w:val="Heading 5 under 4"/>
    <w:basedOn w:val="Normal"/>
    <w:next w:val="BodyTextIndent"/>
    <w:pPr>
      <w:keepNext/>
      <w:spacing w:after="240"/>
      <w:ind w:left="1080" w:hanging="360"/>
    </w:pPr>
    <w:rPr>
      <w:b/>
    </w:rPr>
  </w:style>
  <w:style w:type="paragraph" w:styleId="BodyText">
    <w:name w:val="Body Text"/>
    <w:basedOn w:val="Normal"/>
    <w:link w:val="BodyTextChar"/>
    <w:pPr>
      <w:spacing w:after="240"/>
      <w:jc w:val="both"/>
    </w:pPr>
  </w:style>
  <w:style w:type="character" w:customStyle="1" w:styleId="BodyTextChar">
    <w:name w:val="Body Text Char"/>
    <w:basedOn w:val="DefaultParagraphFont"/>
    <w:link w:val="BodyText"/>
    <w:rsid w:val="00E05801"/>
    <w:rPr>
      <w:sz w:val="24"/>
      <w:szCs w:val="24"/>
    </w:rPr>
  </w:style>
  <w:style w:type="paragraph" w:customStyle="1" w:styleId="References">
    <w:name w:val="References"/>
    <w:basedOn w:val="BodyText"/>
    <w:pPr>
      <w:ind w:left="720" w:hanging="720"/>
    </w:pPr>
  </w:style>
  <w:style w:type="paragraph" w:styleId="FootnoteText">
    <w:name w:val="footnote text"/>
    <w:aliases w:val="Char, Char,Footnote Text Char1,Footnote Text Char Char,Footnote Text Char1 Char Char,Footnote Text Char Char Char Char,Footnote Text Char Char1,ALTS FOOTNOTE,fn,Char4,Footnote Text - Preamble,Char2,Footnote Text - Preamble1,Char3,f, Char4"/>
    <w:basedOn w:val="Normal"/>
    <w:link w:val="FootnoteTextChar"/>
    <w:pPr>
      <w:spacing w:after="240"/>
      <w:ind w:firstLine="720"/>
      <w:jc w:val="both"/>
    </w:pPr>
  </w:style>
  <w:style w:type="character" w:customStyle="1" w:styleId="FootnoteTextChar">
    <w:name w:val="Footnote Text Char"/>
    <w:aliases w:val="Char Char, Char Char,Footnote Text Char1 Char,Footnote Text Char Char Char,Footnote Text Char1 Char Char Char,Footnote Text Char Char Char Char Char,Footnote Text Char Char1 Char,ALTS FOOTNOTE Char,fn Char,Char4 Char,Char2 Char,f Char"/>
    <w:basedOn w:val="DefaultParagraphFont"/>
    <w:link w:val="FootnoteText"/>
    <w:uiPriority w:val="99"/>
    <w:rsid w:val="00E05801"/>
    <w:rPr>
      <w:sz w:val="24"/>
      <w:szCs w:val="24"/>
    </w:rPr>
  </w:style>
  <w:style w:type="character" w:styleId="FootnoteReference">
    <w:name w:val="footnote reference"/>
    <w:basedOn w:val="DefaultParagraphFont"/>
    <w:rPr>
      <w:vertAlign w:val="superscript"/>
    </w:rPr>
  </w:style>
  <w:style w:type="character" w:styleId="EndnoteReference">
    <w:name w:val="endnote reference"/>
    <w:basedOn w:val="DefaultParagraphFont"/>
    <w:semiHidden/>
    <w:rPr>
      <w:vertAlign w:val="superscript"/>
    </w:rPr>
  </w:style>
  <w:style w:type="paragraph" w:styleId="EndnoteText">
    <w:name w:val="endnote text"/>
    <w:basedOn w:val="Normal"/>
    <w:semiHidden/>
  </w:style>
  <w:style w:type="paragraph" w:customStyle="1" w:styleId="Heading2under1">
    <w:name w:val="Heading 2 under 1"/>
    <w:basedOn w:val="Normal"/>
    <w:next w:val="BodyTextIndent"/>
    <w:pPr>
      <w:keepNext/>
      <w:spacing w:after="240"/>
      <w:ind w:left="360" w:hanging="360"/>
    </w:pPr>
    <w:rPr>
      <w:b/>
      <w:u w:val="single"/>
    </w:rPr>
  </w:style>
  <w:style w:type="paragraph" w:customStyle="1" w:styleId="Bullets">
    <w:name w:val="Bullets"/>
    <w:basedOn w:val="BodyText"/>
    <w:pPr>
      <w:ind w:left="1440" w:right="720" w:hanging="720"/>
    </w:pPr>
  </w:style>
  <w:style w:type="paragraph" w:customStyle="1" w:styleId="Heading3under2">
    <w:name w:val="Heading 3 under 2"/>
    <w:basedOn w:val="Normal"/>
    <w:next w:val="BodyTextIndent"/>
    <w:pPr>
      <w:keepNext/>
      <w:spacing w:after="240"/>
      <w:ind w:left="360" w:hanging="360"/>
    </w:pPr>
    <w:rPr>
      <w:b/>
    </w:rPr>
  </w:style>
  <w:style w:type="paragraph" w:customStyle="1" w:styleId="Bulletslast">
    <w:name w:val="Bullets last"/>
    <w:basedOn w:val="Normal"/>
    <w:next w:val="BodyTextIndent"/>
    <w:pPr>
      <w:spacing w:after="480"/>
      <w:ind w:left="1440" w:right="720" w:hanging="720"/>
      <w:jc w:val="both"/>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E05801"/>
    <w:rPr>
      <w:sz w:val="24"/>
      <w:szCs w:val="24"/>
    </w:rPr>
  </w:style>
  <w:style w:type="paragraph" w:customStyle="1" w:styleId="Normal12point">
    <w:name w:val="Normal 12 point"/>
    <w:basedOn w:val="Normal"/>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E05801"/>
    <w:rPr>
      <w:sz w:val="24"/>
      <w:szCs w:val="24"/>
    </w:rPr>
  </w:style>
  <w:style w:type="character" w:styleId="PageNumber">
    <w:name w:val="page number"/>
    <w:basedOn w:val="DefaultParagraphFont"/>
    <w:semiHidden/>
  </w:style>
  <w:style w:type="paragraph" w:customStyle="1" w:styleId="Table">
    <w:name w:val="Table"/>
    <w:basedOn w:val="Normal12point"/>
  </w:style>
  <w:style w:type="paragraph" w:customStyle="1" w:styleId="Default">
    <w:name w:val="Default"/>
    <w:rsid w:val="006E492A"/>
    <w:pPr>
      <w:widowControl w:val="0"/>
      <w:autoSpaceDE w:val="0"/>
      <w:autoSpaceDN w:val="0"/>
      <w:adjustRightInd w:val="0"/>
    </w:pPr>
    <w:rPr>
      <w:rFonts w:ascii="Times" w:hAnsi="Times" w:cs="Times"/>
      <w:color w:val="000000"/>
      <w:sz w:val="24"/>
      <w:szCs w:val="24"/>
    </w:rPr>
  </w:style>
  <w:style w:type="paragraph" w:customStyle="1" w:styleId="CM24">
    <w:name w:val="CM24"/>
    <w:basedOn w:val="Default"/>
    <w:next w:val="Default"/>
    <w:rsid w:val="006E492A"/>
    <w:pPr>
      <w:spacing w:after="1708"/>
    </w:pPr>
    <w:rPr>
      <w:color w:val="auto"/>
    </w:rPr>
  </w:style>
  <w:style w:type="paragraph" w:customStyle="1" w:styleId="CM1">
    <w:name w:val="CM1"/>
    <w:basedOn w:val="Default"/>
    <w:next w:val="Default"/>
    <w:rsid w:val="006E492A"/>
    <w:rPr>
      <w:color w:val="auto"/>
    </w:rPr>
  </w:style>
  <w:style w:type="paragraph" w:styleId="ListParagraph">
    <w:name w:val="List Paragraph"/>
    <w:basedOn w:val="Normal"/>
    <w:uiPriority w:val="34"/>
    <w:qFormat/>
    <w:rsid w:val="00E05801"/>
    <w:pPr>
      <w:ind w:left="720"/>
      <w:contextualSpacing/>
    </w:pPr>
  </w:style>
  <w:style w:type="paragraph" w:customStyle="1" w:styleId="IEcNormalText">
    <w:name w:val="IEc Normal Text"/>
    <w:basedOn w:val="Normal"/>
    <w:link w:val="IEcNormalTextChar"/>
    <w:rsid w:val="00E05801"/>
    <w:pPr>
      <w:spacing w:after="120" w:line="280" w:lineRule="exact"/>
    </w:pPr>
    <w:rPr>
      <w:rFonts w:eastAsia="Times"/>
      <w:sz w:val="22"/>
      <w:szCs w:val="20"/>
    </w:rPr>
  </w:style>
  <w:style w:type="character" w:customStyle="1" w:styleId="IEcNormalTextChar">
    <w:name w:val="IEc Normal Text Char"/>
    <w:link w:val="IEcNormalText"/>
    <w:rsid w:val="00E05801"/>
    <w:rPr>
      <w:rFonts w:eastAsia="Times"/>
      <w:sz w:val="22"/>
    </w:rPr>
  </w:style>
  <w:style w:type="paragraph" w:customStyle="1" w:styleId="IEcFootnoteText">
    <w:name w:val="IEc Footnote Text"/>
    <w:basedOn w:val="Normal"/>
    <w:link w:val="IEcFootnoteTextChar"/>
    <w:rsid w:val="00E05801"/>
    <w:pPr>
      <w:spacing w:line="220" w:lineRule="exact"/>
      <w:ind w:left="86" w:hanging="86"/>
    </w:pPr>
    <w:rPr>
      <w:rFonts w:ascii="Trebuchet MS" w:eastAsia="Times" w:hAnsi="Trebuchet MS"/>
      <w:sz w:val="14"/>
      <w:szCs w:val="20"/>
    </w:rPr>
  </w:style>
  <w:style w:type="character" w:customStyle="1" w:styleId="IEcFootnoteTextChar">
    <w:name w:val="IEc Footnote Text Char"/>
    <w:link w:val="IEcFootnoteText"/>
    <w:rsid w:val="00E05801"/>
    <w:rPr>
      <w:rFonts w:ascii="Trebuchet MS" w:eastAsia="Times" w:hAnsi="Trebuchet MS"/>
      <w:sz w:val="14"/>
    </w:rPr>
  </w:style>
  <w:style w:type="character" w:customStyle="1" w:styleId="CommentTextChar">
    <w:name w:val="Comment Text Char"/>
    <w:basedOn w:val="DefaultParagraphFont"/>
    <w:link w:val="CommentText"/>
    <w:semiHidden/>
    <w:rsid w:val="00E05801"/>
  </w:style>
  <w:style w:type="paragraph" w:styleId="CommentText">
    <w:name w:val="annotation text"/>
    <w:basedOn w:val="Normal"/>
    <w:link w:val="CommentTextChar"/>
    <w:semiHidden/>
    <w:rsid w:val="00E05801"/>
    <w:rPr>
      <w:sz w:val="20"/>
      <w:szCs w:val="20"/>
    </w:rPr>
  </w:style>
  <w:style w:type="character" w:customStyle="1" w:styleId="BalloonTextChar">
    <w:name w:val="Balloon Text Char"/>
    <w:basedOn w:val="DefaultParagraphFont"/>
    <w:link w:val="BalloonText"/>
    <w:uiPriority w:val="99"/>
    <w:semiHidden/>
    <w:rsid w:val="00E05801"/>
    <w:rPr>
      <w:rFonts w:ascii="Tahoma" w:hAnsi="Tahoma" w:cs="Tahoma"/>
      <w:sz w:val="16"/>
      <w:szCs w:val="16"/>
    </w:rPr>
  </w:style>
  <w:style w:type="paragraph" w:styleId="BalloonText">
    <w:name w:val="Balloon Text"/>
    <w:basedOn w:val="Normal"/>
    <w:link w:val="BalloonTextChar"/>
    <w:uiPriority w:val="99"/>
    <w:semiHidden/>
    <w:unhideWhenUsed/>
    <w:rsid w:val="00E05801"/>
    <w:rPr>
      <w:rFonts w:ascii="Tahoma" w:hAnsi="Tahoma" w:cs="Tahoma"/>
      <w:sz w:val="16"/>
      <w:szCs w:val="16"/>
    </w:rPr>
  </w:style>
  <w:style w:type="character" w:customStyle="1" w:styleId="CommentSubjectChar">
    <w:name w:val="Comment Subject Char"/>
    <w:basedOn w:val="CommentTextChar"/>
    <w:link w:val="CommentSubject"/>
    <w:uiPriority w:val="99"/>
    <w:semiHidden/>
    <w:rsid w:val="00E05801"/>
    <w:rPr>
      <w:b/>
      <w:bCs/>
    </w:rPr>
  </w:style>
  <w:style w:type="paragraph" w:styleId="CommentSubject">
    <w:name w:val="annotation subject"/>
    <w:basedOn w:val="CommentText"/>
    <w:next w:val="CommentText"/>
    <w:link w:val="CommentSubjectChar"/>
    <w:uiPriority w:val="99"/>
    <w:semiHidden/>
    <w:unhideWhenUsed/>
    <w:rsid w:val="00E05801"/>
    <w:rPr>
      <w:b/>
      <w:bCs/>
    </w:rPr>
  </w:style>
  <w:style w:type="table" w:styleId="TableGrid">
    <w:name w:val="Table Grid"/>
    <w:basedOn w:val="TableNormal"/>
    <w:uiPriority w:val="59"/>
    <w:rsid w:val="00E0580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5">
    <w:name w:val="CM25"/>
    <w:basedOn w:val="Default"/>
    <w:next w:val="Default"/>
    <w:rsid w:val="00E05801"/>
    <w:pPr>
      <w:spacing w:after="283"/>
    </w:pPr>
    <w:rPr>
      <w:color w:val="auto"/>
    </w:rPr>
  </w:style>
  <w:style w:type="paragraph" w:customStyle="1" w:styleId="CM30">
    <w:name w:val="CM30"/>
    <w:basedOn w:val="Default"/>
    <w:next w:val="Default"/>
    <w:rsid w:val="00E05801"/>
    <w:pPr>
      <w:spacing w:after="488"/>
    </w:pPr>
    <w:rPr>
      <w:color w:val="auto"/>
    </w:rPr>
  </w:style>
  <w:style w:type="character" w:styleId="Hyperlink">
    <w:name w:val="Hyperlink"/>
    <w:basedOn w:val="DefaultParagraphFont"/>
    <w:uiPriority w:val="99"/>
    <w:unhideWhenUsed/>
    <w:rsid w:val="00E05801"/>
    <w:rPr>
      <w:color w:val="0000FF" w:themeColor="hyperlink"/>
      <w:u w:val="single"/>
    </w:rPr>
  </w:style>
  <w:style w:type="paragraph" w:styleId="TOC1">
    <w:name w:val="toc 1"/>
    <w:basedOn w:val="Normal"/>
    <w:next w:val="Normal"/>
    <w:autoRedefine/>
    <w:uiPriority w:val="39"/>
    <w:unhideWhenUsed/>
    <w:rsid w:val="00E05801"/>
    <w:pPr>
      <w:spacing w:after="100"/>
    </w:pPr>
  </w:style>
  <w:style w:type="character" w:styleId="CommentReference">
    <w:name w:val="annotation reference"/>
    <w:basedOn w:val="DefaultParagraphFont"/>
    <w:semiHidden/>
    <w:unhideWhenUsed/>
    <w:rsid w:val="00F41479"/>
    <w:rPr>
      <w:sz w:val="16"/>
      <w:szCs w:val="16"/>
    </w:rPr>
  </w:style>
  <w:style w:type="paragraph" w:customStyle="1" w:styleId="IEcChartText">
    <w:name w:val="IEc Chart Text"/>
    <w:basedOn w:val="Normal"/>
    <w:rsid w:val="00F41479"/>
    <w:pPr>
      <w:spacing w:before="20" w:after="20"/>
    </w:pPr>
    <w:rPr>
      <w:rFonts w:ascii="Trebuchet MS" w:eastAsia="Times" w:hAnsi="Trebuchet MS"/>
      <w:sz w:val="18"/>
      <w:szCs w:val="20"/>
    </w:rPr>
  </w:style>
  <w:style w:type="paragraph" w:customStyle="1" w:styleId="IEcChartSubHead">
    <w:name w:val="IEc Chart SubHead"/>
    <w:basedOn w:val="Normal"/>
    <w:rsid w:val="00B41335"/>
    <w:pPr>
      <w:spacing w:before="80" w:after="40" w:line="220" w:lineRule="exact"/>
    </w:pPr>
    <w:rPr>
      <w:rFonts w:ascii="Trebuchet MS" w:eastAsia="Times" w:hAnsi="Trebuchet MS"/>
      <w:b/>
      <w:caps/>
      <w:sz w:val="15"/>
      <w:szCs w:val="20"/>
    </w:rPr>
  </w:style>
  <w:style w:type="paragraph" w:customStyle="1" w:styleId="IEcChartHeading">
    <w:name w:val="IEc Chart Heading"/>
    <w:basedOn w:val="Normal"/>
    <w:rsid w:val="00B41335"/>
    <w:pPr>
      <w:keepNext/>
      <w:spacing w:before="120" w:after="120" w:line="290" w:lineRule="exact"/>
      <w:outlineLvl w:val="0"/>
    </w:pPr>
    <w:rPr>
      <w:rFonts w:ascii="Trebuchet MS" w:eastAsia="Times" w:hAnsi="Trebuchet MS"/>
      <w:b/>
      <w:caps/>
      <w:color w:val="003366"/>
      <w:sz w:val="17"/>
      <w:szCs w:val="20"/>
    </w:rPr>
  </w:style>
  <w:style w:type="paragraph" w:styleId="Revision">
    <w:name w:val="Revision"/>
    <w:hidden/>
    <w:uiPriority w:val="99"/>
    <w:semiHidden/>
    <w:rsid w:val="00191B26"/>
    <w:rPr>
      <w:sz w:val="24"/>
      <w:szCs w:val="24"/>
    </w:rPr>
  </w:style>
  <w:style w:type="paragraph" w:customStyle="1" w:styleId="IEcBulletText">
    <w:name w:val="IEc Bullet Text"/>
    <w:basedOn w:val="Normal"/>
    <w:rsid w:val="001A05DA"/>
    <w:pPr>
      <w:numPr>
        <w:numId w:val="45"/>
      </w:numPr>
      <w:tabs>
        <w:tab w:val="left" w:pos="576"/>
      </w:tabs>
      <w:spacing w:after="120" w:line="290" w:lineRule="exact"/>
    </w:pPr>
    <w:rPr>
      <w:rFonts w:eastAsia="Times"/>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92A"/>
    <w:rPr>
      <w:sz w:val="24"/>
      <w:szCs w:val="24"/>
    </w:rPr>
  </w:style>
  <w:style w:type="paragraph" w:styleId="Heading1">
    <w:name w:val="heading 1"/>
    <w:basedOn w:val="Normal"/>
    <w:next w:val="BodyTextIndent"/>
    <w:link w:val="Heading1Char"/>
    <w:uiPriority w:val="9"/>
    <w:qFormat/>
    <w:pPr>
      <w:keepNext/>
      <w:spacing w:before="240" w:after="240"/>
      <w:ind w:left="360" w:hanging="360"/>
      <w:outlineLvl w:val="0"/>
    </w:pPr>
    <w:rPr>
      <w:b/>
      <w:caps/>
      <w:kern w:val="28"/>
    </w:rPr>
  </w:style>
  <w:style w:type="paragraph" w:styleId="Heading2">
    <w:name w:val="heading 2"/>
    <w:basedOn w:val="Normal"/>
    <w:next w:val="BodyTextIndent"/>
    <w:qFormat/>
    <w:pPr>
      <w:keepNext/>
      <w:spacing w:before="240" w:after="240"/>
      <w:ind w:left="360" w:hanging="360"/>
      <w:outlineLvl w:val="1"/>
    </w:pPr>
    <w:rPr>
      <w:b/>
      <w:u w:val="single"/>
    </w:rPr>
  </w:style>
  <w:style w:type="paragraph" w:styleId="Heading3">
    <w:name w:val="heading 3"/>
    <w:basedOn w:val="Normal"/>
    <w:next w:val="BodyTextIndent"/>
    <w:qFormat/>
    <w:pPr>
      <w:keepNext/>
      <w:spacing w:before="240" w:after="240"/>
      <w:ind w:left="360" w:hanging="360"/>
      <w:outlineLvl w:val="2"/>
    </w:pPr>
    <w:rPr>
      <w:b/>
    </w:rPr>
  </w:style>
  <w:style w:type="paragraph" w:styleId="Heading4">
    <w:name w:val="heading 4"/>
    <w:basedOn w:val="Normal"/>
    <w:next w:val="BodyTextIndent"/>
    <w:qFormat/>
    <w:pPr>
      <w:keepNext/>
      <w:spacing w:before="240" w:after="240"/>
      <w:ind w:left="1080" w:hanging="360"/>
      <w:outlineLvl w:val="3"/>
    </w:pPr>
    <w:rPr>
      <w:b/>
      <w:u w:val="single"/>
    </w:rPr>
  </w:style>
  <w:style w:type="paragraph" w:styleId="Heading5">
    <w:name w:val="heading 5"/>
    <w:basedOn w:val="Normal"/>
    <w:next w:val="BodyTextIndent"/>
    <w:qFormat/>
    <w:pPr>
      <w:keepNext/>
      <w:spacing w:before="240" w:after="240"/>
      <w:ind w:left="1080" w:hanging="3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after="240"/>
      <w:ind w:firstLine="720"/>
      <w:jc w:val="both"/>
    </w:pPr>
  </w:style>
  <w:style w:type="character" w:customStyle="1" w:styleId="Heading1Char">
    <w:name w:val="Heading 1 Char"/>
    <w:basedOn w:val="DefaultParagraphFont"/>
    <w:link w:val="Heading1"/>
    <w:uiPriority w:val="9"/>
    <w:rsid w:val="00E05801"/>
    <w:rPr>
      <w:b/>
      <w:caps/>
      <w:kern w:val="28"/>
      <w:sz w:val="24"/>
      <w:szCs w:val="24"/>
    </w:rPr>
  </w:style>
  <w:style w:type="paragraph" w:customStyle="1" w:styleId="Normal11point">
    <w:name w:val="Normal 11point"/>
    <w:basedOn w:val="Normal"/>
    <w:rPr>
      <w:sz w:val="22"/>
    </w:rPr>
  </w:style>
  <w:style w:type="paragraph" w:customStyle="1" w:styleId="ReferencesHeading">
    <w:name w:val="References Heading"/>
    <w:basedOn w:val="Normal11point"/>
    <w:pPr>
      <w:keepNext/>
      <w:spacing w:before="240" w:after="480"/>
      <w:jc w:val="center"/>
    </w:pPr>
    <w:rPr>
      <w:b/>
      <w:caps/>
    </w:rPr>
  </w:style>
  <w:style w:type="paragraph" w:customStyle="1" w:styleId="Heading4under3">
    <w:name w:val="Heading 4 under 3"/>
    <w:basedOn w:val="Normal"/>
    <w:next w:val="BodyTextIndent"/>
    <w:pPr>
      <w:keepNext/>
      <w:spacing w:after="240"/>
      <w:ind w:left="1080" w:hanging="360"/>
    </w:pPr>
    <w:rPr>
      <w:b/>
      <w:u w:val="single"/>
    </w:rPr>
  </w:style>
  <w:style w:type="paragraph" w:customStyle="1" w:styleId="Heading5under4">
    <w:name w:val="Heading 5 under 4"/>
    <w:basedOn w:val="Normal"/>
    <w:next w:val="BodyTextIndent"/>
    <w:pPr>
      <w:keepNext/>
      <w:spacing w:after="240"/>
      <w:ind w:left="1080" w:hanging="360"/>
    </w:pPr>
    <w:rPr>
      <w:b/>
    </w:rPr>
  </w:style>
  <w:style w:type="paragraph" w:styleId="BodyText">
    <w:name w:val="Body Text"/>
    <w:basedOn w:val="Normal"/>
    <w:link w:val="BodyTextChar"/>
    <w:pPr>
      <w:spacing w:after="240"/>
      <w:jc w:val="both"/>
    </w:pPr>
  </w:style>
  <w:style w:type="character" w:customStyle="1" w:styleId="BodyTextChar">
    <w:name w:val="Body Text Char"/>
    <w:basedOn w:val="DefaultParagraphFont"/>
    <w:link w:val="BodyText"/>
    <w:rsid w:val="00E05801"/>
    <w:rPr>
      <w:sz w:val="24"/>
      <w:szCs w:val="24"/>
    </w:rPr>
  </w:style>
  <w:style w:type="paragraph" w:customStyle="1" w:styleId="References">
    <w:name w:val="References"/>
    <w:basedOn w:val="BodyText"/>
    <w:pPr>
      <w:ind w:left="720" w:hanging="720"/>
    </w:pPr>
  </w:style>
  <w:style w:type="paragraph" w:styleId="FootnoteText">
    <w:name w:val="footnote text"/>
    <w:aliases w:val="Char, Char,Footnote Text Char1,Footnote Text Char Char,Footnote Text Char1 Char Char,Footnote Text Char Char Char Char,Footnote Text Char Char1,ALTS FOOTNOTE,fn,Char4,Footnote Text - Preamble,Char2,Footnote Text - Preamble1,Char3,f, Char4"/>
    <w:basedOn w:val="Normal"/>
    <w:link w:val="FootnoteTextChar"/>
    <w:pPr>
      <w:spacing w:after="240"/>
      <w:ind w:firstLine="720"/>
      <w:jc w:val="both"/>
    </w:pPr>
  </w:style>
  <w:style w:type="character" w:customStyle="1" w:styleId="FootnoteTextChar">
    <w:name w:val="Footnote Text Char"/>
    <w:aliases w:val="Char Char, Char Char,Footnote Text Char1 Char,Footnote Text Char Char Char,Footnote Text Char1 Char Char Char,Footnote Text Char Char Char Char Char,Footnote Text Char Char1 Char,ALTS FOOTNOTE Char,fn Char,Char4 Char,Char2 Char,f Char"/>
    <w:basedOn w:val="DefaultParagraphFont"/>
    <w:link w:val="FootnoteText"/>
    <w:uiPriority w:val="99"/>
    <w:rsid w:val="00E05801"/>
    <w:rPr>
      <w:sz w:val="24"/>
      <w:szCs w:val="24"/>
    </w:rPr>
  </w:style>
  <w:style w:type="character" w:styleId="FootnoteReference">
    <w:name w:val="footnote reference"/>
    <w:basedOn w:val="DefaultParagraphFont"/>
    <w:rPr>
      <w:vertAlign w:val="superscript"/>
    </w:rPr>
  </w:style>
  <w:style w:type="character" w:styleId="EndnoteReference">
    <w:name w:val="endnote reference"/>
    <w:basedOn w:val="DefaultParagraphFont"/>
    <w:semiHidden/>
    <w:rPr>
      <w:vertAlign w:val="superscript"/>
    </w:rPr>
  </w:style>
  <w:style w:type="paragraph" w:styleId="EndnoteText">
    <w:name w:val="endnote text"/>
    <w:basedOn w:val="Normal"/>
    <w:semiHidden/>
  </w:style>
  <w:style w:type="paragraph" w:customStyle="1" w:styleId="Heading2under1">
    <w:name w:val="Heading 2 under 1"/>
    <w:basedOn w:val="Normal"/>
    <w:next w:val="BodyTextIndent"/>
    <w:pPr>
      <w:keepNext/>
      <w:spacing w:after="240"/>
      <w:ind w:left="360" w:hanging="360"/>
    </w:pPr>
    <w:rPr>
      <w:b/>
      <w:u w:val="single"/>
    </w:rPr>
  </w:style>
  <w:style w:type="paragraph" w:customStyle="1" w:styleId="Bullets">
    <w:name w:val="Bullets"/>
    <w:basedOn w:val="BodyText"/>
    <w:pPr>
      <w:ind w:left="1440" w:right="720" w:hanging="720"/>
    </w:pPr>
  </w:style>
  <w:style w:type="paragraph" w:customStyle="1" w:styleId="Heading3under2">
    <w:name w:val="Heading 3 under 2"/>
    <w:basedOn w:val="Normal"/>
    <w:next w:val="BodyTextIndent"/>
    <w:pPr>
      <w:keepNext/>
      <w:spacing w:after="240"/>
      <w:ind w:left="360" w:hanging="360"/>
    </w:pPr>
    <w:rPr>
      <w:b/>
    </w:rPr>
  </w:style>
  <w:style w:type="paragraph" w:customStyle="1" w:styleId="Bulletslast">
    <w:name w:val="Bullets last"/>
    <w:basedOn w:val="Normal"/>
    <w:next w:val="BodyTextIndent"/>
    <w:pPr>
      <w:spacing w:after="480"/>
      <w:ind w:left="1440" w:right="720" w:hanging="720"/>
      <w:jc w:val="both"/>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E05801"/>
    <w:rPr>
      <w:sz w:val="24"/>
      <w:szCs w:val="24"/>
    </w:rPr>
  </w:style>
  <w:style w:type="paragraph" w:customStyle="1" w:styleId="Normal12point">
    <w:name w:val="Normal 12 point"/>
    <w:basedOn w:val="Normal"/>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E05801"/>
    <w:rPr>
      <w:sz w:val="24"/>
      <w:szCs w:val="24"/>
    </w:rPr>
  </w:style>
  <w:style w:type="character" w:styleId="PageNumber">
    <w:name w:val="page number"/>
    <w:basedOn w:val="DefaultParagraphFont"/>
    <w:semiHidden/>
  </w:style>
  <w:style w:type="paragraph" w:customStyle="1" w:styleId="Table">
    <w:name w:val="Table"/>
    <w:basedOn w:val="Normal12point"/>
  </w:style>
  <w:style w:type="paragraph" w:customStyle="1" w:styleId="Default">
    <w:name w:val="Default"/>
    <w:rsid w:val="006E492A"/>
    <w:pPr>
      <w:widowControl w:val="0"/>
      <w:autoSpaceDE w:val="0"/>
      <w:autoSpaceDN w:val="0"/>
      <w:adjustRightInd w:val="0"/>
    </w:pPr>
    <w:rPr>
      <w:rFonts w:ascii="Times" w:hAnsi="Times" w:cs="Times"/>
      <w:color w:val="000000"/>
      <w:sz w:val="24"/>
      <w:szCs w:val="24"/>
    </w:rPr>
  </w:style>
  <w:style w:type="paragraph" w:customStyle="1" w:styleId="CM24">
    <w:name w:val="CM24"/>
    <w:basedOn w:val="Default"/>
    <w:next w:val="Default"/>
    <w:rsid w:val="006E492A"/>
    <w:pPr>
      <w:spacing w:after="1708"/>
    </w:pPr>
    <w:rPr>
      <w:color w:val="auto"/>
    </w:rPr>
  </w:style>
  <w:style w:type="paragraph" w:customStyle="1" w:styleId="CM1">
    <w:name w:val="CM1"/>
    <w:basedOn w:val="Default"/>
    <w:next w:val="Default"/>
    <w:rsid w:val="006E492A"/>
    <w:rPr>
      <w:color w:val="auto"/>
    </w:rPr>
  </w:style>
  <w:style w:type="paragraph" w:styleId="ListParagraph">
    <w:name w:val="List Paragraph"/>
    <w:basedOn w:val="Normal"/>
    <w:uiPriority w:val="34"/>
    <w:qFormat/>
    <w:rsid w:val="00E05801"/>
    <w:pPr>
      <w:ind w:left="720"/>
      <w:contextualSpacing/>
    </w:pPr>
  </w:style>
  <w:style w:type="paragraph" w:customStyle="1" w:styleId="IEcNormalText">
    <w:name w:val="IEc Normal Text"/>
    <w:basedOn w:val="Normal"/>
    <w:link w:val="IEcNormalTextChar"/>
    <w:rsid w:val="00E05801"/>
    <w:pPr>
      <w:spacing w:after="120" w:line="280" w:lineRule="exact"/>
    </w:pPr>
    <w:rPr>
      <w:rFonts w:eastAsia="Times"/>
      <w:sz w:val="22"/>
      <w:szCs w:val="20"/>
    </w:rPr>
  </w:style>
  <w:style w:type="character" w:customStyle="1" w:styleId="IEcNormalTextChar">
    <w:name w:val="IEc Normal Text Char"/>
    <w:link w:val="IEcNormalText"/>
    <w:rsid w:val="00E05801"/>
    <w:rPr>
      <w:rFonts w:eastAsia="Times"/>
      <w:sz w:val="22"/>
    </w:rPr>
  </w:style>
  <w:style w:type="paragraph" w:customStyle="1" w:styleId="IEcFootnoteText">
    <w:name w:val="IEc Footnote Text"/>
    <w:basedOn w:val="Normal"/>
    <w:link w:val="IEcFootnoteTextChar"/>
    <w:rsid w:val="00E05801"/>
    <w:pPr>
      <w:spacing w:line="220" w:lineRule="exact"/>
      <w:ind w:left="86" w:hanging="86"/>
    </w:pPr>
    <w:rPr>
      <w:rFonts w:ascii="Trebuchet MS" w:eastAsia="Times" w:hAnsi="Trebuchet MS"/>
      <w:sz w:val="14"/>
      <w:szCs w:val="20"/>
    </w:rPr>
  </w:style>
  <w:style w:type="character" w:customStyle="1" w:styleId="IEcFootnoteTextChar">
    <w:name w:val="IEc Footnote Text Char"/>
    <w:link w:val="IEcFootnoteText"/>
    <w:rsid w:val="00E05801"/>
    <w:rPr>
      <w:rFonts w:ascii="Trebuchet MS" w:eastAsia="Times" w:hAnsi="Trebuchet MS"/>
      <w:sz w:val="14"/>
    </w:rPr>
  </w:style>
  <w:style w:type="character" w:customStyle="1" w:styleId="CommentTextChar">
    <w:name w:val="Comment Text Char"/>
    <w:basedOn w:val="DefaultParagraphFont"/>
    <w:link w:val="CommentText"/>
    <w:semiHidden/>
    <w:rsid w:val="00E05801"/>
  </w:style>
  <w:style w:type="paragraph" w:styleId="CommentText">
    <w:name w:val="annotation text"/>
    <w:basedOn w:val="Normal"/>
    <w:link w:val="CommentTextChar"/>
    <w:semiHidden/>
    <w:rsid w:val="00E05801"/>
    <w:rPr>
      <w:sz w:val="20"/>
      <w:szCs w:val="20"/>
    </w:rPr>
  </w:style>
  <w:style w:type="character" w:customStyle="1" w:styleId="BalloonTextChar">
    <w:name w:val="Balloon Text Char"/>
    <w:basedOn w:val="DefaultParagraphFont"/>
    <w:link w:val="BalloonText"/>
    <w:uiPriority w:val="99"/>
    <w:semiHidden/>
    <w:rsid w:val="00E05801"/>
    <w:rPr>
      <w:rFonts w:ascii="Tahoma" w:hAnsi="Tahoma" w:cs="Tahoma"/>
      <w:sz w:val="16"/>
      <w:szCs w:val="16"/>
    </w:rPr>
  </w:style>
  <w:style w:type="paragraph" w:styleId="BalloonText">
    <w:name w:val="Balloon Text"/>
    <w:basedOn w:val="Normal"/>
    <w:link w:val="BalloonTextChar"/>
    <w:uiPriority w:val="99"/>
    <w:semiHidden/>
    <w:unhideWhenUsed/>
    <w:rsid w:val="00E05801"/>
    <w:rPr>
      <w:rFonts w:ascii="Tahoma" w:hAnsi="Tahoma" w:cs="Tahoma"/>
      <w:sz w:val="16"/>
      <w:szCs w:val="16"/>
    </w:rPr>
  </w:style>
  <w:style w:type="character" w:customStyle="1" w:styleId="CommentSubjectChar">
    <w:name w:val="Comment Subject Char"/>
    <w:basedOn w:val="CommentTextChar"/>
    <w:link w:val="CommentSubject"/>
    <w:uiPriority w:val="99"/>
    <w:semiHidden/>
    <w:rsid w:val="00E05801"/>
    <w:rPr>
      <w:b/>
      <w:bCs/>
    </w:rPr>
  </w:style>
  <w:style w:type="paragraph" w:styleId="CommentSubject">
    <w:name w:val="annotation subject"/>
    <w:basedOn w:val="CommentText"/>
    <w:next w:val="CommentText"/>
    <w:link w:val="CommentSubjectChar"/>
    <w:uiPriority w:val="99"/>
    <w:semiHidden/>
    <w:unhideWhenUsed/>
    <w:rsid w:val="00E05801"/>
    <w:rPr>
      <w:b/>
      <w:bCs/>
    </w:rPr>
  </w:style>
  <w:style w:type="table" w:styleId="TableGrid">
    <w:name w:val="Table Grid"/>
    <w:basedOn w:val="TableNormal"/>
    <w:uiPriority w:val="59"/>
    <w:rsid w:val="00E0580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5">
    <w:name w:val="CM25"/>
    <w:basedOn w:val="Default"/>
    <w:next w:val="Default"/>
    <w:rsid w:val="00E05801"/>
    <w:pPr>
      <w:spacing w:after="283"/>
    </w:pPr>
    <w:rPr>
      <w:color w:val="auto"/>
    </w:rPr>
  </w:style>
  <w:style w:type="paragraph" w:customStyle="1" w:styleId="CM30">
    <w:name w:val="CM30"/>
    <w:basedOn w:val="Default"/>
    <w:next w:val="Default"/>
    <w:rsid w:val="00E05801"/>
    <w:pPr>
      <w:spacing w:after="488"/>
    </w:pPr>
    <w:rPr>
      <w:color w:val="auto"/>
    </w:rPr>
  </w:style>
  <w:style w:type="character" w:styleId="Hyperlink">
    <w:name w:val="Hyperlink"/>
    <w:basedOn w:val="DefaultParagraphFont"/>
    <w:uiPriority w:val="99"/>
    <w:unhideWhenUsed/>
    <w:rsid w:val="00E05801"/>
    <w:rPr>
      <w:color w:val="0000FF" w:themeColor="hyperlink"/>
      <w:u w:val="single"/>
    </w:rPr>
  </w:style>
  <w:style w:type="paragraph" w:styleId="TOC1">
    <w:name w:val="toc 1"/>
    <w:basedOn w:val="Normal"/>
    <w:next w:val="Normal"/>
    <w:autoRedefine/>
    <w:uiPriority w:val="39"/>
    <w:unhideWhenUsed/>
    <w:rsid w:val="00E05801"/>
    <w:pPr>
      <w:spacing w:after="100"/>
    </w:pPr>
  </w:style>
  <w:style w:type="character" w:styleId="CommentReference">
    <w:name w:val="annotation reference"/>
    <w:basedOn w:val="DefaultParagraphFont"/>
    <w:semiHidden/>
    <w:unhideWhenUsed/>
    <w:rsid w:val="00F41479"/>
    <w:rPr>
      <w:sz w:val="16"/>
      <w:szCs w:val="16"/>
    </w:rPr>
  </w:style>
  <w:style w:type="paragraph" w:customStyle="1" w:styleId="IEcChartText">
    <w:name w:val="IEc Chart Text"/>
    <w:basedOn w:val="Normal"/>
    <w:rsid w:val="00F41479"/>
    <w:pPr>
      <w:spacing w:before="20" w:after="20"/>
    </w:pPr>
    <w:rPr>
      <w:rFonts w:ascii="Trebuchet MS" w:eastAsia="Times" w:hAnsi="Trebuchet MS"/>
      <w:sz w:val="18"/>
      <w:szCs w:val="20"/>
    </w:rPr>
  </w:style>
  <w:style w:type="paragraph" w:customStyle="1" w:styleId="IEcChartSubHead">
    <w:name w:val="IEc Chart SubHead"/>
    <w:basedOn w:val="Normal"/>
    <w:rsid w:val="00B41335"/>
    <w:pPr>
      <w:spacing w:before="80" w:after="40" w:line="220" w:lineRule="exact"/>
    </w:pPr>
    <w:rPr>
      <w:rFonts w:ascii="Trebuchet MS" w:eastAsia="Times" w:hAnsi="Trebuchet MS"/>
      <w:b/>
      <w:caps/>
      <w:sz w:val="15"/>
      <w:szCs w:val="20"/>
    </w:rPr>
  </w:style>
  <w:style w:type="paragraph" w:customStyle="1" w:styleId="IEcChartHeading">
    <w:name w:val="IEc Chart Heading"/>
    <w:basedOn w:val="Normal"/>
    <w:rsid w:val="00B41335"/>
    <w:pPr>
      <w:keepNext/>
      <w:spacing w:before="120" w:after="120" w:line="290" w:lineRule="exact"/>
      <w:outlineLvl w:val="0"/>
    </w:pPr>
    <w:rPr>
      <w:rFonts w:ascii="Trebuchet MS" w:eastAsia="Times" w:hAnsi="Trebuchet MS"/>
      <w:b/>
      <w:caps/>
      <w:color w:val="003366"/>
      <w:sz w:val="17"/>
      <w:szCs w:val="20"/>
    </w:rPr>
  </w:style>
  <w:style w:type="paragraph" w:styleId="Revision">
    <w:name w:val="Revision"/>
    <w:hidden/>
    <w:uiPriority w:val="99"/>
    <w:semiHidden/>
    <w:rsid w:val="00191B26"/>
    <w:rPr>
      <w:sz w:val="24"/>
      <w:szCs w:val="24"/>
    </w:rPr>
  </w:style>
  <w:style w:type="paragraph" w:customStyle="1" w:styleId="IEcBulletText">
    <w:name w:val="IEc Bullet Text"/>
    <w:basedOn w:val="Normal"/>
    <w:rsid w:val="001A05DA"/>
    <w:pPr>
      <w:numPr>
        <w:numId w:val="45"/>
      </w:numPr>
      <w:tabs>
        <w:tab w:val="left" w:pos="576"/>
      </w:tabs>
      <w:spacing w:after="120" w:line="290" w:lineRule="exact"/>
    </w:pPr>
    <w:rPr>
      <w:rFonts w:eastAsia="Time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9767">
      <w:bodyDiv w:val="1"/>
      <w:marLeft w:val="0"/>
      <w:marRight w:val="0"/>
      <w:marTop w:val="0"/>
      <w:marBottom w:val="0"/>
      <w:divBdr>
        <w:top w:val="none" w:sz="0" w:space="0" w:color="auto"/>
        <w:left w:val="none" w:sz="0" w:space="0" w:color="auto"/>
        <w:bottom w:val="none" w:sz="0" w:space="0" w:color="auto"/>
        <w:right w:val="none" w:sz="0" w:space="0" w:color="auto"/>
      </w:divBdr>
    </w:div>
    <w:div w:id="61219802">
      <w:bodyDiv w:val="1"/>
      <w:marLeft w:val="0"/>
      <w:marRight w:val="0"/>
      <w:marTop w:val="0"/>
      <w:marBottom w:val="0"/>
      <w:divBdr>
        <w:top w:val="none" w:sz="0" w:space="0" w:color="auto"/>
        <w:left w:val="none" w:sz="0" w:space="0" w:color="auto"/>
        <w:bottom w:val="none" w:sz="0" w:space="0" w:color="auto"/>
        <w:right w:val="none" w:sz="0" w:space="0" w:color="auto"/>
      </w:divBdr>
    </w:div>
    <w:div w:id="71660482">
      <w:bodyDiv w:val="1"/>
      <w:marLeft w:val="0"/>
      <w:marRight w:val="0"/>
      <w:marTop w:val="0"/>
      <w:marBottom w:val="0"/>
      <w:divBdr>
        <w:top w:val="none" w:sz="0" w:space="0" w:color="auto"/>
        <w:left w:val="none" w:sz="0" w:space="0" w:color="auto"/>
        <w:bottom w:val="none" w:sz="0" w:space="0" w:color="auto"/>
        <w:right w:val="none" w:sz="0" w:space="0" w:color="auto"/>
      </w:divBdr>
    </w:div>
    <w:div w:id="138229377">
      <w:bodyDiv w:val="1"/>
      <w:marLeft w:val="0"/>
      <w:marRight w:val="0"/>
      <w:marTop w:val="0"/>
      <w:marBottom w:val="0"/>
      <w:divBdr>
        <w:top w:val="none" w:sz="0" w:space="0" w:color="auto"/>
        <w:left w:val="none" w:sz="0" w:space="0" w:color="auto"/>
        <w:bottom w:val="none" w:sz="0" w:space="0" w:color="auto"/>
        <w:right w:val="none" w:sz="0" w:space="0" w:color="auto"/>
      </w:divBdr>
    </w:div>
    <w:div w:id="226693972">
      <w:bodyDiv w:val="1"/>
      <w:marLeft w:val="0"/>
      <w:marRight w:val="0"/>
      <w:marTop w:val="0"/>
      <w:marBottom w:val="0"/>
      <w:divBdr>
        <w:top w:val="none" w:sz="0" w:space="0" w:color="auto"/>
        <w:left w:val="none" w:sz="0" w:space="0" w:color="auto"/>
        <w:bottom w:val="none" w:sz="0" w:space="0" w:color="auto"/>
        <w:right w:val="none" w:sz="0" w:space="0" w:color="auto"/>
      </w:divBdr>
    </w:div>
    <w:div w:id="233316568">
      <w:bodyDiv w:val="1"/>
      <w:marLeft w:val="0"/>
      <w:marRight w:val="0"/>
      <w:marTop w:val="0"/>
      <w:marBottom w:val="0"/>
      <w:divBdr>
        <w:top w:val="none" w:sz="0" w:space="0" w:color="auto"/>
        <w:left w:val="none" w:sz="0" w:space="0" w:color="auto"/>
        <w:bottom w:val="none" w:sz="0" w:space="0" w:color="auto"/>
        <w:right w:val="none" w:sz="0" w:space="0" w:color="auto"/>
      </w:divBdr>
    </w:div>
    <w:div w:id="492644174">
      <w:bodyDiv w:val="1"/>
      <w:marLeft w:val="0"/>
      <w:marRight w:val="0"/>
      <w:marTop w:val="0"/>
      <w:marBottom w:val="0"/>
      <w:divBdr>
        <w:top w:val="none" w:sz="0" w:space="0" w:color="auto"/>
        <w:left w:val="none" w:sz="0" w:space="0" w:color="auto"/>
        <w:bottom w:val="none" w:sz="0" w:space="0" w:color="auto"/>
        <w:right w:val="none" w:sz="0" w:space="0" w:color="auto"/>
      </w:divBdr>
    </w:div>
    <w:div w:id="515460247">
      <w:bodyDiv w:val="1"/>
      <w:marLeft w:val="0"/>
      <w:marRight w:val="0"/>
      <w:marTop w:val="0"/>
      <w:marBottom w:val="0"/>
      <w:divBdr>
        <w:top w:val="none" w:sz="0" w:space="0" w:color="auto"/>
        <w:left w:val="none" w:sz="0" w:space="0" w:color="auto"/>
        <w:bottom w:val="none" w:sz="0" w:space="0" w:color="auto"/>
        <w:right w:val="none" w:sz="0" w:space="0" w:color="auto"/>
      </w:divBdr>
    </w:div>
    <w:div w:id="878325526">
      <w:bodyDiv w:val="1"/>
      <w:marLeft w:val="0"/>
      <w:marRight w:val="0"/>
      <w:marTop w:val="0"/>
      <w:marBottom w:val="0"/>
      <w:divBdr>
        <w:top w:val="none" w:sz="0" w:space="0" w:color="auto"/>
        <w:left w:val="none" w:sz="0" w:space="0" w:color="auto"/>
        <w:bottom w:val="none" w:sz="0" w:space="0" w:color="auto"/>
        <w:right w:val="none" w:sz="0" w:space="0" w:color="auto"/>
      </w:divBdr>
    </w:div>
    <w:div w:id="926767669">
      <w:bodyDiv w:val="1"/>
      <w:marLeft w:val="0"/>
      <w:marRight w:val="0"/>
      <w:marTop w:val="0"/>
      <w:marBottom w:val="0"/>
      <w:divBdr>
        <w:top w:val="none" w:sz="0" w:space="0" w:color="auto"/>
        <w:left w:val="none" w:sz="0" w:space="0" w:color="auto"/>
        <w:bottom w:val="none" w:sz="0" w:space="0" w:color="auto"/>
        <w:right w:val="none" w:sz="0" w:space="0" w:color="auto"/>
      </w:divBdr>
    </w:div>
    <w:div w:id="960189698">
      <w:bodyDiv w:val="1"/>
      <w:marLeft w:val="0"/>
      <w:marRight w:val="0"/>
      <w:marTop w:val="0"/>
      <w:marBottom w:val="0"/>
      <w:divBdr>
        <w:top w:val="none" w:sz="0" w:space="0" w:color="auto"/>
        <w:left w:val="none" w:sz="0" w:space="0" w:color="auto"/>
        <w:bottom w:val="none" w:sz="0" w:space="0" w:color="auto"/>
        <w:right w:val="none" w:sz="0" w:space="0" w:color="auto"/>
      </w:divBdr>
    </w:div>
    <w:div w:id="1020427696">
      <w:bodyDiv w:val="1"/>
      <w:marLeft w:val="0"/>
      <w:marRight w:val="0"/>
      <w:marTop w:val="0"/>
      <w:marBottom w:val="0"/>
      <w:divBdr>
        <w:top w:val="none" w:sz="0" w:space="0" w:color="auto"/>
        <w:left w:val="none" w:sz="0" w:space="0" w:color="auto"/>
        <w:bottom w:val="none" w:sz="0" w:space="0" w:color="auto"/>
        <w:right w:val="none" w:sz="0" w:space="0" w:color="auto"/>
      </w:divBdr>
    </w:div>
    <w:div w:id="1047220012">
      <w:bodyDiv w:val="1"/>
      <w:marLeft w:val="0"/>
      <w:marRight w:val="0"/>
      <w:marTop w:val="0"/>
      <w:marBottom w:val="0"/>
      <w:divBdr>
        <w:top w:val="none" w:sz="0" w:space="0" w:color="auto"/>
        <w:left w:val="none" w:sz="0" w:space="0" w:color="auto"/>
        <w:bottom w:val="none" w:sz="0" w:space="0" w:color="auto"/>
        <w:right w:val="none" w:sz="0" w:space="0" w:color="auto"/>
      </w:divBdr>
    </w:div>
    <w:div w:id="1054545779">
      <w:bodyDiv w:val="1"/>
      <w:marLeft w:val="0"/>
      <w:marRight w:val="0"/>
      <w:marTop w:val="0"/>
      <w:marBottom w:val="0"/>
      <w:divBdr>
        <w:top w:val="none" w:sz="0" w:space="0" w:color="auto"/>
        <w:left w:val="none" w:sz="0" w:space="0" w:color="auto"/>
        <w:bottom w:val="none" w:sz="0" w:space="0" w:color="auto"/>
        <w:right w:val="none" w:sz="0" w:space="0" w:color="auto"/>
      </w:divBdr>
    </w:div>
    <w:div w:id="1065570526">
      <w:bodyDiv w:val="1"/>
      <w:marLeft w:val="0"/>
      <w:marRight w:val="0"/>
      <w:marTop w:val="0"/>
      <w:marBottom w:val="0"/>
      <w:divBdr>
        <w:top w:val="none" w:sz="0" w:space="0" w:color="auto"/>
        <w:left w:val="none" w:sz="0" w:space="0" w:color="auto"/>
        <w:bottom w:val="none" w:sz="0" w:space="0" w:color="auto"/>
        <w:right w:val="none" w:sz="0" w:space="0" w:color="auto"/>
      </w:divBdr>
    </w:div>
    <w:div w:id="1190682262">
      <w:bodyDiv w:val="1"/>
      <w:marLeft w:val="0"/>
      <w:marRight w:val="0"/>
      <w:marTop w:val="0"/>
      <w:marBottom w:val="0"/>
      <w:divBdr>
        <w:top w:val="none" w:sz="0" w:space="0" w:color="auto"/>
        <w:left w:val="none" w:sz="0" w:space="0" w:color="auto"/>
        <w:bottom w:val="none" w:sz="0" w:space="0" w:color="auto"/>
        <w:right w:val="none" w:sz="0" w:space="0" w:color="auto"/>
      </w:divBdr>
    </w:div>
    <w:div w:id="1285693635">
      <w:bodyDiv w:val="1"/>
      <w:marLeft w:val="0"/>
      <w:marRight w:val="0"/>
      <w:marTop w:val="0"/>
      <w:marBottom w:val="0"/>
      <w:divBdr>
        <w:top w:val="none" w:sz="0" w:space="0" w:color="auto"/>
        <w:left w:val="none" w:sz="0" w:space="0" w:color="auto"/>
        <w:bottom w:val="none" w:sz="0" w:space="0" w:color="auto"/>
        <w:right w:val="none" w:sz="0" w:space="0" w:color="auto"/>
      </w:divBdr>
    </w:div>
    <w:div w:id="1314288626">
      <w:bodyDiv w:val="1"/>
      <w:marLeft w:val="0"/>
      <w:marRight w:val="0"/>
      <w:marTop w:val="0"/>
      <w:marBottom w:val="0"/>
      <w:divBdr>
        <w:top w:val="none" w:sz="0" w:space="0" w:color="auto"/>
        <w:left w:val="none" w:sz="0" w:space="0" w:color="auto"/>
        <w:bottom w:val="none" w:sz="0" w:space="0" w:color="auto"/>
        <w:right w:val="none" w:sz="0" w:space="0" w:color="auto"/>
      </w:divBdr>
    </w:div>
    <w:div w:id="1381590689">
      <w:bodyDiv w:val="1"/>
      <w:marLeft w:val="0"/>
      <w:marRight w:val="0"/>
      <w:marTop w:val="0"/>
      <w:marBottom w:val="0"/>
      <w:divBdr>
        <w:top w:val="none" w:sz="0" w:space="0" w:color="auto"/>
        <w:left w:val="none" w:sz="0" w:space="0" w:color="auto"/>
        <w:bottom w:val="none" w:sz="0" w:space="0" w:color="auto"/>
        <w:right w:val="none" w:sz="0" w:space="0" w:color="auto"/>
      </w:divBdr>
    </w:div>
    <w:div w:id="1457092666">
      <w:bodyDiv w:val="1"/>
      <w:marLeft w:val="0"/>
      <w:marRight w:val="0"/>
      <w:marTop w:val="0"/>
      <w:marBottom w:val="0"/>
      <w:divBdr>
        <w:top w:val="none" w:sz="0" w:space="0" w:color="auto"/>
        <w:left w:val="none" w:sz="0" w:space="0" w:color="auto"/>
        <w:bottom w:val="none" w:sz="0" w:space="0" w:color="auto"/>
        <w:right w:val="none" w:sz="0" w:space="0" w:color="auto"/>
      </w:divBdr>
    </w:div>
    <w:div w:id="1464887108">
      <w:bodyDiv w:val="1"/>
      <w:marLeft w:val="0"/>
      <w:marRight w:val="0"/>
      <w:marTop w:val="0"/>
      <w:marBottom w:val="0"/>
      <w:divBdr>
        <w:top w:val="none" w:sz="0" w:space="0" w:color="auto"/>
        <w:left w:val="none" w:sz="0" w:space="0" w:color="auto"/>
        <w:bottom w:val="none" w:sz="0" w:space="0" w:color="auto"/>
        <w:right w:val="none" w:sz="0" w:space="0" w:color="auto"/>
      </w:divBdr>
    </w:div>
    <w:div w:id="1515343652">
      <w:bodyDiv w:val="1"/>
      <w:marLeft w:val="0"/>
      <w:marRight w:val="0"/>
      <w:marTop w:val="0"/>
      <w:marBottom w:val="0"/>
      <w:divBdr>
        <w:top w:val="none" w:sz="0" w:space="0" w:color="auto"/>
        <w:left w:val="none" w:sz="0" w:space="0" w:color="auto"/>
        <w:bottom w:val="none" w:sz="0" w:space="0" w:color="auto"/>
        <w:right w:val="none" w:sz="0" w:space="0" w:color="auto"/>
      </w:divBdr>
    </w:div>
    <w:div w:id="1554387960">
      <w:bodyDiv w:val="1"/>
      <w:marLeft w:val="0"/>
      <w:marRight w:val="0"/>
      <w:marTop w:val="0"/>
      <w:marBottom w:val="0"/>
      <w:divBdr>
        <w:top w:val="none" w:sz="0" w:space="0" w:color="auto"/>
        <w:left w:val="none" w:sz="0" w:space="0" w:color="auto"/>
        <w:bottom w:val="none" w:sz="0" w:space="0" w:color="auto"/>
        <w:right w:val="none" w:sz="0" w:space="0" w:color="auto"/>
      </w:divBdr>
    </w:div>
    <w:div w:id="1717121947">
      <w:bodyDiv w:val="1"/>
      <w:marLeft w:val="0"/>
      <w:marRight w:val="0"/>
      <w:marTop w:val="0"/>
      <w:marBottom w:val="0"/>
      <w:divBdr>
        <w:top w:val="none" w:sz="0" w:space="0" w:color="auto"/>
        <w:left w:val="none" w:sz="0" w:space="0" w:color="auto"/>
        <w:bottom w:val="none" w:sz="0" w:space="0" w:color="auto"/>
        <w:right w:val="none" w:sz="0" w:space="0" w:color="auto"/>
      </w:divBdr>
    </w:div>
    <w:div w:id="1771926913">
      <w:bodyDiv w:val="1"/>
      <w:marLeft w:val="0"/>
      <w:marRight w:val="0"/>
      <w:marTop w:val="0"/>
      <w:marBottom w:val="0"/>
      <w:divBdr>
        <w:top w:val="none" w:sz="0" w:space="0" w:color="auto"/>
        <w:left w:val="none" w:sz="0" w:space="0" w:color="auto"/>
        <w:bottom w:val="none" w:sz="0" w:space="0" w:color="auto"/>
        <w:right w:val="none" w:sz="0" w:space="0" w:color="auto"/>
      </w:divBdr>
    </w:div>
    <w:div w:id="1799716749">
      <w:bodyDiv w:val="1"/>
      <w:marLeft w:val="0"/>
      <w:marRight w:val="0"/>
      <w:marTop w:val="0"/>
      <w:marBottom w:val="0"/>
      <w:divBdr>
        <w:top w:val="none" w:sz="0" w:space="0" w:color="auto"/>
        <w:left w:val="none" w:sz="0" w:space="0" w:color="auto"/>
        <w:bottom w:val="none" w:sz="0" w:space="0" w:color="auto"/>
        <w:right w:val="none" w:sz="0" w:space="0" w:color="auto"/>
      </w:divBdr>
    </w:div>
    <w:div w:id="1889608857">
      <w:bodyDiv w:val="1"/>
      <w:marLeft w:val="0"/>
      <w:marRight w:val="0"/>
      <w:marTop w:val="0"/>
      <w:marBottom w:val="0"/>
      <w:divBdr>
        <w:top w:val="none" w:sz="0" w:space="0" w:color="auto"/>
        <w:left w:val="none" w:sz="0" w:space="0" w:color="auto"/>
        <w:bottom w:val="none" w:sz="0" w:space="0" w:color="auto"/>
        <w:right w:val="none" w:sz="0" w:space="0" w:color="auto"/>
      </w:divBdr>
    </w:div>
    <w:div w:id="2018458193">
      <w:bodyDiv w:val="1"/>
      <w:marLeft w:val="0"/>
      <w:marRight w:val="0"/>
      <w:marTop w:val="0"/>
      <w:marBottom w:val="0"/>
      <w:divBdr>
        <w:top w:val="none" w:sz="0" w:space="0" w:color="auto"/>
        <w:left w:val="none" w:sz="0" w:space="0" w:color="auto"/>
        <w:bottom w:val="none" w:sz="0" w:space="0" w:color="auto"/>
        <w:right w:val="none" w:sz="0" w:space="0" w:color="auto"/>
      </w:divBdr>
    </w:div>
    <w:div w:id="2039774317">
      <w:bodyDiv w:val="1"/>
      <w:marLeft w:val="0"/>
      <w:marRight w:val="0"/>
      <w:marTop w:val="0"/>
      <w:marBottom w:val="0"/>
      <w:divBdr>
        <w:top w:val="none" w:sz="0" w:space="0" w:color="auto"/>
        <w:left w:val="none" w:sz="0" w:space="0" w:color="auto"/>
        <w:bottom w:val="none" w:sz="0" w:space="0" w:color="auto"/>
        <w:right w:val="none" w:sz="0" w:space="0" w:color="auto"/>
      </w:divBdr>
    </w:div>
    <w:div w:id="2104911497">
      <w:bodyDiv w:val="1"/>
      <w:marLeft w:val="0"/>
      <w:marRight w:val="0"/>
      <w:marTop w:val="0"/>
      <w:marBottom w:val="0"/>
      <w:divBdr>
        <w:top w:val="none" w:sz="0" w:space="0" w:color="auto"/>
        <w:left w:val="none" w:sz="0" w:space="0" w:color="auto"/>
        <w:bottom w:val="none" w:sz="0" w:space="0" w:color="auto"/>
        <w:right w:val="none" w:sz="0" w:space="0" w:color="auto"/>
      </w:divBdr>
    </w:div>
    <w:div w:id="213976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gulation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813005B-21F3-43DF-AB17-8B9BCE106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2825</Words>
  <Characters>16108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IEc Report Format v2.1</vt:lpstr>
    </vt:vector>
  </TitlesOfParts>
  <Company>Industrial Economics Inc.</Company>
  <LinksUpToDate>false</LinksUpToDate>
  <CharactersWithSpaces>18896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 Report Format v2.1</dc:title>
  <dc:creator>Jacob Ebersole</dc:creator>
  <cp:lastModifiedBy>SYSTEM</cp:lastModifiedBy>
  <cp:revision>2</cp:revision>
  <cp:lastPrinted>2018-03-09T20:47:00Z</cp:lastPrinted>
  <dcterms:created xsi:type="dcterms:W3CDTF">2019-04-29T19:19:00Z</dcterms:created>
  <dcterms:modified xsi:type="dcterms:W3CDTF">2019-04-29T19:19:00Z</dcterms:modified>
</cp:coreProperties>
</file>