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43D56" w14:textId="798D2462" w:rsidR="009533EA" w:rsidRPr="009533EA" w:rsidRDefault="009533EA" w:rsidP="00647F57">
      <w:pPr>
        <w:pStyle w:val="Heading1"/>
        <w:numPr>
          <w:ilvl w:val="0"/>
          <w:numId w:val="0"/>
        </w:numPr>
        <w:ind w:left="720"/>
        <w:rPr>
          <w:rFonts w:eastAsia="Times New Roman" w:cs="Times New Roman"/>
          <w:b w:val="0"/>
        </w:rPr>
      </w:pPr>
      <w:bookmarkStart w:id="0" w:name="_GoBack"/>
      <w:bookmarkEnd w:id="0"/>
      <w:r w:rsidRPr="009533EA">
        <w:t xml:space="preserve">Supporting Statement for a Request for </w:t>
      </w:r>
      <w:r w:rsidR="00647F57">
        <w:t xml:space="preserve">an Information Collection Request (ICR) Under the </w:t>
      </w:r>
      <w:r w:rsidRPr="009533EA">
        <w:rPr>
          <w:rFonts w:eastAsia="Times New Roman" w:cs="Times New Roman"/>
        </w:rPr>
        <w:t>Paperwork Reduction Act</w:t>
      </w:r>
      <w:r w:rsidR="00647F57">
        <w:rPr>
          <w:rFonts w:eastAsia="Times New Roman" w:cs="Times New Roman"/>
        </w:rPr>
        <w:t xml:space="preserve"> (PRA)</w:t>
      </w:r>
    </w:p>
    <w:p w14:paraId="1401C8DD" w14:textId="77777777" w:rsidR="009533EA" w:rsidRPr="009533EA" w:rsidRDefault="009533EA" w:rsidP="009533EA">
      <w:pPr>
        <w:rPr>
          <w:rFonts w:eastAsia="Times New Roman" w:cs="Times New Roman"/>
          <w:b/>
          <w:bCs/>
          <w:sz w:val="32"/>
          <w:szCs w:val="32"/>
        </w:rPr>
      </w:pPr>
    </w:p>
    <w:p w14:paraId="238377BD" w14:textId="1AC5EEA9" w:rsidR="001078CD" w:rsidRDefault="009533EA" w:rsidP="00E94CBD">
      <w:pPr>
        <w:pStyle w:val="Heading1"/>
      </w:pPr>
      <w:r w:rsidRPr="009533EA">
        <w:t xml:space="preserve">IDENTIFICATION OF THE INFORMATION COLLECTION </w:t>
      </w:r>
    </w:p>
    <w:p w14:paraId="0326B419" w14:textId="24F872F9" w:rsidR="001C2293" w:rsidRDefault="001C2293" w:rsidP="001C2293">
      <w:pPr>
        <w:pStyle w:val="Heading1"/>
        <w:numPr>
          <w:ilvl w:val="0"/>
          <w:numId w:val="0"/>
        </w:numPr>
        <w:ind w:left="720"/>
        <w:rPr>
          <w:b w:val="0"/>
          <w:bCs w:val="0"/>
          <w:szCs w:val="24"/>
        </w:rPr>
      </w:pPr>
      <w:bookmarkStart w:id="1" w:name="_Hlk525122190"/>
      <w:r w:rsidRPr="00177796">
        <w:rPr>
          <w:b w:val="0"/>
          <w:szCs w:val="24"/>
        </w:rPr>
        <w:t>This docu</w:t>
      </w:r>
      <w:r w:rsidRPr="00A45315">
        <w:rPr>
          <w:b w:val="0"/>
          <w:szCs w:val="24"/>
        </w:rPr>
        <w:t>me</w:t>
      </w:r>
      <w:r>
        <w:rPr>
          <w:b w:val="0"/>
          <w:szCs w:val="24"/>
        </w:rPr>
        <w:t xml:space="preserve">nt quantifies </w:t>
      </w:r>
      <w:r w:rsidRPr="00177796">
        <w:rPr>
          <w:b w:val="0"/>
          <w:szCs w:val="24"/>
        </w:rPr>
        <w:t xml:space="preserve">burden issues associated with the </w:t>
      </w:r>
      <w:r w:rsidR="00FA37A2">
        <w:rPr>
          <w:b w:val="0"/>
          <w:szCs w:val="24"/>
        </w:rPr>
        <w:t>proposed r</w:t>
      </w:r>
      <w:r>
        <w:rPr>
          <w:b w:val="0"/>
          <w:szCs w:val="24"/>
        </w:rPr>
        <w:t xml:space="preserve">ule, which is </w:t>
      </w:r>
      <w:r w:rsidRPr="00177796">
        <w:rPr>
          <w:b w:val="0"/>
          <w:szCs w:val="24"/>
        </w:rPr>
        <w:t xml:space="preserve">a companion rule to the </w:t>
      </w:r>
      <w:r w:rsidRPr="00177796">
        <w:rPr>
          <w:b w:val="0"/>
          <w:bCs w:val="0"/>
          <w:szCs w:val="24"/>
        </w:rPr>
        <w:t>TSCA Inventory Notification (Active-Inactive) Requirements Rule</w:t>
      </w:r>
      <w:r>
        <w:rPr>
          <w:b w:val="0"/>
          <w:bCs w:val="0"/>
          <w:szCs w:val="24"/>
        </w:rPr>
        <w:t xml:space="preserve"> (“Active</w:t>
      </w:r>
      <w:r w:rsidR="00B3255B">
        <w:rPr>
          <w:b w:val="0"/>
          <w:bCs w:val="0"/>
          <w:szCs w:val="24"/>
        </w:rPr>
        <w:t>-</w:t>
      </w:r>
      <w:r>
        <w:rPr>
          <w:b w:val="0"/>
          <w:bCs w:val="0"/>
          <w:szCs w:val="24"/>
        </w:rPr>
        <w:t xml:space="preserve">Inactive Rule”). This </w:t>
      </w:r>
      <w:r w:rsidR="007215AE">
        <w:rPr>
          <w:b w:val="0"/>
          <w:bCs w:val="0"/>
          <w:szCs w:val="24"/>
        </w:rPr>
        <w:t xml:space="preserve">supporting statement for a new ICR </w:t>
      </w:r>
      <w:r>
        <w:rPr>
          <w:b w:val="0"/>
          <w:bCs w:val="0"/>
          <w:szCs w:val="24"/>
        </w:rPr>
        <w:t xml:space="preserve">captures the incremental burdens due to the proposed rule. </w:t>
      </w:r>
    </w:p>
    <w:bookmarkEnd w:id="1"/>
    <w:p w14:paraId="7A59DC4A" w14:textId="68748431" w:rsidR="006212C7" w:rsidRDefault="009533EA" w:rsidP="006573DC">
      <w:pPr>
        <w:pStyle w:val="Heading2"/>
        <w:tabs>
          <w:tab w:val="clear" w:pos="1080"/>
        </w:tabs>
      </w:pPr>
      <w:r w:rsidRPr="009533EA">
        <w:t>Title of the Information Collection</w:t>
      </w:r>
      <w:r w:rsidR="0029722E">
        <w:t>(s)</w:t>
      </w:r>
    </w:p>
    <w:p w14:paraId="650F1AF1" w14:textId="00BE4D47" w:rsidR="00547595" w:rsidRPr="00803DAA" w:rsidRDefault="00547595" w:rsidP="0094705A">
      <w:pPr>
        <w:pStyle w:val="Heading1"/>
        <w:numPr>
          <w:ilvl w:val="0"/>
          <w:numId w:val="0"/>
        </w:numPr>
        <w:ind w:left="720"/>
        <w:rPr>
          <w:rFonts w:eastAsia="Times New Roman"/>
          <w:b w:val="0"/>
          <w:szCs w:val="24"/>
        </w:rPr>
      </w:pPr>
      <w:r w:rsidRPr="00803DAA">
        <w:rPr>
          <w:b w:val="0"/>
        </w:rPr>
        <w:t>TITLE:</w:t>
      </w:r>
      <w:r w:rsidR="00E851E1" w:rsidRPr="00E851E1">
        <w:rPr>
          <w:rFonts w:eastAsia="Times New Roman" w:cs="Times New Roman"/>
        </w:rPr>
        <w:t xml:space="preserve"> </w:t>
      </w:r>
      <w:r w:rsidR="00FA37A2" w:rsidRPr="00921211">
        <w:rPr>
          <w:rFonts w:eastAsia="Times New Roman" w:cs="Times New Roman"/>
          <w:b w:val="0"/>
        </w:rPr>
        <w:t>Procedures for Review of CBI Claims for the Identity of Chemicals on the TSCA Inventory</w:t>
      </w:r>
      <w:r w:rsidR="00FA37A2" w:rsidRPr="00FA37A2" w:rsidDel="00FA37A2">
        <w:rPr>
          <w:rFonts w:eastAsia="Times New Roman" w:cs="Times New Roman"/>
        </w:rPr>
        <w:t xml:space="preserve"> </w:t>
      </w:r>
    </w:p>
    <w:p w14:paraId="0F8976BB" w14:textId="07F6D59B" w:rsidR="00547595" w:rsidRPr="00803DAA" w:rsidRDefault="00547595" w:rsidP="0094705A">
      <w:pPr>
        <w:pStyle w:val="Heading1"/>
        <w:numPr>
          <w:ilvl w:val="0"/>
          <w:numId w:val="0"/>
        </w:numPr>
        <w:ind w:left="720"/>
        <w:rPr>
          <w:b w:val="0"/>
        </w:rPr>
      </w:pPr>
      <w:r w:rsidRPr="00803DAA">
        <w:rPr>
          <w:b w:val="0"/>
        </w:rPr>
        <w:t xml:space="preserve">EPA ICR No.: </w:t>
      </w:r>
      <w:r w:rsidR="00DC523C">
        <w:rPr>
          <w:b w:val="0"/>
        </w:rPr>
        <w:t>2594.01</w:t>
      </w:r>
      <w:r w:rsidR="00B4006C">
        <w:rPr>
          <w:b w:val="0"/>
        </w:rPr>
        <w:t xml:space="preserve"> </w:t>
      </w:r>
      <w:r w:rsidRPr="00803DAA">
        <w:rPr>
          <w:b w:val="0"/>
        </w:rPr>
        <w:t>OMB Control No.:</w:t>
      </w:r>
      <w:r w:rsidRPr="00803DAA">
        <w:rPr>
          <w:b w:val="0"/>
          <w:color w:val="FF0000"/>
        </w:rPr>
        <w:t xml:space="preserve"> </w:t>
      </w:r>
      <w:r w:rsidRPr="00803DAA">
        <w:rPr>
          <w:b w:val="0"/>
        </w:rPr>
        <w:t>2070-</w:t>
      </w:r>
      <w:r w:rsidR="00095B1E" w:rsidRPr="00441A43">
        <w:rPr>
          <w:b w:val="0"/>
        </w:rPr>
        <w:t>NEW</w:t>
      </w:r>
    </w:p>
    <w:p w14:paraId="279C9BFB" w14:textId="50C2F051" w:rsidR="00547595" w:rsidRDefault="00547595" w:rsidP="0094705A">
      <w:pPr>
        <w:pStyle w:val="Heading1"/>
        <w:numPr>
          <w:ilvl w:val="0"/>
          <w:numId w:val="0"/>
        </w:numPr>
        <w:ind w:left="720"/>
        <w:rPr>
          <w:rFonts w:cs="Times New Roman"/>
        </w:rPr>
      </w:pPr>
      <w:r w:rsidRPr="00803DAA">
        <w:rPr>
          <w:b w:val="0"/>
        </w:rPr>
        <w:t xml:space="preserve">Docket ID No.: </w:t>
      </w:r>
      <w:r w:rsidR="00B4006C" w:rsidRPr="008046B9">
        <w:rPr>
          <w:rFonts w:cs="Times New Roman"/>
          <w:b w:val="0"/>
        </w:rPr>
        <w:t>EPA-HQ-OPPT-2018-0320</w:t>
      </w:r>
      <w:r w:rsidR="00B4006C">
        <w:rPr>
          <w:rFonts w:cs="Times New Roman"/>
        </w:rPr>
        <w:t xml:space="preserve"> </w:t>
      </w:r>
    </w:p>
    <w:p w14:paraId="618A277E" w14:textId="0D84F377" w:rsidR="00095B1E" w:rsidRPr="00803DAA" w:rsidRDefault="00095B1E" w:rsidP="0094705A">
      <w:pPr>
        <w:pStyle w:val="Heading1"/>
        <w:numPr>
          <w:ilvl w:val="0"/>
          <w:numId w:val="0"/>
        </w:numPr>
        <w:ind w:left="720"/>
        <w:rPr>
          <w:rFonts w:eastAsia="Times New Roman" w:cs="Times New Roman"/>
          <w:b w:val="0"/>
          <w:szCs w:val="24"/>
        </w:rPr>
      </w:pPr>
      <w:r>
        <w:rPr>
          <w:rFonts w:eastAsia="Times New Roman" w:cs="Times New Roman"/>
          <w:b w:val="0"/>
          <w:szCs w:val="24"/>
        </w:rPr>
        <w:t xml:space="preserve">Reference ICR: </w:t>
      </w:r>
      <w:r w:rsidRPr="00095B1E">
        <w:rPr>
          <w:rFonts w:eastAsia="Times New Roman" w:cs="Times New Roman"/>
          <w:b w:val="0"/>
          <w:szCs w:val="24"/>
        </w:rPr>
        <w:t>TSCA Section 8(b) Reporting Requirements for TSCA Inventory Notifications</w:t>
      </w:r>
      <w:r>
        <w:rPr>
          <w:rFonts w:eastAsia="Times New Roman" w:cs="Times New Roman"/>
          <w:b w:val="0"/>
          <w:szCs w:val="24"/>
        </w:rPr>
        <w:t xml:space="preserve"> (EPA ICR No. 2565.03; OMB Control No. </w:t>
      </w:r>
      <w:r w:rsidR="0016072B">
        <w:rPr>
          <w:rFonts w:eastAsia="Times New Roman" w:cs="Times New Roman"/>
          <w:b w:val="0"/>
          <w:szCs w:val="24"/>
        </w:rPr>
        <w:t>2070-</w:t>
      </w:r>
      <w:r>
        <w:rPr>
          <w:rFonts w:eastAsia="Times New Roman" w:cs="Times New Roman"/>
          <w:b w:val="0"/>
          <w:szCs w:val="24"/>
        </w:rPr>
        <w:t>0201)</w:t>
      </w:r>
    </w:p>
    <w:p w14:paraId="08251AA2" w14:textId="7A5012A3" w:rsidR="009533EA" w:rsidRPr="009533EA" w:rsidRDefault="006212C7" w:rsidP="00A40EE7">
      <w:pPr>
        <w:pStyle w:val="Heading2"/>
        <w:numPr>
          <w:ilvl w:val="0"/>
          <w:numId w:val="0"/>
        </w:numPr>
        <w:ind w:left="1080" w:hanging="360"/>
      </w:pPr>
      <w:r>
        <w:t xml:space="preserve">1(b) </w:t>
      </w:r>
      <w:r w:rsidR="009533EA" w:rsidRPr="009533EA">
        <w:t>Short Characterization/Abstract</w:t>
      </w:r>
    </w:p>
    <w:p w14:paraId="53115201" w14:textId="72A7E2C0" w:rsidR="00547595" w:rsidRPr="009111BE" w:rsidRDefault="00547595" w:rsidP="00547595">
      <w:pPr>
        <w:ind w:left="720"/>
        <w:rPr>
          <w:rFonts w:eastAsia="Arial Unicode MS" w:cs="Arial"/>
        </w:rPr>
      </w:pPr>
      <w:bookmarkStart w:id="2" w:name="_Hlk525129151"/>
      <w:bookmarkStart w:id="3" w:name="_Hlk525122646"/>
      <w:r w:rsidRPr="00867D27">
        <w:rPr>
          <w:rFonts w:cs="Arial"/>
          <w:lang w:val="en"/>
        </w:rPr>
        <w:t>The Toxic Substances Control Act (TSCA), as amended by the Frank R. Lautenberg Chemical Safety for the 21</w:t>
      </w:r>
      <w:r w:rsidRPr="00867D27">
        <w:rPr>
          <w:rFonts w:cs="Arial"/>
          <w:vertAlign w:val="superscript"/>
          <w:lang w:val="en"/>
        </w:rPr>
        <w:t>st</w:t>
      </w:r>
      <w:r w:rsidRPr="00867D27">
        <w:rPr>
          <w:rFonts w:cs="Arial"/>
          <w:lang w:val="en"/>
        </w:rPr>
        <w:t xml:space="preserve"> Century Act, required EPA to designate </w:t>
      </w:r>
      <w:r>
        <w:rPr>
          <w:rFonts w:cs="Arial"/>
          <w:lang w:val="en"/>
        </w:rPr>
        <w:t xml:space="preserve">chemical substances </w:t>
      </w:r>
      <w:r w:rsidRPr="00867D27">
        <w:rPr>
          <w:rFonts w:cs="Arial"/>
          <w:lang w:val="en"/>
        </w:rPr>
        <w:t>on the TSCA Chemical Substance Inventory as either “active” or “inactive” in U.S. commerce. T</w:t>
      </w:r>
      <w:bookmarkEnd w:id="2"/>
      <w:r w:rsidRPr="00867D27">
        <w:rPr>
          <w:rFonts w:cs="Arial"/>
          <w:lang w:val="en"/>
        </w:rPr>
        <w:t>o accomplish that, EPA finalized a rule</w:t>
      </w:r>
      <w:r>
        <w:rPr>
          <w:rFonts w:cs="Arial"/>
          <w:lang w:val="en"/>
        </w:rPr>
        <w:t xml:space="preserve">, the </w:t>
      </w:r>
      <w:bookmarkStart w:id="4" w:name="_Hlk525128745"/>
      <w:r w:rsidRPr="00177796">
        <w:rPr>
          <w:rFonts w:cs="Arial"/>
          <w:bCs/>
        </w:rPr>
        <w:t>TSCA Inventory Notification (Active-Inactive) Requirements Rule</w:t>
      </w:r>
      <w:r>
        <w:rPr>
          <w:b/>
          <w:bCs/>
        </w:rPr>
        <w:t xml:space="preserve"> </w:t>
      </w:r>
      <w:r w:rsidRPr="009111BE">
        <w:rPr>
          <w:bCs/>
        </w:rPr>
        <w:t>(“Active-Inactive Rule”)</w:t>
      </w:r>
      <w:r>
        <w:rPr>
          <w:b/>
          <w:bCs/>
        </w:rPr>
        <w:t xml:space="preserve"> </w:t>
      </w:r>
      <w:bookmarkEnd w:id="4"/>
      <w:r w:rsidRPr="00867D27">
        <w:rPr>
          <w:rFonts w:cs="Arial"/>
          <w:lang w:val="en"/>
        </w:rPr>
        <w:t>requiring industry reporting of chemicals manufactured (including imported) or processed in the U.S. over the past 10 years, ending on June 21, 2016. This reporting will be used to identify which</w:t>
      </w:r>
      <w:r>
        <w:rPr>
          <w:rFonts w:cs="Arial"/>
          <w:lang w:val="en"/>
        </w:rPr>
        <w:t xml:space="preserve"> chemical substances </w:t>
      </w:r>
      <w:r w:rsidRPr="00867D27">
        <w:rPr>
          <w:rFonts w:cs="Arial"/>
          <w:lang w:val="en"/>
        </w:rPr>
        <w:t>on the TSCA Inventory are active in U.S. commerce and will help inform the prioritization of chemicals for risk evaluation. The reporting period for manufacturers (includes importers) ended on February 7, 2018, and the reporting period for processors end</w:t>
      </w:r>
      <w:r w:rsidR="000A7D7E">
        <w:rPr>
          <w:rFonts w:cs="Arial"/>
          <w:lang w:val="en"/>
        </w:rPr>
        <w:t>ed</w:t>
      </w:r>
      <w:r w:rsidRPr="00867D27">
        <w:rPr>
          <w:rFonts w:cs="Arial"/>
          <w:lang w:val="en"/>
        </w:rPr>
        <w:t xml:space="preserve"> on October 5, 2018.  </w:t>
      </w:r>
      <w:r w:rsidRPr="00867D27">
        <w:rPr>
          <w:rFonts w:eastAsia="Arial Unicode MS" w:cs="Arial"/>
        </w:rPr>
        <w:t xml:space="preserve">82 FR 37520 (8/11/17) </w:t>
      </w:r>
      <w:hyperlink r:id="rId13" w:history="1">
        <w:r w:rsidRPr="00C44636">
          <w:rPr>
            <w:rFonts w:eastAsia="Arial Unicode MS" w:cs="Arial"/>
            <w:i/>
            <w:color w:val="0000FF"/>
            <w:u w:val="single"/>
          </w:rPr>
          <w:t>https://www.regulations.gov/document?D=EPA-HQ-OPPT-2016-0426-0070</w:t>
        </w:r>
      </w:hyperlink>
      <w:r>
        <w:rPr>
          <w:rFonts w:eastAsia="Arial Unicode MS" w:cs="Arial"/>
          <w:i/>
          <w:color w:val="0000FF"/>
        </w:rPr>
        <w:t xml:space="preserve">  </w:t>
      </w:r>
      <w:r w:rsidRPr="009111BE">
        <w:rPr>
          <w:rFonts w:eastAsia="Arial Unicode MS" w:cs="Arial"/>
        </w:rPr>
        <w:t>Included in t</w:t>
      </w:r>
      <w:r>
        <w:rPr>
          <w:rFonts w:eastAsia="Arial Unicode MS" w:cs="Arial"/>
        </w:rPr>
        <w:t>he Active-Inactive Rule were provisions for the submission of confidential business information (CBI). Submitters were required to substantiate all CBI claims made in that collection, except for chemical substance identity</w:t>
      </w:r>
      <w:r w:rsidR="000A7D7E">
        <w:rPr>
          <w:rFonts w:eastAsia="Arial Unicode MS" w:cs="Arial"/>
        </w:rPr>
        <w:t>—</w:t>
      </w:r>
      <w:r>
        <w:rPr>
          <w:rFonts w:eastAsia="Arial Unicode MS" w:cs="Arial"/>
        </w:rPr>
        <w:t>which they had an option to voluntarily substantiate.</w:t>
      </w:r>
    </w:p>
    <w:p w14:paraId="5A83CA80" w14:textId="77777777" w:rsidR="00547595" w:rsidRPr="009111BE" w:rsidRDefault="00547595" w:rsidP="00547595">
      <w:pPr>
        <w:ind w:left="720"/>
        <w:rPr>
          <w:rFonts w:cs="Arial"/>
        </w:rPr>
      </w:pPr>
    </w:p>
    <w:p w14:paraId="0CFC7E0C" w14:textId="72646CC7" w:rsidR="00547595" w:rsidRDefault="00547595" w:rsidP="00547595">
      <w:pPr>
        <w:ind w:left="720"/>
        <w:rPr>
          <w:rFonts w:cs="Arial"/>
        </w:rPr>
      </w:pPr>
      <w:r>
        <w:rPr>
          <w:rFonts w:cs="Arial"/>
        </w:rPr>
        <w:t xml:space="preserve">This regulatory action, </w:t>
      </w:r>
      <w:r w:rsidR="00B4006C">
        <w:rPr>
          <w:rFonts w:cs="Arial"/>
        </w:rPr>
        <w:t xml:space="preserve">the </w:t>
      </w:r>
      <w:r w:rsidR="00FA37A2" w:rsidRPr="00FA37A2">
        <w:rPr>
          <w:rFonts w:cs="Arial"/>
        </w:rPr>
        <w:t xml:space="preserve">Procedures for Review of CBI Claims for the Identity of Chemicals on the TSCA Inventory </w:t>
      </w:r>
      <w:r w:rsidR="00B4006C">
        <w:rPr>
          <w:rFonts w:cs="Arial"/>
        </w:rPr>
        <w:t>(RIN 2070-AK21)</w:t>
      </w:r>
      <w:r>
        <w:rPr>
          <w:rFonts w:cs="Arial"/>
        </w:rPr>
        <w:t>, is a companion rule to the</w:t>
      </w:r>
      <w:r w:rsidRPr="007039F2">
        <w:rPr>
          <w:rFonts w:cs="Arial"/>
        </w:rPr>
        <w:t xml:space="preserve"> </w:t>
      </w:r>
      <w:r>
        <w:rPr>
          <w:rFonts w:cs="Arial"/>
        </w:rPr>
        <w:t>Active</w:t>
      </w:r>
      <w:r w:rsidR="00B3255B">
        <w:rPr>
          <w:rFonts w:cs="Arial"/>
        </w:rPr>
        <w:t>-</w:t>
      </w:r>
      <w:r>
        <w:rPr>
          <w:rFonts w:cs="Arial"/>
        </w:rPr>
        <w:t xml:space="preserve">Inactive </w:t>
      </w:r>
      <w:r w:rsidRPr="00415A5F">
        <w:rPr>
          <w:rFonts w:cs="Arial"/>
          <w:bCs/>
        </w:rPr>
        <w:t>Rule</w:t>
      </w:r>
      <w:r>
        <w:rPr>
          <w:rFonts w:cs="Arial"/>
          <w:bCs/>
        </w:rPr>
        <w:t>.</w:t>
      </w:r>
      <w:r>
        <w:rPr>
          <w:rFonts w:cs="Arial"/>
          <w:b/>
          <w:bCs/>
        </w:rPr>
        <w:t xml:space="preserve"> </w:t>
      </w:r>
      <w:r>
        <w:rPr>
          <w:rFonts w:cs="Arial"/>
        </w:rPr>
        <w:t>TSCA section 8(b)(4)(C</w:t>
      </w:r>
      <w:r w:rsidRPr="007039F2">
        <w:rPr>
          <w:rFonts w:cs="Arial"/>
        </w:rPr>
        <w:t xml:space="preserve">) </w:t>
      </w:r>
      <w:r>
        <w:rPr>
          <w:rFonts w:cs="Arial"/>
        </w:rPr>
        <w:t xml:space="preserve">requires that </w:t>
      </w:r>
      <w:r w:rsidRPr="00867D27">
        <w:rPr>
          <w:rFonts w:cs="Arial"/>
        </w:rPr>
        <w:t xml:space="preserve">“(n)ot later than 1 year after the date on which the Administrator compiles the initial list of active substances, the Administrator </w:t>
      </w:r>
      <w:r w:rsidRPr="00867D27">
        <w:rPr>
          <w:rFonts w:cs="Arial"/>
        </w:rPr>
        <w:lastRenderedPageBreak/>
        <w:t xml:space="preserve">shall promulgate a rule that establishes a plan to review all </w:t>
      </w:r>
      <w:r>
        <w:rPr>
          <w:rFonts w:cs="Arial"/>
        </w:rPr>
        <w:t xml:space="preserve">CBI </w:t>
      </w:r>
      <w:r w:rsidRPr="00867D27">
        <w:rPr>
          <w:rFonts w:cs="Arial"/>
        </w:rPr>
        <w:t>claims to protect the specific chemical identities of chemical substances on the confidential portion of the list.”  The statute at 8(b)(4)(D) prescribe</w:t>
      </w:r>
      <w:r>
        <w:rPr>
          <w:rFonts w:cs="Arial"/>
        </w:rPr>
        <w:t>s</w:t>
      </w:r>
      <w:r w:rsidRPr="00867D27">
        <w:rPr>
          <w:rFonts w:cs="Arial"/>
        </w:rPr>
        <w:t xml:space="preserve"> the requirements of the plan. TSCA section 8(b)(4)(E) provide</w:t>
      </w:r>
      <w:r>
        <w:rPr>
          <w:rFonts w:cs="Arial"/>
        </w:rPr>
        <w:t>s</w:t>
      </w:r>
      <w:r w:rsidRPr="00867D27">
        <w:rPr>
          <w:rFonts w:cs="Arial"/>
        </w:rPr>
        <w:t xml:space="preserve"> the timeframe for the reviews</w:t>
      </w:r>
      <w:r>
        <w:rPr>
          <w:rFonts w:cs="Arial"/>
        </w:rPr>
        <w:t xml:space="preserve"> of the specific chemical identities claimed as confidential</w:t>
      </w:r>
      <w:r w:rsidRPr="00867D27">
        <w:rPr>
          <w:rFonts w:cs="Arial"/>
        </w:rPr>
        <w:t>, extension possibilit</w:t>
      </w:r>
      <w:r>
        <w:rPr>
          <w:rFonts w:cs="Arial"/>
        </w:rPr>
        <w:t>ies</w:t>
      </w:r>
      <w:r w:rsidRPr="00867D27">
        <w:rPr>
          <w:rFonts w:cs="Arial"/>
        </w:rPr>
        <w:t xml:space="preserve"> and process</w:t>
      </w:r>
      <w:r>
        <w:rPr>
          <w:rFonts w:cs="Arial"/>
        </w:rPr>
        <w:t>,</w:t>
      </w:r>
      <w:r w:rsidRPr="00867D27">
        <w:rPr>
          <w:rFonts w:cs="Arial"/>
        </w:rPr>
        <w:t xml:space="preserve"> and requirements for providing </w:t>
      </w:r>
      <w:r>
        <w:rPr>
          <w:rFonts w:cs="Arial"/>
        </w:rPr>
        <w:t>updates</w:t>
      </w:r>
      <w:r w:rsidRPr="00867D27">
        <w:rPr>
          <w:rFonts w:cs="Arial"/>
        </w:rPr>
        <w:t xml:space="preserve"> on the Agency’s p</w:t>
      </w:r>
      <w:r w:rsidRPr="004C74BB">
        <w:rPr>
          <w:rFonts w:cs="Arial"/>
        </w:rPr>
        <w:t>r</w:t>
      </w:r>
      <w:r w:rsidRPr="008046B9">
        <w:rPr>
          <w:rFonts w:cs="Arial"/>
        </w:rPr>
        <w:t>og</w:t>
      </w:r>
      <w:r w:rsidRPr="004C74BB">
        <w:rPr>
          <w:rFonts w:cs="Arial"/>
        </w:rPr>
        <w:t>r</w:t>
      </w:r>
      <w:r w:rsidRPr="00867D27">
        <w:rPr>
          <w:rFonts w:cs="Arial"/>
        </w:rPr>
        <w:t xml:space="preserve">ess. </w:t>
      </w:r>
    </w:p>
    <w:p w14:paraId="4D7C5B44" w14:textId="77777777" w:rsidR="00547595" w:rsidRDefault="00547595" w:rsidP="00547595">
      <w:pPr>
        <w:ind w:left="720"/>
        <w:rPr>
          <w:rFonts w:cs="Arial"/>
        </w:rPr>
      </w:pPr>
    </w:p>
    <w:p w14:paraId="36C60F6D" w14:textId="11AE14F1" w:rsidR="00547595" w:rsidRDefault="00547595" w:rsidP="00547595">
      <w:pPr>
        <w:ind w:left="720"/>
        <w:rPr>
          <w:rFonts w:cs="Arial"/>
        </w:rPr>
      </w:pPr>
      <w:r>
        <w:rPr>
          <w:rFonts w:cs="Arial"/>
        </w:rPr>
        <w:t xml:space="preserve">The data elements covered under the </w:t>
      </w:r>
      <w:r w:rsidR="00FA37A2">
        <w:rPr>
          <w:rFonts w:cs="Arial"/>
        </w:rPr>
        <w:t>proposed</w:t>
      </w:r>
      <w:r>
        <w:rPr>
          <w:rFonts w:cs="Arial"/>
        </w:rPr>
        <w:t xml:space="preserve"> </w:t>
      </w:r>
      <w:r w:rsidR="00B4006C">
        <w:rPr>
          <w:rFonts w:cs="Arial"/>
        </w:rPr>
        <w:t>r</w:t>
      </w:r>
      <w:r w:rsidR="00B3255B">
        <w:rPr>
          <w:rFonts w:cs="Arial"/>
        </w:rPr>
        <w:t xml:space="preserve">ule </w:t>
      </w:r>
      <w:r>
        <w:rPr>
          <w:rFonts w:cs="Arial"/>
        </w:rPr>
        <w:t>are chemical substance identities claimed as CBI in the Active-Inactive Rule collection.  In many instances the chemical substance identities were voluntarily substantiated through the Active</w:t>
      </w:r>
      <w:r w:rsidR="00B3255B">
        <w:rPr>
          <w:rFonts w:cs="Arial"/>
        </w:rPr>
        <w:t>-</w:t>
      </w:r>
      <w:r>
        <w:rPr>
          <w:rFonts w:cs="Arial"/>
        </w:rPr>
        <w:t xml:space="preserve">Inactive Rule collection. </w:t>
      </w:r>
    </w:p>
    <w:p w14:paraId="674AACA0" w14:textId="77777777" w:rsidR="00547595" w:rsidRDefault="00547595" w:rsidP="00547595">
      <w:pPr>
        <w:ind w:left="720"/>
        <w:rPr>
          <w:rFonts w:cs="Arial"/>
        </w:rPr>
      </w:pPr>
    </w:p>
    <w:p w14:paraId="36CD62C6" w14:textId="5E6624C3" w:rsidR="00547595" w:rsidRPr="009111BE" w:rsidRDefault="00547595" w:rsidP="00547595">
      <w:pPr>
        <w:ind w:left="720"/>
        <w:rPr>
          <w:rFonts w:cs="Arial"/>
        </w:rPr>
      </w:pPr>
      <w:r>
        <w:rPr>
          <w:rFonts w:cs="Arial"/>
        </w:rPr>
        <w:t>This ICR covers the burden for those who submitted a NOA Form A, but did not voluntarily substantiated CBI claims for chemical substance identity in the Active</w:t>
      </w:r>
      <w:r w:rsidR="00B3255B">
        <w:rPr>
          <w:rFonts w:cs="Arial"/>
        </w:rPr>
        <w:t>-</w:t>
      </w:r>
      <w:r>
        <w:rPr>
          <w:rFonts w:cs="Arial"/>
        </w:rPr>
        <w:t>Inactive Rule submission</w:t>
      </w:r>
      <w:r w:rsidR="008E4A1D" w:rsidRPr="008E4A1D">
        <w:t xml:space="preserve"> </w:t>
      </w:r>
      <w:r w:rsidR="008E4A1D" w:rsidRPr="008E4A1D">
        <w:rPr>
          <w:rFonts w:cs="Arial"/>
        </w:rPr>
        <w:t xml:space="preserve">who are required to submit substantiation under the </w:t>
      </w:r>
      <w:r w:rsidR="00FA37A2">
        <w:rPr>
          <w:rFonts w:cs="Arial"/>
        </w:rPr>
        <w:t>proposed</w:t>
      </w:r>
      <w:r w:rsidR="008E4A1D" w:rsidRPr="008E4A1D">
        <w:rPr>
          <w:rFonts w:cs="Arial"/>
        </w:rPr>
        <w:t xml:space="preserve"> rule.</w:t>
      </w:r>
    </w:p>
    <w:bookmarkEnd w:id="3"/>
    <w:p w14:paraId="085EA121" w14:textId="77777777" w:rsidR="00547595" w:rsidRDefault="00547595" w:rsidP="009627D1">
      <w:pPr>
        <w:pStyle w:val="BodyText"/>
      </w:pPr>
    </w:p>
    <w:p w14:paraId="025C27B8" w14:textId="77777777" w:rsidR="00272F4D" w:rsidRPr="00CA1FD0" w:rsidRDefault="00272F4D" w:rsidP="00272F4D">
      <w:pPr>
        <w:pStyle w:val="Heading1"/>
      </w:pPr>
      <w:r w:rsidRPr="00CA1FD0">
        <w:t>NEED FOR AND USE OF THE COLLECTION</w:t>
      </w:r>
    </w:p>
    <w:p w14:paraId="246C742B" w14:textId="38036AE5" w:rsidR="00272F4D" w:rsidRPr="00547595" w:rsidRDefault="00272F4D" w:rsidP="00C453B6">
      <w:pPr>
        <w:pStyle w:val="Heading2"/>
        <w:rPr>
          <w:b w:val="0"/>
        </w:rPr>
      </w:pPr>
      <w:r w:rsidRPr="00547595">
        <w:rPr>
          <w:b w:val="0"/>
        </w:rPr>
        <w:t>Need/Authority for the</w:t>
      </w:r>
      <w:r w:rsidR="000C422A">
        <w:rPr>
          <w:b w:val="0"/>
        </w:rPr>
        <w:t xml:space="preserve"> </w:t>
      </w:r>
      <w:r w:rsidR="00C453B6" w:rsidRPr="00547595">
        <w:rPr>
          <w:rFonts w:cstheme="minorBidi"/>
          <w:b w:val="0"/>
          <w:bCs w:val="0"/>
          <w:iCs w:val="0"/>
          <w:szCs w:val="24"/>
        </w:rPr>
        <w:t>Collection</w:t>
      </w:r>
    </w:p>
    <w:p w14:paraId="3CB62362" w14:textId="7E4801BD" w:rsidR="00547595" w:rsidRDefault="00547595" w:rsidP="008046B9">
      <w:pPr>
        <w:ind w:left="720"/>
        <w:rPr>
          <w:rFonts w:eastAsia="Arial Unicode MS"/>
          <w:i/>
          <w:color w:val="0000FF"/>
          <w:u w:val="single"/>
        </w:rPr>
      </w:pPr>
      <w:bookmarkStart w:id="5" w:name="_Hlk525122768"/>
      <w:r w:rsidRPr="00547595">
        <w:rPr>
          <w:lang w:val="en"/>
        </w:rPr>
        <w:t>The Toxic Substances Control Act (TSCA), as amended by the Frank R. Lautenberg Chemical Safety for the 21</w:t>
      </w:r>
      <w:r w:rsidRPr="00547595">
        <w:rPr>
          <w:vertAlign w:val="superscript"/>
          <w:lang w:val="en"/>
        </w:rPr>
        <w:t>st</w:t>
      </w:r>
      <w:r w:rsidRPr="00547595">
        <w:rPr>
          <w:lang w:val="en"/>
        </w:rPr>
        <w:t xml:space="preserve"> Century Act, required EPA to designate chemical substances on the TSCA Chemical Substance Inventory as either “active” or “inactive” in U.S. commerce. To accomplish that, EPA finalized a rule requiring industry reporting of chemicals manufactured (including imported) or processed in the U.S. over the past 10 years, ending on June 21, 2016. This reporting will be used to identify which chemical substances on the TSCA Inventory are active in U.S. commerce and will help inform the prioritization of chemicals for risk evaluation. The reporting period for manufacturers (includes importers) ended on February 7, 2018, and the reporting period for processors end</w:t>
      </w:r>
      <w:r w:rsidR="004C74BB">
        <w:rPr>
          <w:lang w:val="en"/>
        </w:rPr>
        <w:t>ed</w:t>
      </w:r>
      <w:r w:rsidRPr="00547595">
        <w:rPr>
          <w:lang w:val="en"/>
        </w:rPr>
        <w:t xml:space="preserve"> on October 5, 2018.  </w:t>
      </w:r>
      <w:r w:rsidRPr="00547595">
        <w:rPr>
          <w:rFonts w:eastAsia="Arial Unicode MS"/>
        </w:rPr>
        <w:t xml:space="preserve">82 FR 37520 (8/11/17) </w:t>
      </w:r>
      <w:hyperlink r:id="rId14" w:history="1">
        <w:r w:rsidRPr="00547595">
          <w:rPr>
            <w:rFonts w:eastAsia="Arial Unicode MS"/>
            <w:i/>
            <w:color w:val="0000FF"/>
            <w:u w:val="single"/>
          </w:rPr>
          <w:t>https://www.regulations.gov/document?D=EPA-HQ-OPPT-2016-0426-0070</w:t>
        </w:r>
      </w:hyperlink>
    </w:p>
    <w:p w14:paraId="2AA3497A" w14:textId="77777777" w:rsidR="009A0B3C" w:rsidRPr="00547595" w:rsidRDefault="009A0B3C" w:rsidP="008046B9">
      <w:pPr>
        <w:ind w:left="720"/>
        <w:rPr>
          <w:rFonts w:eastAsia="Arial Unicode MS"/>
        </w:rPr>
      </w:pPr>
    </w:p>
    <w:p w14:paraId="32783D4B" w14:textId="2EF372D7" w:rsidR="00547595" w:rsidRPr="00547595" w:rsidRDefault="00547595" w:rsidP="008046B9">
      <w:pPr>
        <w:ind w:left="720"/>
      </w:pPr>
      <w:r w:rsidRPr="00547595">
        <w:t>As noted above, this regulatory action, is a companion rule to the Active</w:t>
      </w:r>
      <w:r w:rsidR="00B3255B">
        <w:t>-</w:t>
      </w:r>
      <w:r w:rsidRPr="00547595">
        <w:t xml:space="preserve">Inactive Rule. TSCA section 8(b)(4)(C) requires that “(n)ot later than 1 year after the date on which the Administrator compiles the initial list of active substances, the Administrator shall promulgate a rule that establishes a plan to review all claims to protect the specific chemical identities of chemical substances on the confidential portion of the list.”  The statute at 8(b)(4)(D) prescribes the requirements of the plan. TSCA section 8(b)(4)(E) provides the timeframe for the reviews of the specific chemical identities claimed as confidential, extension possibilities and process, and requirements for providing updates on the Agency’s progress. </w:t>
      </w:r>
    </w:p>
    <w:p w14:paraId="34E49178" w14:textId="4C89665E" w:rsidR="00547595" w:rsidRPr="00547595" w:rsidRDefault="00547595" w:rsidP="0094705A">
      <w:pPr>
        <w:pStyle w:val="Heading1"/>
        <w:numPr>
          <w:ilvl w:val="0"/>
          <w:numId w:val="0"/>
        </w:numPr>
        <w:ind w:left="720"/>
        <w:rPr>
          <w:b w:val="0"/>
        </w:rPr>
      </w:pPr>
      <w:r w:rsidRPr="00547595">
        <w:rPr>
          <w:b w:val="0"/>
        </w:rPr>
        <w:lastRenderedPageBreak/>
        <w:t>This ICR covers the burden for those who have not voluntarily substantiated CBI claims for chemical substance identity in the Active</w:t>
      </w:r>
      <w:r w:rsidR="00B3255B">
        <w:rPr>
          <w:b w:val="0"/>
        </w:rPr>
        <w:t>-</w:t>
      </w:r>
      <w:r w:rsidRPr="00547595">
        <w:rPr>
          <w:b w:val="0"/>
        </w:rPr>
        <w:t>Inactive Rule Collection</w:t>
      </w:r>
      <w:r w:rsidR="000A7D7E">
        <w:rPr>
          <w:b w:val="0"/>
        </w:rPr>
        <w:t xml:space="preserve"> who are required to submit substantiation under the </w:t>
      </w:r>
      <w:r w:rsidR="00FA37A2">
        <w:rPr>
          <w:b w:val="0"/>
        </w:rPr>
        <w:t>proposed</w:t>
      </w:r>
      <w:r w:rsidR="000A7D7E">
        <w:rPr>
          <w:b w:val="0"/>
        </w:rPr>
        <w:t xml:space="preserve"> rule</w:t>
      </w:r>
      <w:r w:rsidRPr="00547595">
        <w:rPr>
          <w:b w:val="0"/>
        </w:rPr>
        <w:t>.</w:t>
      </w:r>
      <w:bookmarkEnd w:id="5"/>
    </w:p>
    <w:p w14:paraId="6A33D68A" w14:textId="613E0B8D" w:rsidR="00272F4D" w:rsidRPr="009533EA" w:rsidRDefault="00272F4D" w:rsidP="00815C22">
      <w:pPr>
        <w:pStyle w:val="Heading2"/>
      </w:pPr>
      <w:r w:rsidRPr="009533EA">
        <w:t>Practical Utility/Users of the Data</w:t>
      </w:r>
    </w:p>
    <w:p w14:paraId="1D72D912" w14:textId="47D0654E" w:rsidR="00DC4822" w:rsidRDefault="00547595" w:rsidP="008046B9">
      <w:pPr>
        <w:ind w:left="720"/>
      </w:pPr>
      <w:bookmarkStart w:id="6" w:name="_Hlk525122850"/>
      <w:r w:rsidRPr="00917F22">
        <w:t>The collection of information is mandated by TSCA section 8(b)(4)(C)</w:t>
      </w:r>
      <w:r w:rsidR="000C422A">
        <w:t xml:space="preserve"> and (D)</w:t>
      </w:r>
      <w:r w:rsidRPr="00917F22">
        <w:t xml:space="preserve">.  The primary users of the data will be Federal staff who will use the information to inform the mandated confidentiality review process.  This in turn will facilitate an updating of the TSCA Inventory, culling from the confidential portion of the active list those CBI listed chemicals that do not meet the criteria. </w:t>
      </w:r>
      <w:bookmarkEnd w:id="6"/>
    </w:p>
    <w:p w14:paraId="7D8A9E0B" w14:textId="06C061C1" w:rsidR="00272F4D" w:rsidRPr="000D2D6D" w:rsidRDefault="00272F4D" w:rsidP="00272F4D">
      <w:pPr>
        <w:pStyle w:val="Heading1"/>
        <w:rPr>
          <w:rFonts w:eastAsia="Times New Roman" w:cs="Times New Roman"/>
        </w:rPr>
      </w:pPr>
      <w:r w:rsidRPr="000D2D6D">
        <w:t xml:space="preserve">NON-DUPLICATION, CONSULTATIONS, AND OTHER COLLECTION </w:t>
      </w:r>
      <w:r w:rsidRPr="000D2D6D">
        <w:rPr>
          <w:rFonts w:eastAsia="Times New Roman" w:cs="Times New Roman"/>
        </w:rPr>
        <w:t xml:space="preserve">CRITERIA </w:t>
      </w:r>
    </w:p>
    <w:p w14:paraId="49DE1916" w14:textId="2A9A9627" w:rsidR="00272F4D" w:rsidRDefault="00272F4D" w:rsidP="00272F4D">
      <w:pPr>
        <w:pStyle w:val="Heading2"/>
      </w:pPr>
      <w:r w:rsidRPr="009533EA">
        <w:t>Non-Duplication</w:t>
      </w:r>
    </w:p>
    <w:p w14:paraId="66F28527" w14:textId="72C17006" w:rsidR="00951966" w:rsidRDefault="0094705A" w:rsidP="008046B9">
      <w:pPr>
        <w:ind w:left="720"/>
      </w:pPr>
      <w:r w:rsidRPr="00917F22">
        <w:t xml:space="preserve">The collection of </w:t>
      </w:r>
      <w:r w:rsidR="00951966">
        <w:t xml:space="preserve">the </w:t>
      </w:r>
      <w:r w:rsidRPr="00917F22">
        <w:t>information is mandated by TSCA section 8(b)(4)(C)</w:t>
      </w:r>
      <w:r w:rsidR="00951966">
        <w:t xml:space="preserve"> and (D)</w:t>
      </w:r>
      <w:r w:rsidRPr="00917F22">
        <w:t xml:space="preserve">.  </w:t>
      </w:r>
      <w:r>
        <w:t xml:space="preserve">The information sought </w:t>
      </w:r>
      <w:r w:rsidR="00951966">
        <w:t xml:space="preserve">is necessary to address this requirement. While information could have been provided voluntarily pursuant the Active-Inactive </w:t>
      </w:r>
      <w:r w:rsidR="00803DAA">
        <w:t>R</w:t>
      </w:r>
      <w:r w:rsidR="00951966">
        <w:t xml:space="preserve">ule, persons who were required to substantiate claims, and did not do so through the voluntary collection, will need to comply with this collection. </w:t>
      </w:r>
    </w:p>
    <w:p w14:paraId="748CCCFB" w14:textId="43A7E72D" w:rsidR="00272F4D" w:rsidRPr="009533EA" w:rsidRDefault="00951966" w:rsidP="00951966">
      <w:pPr>
        <w:pStyle w:val="Heading1"/>
        <w:numPr>
          <w:ilvl w:val="0"/>
          <w:numId w:val="0"/>
        </w:numPr>
        <w:ind w:left="720"/>
      </w:pPr>
      <w:r w:rsidRPr="00951966">
        <w:t>3(b)</w:t>
      </w:r>
      <w:r>
        <w:rPr>
          <w:b w:val="0"/>
        </w:rPr>
        <w:t xml:space="preserve"> </w:t>
      </w:r>
      <w:r w:rsidR="00272F4D" w:rsidRPr="009533EA">
        <w:t>Public Notice Required Prior to ICR</w:t>
      </w:r>
      <w:r w:rsidR="008A17D2">
        <w:t xml:space="preserve"> </w:t>
      </w:r>
      <w:r w:rsidR="00272F4D" w:rsidRPr="009533EA">
        <w:t>submission to OMB</w:t>
      </w:r>
    </w:p>
    <w:p w14:paraId="38B4E3ED" w14:textId="77777777" w:rsidR="00547595" w:rsidRPr="00917F22" w:rsidRDefault="00547595" w:rsidP="00547595">
      <w:pPr>
        <w:pStyle w:val="Heading1"/>
        <w:numPr>
          <w:ilvl w:val="0"/>
          <w:numId w:val="0"/>
        </w:numPr>
        <w:ind w:left="720"/>
        <w:rPr>
          <w:b w:val="0"/>
        </w:rPr>
      </w:pPr>
      <w:r w:rsidRPr="00917F22">
        <w:rPr>
          <w:b w:val="0"/>
        </w:rPr>
        <w:t xml:space="preserve">The proposed rulemaking serves as the public notice for this ICR. Interested parties should submit comments referencing Docket ID No. EPA-HQ-OPPT-2016-0426 to the address listed at the end of this document. Responses will be taken into account in developing the final rulemaking. </w:t>
      </w:r>
    </w:p>
    <w:p w14:paraId="680C4A1D" w14:textId="7C2B7772" w:rsidR="00D2696E" w:rsidRPr="009533EA" w:rsidRDefault="00951966" w:rsidP="00951966">
      <w:pPr>
        <w:pStyle w:val="Heading2"/>
        <w:numPr>
          <w:ilvl w:val="0"/>
          <w:numId w:val="0"/>
        </w:numPr>
        <w:ind w:left="1080" w:hanging="360"/>
      </w:pPr>
      <w:r>
        <w:t xml:space="preserve">3(c) </w:t>
      </w:r>
      <w:r w:rsidR="00D2696E" w:rsidRPr="009533EA">
        <w:t>Consultations</w:t>
      </w:r>
    </w:p>
    <w:p w14:paraId="578356EE" w14:textId="42AEF7F7" w:rsidR="00615D64" w:rsidRPr="00615D64" w:rsidRDefault="00615D64" w:rsidP="0094705A">
      <w:pPr>
        <w:pStyle w:val="Heading1"/>
        <w:numPr>
          <w:ilvl w:val="0"/>
          <w:numId w:val="0"/>
        </w:numPr>
        <w:ind w:left="720"/>
        <w:rPr>
          <w:b w:val="0"/>
        </w:rPr>
      </w:pPr>
      <w:bookmarkStart w:id="7" w:name="_Hlk525123229"/>
      <w:r w:rsidRPr="00615D64">
        <w:rPr>
          <w:b w:val="0"/>
        </w:rPr>
        <w:t xml:space="preserve">There have been no additional consultations to those noted in the reference ICR. </w:t>
      </w:r>
    </w:p>
    <w:p w14:paraId="64AAC718" w14:textId="77777777" w:rsidR="00615D64" w:rsidRPr="00615D64" w:rsidRDefault="00615D64" w:rsidP="0094705A">
      <w:pPr>
        <w:pStyle w:val="Heading1"/>
        <w:numPr>
          <w:ilvl w:val="0"/>
          <w:numId w:val="0"/>
        </w:numPr>
        <w:ind w:left="720"/>
        <w:rPr>
          <w:b w:val="0"/>
        </w:rPr>
      </w:pPr>
      <w:r w:rsidRPr="00615D64">
        <w:rPr>
          <w:b w:val="0"/>
        </w:rPr>
        <w:t>This collection does not exceed any of the Paperwork Reduction Act (PRA) guidelines at 5 CFR 1320.6.</w:t>
      </w:r>
    </w:p>
    <w:bookmarkEnd w:id="7"/>
    <w:p w14:paraId="2F887097" w14:textId="32678B1B" w:rsidR="00272F4D" w:rsidRPr="009533EA" w:rsidRDefault="00951966" w:rsidP="00951966">
      <w:pPr>
        <w:pStyle w:val="Heading2"/>
        <w:numPr>
          <w:ilvl w:val="0"/>
          <w:numId w:val="0"/>
        </w:numPr>
        <w:ind w:left="1080" w:hanging="360"/>
      </w:pPr>
      <w:r>
        <w:t xml:space="preserve">3(d) </w:t>
      </w:r>
      <w:r w:rsidR="00272F4D" w:rsidRPr="009533EA">
        <w:t>General Guidelines</w:t>
      </w:r>
    </w:p>
    <w:p w14:paraId="205429B9" w14:textId="77777777" w:rsidR="00272F4D" w:rsidRPr="009533EA" w:rsidRDefault="00272F4D" w:rsidP="0094705A">
      <w:pPr>
        <w:pStyle w:val="BodyText"/>
        <w:ind w:left="720" w:firstLine="0"/>
      </w:pPr>
      <w:r w:rsidRPr="009533EA">
        <w:t>This collection does not exceed any of the Paperwork Reduction Act (PRA) guidelines at 5 CFR 1320.6, with the exceptions listed below.</w:t>
      </w:r>
    </w:p>
    <w:p w14:paraId="57D16204" w14:textId="16B1F9B3" w:rsidR="00230BC8" w:rsidRPr="009533EA" w:rsidRDefault="00230BC8" w:rsidP="0094705A">
      <w:pPr>
        <w:pStyle w:val="BodyText"/>
        <w:ind w:left="720" w:firstLine="0"/>
      </w:pPr>
      <w:r w:rsidRPr="009533EA">
        <w:t xml:space="preserve">The record retention period of this collection is five years, as specified in 40 CFR 711.25, exceeding the PRA maximum of three years. </w:t>
      </w:r>
      <w:r w:rsidR="001D622A">
        <w:t>EPA is not proposing changes to the record retention period.</w:t>
      </w:r>
    </w:p>
    <w:p w14:paraId="16AA1C0E" w14:textId="06FBE45C" w:rsidR="00272F4D" w:rsidRPr="009533EA" w:rsidRDefault="00951966" w:rsidP="00951966">
      <w:pPr>
        <w:pStyle w:val="Heading2"/>
        <w:numPr>
          <w:ilvl w:val="0"/>
          <w:numId w:val="0"/>
        </w:numPr>
        <w:ind w:left="1080" w:hanging="360"/>
      </w:pPr>
      <w:r>
        <w:t xml:space="preserve">3(e) </w:t>
      </w:r>
      <w:r w:rsidR="00272F4D" w:rsidRPr="009533EA">
        <w:t>Confidentiality</w:t>
      </w:r>
    </w:p>
    <w:p w14:paraId="160807D8" w14:textId="77777777" w:rsidR="00951966" w:rsidRDefault="00917F22" w:rsidP="00951966">
      <w:pPr>
        <w:pStyle w:val="BodyText"/>
        <w:ind w:right="105"/>
      </w:pPr>
      <w:r w:rsidRPr="0094705A">
        <w:t>No changes from reference ICR.</w:t>
      </w:r>
      <w:r w:rsidR="00951966">
        <w:t xml:space="preserve"> </w:t>
      </w:r>
    </w:p>
    <w:p w14:paraId="187FD53A" w14:textId="055748DA" w:rsidR="00951966" w:rsidRPr="00951966" w:rsidRDefault="00951966" w:rsidP="00921211">
      <w:pPr>
        <w:pStyle w:val="BodyText"/>
        <w:ind w:left="720" w:right="105" w:firstLine="0"/>
      </w:pPr>
      <w:r>
        <w:t xml:space="preserve">The required </w:t>
      </w:r>
      <w:r w:rsidRPr="00951966">
        <w:t>information may</w:t>
      </w:r>
      <w:r w:rsidRPr="00951966">
        <w:rPr>
          <w:spacing w:val="-5"/>
        </w:rPr>
        <w:t xml:space="preserve"> </w:t>
      </w:r>
      <w:r w:rsidRPr="00951966">
        <w:t>be considered by</w:t>
      </w:r>
      <w:r w:rsidRPr="00951966">
        <w:rPr>
          <w:spacing w:val="-5"/>
        </w:rPr>
        <w:t xml:space="preserve"> </w:t>
      </w:r>
      <w:r w:rsidRPr="00951966">
        <w:t xml:space="preserve">the submitter to be a trade secret, </w:t>
      </w:r>
      <w:r w:rsidRPr="00951966">
        <w:rPr>
          <w:spacing w:val="-1"/>
        </w:rPr>
        <w:t xml:space="preserve">proprietary, or </w:t>
      </w:r>
      <w:r w:rsidRPr="00951966">
        <w:t xml:space="preserve">confidential business </w:t>
      </w:r>
      <w:r w:rsidRPr="00951966">
        <w:rPr>
          <w:spacing w:val="-1"/>
        </w:rPr>
        <w:t>information (CBI).</w:t>
      </w:r>
      <w:r w:rsidRPr="00951966">
        <w:rPr>
          <w:spacing w:val="2"/>
        </w:rPr>
        <w:t xml:space="preserve"> </w:t>
      </w:r>
      <w:r w:rsidRPr="00951966">
        <w:t>However,</w:t>
      </w:r>
      <w:r w:rsidRPr="00951966">
        <w:rPr>
          <w:spacing w:val="-1"/>
        </w:rPr>
        <w:t xml:space="preserve"> </w:t>
      </w:r>
      <w:r w:rsidRPr="00951966">
        <w:t>TSCA</w:t>
      </w:r>
      <w:r w:rsidRPr="00951966">
        <w:rPr>
          <w:spacing w:val="50"/>
        </w:rPr>
        <w:t xml:space="preserve"> </w:t>
      </w:r>
      <w:r w:rsidRPr="00951966">
        <w:t>mandates that EPA require the submission of such information because it is essential for maintaining the individual chemical substance listings on the TSCA Inventory</w:t>
      </w:r>
      <w:r w:rsidRPr="00951966">
        <w:rPr>
          <w:spacing w:val="-1"/>
        </w:rPr>
        <w:t>.</w:t>
      </w:r>
      <w:r w:rsidRPr="00951966">
        <w:rPr>
          <w:spacing w:val="2"/>
        </w:rPr>
        <w:t xml:space="preserve"> </w:t>
      </w:r>
      <w:r w:rsidRPr="00951966">
        <w:t>Because unique, individual chemical substances are listed on the Inventory, the Agency requires specific chemical identity information for each listing to properly maintain on the TSCA Inventory. Additionally, the Agency</w:t>
      </w:r>
      <w:r w:rsidRPr="00951966">
        <w:rPr>
          <w:spacing w:val="-5"/>
        </w:rPr>
        <w:t xml:space="preserve"> </w:t>
      </w:r>
      <w:r w:rsidRPr="00951966">
        <w:t xml:space="preserve">is </w:t>
      </w:r>
      <w:r w:rsidRPr="00951966">
        <w:rPr>
          <w:spacing w:val="-1"/>
        </w:rPr>
        <w:t>required</w:t>
      </w:r>
      <w:r w:rsidRPr="00951966">
        <w:rPr>
          <w:spacing w:val="1"/>
        </w:rPr>
        <w:t xml:space="preserve"> </w:t>
      </w:r>
      <w:r w:rsidRPr="00951966">
        <w:t>by</w:t>
      </w:r>
      <w:r w:rsidRPr="00951966">
        <w:rPr>
          <w:spacing w:val="-5"/>
        </w:rPr>
        <w:t xml:space="preserve"> </w:t>
      </w:r>
      <w:r w:rsidRPr="00951966">
        <w:t xml:space="preserve">TSCA </w:t>
      </w:r>
      <w:r w:rsidRPr="00951966">
        <w:rPr>
          <w:spacing w:val="-1"/>
        </w:rPr>
        <w:t xml:space="preserve">section 8(b) </w:t>
      </w:r>
      <w:r w:rsidRPr="00951966">
        <w:rPr>
          <w:spacing w:val="1"/>
        </w:rPr>
        <w:t>to</w:t>
      </w:r>
      <w:r w:rsidRPr="00951966">
        <w:t xml:space="preserve"> routinely publish non-confidential data on each chemical substance on the TSCA Inventory</w:t>
      </w:r>
      <w:r w:rsidRPr="00951966">
        <w:rPr>
          <w:spacing w:val="-1"/>
        </w:rPr>
        <w:t>.</w:t>
      </w:r>
      <w:r w:rsidRPr="00951966">
        <w:t xml:space="preserve"> </w:t>
      </w:r>
      <w:r w:rsidRPr="00951966">
        <w:rPr>
          <w:spacing w:val="-1"/>
        </w:rPr>
        <w:t>Congress</w:t>
      </w:r>
      <w:r w:rsidRPr="00951966">
        <w:rPr>
          <w:spacing w:val="23"/>
        </w:rPr>
        <w:t xml:space="preserve"> </w:t>
      </w:r>
      <w:r w:rsidRPr="00951966">
        <w:t>included this provision to provide the public with information on chemical substances in U.S. commerce.</w:t>
      </w:r>
    </w:p>
    <w:p w14:paraId="7B23D2F4" w14:textId="77777777" w:rsidR="00951966" w:rsidRPr="00951966" w:rsidRDefault="00951966" w:rsidP="008046B9">
      <w:pPr>
        <w:widowControl w:val="0"/>
        <w:ind w:left="720" w:right="126"/>
        <w:rPr>
          <w:rFonts w:eastAsia="Times New Roman"/>
          <w:spacing w:val="-1"/>
        </w:rPr>
      </w:pPr>
      <w:r w:rsidRPr="00951966">
        <w:rPr>
          <w:rFonts w:eastAsia="Times New Roman"/>
        </w:rPr>
        <w:t xml:space="preserve">The </w:t>
      </w:r>
      <w:r w:rsidRPr="00951966">
        <w:rPr>
          <w:rFonts w:eastAsia="Times New Roman"/>
          <w:spacing w:val="-1"/>
        </w:rPr>
        <w:t>Agency’s</w:t>
      </w:r>
      <w:r w:rsidRPr="00951966">
        <w:rPr>
          <w:rFonts w:eastAsia="Times New Roman"/>
        </w:rPr>
        <w:t xml:space="preserve"> policies allow public involvement while preserving </w:t>
      </w:r>
      <w:r w:rsidRPr="00951966">
        <w:rPr>
          <w:rFonts w:eastAsia="Times New Roman"/>
          <w:spacing w:val="-1"/>
        </w:rPr>
        <w:t>confidentiality.</w:t>
      </w:r>
      <w:r w:rsidRPr="00951966">
        <w:rPr>
          <w:rFonts w:eastAsia="Times New Roman"/>
        </w:rPr>
        <w:t xml:space="preserve"> TSCA</w:t>
      </w:r>
      <w:r w:rsidRPr="00951966">
        <w:rPr>
          <w:rFonts w:eastAsia="Times New Roman"/>
          <w:spacing w:val="24"/>
        </w:rPr>
        <w:t xml:space="preserve"> </w:t>
      </w:r>
      <w:r w:rsidRPr="00951966">
        <w:rPr>
          <w:rFonts w:eastAsia="Times New Roman"/>
        </w:rPr>
        <w:t>section</w:t>
      </w:r>
      <w:r w:rsidRPr="00951966">
        <w:rPr>
          <w:rFonts w:eastAsia="Times New Roman"/>
          <w:spacing w:val="-1"/>
        </w:rPr>
        <w:t xml:space="preserve"> </w:t>
      </w:r>
      <w:r w:rsidRPr="00951966">
        <w:rPr>
          <w:rFonts w:eastAsia="Times New Roman"/>
        </w:rPr>
        <w:t>14(a)</w:t>
      </w:r>
      <w:r w:rsidRPr="00951966">
        <w:rPr>
          <w:rFonts w:eastAsia="Times New Roman"/>
          <w:spacing w:val="-1"/>
        </w:rPr>
        <w:t xml:space="preserve"> </w:t>
      </w:r>
      <w:r w:rsidRPr="00951966">
        <w:rPr>
          <w:rFonts w:eastAsia="Times New Roman"/>
        </w:rPr>
        <w:t>prohibits,</w:t>
      </w:r>
      <w:r w:rsidRPr="00951966">
        <w:rPr>
          <w:rFonts w:eastAsia="Times New Roman"/>
          <w:spacing w:val="-1"/>
        </w:rPr>
        <w:t xml:space="preserve"> </w:t>
      </w:r>
      <w:r w:rsidRPr="00951966">
        <w:rPr>
          <w:rFonts w:eastAsia="Times New Roman"/>
        </w:rPr>
        <w:t>except</w:t>
      </w:r>
      <w:r w:rsidRPr="00951966">
        <w:rPr>
          <w:rFonts w:eastAsia="Times New Roman"/>
          <w:spacing w:val="-1"/>
        </w:rPr>
        <w:t xml:space="preserve"> </w:t>
      </w:r>
      <w:r w:rsidRPr="00951966">
        <w:rPr>
          <w:rFonts w:eastAsia="Times New Roman"/>
        </w:rPr>
        <w:t>in</w:t>
      </w:r>
      <w:r w:rsidRPr="00951966">
        <w:rPr>
          <w:rFonts w:eastAsia="Times New Roman"/>
          <w:spacing w:val="-1"/>
        </w:rPr>
        <w:t xml:space="preserve"> </w:t>
      </w:r>
      <w:r w:rsidRPr="00951966">
        <w:rPr>
          <w:rFonts w:eastAsia="Times New Roman"/>
        </w:rPr>
        <w:t>limited</w:t>
      </w:r>
      <w:r w:rsidRPr="00951966">
        <w:rPr>
          <w:rFonts w:eastAsia="Times New Roman"/>
          <w:spacing w:val="-1"/>
        </w:rPr>
        <w:t xml:space="preserve"> </w:t>
      </w:r>
      <w:r w:rsidRPr="00951966">
        <w:rPr>
          <w:rFonts w:eastAsia="Times New Roman"/>
        </w:rPr>
        <w:t>circumstances,</w:t>
      </w:r>
      <w:r w:rsidRPr="00951966">
        <w:rPr>
          <w:rFonts w:eastAsia="Times New Roman"/>
          <w:spacing w:val="-1"/>
        </w:rPr>
        <w:t xml:space="preserve"> </w:t>
      </w:r>
      <w:r w:rsidRPr="00951966">
        <w:rPr>
          <w:rFonts w:eastAsia="Times New Roman"/>
        </w:rPr>
        <w:t>the</w:t>
      </w:r>
      <w:r w:rsidRPr="00951966">
        <w:rPr>
          <w:rFonts w:eastAsia="Times New Roman"/>
          <w:spacing w:val="-1"/>
        </w:rPr>
        <w:t xml:space="preserve"> </w:t>
      </w:r>
      <w:r w:rsidRPr="00951966">
        <w:rPr>
          <w:rFonts w:eastAsia="Times New Roman"/>
        </w:rPr>
        <w:t>disclosure</w:t>
      </w:r>
      <w:r w:rsidRPr="00951966">
        <w:rPr>
          <w:rFonts w:eastAsia="Times New Roman"/>
          <w:spacing w:val="-1"/>
        </w:rPr>
        <w:t xml:space="preserve"> </w:t>
      </w:r>
      <w:r w:rsidRPr="00951966">
        <w:rPr>
          <w:rFonts w:eastAsia="Times New Roman"/>
        </w:rPr>
        <w:t>of</w:t>
      </w:r>
      <w:r w:rsidRPr="00951966">
        <w:rPr>
          <w:rFonts w:eastAsia="Times New Roman"/>
          <w:spacing w:val="-1"/>
        </w:rPr>
        <w:t xml:space="preserve"> </w:t>
      </w:r>
      <w:r w:rsidRPr="00951966">
        <w:rPr>
          <w:rFonts w:eastAsia="Times New Roman"/>
        </w:rPr>
        <w:t>trade</w:t>
      </w:r>
      <w:r w:rsidRPr="00951966">
        <w:rPr>
          <w:rFonts w:eastAsia="Times New Roman"/>
          <w:spacing w:val="-1"/>
        </w:rPr>
        <w:t xml:space="preserve"> </w:t>
      </w:r>
      <w:r w:rsidRPr="00951966">
        <w:rPr>
          <w:rFonts w:eastAsia="Times New Roman"/>
        </w:rPr>
        <w:t xml:space="preserve">secret </w:t>
      </w:r>
      <w:r w:rsidRPr="00951966">
        <w:rPr>
          <w:rFonts w:eastAsia="Times New Roman"/>
          <w:spacing w:val="-1"/>
        </w:rPr>
        <w:t>information.</w:t>
      </w:r>
      <w:r w:rsidRPr="00951966">
        <w:rPr>
          <w:rFonts w:eastAsia="Times New Roman"/>
        </w:rPr>
        <w:t xml:space="preserve"> Under</w:t>
      </w:r>
      <w:r w:rsidRPr="00951966">
        <w:rPr>
          <w:rFonts w:eastAsia="Times New Roman"/>
          <w:spacing w:val="32"/>
        </w:rPr>
        <w:t xml:space="preserve"> </w:t>
      </w:r>
      <w:r w:rsidRPr="00951966">
        <w:rPr>
          <w:rFonts w:eastAsia="Times New Roman"/>
          <w:spacing w:val="-1"/>
        </w:rPr>
        <w:t>40 CFR part</w:t>
      </w:r>
      <w:r w:rsidRPr="00951966">
        <w:rPr>
          <w:rFonts w:eastAsia="Times New Roman"/>
        </w:rPr>
        <w:t xml:space="preserve"> 2, when the specific chemical identity</w:t>
      </w:r>
      <w:r w:rsidRPr="00951966">
        <w:rPr>
          <w:rFonts w:eastAsia="Times New Roman"/>
          <w:spacing w:val="-5"/>
        </w:rPr>
        <w:t xml:space="preserve"> </w:t>
      </w:r>
      <w:r w:rsidRPr="00951966">
        <w:rPr>
          <w:rFonts w:eastAsia="Times New Roman"/>
        </w:rPr>
        <w:t>data are claimed confidential, the Agency</w:t>
      </w:r>
      <w:r w:rsidRPr="00951966">
        <w:rPr>
          <w:rFonts w:eastAsia="Times New Roman"/>
          <w:spacing w:val="-6"/>
        </w:rPr>
        <w:t xml:space="preserve"> </w:t>
      </w:r>
      <w:r w:rsidRPr="00951966">
        <w:rPr>
          <w:rFonts w:eastAsia="Times New Roman"/>
        </w:rPr>
        <w:t>requires the submitter to provide generic descriptions for inclusion in</w:t>
      </w:r>
      <w:r w:rsidRPr="00951966">
        <w:rPr>
          <w:rFonts w:eastAsia="Times New Roman"/>
          <w:spacing w:val="-1"/>
        </w:rPr>
        <w:t xml:space="preserve"> Federal Register </w:t>
      </w:r>
      <w:r w:rsidRPr="00951966">
        <w:rPr>
          <w:rFonts w:eastAsia="Times New Roman"/>
        </w:rPr>
        <w:t>notices and the publications of the TSCA Inventory</w:t>
      </w:r>
      <w:r w:rsidRPr="00951966">
        <w:rPr>
          <w:rFonts w:eastAsia="Times New Roman"/>
          <w:spacing w:val="-1"/>
        </w:rPr>
        <w:t>. Persons will be reporting chemical identity information in NOAs based on a list of TSCA Inventory chemical substances posted in EPA’s Substance Registry System. This list does not contain confidential chemical identity information. In reporting a non-CBI substance, persons will select a substance listed with a Chemical Abstracts Service Registry Number (CASRN) and a Chemical Abstracts (CA) Index name. In reporting a confidential substance, persons will select a substance listed with a generic chemical name and an EPA-assigned accession number. Although no confidential chemical identity information will be included in NOAs, persons are required to reassert claims to maintain the confidentiality of chemical substances as listed on the confidential portion of the TSCA Inventory.</w:t>
      </w:r>
    </w:p>
    <w:p w14:paraId="2860E662" w14:textId="77777777" w:rsidR="00951966" w:rsidRPr="00951966" w:rsidRDefault="00951966" w:rsidP="00951966">
      <w:pPr>
        <w:widowControl w:val="0"/>
        <w:ind w:left="100" w:right="126" w:firstLine="720"/>
        <w:rPr>
          <w:rFonts w:eastAsia="Times New Roman"/>
          <w:spacing w:val="-1"/>
        </w:rPr>
      </w:pPr>
    </w:p>
    <w:p w14:paraId="28730E4D" w14:textId="77777777" w:rsidR="00951966" w:rsidRPr="00951966" w:rsidRDefault="00951966" w:rsidP="008046B9">
      <w:pPr>
        <w:widowControl w:val="0"/>
        <w:ind w:left="720" w:right="126"/>
        <w:rPr>
          <w:rFonts w:eastAsia="Times New Roman"/>
          <w:spacing w:val="-1"/>
        </w:rPr>
      </w:pPr>
      <w:r w:rsidRPr="00951966">
        <w:rPr>
          <w:rFonts w:eastAsia="Times New Roman"/>
          <w:spacing w:val="-1"/>
        </w:rPr>
        <w:t>The 2016 amendments to TSCA include new provisions that impact procedures for how confidential business information claims can be made and the Agency’s obligations to review and make determinations concerning the validity of the claims. Persons submitting NOAs that claim reported information CBI must follow the general requirements of TSCA section 14 for making such claims, as modified by the specific provisions under to TSCA section 8(b). TSCA section 14(c) requires that submitters claiming CBI must provide a specific statement attesting to the basis for the CBI claims. TSCA also requires that all submissions containing information claimed as CBI must also include substantiations in support of the CBI claims. With the exception of existing claims on chemical identity (as stated in TSCA section 8(b)), substantiations are required at the time of notification.</w:t>
      </w:r>
    </w:p>
    <w:p w14:paraId="60F86B80" w14:textId="77777777" w:rsidR="00951966" w:rsidRPr="00951966" w:rsidRDefault="00951966" w:rsidP="00951966">
      <w:pPr>
        <w:widowControl w:val="0"/>
        <w:rPr>
          <w:rFonts w:eastAsia="Times New Roman" w:cs="Times New Roman"/>
        </w:rPr>
      </w:pPr>
    </w:p>
    <w:p w14:paraId="3540EAF0" w14:textId="77777777" w:rsidR="00951966" w:rsidRPr="00951966" w:rsidRDefault="00951966" w:rsidP="008046B9">
      <w:pPr>
        <w:widowControl w:val="0"/>
        <w:ind w:left="720" w:right="99"/>
        <w:rPr>
          <w:rFonts w:eastAsia="Times New Roman"/>
        </w:rPr>
      </w:pPr>
      <w:r w:rsidRPr="00951966">
        <w:rPr>
          <w:rFonts w:eastAsia="Times New Roman"/>
        </w:rPr>
        <w:t xml:space="preserve">Based on its experience, EPA expects that information included in NOAs, specifically submitter information (company name and contact information), will likely be claimed </w:t>
      </w:r>
      <w:r w:rsidRPr="00951966">
        <w:rPr>
          <w:rFonts w:eastAsia="Times New Roman"/>
          <w:spacing w:val="-1"/>
        </w:rPr>
        <w:t>CBI.</w:t>
      </w:r>
      <w:r w:rsidRPr="00951966">
        <w:rPr>
          <w:rFonts w:eastAsia="Times New Roman"/>
        </w:rPr>
        <w:t xml:space="preserve"> The Agency has developed an elaborate </w:t>
      </w:r>
      <w:r w:rsidRPr="00951966">
        <w:rPr>
          <w:rFonts w:eastAsia="Times New Roman"/>
          <w:spacing w:val="-1"/>
        </w:rPr>
        <w:t>system</w:t>
      </w:r>
      <w:r w:rsidRPr="00951966">
        <w:rPr>
          <w:rFonts w:eastAsia="Times New Roman"/>
        </w:rPr>
        <w:t xml:space="preserve"> to prevent unauthorized disclosure</w:t>
      </w:r>
      <w:r w:rsidRPr="00951966">
        <w:rPr>
          <w:rFonts w:eastAsia="Times New Roman"/>
          <w:spacing w:val="21"/>
        </w:rPr>
        <w:t xml:space="preserve"> </w:t>
      </w:r>
      <w:r w:rsidRPr="00951966">
        <w:rPr>
          <w:rFonts w:eastAsia="Times New Roman"/>
        </w:rPr>
        <w:t xml:space="preserve">of </w:t>
      </w:r>
      <w:r w:rsidRPr="00951966">
        <w:rPr>
          <w:rFonts w:eastAsia="Times New Roman"/>
          <w:spacing w:val="-1"/>
        </w:rPr>
        <w:t>CBI.</w:t>
      </w:r>
      <w:r w:rsidRPr="00951966">
        <w:rPr>
          <w:rFonts w:eastAsia="Times New Roman"/>
        </w:rPr>
        <w:t xml:space="preserve"> This system includes procedures </w:t>
      </w:r>
      <w:r w:rsidRPr="00951966">
        <w:rPr>
          <w:rFonts w:eastAsia="Times New Roman"/>
          <w:spacing w:val="-1"/>
        </w:rPr>
        <w:t>for</w:t>
      </w:r>
      <w:r w:rsidRPr="00951966">
        <w:rPr>
          <w:rFonts w:eastAsia="Times New Roman"/>
        </w:rPr>
        <w:t xml:space="preserve"> logging material in and out of the Confidential</w:t>
      </w:r>
      <w:r w:rsidRPr="00951966">
        <w:rPr>
          <w:rFonts w:eastAsia="Times New Roman"/>
          <w:spacing w:val="22"/>
        </w:rPr>
        <w:t xml:space="preserve"> </w:t>
      </w:r>
      <w:r w:rsidRPr="00951966">
        <w:rPr>
          <w:rFonts w:eastAsia="Times New Roman"/>
          <w:spacing w:val="-1"/>
        </w:rPr>
        <w:t>Business Information Center (CBIC) at EPA headquarters,</w:t>
      </w:r>
      <w:r w:rsidRPr="00951966">
        <w:rPr>
          <w:rFonts w:eastAsia="Times New Roman"/>
        </w:rPr>
        <w:t xml:space="preserve"> procedures for </w:t>
      </w:r>
      <w:r w:rsidRPr="00951966">
        <w:rPr>
          <w:rFonts w:eastAsia="Times New Roman"/>
          <w:spacing w:val="-1"/>
        </w:rPr>
        <w:t>photocopying and</w:t>
      </w:r>
      <w:r w:rsidRPr="00951966">
        <w:rPr>
          <w:rFonts w:eastAsia="Times New Roman"/>
          <w:spacing w:val="24"/>
        </w:rPr>
        <w:t xml:space="preserve"> </w:t>
      </w:r>
      <w:r w:rsidRPr="00951966">
        <w:rPr>
          <w:rFonts w:eastAsia="Times New Roman"/>
        </w:rPr>
        <w:t xml:space="preserve">transmitting </w:t>
      </w:r>
      <w:r w:rsidRPr="00951966">
        <w:rPr>
          <w:rFonts w:eastAsia="Times New Roman"/>
          <w:spacing w:val="-1"/>
        </w:rPr>
        <w:t>CBI,</w:t>
      </w:r>
      <w:r w:rsidRPr="00951966">
        <w:rPr>
          <w:rFonts w:eastAsia="Times New Roman"/>
        </w:rPr>
        <w:t xml:space="preserve"> and a </w:t>
      </w:r>
      <w:r w:rsidRPr="00951966">
        <w:rPr>
          <w:rFonts w:eastAsia="Times New Roman"/>
          <w:spacing w:val="-1"/>
        </w:rPr>
        <w:t xml:space="preserve">stand-alone </w:t>
      </w:r>
      <w:r w:rsidRPr="00951966">
        <w:rPr>
          <w:rFonts w:eastAsia="Times New Roman"/>
        </w:rPr>
        <w:t>CBI</w:t>
      </w:r>
      <w:r w:rsidRPr="00951966">
        <w:rPr>
          <w:rFonts w:eastAsia="Times New Roman"/>
          <w:spacing w:val="-1"/>
        </w:rPr>
        <w:t xml:space="preserve"> </w:t>
      </w:r>
      <w:r w:rsidRPr="00951966">
        <w:rPr>
          <w:rFonts w:eastAsia="Times New Roman"/>
        </w:rPr>
        <w:t>local</w:t>
      </w:r>
      <w:r w:rsidRPr="00951966">
        <w:rPr>
          <w:rFonts w:eastAsia="Times New Roman"/>
          <w:spacing w:val="-1"/>
        </w:rPr>
        <w:t xml:space="preserve"> </w:t>
      </w:r>
      <w:r w:rsidRPr="00951966">
        <w:rPr>
          <w:rFonts w:eastAsia="Times New Roman"/>
        </w:rPr>
        <w:t>area</w:t>
      </w:r>
      <w:r w:rsidRPr="00951966">
        <w:rPr>
          <w:rFonts w:eastAsia="Times New Roman"/>
          <w:spacing w:val="-1"/>
        </w:rPr>
        <w:t xml:space="preserve"> </w:t>
      </w:r>
      <w:r w:rsidRPr="00951966">
        <w:rPr>
          <w:rFonts w:eastAsia="Times New Roman"/>
        </w:rPr>
        <w:t>computer</w:t>
      </w:r>
      <w:r w:rsidRPr="00951966">
        <w:rPr>
          <w:rFonts w:eastAsia="Times New Roman"/>
          <w:spacing w:val="-1"/>
        </w:rPr>
        <w:t xml:space="preserve"> network.</w:t>
      </w:r>
      <w:r w:rsidRPr="00951966">
        <w:rPr>
          <w:rFonts w:eastAsia="Times New Roman"/>
        </w:rPr>
        <w:t xml:space="preserve"> </w:t>
      </w:r>
      <w:r w:rsidRPr="00951966">
        <w:rPr>
          <w:rFonts w:eastAsia="Times New Roman"/>
          <w:spacing w:val="-1"/>
        </w:rPr>
        <w:t xml:space="preserve">These procedures </w:t>
      </w:r>
      <w:r w:rsidRPr="00951966">
        <w:rPr>
          <w:rFonts w:eastAsia="Times New Roman"/>
        </w:rPr>
        <w:t>apply</w:t>
      </w:r>
      <w:r w:rsidRPr="00951966">
        <w:rPr>
          <w:rFonts w:eastAsia="Times New Roman"/>
          <w:spacing w:val="-3"/>
        </w:rPr>
        <w:t xml:space="preserve"> </w:t>
      </w:r>
      <w:r w:rsidRPr="00951966">
        <w:rPr>
          <w:rFonts w:eastAsia="Times New Roman"/>
          <w:spacing w:val="-2"/>
        </w:rPr>
        <w:t>to</w:t>
      </w:r>
      <w:r w:rsidRPr="00951966">
        <w:rPr>
          <w:rFonts w:eastAsia="Times New Roman"/>
          <w:spacing w:val="41"/>
        </w:rPr>
        <w:t xml:space="preserve"> </w:t>
      </w:r>
      <w:r w:rsidRPr="00951966">
        <w:rPr>
          <w:rFonts w:eastAsia="Times New Roman"/>
        </w:rPr>
        <w:t>CBI submitted by</w:t>
      </w:r>
      <w:r w:rsidRPr="00951966">
        <w:rPr>
          <w:rFonts w:eastAsia="Times New Roman"/>
          <w:spacing w:val="-5"/>
        </w:rPr>
        <w:t xml:space="preserve"> </w:t>
      </w:r>
      <w:r w:rsidRPr="00951966">
        <w:rPr>
          <w:rFonts w:eastAsia="Times New Roman"/>
        </w:rPr>
        <w:t>manufacturers as well as CBI generated by</w:t>
      </w:r>
      <w:r w:rsidRPr="00951966">
        <w:rPr>
          <w:rFonts w:eastAsia="Times New Roman"/>
          <w:spacing w:val="-5"/>
        </w:rPr>
        <w:t xml:space="preserve"> </w:t>
      </w:r>
      <w:r w:rsidRPr="00951966">
        <w:rPr>
          <w:rFonts w:eastAsia="Times New Roman"/>
        </w:rPr>
        <w:t xml:space="preserve">EPA staff in the course of their </w:t>
      </w:r>
      <w:r w:rsidRPr="00951966">
        <w:rPr>
          <w:rFonts w:eastAsia="Times New Roman"/>
          <w:spacing w:val="-1"/>
        </w:rPr>
        <w:t>review.</w:t>
      </w:r>
      <w:r w:rsidRPr="00951966">
        <w:rPr>
          <w:rFonts w:eastAsia="Times New Roman"/>
        </w:rPr>
        <w:t xml:space="preserve"> Access to CBI is restricted to persons who need the information for their work. </w:t>
      </w:r>
      <w:r w:rsidRPr="00951966">
        <w:rPr>
          <w:rFonts w:eastAsia="Times New Roman"/>
          <w:spacing w:val="-1"/>
        </w:rPr>
        <w:t>No one is</w:t>
      </w:r>
      <w:r w:rsidRPr="00951966">
        <w:rPr>
          <w:rFonts w:eastAsia="Times New Roman"/>
          <w:spacing w:val="23"/>
        </w:rPr>
        <w:t xml:space="preserve"> </w:t>
      </w:r>
      <w:r w:rsidRPr="00951966">
        <w:rPr>
          <w:rFonts w:eastAsia="Times New Roman"/>
        </w:rPr>
        <w:t>allowed</w:t>
      </w:r>
      <w:r w:rsidRPr="00951966">
        <w:rPr>
          <w:rFonts w:eastAsia="Times New Roman"/>
          <w:spacing w:val="-1"/>
        </w:rPr>
        <w:t xml:space="preserve"> </w:t>
      </w:r>
      <w:r w:rsidRPr="00951966">
        <w:rPr>
          <w:rFonts w:eastAsia="Times New Roman"/>
        </w:rPr>
        <w:t>access</w:t>
      </w:r>
      <w:r w:rsidRPr="00951966">
        <w:rPr>
          <w:rFonts w:eastAsia="Times New Roman"/>
          <w:spacing w:val="-1"/>
        </w:rPr>
        <w:t xml:space="preserve"> </w:t>
      </w:r>
      <w:r w:rsidRPr="00951966">
        <w:rPr>
          <w:rFonts w:eastAsia="Times New Roman"/>
        </w:rPr>
        <w:t>to</w:t>
      </w:r>
      <w:r w:rsidRPr="00951966">
        <w:rPr>
          <w:rFonts w:eastAsia="Times New Roman"/>
          <w:spacing w:val="-1"/>
        </w:rPr>
        <w:t xml:space="preserve"> </w:t>
      </w:r>
      <w:r w:rsidRPr="00951966">
        <w:rPr>
          <w:rFonts w:eastAsia="Times New Roman"/>
        </w:rPr>
        <w:t>CBI</w:t>
      </w:r>
      <w:r w:rsidRPr="00951966">
        <w:rPr>
          <w:rFonts w:eastAsia="Times New Roman"/>
          <w:spacing w:val="-1"/>
        </w:rPr>
        <w:t xml:space="preserve"> </w:t>
      </w:r>
      <w:r w:rsidRPr="00951966">
        <w:rPr>
          <w:rFonts w:eastAsia="Times New Roman"/>
        </w:rPr>
        <w:t>without</w:t>
      </w:r>
      <w:r w:rsidRPr="00951966">
        <w:rPr>
          <w:rFonts w:eastAsia="Times New Roman"/>
          <w:spacing w:val="-1"/>
        </w:rPr>
        <w:t xml:space="preserve"> </w:t>
      </w:r>
      <w:r w:rsidRPr="00951966">
        <w:rPr>
          <w:rFonts w:eastAsia="Times New Roman"/>
        </w:rPr>
        <w:t>first</w:t>
      </w:r>
      <w:r w:rsidRPr="00951966">
        <w:rPr>
          <w:rFonts w:eastAsia="Times New Roman"/>
          <w:spacing w:val="-1"/>
        </w:rPr>
        <w:t xml:space="preserve"> </w:t>
      </w:r>
      <w:r w:rsidRPr="00951966">
        <w:rPr>
          <w:rFonts w:eastAsia="Times New Roman"/>
        </w:rPr>
        <w:t>undergoing</w:t>
      </w:r>
      <w:r w:rsidRPr="00951966">
        <w:rPr>
          <w:rFonts w:eastAsia="Times New Roman"/>
          <w:spacing w:val="-1"/>
        </w:rPr>
        <w:t xml:space="preserve"> </w:t>
      </w:r>
      <w:r w:rsidRPr="00951966">
        <w:rPr>
          <w:rFonts w:eastAsia="Times New Roman"/>
        </w:rPr>
        <w:t>instruction</w:t>
      </w:r>
      <w:r w:rsidRPr="00951966">
        <w:rPr>
          <w:rFonts w:eastAsia="Times New Roman"/>
          <w:spacing w:val="-1"/>
        </w:rPr>
        <w:t xml:space="preserve"> </w:t>
      </w:r>
      <w:r w:rsidRPr="00951966">
        <w:rPr>
          <w:rFonts w:eastAsia="Times New Roman"/>
        </w:rPr>
        <w:t>on</w:t>
      </w:r>
      <w:r w:rsidRPr="00951966">
        <w:rPr>
          <w:rFonts w:eastAsia="Times New Roman"/>
          <w:spacing w:val="-1"/>
        </w:rPr>
        <w:t xml:space="preserve"> </w:t>
      </w:r>
      <w:r w:rsidRPr="00951966">
        <w:rPr>
          <w:rFonts w:eastAsia="Times New Roman"/>
        </w:rPr>
        <w:t>procedures</w:t>
      </w:r>
      <w:r w:rsidRPr="00951966">
        <w:rPr>
          <w:rFonts w:eastAsia="Times New Roman"/>
          <w:spacing w:val="-1"/>
        </w:rPr>
        <w:t xml:space="preserve"> </w:t>
      </w:r>
      <w:r w:rsidRPr="00951966">
        <w:rPr>
          <w:rFonts w:eastAsia="Times New Roman"/>
        </w:rPr>
        <w:t>for</w:t>
      </w:r>
      <w:r w:rsidRPr="00951966">
        <w:rPr>
          <w:rFonts w:eastAsia="Times New Roman"/>
          <w:spacing w:val="-1"/>
        </w:rPr>
        <w:t xml:space="preserve"> handling</w:t>
      </w:r>
      <w:r w:rsidRPr="00951966">
        <w:rPr>
          <w:rFonts w:eastAsia="Times New Roman"/>
        </w:rPr>
        <w:t xml:space="preserve"> </w:t>
      </w:r>
      <w:r w:rsidRPr="00951966">
        <w:rPr>
          <w:rFonts w:eastAsia="Times New Roman"/>
          <w:spacing w:val="-1"/>
        </w:rPr>
        <w:t>CBI.</w:t>
      </w:r>
      <w:r w:rsidRPr="00951966">
        <w:rPr>
          <w:rFonts w:eastAsia="Times New Roman"/>
          <w:spacing w:val="27"/>
        </w:rPr>
        <w:t xml:space="preserve"> </w:t>
      </w:r>
      <w:r w:rsidRPr="00951966">
        <w:rPr>
          <w:rFonts w:eastAsia="Times New Roman"/>
        </w:rPr>
        <w:t xml:space="preserve">Special procedures have been instituted to restrict access to computerized </w:t>
      </w:r>
      <w:r w:rsidRPr="00951966">
        <w:rPr>
          <w:rFonts w:eastAsia="Times New Roman"/>
          <w:spacing w:val="-2"/>
        </w:rPr>
        <w:t>CBI.</w:t>
      </w:r>
      <w:r w:rsidRPr="00951966">
        <w:rPr>
          <w:rFonts w:eastAsia="Times New Roman"/>
        </w:rPr>
        <w:t xml:space="preserve"> These procedures</w:t>
      </w:r>
      <w:r w:rsidRPr="00951966">
        <w:rPr>
          <w:rFonts w:eastAsia="Times New Roman"/>
          <w:spacing w:val="23"/>
        </w:rPr>
        <w:t xml:space="preserve"> </w:t>
      </w:r>
      <w:r w:rsidRPr="00951966">
        <w:rPr>
          <w:rFonts w:eastAsia="Times New Roman"/>
          <w:spacing w:val="-1"/>
        </w:rPr>
        <w:t>are detailed in the “TSCA</w:t>
      </w:r>
      <w:r w:rsidRPr="00951966">
        <w:rPr>
          <w:rFonts w:eastAsia="Times New Roman"/>
        </w:rPr>
        <w:t xml:space="preserve"> CBI Protection Manual,”</w:t>
      </w:r>
      <w:r w:rsidRPr="00951966">
        <w:rPr>
          <w:rFonts w:eastAsia="Times New Roman"/>
          <w:spacing w:val="-1"/>
        </w:rPr>
        <w:t xml:space="preserve"> October 2003.</w:t>
      </w:r>
      <w:r w:rsidRPr="00951966">
        <w:rPr>
          <w:rFonts w:eastAsia="Times New Roman"/>
        </w:rPr>
        <w:t xml:space="preserve"> EPA believes these</w:t>
      </w:r>
      <w:r w:rsidRPr="00951966">
        <w:rPr>
          <w:rFonts w:eastAsia="Times New Roman"/>
          <w:spacing w:val="21"/>
        </w:rPr>
        <w:t xml:space="preserve"> </w:t>
      </w:r>
      <w:r w:rsidRPr="00951966">
        <w:rPr>
          <w:rFonts w:eastAsia="Times New Roman"/>
        </w:rPr>
        <w:t>procedures protect confidential</w:t>
      </w:r>
      <w:r w:rsidRPr="00951966">
        <w:rPr>
          <w:rFonts w:eastAsia="Times New Roman"/>
          <w:spacing w:val="-1"/>
        </w:rPr>
        <w:t xml:space="preserve"> </w:t>
      </w:r>
      <w:r w:rsidRPr="00951966">
        <w:rPr>
          <w:rFonts w:eastAsia="Times New Roman"/>
        </w:rPr>
        <w:t>business information while providing</w:t>
      </w:r>
      <w:r w:rsidRPr="00951966">
        <w:rPr>
          <w:rFonts w:eastAsia="Times New Roman"/>
          <w:spacing w:val="-4"/>
        </w:rPr>
        <w:t xml:space="preserve"> </w:t>
      </w:r>
      <w:r w:rsidRPr="00951966">
        <w:rPr>
          <w:rFonts w:eastAsia="Times New Roman"/>
        </w:rPr>
        <w:t>the public with as much information</w:t>
      </w:r>
      <w:r w:rsidRPr="00951966">
        <w:rPr>
          <w:rFonts w:eastAsia="Times New Roman"/>
          <w:spacing w:val="-1"/>
        </w:rPr>
        <w:t xml:space="preserve"> </w:t>
      </w:r>
      <w:r w:rsidRPr="00951966">
        <w:rPr>
          <w:rFonts w:eastAsia="Times New Roman"/>
        </w:rPr>
        <w:t>as</w:t>
      </w:r>
      <w:r w:rsidRPr="00951966">
        <w:rPr>
          <w:rFonts w:eastAsia="Times New Roman"/>
          <w:spacing w:val="-1"/>
        </w:rPr>
        <w:t xml:space="preserve"> </w:t>
      </w:r>
      <w:r w:rsidRPr="00951966">
        <w:rPr>
          <w:rFonts w:eastAsia="Times New Roman"/>
        </w:rPr>
        <w:t>possible.</w:t>
      </w:r>
    </w:p>
    <w:p w14:paraId="1681C013" w14:textId="77777777" w:rsidR="00951966" w:rsidRPr="00951966" w:rsidRDefault="00951966" w:rsidP="00951966">
      <w:pPr>
        <w:widowControl w:val="0"/>
        <w:rPr>
          <w:rFonts w:eastAsia="Times New Roman" w:cs="Times New Roman"/>
        </w:rPr>
      </w:pPr>
    </w:p>
    <w:p w14:paraId="0AB245F0" w14:textId="77777777" w:rsidR="00951966" w:rsidRPr="00951966" w:rsidRDefault="00951966" w:rsidP="00803DAA">
      <w:pPr>
        <w:widowControl w:val="0"/>
        <w:ind w:left="720" w:right="193"/>
        <w:rPr>
          <w:rFonts w:eastAsia="Times New Roman"/>
        </w:rPr>
      </w:pPr>
      <w:r w:rsidRPr="00951966">
        <w:rPr>
          <w:rFonts w:eastAsia="Times New Roman"/>
        </w:rPr>
        <w:t>Any</w:t>
      </w:r>
      <w:r w:rsidRPr="00951966">
        <w:rPr>
          <w:rFonts w:eastAsia="Times New Roman"/>
          <w:spacing w:val="-5"/>
        </w:rPr>
        <w:t xml:space="preserve"> </w:t>
      </w:r>
      <w:r w:rsidRPr="00951966">
        <w:rPr>
          <w:rFonts w:eastAsia="Times New Roman"/>
        </w:rPr>
        <w:t>information being sent via CDX is</w:t>
      </w:r>
      <w:r w:rsidRPr="00951966">
        <w:rPr>
          <w:rFonts w:eastAsia="Times New Roman"/>
          <w:spacing w:val="-1"/>
        </w:rPr>
        <w:t xml:space="preserve"> transmitted using secure technologies to protect</w:t>
      </w:r>
      <w:r w:rsidRPr="00951966">
        <w:rPr>
          <w:rFonts w:eastAsia="Times New Roman"/>
          <w:spacing w:val="25"/>
        </w:rPr>
        <w:t xml:space="preserve"> </w:t>
      </w:r>
      <w:r w:rsidRPr="00951966">
        <w:rPr>
          <w:rFonts w:eastAsia="Times New Roman"/>
          <w:spacing w:val="-1"/>
        </w:rPr>
        <w:t>CBI.</w:t>
      </w:r>
      <w:r w:rsidRPr="00951966">
        <w:rPr>
          <w:rFonts w:eastAsia="Times New Roman"/>
        </w:rPr>
        <w:t xml:space="preserve"> EPA-provided reporting application, termed </w:t>
      </w:r>
      <w:r w:rsidRPr="00951966">
        <w:rPr>
          <w:rFonts w:eastAsia="Times New Roman"/>
          <w:spacing w:val="-1"/>
        </w:rPr>
        <w:t>e-NOA</w:t>
      </w:r>
      <w:r w:rsidRPr="00951966">
        <w:rPr>
          <w:rFonts w:eastAsia="Times New Roman"/>
        </w:rPr>
        <w:t xml:space="preserve">, </w:t>
      </w:r>
      <w:r w:rsidRPr="00951966">
        <w:rPr>
          <w:rFonts w:eastAsia="Times New Roman"/>
          <w:spacing w:val="-1"/>
        </w:rPr>
        <w:t>encrypts</w:t>
      </w:r>
      <w:r w:rsidRPr="00951966">
        <w:rPr>
          <w:rFonts w:eastAsia="Times New Roman"/>
        </w:rPr>
        <w:t xml:space="preserve"> submissions</w:t>
      </w:r>
      <w:r w:rsidRPr="00951966">
        <w:rPr>
          <w:rFonts w:eastAsia="Times New Roman"/>
          <w:spacing w:val="-1"/>
        </w:rPr>
        <w:t xml:space="preserve"> </w:t>
      </w:r>
      <w:r w:rsidRPr="00951966">
        <w:rPr>
          <w:rFonts w:eastAsia="Times New Roman"/>
        </w:rPr>
        <w:t>using</w:t>
      </w:r>
      <w:r w:rsidRPr="00951966">
        <w:rPr>
          <w:rFonts w:eastAsia="Times New Roman"/>
          <w:spacing w:val="-1"/>
        </w:rPr>
        <w:t xml:space="preserve"> </w:t>
      </w:r>
      <w:r w:rsidRPr="00951966">
        <w:rPr>
          <w:rFonts w:eastAsia="Times New Roman"/>
        </w:rPr>
        <w:t>a</w:t>
      </w:r>
      <w:r w:rsidRPr="00951966">
        <w:rPr>
          <w:rFonts w:eastAsia="Times New Roman"/>
          <w:spacing w:val="-1"/>
        </w:rPr>
        <w:t xml:space="preserve"> </w:t>
      </w:r>
      <w:r w:rsidRPr="00951966">
        <w:rPr>
          <w:rFonts w:eastAsia="Times New Roman"/>
        </w:rPr>
        <w:t>Federal</w:t>
      </w:r>
      <w:r w:rsidRPr="00951966">
        <w:rPr>
          <w:rFonts w:eastAsia="Times New Roman"/>
          <w:spacing w:val="-1"/>
        </w:rPr>
        <w:t xml:space="preserve"> </w:t>
      </w:r>
      <w:r w:rsidRPr="00951966">
        <w:rPr>
          <w:rFonts w:eastAsia="Times New Roman"/>
        </w:rPr>
        <w:t>Information</w:t>
      </w:r>
      <w:r w:rsidRPr="00951966">
        <w:rPr>
          <w:rFonts w:eastAsia="Times New Roman"/>
          <w:spacing w:val="-1"/>
        </w:rPr>
        <w:t xml:space="preserve"> </w:t>
      </w:r>
      <w:r w:rsidRPr="00951966">
        <w:rPr>
          <w:rFonts w:eastAsia="Times New Roman"/>
        </w:rPr>
        <w:t>Processing</w:t>
      </w:r>
      <w:r w:rsidRPr="00951966">
        <w:rPr>
          <w:rFonts w:eastAsia="Times New Roman"/>
          <w:spacing w:val="27"/>
        </w:rPr>
        <w:t xml:space="preserve"> </w:t>
      </w:r>
      <w:r w:rsidRPr="00951966">
        <w:rPr>
          <w:rFonts w:eastAsia="Times New Roman"/>
        </w:rPr>
        <w:t xml:space="preserve">Standards </w:t>
      </w:r>
      <w:r w:rsidRPr="00951966">
        <w:rPr>
          <w:rFonts w:eastAsia="Times New Roman"/>
          <w:spacing w:val="-1"/>
        </w:rPr>
        <w:t>(FIPS)-compliant encryption</w:t>
      </w:r>
      <w:r w:rsidRPr="00951966">
        <w:rPr>
          <w:rFonts w:eastAsia="Times New Roman"/>
        </w:rPr>
        <w:t xml:space="preserve"> module. The </w:t>
      </w:r>
      <w:r w:rsidRPr="00951966">
        <w:rPr>
          <w:rFonts w:eastAsia="Times New Roman"/>
          <w:spacing w:val="-1"/>
        </w:rPr>
        <w:t>encryption</w:t>
      </w:r>
      <w:r w:rsidRPr="00951966">
        <w:rPr>
          <w:rFonts w:eastAsia="Times New Roman"/>
        </w:rPr>
        <w:t xml:space="preserve"> module </w:t>
      </w:r>
      <w:r w:rsidRPr="00951966">
        <w:rPr>
          <w:rFonts w:eastAsia="Times New Roman"/>
          <w:spacing w:val="-1"/>
        </w:rPr>
        <w:t>employs</w:t>
      </w:r>
      <w:r w:rsidRPr="00951966">
        <w:rPr>
          <w:rFonts w:eastAsia="Times New Roman"/>
        </w:rPr>
        <w:t xml:space="preserve"> a public key algorithm which converts readable text into </w:t>
      </w:r>
      <w:r w:rsidRPr="00951966">
        <w:rPr>
          <w:rFonts w:eastAsia="Times New Roman"/>
          <w:spacing w:val="-1"/>
        </w:rPr>
        <w:t>encrypted</w:t>
      </w:r>
      <w:r w:rsidRPr="00951966">
        <w:rPr>
          <w:rFonts w:eastAsia="Times New Roman"/>
        </w:rPr>
        <w:t xml:space="preserve"> text. This public key</w:t>
      </w:r>
      <w:r w:rsidRPr="00951966">
        <w:rPr>
          <w:rFonts w:eastAsia="Times New Roman"/>
          <w:spacing w:val="-8"/>
        </w:rPr>
        <w:t xml:space="preserve"> </w:t>
      </w:r>
      <w:r w:rsidRPr="00951966">
        <w:rPr>
          <w:rFonts w:eastAsia="Times New Roman"/>
        </w:rPr>
        <w:t>is downloaded from</w:t>
      </w:r>
      <w:r w:rsidRPr="00951966">
        <w:rPr>
          <w:rFonts w:eastAsia="Times New Roman"/>
          <w:spacing w:val="24"/>
        </w:rPr>
        <w:t xml:space="preserve"> </w:t>
      </w:r>
      <w:r w:rsidRPr="00951966">
        <w:rPr>
          <w:rFonts w:eastAsia="Times New Roman"/>
        </w:rPr>
        <w:t>CDX</w:t>
      </w:r>
      <w:r w:rsidRPr="00951966">
        <w:rPr>
          <w:rFonts w:eastAsia="Times New Roman"/>
          <w:spacing w:val="-1"/>
        </w:rPr>
        <w:t xml:space="preserve"> </w:t>
      </w:r>
      <w:r w:rsidRPr="00951966">
        <w:rPr>
          <w:rFonts w:eastAsia="Times New Roman"/>
        </w:rPr>
        <w:t>to</w:t>
      </w:r>
      <w:r w:rsidRPr="00951966">
        <w:rPr>
          <w:rFonts w:eastAsia="Times New Roman"/>
          <w:spacing w:val="-1"/>
        </w:rPr>
        <w:t xml:space="preserve"> </w:t>
      </w:r>
      <w:r w:rsidRPr="00951966">
        <w:rPr>
          <w:rFonts w:eastAsia="Times New Roman"/>
        </w:rPr>
        <w:t>the</w:t>
      </w:r>
      <w:r w:rsidRPr="00951966">
        <w:rPr>
          <w:rFonts w:eastAsia="Times New Roman"/>
          <w:spacing w:val="-1"/>
        </w:rPr>
        <w:t xml:space="preserve"> e-NOA</w:t>
      </w:r>
      <w:r w:rsidRPr="00951966">
        <w:rPr>
          <w:rFonts w:eastAsia="Times New Roman"/>
        </w:rPr>
        <w:t xml:space="preserve"> software, and the corresponding private key</w:t>
      </w:r>
      <w:r w:rsidRPr="00951966">
        <w:rPr>
          <w:rFonts w:eastAsia="Times New Roman"/>
          <w:spacing w:val="-5"/>
        </w:rPr>
        <w:t xml:space="preserve"> </w:t>
      </w:r>
      <w:r w:rsidRPr="00951966">
        <w:rPr>
          <w:rFonts w:eastAsia="Times New Roman"/>
          <w:spacing w:val="-1"/>
        </w:rPr>
        <w:t>is sent to EPA’s New Chemical</w:t>
      </w:r>
      <w:r w:rsidRPr="00951966">
        <w:rPr>
          <w:rFonts w:eastAsia="Times New Roman"/>
          <w:spacing w:val="28"/>
        </w:rPr>
        <w:t xml:space="preserve"> </w:t>
      </w:r>
      <w:r w:rsidRPr="00951966">
        <w:rPr>
          <w:rFonts w:eastAsia="Times New Roman"/>
          <w:spacing w:val="-1"/>
        </w:rPr>
        <w:t>System (NCS).</w:t>
      </w:r>
      <w:r w:rsidRPr="00951966">
        <w:rPr>
          <w:rFonts w:eastAsia="Times New Roman"/>
        </w:rPr>
        <w:t xml:space="preserve"> </w:t>
      </w:r>
      <w:r w:rsidRPr="00951966">
        <w:rPr>
          <w:rFonts w:eastAsia="Times New Roman"/>
          <w:spacing w:val="-1"/>
        </w:rPr>
        <w:t>The</w:t>
      </w:r>
      <w:r w:rsidRPr="00951966">
        <w:rPr>
          <w:rFonts w:eastAsia="Times New Roman"/>
        </w:rPr>
        <w:t xml:space="preserve"> </w:t>
      </w:r>
      <w:r w:rsidRPr="00951966">
        <w:rPr>
          <w:rFonts w:eastAsia="Times New Roman"/>
          <w:spacing w:val="-1"/>
        </w:rPr>
        <w:t>encryption</w:t>
      </w:r>
      <w:r w:rsidRPr="00951966">
        <w:rPr>
          <w:rFonts w:eastAsia="Times New Roman"/>
        </w:rPr>
        <w:t xml:space="preserve"> remains while the</w:t>
      </w:r>
      <w:r w:rsidRPr="00951966">
        <w:rPr>
          <w:rFonts w:eastAsia="Times New Roman"/>
          <w:spacing w:val="1"/>
        </w:rPr>
        <w:t xml:space="preserve"> </w:t>
      </w:r>
      <w:r w:rsidRPr="00951966">
        <w:rPr>
          <w:rFonts w:eastAsia="Times New Roman"/>
        </w:rPr>
        <w:t xml:space="preserve">submission is </w:t>
      </w:r>
      <w:r w:rsidRPr="00951966">
        <w:rPr>
          <w:rFonts w:eastAsia="Times New Roman"/>
          <w:spacing w:val="-1"/>
        </w:rPr>
        <w:t>transmitted via CDX to NCS.</w:t>
      </w:r>
      <w:r w:rsidRPr="00951966">
        <w:rPr>
          <w:rFonts w:eastAsia="Times New Roman"/>
          <w:spacing w:val="42"/>
        </w:rPr>
        <w:t xml:space="preserve"> </w:t>
      </w:r>
      <w:r w:rsidRPr="00951966">
        <w:rPr>
          <w:rFonts w:eastAsia="Times New Roman"/>
          <w:spacing w:val="-1"/>
        </w:rPr>
        <w:t xml:space="preserve">The </w:t>
      </w:r>
      <w:r w:rsidRPr="00951966">
        <w:rPr>
          <w:rFonts w:eastAsia="Times New Roman"/>
        </w:rPr>
        <w:t xml:space="preserve">file can be </w:t>
      </w:r>
      <w:r w:rsidRPr="00951966">
        <w:rPr>
          <w:rFonts w:eastAsia="Times New Roman"/>
          <w:spacing w:val="-1"/>
        </w:rPr>
        <w:t>decrypted</w:t>
      </w:r>
      <w:r w:rsidRPr="00951966">
        <w:rPr>
          <w:rFonts w:eastAsia="Times New Roman"/>
          <w:spacing w:val="1"/>
        </w:rPr>
        <w:t xml:space="preserve"> </w:t>
      </w:r>
      <w:r w:rsidRPr="00951966">
        <w:rPr>
          <w:rFonts w:eastAsia="Times New Roman"/>
        </w:rPr>
        <w:t>only</w:t>
      </w:r>
      <w:r w:rsidRPr="00951966">
        <w:rPr>
          <w:rFonts w:eastAsia="Times New Roman"/>
          <w:spacing w:val="-5"/>
        </w:rPr>
        <w:t xml:space="preserve"> </w:t>
      </w:r>
      <w:r w:rsidRPr="00951966">
        <w:rPr>
          <w:rFonts w:eastAsia="Times New Roman"/>
        </w:rPr>
        <w:t>with the NCS's private key</w:t>
      </w:r>
      <w:r w:rsidRPr="00951966">
        <w:rPr>
          <w:rFonts w:eastAsia="Times New Roman"/>
          <w:spacing w:val="-5"/>
        </w:rPr>
        <w:t xml:space="preserve"> </w:t>
      </w:r>
      <w:r w:rsidRPr="00951966">
        <w:rPr>
          <w:rFonts w:eastAsia="Times New Roman"/>
        </w:rPr>
        <w:t>when it has reached its final</w:t>
      </w:r>
      <w:r w:rsidRPr="00951966">
        <w:rPr>
          <w:rFonts w:eastAsia="Times New Roman"/>
          <w:spacing w:val="25"/>
        </w:rPr>
        <w:t xml:space="preserve"> </w:t>
      </w:r>
      <w:r w:rsidRPr="00951966">
        <w:rPr>
          <w:rFonts w:eastAsia="Times New Roman"/>
        </w:rPr>
        <w:t>destination. The NCS is the only</w:t>
      </w:r>
      <w:r w:rsidRPr="00951966">
        <w:rPr>
          <w:rFonts w:eastAsia="Times New Roman"/>
          <w:spacing w:val="-5"/>
        </w:rPr>
        <w:t xml:space="preserve"> </w:t>
      </w:r>
      <w:r w:rsidRPr="00951966">
        <w:rPr>
          <w:rFonts w:eastAsia="Times New Roman"/>
          <w:spacing w:val="1"/>
        </w:rPr>
        <w:t>party</w:t>
      </w:r>
      <w:r w:rsidRPr="00951966">
        <w:rPr>
          <w:rFonts w:eastAsia="Times New Roman"/>
          <w:spacing w:val="-1"/>
        </w:rPr>
        <w:t xml:space="preserve"> that possesses the private key, which converts the</w:t>
      </w:r>
      <w:r w:rsidRPr="00951966">
        <w:rPr>
          <w:rFonts w:eastAsia="Times New Roman"/>
          <w:spacing w:val="27"/>
        </w:rPr>
        <w:t xml:space="preserve"> </w:t>
      </w:r>
      <w:r w:rsidRPr="00951966">
        <w:rPr>
          <w:rFonts w:eastAsia="Times New Roman"/>
          <w:spacing w:val="-1"/>
        </w:rPr>
        <w:t>encrypted</w:t>
      </w:r>
      <w:r w:rsidRPr="00951966">
        <w:rPr>
          <w:rFonts w:eastAsia="Times New Roman"/>
        </w:rPr>
        <w:t xml:space="preserve"> text back into readable text.</w:t>
      </w:r>
    </w:p>
    <w:p w14:paraId="7431C207" w14:textId="77777777" w:rsidR="00951966" w:rsidRPr="00951966" w:rsidRDefault="00951966" w:rsidP="00951966">
      <w:pPr>
        <w:widowControl w:val="0"/>
        <w:rPr>
          <w:rFonts w:eastAsia="Times New Roman" w:cs="Times New Roman"/>
        </w:rPr>
      </w:pPr>
    </w:p>
    <w:p w14:paraId="33ED8F70" w14:textId="77777777" w:rsidR="00951966" w:rsidRPr="00951966" w:rsidRDefault="00951966" w:rsidP="00803DAA">
      <w:pPr>
        <w:widowControl w:val="0"/>
        <w:ind w:left="720" w:right="50"/>
        <w:rPr>
          <w:rFonts w:eastAsia="Times New Roman"/>
        </w:rPr>
      </w:pPr>
      <w:r w:rsidRPr="00951966">
        <w:rPr>
          <w:rFonts w:eastAsia="Times New Roman"/>
          <w:spacing w:val="-1"/>
        </w:rPr>
        <w:t xml:space="preserve">The same protection </w:t>
      </w:r>
      <w:r w:rsidRPr="00951966">
        <w:rPr>
          <w:rFonts w:eastAsia="Times New Roman"/>
        </w:rPr>
        <w:t xml:space="preserve">will occur for all correspondence going back to the </w:t>
      </w:r>
      <w:r w:rsidRPr="00951966">
        <w:rPr>
          <w:rFonts w:eastAsia="Times New Roman"/>
          <w:spacing w:val="-1"/>
        </w:rPr>
        <w:t>submitter.</w:t>
      </w:r>
      <w:r w:rsidRPr="00951966">
        <w:rPr>
          <w:rFonts w:eastAsia="Times New Roman"/>
        </w:rPr>
        <w:t xml:space="preserve"> The NCS</w:t>
      </w:r>
      <w:r w:rsidRPr="00951966">
        <w:rPr>
          <w:rFonts w:eastAsia="Times New Roman"/>
          <w:spacing w:val="23"/>
        </w:rPr>
        <w:t xml:space="preserve"> </w:t>
      </w:r>
      <w:r w:rsidRPr="00951966">
        <w:rPr>
          <w:rFonts w:eastAsia="Times New Roman"/>
          <w:spacing w:val="-1"/>
        </w:rPr>
        <w:t>and e-NOA</w:t>
      </w:r>
      <w:r w:rsidRPr="00951966">
        <w:rPr>
          <w:rFonts w:eastAsia="Times New Roman"/>
        </w:rPr>
        <w:t xml:space="preserve"> software are also provided with a set of public and private keys, so that</w:t>
      </w:r>
      <w:r w:rsidRPr="00951966">
        <w:rPr>
          <w:rFonts w:eastAsia="Times New Roman"/>
          <w:spacing w:val="23"/>
        </w:rPr>
        <w:t xml:space="preserve"> </w:t>
      </w:r>
      <w:r w:rsidRPr="00951966">
        <w:rPr>
          <w:rFonts w:eastAsia="Times New Roman"/>
          <w:spacing w:val="-1"/>
        </w:rPr>
        <w:t xml:space="preserve">correspondence containing </w:t>
      </w:r>
      <w:r w:rsidRPr="00951966">
        <w:rPr>
          <w:rFonts w:eastAsia="Times New Roman"/>
          <w:spacing w:val="1"/>
        </w:rPr>
        <w:t>any</w:t>
      </w:r>
      <w:r w:rsidRPr="00951966">
        <w:rPr>
          <w:rFonts w:eastAsia="Times New Roman"/>
          <w:spacing w:val="-1"/>
        </w:rPr>
        <w:t xml:space="preserve"> potential confidential</w:t>
      </w:r>
      <w:r w:rsidRPr="00951966">
        <w:rPr>
          <w:rFonts w:eastAsia="Times New Roman"/>
        </w:rPr>
        <w:t xml:space="preserve"> business information will remain </w:t>
      </w:r>
      <w:r w:rsidRPr="00951966">
        <w:rPr>
          <w:rFonts w:eastAsia="Times New Roman"/>
          <w:spacing w:val="-1"/>
        </w:rPr>
        <w:t>encrypted</w:t>
      </w:r>
      <w:r w:rsidRPr="00951966">
        <w:rPr>
          <w:rFonts w:eastAsia="Times New Roman"/>
          <w:spacing w:val="29"/>
        </w:rPr>
        <w:t xml:space="preserve"> </w:t>
      </w:r>
      <w:r w:rsidRPr="00951966">
        <w:rPr>
          <w:rFonts w:eastAsia="Times New Roman"/>
        </w:rPr>
        <w:t>during transmission via CDX</w:t>
      </w:r>
      <w:r w:rsidRPr="00951966">
        <w:rPr>
          <w:rFonts w:eastAsia="Times New Roman"/>
          <w:spacing w:val="-1"/>
        </w:rPr>
        <w:t xml:space="preserve"> </w:t>
      </w:r>
      <w:r w:rsidRPr="00951966">
        <w:rPr>
          <w:rFonts w:eastAsia="Times New Roman"/>
        </w:rPr>
        <w:t>and can be opened only</w:t>
      </w:r>
      <w:r w:rsidRPr="00951966">
        <w:rPr>
          <w:rFonts w:eastAsia="Times New Roman"/>
          <w:spacing w:val="-3"/>
        </w:rPr>
        <w:t xml:space="preserve"> </w:t>
      </w:r>
      <w:r w:rsidRPr="00951966">
        <w:rPr>
          <w:rFonts w:eastAsia="Times New Roman"/>
          <w:spacing w:val="1"/>
        </w:rPr>
        <w:t>by</w:t>
      </w:r>
      <w:r w:rsidRPr="00951966">
        <w:rPr>
          <w:rFonts w:eastAsia="Times New Roman"/>
          <w:spacing w:val="-5"/>
        </w:rPr>
        <w:t xml:space="preserve"> </w:t>
      </w:r>
      <w:r w:rsidRPr="00951966">
        <w:rPr>
          <w:rFonts w:eastAsia="Times New Roman"/>
        </w:rPr>
        <w:t xml:space="preserve">the submitter within the </w:t>
      </w:r>
      <w:r w:rsidRPr="00951966">
        <w:rPr>
          <w:rFonts w:eastAsia="Times New Roman"/>
          <w:spacing w:val="-1"/>
        </w:rPr>
        <w:t>e-NOA</w:t>
      </w:r>
      <w:r w:rsidRPr="00951966">
        <w:rPr>
          <w:rFonts w:eastAsia="Times New Roman"/>
          <w:spacing w:val="22"/>
        </w:rPr>
        <w:t xml:space="preserve"> </w:t>
      </w:r>
      <w:r w:rsidRPr="00951966">
        <w:rPr>
          <w:rFonts w:eastAsia="Times New Roman"/>
          <w:spacing w:val="-1"/>
        </w:rPr>
        <w:t>software.</w:t>
      </w:r>
    </w:p>
    <w:p w14:paraId="7D2811B1" w14:textId="7705C650" w:rsidR="00272F4D" w:rsidRPr="009533EA" w:rsidRDefault="00951966" w:rsidP="00951966">
      <w:pPr>
        <w:pStyle w:val="Heading2"/>
        <w:numPr>
          <w:ilvl w:val="0"/>
          <w:numId w:val="0"/>
        </w:numPr>
        <w:ind w:firstLine="720"/>
      </w:pPr>
      <w:r>
        <w:t>3(f) S</w:t>
      </w:r>
      <w:r w:rsidR="00272F4D" w:rsidRPr="009533EA">
        <w:t>ensitive Questions</w:t>
      </w:r>
    </w:p>
    <w:p w14:paraId="608389F3" w14:textId="77777777" w:rsidR="00951966" w:rsidRDefault="00951966" w:rsidP="00951966">
      <w:pPr>
        <w:pStyle w:val="BodyText"/>
        <w:ind w:right="105"/>
      </w:pPr>
      <w:r w:rsidRPr="0094705A">
        <w:t>No changes from reference ICR.</w:t>
      </w:r>
      <w:r>
        <w:t xml:space="preserve"> </w:t>
      </w:r>
    </w:p>
    <w:p w14:paraId="053BB3E2" w14:textId="3B01E56D" w:rsidR="00272F4D" w:rsidRPr="009533EA" w:rsidRDefault="00272F4D" w:rsidP="00272F4D">
      <w:pPr>
        <w:pStyle w:val="BodyText"/>
      </w:pPr>
      <w:r w:rsidRPr="009533EA">
        <w:t>This collection does not include questions of a sensitive nature.</w:t>
      </w:r>
    </w:p>
    <w:p w14:paraId="5E708CE3" w14:textId="1AF3991D" w:rsidR="00272F4D" w:rsidRPr="009533EA" w:rsidRDefault="00272F4D" w:rsidP="00272F4D">
      <w:pPr>
        <w:pStyle w:val="Heading1"/>
      </w:pPr>
      <w:r w:rsidRPr="009533EA">
        <w:t>THE RESPONDENTS AND THE INFORMATION REQUESTED</w:t>
      </w:r>
    </w:p>
    <w:p w14:paraId="1ED9CB9D" w14:textId="77777777" w:rsidR="00272F4D" w:rsidRPr="009533EA" w:rsidRDefault="00272F4D" w:rsidP="00272F4D">
      <w:pPr>
        <w:pStyle w:val="Heading2"/>
      </w:pPr>
      <w:r w:rsidRPr="009533EA">
        <w:t>Respondents/NAICS Codes</w:t>
      </w:r>
    </w:p>
    <w:p w14:paraId="5A213679" w14:textId="4F286AC4" w:rsidR="00917F22" w:rsidRPr="0094705A" w:rsidRDefault="00917F22" w:rsidP="00951966">
      <w:pPr>
        <w:pStyle w:val="Heading1"/>
        <w:numPr>
          <w:ilvl w:val="0"/>
          <w:numId w:val="0"/>
        </w:numPr>
        <w:ind w:left="720"/>
        <w:rPr>
          <w:b w:val="0"/>
        </w:rPr>
      </w:pPr>
      <w:r w:rsidRPr="0094705A">
        <w:rPr>
          <w:b w:val="0"/>
        </w:rPr>
        <w:t>No changes from reference ICR. Impacted respondents would include entities that reported a confidential chemical substance in the TSCA Inventory Notification (Active-Inactive) Requirements reporting rule (82 FR 37520, Au</w:t>
      </w:r>
      <w:r w:rsidR="0094705A">
        <w:rPr>
          <w:b w:val="0"/>
        </w:rPr>
        <w:t xml:space="preserve">gust </w:t>
      </w:r>
      <w:r w:rsidRPr="0094705A">
        <w:rPr>
          <w:b w:val="0"/>
        </w:rPr>
        <w:t xml:space="preserve">11, 2017, codified at 40 CFR Part 710) </w:t>
      </w:r>
      <w:r w:rsidRPr="0094705A">
        <w:rPr>
          <w:b w:val="0"/>
          <w:szCs w:val="24"/>
        </w:rPr>
        <w:t xml:space="preserve">through a Notice of Activity (NOA) Form A and did not provide an upfront (voluntary) confidentiality substantiation at that time. </w:t>
      </w:r>
      <w:r w:rsidRPr="0094705A">
        <w:rPr>
          <w:b w:val="0"/>
          <w:color w:val="000000"/>
          <w:szCs w:val="24"/>
        </w:rPr>
        <w:t xml:space="preserve">This action may be of particular interest to entities that are regulated under TSCA (e.g., entities identified under North American Industrial Classification System (NAICS) codes 324 and 325, among others). </w:t>
      </w:r>
    </w:p>
    <w:p w14:paraId="48D89ED8" w14:textId="2FFFB8A9" w:rsidR="00272F4D" w:rsidRPr="009533EA" w:rsidRDefault="00272F4D" w:rsidP="00272F4D">
      <w:pPr>
        <w:pStyle w:val="Heading2"/>
      </w:pPr>
      <w:r w:rsidRPr="009533EA">
        <w:t>Information Requested</w:t>
      </w:r>
    </w:p>
    <w:p w14:paraId="61CD51C2" w14:textId="0268B9DB" w:rsidR="00272F4D" w:rsidRPr="009533EA" w:rsidRDefault="002E1F59" w:rsidP="00951966">
      <w:pPr>
        <w:pStyle w:val="Heading3"/>
        <w:numPr>
          <w:ilvl w:val="0"/>
          <w:numId w:val="0"/>
        </w:numPr>
        <w:ind w:firstLine="720"/>
      </w:pPr>
      <w:r>
        <w:t xml:space="preserve">(i) </w:t>
      </w:r>
      <w:r w:rsidR="00272F4D" w:rsidRPr="009533EA">
        <w:t>Data elements, including recordkeeping requirements</w:t>
      </w:r>
    </w:p>
    <w:p w14:paraId="2C05E553" w14:textId="38A3746E" w:rsidR="00917F22" w:rsidRDefault="00917F22" w:rsidP="00917F22">
      <w:pPr>
        <w:pStyle w:val="BodyText"/>
        <w:ind w:left="720" w:right="107" w:firstLine="0"/>
        <w:rPr>
          <w:bCs/>
          <w:color w:val="000000" w:themeColor="text1"/>
        </w:rPr>
      </w:pPr>
      <w:r>
        <w:rPr>
          <w:bCs/>
          <w:color w:val="000000" w:themeColor="text1"/>
        </w:rPr>
        <w:t>Persons subject to this Request are persons subject to the Active</w:t>
      </w:r>
      <w:r w:rsidR="00306861">
        <w:rPr>
          <w:bCs/>
          <w:color w:val="000000" w:themeColor="text1"/>
        </w:rPr>
        <w:t>-</w:t>
      </w:r>
      <w:r>
        <w:rPr>
          <w:bCs/>
          <w:color w:val="000000" w:themeColor="text1"/>
        </w:rPr>
        <w:t>Inactive Rule who chose not to voluntarily substantiate the claims for confidential chemical substance identity when addressing other requirements of the Rule.</w:t>
      </w:r>
    </w:p>
    <w:p w14:paraId="793B6542" w14:textId="77777777" w:rsidR="00917F22" w:rsidRDefault="00917F22" w:rsidP="00917F22">
      <w:pPr>
        <w:pStyle w:val="BodyText"/>
        <w:ind w:left="720" w:right="107" w:firstLine="0"/>
        <w:rPr>
          <w:spacing w:val="-1"/>
        </w:rPr>
      </w:pPr>
      <w:r>
        <w:rPr>
          <w:bCs/>
          <w:color w:val="000000" w:themeColor="text1"/>
        </w:rPr>
        <w:t>Persons who voluntarily submitted substantiations for chemical substance identities claimed as confidential in that collection are exempt from any requirement under this Rule</w:t>
      </w:r>
    </w:p>
    <w:p w14:paraId="76A89972" w14:textId="77777777" w:rsidR="00917F22" w:rsidRDefault="00917F22" w:rsidP="00917F22">
      <w:pPr>
        <w:ind w:left="720"/>
        <w:rPr>
          <w:rFonts w:eastAsiaTheme="minorEastAsia"/>
          <w:color w:val="000000" w:themeColor="text1"/>
          <w:kern w:val="24"/>
        </w:rPr>
      </w:pPr>
      <w:r>
        <w:rPr>
          <w:spacing w:val="-1"/>
        </w:rPr>
        <w:t xml:space="preserve">Persons who substantiated the claim for specific chemical identity </w:t>
      </w:r>
      <w:r w:rsidRPr="00011C02">
        <w:rPr>
          <w:rFonts w:eastAsiaTheme="minorEastAsia" w:cs="Times New Roman"/>
          <w:color w:val="000000" w:themeColor="text1"/>
          <w:kern w:val="24"/>
        </w:rPr>
        <w:t>less than five years before the substantiation deadline set forth in this proposed rul</w:t>
      </w:r>
      <w:r>
        <w:rPr>
          <w:rFonts w:eastAsiaTheme="minorEastAsia" w:cs="Times New Roman"/>
          <w:color w:val="000000" w:themeColor="text1"/>
          <w:kern w:val="24"/>
        </w:rPr>
        <w:t xml:space="preserve">e are exempt from the substantiation requirements if they </w:t>
      </w:r>
      <w:r>
        <w:rPr>
          <w:rFonts w:eastAsiaTheme="minorEastAsia"/>
          <w:color w:val="000000" w:themeColor="text1"/>
          <w:kern w:val="24"/>
        </w:rPr>
        <w:t>identify</w:t>
      </w:r>
      <w:r w:rsidRPr="000267F6">
        <w:rPr>
          <w:rFonts w:eastAsiaTheme="minorEastAsia"/>
          <w:color w:val="000000" w:themeColor="text1"/>
          <w:kern w:val="24"/>
        </w:rPr>
        <w:t xml:space="preserve"> the </w:t>
      </w:r>
      <w:r>
        <w:rPr>
          <w:rFonts w:eastAsiaTheme="minorEastAsia"/>
          <w:color w:val="000000" w:themeColor="text1"/>
          <w:kern w:val="24"/>
        </w:rPr>
        <w:t>submission</w:t>
      </w:r>
      <w:r w:rsidRPr="000267F6">
        <w:rPr>
          <w:rFonts w:eastAsiaTheme="minorEastAsia"/>
          <w:color w:val="000000" w:themeColor="text1"/>
          <w:kern w:val="24"/>
        </w:rPr>
        <w:t xml:space="preserve"> </w:t>
      </w:r>
      <w:r>
        <w:rPr>
          <w:rFonts w:eastAsiaTheme="minorEastAsia"/>
          <w:color w:val="000000" w:themeColor="text1"/>
          <w:kern w:val="24"/>
        </w:rPr>
        <w:t xml:space="preserve">containing the substantiation </w:t>
      </w:r>
      <w:r w:rsidRPr="000267F6">
        <w:rPr>
          <w:rFonts w:eastAsiaTheme="minorEastAsia"/>
          <w:color w:val="000000" w:themeColor="text1"/>
          <w:kern w:val="24"/>
        </w:rPr>
        <w:t>by form number, submission type, and date</w:t>
      </w:r>
      <w:r>
        <w:rPr>
          <w:rFonts w:eastAsiaTheme="minorEastAsia"/>
          <w:color w:val="000000" w:themeColor="text1"/>
          <w:kern w:val="24"/>
        </w:rPr>
        <w:t xml:space="preserve"> or equivalent identifier.</w:t>
      </w:r>
    </w:p>
    <w:p w14:paraId="3D13B003" w14:textId="77777777" w:rsidR="00917F22" w:rsidRDefault="00917F22" w:rsidP="00917F22">
      <w:pPr>
        <w:ind w:left="720"/>
        <w:rPr>
          <w:rFonts w:eastAsiaTheme="minorEastAsia"/>
          <w:color w:val="000000" w:themeColor="text1"/>
          <w:kern w:val="24"/>
        </w:rPr>
      </w:pPr>
    </w:p>
    <w:p w14:paraId="375437D6" w14:textId="26951B48" w:rsidR="00917F22" w:rsidRDefault="00917F22" w:rsidP="00917F22">
      <w:pPr>
        <w:pStyle w:val="BodyText"/>
        <w:ind w:left="720" w:right="107" w:firstLine="0"/>
        <w:rPr>
          <w:bCs/>
          <w:color w:val="000000" w:themeColor="text1"/>
        </w:rPr>
      </w:pPr>
      <w:r>
        <w:rPr>
          <w:bCs/>
          <w:color w:val="000000" w:themeColor="text1"/>
        </w:rPr>
        <w:t>Persons who claimed chemical substance identity as confidential in the Active</w:t>
      </w:r>
      <w:r w:rsidR="00B3255B">
        <w:rPr>
          <w:bCs/>
          <w:color w:val="000000" w:themeColor="text1"/>
        </w:rPr>
        <w:t>-</w:t>
      </w:r>
      <w:r>
        <w:rPr>
          <w:bCs/>
          <w:color w:val="000000" w:themeColor="text1"/>
        </w:rPr>
        <w:t>Inactive</w:t>
      </w:r>
      <w:r w:rsidR="00B3255B">
        <w:rPr>
          <w:bCs/>
          <w:color w:val="000000" w:themeColor="text1"/>
        </w:rPr>
        <w:t xml:space="preserve"> </w:t>
      </w:r>
      <w:r>
        <w:rPr>
          <w:bCs/>
          <w:color w:val="000000" w:themeColor="text1"/>
        </w:rPr>
        <w:t xml:space="preserve">Rule collection must substantiate the claims by addressing the questions set forth in 40 CFR </w:t>
      </w:r>
      <w:r w:rsidR="005E6E4E">
        <w:rPr>
          <w:bCs/>
          <w:color w:val="000000" w:themeColor="text1"/>
        </w:rPr>
        <w:t>710</w:t>
      </w:r>
      <w:r>
        <w:rPr>
          <w:bCs/>
          <w:color w:val="000000" w:themeColor="text1"/>
        </w:rPr>
        <w:t xml:space="preserve">.37.  </w:t>
      </w:r>
    </w:p>
    <w:p w14:paraId="34EED0EE" w14:textId="77777777" w:rsidR="00917F22" w:rsidRPr="00C45730" w:rsidRDefault="00917F22" w:rsidP="00951966">
      <w:pPr>
        <w:widowControl w:val="0"/>
        <w:ind w:left="720" w:right="108"/>
        <w:rPr>
          <w:rFonts w:eastAsia="Times New Roman"/>
        </w:rPr>
      </w:pPr>
      <w:r w:rsidRPr="00C45730">
        <w:rPr>
          <w:rFonts w:eastAsia="Times New Roman"/>
        </w:rPr>
        <w:t xml:space="preserve">Under 40 CFR 710, </w:t>
      </w:r>
      <w:r w:rsidRPr="00C45730">
        <w:rPr>
          <w:rFonts w:eastAsia="Times New Roman"/>
          <w:spacing w:val="-1"/>
        </w:rPr>
        <w:t xml:space="preserve">submitters must keep </w:t>
      </w:r>
      <w:r w:rsidRPr="00C45730">
        <w:rPr>
          <w:rFonts w:eastAsia="Times New Roman"/>
        </w:rPr>
        <w:t>documentation of</w:t>
      </w:r>
      <w:r w:rsidRPr="00C45730">
        <w:rPr>
          <w:rFonts w:eastAsia="Times New Roman"/>
          <w:spacing w:val="41"/>
        </w:rPr>
        <w:t xml:space="preserve"> </w:t>
      </w:r>
      <w:r w:rsidRPr="00C45730">
        <w:rPr>
          <w:rFonts w:eastAsia="Times New Roman"/>
        </w:rPr>
        <w:t>information</w:t>
      </w:r>
      <w:r w:rsidRPr="00C45730">
        <w:rPr>
          <w:rFonts w:eastAsia="Times New Roman"/>
          <w:spacing w:val="-1"/>
        </w:rPr>
        <w:t xml:space="preserve"> in a </w:t>
      </w:r>
      <w:r w:rsidRPr="00C45730">
        <w:rPr>
          <w:rFonts w:eastAsia="Times New Roman"/>
        </w:rPr>
        <w:t>TSCA section 8(b)</w:t>
      </w:r>
      <w:r w:rsidRPr="00C45730">
        <w:rPr>
          <w:rFonts w:eastAsia="Times New Roman"/>
          <w:spacing w:val="-1"/>
        </w:rPr>
        <w:t xml:space="preserve"> notice for five</w:t>
      </w:r>
      <w:r w:rsidRPr="00C45730">
        <w:rPr>
          <w:rFonts w:eastAsia="Times New Roman"/>
          <w:spacing w:val="4"/>
        </w:rPr>
        <w:t xml:space="preserve"> </w:t>
      </w:r>
      <w:r w:rsidRPr="00C45730">
        <w:rPr>
          <w:rFonts w:eastAsia="Times New Roman"/>
          <w:spacing w:val="-2"/>
        </w:rPr>
        <w:t>years</w:t>
      </w:r>
      <w:r w:rsidRPr="00C45730">
        <w:rPr>
          <w:rFonts w:eastAsia="Times New Roman"/>
          <w:spacing w:val="-1"/>
        </w:rPr>
        <w:t xml:space="preserve"> from the date of submitting</w:t>
      </w:r>
      <w:r w:rsidRPr="00C45730">
        <w:rPr>
          <w:rFonts w:eastAsia="Times New Roman"/>
        </w:rPr>
        <w:t xml:space="preserve"> the</w:t>
      </w:r>
      <w:r w:rsidRPr="00C45730">
        <w:rPr>
          <w:rFonts w:eastAsia="Times New Roman"/>
          <w:spacing w:val="-1"/>
        </w:rPr>
        <w:t xml:space="preserve"> </w:t>
      </w:r>
      <w:r w:rsidRPr="00C45730">
        <w:rPr>
          <w:rFonts w:eastAsia="Times New Roman"/>
        </w:rPr>
        <w:t>notice.</w:t>
      </w:r>
    </w:p>
    <w:p w14:paraId="48D1F92D" w14:textId="77777777" w:rsidR="00917F22" w:rsidRPr="00C45730" w:rsidRDefault="00917F22" w:rsidP="00917F22">
      <w:pPr>
        <w:widowControl w:val="0"/>
        <w:rPr>
          <w:rFonts w:eastAsia="Times New Roman" w:cs="Times New Roman"/>
        </w:rPr>
      </w:pPr>
    </w:p>
    <w:p w14:paraId="0B34488A" w14:textId="39F6378F" w:rsidR="00272F4D" w:rsidRPr="00C91AA1" w:rsidRDefault="002E1F59" w:rsidP="000C422A">
      <w:pPr>
        <w:pStyle w:val="Heading3"/>
        <w:numPr>
          <w:ilvl w:val="0"/>
          <w:numId w:val="0"/>
        </w:numPr>
        <w:ind w:firstLine="720"/>
      </w:pPr>
      <w:r>
        <w:t xml:space="preserve">(ii) </w:t>
      </w:r>
      <w:r w:rsidR="00272F4D" w:rsidRPr="00C91AA1">
        <w:t>Submitter Activities/Information Collections (ICs)</w:t>
      </w:r>
    </w:p>
    <w:p w14:paraId="6FCF9020" w14:textId="77777777" w:rsidR="00272F4D" w:rsidRPr="00C91AA1" w:rsidRDefault="00272F4D" w:rsidP="00272F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b/>
        </w:rPr>
      </w:pPr>
    </w:p>
    <w:p w14:paraId="7986E8FA" w14:textId="77777777" w:rsidR="002E1F59" w:rsidRDefault="002E1F59" w:rsidP="009C01F1">
      <w:pPr>
        <w:pStyle w:val="BodyText"/>
        <w:widowControl w:val="0"/>
        <w:numPr>
          <w:ilvl w:val="1"/>
          <w:numId w:val="8"/>
        </w:numPr>
        <w:tabs>
          <w:tab w:val="left" w:pos="1180"/>
        </w:tabs>
        <w:spacing w:after="0"/>
      </w:pPr>
      <w:r>
        <w:t xml:space="preserve">Rule familiarization. </w:t>
      </w:r>
    </w:p>
    <w:p w14:paraId="47A4A8D8" w14:textId="77777777" w:rsidR="002E1F59" w:rsidRDefault="002E1F59" w:rsidP="009C01F1">
      <w:pPr>
        <w:pStyle w:val="BodyText"/>
        <w:widowControl w:val="0"/>
        <w:numPr>
          <w:ilvl w:val="1"/>
          <w:numId w:val="8"/>
        </w:numPr>
        <w:tabs>
          <w:tab w:val="left" w:pos="1180"/>
        </w:tabs>
        <w:spacing w:after="0"/>
      </w:pPr>
      <w:r>
        <w:t>Compliance determination.</w:t>
      </w:r>
    </w:p>
    <w:p w14:paraId="12EE4136" w14:textId="73D86515" w:rsidR="002E1F59" w:rsidRDefault="002E1F59" w:rsidP="009C01F1">
      <w:pPr>
        <w:pStyle w:val="BodyText"/>
        <w:widowControl w:val="0"/>
        <w:numPr>
          <w:ilvl w:val="1"/>
          <w:numId w:val="8"/>
        </w:numPr>
        <w:tabs>
          <w:tab w:val="left" w:pos="1180"/>
        </w:tabs>
        <w:spacing w:after="0"/>
      </w:pPr>
      <w:r>
        <w:t>CBI substantiation or identify previous substantiation.</w:t>
      </w:r>
    </w:p>
    <w:p w14:paraId="594866D1" w14:textId="77777777" w:rsidR="002E1F59" w:rsidRDefault="002E1F59" w:rsidP="009C01F1">
      <w:pPr>
        <w:pStyle w:val="BodyText"/>
        <w:widowControl w:val="0"/>
        <w:numPr>
          <w:ilvl w:val="1"/>
          <w:numId w:val="8"/>
        </w:numPr>
        <w:tabs>
          <w:tab w:val="left" w:pos="1180"/>
        </w:tabs>
        <w:spacing w:after="0"/>
      </w:pPr>
      <w:r>
        <w:t>Date and time stamps.</w:t>
      </w:r>
    </w:p>
    <w:p w14:paraId="087912DD" w14:textId="77777777" w:rsidR="00272F4D" w:rsidRPr="009533EA" w:rsidRDefault="00272F4D" w:rsidP="00272F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b/>
        </w:rPr>
      </w:pPr>
    </w:p>
    <w:p w14:paraId="27D551CC" w14:textId="77777777" w:rsidR="00272F4D" w:rsidRPr="000D2D6D" w:rsidRDefault="00272F4D" w:rsidP="00272F4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rPr>
      </w:pPr>
      <w:r w:rsidRPr="000D2D6D">
        <w:t xml:space="preserve">THE INFORMATION COLLECTED–AGENCY ACTIVITIES, COLLECTION </w:t>
      </w:r>
      <w:r w:rsidRPr="000D2D6D">
        <w:rPr>
          <w:rFonts w:eastAsia="Times New Roman" w:cs="Times New Roman"/>
        </w:rPr>
        <w:t>METHODOLOGY, AND INFORMATION MANAGEMENT</w:t>
      </w:r>
    </w:p>
    <w:p w14:paraId="3DAFCAB6" w14:textId="0996A842" w:rsidR="00272F4D" w:rsidRDefault="00272F4D" w:rsidP="00272F4D">
      <w:pPr>
        <w:pStyle w:val="Heading2"/>
      </w:pPr>
      <w:r>
        <w:t>A</w:t>
      </w:r>
      <w:r w:rsidRPr="009533EA">
        <w:t>gency Activities</w:t>
      </w:r>
    </w:p>
    <w:p w14:paraId="17C0BBE3" w14:textId="0846171D" w:rsidR="002E1F59" w:rsidRPr="009533EA" w:rsidRDefault="002E1F59" w:rsidP="00897C15">
      <w:pPr>
        <w:pStyle w:val="BodyText"/>
        <w:ind w:left="720" w:firstLine="0"/>
      </w:pPr>
      <w:r w:rsidRPr="009533EA">
        <w:t>The Agency develops and maintains the electronic tool used to collect and verify data</w:t>
      </w:r>
      <w:r>
        <w:t xml:space="preserve"> and routinely conducts o</w:t>
      </w:r>
      <w:r w:rsidRPr="009533EA">
        <w:t xml:space="preserve">ther </w:t>
      </w:r>
      <w:r>
        <w:t xml:space="preserve">activities </w:t>
      </w:r>
      <w:r w:rsidRPr="009533EA">
        <w:t>related to the processing, analysis and storage of the information collected under this rule</w:t>
      </w:r>
      <w:r>
        <w:t>. In this ICR, Agency activities related to the changes created by the proposed rule are considered</w:t>
      </w:r>
      <w:r w:rsidRPr="009533EA">
        <w:t xml:space="preserve"> includ</w:t>
      </w:r>
      <w:r>
        <w:t>i</w:t>
      </w:r>
      <w:r w:rsidRPr="009533EA">
        <w:t>ng:</w:t>
      </w:r>
    </w:p>
    <w:p w14:paraId="57F4B0FB" w14:textId="77777777" w:rsidR="002E1F59" w:rsidRPr="00177796" w:rsidRDefault="002E1F59" w:rsidP="009C01F1">
      <w:pPr>
        <w:pStyle w:val="CommentText"/>
        <w:numPr>
          <w:ilvl w:val="0"/>
          <w:numId w:val="1"/>
        </w:numPr>
        <w:rPr>
          <w:sz w:val="24"/>
          <w:szCs w:val="24"/>
        </w:rPr>
      </w:pPr>
      <w:r w:rsidRPr="00177796">
        <w:rPr>
          <w:sz w:val="24"/>
          <w:szCs w:val="24"/>
        </w:rPr>
        <w:t>Submission receipt and tracking</w:t>
      </w:r>
    </w:p>
    <w:p w14:paraId="61366BE4" w14:textId="77777777" w:rsidR="002E1F59" w:rsidRPr="00177796" w:rsidRDefault="002E1F59" w:rsidP="009C01F1">
      <w:pPr>
        <w:pStyle w:val="CommentText"/>
        <w:numPr>
          <w:ilvl w:val="0"/>
          <w:numId w:val="1"/>
        </w:numPr>
        <w:rPr>
          <w:sz w:val="24"/>
          <w:szCs w:val="24"/>
        </w:rPr>
      </w:pPr>
      <w:r w:rsidRPr="00177796">
        <w:rPr>
          <w:sz w:val="24"/>
          <w:szCs w:val="24"/>
        </w:rPr>
        <w:t>Data Review</w:t>
      </w:r>
      <w:r>
        <w:rPr>
          <w:sz w:val="24"/>
          <w:szCs w:val="24"/>
        </w:rPr>
        <w:t xml:space="preserve"> (CBI review, recommendations and determinations, including identifying and recovering previously submitted substantiations as authorized under TSCA section 8(b)(4)(D) and referenced above in 4(b)(i))</w:t>
      </w:r>
    </w:p>
    <w:p w14:paraId="7FD5FA71" w14:textId="77777777" w:rsidR="002E1F59" w:rsidRDefault="002E1F59" w:rsidP="009C01F1">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Cs w:val="20"/>
        </w:rPr>
      </w:pPr>
      <w:r w:rsidRPr="00561314">
        <w:t>Quality Control</w:t>
      </w:r>
      <w:r>
        <w:rPr>
          <w:rFonts w:eastAsia="Times New Roman" w:cs="Times New Roman"/>
          <w:szCs w:val="20"/>
        </w:rPr>
        <w:t>.</w:t>
      </w:r>
    </w:p>
    <w:p w14:paraId="73C1A465" w14:textId="4372E5F0" w:rsidR="002E1F59" w:rsidRDefault="002F7F23" w:rsidP="0094705A">
      <w:pPr>
        <w:pStyle w:val="Heading2"/>
        <w:numPr>
          <w:ilvl w:val="0"/>
          <w:numId w:val="0"/>
        </w:numPr>
        <w:ind w:left="720"/>
      </w:pPr>
      <w:r>
        <w:t xml:space="preserve">5(b) </w:t>
      </w:r>
      <w:r w:rsidR="006F51AE">
        <w:t xml:space="preserve">Information Requested. </w:t>
      </w:r>
    </w:p>
    <w:p w14:paraId="1BEEB53F" w14:textId="18408E5D" w:rsidR="006F51AE" w:rsidRPr="002F7F23" w:rsidRDefault="006F51AE" w:rsidP="0094705A">
      <w:pPr>
        <w:pStyle w:val="Heading1"/>
        <w:numPr>
          <w:ilvl w:val="0"/>
          <w:numId w:val="0"/>
        </w:numPr>
        <w:ind w:left="720"/>
        <w:rPr>
          <w:b w:val="0"/>
        </w:rPr>
      </w:pPr>
      <w:r w:rsidRPr="002F7F23">
        <w:rPr>
          <w:b w:val="0"/>
        </w:rPr>
        <w:t>Persons subject to this Rule will be required to complete the substantiation portion of the Form A used in the Active-Inactive Reporting.  Those persons who wish to rely on the previously submitted substantiations as authorized under TSCA section 8(b)(4)(D) and referenced above in 4(b)(i)), will need to identify the substantiation in this form.  There will be no oth</w:t>
      </w:r>
      <w:r w:rsidR="00951966">
        <w:rPr>
          <w:b w:val="0"/>
        </w:rPr>
        <w:t>er changes to the reference ICR</w:t>
      </w:r>
      <w:r w:rsidRPr="002F7F23">
        <w:rPr>
          <w:b w:val="0"/>
        </w:rPr>
        <w:t>.</w:t>
      </w:r>
      <w:r>
        <w:rPr>
          <w:b w:val="0"/>
        </w:rPr>
        <w:t xml:space="preserve">  Submission of information will rely on the existing e-NOA software and be submitted electronically using CDX.</w:t>
      </w:r>
    </w:p>
    <w:p w14:paraId="5D37AFA9" w14:textId="0A0BD5DE" w:rsidR="00272F4D" w:rsidRDefault="006F51AE" w:rsidP="0094705A">
      <w:pPr>
        <w:pStyle w:val="Heading2"/>
        <w:numPr>
          <w:ilvl w:val="0"/>
          <w:numId w:val="0"/>
        </w:numPr>
        <w:ind w:left="1080" w:hanging="360"/>
      </w:pPr>
      <w:r>
        <w:t xml:space="preserve">5(c) </w:t>
      </w:r>
      <w:r w:rsidR="00272F4D" w:rsidRPr="009533EA">
        <w:t>Collection Methodology and Management</w:t>
      </w:r>
    </w:p>
    <w:p w14:paraId="05958F19" w14:textId="098AC9FA" w:rsidR="00897C15" w:rsidRPr="0094705A" w:rsidRDefault="002F7F23" w:rsidP="009C01F1">
      <w:pPr>
        <w:pStyle w:val="BodyText"/>
        <w:numPr>
          <w:ilvl w:val="0"/>
          <w:numId w:val="1"/>
        </w:numPr>
        <w:ind w:right="155"/>
        <w:rPr>
          <w:spacing w:val="-1"/>
        </w:rPr>
      </w:pPr>
      <w:r>
        <w:t xml:space="preserve">All </w:t>
      </w:r>
      <w:r w:rsidR="00897C15">
        <w:t xml:space="preserve">forms must be generated using the </w:t>
      </w:r>
      <w:r w:rsidR="00897C15">
        <w:rPr>
          <w:spacing w:val="-1"/>
        </w:rPr>
        <w:t>e-NOA</w:t>
      </w:r>
      <w:r w:rsidR="00897C15">
        <w:t xml:space="preserve"> software</w:t>
      </w:r>
      <w:r w:rsidR="00897C15">
        <w:rPr>
          <w:spacing w:val="-1"/>
        </w:rPr>
        <w:t xml:space="preserve"> </w:t>
      </w:r>
      <w:r w:rsidR="00897C15">
        <w:t>and submitted</w:t>
      </w:r>
      <w:r w:rsidR="00897C15">
        <w:rPr>
          <w:spacing w:val="22"/>
        </w:rPr>
        <w:t xml:space="preserve"> </w:t>
      </w:r>
      <w:r w:rsidR="00897C15">
        <w:t>electronically</w:t>
      </w:r>
      <w:r w:rsidR="00897C15">
        <w:rPr>
          <w:spacing w:val="-5"/>
        </w:rPr>
        <w:t xml:space="preserve"> </w:t>
      </w:r>
      <w:r w:rsidR="00897C15">
        <w:t xml:space="preserve">via </w:t>
      </w:r>
      <w:r w:rsidR="00897C15">
        <w:rPr>
          <w:spacing w:val="-1"/>
        </w:rPr>
        <w:t>CDX.</w:t>
      </w:r>
      <w:r w:rsidR="00897C15">
        <w:rPr>
          <w:spacing w:val="2"/>
        </w:rPr>
        <w:t xml:space="preserve"> </w:t>
      </w:r>
      <w:r w:rsidR="00897C15">
        <w:t>The</w:t>
      </w:r>
      <w:r w:rsidR="00897C15">
        <w:rPr>
          <w:spacing w:val="-1"/>
        </w:rPr>
        <w:t xml:space="preserve"> </w:t>
      </w:r>
      <w:r w:rsidR="00897C15">
        <w:t>data</w:t>
      </w:r>
      <w:r w:rsidR="00897C15">
        <w:rPr>
          <w:spacing w:val="-1"/>
        </w:rPr>
        <w:t xml:space="preserve"> </w:t>
      </w:r>
      <w:r w:rsidR="00897C15">
        <w:t>being</w:t>
      </w:r>
      <w:r w:rsidR="00897C15">
        <w:rPr>
          <w:spacing w:val="-1"/>
        </w:rPr>
        <w:t xml:space="preserve"> </w:t>
      </w:r>
      <w:r w:rsidR="00897C15">
        <w:t>transmitted</w:t>
      </w:r>
      <w:r w:rsidR="00897C15">
        <w:rPr>
          <w:spacing w:val="-1"/>
        </w:rPr>
        <w:t xml:space="preserve"> </w:t>
      </w:r>
      <w:r w:rsidR="00897C15">
        <w:t>electronically</w:t>
      </w:r>
      <w:r w:rsidR="00897C15">
        <w:rPr>
          <w:spacing w:val="-2"/>
        </w:rPr>
        <w:t xml:space="preserve"> </w:t>
      </w:r>
      <w:r w:rsidR="00897C15">
        <w:rPr>
          <w:spacing w:val="-1"/>
        </w:rPr>
        <w:t>via</w:t>
      </w:r>
      <w:r w:rsidR="00897C15">
        <w:rPr>
          <w:spacing w:val="-2"/>
        </w:rPr>
        <w:t xml:space="preserve"> </w:t>
      </w:r>
      <w:r w:rsidR="00897C15">
        <w:rPr>
          <w:spacing w:val="-1"/>
        </w:rPr>
        <w:t xml:space="preserve">CDX </w:t>
      </w:r>
      <w:r w:rsidR="00897C15">
        <w:t>are</w:t>
      </w:r>
      <w:r w:rsidR="00897C15">
        <w:rPr>
          <w:spacing w:val="1"/>
        </w:rPr>
        <w:t xml:space="preserve"> </w:t>
      </w:r>
      <w:r w:rsidR="00897C15">
        <w:rPr>
          <w:spacing w:val="-1"/>
        </w:rPr>
        <w:t>encrypted</w:t>
      </w:r>
      <w:r w:rsidR="00897C15">
        <w:t xml:space="preserve"> to protect</w:t>
      </w:r>
      <w:r w:rsidR="00897C15">
        <w:rPr>
          <w:spacing w:val="25"/>
        </w:rPr>
        <w:t xml:space="preserve"> </w:t>
      </w:r>
      <w:r w:rsidR="00897C15">
        <w:rPr>
          <w:spacing w:val="-1"/>
        </w:rPr>
        <w:t>CBI.</w:t>
      </w:r>
      <w:r w:rsidR="00897C15">
        <w:t xml:space="preserve"> </w:t>
      </w:r>
      <w:r w:rsidR="00897C15">
        <w:rPr>
          <w:spacing w:val="-1"/>
        </w:rPr>
        <w:t>The software works</w:t>
      </w:r>
      <w:r w:rsidR="00897C15">
        <w:rPr>
          <w:spacing w:val="2"/>
        </w:rPr>
        <w:t xml:space="preserve"> </w:t>
      </w:r>
      <w:r w:rsidR="00897C15">
        <w:t xml:space="preserve">with Windows, Macs, </w:t>
      </w:r>
      <w:r w:rsidR="00897C15">
        <w:rPr>
          <w:spacing w:val="-1"/>
        </w:rPr>
        <w:t>Linux,</w:t>
      </w:r>
      <w:r w:rsidR="00897C15">
        <w:t xml:space="preserve"> and </w:t>
      </w:r>
      <w:r w:rsidR="00897C15">
        <w:rPr>
          <w:spacing w:val="-1"/>
        </w:rPr>
        <w:t>UNIX-based</w:t>
      </w:r>
      <w:r w:rsidR="00897C15">
        <w:t xml:space="preserve"> computers, using XML</w:t>
      </w:r>
      <w:r w:rsidR="00897C15">
        <w:rPr>
          <w:spacing w:val="29"/>
        </w:rPr>
        <w:t xml:space="preserve"> </w:t>
      </w:r>
      <w:r w:rsidR="00897C15">
        <w:t>for efficient data transmittal to Agency</w:t>
      </w:r>
      <w:r w:rsidR="00897C15">
        <w:rPr>
          <w:spacing w:val="-5"/>
        </w:rPr>
        <w:t xml:space="preserve"> </w:t>
      </w:r>
      <w:r w:rsidR="00897C15">
        <w:t>data</w:t>
      </w:r>
      <w:r w:rsidR="00897C15">
        <w:rPr>
          <w:spacing w:val="1"/>
        </w:rPr>
        <w:t xml:space="preserve"> </w:t>
      </w:r>
      <w:r w:rsidR="00897C15">
        <w:rPr>
          <w:spacing w:val="-1"/>
        </w:rPr>
        <w:t xml:space="preserve">systems. </w:t>
      </w:r>
      <w:r w:rsidR="00897C15">
        <w:t>The Agency</w:t>
      </w:r>
      <w:r w:rsidR="00897C15">
        <w:rPr>
          <w:spacing w:val="-5"/>
        </w:rPr>
        <w:t xml:space="preserve"> </w:t>
      </w:r>
      <w:r w:rsidR="00897C15">
        <w:t>requires all section 8(b) notices to be submitted electronically</w:t>
      </w:r>
      <w:r w:rsidR="00897C15">
        <w:rPr>
          <w:spacing w:val="-3"/>
        </w:rPr>
        <w:t xml:space="preserve"> </w:t>
      </w:r>
      <w:r w:rsidR="00897C15">
        <w:rPr>
          <w:spacing w:val="-2"/>
        </w:rPr>
        <w:t>via</w:t>
      </w:r>
      <w:r w:rsidR="00897C15">
        <w:rPr>
          <w:spacing w:val="25"/>
        </w:rPr>
        <w:t xml:space="preserve"> </w:t>
      </w:r>
      <w:r w:rsidR="00897C15">
        <w:rPr>
          <w:spacing w:val="-1"/>
        </w:rPr>
        <w:t>CDX.</w:t>
      </w:r>
    </w:p>
    <w:p w14:paraId="559F634F" w14:textId="77777777" w:rsidR="00897C15" w:rsidRDefault="00897C15" w:rsidP="009C01F1">
      <w:pPr>
        <w:pStyle w:val="BodyText"/>
        <w:numPr>
          <w:ilvl w:val="0"/>
          <w:numId w:val="1"/>
        </w:numPr>
        <w:ind w:right="155"/>
      </w:pPr>
      <w:r>
        <w:rPr>
          <w:spacing w:val="-1"/>
        </w:rPr>
        <w:t>An electronic signature</w:t>
      </w:r>
      <w:r>
        <w:rPr>
          <w:spacing w:val="-2"/>
        </w:rPr>
        <w:t xml:space="preserve"> </w:t>
      </w:r>
      <w:r>
        <w:t>is</w:t>
      </w:r>
      <w:r>
        <w:rPr>
          <w:spacing w:val="1"/>
        </w:rPr>
        <w:t xml:space="preserve"> </w:t>
      </w:r>
      <w:r>
        <w:t>required for TSCA section 8(b) notices submitted to the Agency</w:t>
      </w:r>
      <w:r>
        <w:rPr>
          <w:spacing w:val="25"/>
        </w:rPr>
        <w:t xml:space="preserve"> </w:t>
      </w:r>
      <w:r>
        <w:t>via</w:t>
      </w:r>
      <w:r>
        <w:rPr>
          <w:spacing w:val="-1"/>
        </w:rPr>
        <w:t xml:space="preserve"> CDX.</w:t>
      </w:r>
      <w:r>
        <w:t xml:space="preserve"> Electronic signatures are granted as part of the</w:t>
      </w:r>
      <w:r>
        <w:rPr>
          <w:spacing w:val="-2"/>
        </w:rPr>
        <w:t xml:space="preserve"> </w:t>
      </w:r>
      <w:r>
        <w:rPr>
          <w:spacing w:val="-1"/>
        </w:rPr>
        <w:t>CDX user-registration process.</w:t>
      </w:r>
    </w:p>
    <w:p w14:paraId="0F8D8950" w14:textId="061D5603" w:rsidR="00897C15" w:rsidRDefault="00897C15" w:rsidP="009C01F1">
      <w:pPr>
        <w:pStyle w:val="BodyText"/>
        <w:numPr>
          <w:ilvl w:val="0"/>
          <w:numId w:val="1"/>
        </w:numPr>
        <w:ind w:right="155"/>
      </w:pPr>
      <w:r>
        <w:t xml:space="preserve">All software users </w:t>
      </w:r>
      <w:r w:rsidRPr="002F7F23">
        <w:rPr>
          <w:spacing w:val="-1"/>
        </w:rPr>
        <w:t xml:space="preserve">need to perform the </w:t>
      </w:r>
      <w:r>
        <w:t>“finalization”</w:t>
      </w:r>
      <w:r w:rsidRPr="002F7F23">
        <w:rPr>
          <w:spacing w:val="-1"/>
        </w:rPr>
        <w:t xml:space="preserve"> </w:t>
      </w:r>
      <w:r>
        <w:t>step</w:t>
      </w:r>
      <w:r w:rsidRPr="002F7F23">
        <w:rPr>
          <w:spacing w:val="-1"/>
        </w:rPr>
        <w:t xml:space="preserve"> </w:t>
      </w:r>
      <w:r>
        <w:t>in</w:t>
      </w:r>
      <w:r w:rsidRPr="002F7F23">
        <w:rPr>
          <w:spacing w:val="-1"/>
        </w:rPr>
        <w:t xml:space="preserve"> </w:t>
      </w:r>
      <w:r>
        <w:t>generating</w:t>
      </w:r>
      <w:r w:rsidRPr="002F7F23">
        <w:rPr>
          <w:spacing w:val="-1"/>
        </w:rPr>
        <w:t xml:space="preserve"> </w:t>
      </w:r>
      <w:r>
        <w:t>a</w:t>
      </w:r>
      <w:r w:rsidRPr="002F7F23">
        <w:rPr>
          <w:spacing w:val="28"/>
        </w:rPr>
        <w:t xml:space="preserve"> </w:t>
      </w:r>
      <w:r w:rsidRPr="002F7F23">
        <w:rPr>
          <w:spacing w:val="-1"/>
        </w:rPr>
        <w:t>document.</w:t>
      </w:r>
      <w:r>
        <w:t xml:space="preserve"> Duri</w:t>
      </w:r>
      <w:r w:rsidR="002F7F23">
        <w:t xml:space="preserve">ng the “finalization” step, the </w:t>
      </w:r>
      <w:r>
        <w:t>software checks that all legally</w:t>
      </w:r>
      <w:r w:rsidRPr="002F7F23">
        <w:rPr>
          <w:spacing w:val="-5"/>
        </w:rPr>
        <w:t xml:space="preserve"> </w:t>
      </w:r>
      <w:r w:rsidRPr="002F7F23">
        <w:rPr>
          <w:spacing w:val="-1"/>
        </w:rPr>
        <w:t>required</w:t>
      </w:r>
      <w:r w:rsidRPr="002F7F23">
        <w:rPr>
          <w:spacing w:val="24"/>
        </w:rPr>
        <w:t xml:space="preserve"> </w:t>
      </w:r>
      <w:r w:rsidRPr="002F7F23">
        <w:rPr>
          <w:spacing w:val="-1"/>
        </w:rPr>
        <w:t>information is included, provides warnings where</w:t>
      </w:r>
      <w:r>
        <w:t xml:space="preserve"> </w:t>
      </w:r>
      <w:r w:rsidRPr="002F7F23">
        <w:rPr>
          <w:spacing w:val="-1"/>
        </w:rPr>
        <w:t>necessary,</w:t>
      </w:r>
      <w:r>
        <w:t xml:space="preserve"> and saves data in a read-only</w:t>
      </w:r>
      <w:r w:rsidRPr="002F7F23">
        <w:rPr>
          <w:spacing w:val="31"/>
        </w:rPr>
        <w:t xml:space="preserve"> </w:t>
      </w:r>
      <w:r>
        <w:t xml:space="preserve">format acceptable to the </w:t>
      </w:r>
      <w:r w:rsidRPr="002F7F23">
        <w:rPr>
          <w:spacing w:val="-1"/>
        </w:rPr>
        <w:t>Agency.</w:t>
      </w:r>
      <w:r>
        <w:t xml:space="preserve"> Section 8(b) notices </w:t>
      </w:r>
      <w:r w:rsidRPr="002F7F23">
        <w:rPr>
          <w:spacing w:val="-1"/>
        </w:rPr>
        <w:t>in which data have not undergone the</w:t>
      </w:r>
      <w:r w:rsidR="002F7F23" w:rsidRPr="002F7F23">
        <w:rPr>
          <w:spacing w:val="-1"/>
        </w:rPr>
        <w:t xml:space="preserve"> </w:t>
      </w:r>
      <w:r>
        <w:t>“finalization”</w:t>
      </w:r>
      <w:r w:rsidRPr="002F7F23">
        <w:rPr>
          <w:spacing w:val="-1"/>
        </w:rPr>
        <w:t xml:space="preserve"> </w:t>
      </w:r>
      <w:r>
        <w:t>step</w:t>
      </w:r>
      <w:r w:rsidRPr="002F7F23">
        <w:rPr>
          <w:spacing w:val="-1"/>
        </w:rPr>
        <w:t xml:space="preserve"> are determined incomplete.</w:t>
      </w:r>
      <w:r>
        <w:t xml:space="preserve"> This step is necessary</w:t>
      </w:r>
      <w:r w:rsidRPr="002F7F23">
        <w:rPr>
          <w:spacing w:val="-5"/>
        </w:rPr>
        <w:t xml:space="preserve"> </w:t>
      </w:r>
      <w:r>
        <w:t>to allow for an accurate and</w:t>
      </w:r>
      <w:r w:rsidRPr="002F7F23">
        <w:rPr>
          <w:spacing w:val="33"/>
        </w:rPr>
        <w:t xml:space="preserve"> </w:t>
      </w:r>
      <w:r w:rsidRPr="002F7F23">
        <w:rPr>
          <w:spacing w:val="-1"/>
        </w:rPr>
        <w:t xml:space="preserve">efficient transfer of data </w:t>
      </w:r>
      <w:r>
        <w:t xml:space="preserve">to EPA data </w:t>
      </w:r>
      <w:r w:rsidRPr="002F7F23">
        <w:rPr>
          <w:spacing w:val="-1"/>
        </w:rPr>
        <w:t>systems.</w:t>
      </w:r>
      <w:r>
        <w:t xml:space="preserve"> The</w:t>
      </w:r>
      <w:r w:rsidRPr="002F7F23">
        <w:rPr>
          <w:spacing w:val="-1"/>
        </w:rPr>
        <w:t xml:space="preserve"> </w:t>
      </w:r>
      <w:r>
        <w:t>word,</w:t>
      </w:r>
      <w:r w:rsidRPr="002F7F23">
        <w:rPr>
          <w:spacing w:val="-1"/>
        </w:rPr>
        <w:t xml:space="preserve"> “finalized,” </w:t>
      </w:r>
      <w:r>
        <w:t xml:space="preserve">is </w:t>
      </w:r>
      <w:r w:rsidRPr="002F7F23">
        <w:rPr>
          <w:spacing w:val="-1"/>
        </w:rPr>
        <w:t>in the file name and</w:t>
      </w:r>
      <w:r w:rsidRPr="002F7F23">
        <w:rPr>
          <w:spacing w:val="52"/>
        </w:rPr>
        <w:t xml:space="preserve"> </w:t>
      </w:r>
      <w:r w:rsidRPr="002F7F23">
        <w:rPr>
          <w:spacing w:val="-1"/>
        </w:rPr>
        <w:t>the name ends</w:t>
      </w:r>
      <w:r>
        <w:t xml:space="preserve"> with “tsca.”</w:t>
      </w:r>
      <w:r w:rsidRPr="002F7F23">
        <w:rPr>
          <w:spacing w:val="-1"/>
        </w:rPr>
        <w:t xml:space="preserve"> The “finalized” file (folder) contains</w:t>
      </w:r>
      <w:r>
        <w:t xml:space="preserve"> the CBI and </w:t>
      </w:r>
      <w:r w:rsidRPr="002F7F23">
        <w:rPr>
          <w:spacing w:val="-1"/>
        </w:rPr>
        <w:t>non-CBI</w:t>
      </w:r>
      <w:r>
        <w:t xml:space="preserve"> data in</w:t>
      </w:r>
      <w:r w:rsidRPr="002F7F23">
        <w:rPr>
          <w:spacing w:val="31"/>
        </w:rPr>
        <w:t xml:space="preserve"> </w:t>
      </w:r>
      <w:r>
        <w:t>XML</w:t>
      </w:r>
      <w:r w:rsidRPr="002F7F23">
        <w:rPr>
          <w:spacing w:val="-5"/>
        </w:rPr>
        <w:t xml:space="preserve"> </w:t>
      </w:r>
      <w:r>
        <w:t xml:space="preserve">format that are </w:t>
      </w:r>
      <w:r w:rsidRPr="002F7F23">
        <w:rPr>
          <w:spacing w:val="-1"/>
        </w:rPr>
        <w:t>non-editable.</w:t>
      </w:r>
      <w:r>
        <w:t xml:space="preserve"> The CBI and </w:t>
      </w:r>
      <w:r w:rsidRPr="002F7F23">
        <w:rPr>
          <w:spacing w:val="-1"/>
        </w:rPr>
        <w:t xml:space="preserve">non-CBI attachments are </w:t>
      </w:r>
      <w:r>
        <w:t>also in this folder in</w:t>
      </w:r>
      <w:r w:rsidRPr="002F7F23">
        <w:rPr>
          <w:spacing w:val="27"/>
        </w:rPr>
        <w:t xml:space="preserve"> </w:t>
      </w:r>
      <w:r w:rsidRPr="002F7F23">
        <w:rPr>
          <w:spacing w:val="-1"/>
        </w:rPr>
        <w:t>their native format.</w:t>
      </w:r>
      <w:r>
        <w:t xml:space="preserve"> Attachments must be submitted in one of EPA’s approved formats for the</w:t>
      </w:r>
      <w:r w:rsidRPr="002F7F23">
        <w:rPr>
          <w:spacing w:val="25"/>
        </w:rPr>
        <w:t xml:space="preserve"> </w:t>
      </w:r>
      <w:r>
        <w:t>Agency</w:t>
      </w:r>
      <w:r w:rsidRPr="002F7F23">
        <w:rPr>
          <w:spacing w:val="-5"/>
        </w:rPr>
        <w:t xml:space="preserve"> </w:t>
      </w:r>
      <w:r>
        <w:t>to be able to open the files.</w:t>
      </w:r>
    </w:p>
    <w:p w14:paraId="0AB82734" w14:textId="15212B2D" w:rsidR="00897C15" w:rsidRDefault="00897C15" w:rsidP="009C01F1">
      <w:pPr>
        <w:pStyle w:val="BodyText"/>
        <w:numPr>
          <w:ilvl w:val="0"/>
          <w:numId w:val="1"/>
        </w:numPr>
        <w:spacing w:before="43" w:line="235" w:lineRule="auto"/>
        <w:ind w:right="134"/>
      </w:pPr>
      <w:r>
        <w:t>All information sent via CDX is transmitted securely</w:t>
      </w:r>
      <w:r>
        <w:rPr>
          <w:spacing w:val="-5"/>
        </w:rPr>
        <w:t xml:space="preserve"> </w:t>
      </w:r>
      <w:r>
        <w:t xml:space="preserve">to protect </w:t>
      </w:r>
      <w:r>
        <w:rPr>
          <w:spacing w:val="-1"/>
        </w:rPr>
        <w:t>CBI.</w:t>
      </w:r>
      <w:r>
        <w:rPr>
          <w:spacing w:val="2"/>
        </w:rPr>
        <w:t xml:space="preserve"> </w:t>
      </w:r>
      <w:r>
        <w:rPr>
          <w:spacing w:val="-1"/>
        </w:rPr>
        <w:t>Furthermore, if</w:t>
      </w:r>
      <w:r>
        <w:rPr>
          <w:spacing w:val="21"/>
        </w:rPr>
        <w:t xml:space="preserve"> </w:t>
      </w:r>
      <w:r>
        <w:rPr>
          <w:spacing w:val="-1"/>
        </w:rPr>
        <w:t>anything</w:t>
      </w:r>
      <w:r>
        <w:t xml:space="preserve"> in the submission has been claimed CBI, a sanitized copy</w:t>
      </w:r>
      <w:r>
        <w:rPr>
          <w:spacing w:val="-5"/>
        </w:rPr>
        <w:t xml:space="preserve"> </w:t>
      </w:r>
      <w:r>
        <w:t>of the notice must be</w:t>
      </w:r>
      <w:r>
        <w:rPr>
          <w:spacing w:val="23"/>
        </w:rPr>
        <w:t xml:space="preserve"> </w:t>
      </w:r>
      <w:r>
        <w:rPr>
          <w:spacing w:val="-1"/>
        </w:rPr>
        <w:t xml:space="preserve">provided </w:t>
      </w:r>
      <w:r>
        <w:rPr>
          <w:spacing w:val="2"/>
        </w:rPr>
        <w:t>by</w:t>
      </w:r>
      <w:r>
        <w:rPr>
          <w:spacing w:val="-1"/>
        </w:rPr>
        <w:t xml:space="preserve"> the submitter.</w:t>
      </w:r>
      <w:r>
        <w:t xml:space="preserve"> </w:t>
      </w:r>
      <w:r w:rsidR="002F7F23">
        <w:rPr>
          <w:spacing w:val="-1"/>
        </w:rPr>
        <w:t xml:space="preserve">The </w:t>
      </w:r>
      <w:r>
        <w:t xml:space="preserve">software facilitates the creation of this sanitized </w:t>
      </w:r>
      <w:r>
        <w:rPr>
          <w:spacing w:val="-1"/>
        </w:rPr>
        <w:t>non-CBI</w:t>
      </w:r>
      <w:r>
        <w:rPr>
          <w:spacing w:val="25"/>
        </w:rPr>
        <w:t xml:space="preserve"> </w:t>
      </w:r>
      <w:r>
        <w:t xml:space="preserve">version, eliminating the need for the submitter to do this </w:t>
      </w:r>
      <w:r>
        <w:rPr>
          <w:spacing w:val="-1"/>
        </w:rPr>
        <w:t>manually.</w:t>
      </w:r>
      <w:r>
        <w:rPr>
          <w:spacing w:val="2"/>
        </w:rPr>
        <w:t xml:space="preserve"> </w:t>
      </w:r>
      <w:r>
        <w:t>It also allows submitters to</w:t>
      </w:r>
      <w:r>
        <w:rPr>
          <w:spacing w:val="23"/>
        </w:rPr>
        <w:t xml:space="preserve"> </w:t>
      </w:r>
      <w:r>
        <w:rPr>
          <w:spacing w:val="-1"/>
        </w:rPr>
        <w:t xml:space="preserve">share </w:t>
      </w:r>
      <w:r>
        <w:t>a</w:t>
      </w:r>
      <w:r>
        <w:rPr>
          <w:spacing w:val="-1"/>
        </w:rPr>
        <w:t xml:space="preserve"> draft notice within their company during the creation of </w:t>
      </w:r>
      <w:r>
        <w:t>a</w:t>
      </w:r>
      <w:r>
        <w:rPr>
          <w:spacing w:val="-1"/>
        </w:rPr>
        <w:t xml:space="preserve"> notice and to save </w:t>
      </w:r>
      <w:r>
        <w:t>a</w:t>
      </w:r>
      <w:r>
        <w:rPr>
          <w:spacing w:val="-1"/>
        </w:rPr>
        <w:t xml:space="preserve"> </w:t>
      </w:r>
      <w:r>
        <w:t>copy</w:t>
      </w:r>
      <w:r>
        <w:rPr>
          <w:spacing w:val="-5"/>
        </w:rPr>
        <w:t xml:space="preserve"> </w:t>
      </w:r>
      <w:r>
        <w:t>of the</w:t>
      </w:r>
      <w:r>
        <w:rPr>
          <w:spacing w:val="39"/>
        </w:rPr>
        <w:t xml:space="preserve"> </w:t>
      </w:r>
      <w:r>
        <w:t>final file for future use. A “Profiler,” available in the software, also allows for certain information to be kept on file by</w:t>
      </w:r>
      <w:r>
        <w:rPr>
          <w:spacing w:val="-5"/>
        </w:rPr>
        <w:t xml:space="preserve"> </w:t>
      </w:r>
      <w:r>
        <w:t xml:space="preserve">the submitter to avoid the burden associated with </w:t>
      </w:r>
      <w:r>
        <w:rPr>
          <w:spacing w:val="-1"/>
        </w:rPr>
        <w:t>re-entering</w:t>
      </w:r>
      <w:r>
        <w:t xml:space="preserve"> the</w:t>
      </w:r>
      <w:r>
        <w:rPr>
          <w:spacing w:val="28"/>
        </w:rPr>
        <w:t xml:space="preserve"> </w:t>
      </w:r>
      <w:r>
        <w:rPr>
          <w:spacing w:val="-1"/>
        </w:rPr>
        <w:t xml:space="preserve">same </w:t>
      </w:r>
      <w:r>
        <w:t>information</w:t>
      </w:r>
      <w:r>
        <w:rPr>
          <w:spacing w:val="-1"/>
        </w:rPr>
        <w:t xml:space="preserve"> </w:t>
      </w:r>
      <w:r>
        <w:t>into</w:t>
      </w:r>
      <w:r>
        <w:rPr>
          <w:spacing w:val="-1"/>
        </w:rPr>
        <w:t xml:space="preserve"> </w:t>
      </w:r>
      <w:r>
        <w:t>a</w:t>
      </w:r>
      <w:r>
        <w:rPr>
          <w:spacing w:val="-1"/>
        </w:rPr>
        <w:t xml:space="preserve"> </w:t>
      </w:r>
      <w:r>
        <w:t>new</w:t>
      </w:r>
      <w:r>
        <w:rPr>
          <w:spacing w:val="-1"/>
        </w:rPr>
        <w:t xml:space="preserve"> </w:t>
      </w:r>
      <w:r>
        <w:t>form.</w:t>
      </w:r>
    </w:p>
    <w:p w14:paraId="73045F71" w14:textId="77777777" w:rsidR="00897C15" w:rsidRDefault="00897C15" w:rsidP="009C01F1">
      <w:pPr>
        <w:pStyle w:val="BodyText"/>
        <w:numPr>
          <w:ilvl w:val="0"/>
          <w:numId w:val="1"/>
        </w:numPr>
        <w:ind w:right="155"/>
      </w:pPr>
      <w:r>
        <w:t>The Agency</w:t>
      </w:r>
      <w:r>
        <w:rPr>
          <w:spacing w:val="-5"/>
        </w:rPr>
        <w:t xml:space="preserve"> </w:t>
      </w:r>
      <w:r>
        <w:t xml:space="preserve">also </w:t>
      </w:r>
      <w:r>
        <w:rPr>
          <w:spacing w:val="-1"/>
        </w:rPr>
        <w:t>benefits</w:t>
      </w:r>
      <w:r>
        <w:t xml:space="preserve"> from receiving electronic submissions. </w:t>
      </w:r>
      <w:r>
        <w:rPr>
          <w:spacing w:val="-1"/>
        </w:rPr>
        <w:t>Data</w:t>
      </w:r>
      <w:r>
        <w:rPr>
          <w:spacing w:val="-2"/>
        </w:rPr>
        <w:t xml:space="preserve"> </w:t>
      </w:r>
      <w:r>
        <w:rPr>
          <w:spacing w:val="-1"/>
        </w:rPr>
        <w:t>systems</w:t>
      </w:r>
      <w:r>
        <w:t xml:space="preserve"> are populated </w:t>
      </w:r>
      <w:r>
        <w:rPr>
          <w:spacing w:val="-1"/>
        </w:rPr>
        <w:t>electronically,</w:t>
      </w:r>
      <w:r>
        <w:t xml:space="preserve"> minimizing the potential for human error</w:t>
      </w:r>
      <w:r>
        <w:rPr>
          <w:spacing w:val="-2"/>
        </w:rPr>
        <w:t>.</w:t>
      </w:r>
      <w:r>
        <w:t xml:space="preserve"> Agency</w:t>
      </w:r>
      <w:r>
        <w:rPr>
          <w:spacing w:val="-5"/>
        </w:rPr>
        <w:t xml:space="preserve"> </w:t>
      </w:r>
      <w:r>
        <w:t xml:space="preserve">personnel are also able to communicate </w:t>
      </w:r>
      <w:r>
        <w:rPr>
          <w:spacing w:val="-1"/>
        </w:rPr>
        <w:t xml:space="preserve">efficiently with submitters electronically. </w:t>
      </w:r>
      <w:r>
        <w:t>Because companies register with EPA to submit their data electronically</w:t>
      </w:r>
      <w:r>
        <w:rPr>
          <w:spacing w:val="-4"/>
        </w:rPr>
        <w:t xml:space="preserve"> </w:t>
      </w:r>
      <w:r>
        <w:t>to the Agency via CDX, the Agency</w:t>
      </w:r>
      <w:r>
        <w:rPr>
          <w:spacing w:val="-5"/>
        </w:rPr>
        <w:t xml:space="preserve"> </w:t>
      </w:r>
      <w:r>
        <w:rPr>
          <w:spacing w:val="-1"/>
        </w:rPr>
        <w:t xml:space="preserve">in turn </w:t>
      </w:r>
      <w:r>
        <w:t>communicates electronically</w:t>
      </w:r>
      <w:r>
        <w:rPr>
          <w:spacing w:val="-5"/>
        </w:rPr>
        <w:t xml:space="preserve"> </w:t>
      </w:r>
      <w:r>
        <w:t>with</w:t>
      </w:r>
      <w:r>
        <w:rPr>
          <w:spacing w:val="26"/>
        </w:rPr>
        <w:t xml:space="preserve"> </w:t>
      </w:r>
      <w:r>
        <w:t>submitters via</w:t>
      </w:r>
      <w:r>
        <w:rPr>
          <w:spacing w:val="-1"/>
        </w:rPr>
        <w:t xml:space="preserve"> CDX.</w:t>
      </w:r>
      <w:r>
        <w:t xml:space="preserve"> The electronic means of communication provides</w:t>
      </w:r>
      <w:r>
        <w:rPr>
          <w:spacing w:val="27"/>
        </w:rPr>
        <w:t xml:space="preserve"> </w:t>
      </w:r>
      <w:r>
        <w:t>significant time and resource efficiencies for both parties.</w:t>
      </w:r>
    </w:p>
    <w:p w14:paraId="4CE2DD50" w14:textId="77777777" w:rsidR="00897C15" w:rsidRDefault="00897C15" w:rsidP="009C01F1">
      <w:pPr>
        <w:pStyle w:val="BodyText"/>
        <w:numPr>
          <w:ilvl w:val="0"/>
          <w:numId w:val="1"/>
        </w:numPr>
        <w:ind w:right="155"/>
      </w:pPr>
      <w:r>
        <w:rPr>
          <w:spacing w:val="-1"/>
        </w:rPr>
        <w:t>Additionally,</w:t>
      </w:r>
      <w:r>
        <w:t xml:space="preserve"> to aid persons subject to this information collection, OPPT has set up a</w:t>
      </w:r>
      <w:r>
        <w:rPr>
          <w:spacing w:val="28"/>
        </w:rPr>
        <w:t xml:space="preserve"> </w:t>
      </w:r>
      <w:r>
        <w:t>TSCA Hotline that provides information regarding TSCA regulatory</w:t>
      </w:r>
      <w:r>
        <w:rPr>
          <w:spacing w:val="-6"/>
        </w:rPr>
        <w:t xml:space="preserve"> </w:t>
      </w:r>
      <w:r>
        <w:t>requirements. When TSCA Hotline staff members are unable to answer questions regarding TSCA section 8(b), the questions are referred to OPPT staff for appropriate resolution.</w:t>
      </w:r>
    </w:p>
    <w:p w14:paraId="3651212D" w14:textId="5590AC3E" w:rsidR="00897C15" w:rsidRPr="0094705A" w:rsidRDefault="002F7F23" w:rsidP="0094705A">
      <w:pPr>
        <w:spacing w:before="5"/>
        <w:ind w:left="720"/>
        <w:rPr>
          <w:rFonts w:eastAsia="Times New Roman" w:cs="Times New Roman"/>
          <w:b/>
        </w:rPr>
      </w:pPr>
      <w:r w:rsidRPr="0094705A">
        <w:rPr>
          <w:rFonts w:eastAsia="Times New Roman" w:cs="Times New Roman"/>
          <w:b/>
        </w:rPr>
        <w:t>5(</w:t>
      </w:r>
      <w:r w:rsidR="006F51AE">
        <w:rPr>
          <w:rFonts w:eastAsia="Times New Roman" w:cs="Times New Roman"/>
          <w:b/>
        </w:rPr>
        <w:t>d</w:t>
      </w:r>
      <w:r w:rsidRPr="0094705A">
        <w:rPr>
          <w:rFonts w:eastAsia="Times New Roman" w:cs="Times New Roman"/>
          <w:b/>
        </w:rPr>
        <w:t xml:space="preserve">) Small Business Flexibility </w:t>
      </w:r>
    </w:p>
    <w:p w14:paraId="3F2F139D" w14:textId="23550433" w:rsidR="002F7F23" w:rsidRDefault="002F7F23" w:rsidP="0094705A">
      <w:pPr>
        <w:spacing w:before="5"/>
        <w:rPr>
          <w:rFonts w:eastAsia="Times New Roman" w:cs="Times New Roman"/>
        </w:rPr>
      </w:pPr>
    </w:p>
    <w:p w14:paraId="1034590D" w14:textId="77777777" w:rsidR="006F51AE" w:rsidRPr="006F51AE" w:rsidRDefault="006F51AE" w:rsidP="00951966">
      <w:pPr>
        <w:widowControl w:val="0"/>
        <w:ind w:left="720" w:right="256"/>
        <w:rPr>
          <w:rFonts w:eastAsia="Times New Roman"/>
        </w:rPr>
      </w:pPr>
      <w:r w:rsidRPr="006F51AE">
        <w:rPr>
          <w:rFonts w:eastAsia="Times New Roman"/>
          <w:spacing w:val="-1"/>
        </w:rPr>
        <w:t xml:space="preserve">The </w:t>
      </w:r>
      <w:r w:rsidRPr="006F51AE">
        <w:rPr>
          <w:rFonts w:eastAsia="Times New Roman"/>
        </w:rPr>
        <w:t>reporting and recordkeeping requirements associated with TSCA section 8(b) are</w:t>
      </w:r>
      <w:r w:rsidRPr="006F51AE">
        <w:rPr>
          <w:rFonts w:eastAsia="Times New Roman"/>
          <w:spacing w:val="21"/>
        </w:rPr>
        <w:t xml:space="preserve"> </w:t>
      </w:r>
      <w:r w:rsidRPr="006F51AE">
        <w:rPr>
          <w:rFonts w:eastAsia="Times New Roman"/>
        </w:rPr>
        <w:t xml:space="preserve">applicable to all affected entities, regardless of size of </w:t>
      </w:r>
      <w:r w:rsidRPr="006F51AE">
        <w:rPr>
          <w:rFonts w:eastAsia="Times New Roman"/>
          <w:spacing w:val="-1"/>
        </w:rPr>
        <w:t>business.</w:t>
      </w:r>
      <w:r w:rsidRPr="006F51AE">
        <w:rPr>
          <w:rFonts w:eastAsia="Times New Roman"/>
        </w:rPr>
        <w:t xml:space="preserve"> However, EPA provides</w:t>
      </w:r>
      <w:r w:rsidRPr="006F51AE">
        <w:rPr>
          <w:rFonts w:eastAsia="Times New Roman"/>
          <w:spacing w:val="28"/>
        </w:rPr>
        <w:t xml:space="preserve"> </w:t>
      </w:r>
      <w:r w:rsidRPr="006F51AE">
        <w:rPr>
          <w:rFonts w:eastAsia="Times New Roman"/>
        </w:rPr>
        <w:t>specialized</w:t>
      </w:r>
      <w:r w:rsidRPr="006F51AE">
        <w:rPr>
          <w:rFonts w:eastAsia="Times New Roman"/>
          <w:spacing w:val="-1"/>
        </w:rPr>
        <w:t xml:space="preserve"> </w:t>
      </w:r>
      <w:r w:rsidRPr="006F51AE">
        <w:rPr>
          <w:rFonts w:eastAsia="Times New Roman"/>
        </w:rPr>
        <w:t>assistance</w:t>
      </w:r>
      <w:r w:rsidRPr="006F51AE">
        <w:rPr>
          <w:rFonts w:eastAsia="Times New Roman"/>
          <w:spacing w:val="-1"/>
        </w:rPr>
        <w:t xml:space="preserve"> </w:t>
      </w:r>
      <w:r w:rsidRPr="006F51AE">
        <w:rPr>
          <w:rFonts w:eastAsia="Times New Roman"/>
        </w:rPr>
        <w:t>to</w:t>
      </w:r>
      <w:r w:rsidRPr="006F51AE">
        <w:rPr>
          <w:rFonts w:eastAsia="Times New Roman"/>
          <w:spacing w:val="-1"/>
        </w:rPr>
        <w:t xml:space="preserve"> </w:t>
      </w:r>
      <w:r w:rsidRPr="006F51AE">
        <w:rPr>
          <w:rFonts w:eastAsia="Times New Roman"/>
        </w:rPr>
        <w:t>respondents,</w:t>
      </w:r>
      <w:r w:rsidRPr="006F51AE">
        <w:rPr>
          <w:rFonts w:eastAsia="Times New Roman"/>
          <w:spacing w:val="-1"/>
        </w:rPr>
        <w:t xml:space="preserve"> </w:t>
      </w:r>
      <w:r w:rsidRPr="006F51AE">
        <w:rPr>
          <w:rFonts w:eastAsia="Times New Roman"/>
        </w:rPr>
        <w:t>particularly</w:t>
      </w:r>
      <w:r w:rsidRPr="006F51AE">
        <w:rPr>
          <w:rFonts w:eastAsia="Times New Roman"/>
          <w:spacing w:val="-3"/>
        </w:rPr>
        <w:t xml:space="preserve"> </w:t>
      </w:r>
      <w:r w:rsidRPr="006F51AE">
        <w:rPr>
          <w:rFonts w:eastAsia="Times New Roman"/>
        </w:rPr>
        <w:t xml:space="preserve">to small entities. </w:t>
      </w:r>
      <w:r w:rsidRPr="006F51AE">
        <w:rPr>
          <w:rFonts w:eastAsia="Times New Roman"/>
          <w:spacing w:val="-1"/>
        </w:rPr>
        <w:t>TSCA section 26(d)</w:t>
      </w:r>
      <w:r w:rsidRPr="006F51AE">
        <w:rPr>
          <w:rFonts w:eastAsia="Times New Roman"/>
          <w:spacing w:val="26"/>
        </w:rPr>
        <w:t xml:space="preserve"> </w:t>
      </w:r>
      <w:r w:rsidRPr="006F51AE">
        <w:rPr>
          <w:rFonts w:eastAsia="Times New Roman"/>
        </w:rPr>
        <w:t xml:space="preserve">established the TSCA Assistance Office, now known as the Environmental Assistance Division </w:t>
      </w:r>
      <w:r w:rsidRPr="006F51AE">
        <w:rPr>
          <w:rFonts w:eastAsia="Times New Roman"/>
          <w:spacing w:val="-1"/>
        </w:rPr>
        <w:t xml:space="preserve">(EAD), to provide technical and other non-financial </w:t>
      </w:r>
      <w:r w:rsidRPr="006F51AE">
        <w:rPr>
          <w:rFonts w:eastAsia="Times New Roman"/>
        </w:rPr>
        <w:t>assistance</w:t>
      </w:r>
      <w:r w:rsidRPr="006F51AE">
        <w:rPr>
          <w:rFonts w:eastAsia="Times New Roman"/>
          <w:spacing w:val="-1"/>
        </w:rPr>
        <w:t xml:space="preserve"> </w:t>
      </w:r>
      <w:r w:rsidRPr="006F51AE">
        <w:rPr>
          <w:rFonts w:eastAsia="Times New Roman"/>
        </w:rPr>
        <w:t>to</w:t>
      </w:r>
      <w:r w:rsidRPr="006F51AE">
        <w:rPr>
          <w:rFonts w:eastAsia="Times New Roman"/>
          <w:spacing w:val="-1"/>
        </w:rPr>
        <w:t xml:space="preserve"> </w:t>
      </w:r>
      <w:r w:rsidRPr="006F51AE">
        <w:rPr>
          <w:rFonts w:eastAsia="Times New Roman"/>
        </w:rPr>
        <w:t>manufacturers</w:t>
      </w:r>
      <w:r w:rsidRPr="006F51AE">
        <w:rPr>
          <w:rFonts w:eastAsia="Times New Roman"/>
          <w:spacing w:val="-1"/>
        </w:rPr>
        <w:t xml:space="preserve"> and </w:t>
      </w:r>
      <w:r w:rsidRPr="006F51AE">
        <w:rPr>
          <w:rFonts w:eastAsia="Times New Roman"/>
        </w:rPr>
        <w:t>processors</w:t>
      </w:r>
      <w:r w:rsidRPr="006F51AE">
        <w:rPr>
          <w:rFonts w:eastAsia="Times New Roman"/>
          <w:spacing w:val="37"/>
        </w:rPr>
        <w:t xml:space="preserve"> </w:t>
      </w:r>
      <w:r w:rsidRPr="006F51AE">
        <w:rPr>
          <w:rFonts w:eastAsia="Times New Roman"/>
          <w:spacing w:val="-1"/>
        </w:rPr>
        <w:t>of chemical substances.</w:t>
      </w:r>
      <w:r w:rsidRPr="006F51AE">
        <w:rPr>
          <w:rFonts w:eastAsia="Times New Roman"/>
          <w:spacing w:val="2"/>
        </w:rPr>
        <w:t xml:space="preserve"> </w:t>
      </w:r>
      <w:r w:rsidRPr="006F51AE">
        <w:rPr>
          <w:rFonts w:eastAsia="Times New Roman"/>
        </w:rPr>
        <w:t>This office has established a</w:t>
      </w:r>
      <w:r w:rsidRPr="006F51AE">
        <w:rPr>
          <w:rFonts w:eastAsia="Times New Roman"/>
          <w:spacing w:val="-1"/>
        </w:rPr>
        <w:t xml:space="preserve"> </w:t>
      </w:r>
      <w:r w:rsidRPr="006F51AE">
        <w:rPr>
          <w:rFonts w:eastAsia="Times New Roman"/>
        </w:rPr>
        <w:t xml:space="preserve">TSCA </w:t>
      </w:r>
      <w:r w:rsidRPr="006F51AE">
        <w:rPr>
          <w:rFonts w:eastAsia="Times New Roman"/>
          <w:spacing w:val="-1"/>
        </w:rPr>
        <w:t>Hotline</w:t>
      </w:r>
      <w:r w:rsidRPr="006F51AE">
        <w:rPr>
          <w:rFonts w:eastAsia="Times New Roman"/>
        </w:rPr>
        <w:t xml:space="preserve"> to</w:t>
      </w:r>
      <w:r w:rsidRPr="006F51AE">
        <w:rPr>
          <w:rFonts w:eastAsia="Times New Roman"/>
          <w:spacing w:val="-1"/>
        </w:rPr>
        <w:t xml:space="preserve"> </w:t>
      </w:r>
      <w:r w:rsidRPr="006F51AE">
        <w:rPr>
          <w:rFonts w:eastAsia="Times New Roman"/>
        </w:rPr>
        <w:t>assist small businesses</w:t>
      </w:r>
      <w:r w:rsidRPr="006F51AE">
        <w:rPr>
          <w:rFonts w:eastAsia="Times New Roman"/>
          <w:spacing w:val="30"/>
        </w:rPr>
        <w:t xml:space="preserve"> </w:t>
      </w:r>
      <w:r w:rsidRPr="006F51AE">
        <w:rPr>
          <w:rFonts w:eastAsia="Times New Roman"/>
          <w:spacing w:val="-1"/>
        </w:rPr>
        <w:t>complying</w:t>
      </w:r>
      <w:r w:rsidRPr="006F51AE">
        <w:rPr>
          <w:rFonts w:eastAsia="Times New Roman"/>
        </w:rPr>
        <w:t xml:space="preserve"> with TSCA rules.</w:t>
      </w:r>
      <w:r w:rsidRPr="006F51AE">
        <w:rPr>
          <w:rFonts w:eastAsia="Times New Roman"/>
          <w:spacing w:val="2"/>
        </w:rPr>
        <w:t xml:space="preserve"> </w:t>
      </w:r>
      <w:r w:rsidRPr="006F51AE">
        <w:rPr>
          <w:rFonts w:eastAsia="Times New Roman"/>
          <w:spacing w:val="-3"/>
        </w:rPr>
        <w:t>It</w:t>
      </w:r>
      <w:r w:rsidRPr="006F51AE">
        <w:rPr>
          <w:rFonts w:eastAsia="Times New Roman"/>
        </w:rPr>
        <w:t xml:space="preserve"> provides material such as copies of</w:t>
      </w:r>
      <w:r w:rsidRPr="006F51AE">
        <w:rPr>
          <w:rFonts w:eastAsia="Times New Roman"/>
          <w:spacing w:val="-1"/>
        </w:rPr>
        <w:t xml:space="preserve"> Federal Register </w:t>
      </w:r>
      <w:r w:rsidRPr="006F51AE">
        <w:rPr>
          <w:rFonts w:eastAsia="Times New Roman"/>
        </w:rPr>
        <w:t>notices,</w:t>
      </w:r>
      <w:r w:rsidRPr="006F51AE">
        <w:rPr>
          <w:rFonts w:eastAsia="Times New Roman"/>
          <w:spacing w:val="26"/>
        </w:rPr>
        <w:t xml:space="preserve"> </w:t>
      </w:r>
      <w:r w:rsidRPr="006F51AE">
        <w:rPr>
          <w:rFonts w:eastAsia="Times New Roman"/>
          <w:spacing w:val="-1"/>
        </w:rPr>
        <w:t>advisories, and other information on request.</w:t>
      </w:r>
      <w:r w:rsidRPr="006F51AE">
        <w:rPr>
          <w:rFonts w:eastAsia="Times New Roman"/>
          <w:spacing w:val="2"/>
        </w:rPr>
        <w:t xml:space="preserve"> </w:t>
      </w:r>
    </w:p>
    <w:p w14:paraId="43490E88" w14:textId="77777777" w:rsidR="006F51AE" w:rsidRPr="006F51AE" w:rsidRDefault="006F51AE" w:rsidP="006F51AE">
      <w:pPr>
        <w:widowControl w:val="0"/>
        <w:rPr>
          <w:rFonts w:eastAsia="Times New Roman" w:cs="Times New Roman"/>
        </w:rPr>
      </w:pPr>
    </w:p>
    <w:p w14:paraId="64BF43D5" w14:textId="77777777" w:rsidR="006F51AE" w:rsidRPr="006F51AE" w:rsidRDefault="006F51AE" w:rsidP="00951966">
      <w:pPr>
        <w:widowControl w:val="0"/>
        <w:ind w:left="720" w:right="155"/>
        <w:rPr>
          <w:rFonts w:eastAsia="Times New Roman"/>
        </w:rPr>
      </w:pPr>
      <w:r w:rsidRPr="006F51AE">
        <w:rPr>
          <w:rFonts w:eastAsia="Times New Roman"/>
        </w:rPr>
        <w:t xml:space="preserve">Moreover, EPA has taken certain steps to minimize for all respondents the reporting burden associated with </w:t>
      </w:r>
      <w:r w:rsidRPr="006F51AE">
        <w:rPr>
          <w:rFonts w:eastAsia="Times New Roman"/>
          <w:spacing w:val="-1"/>
        </w:rPr>
        <w:t>complying</w:t>
      </w:r>
      <w:r w:rsidRPr="006F51AE">
        <w:rPr>
          <w:rFonts w:eastAsia="Times New Roman"/>
        </w:rPr>
        <w:t xml:space="preserve"> with this </w:t>
      </w:r>
      <w:r w:rsidRPr="006F51AE">
        <w:rPr>
          <w:rFonts w:eastAsia="Times New Roman"/>
          <w:spacing w:val="-1"/>
        </w:rPr>
        <w:t>collection.</w:t>
      </w:r>
      <w:r w:rsidRPr="006F51AE">
        <w:rPr>
          <w:rFonts w:eastAsia="Times New Roman"/>
        </w:rPr>
        <w:t xml:space="preserve"> </w:t>
      </w:r>
      <w:r w:rsidRPr="006F51AE">
        <w:rPr>
          <w:rFonts w:eastAsia="Times New Roman"/>
          <w:spacing w:val="-1"/>
        </w:rPr>
        <w:t>For example, the information</w:t>
      </w:r>
      <w:r w:rsidRPr="006F51AE">
        <w:rPr>
          <w:rFonts w:eastAsia="Times New Roman"/>
        </w:rPr>
        <w:t xml:space="preserve"> technology</w:t>
      </w:r>
      <w:r w:rsidRPr="006F51AE">
        <w:rPr>
          <w:rFonts w:eastAsia="Times New Roman"/>
          <w:spacing w:val="49"/>
        </w:rPr>
        <w:t xml:space="preserve"> </w:t>
      </w:r>
      <w:r w:rsidRPr="006F51AE">
        <w:rPr>
          <w:rFonts w:eastAsia="Times New Roman"/>
        </w:rPr>
        <w:t>used by</w:t>
      </w:r>
      <w:r w:rsidRPr="006F51AE">
        <w:rPr>
          <w:rFonts w:eastAsia="Times New Roman"/>
          <w:spacing w:val="-5"/>
        </w:rPr>
        <w:t xml:space="preserve"> </w:t>
      </w:r>
      <w:r w:rsidRPr="006F51AE">
        <w:rPr>
          <w:rFonts w:eastAsia="Times New Roman"/>
        </w:rPr>
        <w:t>EPA includes chemical substances on the TSCA Inventory in EPA Substance Registry System</w:t>
      </w:r>
      <w:r w:rsidRPr="006F51AE">
        <w:rPr>
          <w:rFonts w:eastAsia="Times New Roman"/>
          <w:spacing w:val="-1"/>
        </w:rPr>
        <w:t>.</w:t>
      </w:r>
      <w:r w:rsidRPr="006F51AE">
        <w:rPr>
          <w:rFonts w:eastAsia="Times New Roman"/>
        </w:rPr>
        <w:t xml:space="preserve"> </w:t>
      </w:r>
      <w:r w:rsidRPr="006F51AE">
        <w:rPr>
          <w:rFonts w:eastAsia="Times New Roman"/>
          <w:spacing w:val="-1"/>
        </w:rPr>
        <w:t>This list</w:t>
      </w:r>
      <w:r w:rsidRPr="006F51AE">
        <w:rPr>
          <w:rFonts w:eastAsia="Times New Roman"/>
        </w:rPr>
        <w:t xml:space="preserve"> allows submitters to select their reportable chemical substances from the list rather than manually entering each substance. Additionally, submitters are able to report multiple chemical substances in one session; upon completion of a session, each chemical substance will be transmitted in one NOA submission.</w:t>
      </w:r>
    </w:p>
    <w:p w14:paraId="189A26B6" w14:textId="77777777" w:rsidR="006F51AE" w:rsidRPr="006F51AE" w:rsidRDefault="006F51AE" w:rsidP="006F51AE">
      <w:pPr>
        <w:widowControl w:val="0"/>
        <w:rPr>
          <w:rFonts w:asciiTheme="minorHAnsi" w:hAnsiTheme="minorHAnsi"/>
          <w:sz w:val="22"/>
          <w:szCs w:val="22"/>
        </w:rPr>
      </w:pPr>
    </w:p>
    <w:p w14:paraId="6CCBCFE8" w14:textId="77777777" w:rsidR="006F51AE" w:rsidRPr="006F51AE" w:rsidRDefault="006F51AE" w:rsidP="00951966">
      <w:pPr>
        <w:widowControl w:val="0"/>
        <w:ind w:left="720" w:right="116"/>
        <w:rPr>
          <w:rFonts w:eastAsia="Times New Roman"/>
        </w:rPr>
      </w:pPr>
      <w:r w:rsidRPr="006F51AE">
        <w:rPr>
          <w:rFonts w:eastAsia="Times New Roman"/>
          <w:spacing w:val="-1"/>
        </w:rPr>
        <w:t>Finally,</w:t>
      </w:r>
      <w:r w:rsidRPr="006F51AE">
        <w:rPr>
          <w:rFonts w:eastAsia="Times New Roman"/>
        </w:rPr>
        <w:t xml:space="preserve"> EPA provides the services of TSCA Inventory and other</w:t>
      </w:r>
      <w:r w:rsidRPr="006F51AE">
        <w:rPr>
          <w:rFonts w:eastAsia="Times New Roman"/>
          <w:spacing w:val="23"/>
        </w:rPr>
        <w:t xml:space="preserve"> </w:t>
      </w:r>
      <w:r w:rsidRPr="006F51AE">
        <w:rPr>
          <w:rFonts w:eastAsia="Times New Roman"/>
          <w:spacing w:val="-1"/>
        </w:rPr>
        <w:t>personnel to assist persons with reporting questions and</w:t>
      </w:r>
      <w:r w:rsidRPr="006F51AE">
        <w:rPr>
          <w:rFonts w:eastAsia="Times New Roman"/>
        </w:rPr>
        <w:t xml:space="preserve"> notice preparation prior to</w:t>
      </w:r>
      <w:r w:rsidRPr="006F51AE">
        <w:rPr>
          <w:rFonts w:eastAsia="Times New Roman"/>
          <w:spacing w:val="30"/>
        </w:rPr>
        <w:t xml:space="preserve"> </w:t>
      </w:r>
      <w:r w:rsidRPr="006F51AE">
        <w:rPr>
          <w:rFonts w:eastAsia="Times New Roman"/>
        </w:rPr>
        <w:t xml:space="preserve">submission. </w:t>
      </w:r>
      <w:r w:rsidRPr="006F51AE">
        <w:rPr>
          <w:rFonts w:eastAsia="Times New Roman"/>
          <w:spacing w:val="-1"/>
        </w:rPr>
        <w:t xml:space="preserve">TSCA Inventory personnel routinely </w:t>
      </w:r>
      <w:r w:rsidRPr="006F51AE">
        <w:rPr>
          <w:rFonts w:eastAsia="Times New Roman"/>
        </w:rPr>
        <w:t>respond to TSCA section 8(b) inquiries that pertain to the full scope of</w:t>
      </w:r>
      <w:r w:rsidRPr="006F51AE">
        <w:rPr>
          <w:rFonts w:eastAsia="Times New Roman"/>
          <w:spacing w:val="-1"/>
        </w:rPr>
        <w:t xml:space="preserve"> </w:t>
      </w:r>
      <w:r w:rsidRPr="006F51AE">
        <w:rPr>
          <w:rFonts w:eastAsia="Times New Roman"/>
        </w:rPr>
        <w:t>TSCA section 8(b) regulations.</w:t>
      </w:r>
    </w:p>
    <w:p w14:paraId="61F3F589" w14:textId="77777777" w:rsidR="006F51AE" w:rsidRPr="0094705A" w:rsidRDefault="006F51AE" w:rsidP="006F51AE">
      <w:pPr>
        <w:widowControl w:val="0"/>
        <w:spacing w:before="5"/>
        <w:rPr>
          <w:rFonts w:eastAsia="Times New Roman" w:cs="Times New Roman"/>
          <w:b/>
        </w:rPr>
      </w:pPr>
    </w:p>
    <w:p w14:paraId="332D00B6" w14:textId="7F3B2CDA" w:rsidR="006F51AE" w:rsidRPr="006F51AE" w:rsidRDefault="006F51AE" w:rsidP="006F51AE">
      <w:pPr>
        <w:widowControl w:val="0"/>
        <w:ind w:left="100" w:right="155" w:firstLine="720"/>
        <w:rPr>
          <w:rFonts w:eastAsia="Times New Roman"/>
          <w:b/>
          <w:spacing w:val="-1"/>
        </w:rPr>
      </w:pPr>
      <w:r w:rsidRPr="006F51AE">
        <w:rPr>
          <w:rFonts w:eastAsia="Times New Roman"/>
          <w:b/>
          <w:spacing w:val="-1"/>
        </w:rPr>
        <w:t>5(e) Collection Schedule.</w:t>
      </w:r>
    </w:p>
    <w:p w14:paraId="3EED66A0" w14:textId="77777777" w:rsidR="006F51AE" w:rsidRDefault="006F51AE" w:rsidP="006F51AE">
      <w:pPr>
        <w:widowControl w:val="0"/>
        <w:ind w:left="100" w:right="155" w:firstLine="720"/>
        <w:rPr>
          <w:rFonts w:eastAsia="Times New Roman"/>
          <w:spacing w:val="-1"/>
        </w:rPr>
      </w:pPr>
    </w:p>
    <w:p w14:paraId="00604047" w14:textId="73A93F46" w:rsidR="006F51AE" w:rsidRPr="006F51AE" w:rsidRDefault="006F51AE" w:rsidP="00951966">
      <w:pPr>
        <w:widowControl w:val="0"/>
        <w:ind w:left="720" w:right="155"/>
        <w:rPr>
          <w:rFonts w:eastAsia="Times New Roman"/>
        </w:rPr>
      </w:pPr>
      <w:r w:rsidRPr="006F51AE">
        <w:rPr>
          <w:rFonts w:eastAsia="Times New Roman"/>
          <w:spacing w:val="-1"/>
        </w:rPr>
        <w:t>Does not apply.</w:t>
      </w:r>
      <w:r w:rsidRPr="006F51AE">
        <w:rPr>
          <w:rFonts w:eastAsia="Times New Roman"/>
        </w:rPr>
        <w:t xml:space="preserve"> Submission of information under this collection is on an </w:t>
      </w:r>
      <w:r w:rsidRPr="006F51AE">
        <w:rPr>
          <w:rFonts w:eastAsia="Times New Roman"/>
          <w:spacing w:val="-1"/>
        </w:rPr>
        <w:t xml:space="preserve">as-needed basis, </w:t>
      </w:r>
      <w:r w:rsidRPr="006F51AE">
        <w:rPr>
          <w:rFonts w:eastAsia="Times New Roman"/>
        </w:rPr>
        <w:t>initiated by</w:t>
      </w:r>
      <w:r w:rsidRPr="006F51AE">
        <w:rPr>
          <w:rFonts w:eastAsia="Times New Roman"/>
          <w:spacing w:val="-6"/>
        </w:rPr>
        <w:t xml:space="preserve"> </w:t>
      </w:r>
      <w:r w:rsidRPr="006F51AE">
        <w:rPr>
          <w:rFonts w:eastAsia="Times New Roman"/>
          <w:spacing w:val="-1"/>
        </w:rPr>
        <w:t xml:space="preserve">the </w:t>
      </w:r>
      <w:r w:rsidRPr="006F51AE">
        <w:rPr>
          <w:rFonts w:eastAsia="Times New Roman"/>
        </w:rPr>
        <w:t>submitters.</w:t>
      </w:r>
    </w:p>
    <w:p w14:paraId="078E9C4B" w14:textId="77777777" w:rsidR="006F51AE" w:rsidRPr="006F51AE" w:rsidRDefault="006F51AE" w:rsidP="006F51AE">
      <w:pPr>
        <w:widowControl w:val="0"/>
        <w:ind w:left="100" w:right="155" w:firstLine="720"/>
        <w:rPr>
          <w:rFonts w:eastAsia="Times New Roman"/>
        </w:rPr>
      </w:pPr>
    </w:p>
    <w:p w14:paraId="050E9B14" w14:textId="063C6768" w:rsidR="00E2293D" w:rsidRDefault="00E2293D">
      <w:pPr>
        <w:spacing w:after="200" w:line="276" w:lineRule="auto"/>
        <w:rPr>
          <w:rFonts w:eastAsia="Times New Roman"/>
        </w:rPr>
      </w:pPr>
      <w:r>
        <w:rPr>
          <w:rFonts w:eastAsia="Times New Roman"/>
        </w:rPr>
        <w:br w:type="page"/>
      </w:r>
    </w:p>
    <w:p w14:paraId="518556D5" w14:textId="0BE7B502" w:rsidR="0083485C" w:rsidRPr="0083485C" w:rsidRDefault="0083485C" w:rsidP="0083485C">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rPr>
      </w:pPr>
      <w:bookmarkStart w:id="8" w:name="_Toc349627712"/>
      <w:bookmarkStart w:id="9" w:name="_Toc228172335"/>
      <w:bookmarkStart w:id="10" w:name="_Toc228260595"/>
      <w:bookmarkStart w:id="11" w:name="_Toc228263074"/>
      <w:bookmarkStart w:id="12" w:name="_Toc228172336"/>
      <w:bookmarkStart w:id="13" w:name="_Toc228260596"/>
      <w:bookmarkStart w:id="14" w:name="_Toc228263075"/>
      <w:bookmarkStart w:id="15" w:name="_Toc228172337"/>
      <w:bookmarkStart w:id="16" w:name="_Toc228260597"/>
      <w:bookmarkStart w:id="17" w:name="_Toc228263076"/>
      <w:bookmarkStart w:id="18" w:name="_Toc228172338"/>
      <w:bookmarkStart w:id="19" w:name="_Toc228260598"/>
      <w:bookmarkStart w:id="20" w:name="_Toc228262940"/>
      <w:bookmarkStart w:id="21" w:name="_Toc228263077"/>
      <w:bookmarkStart w:id="22" w:name="_Toc228172369"/>
      <w:bookmarkStart w:id="23" w:name="_Toc228260629"/>
      <w:bookmarkStart w:id="24" w:name="_Toc228263108"/>
      <w:bookmarkStart w:id="25" w:name="_Toc228172370"/>
      <w:bookmarkStart w:id="26" w:name="_Toc228260630"/>
      <w:bookmarkStart w:id="27" w:name="_Toc228262941"/>
      <w:bookmarkStart w:id="28" w:name="_Toc228263109"/>
      <w:bookmarkStart w:id="29" w:name="_Toc227753274"/>
      <w:bookmarkStart w:id="30" w:name="_Toc228260662"/>
      <w:bookmarkStart w:id="31" w:name="_Toc227753283"/>
      <w:bookmarkStart w:id="32" w:name="_Toc226377707"/>
      <w:bookmarkStart w:id="33" w:name="_Toc226377976"/>
      <w:bookmarkStart w:id="34" w:name="_Toc226378247"/>
      <w:bookmarkStart w:id="35" w:name="_Toc226463310"/>
      <w:bookmarkStart w:id="36" w:name="_Toc226377708"/>
      <w:bookmarkStart w:id="37" w:name="_Toc226377977"/>
      <w:bookmarkStart w:id="38" w:name="_Toc226378248"/>
      <w:bookmarkStart w:id="39" w:name="_Toc226463311"/>
      <w:bookmarkStart w:id="40" w:name="_Toc226377709"/>
      <w:bookmarkStart w:id="41" w:name="_Toc226377978"/>
      <w:bookmarkStart w:id="42" w:name="_Toc226378249"/>
      <w:bookmarkStart w:id="43" w:name="_Toc226463312"/>
      <w:bookmarkStart w:id="44" w:name="_Toc226377721"/>
      <w:bookmarkStart w:id="45" w:name="_Toc226377990"/>
      <w:bookmarkStart w:id="46" w:name="_Toc226378261"/>
      <w:bookmarkStart w:id="47" w:name="_Toc226463324"/>
      <w:bookmarkStart w:id="48" w:name="_Toc226377728"/>
      <w:bookmarkStart w:id="49" w:name="_Toc226377997"/>
      <w:bookmarkStart w:id="50" w:name="_Toc226378268"/>
      <w:bookmarkStart w:id="51" w:name="_Toc226463331"/>
      <w:bookmarkStart w:id="52" w:name="_Toc226377735"/>
      <w:bookmarkStart w:id="53" w:name="_Toc226378004"/>
      <w:bookmarkStart w:id="54" w:name="_Toc226378275"/>
      <w:bookmarkStart w:id="55" w:name="_Toc226463338"/>
      <w:bookmarkStart w:id="56" w:name="_Toc229558244"/>
      <w:bookmarkStart w:id="57" w:name="_Toc22955824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t>ESTIMATING THE BURDEN AND COST OF THE COLLECTION</w:t>
      </w:r>
    </w:p>
    <w:p w14:paraId="5317B43D" w14:textId="5F66C75D" w:rsidR="0083485C" w:rsidRDefault="0083485C" w:rsidP="00126678">
      <w:r>
        <w:t>This analysis presents the burden and cost estimates for affected entities, and covers submission of substantiation</w:t>
      </w:r>
      <w:r w:rsidR="00F173AA">
        <w:t>s for</w:t>
      </w:r>
      <w:r>
        <w:t xml:space="preserve"> </w:t>
      </w:r>
      <w:r w:rsidR="008414CE">
        <w:t xml:space="preserve">CBI chemID claims from the </w:t>
      </w:r>
      <w:r w:rsidR="00963561">
        <w:t>Active-Inactive</w:t>
      </w:r>
      <w:r>
        <w:t xml:space="preserve"> </w:t>
      </w:r>
      <w:r w:rsidR="00DF0168">
        <w:t xml:space="preserve">rule </w:t>
      </w:r>
      <w:r>
        <w:t>reporting period</w:t>
      </w:r>
      <w:r w:rsidR="00632D01">
        <w:t xml:space="preserve"> </w:t>
      </w:r>
      <w:r w:rsidR="00A143DB">
        <w:t xml:space="preserve">from August 12, 2017 through October 5, 2018 </w:t>
      </w:r>
      <w:r w:rsidR="00632D01">
        <w:t>for which (voluntary) upfront substantiations were not provided</w:t>
      </w:r>
      <w:r w:rsidR="006D3008">
        <w:t xml:space="preserve"> </w:t>
      </w:r>
      <w:r w:rsidR="006D3008">
        <w:fldChar w:fldCharType="begin"/>
      </w:r>
      <w:r w:rsidR="00731D51">
        <w:instrText xml:space="preserve"> ADDIN ZOTERO_ITEM CSL_CITATION {"citationID":"FFw8wCCv","properties":{"formattedCitation":"(EPA, 2018)","plainCitation":"(EPA, 2018)","noteIndex":0},"citationItems":[{"id":1711,"uris":["http://zotero.org/groups/1140234/items/DQCHNEKC"],"uri":["http://zotero.org/groups/1140234/items/DQCHNEKC"],"itemData":{"id":1711,"type":"article","title":"NOA Submissions datafiles delivered from William Burlew (Industrial Chemistry Branch) to Laura Nielsen (Economics and Policy Analysis Branch) on August 30, 2018 via CBI G Drive. Modified to develop the EPAB 2018 Generic NOA Datafile, internal EPA interim release (November 4, 2018)","author":[{"literal":"EPA"}],"issued":{"date-parts":[["2018",8,30]]}}}],"schema":"https://github.com/citation-style-language/schema/raw/master/csl-citation.json"} </w:instrText>
      </w:r>
      <w:r w:rsidR="006D3008">
        <w:fldChar w:fldCharType="separate"/>
      </w:r>
      <w:r w:rsidR="00731D51" w:rsidRPr="00731D51">
        <w:rPr>
          <w:rFonts w:cs="Times New Roman"/>
        </w:rPr>
        <w:t>(EPA, 2018)</w:t>
      </w:r>
      <w:r w:rsidR="006D3008">
        <w:fldChar w:fldCharType="end"/>
      </w:r>
      <w:r>
        <w:t>.</w:t>
      </w:r>
      <w:r w:rsidR="00DF0168" w:rsidRPr="00731D51">
        <w:rPr>
          <w:rStyle w:val="FootnoteReference"/>
        </w:rPr>
        <w:footnoteReference w:id="2"/>
      </w:r>
      <w:r>
        <w:t xml:space="preserve"> </w:t>
      </w:r>
      <w:r w:rsidR="006B0EC1">
        <w:fldChar w:fldCharType="begin"/>
      </w:r>
      <w:r w:rsidR="006B0EC1">
        <w:instrText xml:space="preserve"> REF _Ref526492789 \h </w:instrText>
      </w:r>
      <w:r w:rsidR="006B0EC1">
        <w:fldChar w:fldCharType="separate"/>
      </w:r>
      <w:r w:rsidR="005C4A2E">
        <w:t xml:space="preserve">Table </w:t>
      </w:r>
      <w:r w:rsidR="005C4A2E">
        <w:rPr>
          <w:noProof/>
        </w:rPr>
        <w:t>1</w:t>
      </w:r>
      <w:r w:rsidR="006B0EC1">
        <w:fldChar w:fldCharType="end"/>
      </w:r>
      <w:r w:rsidR="006B0EC1">
        <w:t xml:space="preserve"> </w:t>
      </w:r>
      <w:r>
        <w:t>provides a list of general activities required for compliance with the</w:t>
      </w:r>
      <w:r w:rsidR="008414CE">
        <w:t xml:space="preserve"> </w:t>
      </w:r>
      <w:r w:rsidR="00FA37A2">
        <w:t>proposed</w:t>
      </w:r>
      <w:r w:rsidR="008414CE">
        <w:t xml:space="preserve"> rule</w:t>
      </w:r>
      <w:r>
        <w:t xml:space="preserve">. </w:t>
      </w:r>
      <w:r w:rsidR="006B0EC1">
        <w:fldChar w:fldCharType="begin"/>
      </w:r>
      <w:r w:rsidR="006B0EC1">
        <w:instrText xml:space="preserve"> REF _Ref526492789 \h </w:instrText>
      </w:r>
      <w:r w:rsidR="006B0EC1">
        <w:fldChar w:fldCharType="separate"/>
      </w:r>
      <w:r w:rsidR="005C4A2E">
        <w:t xml:space="preserve">Table </w:t>
      </w:r>
      <w:r w:rsidR="005C4A2E">
        <w:rPr>
          <w:noProof/>
        </w:rPr>
        <w:t>1</w:t>
      </w:r>
      <w:r w:rsidR="006B0EC1">
        <w:fldChar w:fldCharType="end"/>
      </w:r>
      <w:r w:rsidR="006B0EC1">
        <w:t xml:space="preserve"> </w:t>
      </w:r>
      <w:r>
        <w:t xml:space="preserve">also provides a cross-walk of the related Information Collection category that corresponds to each activity. </w:t>
      </w:r>
      <w:r w:rsidR="00F85960">
        <w:t xml:space="preserve">The NOA Form A is a company-based multi-chemical submission.  For the </w:t>
      </w:r>
      <w:r w:rsidR="00FA37A2">
        <w:t>proposed</w:t>
      </w:r>
      <w:r w:rsidR="00F85960">
        <w:t xml:space="preserve"> rule’s burden and cost estimates</w:t>
      </w:r>
      <w:r w:rsidR="00E22DBF">
        <w:t>,</w:t>
      </w:r>
      <w:r w:rsidR="00F85960">
        <w:t xml:space="preserve"> information is considered according to the submission unit of analysis and </w:t>
      </w:r>
      <w:r w:rsidR="00E22DBF">
        <w:t xml:space="preserve">also according to </w:t>
      </w:r>
      <w:r w:rsidR="00F85960">
        <w:t xml:space="preserve">another key unit of analysis: the “chemical-specific amendment” to a NOA Form A. </w:t>
      </w:r>
      <w:r>
        <w:t xml:space="preserve">Burden and cost calculations are based </w:t>
      </w:r>
      <w:r w:rsidR="00C714C3">
        <w:t xml:space="preserve">EPA’s estimates that substantiations will be received for </w:t>
      </w:r>
      <w:r w:rsidR="001D4BD9">
        <w:t>2</w:t>
      </w:r>
      <w:r>
        <w:t>,</w:t>
      </w:r>
      <w:r w:rsidR="002D53A8">
        <w:t xml:space="preserve">849 </w:t>
      </w:r>
      <w:r>
        <w:t>chemical</w:t>
      </w:r>
      <w:r w:rsidR="00C714C3">
        <w:t>-specific amendments to NOA Form As</w:t>
      </w:r>
      <w:r w:rsidR="00A10BC5">
        <w:t>,</w:t>
      </w:r>
      <w:r w:rsidR="00C714C3">
        <w:t xml:space="preserve"> submitted by 12</w:t>
      </w:r>
      <w:r w:rsidR="001D4BD9">
        <w:t>6</w:t>
      </w:r>
      <w:r w:rsidR="00C714C3">
        <w:t xml:space="preserve"> companies</w:t>
      </w:r>
      <w:r>
        <w:t xml:space="preserve">. </w:t>
      </w:r>
      <w:r w:rsidR="00C714C3">
        <w:t>EPA estim</w:t>
      </w:r>
      <w:r w:rsidR="00B062CE">
        <w:t xml:space="preserve">ates reporting according to two </w:t>
      </w:r>
      <w:r w:rsidR="00A10BC5">
        <w:t xml:space="preserve">groups </w:t>
      </w:r>
      <w:r w:rsidR="00B062CE">
        <w:t>of reporters</w:t>
      </w:r>
      <w:r w:rsidR="00C714C3">
        <w:t xml:space="preserve">: </w:t>
      </w:r>
      <w:r w:rsidR="00BD3085">
        <w:t xml:space="preserve">(1) </w:t>
      </w:r>
      <w:r w:rsidR="00B062CE">
        <w:t xml:space="preserve">reporters who </w:t>
      </w:r>
      <w:r w:rsidR="00126678">
        <w:t>cit</w:t>
      </w:r>
      <w:r w:rsidR="00BD3085">
        <w:t>e</w:t>
      </w:r>
      <w:r w:rsidR="00126678">
        <w:t xml:space="preserve"> a previous reference for substantiation claims, </w:t>
      </w:r>
      <w:r w:rsidR="00BD3085">
        <w:t xml:space="preserve">with </w:t>
      </w:r>
      <w:r w:rsidR="00126678">
        <w:t xml:space="preserve">the </w:t>
      </w:r>
      <w:r w:rsidR="00BD3085">
        <w:t xml:space="preserve">average </w:t>
      </w:r>
      <w:r w:rsidR="008A0874">
        <w:t xml:space="preserve">company reporting on </w:t>
      </w:r>
      <w:r w:rsidR="00126678">
        <w:t>f</w:t>
      </w:r>
      <w:r w:rsidR="001D4BD9">
        <w:t>our</w:t>
      </w:r>
      <w:r w:rsidR="00126678">
        <w:t xml:space="preserve"> chemicals</w:t>
      </w:r>
      <w:r w:rsidR="00B062CE">
        <w:t xml:space="preserve"> per NOA Form A</w:t>
      </w:r>
      <w:r w:rsidR="00BD3085">
        <w:t xml:space="preserve">; and (2) </w:t>
      </w:r>
      <w:r w:rsidR="00B062CE">
        <w:t xml:space="preserve">reporters who provide full substantiation, with the average </w:t>
      </w:r>
      <w:r w:rsidR="008A0874">
        <w:t xml:space="preserve">company reporting on </w:t>
      </w:r>
      <w:r w:rsidR="001D4BD9">
        <w:t>27</w:t>
      </w:r>
      <w:r w:rsidR="00BD3085">
        <w:t xml:space="preserve"> chemicals per NOA Form A</w:t>
      </w:r>
      <w:r w:rsidR="00B062CE">
        <w:t>.</w:t>
      </w:r>
      <w:r w:rsidR="00BD3085">
        <w:t xml:space="preserve"> For full derivation</w:t>
      </w:r>
      <w:r w:rsidR="00B062CE">
        <w:t xml:space="preserve"> of universe estimates</w:t>
      </w:r>
      <w:r w:rsidR="00BD3085">
        <w:t>, see the</w:t>
      </w:r>
      <w:r>
        <w:t xml:space="preserve"> </w:t>
      </w:r>
      <w:r>
        <w:rPr>
          <w:i/>
        </w:rPr>
        <w:t xml:space="preserve">Economic Analysis for the Proposed Rule: </w:t>
      </w:r>
      <w:r w:rsidR="00FA37A2" w:rsidRPr="00FA37A2">
        <w:rPr>
          <w:i/>
        </w:rPr>
        <w:t>Procedures for Review of CBI Claims for the Identity of Chemicals on the TSCA Inventory</w:t>
      </w:r>
      <w:r w:rsidR="00126678">
        <w:rPr>
          <w:i/>
        </w:rPr>
        <w:t xml:space="preserve"> </w:t>
      </w:r>
      <w:r>
        <w:t>.</w:t>
      </w:r>
    </w:p>
    <w:p w14:paraId="3DF31B2E" w14:textId="77777777" w:rsidR="006B0EC1" w:rsidRDefault="006B0EC1" w:rsidP="00126678"/>
    <w:p w14:paraId="5468028A" w14:textId="6995D6AD" w:rsidR="006B0EC1" w:rsidRDefault="006B0EC1" w:rsidP="006B0EC1">
      <w:pPr>
        <w:pStyle w:val="Caption"/>
        <w:keepNext/>
      </w:pPr>
      <w:bookmarkStart w:id="58" w:name="_Ref526492789"/>
      <w:r>
        <w:t xml:space="preserve">Table </w:t>
      </w:r>
      <w:r w:rsidR="00A762E6">
        <w:rPr>
          <w:noProof/>
        </w:rPr>
        <w:fldChar w:fldCharType="begin"/>
      </w:r>
      <w:r w:rsidR="00A762E6">
        <w:rPr>
          <w:noProof/>
        </w:rPr>
        <w:instrText xml:space="preserve"> SEQ Table \* ARABIC </w:instrText>
      </w:r>
      <w:r w:rsidR="00A762E6">
        <w:rPr>
          <w:noProof/>
        </w:rPr>
        <w:fldChar w:fldCharType="separate"/>
      </w:r>
      <w:r w:rsidR="005C4A2E">
        <w:rPr>
          <w:noProof/>
        </w:rPr>
        <w:t>1</w:t>
      </w:r>
      <w:r w:rsidR="00A762E6">
        <w:rPr>
          <w:noProof/>
        </w:rPr>
        <w:fldChar w:fldCharType="end"/>
      </w:r>
      <w:bookmarkEnd w:id="58"/>
      <w:r>
        <w:t>. Cross-Walk between Industry Activities and Related Information Collections (ICs)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21"/>
        <w:gridCol w:w="4638"/>
        <w:gridCol w:w="3107"/>
      </w:tblGrid>
      <w:tr w:rsidR="006B0EC1" w:rsidRPr="00327051" w14:paraId="68B5EA94" w14:textId="77777777" w:rsidTr="001B1F39">
        <w:tc>
          <w:tcPr>
            <w:tcW w:w="994" w:type="pct"/>
            <w:shd w:val="clear" w:color="auto" w:fill="C3C6A8"/>
            <w:vAlign w:val="bottom"/>
          </w:tcPr>
          <w:p w14:paraId="21E13C73" w14:textId="77777777" w:rsidR="006B0EC1" w:rsidRPr="00327051" w:rsidRDefault="006B0EC1" w:rsidP="007A63AA">
            <w:pPr>
              <w:keepNext/>
              <w:autoSpaceDE w:val="0"/>
              <w:autoSpaceDN w:val="0"/>
              <w:adjustRightInd w:val="0"/>
              <w:jc w:val="center"/>
              <w:rPr>
                <w:rFonts w:eastAsia="Times New Roman" w:cs="Times New Roman"/>
                <w:b/>
                <w:sz w:val="20"/>
                <w:szCs w:val="20"/>
              </w:rPr>
            </w:pPr>
            <w:r w:rsidRPr="00327051">
              <w:rPr>
                <w:rFonts w:eastAsia="Times New Roman" w:cs="Times New Roman"/>
                <w:b/>
                <w:sz w:val="20"/>
                <w:szCs w:val="20"/>
              </w:rPr>
              <w:t>Activity</w:t>
            </w:r>
          </w:p>
        </w:tc>
        <w:tc>
          <w:tcPr>
            <w:tcW w:w="2399" w:type="pct"/>
            <w:shd w:val="clear" w:color="auto" w:fill="C3C6A8"/>
            <w:vAlign w:val="bottom"/>
          </w:tcPr>
          <w:p w14:paraId="58D8D793" w14:textId="77777777" w:rsidR="006B0EC1" w:rsidRPr="00327051" w:rsidRDefault="006B0EC1" w:rsidP="007A63AA">
            <w:pPr>
              <w:keepNext/>
              <w:autoSpaceDE w:val="0"/>
              <w:autoSpaceDN w:val="0"/>
              <w:adjustRightInd w:val="0"/>
              <w:jc w:val="center"/>
              <w:rPr>
                <w:rFonts w:eastAsia="Times New Roman" w:cs="Times New Roman"/>
                <w:b/>
                <w:sz w:val="20"/>
                <w:szCs w:val="20"/>
              </w:rPr>
            </w:pPr>
            <w:r w:rsidRPr="00327051">
              <w:rPr>
                <w:rFonts w:eastAsia="Times New Roman" w:cs="Times New Roman"/>
                <w:b/>
                <w:sz w:val="20"/>
                <w:szCs w:val="20"/>
              </w:rPr>
              <w:t>Description</w:t>
            </w:r>
          </w:p>
        </w:tc>
        <w:tc>
          <w:tcPr>
            <w:tcW w:w="1607" w:type="pct"/>
            <w:shd w:val="clear" w:color="auto" w:fill="C3C6A8"/>
            <w:vAlign w:val="bottom"/>
          </w:tcPr>
          <w:p w14:paraId="11D30D67" w14:textId="54FA8B26" w:rsidR="006B0EC1" w:rsidRPr="00327051" w:rsidRDefault="006B0EC1" w:rsidP="007215AE">
            <w:pPr>
              <w:keepNext/>
              <w:autoSpaceDE w:val="0"/>
              <w:autoSpaceDN w:val="0"/>
              <w:adjustRightInd w:val="0"/>
              <w:jc w:val="center"/>
              <w:rPr>
                <w:rFonts w:eastAsia="Times New Roman" w:cs="Times New Roman"/>
                <w:b/>
                <w:sz w:val="20"/>
                <w:szCs w:val="20"/>
              </w:rPr>
            </w:pPr>
            <w:r w:rsidRPr="00327051">
              <w:rPr>
                <w:rFonts w:eastAsia="Times New Roman" w:cs="Times New Roman"/>
                <w:b/>
                <w:sz w:val="20"/>
                <w:szCs w:val="20"/>
              </w:rPr>
              <w:t>Related IC(s) included in this ICR</w:t>
            </w:r>
          </w:p>
        </w:tc>
      </w:tr>
      <w:tr w:rsidR="006B0EC1" w:rsidRPr="00327051" w14:paraId="428ADBFA" w14:textId="77777777" w:rsidTr="007A63AA">
        <w:tc>
          <w:tcPr>
            <w:tcW w:w="994" w:type="pct"/>
          </w:tcPr>
          <w:p w14:paraId="25F51884" w14:textId="77777777" w:rsidR="006B0EC1" w:rsidRPr="007161A0" w:rsidRDefault="006B0EC1" w:rsidP="007A63AA">
            <w:pPr>
              <w:keepNext/>
              <w:autoSpaceDE w:val="0"/>
              <w:autoSpaceDN w:val="0"/>
              <w:adjustRightInd w:val="0"/>
              <w:rPr>
                <w:rFonts w:ascii="Arial Narrow" w:eastAsia="Times New Roman" w:hAnsi="Arial Narrow" w:cs="Times New Roman"/>
                <w:sz w:val="18"/>
                <w:szCs w:val="18"/>
              </w:rPr>
            </w:pPr>
            <w:r w:rsidRPr="007161A0">
              <w:rPr>
                <w:rFonts w:ascii="Arial Narrow" w:eastAsia="Times New Roman" w:hAnsi="Arial Narrow" w:cs="Times New Roman"/>
                <w:b/>
                <w:bCs/>
                <w:sz w:val="18"/>
                <w:szCs w:val="18"/>
              </w:rPr>
              <w:t>Preparation and Submission of Reports</w:t>
            </w:r>
          </w:p>
        </w:tc>
        <w:tc>
          <w:tcPr>
            <w:tcW w:w="2399" w:type="pct"/>
          </w:tcPr>
          <w:p w14:paraId="46BA573F" w14:textId="1060F69C" w:rsidR="006B0EC1" w:rsidRPr="007161A0" w:rsidRDefault="006B0EC1" w:rsidP="00963561">
            <w:pPr>
              <w:keepNext/>
              <w:autoSpaceDE w:val="0"/>
              <w:autoSpaceDN w:val="0"/>
              <w:adjustRightInd w:val="0"/>
              <w:rPr>
                <w:rFonts w:ascii="Arial Narrow" w:eastAsia="Times New Roman" w:hAnsi="Arial Narrow" w:cs="Times New Roman"/>
                <w:sz w:val="18"/>
                <w:szCs w:val="18"/>
              </w:rPr>
            </w:pPr>
            <w:r w:rsidRPr="007161A0">
              <w:rPr>
                <w:rFonts w:ascii="Arial Narrow" w:eastAsia="Times New Roman" w:hAnsi="Arial Narrow" w:cs="Times New Roman"/>
                <w:sz w:val="18"/>
                <w:szCs w:val="18"/>
              </w:rPr>
              <w:t xml:space="preserve">Staff must collect all of the information, required by submissions. This ICR covers amendments to the NOAs submitted during </w:t>
            </w:r>
            <w:r w:rsidR="00963561">
              <w:rPr>
                <w:rFonts w:ascii="Arial Narrow" w:eastAsia="Times New Roman" w:hAnsi="Arial Narrow" w:cs="Times New Roman"/>
                <w:sz w:val="18"/>
                <w:szCs w:val="18"/>
              </w:rPr>
              <w:t>Active-Inactive</w:t>
            </w:r>
            <w:r w:rsidRPr="007161A0">
              <w:rPr>
                <w:rFonts w:ascii="Arial Narrow" w:eastAsia="Times New Roman" w:hAnsi="Arial Narrow" w:cs="Times New Roman"/>
                <w:sz w:val="18"/>
                <w:szCs w:val="18"/>
              </w:rPr>
              <w:t xml:space="preserve"> rule reporting to provide substantiation for claims of confidentiality for chemical substance identity. The information must be gathered, reviewed, and submitted to EPA. This activity involves any research necessary to identify the correct information and the act of completing the submission review. </w:t>
            </w:r>
          </w:p>
        </w:tc>
        <w:tc>
          <w:tcPr>
            <w:tcW w:w="1607" w:type="pct"/>
          </w:tcPr>
          <w:p w14:paraId="75B1D6D0" w14:textId="77777777" w:rsidR="006B0EC1" w:rsidRPr="007161A0" w:rsidRDefault="006B0EC1" w:rsidP="007A63AA">
            <w:pPr>
              <w:keepNext/>
              <w:autoSpaceDE w:val="0"/>
              <w:autoSpaceDN w:val="0"/>
              <w:adjustRightInd w:val="0"/>
              <w:rPr>
                <w:rFonts w:ascii="Arial Narrow" w:eastAsia="Times New Roman" w:hAnsi="Arial Narrow" w:cs="Times New Roman"/>
                <w:sz w:val="18"/>
                <w:szCs w:val="18"/>
              </w:rPr>
            </w:pPr>
            <w:r w:rsidRPr="007161A0">
              <w:rPr>
                <w:rFonts w:ascii="Arial Narrow" w:eastAsia="Times New Roman" w:hAnsi="Arial Narrow" w:cs="Times New Roman"/>
                <w:sz w:val="18"/>
                <w:szCs w:val="18"/>
              </w:rPr>
              <w:t>Prepare and Submit Report, and Maintain Records</w:t>
            </w:r>
          </w:p>
        </w:tc>
      </w:tr>
      <w:tr w:rsidR="006B0EC1" w:rsidRPr="00327051" w14:paraId="11FC8806" w14:textId="77777777" w:rsidTr="007A63AA">
        <w:tc>
          <w:tcPr>
            <w:tcW w:w="994" w:type="pct"/>
          </w:tcPr>
          <w:p w14:paraId="6425EDBE" w14:textId="77777777" w:rsidR="006B0EC1" w:rsidRPr="007161A0" w:rsidRDefault="006B0EC1" w:rsidP="007A63AA">
            <w:pPr>
              <w:autoSpaceDE w:val="0"/>
              <w:autoSpaceDN w:val="0"/>
              <w:adjustRightInd w:val="0"/>
              <w:rPr>
                <w:rFonts w:ascii="Arial Narrow" w:eastAsia="Times New Roman" w:hAnsi="Arial Narrow" w:cs="Times New Roman"/>
                <w:sz w:val="18"/>
                <w:szCs w:val="18"/>
              </w:rPr>
            </w:pPr>
            <w:r w:rsidRPr="007161A0">
              <w:rPr>
                <w:rFonts w:ascii="Arial Narrow" w:eastAsia="Times New Roman" w:hAnsi="Arial Narrow" w:cs="Times New Roman"/>
                <w:b/>
                <w:bCs/>
                <w:sz w:val="18"/>
                <w:szCs w:val="18"/>
              </w:rPr>
              <w:t>Recordkeeping</w:t>
            </w:r>
          </w:p>
        </w:tc>
        <w:tc>
          <w:tcPr>
            <w:tcW w:w="2399" w:type="pct"/>
          </w:tcPr>
          <w:p w14:paraId="1E1E8FC1" w14:textId="77777777" w:rsidR="006B0EC1" w:rsidRPr="007161A0" w:rsidRDefault="006B0EC1" w:rsidP="007A63AA">
            <w:pPr>
              <w:autoSpaceDE w:val="0"/>
              <w:autoSpaceDN w:val="0"/>
              <w:adjustRightInd w:val="0"/>
              <w:rPr>
                <w:rFonts w:ascii="Arial Narrow" w:eastAsia="Times New Roman" w:hAnsi="Arial Narrow" w:cs="Times New Roman"/>
                <w:sz w:val="18"/>
                <w:szCs w:val="18"/>
              </w:rPr>
            </w:pPr>
            <w:r w:rsidRPr="007161A0">
              <w:rPr>
                <w:rFonts w:ascii="Arial Narrow" w:eastAsia="Times New Roman" w:hAnsi="Arial Narrow" w:cs="Times New Roman"/>
                <w:sz w:val="18"/>
                <w:szCs w:val="18"/>
              </w:rPr>
              <w:t xml:space="preserve">Respondents must keep records supporting their submissions. </w:t>
            </w:r>
          </w:p>
        </w:tc>
        <w:tc>
          <w:tcPr>
            <w:tcW w:w="1607" w:type="pct"/>
          </w:tcPr>
          <w:p w14:paraId="157DB103" w14:textId="77777777" w:rsidR="006B0EC1" w:rsidRPr="007161A0" w:rsidRDefault="006B0EC1" w:rsidP="007A63AA">
            <w:pPr>
              <w:autoSpaceDE w:val="0"/>
              <w:autoSpaceDN w:val="0"/>
              <w:adjustRightInd w:val="0"/>
              <w:rPr>
                <w:rFonts w:ascii="Arial Narrow" w:eastAsia="Times New Roman" w:hAnsi="Arial Narrow" w:cs="Times New Roman"/>
                <w:sz w:val="18"/>
                <w:szCs w:val="18"/>
              </w:rPr>
            </w:pPr>
            <w:r w:rsidRPr="007161A0">
              <w:rPr>
                <w:rFonts w:ascii="Arial Narrow" w:eastAsia="Times New Roman" w:hAnsi="Arial Narrow" w:cs="Times New Roman"/>
                <w:sz w:val="18"/>
                <w:szCs w:val="18"/>
              </w:rPr>
              <w:t xml:space="preserve">Prepare and Submit Report, and Maintain Records </w:t>
            </w:r>
          </w:p>
        </w:tc>
      </w:tr>
    </w:tbl>
    <w:p w14:paraId="326683F6" w14:textId="77777777" w:rsidR="006B0EC1" w:rsidRPr="0083485C" w:rsidRDefault="006B0EC1" w:rsidP="00126678"/>
    <w:p w14:paraId="036100C0" w14:textId="73B66E71" w:rsidR="0083485C" w:rsidRDefault="00126678" w:rsidP="0083485C">
      <w:pPr>
        <w:pStyle w:val="Heading2"/>
      </w:pPr>
      <w:r>
        <w:t>Estimating Respondent Burden</w:t>
      </w:r>
    </w:p>
    <w:p w14:paraId="6EC04246" w14:textId="4E57859A" w:rsidR="00126678" w:rsidRDefault="00126678" w:rsidP="00126678">
      <w:pPr>
        <w:ind w:firstLine="720"/>
      </w:pPr>
      <w:r>
        <w:t xml:space="preserve">This section presents the burden of this information collection activity to respondents in terms of the time required </w:t>
      </w:r>
      <w:r w:rsidR="007A3745">
        <w:t>by companies</w:t>
      </w:r>
      <w:r>
        <w:t xml:space="preserve"> to perform the activities as outlined in Section 3 of this document. The overall unit burden experienced by </w:t>
      </w:r>
      <w:r w:rsidR="004C74BB">
        <w:t>companie</w:t>
      </w:r>
      <w:r>
        <w:t xml:space="preserve">s is estimated by combining activity-level unit burdens at the appropriate scale (e.g. per </w:t>
      </w:r>
      <w:r w:rsidR="004C74BB">
        <w:t>company</w:t>
      </w:r>
      <w:r>
        <w:t xml:space="preserve"> or per chemical) to produce estimates for unit burden per submission, by </w:t>
      </w:r>
      <w:r w:rsidR="0013249D">
        <w:t>company</w:t>
      </w:r>
      <w:r>
        <w:t xml:space="preserve">. This section details the activity-level unit burdens grouped by type of activity. For additional details see </w:t>
      </w:r>
      <w:r>
        <w:rPr>
          <w:i/>
        </w:rPr>
        <w:t xml:space="preserve">Economic Analysis for the Proposed Rule: </w:t>
      </w:r>
      <w:r w:rsidR="00FA37A2" w:rsidRPr="00FA37A2">
        <w:rPr>
          <w:i/>
        </w:rPr>
        <w:t>Procedures for Review of CBI Claims for the Identity of Chemicals on the TSCA Inventory</w:t>
      </w:r>
      <w:r w:rsidR="00FA37A2" w:rsidRPr="00FA37A2" w:rsidDel="00FA37A2">
        <w:rPr>
          <w:i/>
        </w:rPr>
        <w:t xml:space="preserve"> </w:t>
      </w:r>
      <w:r w:rsidRPr="00126678">
        <w:t>.</w:t>
      </w:r>
    </w:p>
    <w:p w14:paraId="7786D370" w14:textId="77777777" w:rsidR="00126678" w:rsidRDefault="00126678" w:rsidP="00126678">
      <w:pPr>
        <w:ind w:firstLine="720"/>
      </w:pPr>
    </w:p>
    <w:p w14:paraId="57F2FFEA" w14:textId="5137C732" w:rsidR="00126678" w:rsidRDefault="00126678" w:rsidP="004B218D">
      <w:r>
        <w:t>The required activities are described below.</w:t>
      </w:r>
      <w:r w:rsidR="00BA21E5">
        <w:t xml:space="preserve"> </w:t>
      </w:r>
      <w:r w:rsidR="00BA21E5">
        <w:fldChar w:fldCharType="begin"/>
      </w:r>
      <w:r w:rsidR="00BA21E5">
        <w:instrText xml:space="preserve"> REF _Ref528062545 \h </w:instrText>
      </w:r>
      <w:r w:rsidR="00BA21E5">
        <w:fldChar w:fldCharType="separate"/>
      </w:r>
      <w:r w:rsidR="005C4A2E">
        <w:t xml:space="preserve">Table </w:t>
      </w:r>
      <w:r w:rsidR="005C4A2E">
        <w:rPr>
          <w:noProof/>
        </w:rPr>
        <w:t>3</w:t>
      </w:r>
      <w:r w:rsidR="00BA21E5">
        <w:fldChar w:fldCharType="end"/>
      </w:r>
      <w:r>
        <w:t xml:space="preserve"> provides the detailed estimates.</w:t>
      </w:r>
    </w:p>
    <w:p w14:paraId="0A6A7523" w14:textId="77777777" w:rsidR="00126678" w:rsidRDefault="00126678" w:rsidP="00126678"/>
    <w:p w14:paraId="279E493D" w14:textId="63E1AA7E" w:rsidR="00A10BC5" w:rsidRDefault="00126678" w:rsidP="00126678">
      <w:r w:rsidRPr="00126678">
        <w:rPr>
          <w:b/>
          <w:i/>
        </w:rPr>
        <w:t>Rule Familiarization.</w:t>
      </w:r>
      <w:r>
        <w:rPr>
          <w:i/>
        </w:rPr>
        <w:t xml:space="preserve"> </w:t>
      </w:r>
      <w:r>
        <w:t xml:space="preserve">The burden associated with rule familiarization involves becoming familiar with the full requirements of the rule, which includes reading the rule, understanding the various reporting and administrative requirements, and determining the manner in which reporting requirements will be met. </w:t>
      </w:r>
      <w:r w:rsidR="00821462">
        <w:t xml:space="preserve">This level of activity applies to those companies that submitted NOAs under the </w:t>
      </w:r>
      <w:r w:rsidR="00963561">
        <w:t>Active-Inactive</w:t>
      </w:r>
      <w:r w:rsidR="00821462">
        <w:t xml:space="preserve"> rule, included a CBI chemID claim, but did not provide upfront substantiation for the claim.</w:t>
      </w:r>
    </w:p>
    <w:p w14:paraId="311C8686" w14:textId="77777777" w:rsidR="00126678" w:rsidRDefault="00126678" w:rsidP="00126678"/>
    <w:p w14:paraId="2FB7F59C" w14:textId="6356A21A" w:rsidR="00126678" w:rsidRDefault="00126678" w:rsidP="00126678">
      <w:r w:rsidRPr="00126678">
        <w:rPr>
          <w:b/>
          <w:i/>
        </w:rPr>
        <w:t>Compliance Determination</w:t>
      </w:r>
      <w:r w:rsidRPr="00126678">
        <w:rPr>
          <w:b/>
        </w:rPr>
        <w:t>.</w:t>
      </w:r>
      <w:r>
        <w:t xml:space="preserve"> The burden associated with compliance determination involves determining whether </w:t>
      </w:r>
      <w:r w:rsidR="005A4C9A">
        <w:t xml:space="preserve">or not substantiation </w:t>
      </w:r>
      <w:r>
        <w:t>is required</w:t>
      </w:r>
      <w:r w:rsidR="005A4C9A">
        <w:t>.</w:t>
      </w:r>
      <w:r>
        <w:t xml:space="preserve"> </w:t>
      </w:r>
      <w:bookmarkStart w:id="59" w:name="_Hlk527630329"/>
      <w:r>
        <w:t xml:space="preserve">Since reporters already know whether or not they submitted </w:t>
      </w:r>
      <w:r w:rsidR="005A4C9A">
        <w:t xml:space="preserve">substantiation for CBI chemID claims as part of </w:t>
      </w:r>
      <w:bookmarkEnd w:id="59"/>
      <w:r>
        <w:t xml:space="preserve">the </w:t>
      </w:r>
      <w:r w:rsidR="00963561">
        <w:t>Active-Inactive</w:t>
      </w:r>
      <w:r>
        <w:t xml:space="preserve"> rule, </w:t>
      </w:r>
      <w:bookmarkStart w:id="60" w:name="_Hlk527630381"/>
      <w:r>
        <w:t>there is no burden for compliance determination under this rule.</w:t>
      </w:r>
      <w:bookmarkEnd w:id="60"/>
    </w:p>
    <w:p w14:paraId="2E618F1C" w14:textId="77777777" w:rsidR="00126678" w:rsidRDefault="00126678" w:rsidP="00126678"/>
    <w:p w14:paraId="5D28233D" w14:textId="5694EF91" w:rsidR="005A4C9A" w:rsidRDefault="00126678" w:rsidP="001B1F39">
      <w:pPr>
        <w:pStyle w:val="BodyText"/>
        <w:ind w:firstLine="0"/>
      </w:pPr>
      <w:r w:rsidRPr="00126678">
        <w:rPr>
          <w:b/>
          <w:i/>
        </w:rPr>
        <w:t>Form Completion/Submission</w:t>
      </w:r>
      <w:r w:rsidRPr="00126678">
        <w:rPr>
          <w:b/>
        </w:rPr>
        <w:t>.</w:t>
      </w:r>
      <w:r>
        <w:t xml:space="preserve"> A</w:t>
      </w:r>
      <w:r w:rsidR="005A4C9A">
        <w:t xml:space="preserve"> </w:t>
      </w:r>
      <w:r w:rsidR="00593621">
        <w:t>chemical-specific</w:t>
      </w:r>
      <w:r>
        <w:t xml:space="preserve"> NOA</w:t>
      </w:r>
      <w:r w:rsidR="005A4C9A">
        <w:t xml:space="preserve"> amendment </w:t>
      </w:r>
      <w:r>
        <w:t>include</w:t>
      </w:r>
      <w:r w:rsidR="005A4C9A">
        <w:t>s</w:t>
      </w:r>
      <w:r>
        <w:t xml:space="preserve"> substantiation for</w:t>
      </w:r>
      <w:r w:rsidR="00593621">
        <w:t xml:space="preserve"> </w:t>
      </w:r>
      <w:r w:rsidR="005A4C9A">
        <w:t>one</w:t>
      </w:r>
      <w:r w:rsidR="00593621">
        <w:t xml:space="preserve"> CBI chemID</w:t>
      </w:r>
      <w:r w:rsidR="005A4C9A">
        <w:t xml:space="preserve"> for a company</w:t>
      </w:r>
      <w:r>
        <w:t xml:space="preserve">. Submitters citing a previous reference must include </w:t>
      </w:r>
      <w:r w:rsidR="001B1F39">
        <w:t xml:space="preserve">identification for a previous submission by </w:t>
      </w:r>
      <w:r w:rsidR="005A4C9A">
        <w:t xml:space="preserve">case number/transaction ID </w:t>
      </w:r>
      <w:r w:rsidR="001B1F39">
        <w:t>(or some other equivalent identifier), submission type, and date of submission</w:t>
      </w:r>
      <w:r>
        <w:t xml:space="preserve">. </w:t>
      </w:r>
    </w:p>
    <w:p w14:paraId="14D9D2EA" w14:textId="291D1E82" w:rsidR="001B1F39" w:rsidRDefault="00126678" w:rsidP="001B1F39">
      <w:pPr>
        <w:pStyle w:val="BodyText"/>
        <w:ind w:firstLine="0"/>
      </w:pPr>
      <w:r>
        <w:t xml:space="preserve">Submitters providing full substantiation must answer the </w:t>
      </w:r>
      <w:r w:rsidR="00BD3085">
        <w:t xml:space="preserve">CBI </w:t>
      </w:r>
      <w:r>
        <w:t>chemID substantiation questions</w:t>
      </w:r>
      <w:r w:rsidR="00752B6A">
        <w:t>, and provide certification</w:t>
      </w:r>
      <w:r>
        <w:t xml:space="preserve"> as </w:t>
      </w:r>
      <w:r w:rsidR="001B1F39">
        <w:t>follows:</w:t>
      </w:r>
    </w:p>
    <w:p w14:paraId="1B76BDD1" w14:textId="77777777" w:rsidR="00A056EB" w:rsidRPr="001D4BD9" w:rsidRDefault="00A056EB" w:rsidP="00A056EB">
      <w:pPr>
        <w:widowControl w:val="0"/>
        <w:numPr>
          <w:ilvl w:val="0"/>
          <w:numId w:val="14"/>
        </w:numPr>
        <w:spacing w:after="180" w:line="264" w:lineRule="auto"/>
        <w:rPr>
          <w:rFonts w:eastAsia="Times New Roman" w:cs="Times New Roman"/>
          <w:sz w:val="22"/>
          <w:szCs w:val="20"/>
        </w:rPr>
      </w:pPr>
      <w:r w:rsidRPr="001D4BD9">
        <w:rPr>
          <w:rFonts w:eastAsia="Times New Roman" w:cs="Times New Roman"/>
          <w:sz w:val="22"/>
          <w:szCs w:val="20"/>
        </w:rPr>
        <w:t>APPLICABLE TO ANY CBI CLAIM</w:t>
      </w:r>
    </w:p>
    <w:p w14:paraId="67706EDF" w14:textId="0D95A2BB" w:rsidR="00C36542" w:rsidRPr="00602C74" w:rsidRDefault="00C36542" w:rsidP="00480224">
      <w:pPr>
        <w:pStyle w:val="psection-2"/>
        <w:rPr>
          <w:sz w:val="22"/>
          <w:lang w:val="en"/>
        </w:rPr>
      </w:pPr>
      <w:r w:rsidRPr="00602C74">
        <w:rPr>
          <w:rStyle w:val="enumxml2"/>
          <w:sz w:val="22"/>
          <w:lang w:val="en"/>
        </w:rPr>
        <w:t xml:space="preserve">(1) </w:t>
      </w:r>
      <w:r w:rsidRPr="00602C74">
        <w:rPr>
          <w:rStyle w:val="et031"/>
          <w:sz w:val="22"/>
          <w:lang w:val="en"/>
        </w:rPr>
        <w:t>Substantiation questions for any confidentiality claim.</w:t>
      </w:r>
      <w:r w:rsidRPr="00602C74">
        <w:rPr>
          <w:sz w:val="22"/>
          <w:lang w:val="en"/>
        </w:rPr>
        <w:t xml:space="preserve"> For any information with a confidentiality claim that you assert is exempt from substantiation pursuant to TSCA section 14(c)(2), answer only the question in </w:t>
      </w:r>
      <w:r w:rsidR="00963561" w:rsidRPr="00602C74">
        <w:rPr>
          <w:sz w:val="22"/>
        </w:rPr>
        <w:t>paragraph (c)(1)(i)</w:t>
      </w:r>
      <w:r w:rsidRPr="00602C74">
        <w:rPr>
          <w:sz w:val="22"/>
          <w:lang w:val="en"/>
        </w:rPr>
        <w:t xml:space="preserve"> of this section. For all other information with a confidentiality claim, answer the questions in paragraphs (c)(1)(ii) through (vi) of this section. If more than one data element on Form A or Form B is claimed as confidential, you must answer the applicable questions individually for each data element. If the answer to a question applies for all confidentiality claims on the form, indicate this in your substantiation response. </w:t>
      </w:r>
    </w:p>
    <w:p w14:paraId="5F5A3D66" w14:textId="77777777" w:rsidR="00C36542" w:rsidRPr="00602C74" w:rsidRDefault="00C36542" w:rsidP="00480224">
      <w:pPr>
        <w:pStyle w:val="psection-3"/>
        <w:rPr>
          <w:sz w:val="22"/>
          <w:lang w:val="en"/>
        </w:rPr>
      </w:pPr>
      <w:r w:rsidRPr="00602C74">
        <w:rPr>
          <w:rStyle w:val="enumxml3"/>
          <w:sz w:val="22"/>
          <w:lang w:val="en"/>
        </w:rPr>
        <w:t>(i)</w:t>
      </w:r>
      <w:r w:rsidRPr="00602C74">
        <w:rPr>
          <w:sz w:val="22"/>
          <w:lang w:val="en"/>
        </w:rPr>
        <w:t xml:space="preserve"> Do you believe that the information is exempt from substantiation pursuant to TSCA section 14(c)(2)? If you answered yes, you must individually identify the specific information claimed as confidential and specify the applicable exemption(s). </w:t>
      </w:r>
    </w:p>
    <w:p w14:paraId="23F24A79" w14:textId="0393EA6B" w:rsidR="00C36542" w:rsidRPr="00602C74" w:rsidRDefault="00C36542" w:rsidP="00480224">
      <w:pPr>
        <w:pStyle w:val="psection-3"/>
        <w:rPr>
          <w:sz w:val="22"/>
          <w:lang w:val="en"/>
        </w:rPr>
      </w:pPr>
      <w:r w:rsidRPr="00602C74">
        <w:rPr>
          <w:rStyle w:val="enumxml3"/>
          <w:sz w:val="22"/>
          <w:lang w:val="en"/>
        </w:rPr>
        <w:t>(ii)</w:t>
      </w:r>
      <w:r w:rsidRPr="00602C74">
        <w:rPr>
          <w:sz w:val="22"/>
          <w:lang w:val="en"/>
        </w:rPr>
        <w:t xml:space="preserve"> Will disclosure of the information likely result in substantial harm to your </w:t>
      </w:r>
      <w:r w:rsidR="00963561" w:rsidRPr="00602C74">
        <w:rPr>
          <w:sz w:val="22"/>
        </w:rPr>
        <w:t>business</w:t>
      </w:r>
      <w:r w:rsidRPr="00602C74">
        <w:rPr>
          <w:sz w:val="22"/>
          <w:lang w:val="en"/>
        </w:rPr>
        <w:t xml:space="preserve">'s competitive position? If you answered yes, describe with specificity the substantial harmful effects that would likely result to your competitive position if the information is made </w:t>
      </w:r>
      <w:r w:rsidR="00963561" w:rsidRPr="00602C74">
        <w:rPr>
          <w:sz w:val="22"/>
        </w:rPr>
        <w:t>available to the public</w:t>
      </w:r>
      <w:r w:rsidRPr="00602C74">
        <w:rPr>
          <w:sz w:val="22"/>
          <w:lang w:val="en"/>
        </w:rPr>
        <w:t xml:space="preserve">. </w:t>
      </w:r>
    </w:p>
    <w:p w14:paraId="211FC453" w14:textId="285F67CD" w:rsidR="00C36542" w:rsidRPr="00602C74" w:rsidRDefault="00C36542" w:rsidP="00480224">
      <w:pPr>
        <w:pStyle w:val="psection-3"/>
        <w:rPr>
          <w:sz w:val="22"/>
          <w:lang w:val="en"/>
        </w:rPr>
      </w:pPr>
      <w:r w:rsidRPr="00602C74">
        <w:rPr>
          <w:rStyle w:val="enumxml3"/>
          <w:sz w:val="22"/>
          <w:lang w:val="en"/>
        </w:rPr>
        <w:t>(iii)</w:t>
      </w:r>
      <w:r w:rsidRPr="00602C74">
        <w:rPr>
          <w:sz w:val="22"/>
          <w:lang w:val="en"/>
        </w:rPr>
        <w:t xml:space="preserve"> To the extent your </w:t>
      </w:r>
      <w:r w:rsidR="00963561" w:rsidRPr="00602C74">
        <w:rPr>
          <w:sz w:val="22"/>
        </w:rPr>
        <w:t>business</w:t>
      </w:r>
      <w:r w:rsidRPr="00602C74">
        <w:rPr>
          <w:sz w:val="22"/>
          <w:lang w:val="en"/>
        </w:rPr>
        <w:t xml:space="preserve"> has disclosed the information to others (both internally and externally), what precautions has your </w:t>
      </w:r>
      <w:r w:rsidR="00963561" w:rsidRPr="00602C74">
        <w:rPr>
          <w:sz w:val="22"/>
        </w:rPr>
        <w:t>business</w:t>
      </w:r>
      <w:r w:rsidRPr="00602C74">
        <w:rPr>
          <w:sz w:val="22"/>
          <w:lang w:val="en"/>
        </w:rPr>
        <w:t xml:space="preserve"> taken? Identify the measures or internal controls your </w:t>
      </w:r>
      <w:r w:rsidR="00963561" w:rsidRPr="00602C74">
        <w:rPr>
          <w:sz w:val="22"/>
        </w:rPr>
        <w:t>business</w:t>
      </w:r>
      <w:r w:rsidRPr="00602C74">
        <w:rPr>
          <w:sz w:val="22"/>
          <w:lang w:val="en"/>
        </w:rPr>
        <w:t xml:space="preserve"> has taken to protect the information claimed as confidential: Non-disclosure agreement required prior to access; access is limited to individuals with a need-to-know; information is physically secured; other internal control measure(s). If yes, explain. </w:t>
      </w:r>
    </w:p>
    <w:p w14:paraId="5ABB58C0" w14:textId="77777777" w:rsidR="00C36542" w:rsidRPr="00602C74" w:rsidRDefault="00C36542" w:rsidP="00480224">
      <w:pPr>
        <w:pStyle w:val="psection-3"/>
        <w:rPr>
          <w:sz w:val="22"/>
          <w:lang w:val="en"/>
        </w:rPr>
      </w:pPr>
      <w:r w:rsidRPr="00602C74">
        <w:rPr>
          <w:rStyle w:val="enumxml3"/>
          <w:sz w:val="22"/>
          <w:lang w:val="en"/>
        </w:rPr>
        <w:t>(iv)</w:t>
      </w:r>
      <w:r w:rsidRPr="00602C74">
        <w:rPr>
          <w:sz w:val="22"/>
          <w:lang w:val="en"/>
        </w:rPr>
        <w:t xml:space="preserve"> Does the information appear in any public documents, including (but not limited to) safety data sheets, advertising or promotional material, professional or trade publication, or any other media or publications available to the general public? If you answered yes, explain why the information should be treated as confidential. </w:t>
      </w:r>
    </w:p>
    <w:p w14:paraId="6048AB38" w14:textId="77777777" w:rsidR="00C36542" w:rsidRPr="00602C74" w:rsidRDefault="00C36542" w:rsidP="00480224">
      <w:pPr>
        <w:pStyle w:val="psection-3"/>
        <w:rPr>
          <w:sz w:val="22"/>
          <w:lang w:val="en"/>
        </w:rPr>
      </w:pPr>
      <w:r w:rsidRPr="00602C74">
        <w:rPr>
          <w:rStyle w:val="enumxml3"/>
          <w:sz w:val="22"/>
          <w:lang w:val="en"/>
        </w:rPr>
        <w:t>(v)</w:t>
      </w:r>
      <w:r w:rsidRPr="00602C74">
        <w:rPr>
          <w:sz w:val="22"/>
          <w:lang w:val="en"/>
        </w:rPr>
        <w:t xml:space="preserve"> Is the claim of confidentiality intended to last less than 10 years? If so, indicate the number of years (between 1-10 years) or the specific date/occurrence after which the claim is withdrawn. </w:t>
      </w:r>
    </w:p>
    <w:p w14:paraId="5EDD6BA4" w14:textId="68BA63B4" w:rsidR="00C36542" w:rsidRPr="00602C74" w:rsidRDefault="00C36542" w:rsidP="00480224">
      <w:pPr>
        <w:pStyle w:val="psection-3"/>
        <w:rPr>
          <w:sz w:val="22"/>
          <w:lang w:val="en"/>
        </w:rPr>
      </w:pPr>
      <w:r w:rsidRPr="00602C74">
        <w:rPr>
          <w:rStyle w:val="enumxml3"/>
          <w:sz w:val="22"/>
          <w:lang w:val="en"/>
        </w:rPr>
        <w:t>(vi)</w:t>
      </w:r>
      <w:r w:rsidRPr="00602C74">
        <w:rPr>
          <w:sz w:val="22"/>
          <w:lang w:val="en"/>
        </w:rPr>
        <w:t xml:space="preserve"> Has </w:t>
      </w:r>
      <w:r w:rsidR="00963561" w:rsidRPr="00602C74">
        <w:rPr>
          <w:sz w:val="22"/>
        </w:rPr>
        <w:t>EPA</w:t>
      </w:r>
      <w:r w:rsidRPr="00602C74">
        <w:rPr>
          <w:sz w:val="22"/>
          <w:lang w:val="en"/>
        </w:rPr>
        <w:t xml:space="preserve">, another </w:t>
      </w:r>
      <w:r w:rsidR="00963561" w:rsidRPr="00602C74">
        <w:rPr>
          <w:sz w:val="22"/>
        </w:rPr>
        <w:t>federal agency</w:t>
      </w:r>
      <w:r w:rsidRPr="00602C74">
        <w:rPr>
          <w:sz w:val="22"/>
          <w:lang w:val="en"/>
        </w:rPr>
        <w:t xml:space="preserve">, or court made any confidentiality determination regarding information associated with this chemical substance? If you answered yes, explain the outcome of that determination and provide a copy of the previous confidentiality determination or any other information that will assist in identifying the prior determination. </w:t>
      </w:r>
    </w:p>
    <w:p w14:paraId="13B17AE6" w14:textId="77777777" w:rsidR="00A056EB" w:rsidRPr="001D4BD9" w:rsidRDefault="00A056EB" w:rsidP="00A056EB">
      <w:pPr>
        <w:widowControl w:val="0"/>
        <w:numPr>
          <w:ilvl w:val="0"/>
          <w:numId w:val="14"/>
        </w:numPr>
        <w:spacing w:after="180" w:line="264" w:lineRule="auto"/>
        <w:rPr>
          <w:rFonts w:eastAsia="Times New Roman" w:cs="Times New Roman"/>
          <w:sz w:val="22"/>
          <w:szCs w:val="22"/>
        </w:rPr>
      </w:pPr>
      <w:r w:rsidRPr="001D4BD9">
        <w:rPr>
          <w:rFonts w:eastAsia="Times New Roman" w:cs="Times New Roman"/>
          <w:sz w:val="22"/>
          <w:szCs w:val="22"/>
        </w:rPr>
        <w:t>APPLICABLE ONLY TO CHEMICAL IDENTITY CBI CLAIMS</w:t>
      </w:r>
    </w:p>
    <w:p w14:paraId="630ECBDA" w14:textId="518FDE03" w:rsidR="00C36542" w:rsidRPr="00602C74" w:rsidRDefault="00C36542" w:rsidP="00821462">
      <w:pPr>
        <w:pStyle w:val="psection-2"/>
        <w:rPr>
          <w:sz w:val="22"/>
          <w:lang w:val="en"/>
        </w:rPr>
      </w:pPr>
      <w:r w:rsidRPr="00602C74">
        <w:rPr>
          <w:rStyle w:val="enumxml2"/>
          <w:sz w:val="22"/>
          <w:lang w:val="en"/>
        </w:rPr>
        <w:t xml:space="preserve">(2) </w:t>
      </w:r>
      <w:r w:rsidRPr="00602C74">
        <w:rPr>
          <w:rStyle w:val="et031"/>
          <w:sz w:val="22"/>
          <w:lang w:val="en"/>
        </w:rPr>
        <w:t>Substantiation for confidentiality claims for chemical identity.</w:t>
      </w:r>
      <w:r w:rsidRPr="00602C74">
        <w:rPr>
          <w:sz w:val="22"/>
          <w:lang w:val="en"/>
        </w:rPr>
        <w:t xml:space="preserve"> Is the confidential </w:t>
      </w:r>
      <w:r w:rsidR="00963561" w:rsidRPr="00602C74">
        <w:rPr>
          <w:sz w:val="22"/>
        </w:rPr>
        <w:t>chemical substance</w:t>
      </w:r>
      <w:r w:rsidRPr="00602C74">
        <w:rPr>
          <w:sz w:val="22"/>
          <w:lang w:val="en"/>
        </w:rPr>
        <w:t xml:space="preserve"> publicly known to have ever been offered for commercial distribution in the United States? If you answered yes, explain why the information should be treated as confidential. </w:t>
      </w:r>
    </w:p>
    <w:p w14:paraId="6272362A" w14:textId="77777777" w:rsidR="00D74B76" w:rsidRPr="001D4BD9" w:rsidRDefault="00D74B76" w:rsidP="00D74B76">
      <w:pPr>
        <w:widowControl w:val="0"/>
        <w:tabs>
          <w:tab w:val="left" w:pos="360"/>
        </w:tabs>
        <w:spacing w:after="180"/>
        <w:rPr>
          <w:rFonts w:cs="Times New Roman"/>
          <w:sz w:val="22"/>
          <w:szCs w:val="22"/>
        </w:rPr>
      </w:pPr>
      <w:r w:rsidRPr="001D4BD9">
        <w:rPr>
          <w:rFonts w:cs="Times New Roman"/>
          <w:sz w:val="22"/>
          <w:szCs w:val="22"/>
        </w:rPr>
        <w:t>C.</w:t>
      </w:r>
      <w:r w:rsidRPr="001D4BD9">
        <w:rPr>
          <w:rFonts w:cs="Times New Roman"/>
          <w:sz w:val="22"/>
          <w:szCs w:val="22"/>
        </w:rPr>
        <w:tab/>
        <w:t>CERTIFICATION</w:t>
      </w:r>
    </w:p>
    <w:p w14:paraId="03C276C7" w14:textId="1D4DFC49" w:rsidR="00D74B76" w:rsidRPr="00602C74" w:rsidRDefault="00D74B76" w:rsidP="00D74B76">
      <w:pPr>
        <w:pStyle w:val="psection-1"/>
        <w:rPr>
          <w:sz w:val="22"/>
          <w:lang w:val="en"/>
        </w:rPr>
      </w:pPr>
      <w:r w:rsidRPr="00602C74">
        <w:rPr>
          <w:rStyle w:val="et031"/>
          <w:sz w:val="22"/>
          <w:lang w:val="en"/>
        </w:rPr>
        <w:t>Certification statement for claims.</w:t>
      </w:r>
      <w:r w:rsidRPr="00602C74">
        <w:rPr>
          <w:sz w:val="22"/>
          <w:lang w:val="en"/>
        </w:rPr>
        <w:t xml:space="preserve"> An authorized official of a </w:t>
      </w:r>
      <w:r w:rsidR="00963561" w:rsidRPr="00602C74">
        <w:rPr>
          <w:sz w:val="22"/>
        </w:rPr>
        <w:t>person</w:t>
      </w:r>
      <w:r w:rsidRPr="00602C74">
        <w:rPr>
          <w:sz w:val="22"/>
          <w:lang w:val="en"/>
        </w:rPr>
        <w:t xml:space="preserve"> submitting or substantiating a claim of confidentiality or a request to maintain an existing claim of confidentiality for specific chemical identity must certify that the submission complies with the requirements of this part by signing and dating the following </w:t>
      </w:r>
      <w:r w:rsidR="00963561" w:rsidRPr="00602C74">
        <w:rPr>
          <w:sz w:val="22"/>
        </w:rPr>
        <w:t>certification</w:t>
      </w:r>
      <w:r w:rsidRPr="00602C74">
        <w:rPr>
          <w:sz w:val="22"/>
          <w:lang w:val="en"/>
        </w:rPr>
        <w:t xml:space="preserve"> statement: “I certify that all claims for confidentiality made or sought to be maintained with this submission are true and correct, and all information submitted herein to substantiate such claims is true and correct. Any knowing and willful misrepresentation is subject to criminal penalty pursuant to </w:t>
      </w:r>
      <w:r w:rsidR="00963561" w:rsidRPr="00602C74">
        <w:rPr>
          <w:sz w:val="22"/>
        </w:rPr>
        <w:t>18 U.S.C. 1001</w:t>
      </w:r>
      <w:r w:rsidRPr="00602C74">
        <w:rPr>
          <w:sz w:val="22"/>
          <w:lang w:val="en"/>
        </w:rPr>
        <w:t xml:space="preserve">.” I further certify that it is true and correct that: </w:t>
      </w:r>
    </w:p>
    <w:p w14:paraId="565367F7" w14:textId="77777777" w:rsidR="00D74B76" w:rsidRPr="00602C74" w:rsidRDefault="00D74B76" w:rsidP="00D74B76">
      <w:pPr>
        <w:pStyle w:val="psection-2"/>
        <w:rPr>
          <w:sz w:val="22"/>
          <w:lang w:val="en"/>
        </w:rPr>
      </w:pPr>
      <w:r w:rsidRPr="00602C74">
        <w:rPr>
          <w:rStyle w:val="enumxml2"/>
          <w:sz w:val="22"/>
          <w:lang w:val="en"/>
        </w:rPr>
        <w:t>(1)</w:t>
      </w:r>
      <w:r w:rsidRPr="00602C74">
        <w:rPr>
          <w:sz w:val="22"/>
          <w:lang w:val="en"/>
        </w:rPr>
        <w:t xml:space="preserve"> My company has taken reasonable measures to protect the confidentiality of the information; </w:t>
      </w:r>
    </w:p>
    <w:p w14:paraId="58C846FF" w14:textId="53D43F48" w:rsidR="00D74B76" w:rsidRPr="00602C74" w:rsidRDefault="00D74B76" w:rsidP="00D74B76">
      <w:pPr>
        <w:pStyle w:val="psection-2"/>
        <w:rPr>
          <w:sz w:val="22"/>
          <w:lang w:val="en"/>
        </w:rPr>
      </w:pPr>
      <w:r w:rsidRPr="00602C74">
        <w:rPr>
          <w:rStyle w:val="enumxml2"/>
          <w:sz w:val="22"/>
          <w:lang w:val="en"/>
        </w:rPr>
        <w:t>(2)</w:t>
      </w:r>
      <w:r w:rsidRPr="00602C74">
        <w:rPr>
          <w:sz w:val="22"/>
          <w:lang w:val="en"/>
        </w:rPr>
        <w:t xml:space="preserve"> I have determined that the information is not required to be disclosed or otherwise made </w:t>
      </w:r>
      <w:r w:rsidR="00963561" w:rsidRPr="00602C74">
        <w:rPr>
          <w:sz w:val="22"/>
        </w:rPr>
        <w:t>available to the public</w:t>
      </w:r>
      <w:r w:rsidRPr="00602C74">
        <w:rPr>
          <w:sz w:val="22"/>
          <w:lang w:val="en"/>
        </w:rPr>
        <w:t xml:space="preserve"> under any other Federal law; </w:t>
      </w:r>
    </w:p>
    <w:p w14:paraId="16587D6E" w14:textId="77777777" w:rsidR="00D74B76" w:rsidRPr="00602C74" w:rsidRDefault="00D74B76" w:rsidP="00D74B76">
      <w:pPr>
        <w:pStyle w:val="psection-2"/>
        <w:rPr>
          <w:sz w:val="22"/>
          <w:lang w:val="en"/>
        </w:rPr>
      </w:pPr>
      <w:r w:rsidRPr="00602C74">
        <w:rPr>
          <w:rStyle w:val="enumxml2"/>
          <w:sz w:val="22"/>
          <w:lang w:val="en"/>
        </w:rPr>
        <w:t>(3)</w:t>
      </w:r>
      <w:r w:rsidRPr="00602C74">
        <w:rPr>
          <w:sz w:val="22"/>
          <w:lang w:val="en"/>
        </w:rPr>
        <w:t xml:space="preserve"> I have a reasonable basis to conclude that disclosure of the information is likely to cause substantial harm to the competitive position of my company; and </w:t>
      </w:r>
    </w:p>
    <w:p w14:paraId="5BD0A1CD" w14:textId="77777777" w:rsidR="00D74B76" w:rsidRPr="00602C74" w:rsidRDefault="00D74B76" w:rsidP="00D74B76">
      <w:pPr>
        <w:pStyle w:val="psection-2"/>
        <w:rPr>
          <w:sz w:val="22"/>
          <w:lang w:val="en"/>
        </w:rPr>
      </w:pPr>
      <w:r w:rsidRPr="00602C74">
        <w:rPr>
          <w:rStyle w:val="enumxml2"/>
          <w:sz w:val="22"/>
          <w:lang w:val="en"/>
        </w:rPr>
        <w:t>(4)</w:t>
      </w:r>
      <w:r w:rsidRPr="00602C74">
        <w:rPr>
          <w:sz w:val="22"/>
          <w:lang w:val="en"/>
        </w:rPr>
        <w:t xml:space="preserve"> I have a reasonable basis to believe that the information is not readily discoverable through reverse engineering. </w:t>
      </w:r>
    </w:p>
    <w:p w14:paraId="2828827C" w14:textId="157FA4E2" w:rsidR="00126678" w:rsidRDefault="00126678" w:rsidP="00126678">
      <w:r w:rsidRPr="00126678">
        <w:rPr>
          <w:b/>
          <w:i/>
        </w:rPr>
        <w:t>Recordkeeping</w:t>
      </w:r>
      <w:r w:rsidRPr="00126678">
        <w:rPr>
          <w:b/>
        </w:rPr>
        <w:t>.</w:t>
      </w:r>
      <w:r>
        <w:t xml:space="preserve"> Submitters must keep records supporting their submissions for five years. Recordkeeping requirements for NOAs are necessary for EPA compliance and enforcement purposes. </w:t>
      </w:r>
    </w:p>
    <w:p w14:paraId="3BDF7504" w14:textId="77777777" w:rsidR="007A63AA" w:rsidRDefault="007A63AA" w:rsidP="00126678"/>
    <w:p w14:paraId="160597E0" w14:textId="108C80EE" w:rsidR="008D384E" w:rsidRDefault="00126678" w:rsidP="00126678">
      <w:r>
        <w:t>A summary of activity-level unit burdens is included in</w:t>
      </w:r>
      <w:r w:rsidR="007A63AA">
        <w:t xml:space="preserve"> </w:t>
      </w:r>
      <w:r w:rsidR="007A63AA">
        <w:fldChar w:fldCharType="begin"/>
      </w:r>
      <w:r w:rsidR="007A63AA">
        <w:instrText xml:space="preserve"> REF _Ref485024683 \h  \* MERGEFORMAT </w:instrText>
      </w:r>
      <w:r w:rsidR="007A63AA">
        <w:fldChar w:fldCharType="separate"/>
      </w:r>
      <w:r w:rsidR="005C4A2E" w:rsidRPr="00E02B0B">
        <w:t>Table 2</w:t>
      </w:r>
      <w:r w:rsidR="007A63AA">
        <w:fldChar w:fldCharType="end"/>
      </w:r>
      <w:r>
        <w:t xml:space="preserve">. </w:t>
      </w:r>
      <w:bookmarkStart w:id="61" w:name="_Hlk527631161"/>
    </w:p>
    <w:p w14:paraId="0A34A6A2" w14:textId="77777777" w:rsidR="008D384E" w:rsidRDefault="008D384E">
      <w:pPr>
        <w:spacing w:after="200" w:line="276" w:lineRule="auto"/>
      </w:pPr>
      <w:r>
        <w:br w:type="page"/>
      </w:r>
    </w:p>
    <w:p w14:paraId="17FC4B60" w14:textId="77777777" w:rsidR="00126678" w:rsidRDefault="00126678" w:rsidP="00126678"/>
    <w:bookmarkEnd w:id="61"/>
    <w:p w14:paraId="63F6FE1E" w14:textId="6FA01E0D" w:rsidR="00126678" w:rsidRDefault="00126678" w:rsidP="00126678">
      <w:r>
        <w:t xml:space="preserve"> </w:t>
      </w:r>
    </w:p>
    <w:tbl>
      <w:tblPr>
        <w:tblStyle w:val="TableGrid3"/>
        <w:tblW w:w="5000" w:type="pct"/>
        <w:tblLook w:val="04A0" w:firstRow="1" w:lastRow="0" w:firstColumn="1" w:lastColumn="0" w:noHBand="0" w:noVBand="1"/>
      </w:tblPr>
      <w:tblGrid>
        <w:gridCol w:w="3407"/>
        <w:gridCol w:w="1935"/>
        <w:gridCol w:w="1380"/>
        <w:gridCol w:w="2944"/>
      </w:tblGrid>
      <w:tr w:rsidR="007A63AA" w:rsidRPr="007A63AA" w14:paraId="7A0CE15C" w14:textId="77777777" w:rsidTr="007A63AA">
        <w:trPr>
          <w:cantSplit/>
          <w:tblHeader/>
        </w:trPr>
        <w:tc>
          <w:tcPr>
            <w:tcW w:w="5000" w:type="pct"/>
            <w:gridSpan w:val="4"/>
            <w:tcBorders>
              <w:top w:val="nil"/>
              <w:left w:val="nil"/>
              <w:bottom w:val="single" w:sz="12" w:space="0" w:color="auto"/>
              <w:right w:val="nil"/>
            </w:tcBorders>
            <w:shd w:val="clear" w:color="auto" w:fill="auto"/>
            <w:vAlign w:val="center"/>
          </w:tcPr>
          <w:p w14:paraId="1276FE77" w14:textId="77777777" w:rsidR="007A63AA" w:rsidRPr="007A63AA" w:rsidRDefault="007A63AA" w:rsidP="009C01F1">
            <w:pPr>
              <w:keepNext/>
              <w:keepLines/>
              <w:widowControl w:val="0"/>
              <w:numPr>
                <w:ilvl w:val="0"/>
                <w:numId w:val="9"/>
              </w:numPr>
              <w:tabs>
                <w:tab w:val="clear" w:pos="432"/>
                <w:tab w:val="num" w:pos="-18"/>
                <w:tab w:val="left" w:pos="1440"/>
              </w:tabs>
              <w:spacing w:after="180" w:line="264" w:lineRule="auto"/>
              <w:ind w:left="-18" w:hanging="990"/>
              <w:rPr>
                <w:rFonts w:ascii="Arial Narrow" w:hAnsi="Arial Narrow"/>
                <w:b/>
                <w:bCs/>
                <w:sz w:val="22"/>
                <w:szCs w:val="22"/>
              </w:rPr>
            </w:pPr>
            <w:bookmarkStart w:id="62" w:name="_Ref485024683"/>
            <w:r w:rsidRPr="007A63AA">
              <w:rPr>
                <w:rFonts w:ascii="Arial" w:hAnsi="Arial"/>
                <w:b/>
                <w:bCs/>
                <w:sz w:val="22"/>
                <w:szCs w:val="22"/>
              </w:rPr>
              <w:t xml:space="preserve">Table </w:t>
            </w:r>
            <w:r w:rsidRPr="007A63AA">
              <w:rPr>
                <w:rFonts w:ascii="Arial" w:hAnsi="Arial"/>
                <w:b/>
                <w:bCs/>
                <w:szCs w:val="22"/>
              </w:rPr>
              <w:fldChar w:fldCharType="begin"/>
            </w:r>
            <w:r w:rsidRPr="007A63AA">
              <w:rPr>
                <w:rFonts w:ascii="Arial" w:hAnsi="Arial"/>
                <w:b/>
                <w:bCs/>
                <w:sz w:val="22"/>
                <w:szCs w:val="22"/>
              </w:rPr>
              <w:instrText xml:space="preserve"> SEQ Table \* ARABIC </w:instrText>
            </w:r>
            <w:r w:rsidRPr="007A63AA">
              <w:rPr>
                <w:rFonts w:ascii="Arial" w:hAnsi="Arial"/>
                <w:b/>
                <w:bCs/>
                <w:szCs w:val="22"/>
              </w:rPr>
              <w:fldChar w:fldCharType="separate"/>
            </w:r>
            <w:r w:rsidR="005C4A2E">
              <w:rPr>
                <w:rFonts w:ascii="Arial" w:hAnsi="Arial"/>
                <w:b/>
                <w:bCs/>
                <w:noProof/>
                <w:sz w:val="22"/>
                <w:szCs w:val="22"/>
              </w:rPr>
              <w:t>2</w:t>
            </w:r>
            <w:r w:rsidRPr="007A63AA">
              <w:rPr>
                <w:rFonts w:ascii="Arial" w:hAnsi="Arial"/>
                <w:b/>
                <w:bCs/>
                <w:noProof/>
                <w:szCs w:val="22"/>
              </w:rPr>
              <w:fldChar w:fldCharType="end"/>
            </w:r>
            <w:bookmarkEnd w:id="62"/>
            <w:r w:rsidRPr="007A63AA">
              <w:rPr>
                <w:rFonts w:ascii="Arial" w:hAnsi="Arial"/>
                <w:b/>
                <w:bCs/>
                <w:sz w:val="22"/>
                <w:szCs w:val="22"/>
              </w:rPr>
              <w:t>. Activity-Level Unit Burdens</w:t>
            </w:r>
          </w:p>
        </w:tc>
      </w:tr>
      <w:tr w:rsidR="008046B9" w:rsidRPr="007A63AA" w14:paraId="25CDA27B" w14:textId="77777777" w:rsidTr="008046B9">
        <w:trPr>
          <w:cantSplit/>
          <w:tblHeader/>
        </w:trPr>
        <w:tc>
          <w:tcPr>
            <w:tcW w:w="1762" w:type="pct"/>
            <w:tcBorders>
              <w:top w:val="single" w:sz="12" w:space="0" w:color="auto"/>
              <w:left w:val="single" w:sz="12" w:space="0" w:color="auto"/>
              <w:bottom w:val="single" w:sz="12" w:space="0" w:color="auto"/>
            </w:tcBorders>
            <w:shd w:val="clear" w:color="auto" w:fill="C3C6A8"/>
            <w:vAlign w:val="center"/>
          </w:tcPr>
          <w:p w14:paraId="5B2E8739" w14:textId="77777777" w:rsidR="007A63AA" w:rsidRPr="007A63AA" w:rsidRDefault="007A63AA" w:rsidP="007A63AA">
            <w:pPr>
              <w:keepNext/>
              <w:keepLines/>
              <w:spacing w:beforeLines="20" w:before="48" w:afterLines="20" w:after="48"/>
              <w:jc w:val="center"/>
              <w:rPr>
                <w:b/>
              </w:rPr>
            </w:pPr>
            <w:r w:rsidRPr="007A63AA">
              <w:rPr>
                <w:b/>
              </w:rPr>
              <w:t>Description</w:t>
            </w:r>
          </w:p>
        </w:tc>
        <w:tc>
          <w:tcPr>
            <w:tcW w:w="1001" w:type="pct"/>
            <w:tcBorders>
              <w:top w:val="single" w:sz="12" w:space="0" w:color="auto"/>
              <w:bottom w:val="single" w:sz="12" w:space="0" w:color="auto"/>
            </w:tcBorders>
            <w:shd w:val="clear" w:color="auto" w:fill="C3C6A8"/>
            <w:vAlign w:val="center"/>
          </w:tcPr>
          <w:p w14:paraId="230678D7" w14:textId="77777777" w:rsidR="007A63AA" w:rsidRPr="007A63AA" w:rsidRDefault="007A63AA" w:rsidP="007A63AA">
            <w:pPr>
              <w:keepNext/>
              <w:keepLines/>
              <w:spacing w:beforeLines="20" w:before="48" w:afterLines="20" w:after="48"/>
              <w:jc w:val="center"/>
              <w:rPr>
                <w:b/>
              </w:rPr>
            </w:pPr>
            <w:r w:rsidRPr="007A63AA">
              <w:rPr>
                <w:b/>
              </w:rPr>
              <w:t>Activity-Level Unit Burden (hours)</w:t>
            </w:r>
          </w:p>
        </w:tc>
        <w:tc>
          <w:tcPr>
            <w:tcW w:w="714" w:type="pct"/>
            <w:tcBorders>
              <w:top w:val="single" w:sz="12" w:space="0" w:color="auto"/>
              <w:bottom w:val="single" w:sz="12" w:space="0" w:color="auto"/>
            </w:tcBorders>
            <w:shd w:val="clear" w:color="auto" w:fill="C3C6A8"/>
            <w:vAlign w:val="center"/>
          </w:tcPr>
          <w:p w14:paraId="4A568F7F" w14:textId="77777777" w:rsidR="007A63AA" w:rsidRPr="007A63AA" w:rsidRDefault="007A63AA" w:rsidP="007A63AA">
            <w:pPr>
              <w:keepNext/>
              <w:keepLines/>
              <w:spacing w:beforeLines="20" w:before="48" w:afterLines="20" w:after="48"/>
              <w:jc w:val="center"/>
              <w:rPr>
                <w:b/>
              </w:rPr>
            </w:pPr>
            <w:r w:rsidRPr="007A63AA">
              <w:rPr>
                <w:b/>
              </w:rPr>
              <w:t>Unit of Analysis</w:t>
            </w:r>
          </w:p>
        </w:tc>
        <w:tc>
          <w:tcPr>
            <w:tcW w:w="1524" w:type="pct"/>
            <w:tcBorders>
              <w:top w:val="single" w:sz="12" w:space="0" w:color="auto"/>
              <w:bottom w:val="single" w:sz="12" w:space="0" w:color="auto"/>
              <w:right w:val="single" w:sz="12" w:space="0" w:color="auto"/>
            </w:tcBorders>
            <w:shd w:val="clear" w:color="auto" w:fill="C3C6A8"/>
            <w:vAlign w:val="center"/>
          </w:tcPr>
          <w:p w14:paraId="75CBC83C" w14:textId="45F41054" w:rsidR="007A63AA" w:rsidRPr="007A63AA" w:rsidRDefault="007A63AA" w:rsidP="007A63AA">
            <w:pPr>
              <w:keepNext/>
              <w:keepLines/>
              <w:spacing w:beforeLines="20" w:before="48" w:afterLines="20" w:after="48"/>
              <w:jc w:val="center"/>
              <w:rPr>
                <w:b/>
              </w:rPr>
            </w:pPr>
            <w:r w:rsidRPr="007A63AA">
              <w:rPr>
                <w:b/>
              </w:rPr>
              <w:t>Source</w:t>
            </w:r>
            <w:r w:rsidR="00DB16AE">
              <w:rPr>
                <w:b/>
              </w:rPr>
              <w:t>(s)</w:t>
            </w:r>
          </w:p>
        </w:tc>
      </w:tr>
      <w:tr w:rsidR="008046B9" w:rsidRPr="007A63AA" w14:paraId="074240C0" w14:textId="77777777" w:rsidTr="008046B9">
        <w:trPr>
          <w:cantSplit/>
        </w:trPr>
        <w:tc>
          <w:tcPr>
            <w:tcW w:w="1762" w:type="pct"/>
            <w:tcBorders>
              <w:top w:val="single" w:sz="12" w:space="0" w:color="auto"/>
              <w:left w:val="single" w:sz="12" w:space="0" w:color="auto"/>
            </w:tcBorders>
            <w:vAlign w:val="center"/>
          </w:tcPr>
          <w:p w14:paraId="5CDF05C0" w14:textId="77777777" w:rsidR="007A63AA" w:rsidRPr="007A63AA" w:rsidRDefault="007A63AA" w:rsidP="007A63AA">
            <w:pPr>
              <w:keepLines/>
              <w:spacing w:beforeLines="20" w:before="48" w:afterLines="20" w:after="48"/>
              <w:rPr>
                <w:rFonts w:ascii="Arial Narrow" w:hAnsi="Arial Narrow"/>
                <w:sz w:val="18"/>
                <w:szCs w:val="18"/>
              </w:rPr>
            </w:pPr>
            <w:r w:rsidRPr="007A63AA">
              <w:rPr>
                <w:rFonts w:ascii="Arial Narrow" w:hAnsi="Arial Narrow"/>
                <w:sz w:val="18"/>
                <w:szCs w:val="18"/>
              </w:rPr>
              <w:t>Rule familiarization</w:t>
            </w:r>
          </w:p>
        </w:tc>
        <w:tc>
          <w:tcPr>
            <w:tcW w:w="1001" w:type="pct"/>
            <w:tcBorders>
              <w:top w:val="single" w:sz="12" w:space="0" w:color="auto"/>
            </w:tcBorders>
            <w:vAlign w:val="center"/>
          </w:tcPr>
          <w:p w14:paraId="72EC7203" w14:textId="77777777" w:rsidR="007A63AA" w:rsidRPr="007A63AA" w:rsidRDefault="007A63AA" w:rsidP="007A63AA">
            <w:pPr>
              <w:keepLines/>
              <w:spacing w:beforeLines="20" w:before="48" w:afterLines="20" w:after="48"/>
              <w:jc w:val="center"/>
              <w:rPr>
                <w:rFonts w:ascii="Arial Narrow" w:hAnsi="Arial Narrow"/>
                <w:sz w:val="18"/>
                <w:szCs w:val="18"/>
              </w:rPr>
            </w:pPr>
            <w:r w:rsidRPr="007A63AA">
              <w:rPr>
                <w:rFonts w:ascii="Arial Narrow" w:hAnsi="Arial Narrow"/>
                <w:sz w:val="18"/>
                <w:szCs w:val="18"/>
              </w:rPr>
              <w:t>3.000</w:t>
            </w:r>
          </w:p>
        </w:tc>
        <w:tc>
          <w:tcPr>
            <w:tcW w:w="714" w:type="pct"/>
            <w:tcBorders>
              <w:top w:val="single" w:sz="12" w:space="0" w:color="auto"/>
            </w:tcBorders>
            <w:vAlign w:val="center"/>
          </w:tcPr>
          <w:p w14:paraId="73DEC011" w14:textId="77777777" w:rsidR="007A63AA" w:rsidRPr="007A63AA" w:rsidRDefault="007A63AA" w:rsidP="007A63AA">
            <w:pPr>
              <w:keepLines/>
              <w:spacing w:beforeLines="20" w:before="48" w:afterLines="20" w:after="48"/>
              <w:jc w:val="center"/>
              <w:rPr>
                <w:rFonts w:ascii="Arial Narrow" w:hAnsi="Arial Narrow"/>
                <w:sz w:val="18"/>
                <w:szCs w:val="18"/>
              </w:rPr>
            </w:pPr>
            <w:r w:rsidRPr="007A63AA">
              <w:rPr>
                <w:rFonts w:ascii="Arial Narrow" w:hAnsi="Arial Narrow"/>
                <w:sz w:val="18"/>
                <w:szCs w:val="18"/>
              </w:rPr>
              <w:t>Per company</w:t>
            </w:r>
          </w:p>
        </w:tc>
        <w:tc>
          <w:tcPr>
            <w:tcW w:w="1524" w:type="pct"/>
            <w:tcBorders>
              <w:top w:val="single" w:sz="12" w:space="0" w:color="auto"/>
              <w:right w:val="single" w:sz="12" w:space="0" w:color="auto"/>
            </w:tcBorders>
            <w:vAlign w:val="bottom"/>
          </w:tcPr>
          <w:p w14:paraId="437B4A6E" w14:textId="048C9B03" w:rsidR="007A63AA" w:rsidRPr="007A63AA" w:rsidRDefault="00963561" w:rsidP="009C01F1">
            <w:pPr>
              <w:keepLines/>
              <w:numPr>
                <w:ilvl w:val="0"/>
                <w:numId w:val="10"/>
              </w:numPr>
              <w:spacing w:beforeLines="20" w:before="48" w:afterLines="20" w:after="48" w:line="264" w:lineRule="auto"/>
              <w:ind w:left="224" w:hanging="224"/>
              <w:rPr>
                <w:rFonts w:ascii="Arial Narrow" w:hAnsi="Arial Narrow"/>
                <w:sz w:val="18"/>
                <w:szCs w:val="18"/>
              </w:rPr>
            </w:pPr>
            <w:r>
              <w:rPr>
                <w:rFonts w:ascii="Arial Narrow" w:hAnsi="Arial Narrow"/>
                <w:sz w:val="18"/>
                <w:szCs w:val="18"/>
              </w:rPr>
              <w:t>Active-Inactive</w:t>
            </w:r>
            <w:r w:rsidR="00E02B0B">
              <w:rPr>
                <w:rFonts w:ascii="Arial Narrow" w:hAnsi="Arial Narrow"/>
                <w:sz w:val="18"/>
                <w:szCs w:val="18"/>
              </w:rPr>
              <w:t xml:space="preserve"> Rule EA</w:t>
            </w:r>
            <w:r w:rsidR="007A63AA" w:rsidRPr="007A63AA">
              <w:rPr>
                <w:rFonts w:ascii="Arial Narrow" w:hAnsi="Arial Narrow"/>
                <w:sz w:val="18"/>
                <w:szCs w:val="18"/>
              </w:rPr>
              <w:t xml:space="preserve"> </w:t>
            </w:r>
            <w:r w:rsidR="007A63AA" w:rsidRPr="007A63AA">
              <w:rPr>
                <w:rFonts w:ascii="Arial Narrow" w:hAnsi="Arial Narrow"/>
                <w:sz w:val="18"/>
                <w:szCs w:val="18"/>
              </w:rPr>
              <w:fldChar w:fldCharType="begin"/>
            </w:r>
            <w:r w:rsidR="003B54E8">
              <w:rPr>
                <w:rFonts w:ascii="Arial Narrow" w:hAnsi="Arial Narrow"/>
                <w:sz w:val="18"/>
                <w:szCs w:val="18"/>
              </w:rPr>
              <w:instrText xml:space="preserve"> ADDIN ZOTERO_ITEM CSL_CITATION {"citationID":"xNaWZE7n","properties":{"formattedCitation":"(EPA, 2017)","plainCitation":"(EPA, 2017)","noteIndex":0},"citationItems":[{"id":579,"uris":["http://zotero.org/groups/1140234/items/6QCNV48F"],"uri":["http://zotero.org/groups/1140234/items/6QCNV48F"],"itemData":{"id":579,"type":"report","title":"Burden and Cost Report for the Final Rule: TSCA Inventory Notification Requirements. Docket Number EPA-HQ-OPPT-2016-0426 (August 11, 2017)","author":[{"literal":"EPA"}],"issued":{"date-parts":[["2017"]]}}}],"schema":"https://github.com/citation-style-language/schema/raw/master/csl-citation.json"} </w:instrText>
            </w:r>
            <w:r w:rsidR="007A63AA" w:rsidRPr="007A63AA">
              <w:rPr>
                <w:rFonts w:ascii="Arial Narrow" w:hAnsi="Arial Narrow"/>
                <w:sz w:val="18"/>
                <w:szCs w:val="18"/>
              </w:rPr>
              <w:fldChar w:fldCharType="separate"/>
            </w:r>
            <w:r w:rsidR="001D4BD9" w:rsidRPr="008046B9">
              <w:rPr>
                <w:rFonts w:ascii="Arial Narrow" w:hAnsi="Arial Narrow"/>
                <w:sz w:val="18"/>
              </w:rPr>
              <w:t>(EPA, 2017)</w:t>
            </w:r>
            <w:r w:rsidR="007A63AA" w:rsidRPr="007A63AA">
              <w:rPr>
                <w:rFonts w:ascii="Arial Narrow" w:hAnsi="Arial Narrow"/>
                <w:sz w:val="18"/>
                <w:szCs w:val="18"/>
              </w:rPr>
              <w:fldChar w:fldCharType="end"/>
            </w:r>
          </w:p>
          <w:p w14:paraId="6BE33A58" w14:textId="0EAD38CB" w:rsidR="007A63AA" w:rsidRPr="007A63AA" w:rsidRDefault="007A63AA" w:rsidP="00FA37A2">
            <w:pPr>
              <w:keepLines/>
              <w:numPr>
                <w:ilvl w:val="0"/>
                <w:numId w:val="10"/>
              </w:numPr>
              <w:spacing w:beforeLines="20" w:before="48" w:afterLines="20" w:after="48" w:line="264" w:lineRule="auto"/>
              <w:ind w:left="224" w:hanging="224"/>
              <w:rPr>
                <w:rFonts w:ascii="Arial Narrow" w:hAnsi="Arial Narrow"/>
                <w:sz w:val="18"/>
                <w:szCs w:val="18"/>
              </w:rPr>
            </w:pPr>
            <w:r w:rsidRPr="007A63AA">
              <w:rPr>
                <w:rFonts w:ascii="Arial Narrow" w:hAnsi="Arial Narrow"/>
                <w:sz w:val="18"/>
                <w:szCs w:val="18"/>
              </w:rPr>
              <w:t xml:space="preserve">Agency </w:t>
            </w:r>
            <w:r w:rsidR="00FA37A2">
              <w:rPr>
                <w:rFonts w:ascii="Arial Narrow" w:hAnsi="Arial Narrow"/>
                <w:sz w:val="18"/>
                <w:szCs w:val="18"/>
              </w:rPr>
              <w:t>estimate</w:t>
            </w:r>
          </w:p>
        </w:tc>
      </w:tr>
      <w:tr w:rsidR="008046B9" w:rsidRPr="007A63AA" w14:paraId="049F7064" w14:textId="77777777" w:rsidTr="008046B9">
        <w:trPr>
          <w:cantSplit/>
        </w:trPr>
        <w:tc>
          <w:tcPr>
            <w:tcW w:w="1762" w:type="pct"/>
            <w:tcBorders>
              <w:left w:val="single" w:sz="12" w:space="0" w:color="auto"/>
            </w:tcBorders>
            <w:shd w:val="clear" w:color="auto" w:fill="E7E8E8"/>
            <w:vAlign w:val="center"/>
          </w:tcPr>
          <w:p w14:paraId="13BAC61E" w14:textId="77777777" w:rsidR="007A63AA" w:rsidRPr="007A63AA" w:rsidRDefault="007A63AA" w:rsidP="007A63AA">
            <w:pPr>
              <w:keepLines/>
              <w:spacing w:beforeLines="20" w:before="48" w:afterLines="20" w:after="48"/>
              <w:rPr>
                <w:rFonts w:ascii="Arial Narrow" w:hAnsi="Arial Narrow"/>
                <w:sz w:val="18"/>
                <w:szCs w:val="18"/>
              </w:rPr>
            </w:pPr>
            <w:r w:rsidRPr="007A63AA">
              <w:rPr>
                <w:rFonts w:ascii="Arial Narrow" w:hAnsi="Arial Narrow"/>
                <w:sz w:val="18"/>
                <w:szCs w:val="18"/>
              </w:rPr>
              <w:t>Compliance determination</w:t>
            </w:r>
          </w:p>
        </w:tc>
        <w:tc>
          <w:tcPr>
            <w:tcW w:w="1001" w:type="pct"/>
            <w:shd w:val="clear" w:color="auto" w:fill="E7E8E8"/>
            <w:vAlign w:val="center"/>
          </w:tcPr>
          <w:p w14:paraId="7F4F217F" w14:textId="77777777" w:rsidR="007A63AA" w:rsidRPr="007A63AA" w:rsidRDefault="007A63AA" w:rsidP="007A63AA">
            <w:pPr>
              <w:keepLines/>
              <w:spacing w:beforeLines="20" w:before="48" w:afterLines="20" w:after="48"/>
              <w:jc w:val="center"/>
              <w:rPr>
                <w:rFonts w:ascii="Arial Narrow" w:hAnsi="Arial Narrow"/>
                <w:sz w:val="18"/>
                <w:szCs w:val="18"/>
              </w:rPr>
            </w:pPr>
            <w:r w:rsidRPr="007A63AA">
              <w:rPr>
                <w:rFonts w:ascii="Arial Narrow" w:hAnsi="Arial Narrow"/>
                <w:sz w:val="18"/>
                <w:szCs w:val="18"/>
              </w:rPr>
              <w:t>Estimated at zero</w:t>
            </w:r>
          </w:p>
        </w:tc>
        <w:tc>
          <w:tcPr>
            <w:tcW w:w="714" w:type="pct"/>
            <w:shd w:val="clear" w:color="auto" w:fill="E7E8E8"/>
            <w:vAlign w:val="center"/>
          </w:tcPr>
          <w:p w14:paraId="19C4F29C" w14:textId="77777777" w:rsidR="007A63AA" w:rsidRPr="007A63AA" w:rsidRDefault="007A63AA" w:rsidP="007A63AA">
            <w:pPr>
              <w:keepLines/>
              <w:spacing w:beforeLines="20" w:before="48" w:afterLines="20" w:after="48"/>
              <w:jc w:val="center"/>
              <w:rPr>
                <w:rFonts w:ascii="Arial Narrow" w:hAnsi="Arial Narrow"/>
                <w:sz w:val="18"/>
                <w:szCs w:val="18"/>
              </w:rPr>
            </w:pPr>
            <w:r w:rsidRPr="007A63AA">
              <w:rPr>
                <w:rFonts w:ascii="Arial Narrow" w:hAnsi="Arial Narrow"/>
                <w:sz w:val="18"/>
                <w:szCs w:val="18"/>
              </w:rPr>
              <w:t>Per company</w:t>
            </w:r>
          </w:p>
        </w:tc>
        <w:tc>
          <w:tcPr>
            <w:tcW w:w="1524" w:type="pct"/>
            <w:tcBorders>
              <w:right w:val="single" w:sz="12" w:space="0" w:color="auto"/>
            </w:tcBorders>
            <w:shd w:val="clear" w:color="auto" w:fill="E7E8E8"/>
            <w:vAlign w:val="center"/>
          </w:tcPr>
          <w:p w14:paraId="339C0CAF" w14:textId="2668810A" w:rsidR="007A63AA" w:rsidRPr="007A63AA" w:rsidRDefault="007A63AA" w:rsidP="007A63AA">
            <w:pPr>
              <w:keepLines/>
              <w:spacing w:beforeLines="20" w:before="48" w:afterLines="20" w:after="48"/>
              <w:rPr>
                <w:rFonts w:ascii="Arial Narrow" w:hAnsi="Arial Narrow"/>
                <w:sz w:val="18"/>
                <w:szCs w:val="18"/>
              </w:rPr>
            </w:pPr>
            <w:r w:rsidRPr="007A63AA">
              <w:rPr>
                <w:rFonts w:ascii="Arial Narrow" w:hAnsi="Arial Narrow"/>
                <w:sz w:val="18"/>
                <w:szCs w:val="18"/>
              </w:rPr>
              <w:t>Agency</w:t>
            </w:r>
            <w:r w:rsidR="00FA37A2">
              <w:rPr>
                <w:rFonts w:ascii="Arial Narrow" w:hAnsi="Arial Narrow"/>
                <w:sz w:val="18"/>
                <w:szCs w:val="18"/>
              </w:rPr>
              <w:t xml:space="preserve"> estimate</w:t>
            </w:r>
          </w:p>
        </w:tc>
      </w:tr>
      <w:tr w:rsidR="008046B9" w:rsidRPr="007A63AA" w14:paraId="68950BA5" w14:textId="77777777" w:rsidTr="008046B9">
        <w:trPr>
          <w:cantSplit/>
        </w:trPr>
        <w:tc>
          <w:tcPr>
            <w:tcW w:w="1762" w:type="pct"/>
            <w:tcBorders>
              <w:top w:val="single" w:sz="4" w:space="0" w:color="auto"/>
              <w:left w:val="single" w:sz="12" w:space="0" w:color="auto"/>
              <w:bottom w:val="single" w:sz="4" w:space="0" w:color="auto"/>
              <w:right w:val="nil"/>
            </w:tcBorders>
            <w:shd w:val="clear" w:color="auto" w:fill="898D8D"/>
            <w:vAlign w:val="center"/>
          </w:tcPr>
          <w:p w14:paraId="73A7657F" w14:textId="77777777" w:rsidR="007A63AA" w:rsidRPr="007A63AA" w:rsidRDefault="007A63AA" w:rsidP="007A63AA">
            <w:pPr>
              <w:keepLines/>
              <w:spacing w:beforeLines="20" w:before="48" w:afterLines="20" w:after="48"/>
              <w:rPr>
                <w:rFonts w:ascii="Arial Narrow" w:hAnsi="Arial Narrow"/>
                <w:sz w:val="18"/>
                <w:szCs w:val="18"/>
              </w:rPr>
            </w:pPr>
            <w:r w:rsidRPr="007A63AA">
              <w:rPr>
                <w:rFonts w:ascii="Arial Narrow" w:hAnsi="Arial Narrow"/>
                <w:b/>
                <w:color w:val="F0F4F6"/>
                <w:sz w:val="18"/>
                <w:szCs w:val="18"/>
              </w:rPr>
              <w:t>Nominal Single-Chemical Submission</w:t>
            </w:r>
          </w:p>
        </w:tc>
        <w:tc>
          <w:tcPr>
            <w:tcW w:w="1001" w:type="pct"/>
            <w:tcBorders>
              <w:top w:val="single" w:sz="4" w:space="0" w:color="auto"/>
              <w:left w:val="nil"/>
              <w:bottom w:val="single" w:sz="4" w:space="0" w:color="auto"/>
              <w:right w:val="nil"/>
            </w:tcBorders>
            <w:shd w:val="clear" w:color="auto" w:fill="898D8D"/>
          </w:tcPr>
          <w:p w14:paraId="77EDA9AD" w14:textId="77777777" w:rsidR="007A63AA" w:rsidRPr="007A63AA" w:rsidRDefault="007A63AA" w:rsidP="007A63AA">
            <w:pPr>
              <w:keepLines/>
              <w:spacing w:beforeLines="20" w:before="48" w:afterLines="20" w:after="48"/>
              <w:rPr>
                <w:rFonts w:ascii="Arial Narrow" w:hAnsi="Arial Narrow"/>
                <w:sz w:val="18"/>
                <w:szCs w:val="18"/>
              </w:rPr>
            </w:pPr>
          </w:p>
        </w:tc>
        <w:tc>
          <w:tcPr>
            <w:tcW w:w="714" w:type="pct"/>
            <w:tcBorders>
              <w:top w:val="single" w:sz="4" w:space="0" w:color="auto"/>
              <w:left w:val="nil"/>
              <w:bottom w:val="single" w:sz="4" w:space="0" w:color="auto"/>
              <w:right w:val="nil"/>
            </w:tcBorders>
            <w:shd w:val="clear" w:color="auto" w:fill="898D8D"/>
          </w:tcPr>
          <w:p w14:paraId="73934B74" w14:textId="77777777" w:rsidR="007A63AA" w:rsidRPr="007A63AA" w:rsidRDefault="007A63AA" w:rsidP="007A63AA">
            <w:pPr>
              <w:keepLines/>
              <w:spacing w:beforeLines="20" w:before="48" w:afterLines="20" w:after="48"/>
              <w:rPr>
                <w:rFonts w:ascii="Arial Narrow" w:hAnsi="Arial Narrow"/>
                <w:sz w:val="18"/>
                <w:szCs w:val="18"/>
              </w:rPr>
            </w:pPr>
          </w:p>
        </w:tc>
        <w:tc>
          <w:tcPr>
            <w:tcW w:w="1524" w:type="pct"/>
            <w:tcBorders>
              <w:top w:val="single" w:sz="4" w:space="0" w:color="auto"/>
              <w:left w:val="nil"/>
              <w:bottom w:val="single" w:sz="4" w:space="0" w:color="auto"/>
              <w:right w:val="single" w:sz="12" w:space="0" w:color="auto"/>
            </w:tcBorders>
            <w:shd w:val="clear" w:color="auto" w:fill="898D8D"/>
          </w:tcPr>
          <w:p w14:paraId="74C299D9" w14:textId="77777777" w:rsidR="007A63AA" w:rsidRPr="007A63AA" w:rsidRDefault="007A63AA" w:rsidP="007A63AA">
            <w:pPr>
              <w:keepLines/>
              <w:spacing w:beforeLines="20" w:before="48" w:afterLines="20" w:after="48"/>
              <w:rPr>
                <w:rFonts w:ascii="Arial Narrow" w:hAnsi="Arial Narrow"/>
                <w:sz w:val="18"/>
                <w:szCs w:val="18"/>
              </w:rPr>
            </w:pPr>
          </w:p>
        </w:tc>
      </w:tr>
      <w:tr w:rsidR="008046B9" w:rsidRPr="007A63AA" w14:paraId="6393348A" w14:textId="77777777" w:rsidTr="008046B9">
        <w:trPr>
          <w:cantSplit/>
        </w:trPr>
        <w:tc>
          <w:tcPr>
            <w:tcW w:w="1762" w:type="pct"/>
            <w:tcBorders>
              <w:left w:val="single" w:sz="12" w:space="0" w:color="auto"/>
              <w:bottom w:val="nil"/>
            </w:tcBorders>
            <w:shd w:val="clear" w:color="auto" w:fill="E7E8E8"/>
            <w:vAlign w:val="center"/>
          </w:tcPr>
          <w:p w14:paraId="38ECB5D9" w14:textId="77777777" w:rsidR="007A63AA" w:rsidRPr="007A63AA" w:rsidDel="00C61E71" w:rsidRDefault="007A63AA" w:rsidP="007A63AA">
            <w:pPr>
              <w:keepLines/>
              <w:spacing w:beforeLines="20" w:before="48" w:afterLines="20" w:after="48"/>
              <w:jc w:val="center"/>
              <w:rPr>
                <w:rFonts w:ascii="Arial Narrow" w:hAnsi="Arial Narrow"/>
                <w:sz w:val="18"/>
                <w:szCs w:val="18"/>
              </w:rPr>
            </w:pPr>
            <w:r w:rsidRPr="007A63AA">
              <w:rPr>
                <w:rFonts w:ascii="Arial Narrow" w:hAnsi="Arial Narrow"/>
                <w:sz w:val="18"/>
                <w:szCs w:val="18"/>
              </w:rPr>
              <w:t>Substantiation via Previous Reference</w:t>
            </w:r>
          </w:p>
        </w:tc>
        <w:tc>
          <w:tcPr>
            <w:tcW w:w="1001" w:type="pct"/>
            <w:tcBorders>
              <w:bottom w:val="nil"/>
            </w:tcBorders>
            <w:shd w:val="clear" w:color="auto" w:fill="E7E8E8"/>
            <w:vAlign w:val="center"/>
          </w:tcPr>
          <w:p w14:paraId="6C0917CD" w14:textId="77777777" w:rsidR="007A63AA" w:rsidRPr="007A63AA" w:rsidRDefault="007A63AA" w:rsidP="007A63AA">
            <w:pPr>
              <w:keepLines/>
              <w:spacing w:beforeLines="20" w:before="48" w:afterLines="20" w:after="48"/>
              <w:jc w:val="center"/>
              <w:rPr>
                <w:rFonts w:ascii="Arial Narrow" w:hAnsi="Arial Narrow"/>
                <w:sz w:val="18"/>
                <w:szCs w:val="18"/>
              </w:rPr>
            </w:pPr>
            <w:r w:rsidRPr="007A63AA">
              <w:rPr>
                <w:rFonts w:ascii="Arial Narrow" w:hAnsi="Arial Narrow"/>
                <w:sz w:val="18"/>
                <w:szCs w:val="18"/>
              </w:rPr>
              <w:t>0.500</w:t>
            </w:r>
          </w:p>
        </w:tc>
        <w:tc>
          <w:tcPr>
            <w:tcW w:w="714" w:type="pct"/>
            <w:tcBorders>
              <w:bottom w:val="nil"/>
            </w:tcBorders>
            <w:shd w:val="clear" w:color="auto" w:fill="E7E8E8"/>
            <w:vAlign w:val="center"/>
          </w:tcPr>
          <w:p w14:paraId="33E308BD" w14:textId="77777777" w:rsidR="007A63AA" w:rsidRPr="007A63AA" w:rsidRDefault="007A63AA" w:rsidP="007A63AA">
            <w:pPr>
              <w:keepLines/>
              <w:spacing w:beforeLines="20" w:before="48" w:afterLines="20" w:after="48"/>
              <w:jc w:val="center"/>
              <w:rPr>
                <w:rFonts w:ascii="Arial Narrow" w:hAnsi="Arial Narrow"/>
                <w:sz w:val="18"/>
                <w:szCs w:val="18"/>
              </w:rPr>
            </w:pPr>
            <w:r w:rsidRPr="007A63AA">
              <w:rPr>
                <w:rFonts w:ascii="Arial Narrow" w:hAnsi="Arial Narrow"/>
                <w:sz w:val="18"/>
                <w:szCs w:val="18"/>
              </w:rPr>
              <w:t>Per chemical</w:t>
            </w:r>
          </w:p>
        </w:tc>
        <w:tc>
          <w:tcPr>
            <w:tcW w:w="1524" w:type="pct"/>
            <w:tcBorders>
              <w:bottom w:val="nil"/>
              <w:right w:val="single" w:sz="12" w:space="0" w:color="auto"/>
            </w:tcBorders>
            <w:shd w:val="clear" w:color="auto" w:fill="E7E8E8"/>
            <w:vAlign w:val="center"/>
          </w:tcPr>
          <w:p w14:paraId="27D2F87A" w14:textId="122B2671" w:rsidR="007A63AA" w:rsidRPr="007A63AA" w:rsidRDefault="007A63AA" w:rsidP="007A63AA">
            <w:pPr>
              <w:keepLines/>
              <w:spacing w:beforeLines="20" w:before="48" w:afterLines="20" w:after="48"/>
              <w:rPr>
                <w:rFonts w:ascii="Arial Narrow" w:hAnsi="Arial Narrow"/>
                <w:sz w:val="18"/>
                <w:szCs w:val="18"/>
              </w:rPr>
            </w:pPr>
            <w:r w:rsidRPr="007A63AA">
              <w:rPr>
                <w:rFonts w:ascii="Arial Narrow" w:hAnsi="Arial Narrow"/>
                <w:sz w:val="18"/>
                <w:szCs w:val="18"/>
              </w:rPr>
              <w:t xml:space="preserve">Agency </w:t>
            </w:r>
            <w:r w:rsidR="00FA37A2">
              <w:rPr>
                <w:rFonts w:ascii="Arial Narrow" w:hAnsi="Arial Narrow"/>
                <w:sz w:val="18"/>
                <w:szCs w:val="18"/>
              </w:rPr>
              <w:t>estimate</w:t>
            </w:r>
          </w:p>
        </w:tc>
      </w:tr>
      <w:tr w:rsidR="008046B9" w:rsidRPr="007A63AA" w14:paraId="66474EFA" w14:textId="77777777" w:rsidTr="008046B9">
        <w:trPr>
          <w:cantSplit/>
        </w:trPr>
        <w:tc>
          <w:tcPr>
            <w:tcW w:w="1762" w:type="pct"/>
            <w:tcBorders>
              <w:top w:val="nil"/>
              <w:left w:val="single" w:sz="12" w:space="0" w:color="auto"/>
              <w:bottom w:val="nil"/>
            </w:tcBorders>
            <w:shd w:val="clear" w:color="auto" w:fill="E7E8E8"/>
            <w:vAlign w:val="center"/>
          </w:tcPr>
          <w:p w14:paraId="21537245" w14:textId="77777777" w:rsidR="007A63AA" w:rsidRPr="007A63AA" w:rsidRDefault="007A63AA" w:rsidP="007A63AA">
            <w:pPr>
              <w:keepLines/>
              <w:spacing w:beforeLines="20" w:before="48" w:afterLines="20" w:after="48"/>
              <w:jc w:val="center"/>
              <w:rPr>
                <w:rFonts w:ascii="Arial Narrow" w:hAnsi="Arial Narrow"/>
                <w:sz w:val="18"/>
                <w:szCs w:val="18"/>
              </w:rPr>
            </w:pPr>
            <w:r w:rsidRPr="007A63AA">
              <w:rPr>
                <w:rFonts w:ascii="Arial Narrow" w:hAnsi="Arial Narrow"/>
                <w:sz w:val="18"/>
                <w:szCs w:val="18"/>
              </w:rPr>
              <w:t>--OR--</w:t>
            </w:r>
          </w:p>
        </w:tc>
        <w:tc>
          <w:tcPr>
            <w:tcW w:w="1001" w:type="pct"/>
            <w:tcBorders>
              <w:top w:val="nil"/>
              <w:bottom w:val="nil"/>
            </w:tcBorders>
            <w:shd w:val="clear" w:color="auto" w:fill="E7E8E8"/>
            <w:vAlign w:val="center"/>
          </w:tcPr>
          <w:p w14:paraId="19537645" w14:textId="77777777" w:rsidR="007A63AA" w:rsidRPr="007A63AA" w:rsidRDefault="007A63AA" w:rsidP="007A63AA">
            <w:pPr>
              <w:keepLines/>
              <w:spacing w:beforeLines="20" w:before="48" w:afterLines="20" w:after="48"/>
              <w:jc w:val="center"/>
              <w:rPr>
                <w:rFonts w:ascii="Arial Narrow" w:hAnsi="Arial Narrow"/>
                <w:sz w:val="18"/>
                <w:szCs w:val="18"/>
              </w:rPr>
            </w:pPr>
          </w:p>
        </w:tc>
        <w:tc>
          <w:tcPr>
            <w:tcW w:w="714" w:type="pct"/>
            <w:tcBorders>
              <w:top w:val="nil"/>
              <w:bottom w:val="nil"/>
            </w:tcBorders>
            <w:shd w:val="clear" w:color="auto" w:fill="E7E8E8"/>
            <w:vAlign w:val="center"/>
          </w:tcPr>
          <w:p w14:paraId="31ECE732" w14:textId="77777777" w:rsidR="007A63AA" w:rsidRPr="007A63AA" w:rsidRDefault="007A63AA" w:rsidP="007A63AA">
            <w:pPr>
              <w:keepLines/>
              <w:spacing w:beforeLines="20" w:before="48" w:afterLines="20" w:after="48"/>
              <w:jc w:val="center"/>
              <w:rPr>
                <w:rFonts w:ascii="Arial Narrow" w:hAnsi="Arial Narrow"/>
                <w:sz w:val="18"/>
                <w:szCs w:val="18"/>
              </w:rPr>
            </w:pPr>
          </w:p>
        </w:tc>
        <w:tc>
          <w:tcPr>
            <w:tcW w:w="1524" w:type="pct"/>
            <w:tcBorders>
              <w:top w:val="nil"/>
              <w:bottom w:val="nil"/>
              <w:right w:val="single" w:sz="12" w:space="0" w:color="auto"/>
            </w:tcBorders>
            <w:shd w:val="clear" w:color="auto" w:fill="E7E8E8"/>
            <w:vAlign w:val="center"/>
          </w:tcPr>
          <w:p w14:paraId="686E307E" w14:textId="77777777" w:rsidR="007A63AA" w:rsidRPr="007A63AA" w:rsidRDefault="007A63AA" w:rsidP="007A63AA">
            <w:pPr>
              <w:keepLines/>
              <w:spacing w:beforeLines="20" w:before="48" w:afterLines="20" w:after="48"/>
              <w:rPr>
                <w:rFonts w:ascii="Arial Narrow" w:hAnsi="Arial Narrow"/>
                <w:sz w:val="18"/>
                <w:szCs w:val="18"/>
              </w:rPr>
            </w:pPr>
          </w:p>
        </w:tc>
      </w:tr>
      <w:tr w:rsidR="008046B9" w:rsidRPr="007A63AA" w14:paraId="4F87FD31" w14:textId="77777777" w:rsidTr="008046B9">
        <w:trPr>
          <w:cantSplit/>
        </w:trPr>
        <w:tc>
          <w:tcPr>
            <w:tcW w:w="1762" w:type="pct"/>
            <w:tcBorders>
              <w:top w:val="nil"/>
              <w:left w:val="single" w:sz="12" w:space="0" w:color="auto"/>
            </w:tcBorders>
            <w:shd w:val="clear" w:color="auto" w:fill="E7E8E8"/>
            <w:vAlign w:val="center"/>
          </w:tcPr>
          <w:p w14:paraId="58ADBAAA" w14:textId="77777777" w:rsidR="007A63AA" w:rsidRPr="007A63AA" w:rsidRDefault="007A63AA" w:rsidP="007A63AA">
            <w:pPr>
              <w:keepLines/>
              <w:spacing w:beforeLines="20" w:before="48" w:afterLines="20" w:after="48"/>
              <w:jc w:val="center"/>
              <w:rPr>
                <w:rFonts w:ascii="Arial Narrow" w:hAnsi="Arial Narrow"/>
                <w:sz w:val="18"/>
                <w:szCs w:val="18"/>
              </w:rPr>
            </w:pPr>
            <w:r w:rsidRPr="007A63AA">
              <w:rPr>
                <w:rFonts w:ascii="Arial Narrow" w:hAnsi="Arial Narrow"/>
                <w:sz w:val="18"/>
                <w:szCs w:val="18"/>
              </w:rPr>
              <w:t>Full CBI Substantiation for Chemical Identity</w:t>
            </w:r>
          </w:p>
        </w:tc>
        <w:tc>
          <w:tcPr>
            <w:tcW w:w="1001" w:type="pct"/>
            <w:tcBorders>
              <w:top w:val="nil"/>
            </w:tcBorders>
            <w:shd w:val="clear" w:color="auto" w:fill="E7E8E8"/>
            <w:vAlign w:val="center"/>
          </w:tcPr>
          <w:p w14:paraId="1BDEF08A" w14:textId="77777777" w:rsidR="007A63AA" w:rsidRPr="007A63AA" w:rsidRDefault="007A63AA" w:rsidP="007A63AA">
            <w:pPr>
              <w:keepLines/>
              <w:spacing w:beforeLines="20" w:before="48" w:afterLines="20" w:after="48"/>
              <w:jc w:val="center"/>
              <w:rPr>
                <w:rFonts w:ascii="Arial Narrow" w:hAnsi="Arial Narrow"/>
                <w:sz w:val="18"/>
                <w:szCs w:val="18"/>
              </w:rPr>
            </w:pPr>
            <w:r w:rsidRPr="007A63AA">
              <w:rPr>
                <w:rFonts w:ascii="Arial Narrow" w:hAnsi="Arial Narrow"/>
                <w:sz w:val="18"/>
                <w:szCs w:val="18"/>
              </w:rPr>
              <w:t>1.150</w:t>
            </w:r>
          </w:p>
        </w:tc>
        <w:tc>
          <w:tcPr>
            <w:tcW w:w="714" w:type="pct"/>
            <w:tcBorders>
              <w:top w:val="nil"/>
            </w:tcBorders>
            <w:shd w:val="clear" w:color="auto" w:fill="E7E8E8"/>
            <w:vAlign w:val="center"/>
          </w:tcPr>
          <w:p w14:paraId="52BE9D5F" w14:textId="77777777" w:rsidR="007A63AA" w:rsidRPr="007A63AA" w:rsidRDefault="007A63AA" w:rsidP="007A63AA">
            <w:pPr>
              <w:keepLines/>
              <w:spacing w:beforeLines="20" w:before="48" w:afterLines="20" w:after="48"/>
              <w:jc w:val="center"/>
              <w:rPr>
                <w:rFonts w:ascii="Arial Narrow" w:hAnsi="Arial Narrow"/>
                <w:sz w:val="18"/>
                <w:szCs w:val="18"/>
              </w:rPr>
            </w:pPr>
            <w:r w:rsidRPr="007A63AA">
              <w:rPr>
                <w:rFonts w:ascii="Arial Narrow" w:hAnsi="Arial Narrow"/>
                <w:sz w:val="18"/>
                <w:szCs w:val="18"/>
              </w:rPr>
              <w:t>Per chemical</w:t>
            </w:r>
          </w:p>
        </w:tc>
        <w:tc>
          <w:tcPr>
            <w:tcW w:w="1524" w:type="pct"/>
            <w:tcBorders>
              <w:top w:val="nil"/>
              <w:right w:val="single" w:sz="12" w:space="0" w:color="auto"/>
            </w:tcBorders>
            <w:shd w:val="clear" w:color="auto" w:fill="E7E8E8"/>
            <w:vAlign w:val="center"/>
          </w:tcPr>
          <w:p w14:paraId="75A82B09" w14:textId="1FDD0885" w:rsidR="007A63AA" w:rsidRPr="007A63AA" w:rsidRDefault="00963561" w:rsidP="007A63AA">
            <w:pPr>
              <w:keepLines/>
              <w:spacing w:beforeLines="20" w:before="48" w:afterLines="20" w:after="48"/>
              <w:rPr>
                <w:rFonts w:ascii="Arial Narrow" w:hAnsi="Arial Narrow"/>
                <w:sz w:val="18"/>
                <w:szCs w:val="18"/>
              </w:rPr>
            </w:pPr>
            <w:r>
              <w:rPr>
                <w:rFonts w:ascii="Arial Narrow" w:hAnsi="Arial Narrow"/>
                <w:sz w:val="18"/>
                <w:szCs w:val="18"/>
              </w:rPr>
              <w:t>Active-Inactive</w:t>
            </w:r>
            <w:r w:rsidR="00E02B0B">
              <w:rPr>
                <w:rFonts w:ascii="Arial Narrow" w:hAnsi="Arial Narrow"/>
                <w:sz w:val="18"/>
                <w:szCs w:val="18"/>
              </w:rPr>
              <w:t xml:space="preserve"> Rule EA</w:t>
            </w:r>
            <w:r w:rsidR="007A63AA" w:rsidRPr="007A63AA">
              <w:rPr>
                <w:rFonts w:ascii="Arial Narrow" w:hAnsi="Arial Narrow"/>
                <w:sz w:val="18"/>
                <w:szCs w:val="18"/>
              </w:rPr>
              <w:t xml:space="preserve"> </w:t>
            </w:r>
            <w:r w:rsidR="007A63AA" w:rsidRPr="007A63AA">
              <w:rPr>
                <w:rFonts w:ascii="Arial Narrow" w:hAnsi="Arial Narrow"/>
                <w:sz w:val="18"/>
                <w:szCs w:val="18"/>
              </w:rPr>
              <w:fldChar w:fldCharType="begin"/>
            </w:r>
            <w:r w:rsidR="003B54E8">
              <w:rPr>
                <w:rFonts w:ascii="Arial Narrow" w:hAnsi="Arial Narrow"/>
                <w:sz w:val="18"/>
                <w:szCs w:val="18"/>
              </w:rPr>
              <w:instrText xml:space="preserve"> ADDIN ZOTERO_ITEM CSL_CITATION {"citationID":"w0a54RaJ","properties":{"formattedCitation":"(EPA, 2017)","plainCitation":"(EPA, 2017)","noteIndex":0},"citationItems":[{"id":579,"uris":["http://zotero.org/groups/1140234/items/6QCNV48F"],"uri":["http://zotero.org/groups/1140234/items/6QCNV48F"],"itemData":{"id":579,"type":"report","title":"Burden and Cost Report for the Final Rule: TSCA Inventory Notification Requirements. Docket Number EPA-HQ-OPPT-2016-0426 (August 11, 2017)","author":[{"literal":"EPA"}],"issued":{"date-parts":[["2017"]]}}}],"schema":"https://github.com/citation-style-language/schema/raw/master/csl-citation.json"} </w:instrText>
            </w:r>
            <w:r w:rsidR="007A63AA" w:rsidRPr="007A63AA">
              <w:rPr>
                <w:rFonts w:ascii="Arial Narrow" w:hAnsi="Arial Narrow"/>
                <w:sz w:val="18"/>
                <w:szCs w:val="18"/>
              </w:rPr>
              <w:fldChar w:fldCharType="separate"/>
            </w:r>
            <w:r w:rsidR="001D4BD9" w:rsidRPr="008046B9">
              <w:rPr>
                <w:rFonts w:ascii="Arial Narrow" w:hAnsi="Arial Narrow"/>
                <w:sz w:val="18"/>
              </w:rPr>
              <w:t>(EPA, 2017)</w:t>
            </w:r>
            <w:r w:rsidR="007A63AA" w:rsidRPr="007A63AA">
              <w:rPr>
                <w:rFonts w:ascii="Arial Narrow" w:hAnsi="Arial Narrow"/>
                <w:sz w:val="18"/>
                <w:szCs w:val="18"/>
              </w:rPr>
              <w:fldChar w:fldCharType="end"/>
            </w:r>
          </w:p>
        </w:tc>
      </w:tr>
      <w:tr w:rsidR="008046B9" w:rsidRPr="007A63AA" w14:paraId="525FFEDE" w14:textId="77777777" w:rsidTr="008046B9">
        <w:trPr>
          <w:cantSplit/>
        </w:trPr>
        <w:tc>
          <w:tcPr>
            <w:tcW w:w="1762" w:type="pct"/>
            <w:tcBorders>
              <w:left w:val="single" w:sz="12" w:space="0" w:color="auto"/>
              <w:bottom w:val="single" w:sz="12" w:space="0" w:color="auto"/>
            </w:tcBorders>
            <w:shd w:val="clear" w:color="auto" w:fill="E7E8E8"/>
            <w:vAlign w:val="center"/>
          </w:tcPr>
          <w:p w14:paraId="2F0923A2" w14:textId="77777777" w:rsidR="007A63AA" w:rsidRPr="007A63AA" w:rsidRDefault="007A63AA" w:rsidP="007A63AA">
            <w:pPr>
              <w:keepLines/>
              <w:spacing w:beforeLines="20" w:before="48" w:afterLines="20" w:after="48"/>
              <w:rPr>
                <w:rFonts w:ascii="Arial Narrow" w:hAnsi="Arial Narrow"/>
                <w:sz w:val="18"/>
                <w:szCs w:val="18"/>
              </w:rPr>
            </w:pPr>
            <w:r w:rsidRPr="007A63AA">
              <w:rPr>
                <w:rFonts w:ascii="Arial Narrow" w:hAnsi="Arial Narrow"/>
                <w:sz w:val="18"/>
                <w:szCs w:val="18"/>
              </w:rPr>
              <w:t>Date and Time Stamps</w:t>
            </w:r>
          </w:p>
        </w:tc>
        <w:tc>
          <w:tcPr>
            <w:tcW w:w="1001" w:type="pct"/>
            <w:tcBorders>
              <w:bottom w:val="single" w:sz="12" w:space="0" w:color="auto"/>
            </w:tcBorders>
            <w:shd w:val="clear" w:color="auto" w:fill="E7E8E8"/>
            <w:vAlign w:val="center"/>
          </w:tcPr>
          <w:p w14:paraId="0CA8C7BC" w14:textId="77777777" w:rsidR="007A63AA" w:rsidRPr="007A63AA" w:rsidRDefault="007A63AA" w:rsidP="007A63AA">
            <w:pPr>
              <w:keepLines/>
              <w:spacing w:beforeLines="20" w:before="48" w:afterLines="20" w:after="48"/>
              <w:jc w:val="center"/>
              <w:rPr>
                <w:rFonts w:ascii="Arial Narrow" w:hAnsi="Arial Narrow"/>
                <w:sz w:val="18"/>
                <w:szCs w:val="18"/>
              </w:rPr>
            </w:pPr>
            <w:r w:rsidRPr="007A63AA">
              <w:rPr>
                <w:rFonts w:ascii="Arial Narrow" w:hAnsi="Arial Narrow"/>
                <w:sz w:val="18"/>
                <w:szCs w:val="18"/>
              </w:rPr>
              <w:t>System-generated</w:t>
            </w:r>
          </w:p>
        </w:tc>
        <w:tc>
          <w:tcPr>
            <w:tcW w:w="714" w:type="pct"/>
            <w:tcBorders>
              <w:bottom w:val="single" w:sz="12" w:space="0" w:color="auto"/>
            </w:tcBorders>
            <w:shd w:val="clear" w:color="auto" w:fill="E7E8E8"/>
            <w:vAlign w:val="center"/>
          </w:tcPr>
          <w:p w14:paraId="42032E85" w14:textId="77777777" w:rsidR="007A63AA" w:rsidRPr="007A63AA" w:rsidRDefault="007A63AA" w:rsidP="007A63AA">
            <w:pPr>
              <w:keepLines/>
              <w:spacing w:beforeLines="20" w:before="48" w:afterLines="20" w:after="48"/>
              <w:jc w:val="center"/>
              <w:rPr>
                <w:rFonts w:ascii="Arial Narrow" w:hAnsi="Arial Narrow"/>
                <w:sz w:val="18"/>
                <w:szCs w:val="18"/>
              </w:rPr>
            </w:pPr>
            <w:r w:rsidRPr="007A63AA">
              <w:rPr>
                <w:rFonts w:ascii="Arial Narrow" w:hAnsi="Arial Narrow"/>
                <w:sz w:val="18"/>
                <w:szCs w:val="18"/>
              </w:rPr>
              <w:t>Per submission</w:t>
            </w:r>
          </w:p>
        </w:tc>
        <w:tc>
          <w:tcPr>
            <w:tcW w:w="1524" w:type="pct"/>
            <w:tcBorders>
              <w:bottom w:val="single" w:sz="12" w:space="0" w:color="auto"/>
              <w:right w:val="single" w:sz="12" w:space="0" w:color="auto"/>
            </w:tcBorders>
            <w:shd w:val="clear" w:color="auto" w:fill="E7E8E8"/>
            <w:vAlign w:val="center"/>
          </w:tcPr>
          <w:p w14:paraId="0F1C7923" w14:textId="77777777" w:rsidR="007A63AA" w:rsidRPr="007A63AA" w:rsidRDefault="007A63AA" w:rsidP="007A63AA">
            <w:pPr>
              <w:keepLines/>
              <w:spacing w:beforeLines="20" w:before="48" w:afterLines="20" w:after="48"/>
              <w:rPr>
                <w:rFonts w:ascii="Arial Narrow" w:hAnsi="Arial Narrow"/>
                <w:sz w:val="18"/>
                <w:szCs w:val="18"/>
              </w:rPr>
            </w:pPr>
            <w:r w:rsidRPr="007A63AA">
              <w:rPr>
                <w:rFonts w:ascii="Arial Narrow" w:hAnsi="Arial Narrow"/>
                <w:sz w:val="18"/>
                <w:szCs w:val="18"/>
              </w:rPr>
              <w:t>N/A</w:t>
            </w:r>
          </w:p>
        </w:tc>
      </w:tr>
      <w:tr w:rsidR="008046B9" w:rsidRPr="007A63AA" w14:paraId="00758FCF" w14:textId="77777777" w:rsidTr="008046B9">
        <w:trPr>
          <w:cantSplit/>
        </w:trPr>
        <w:tc>
          <w:tcPr>
            <w:tcW w:w="1762" w:type="pct"/>
            <w:tcBorders>
              <w:top w:val="single" w:sz="12" w:space="0" w:color="auto"/>
              <w:left w:val="single" w:sz="12" w:space="0" w:color="auto"/>
              <w:bottom w:val="single" w:sz="4" w:space="0" w:color="auto"/>
              <w:right w:val="nil"/>
            </w:tcBorders>
            <w:shd w:val="clear" w:color="auto" w:fill="898D8D"/>
          </w:tcPr>
          <w:p w14:paraId="47C16B9B" w14:textId="77777777" w:rsidR="007A63AA" w:rsidRPr="007A63AA" w:rsidRDefault="007A63AA" w:rsidP="007A63AA">
            <w:pPr>
              <w:keepNext/>
              <w:keepLines/>
              <w:spacing w:beforeLines="20" w:before="48" w:afterLines="20" w:after="48"/>
              <w:rPr>
                <w:rFonts w:ascii="Arial Narrow" w:hAnsi="Arial Narrow"/>
                <w:b/>
                <w:sz w:val="18"/>
                <w:szCs w:val="18"/>
              </w:rPr>
            </w:pPr>
            <w:r w:rsidRPr="007A63AA">
              <w:rPr>
                <w:rFonts w:ascii="Arial Narrow" w:hAnsi="Arial Narrow"/>
                <w:b/>
                <w:color w:val="F0F4F6"/>
                <w:sz w:val="18"/>
                <w:szCs w:val="18"/>
              </w:rPr>
              <w:t>Miscellaneous</w:t>
            </w:r>
          </w:p>
        </w:tc>
        <w:tc>
          <w:tcPr>
            <w:tcW w:w="1001" w:type="pct"/>
            <w:tcBorders>
              <w:top w:val="single" w:sz="12" w:space="0" w:color="auto"/>
              <w:left w:val="nil"/>
              <w:bottom w:val="single" w:sz="4" w:space="0" w:color="auto"/>
              <w:right w:val="nil"/>
            </w:tcBorders>
            <w:shd w:val="clear" w:color="auto" w:fill="898D8D"/>
          </w:tcPr>
          <w:p w14:paraId="6249F4CB" w14:textId="77777777" w:rsidR="007A63AA" w:rsidRPr="007A63AA" w:rsidRDefault="007A63AA" w:rsidP="007A63AA">
            <w:pPr>
              <w:keepNext/>
              <w:keepLines/>
              <w:spacing w:beforeLines="20" w:before="48" w:afterLines="20" w:after="48"/>
              <w:jc w:val="center"/>
              <w:rPr>
                <w:rFonts w:ascii="Arial Narrow" w:hAnsi="Arial Narrow"/>
                <w:b/>
                <w:sz w:val="18"/>
                <w:szCs w:val="18"/>
              </w:rPr>
            </w:pPr>
          </w:p>
        </w:tc>
        <w:tc>
          <w:tcPr>
            <w:tcW w:w="714" w:type="pct"/>
            <w:tcBorders>
              <w:top w:val="single" w:sz="12" w:space="0" w:color="auto"/>
              <w:left w:val="nil"/>
              <w:bottom w:val="single" w:sz="4" w:space="0" w:color="auto"/>
              <w:right w:val="nil"/>
            </w:tcBorders>
            <w:shd w:val="clear" w:color="auto" w:fill="898D8D"/>
          </w:tcPr>
          <w:p w14:paraId="4A4107A2" w14:textId="77777777" w:rsidR="007A63AA" w:rsidRPr="007A63AA" w:rsidRDefault="007A63AA" w:rsidP="007A63AA">
            <w:pPr>
              <w:keepNext/>
              <w:keepLines/>
              <w:spacing w:beforeLines="20" w:before="48" w:afterLines="20" w:after="48"/>
              <w:jc w:val="center"/>
              <w:rPr>
                <w:rFonts w:ascii="Arial Narrow" w:hAnsi="Arial Narrow"/>
                <w:b/>
                <w:sz w:val="18"/>
                <w:szCs w:val="18"/>
              </w:rPr>
            </w:pPr>
          </w:p>
        </w:tc>
        <w:tc>
          <w:tcPr>
            <w:tcW w:w="1524" w:type="pct"/>
            <w:tcBorders>
              <w:top w:val="single" w:sz="12" w:space="0" w:color="auto"/>
              <w:left w:val="nil"/>
              <w:bottom w:val="single" w:sz="4" w:space="0" w:color="auto"/>
              <w:right w:val="single" w:sz="12" w:space="0" w:color="auto"/>
            </w:tcBorders>
            <w:shd w:val="clear" w:color="auto" w:fill="898D8D"/>
          </w:tcPr>
          <w:p w14:paraId="3BCE9D4E" w14:textId="77777777" w:rsidR="007A63AA" w:rsidRPr="007A63AA" w:rsidRDefault="007A63AA" w:rsidP="007A63AA">
            <w:pPr>
              <w:keepNext/>
              <w:keepLines/>
              <w:spacing w:beforeLines="20" w:before="48" w:afterLines="20" w:after="48"/>
              <w:rPr>
                <w:rFonts w:ascii="Arial Narrow" w:hAnsi="Arial Narrow"/>
                <w:sz w:val="18"/>
                <w:szCs w:val="18"/>
              </w:rPr>
            </w:pPr>
          </w:p>
        </w:tc>
      </w:tr>
      <w:tr w:rsidR="008046B9" w:rsidRPr="007A63AA" w14:paraId="673A1FB6" w14:textId="77777777" w:rsidTr="008046B9">
        <w:trPr>
          <w:cantSplit/>
        </w:trPr>
        <w:tc>
          <w:tcPr>
            <w:tcW w:w="1762" w:type="pct"/>
            <w:tcBorders>
              <w:top w:val="single" w:sz="4" w:space="0" w:color="auto"/>
              <w:left w:val="single" w:sz="12" w:space="0" w:color="auto"/>
              <w:bottom w:val="single" w:sz="12" w:space="0" w:color="auto"/>
            </w:tcBorders>
            <w:shd w:val="clear" w:color="auto" w:fill="auto"/>
          </w:tcPr>
          <w:p w14:paraId="391A9CD7" w14:textId="77777777" w:rsidR="007A63AA" w:rsidRPr="007A63AA" w:rsidRDefault="007A63AA" w:rsidP="007A63AA">
            <w:pPr>
              <w:keepNext/>
              <w:keepLines/>
              <w:spacing w:beforeLines="20" w:before="48" w:afterLines="20" w:after="48"/>
              <w:rPr>
                <w:rFonts w:ascii="Arial Narrow" w:hAnsi="Arial Narrow"/>
                <w:sz w:val="18"/>
                <w:szCs w:val="18"/>
              </w:rPr>
            </w:pPr>
            <w:r w:rsidRPr="007A63AA">
              <w:rPr>
                <w:rFonts w:ascii="Arial Narrow" w:hAnsi="Arial Narrow"/>
                <w:sz w:val="18"/>
                <w:szCs w:val="18"/>
              </w:rPr>
              <w:t>Recordkeeping</w:t>
            </w:r>
          </w:p>
        </w:tc>
        <w:tc>
          <w:tcPr>
            <w:tcW w:w="1001" w:type="pct"/>
            <w:tcBorders>
              <w:top w:val="single" w:sz="4" w:space="0" w:color="auto"/>
              <w:bottom w:val="single" w:sz="12" w:space="0" w:color="auto"/>
            </w:tcBorders>
            <w:shd w:val="clear" w:color="auto" w:fill="auto"/>
            <w:vAlign w:val="center"/>
          </w:tcPr>
          <w:p w14:paraId="4CFFB720" w14:textId="77777777" w:rsidR="007A63AA" w:rsidRPr="007A63AA" w:rsidRDefault="007A63AA" w:rsidP="007A63AA">
            <w:pPr>
              <w:keepNext/>
              <w:keepLines/>
              <w:spacing w:beforeLines="20" w:before="48" w:afterLines="20" w:after="48"/>
              <w:jc w:val="center"/>
              <w:rPr>
                <w:rFonts w:ascii="Arial Narrow" w:hAnsi="Arial Narrow"/>
                <w:sz w:val="18"/>
                <w:szCs w:val="18"/>
              </w:rPr>
            </w:pPr>
            <w:r w:rsidRPr="007A63AA">
              <w:rPr>
                <w:rFonts w:ascii="Arial Narrow" w:hAnsi="Arial Narrow"/>
                <w:sz w:val="18"/>
                <w:szCs w:val="18"/>
              </w:rPr>
              <w:t>0.063</w:t>
            </w:r>
          </w:p>
        </w:tc>
        <w:tc>
          <w:tcPr>
            <w:tcW w:w="714" w:type="pct"/>
            <w:tcBorders>
              <w:top w:val="single" w:sz="4" w:space="0" w:color="auto"/>
              <w:bottom w:val="single" w:sz="12" w:space="0" w:color="auto"/>
            </w:tcBorders>
            <w:shd w:val="clear" w:color="auto" w:fill="auto"/>
            <w:vAlign w:val="center"/>
          </w:tcPr>
          <w:p w14:paraId="092135D2" w14:textId="77777777" w:rsidR="007A63AA" w:rsidRPr="007A63AA" w:rsidRDefault="007A63AA" w:rsidP="007A63AA">
            <w:pPr>
              <w:keepNext/>
              <w:keepLines/>
              <w:spacing w:beforeLines="20" w:before="48" w:afterLines="20" w:after="48"/>
              <w:jc w:val="center"/>
              <w:rPr>
                <w:rFonts w:ascii="Arial Narrow" w:hAnsi="Arial Narrow"/>
                <w:sz w:val="18"/>
                <w:szCs w:val="18"/>
              </w:rPr>
            </w:pPr>
            <w:r w:rsidRPr="007A63AA">
              <w:rPr>
                <w:rFonts w:ascii="Arial Narrow" w:hAnsi="Arial Narrow"/>
                <w:sz w:val="18"/>
                <w:szCs w:val="18"/>
              </w:rPr>
              <w:t>Per company</w:t>
            </w:r>
          </w:p>
        </w:tc>
        <w:tc>
          <w:tcPr>
            <w:tcW w:w="1524" w:type="pct"/>
            <w:tcBorders>
              <w:top w:val="single" w:sz="4" w:space="0" w:color="auto"/>
              <w:bottom w:val="single" w:sz="12" w:space="0" w:color="auto"/>
              <w:right w:val="single" w:sz="12" w:space="0" w:color="auto"/>
            </w:tcBorders>
            <w:shd w:val="clear" w:color="auto" w:fill="auto"/>
            <w:vAlign w:val="center"/>
          </w:tcPr>
          <w:p w14:paraId="5A1A820B" w14:textId="65FDC8E4" w:rsidR="007A63AA" w:rsidRPr="007A63AA" w:rsidRDefault="00963561" w:rsidP="009C01F1">
            <w:pPr>
              <w:keepLines/>
              <w:numPr>
                <w:ilvl w:val="0"/>
                <w:numId w:val="10"/>
              </w:numPr>
              <w:spacing w:beforeLines="20" w:before="48" w:afterLines="20" w:after="48" w:line="264" w:lineRule="auto"/>
              <w:ind w:left="224" w:hanging="224"/>
              <w:rPr>
                <w:rFonts w:ascii="Arial Narrow" w:hAnsi="Arial Narrow"/>
                <w:sz w:val="18"/>
                <w:szCs w:val="18"/>
              </w:rPr>
            </w:pPr>
            <w:r>
              <w:rPr>
                <w:rFonts w:ascii="Arial Narrow" w:hAnsi="Arial Narrow"/>
                <w:sz w:val="18"/>
                <w:szCs w:val="18"/>
              </w:rPr>
              <w:t>Active-Inactive</w:t>
            </w:r>
            <w:r w:rsidR="00E02B0B">
              <w:rPr>
                <w:rFonts w:ascii="Arial Narrow" w:hAnsi="Arial Narrow"/>
                <w:sz w:val="18"/>
                <w:szCs w:val="18"/>
              </w:rPr>
              <w:t xml:space="preserve"> Rule EA</w:t>
            </w:r>
            <w:r w:rsidR="007A63AA" w:rsidRPr="007A63AA">
              <w:rPr>
                <w:rFonts w:ascii="Arial Narrow" w:hAnsi="Arial Narrow"/>
                <w:sz w:val="18"/>
                <w:szCs w:val="18"/>
              </w:rPr>
              <w:t xml:space="preserve"> </w:t>
            </w:r>
            <w:r w:rsidR="007A63AA" w:rsidRPr="007A63AA">
              <w:rPr>
                <w:rFonts w:ascii="Arial Narrow" w:hAnsi="Arial Narrow"/>
                <w:sz w:val="18"/>
                <w:szCs w:val="18"/>
              </w:rPr>
              <w:fldChar w:fldCharType="begin"/>
            </w:r>
            <w:r w:rsidR="003B54E8">
              <w:rPr>
                <w:rFonts w:ascii="Arial Narrow" w:hAnsi="Arial Narrow"/>
                <w:sz w:val="18"/>
                <w:szCs w:val="18"/>
              </w:rPr>
              <w:instrText xml:space="preserve"> ADDIN ZOTERO_ITEM CSL_CITATION {"citationID":"JOV7mvwE","properties":{"formattedCitation":"(EPA, 2017)","plainCitation":"(EPA, 2017)","noteIndex":0},"citationItems":[{"id":579,"uris":["http://zotero.org/groups/1140234/items/6QCNV48F"],"uri":["http://zotero.org/groups/1140234/items/6QCNV48F"],"itemData":{"id":579,"type":"report","title":"Burden and Cost Report for the Final Rule: TSCA Inventory Notification Requirements. Docket Number EPA-HQ-OPPT-2016-0426 (August 11, 2017)","author":[{"literal":"EPA"}],"issued":{"date-parts":[["2017"]]}}}],"schema":"https://github.com/citation-style-language/schema/raw/master/csl-citation.json"} </w:instrText>
            </w:r>
            <w:r w:rsidR="007A63AA" w:rsidRPr="007A63AA">
              <w:rPr>
                <w:rFonts w:ascii="Arial Narrow" w:hAnsi="Arial Narrow"/>
                <w:sz w:val="18"/>
                <w:szCs w:val="18"/>
              </w:rPr>
              <w:fldChar w:fldCharType="separate"/>
            </w:r>
            <w:r w:rsidR="001D4BD9" w:rsidRPr="008046B9">
              <w:rPr>
                <w:rFonts w:ascii="Arial Narrow" w:hAnsi="Arial Narrow"/>
                <w:sz w:val="18"/>
              </w:rPr>
              <w:t>(EPA, 2017)</w:t>
            </w:r>
            <w:r w:rsidR="007A63AA" w:rsidRPr="007A63AA">
              <w:rPr>
                <w:rFonts w:ascii="Arial Narrow" w:hAnsi="Arial Narrow"/>
                <w:sz w:val="18"/>
                <w:szCs w:val="18"/>
              </w:rPr>
              <w:fldChar w:fldCharType="end"/>
            </w:r>
          </w:p>
          <w:p w14:paraId="45FBC825" w14:textId="1C6E6D4F" w:rsidR="007A63AA" w:rsidRPr="007A63AA" w:rsidRDefault="007A63AA" w:rsidP="009C01F1">
            <w:pPr>
              <w:keepLines/>
              <w:numPr>
                <w:ilvl w:val="0"/>
                <w:numId w:val="10"/>
              </w:numPr>
              <w:spacing w:beforeLines="20" w:before="48" w:afterLines="20" w:after="48" w:line="264" w:lineRule="auto"/>
              <w:ind w:left="224" w:hanging="224"/>
              <w:rPr>
                <w:rFonts w:ascii="Arial Narrow" w:hAnsi="Arial Narrow"/>
                <w:sz w:val="18"/>
                <w:szCs w:val="18"/>
              </w:rPr>
            </w:pPr>
            <w:r w:rsidRPr="007A63AA">
              <w:rPr>
                <w:rFonts w:ascii="Arial Narrow" w:hAnsi="Arial Narrow"/>
                <w:sz w:val="18"/>
                <w:szCs w:val="18"/>
              </w:rPr>
              <w:t xml:space="preserve">Agency </w:t>
            </w:r>
            <w:r w:rsidR="00FA37A2">
              <w:rPr>
                <w:rFonts w:ascii="Arial Narrow" w:hAnsi="Arial Narrow"/>
                <w:sz w:val="18"/>
                <w:szCs w:val="18"/>
              </w:rPr>
              <w:t>estimate</w:t>
            </w:r>
          </w:p>
        </w:tc>
      </w:tr>
    </w:tbl>
    <w:p w14:paraId="47C81F63" w14:textId="77777777" w:rsidR="007A63AA" w:rsidRDefault="007A63AA" w:rsidP="00126678"/>
    <w:p w14:paraId="4F620A1C" w14:textId="77777777" w:rsidR="00161C52" w:rsidRDefault="00413D66" w:rsidP="00161C52">
      <w:bookmarkStart w:id="63" w:name="_Ref526493223"/>
      <w:r>
        <w:t>In</w:t>
      </w:r>
      <w:r w:rsidR="00B3255B">
        <w:t xml:space="preserve"> </w:t>
      </w:r>
      <w:r w:rsidR="00B3255B">
        <w:fldChar w:fldCharType="begin"/>
      </w:r>
      <w:r w:rsidR="00B3255B">
        <w:instrText xml:space="preserve"> REF _Ref528062545 \h </w:instrText>
      </w:r>
      <w:r w:rsidR="00B3255B">
        <w:fldChar w:fldCharType="separate"/>
      </w:r>
      <w:r w:rsidR="005C4A2E">
        <w:t xml:space="preserve">Table </w:t>
      </w:r>
      <w:r w:rsidR="005C4A2E">
        <w:rPr>
          <w:noProof/>
        </w:rPr>
        <w:t>3</w:t>
      </w:r>
      <w:r w:rsidR="00B3255B">
        <w:fldChar w:fldCharType="end"/>
      </w:r>
      <w:r>
        <w:t>, activity</w:t>
      </w:r>
      <w:r w:rsidR="009C3E13">
        <w:t>-level</w:t>
      </w:r>
      <w:r>
        <w:t xml:space="preserve"> burdens are combined to produce </w:t>
      </w:r>
      <w:r w:rsidR="00161C52">
        <w:t xml:space="preserve">unit burdens for the average company  </w:t>
      </w:r>
    </w:p>
    <w:p w14:paraId="5193298F" w14:textId="4A78E797" w:rsidR="00413D66" w:rsidRDefault="00413D66" w:rsidP="00413D66">
      <w:r>
        <w:t xml:space="preserve">associated with submissions for the two </w:t>
      </w:r>
      <w:r w:rsidR="00737012">
        <w:t xml:space="preserve">groups </w:t>
      </w:r>
      <w:r>
        <w:t xml:space="preserve">of reporters affected by the proposed rule. </w:t>
      </w:r>
    </w:p>
    <w:p w14:paraId="36899E56" w14:textId="77777777" w:rsidR="00BA21E5" w:rsidRDefault="00BA21E5" w:rsidP="00413D66"/>
    <w:p w14:paraId="799752F4" w14:textId="53642246" w:rsidR="008D384E" w:rsidRDefault="00413D66" w:rsidP="00413D66">
      <w:r>
        <w:t>For reporters citing a reference to a previous substantiation, EPA estimates that the average company reports on f</w:t>
      </w:r>
      <w:r w:rsidR="001D4BD9">
        <w:t>our</w:t>
      </w:r>
      <w:r>
        <w:t xml:space="preserve"> chemicals. For reporters submitting full substantiation, EPA estimates that the average company reports on </w:t>
      </w:r>
      <w:r w:rsidR="001D4BD9">
        <w:t>27</w:t>
      </w:r>
      <w:r>
        <w:t xml:space="preserve"> chemicals</w:t>
      </w:r>
      <w:r w:rsidR="00B3255B">
        <w:t xml:space="preserve"> </w:t>
      </w:r>
      <w:r>
        <w:t>.</w:t>
      </w:r>
    </w:p>
    <w:p w14:paraId="735D02B9" w14:textId="77777777" w:rsidR="009C3E13" w:rsidRDefault="009C3E13" w:rsidP="00413D66"/>
    <w:p w14:paraId="4DBAD5FF" w14:textId="77777777" w:rsidR="009C3E13" w:rsidRPr="00126678" w:rsidRDefault="009C3E13" w:rsidP="009C3E13">
      <w:r>
        <w:t xml:space="preserve">For total industry burden and cost by activity and reporting group, see </w:t>
      </w:r>
      <w:r>
        <w:fldChar w:fldCharType="begin"/>
      </w:r>
      <w:r>
        <w:instrText xml:space="preserve"> REF _Ref526495549 \h </w:instrText>
      </w:r>
      <w:r>
        <w:fldChar w:fldCharType="separate"/>
      </w:r>
      <w:r>
        <w:t xml:space="preserve">Table </w:t>
      </w:r>
      <w:r>
        <w:rPr>
          <w:noProof/>
        </w:rPr>
        <w:t>8</w:t>
      </w:r>
      <w:r>
        <w:fldChar w:fldCharType="end"/>
      </w:r>
      <w:r>
        <w:t xml:space="preserve"> of this document in Section 6(d).</w:t>
      </w:r>
    </w:p>
    <w:p w14:paraId="1B25D616" w14:textId="77777777" w:rsidR="008D384E" w:rsidRDefault="008D384E">
      <w:pPr>
        <w:spacing w:after="200" w:line="276" w:lineRule="auto"/>
      </w:pPr>
      <w:r>
        <w:br w:type="page"/>
      </w:r>
    </w:p>
    <w:p w14:paraId="4E5C93F7" w14:textId="3598D7B3" w:rsidR="007A63AA" w:rsidRDefault="007A63AA" w:rsidP="007161A0">
      <w:pPr>
        <w:pStyle w:val="Caption"/>
      </w:pPr>
      <w:bookmarkStart w:id="64" w:name="_Ref528062545"/>
      <w:r>
        <w:t xml:space="preserve">Table </w:t>
      </w:r>
      <w:r w:rsidR="00A762E6">
        <w:rPr>
          <w:noProof/>
        </w:rPr>
        <w:fldChar w:fldCharType="begin"/>
      </w:r>
      <w:r w:rsidR="00A762E6">
        <w:rPr>
          <w:noProof/>
        </w:rPr>
        <w:instrText xml:space="preserve"> SEQ Table \* ARABIC </w:instrText>
      </w:r>
      <w:r w:rsidR="00A762E6">
        <w:rPr>
          <w:noProof/>
        </w:rPr>
        <w:fldChar w:fldCharType="separate"/>
      </w:r>
      <w:r w:rsidR="005C4A2E">
        <w:rPr>
          <w:noProof/>
        </w:rPr>
        <w:t>3</w:t>
      </w:r>
      <w:r w:rsidR="00A762E6">
        <w:rPr>
          <w:noProof/>
        </w:rPr>
        <w:fldChar w:fldCharType="end"/>
      </w:r>
      <w:bookmarkEnd w:id="63"/>
      <w:bookmarkEnd w:id="64"/>
      <w:r>
        <w:t xml:space="preserve">. </w:t>
      </w:r>
      <w:r w:rsidR="005867AD">
        <w:rPr>
          <w:szCs w:val="22"/>
        </w:rPr>
        <w:t xml:space="preserve">Incremental </w:t>
      </w:r>
      <w:r w:rsidR="005867AD" w:rsidRPr="00594363">
        <w:rPr>
          <w:szCs w:val="22"/>
        </w:rPr>
        <w:t xml:space="preserve">Unit Burden </w:t>
      </w:r>
      <w:r w:rsidR="005867AD">
        <w:rPr>
          <w:szCs w:val="22"/>
        </w:rPr>
        <w:t>per Average Company, by Reporting Group</w:t>
      </w:r>
      <w:r w:rsidR="005867AD" w:rsidDel="005867AD">
        <w:t xml:space="preserve"> </w:t>
      </w:r>
    </w:p>
    <w:tbl>
      <w:tblPr>
        <w:tblW w:w="5000" w:type="pct"/>
        <w:tblLook w:val="04A0" w:firstRow="1" w:lastRow="0" w:firstColumn="1" w:lastColumn="0" w:noHBand="0" w:noVBand="1"/>
      </w:tblPr>
      <w:tblGrid>
        <w:gridCol w:w="2591"/>
        <w:gridCol w:w="948"/>
        <w:gridCol w:w="999"/>
        <w:gridCol w:w="1164"/>
        <w:gridCol w:w="1179"/>
        <w:gridCol w:w="1293"/>
        <w:gridCol w:w="1492"/>
      </w:tblGrid>
      <w:tr w:rsidR="00F07528" w:rsidRPr="007A63AA" w14:paraId="4F735ED6" w14:textId="77777777" w:rsidTr="00CF5455">
        <w:trPr>
          <w:cantSplit/>
          <w:trHeight w:val="1008"/>
          <w:tblHeader/>
        </w:trPr>
        <w:tc>
          <w:tcPr>
            <w:tcW w:w="1830" w:type="pct"/>
            <w:gridSpan w:val="2"/>
            <w:tcBorders>
              <w:top w:val="single" w:sz="12" w:space="0" w:color="auto"/>
              <w:left w:val="single" w:sz="12" w:space="0" w:color="auto"/>
              <w:bottom w:val="single" w:sz="12" w:space="0" w:color="auto"/>
              <w:right w:val="single" w:sz="4" w:space="0" w:color="auto"/>
            </w:tcBorders>
            <w:shd w:val="clear" w:color="auto" w:fill="C3C6A8"/>
            <w:noWrap/>
            <w:vAlign w:val="bottom"/>
            <w:hideMark/>
          </w:tcPr>
          <w:p w14:paraId="1811F423" w14:textId="77777777" w:rsidR="007A63AA" w:rsidRPr="007A63AA" w:rsidRDefault="007A63AA" w:rsidP="00B3255B">
            <w:pPr>
              <w:keepNext/>
              <w:jc w:val="center"/>
              <w:rPr>
                <w:rFonts w:eastAsia="Times New Roman" w:cs="Times New Roman"/>
                <w:b/>
                <w:bCs/>
                <w:color w:val="000000"/>
                <w:sz w:val="20"/>
                <w:szCs w:val="20"/>
              </w:rPr>
            </w:pPr>
            <w:r w:rsidRPr="007A63AA">
              <w:rPr>
                <w:rFonts w:eastAsia="Times New Roman" w:cs="Times New Roman"/>
                <w:b/>
                <w:bCs/>
                <w:color w:val="000000"/>
                <w:sz w:val="20"/>
                <w:szCs w:val="20"/>
              </w:rPr>
              <w:t>Activity</w:t>
            </w:r>
          </w:p>
        </w:tc>
        <w:tc>
          <w:tcPr>
            <w:tcW w:w="517" w:type="pct"/>
            <w:tcBorders>
              <w:top w:val="single" w:sz="12" w:space="0" w:color="auto"/>
              <w:left w:val="nil"/>
              <w:bottom w:val="single" w:sz="12" w:space="0" w:color="auto"/>
              <w:right w:val="single" w:sz="4" w:space="0" w:color="auto"/>
            </w:tcBorders>
            <w:shd w:val="clear" w:color="auto" w:fill="C3C6A8"/>
            <w:vAlign w:val="bottom"/>
            <w:hideMark/>
          </w:tcPr>
          <w:p w14:paraId="03CFA2A2" w14:textId="77777777" w:rsidR="007A63AA" w:rsidRPr="007A63AA" w:rsidRDefault="007A63AA" w:rsidP="00963561">
            <w:pPr>
              <w:keepNext/>
              <w:jc w:val="center"/>
              <w:rPr>
                <w:rFonts w:eastAsia="Times New Roman" w:cs="Times New Roman"/>
                <w:b/>
                <w:bCs/>
                <w:color w:val="000000"/>
                <w:sz w:val="20"/>
                <w:szCs w:val="20"/>
              </w:rPr>
            </w:pPr>
            <w:r w:rsidRPr="007A63AA">
              <w:rPr>
                <w:rFonts w:eastAsia="Times New Roman" w:cs="Times New Roman"/>
                <w:b/>
                <w:bCs/>
                <w:color w:val="000000"/>
                <w:sz w:val="20"/>
                <w:szCs w:val="20"/>
              </w:rPr>
              <w:t>Unit of Analysis</w:t>
            </w:r>
          </w:p>
        </w:tc>
        <w:tc>
          <w:tcPr>
            <w:tcW w:w="602" w:type="pct"/>
            <w:tcBorders>
              <w:top w:val="single" w:sz="12" w:space="0" w:color="auto"/>
              <w:left w:val="nil"/>
              <w:bottom w:val="single" w:sz="12" w:space="0" w:color="auto"/>
              <w:right w:val="single" w:sz="4" w:space="0" w:color="auto"/>
            </w:tcBorders>
            <w:shd w:val="clear" w:color="auto" w:fill="C3C6A8"/>
            <w:vAlign w:val="bottom"/>
            <w:hideMark/>
          </w:tcPr>
          <w:p w14:paraId="4F9ED201" w14:textId="77777777" w:rsidR="007A63AA" w:rsidRPr="007A63AA" w:rsidRDefault="007A63AA" w:rsidP="00963561">
            <w:pPr>
              <w:keepNext/>
              <w:jc w:val="center"/>
              <w:rPr>
                <w:rFonts w:eastAsia="Times New Roman" w:cs="Times New Roman"/>
                <w:b/>
                <w:bCs/>
                <w:color w:val="000000"/>
                <w:sz w:val="20"/>
                <w:szCs w:val="20"/>
              </w:rPr>
            </w:pPr>
            <w:r w:rsidRPr="007A63AA">
              <w:rPr>
                <w:rFonts w:eastAsia="Times New Roman" w:cs="Times New Roman"/>
                <w:b/>
                <w:bCs/>
                <w:color w:val="000000"/>
                <w:sz w:val="20"/>
                <w:szCs w:val="20"/>
              </w:rPr>
              <w:t>Clerical Burden (hours)</w:t>
            </w:r>
            <w:r w:rsidRPr="007A63AA">
              <w:rPr>
                <w:rFonts w:eastAsia="Times New Roman" w:cs="Times New Roman"/>
                <w:b/>
                <w:bCs/>
                <w:color w:val="000000"/>
                <w:sz w:val="20"/>
                <w:szCs w:val="20"/>
              </w:rPr>
              <w:br/>
              <w:t>(a)</w:t>
            </w:r>
          </w:p>
        </w:tc>
        <w:tc>
          <w:tcPr>
            <w:tcW w:w="610" w:type="pct"/>
            <w:tcBorders>
              <w:top w:val="single" w:sz="12" w:space="0" w:color="auto"/>
              <w:left w:val="nil"/>
              <w:bottom w:val="single" w:sz="12" w:space="0" w:color="auto"/>
              <w:right w:val="single" w:sz="4" w:space="0" w:color="auto"/>
            </w:tcBorders>
            <w:shd w:val="clear" w:color="auto" w:fill="C3C6A8"/>
            <w:vAlign w:val="bottom"/>
            <w:hideMark/>
          </w:tcPr>
          <w:p w14:paraId="1AEB5033" w14:textId="77777777" w:rsidR="007A63AA" w:rsidRPr="007A63AA" w:rsidRDefault="007A63AA" w:rsidP="00963561">
            <w:pPr>
              <w:keepNext/>
              <w:jc w:val="center"/>
              <w:rPr>
                <w:rFonts w:eastAsia="Times New Roman" w:cs="Times New Roman"/>
                <w:b/>
                <w:bCs/>
                <w:color w:val="000000"/>
                <w:sz w:val="20"/>
                <w:szCs w:val="20"/>
              </w:rPr>
            </w:pPr>
            <w:r w:rsidRPr="007A63AA">
              <w:rPr>
                <w:rFonts w:eastAsia="Times New Roman" w:cs="Times New Roman"/>
                <w:b/>
                <w:bCs/>
                <w:color w:val="000000"/>
                <w:sz w:val="20"/>
                <w:szCs w:val="20"/>
              </w:rPr>
              <w:t>Technical Burden (hours)</w:t>
            </w:r>
            <w:r w:rsidRPr="007A63AA">
              <w:rPr>
                <w:rFonts w:eastAsia="Times New Roman" w:cs="Times New Roman"/>
                <w:b/>
                <w:bCs/>
                <w:color w:val="000000"/>
                <w:sz w:val="20"/>
                <w:szCs w:val="20"/>
              </w:rPr>
              <w:br/>
              <w:t>(b)</w:t>
            </w:r>
          </w:p>
        </w:tc>
        <w:tc>
          <w:tcPr>
            <w:tcW w:w="669" w:type="pct"/>
            <w:tcBorders>
              <w:top w:val="single" w:sz="12" w:space="0" w:color="auto"/>
              <w:left w:val="nil"/>
              <w:bottom w:val="single" w:sz="12" w:space="0" w:color="auto"/>
              <w:right w:val="single" w:sz="8" w:space="0" w:color="auto"/>
            </w:tcBorders>
            <w:shd w:val="clear" w:color="auto" w:fill="C3C6A8"/>
            <w:vAlign w:val="bottom"/>
            <w:hideMark/>
          </w:tcPr>
          <w:p w14:paraId="50707437" w14:textId="77777777" w:rsidR="007A63AA" w:rsidRPr="007A63AA" w:rsidRDefault="007A63AA" w:rsidP="004B218D">
            <w:pPr>
              <w:keepNext/>
              <w:jc w:val="center"/>
              <w:rPr>
                <w:rFonts w:eastAsia="Times New Roman" w:cs="Times New Roman"/>
                <w:b/>
                <w:bCs/>
                <w:color w:val="000000"/>
                <w:sz w:val="20"/>
                <w:szCs w:val="20"/>
              </w:rPr>
            </w:pPr>
            <w:r w:rsidRPr="007A63AA">
              <w:rPr>
                <w:rFonts w:eastAsia="Times New Roman" w:cs="Times New Roman"/>
                <w:b/>
                <w:bCs/>
                <w:color w:val="000000"/>
                <w:sz w:val="20"/>
                <w:szCs w:val="20"/>
              </w:rPr>
              <w:t>Managerial Burden (hours)</w:t>
            </w:r>
            <w:r w:rsidRPr="007A63AA">
              <w:rPr>
                <w:rFonts w:eastAsia="Times New Roman" w:cs="Times New Roman"/>
                <w:b/>
                <w:bCs/>
                <w:color w:val="000000"/>
                <w:sz w:val="20"/>
                <w:szCs w:val="20"/>
              </w:rPr>
              <w:br/>
              <w:t>(c)</w:t>
            </w:r>
          </w:p>
        </w:tc>
        <w:tc>
          <w:tcPr>
            <w:tcW w:w="772" w:type="pct"/>
            <w:tcBorders>
              <w:top w:val="single" w:sz="12" w:space="0" w:color="auto"/>
              <w:left w:val="single" w:sz="8" w:space="0" w:color="auto"/>
              <w:bottom w:val="single" w:sz="12" w:space="0" w:color="auto"/>
              <w:right w:val="single" w:sz="12" w:space="0" w:color="auto"/>
            </w:tcBorders>
            <w:shd w:val="clear" w:color="auto" w:fill="C3C6A8"/>
            <w:vAlign w:val="bottom"/>
            <w:hideMark/>
          </w:tcPr>
          <w:p w14:paraId="05274AF5" w14:textId="77777777" w:rsidR="007A63AA" w:rsidRPr="007A63AA" w:rsidRDefault="007A63AA" w:rsidP="004B218D">
            <w:pPr>
              <w:keepNext/>
              <w:jc w:val="center"/>
              <w:rPr>
                <w:rFonts w:eastAsia="Times New Roman" w:cs="Times New Roman"/>
                <w:b/>
                <w:bCs/>
                <w:color w:val="000000"/>
                <w:sz w:val="20"/>
                <w:szCs w:val="20"/>
              </w:rPr>
            </w:pPr>
            <w:r w:rsidRPr="007A63AA">
              <w:rPr>
                <w:rFonts w:eastAsia="Times New Roman" w:cs="Times New Roman"/>
                <w:b/>
                <w:bCs/>
                <w:color w:val="000000"/>
                <w:sz w:val="20"/>
                <w:szCs w:val="20"/>
              </w:rPr>
              <w:t>Total Burden (hours)</w:t>
            </w:r>
            <w:r w:rsidRPr="007A63AA">
              <w:rPr>
                <w:rFonts w:eastAsia="Times New Roman" w:cs="Times New Roman"/>
                <w:b/>
                <w:bCs/>
                <w:color w:val="000000"/>
                <w:sz w:val="20"/>
                <w:szCs w:val="20"/>
              </w:rPr>
              <w:br/>
              <w:t xml:space="preserve">(d) = </w:t>
            </w:r>
            <w:r w:rsidRPr="007A63AA">
              <w:rPr>
                <w:rFonts w:eastAsia="Times New Roman" w:cs="Times New Roman"/>
                <w:b/>
                <w:bCs/>
                <w:color w:val="000000"/>
                <w:sz w:val="20"/>
                <w:szCs w:val="20"/>
              </w:rPr>
              <w:br/>
              <w:t>(a) + (b) + (c)</w:t>
            </w:r>
          </w:p>
        </w:tc>
      </w:tr>
      <w:tr w:rsidR="007A63AA" w:rsidRPr="007A63AA" w14:paraId="397FE6A8" w14:textId="77777777" w:rsidTr="00921211">
        <w:trPr>
          <w:cantSplit/>
          <w:trHeight w:val="300"/>
        </w:trPr>
        <w:tc>
          <w:tcPr>
            <w:tcW w:w="1830" w:type="pct"/>
            <w:gridSpan w:val="2"/>
            <w:tcBorders>
              <w:top w:val="nil"/>
              <w:left w:val="single" w:sz="12" w:space="0" w:color="auto"/>
              <w:bottom w:val="single" w:sz="4" w:space="0" w:color="auto"/>
              <w:right w:val="single" w:sz="4" w:space="0" w:color="auto"/>
            </w:tcBorders>
            <w:vAlign w:val="bottom"/>
            <w:hideMark/>
          </w:tcPr>
          <w:p w14:paraId="180A1CAC" w14:textId="77777777" w:rsidR="007A63AA" w:rsidRPr="007A63AA" w:rsidRDefault="007A63AA" w:rsidP="001B1F39">
            <w:pPr>
              <w:keepNext/>
              <w:rPr>
                <w:rFonts w:ascii="Arial Narrow" w:eastAsia="Times New Roman" w:hAnsi="Arial Narrow" w:cs="Times New Roman"/>
                <w:color w:val="000000"/>
                <w:sz w:val="18"/>
                <w:szCs w:val="18"/>
              </w:rPr>
            </w:pPr>
            <w:r w:rsidRPr="007A63AA">
              <w:rPr>
                <w:rFonts w:ascii="Arial Narrow" w:eastAsia="Times New Roman" w:hAnsi="Arial Narrow" w:cs="Times New Roman"/>
                <w:i/>
                <w:color w:val="000000"/>
                <w:sz w:val="18"/>
                <w:szCs w:val="18"/>
              </w:rPr>
              <w:t>RULE FAMILIARIZATION</w:t>
            </w:r>
          </w:p>
        </w:tc>
        <w:tc>
          <w:tcPr>
            <w:tcW w:w="517" w:type="pct"/>
            <w:tcBorders>
              <w:top w:val="nil"/>
              <w:left w:val="nil"/>
              <w:bottom w:val="single" w:sz="4" w:space="0" w:color="auto"/>
              <w:right w:val="single" w:sz="4" w:space="0" w:color="auto"/>
            </w:tcBorders>
            <w:vAlign w:val="bottom"/>
            <w:hideMark/>
          </w:tcPr>
          <w:p w14:paraId="56FABFA9"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Company</w:t>
            </w:r>
          </w:p>
        </w:tc>
        <w:tc>
          <w:tcPr>
            <w:tcW w:w="602" w:type="pct"/>
            <w:tcBorders>
              <w:top w:val="nil"/>
              <w:left w:val="nil"/>
              <w:bottom w:val="single" w:sz="4" w:space="0" w:color="auto"/>
              <w:right w:val="single" w:sz="4" w:space="0" w:color="auto"/>
            </w:tcBorders>
            <w:noWrap/>
            <w:vAlign w:val="bottom"/>
            <w:hideMark/>
          </w:tcPr>
          <w:p w14:paraId="6C9793AE"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0.000</w:t>
            </w:r>
          </w:p>
        </w:tc>
        <w:tc>
          <w:tcPr>
            <w:tcW w:w="610" w:type="pct"/>
            <w:tcBorders>
              <w:top w:val="nil"/>
              <w:left w:val="nil"/>
              <w:bottom w:val="single" w:sz="4" w:space="0" w:color="auto"/>
              <w:right w:val="single" w:sz="4" w:space="0" w:color="auto"/>
            </w:tcBorders>
            <w:noWrap/>
            <w:vAlign w:val="bottom"/>
            <w:hideMark/>
          </w:tcPr>
          <w:p w14:paraId="0E095986"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1.500</w:t>
            </w:r>
          </w:p>
        </w:tc>
        <w:tc>
          <w:tcPr>
            <w:tcW w:w="669" w:type="pct"/>
            <w:tcBorders>
              <w:top w:val="nil"/>
              <w:left w:val="nil"/>
              <w:bottom w:val="single" w:sz="4" w:space="0" w:color="auto"/>
              <w:right w:val="single" w:sz="4" w:space="0" w:color="auto"/>
            </w:tcBorders>
            <w:noWrap/>
            <w:vAlign w:val="bottom"/>
            <w:hideMark/>
          </w:tcPr>
          <w:p w14:paraId="17BC1EF5"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1.500</w:t>
            </w:r>
          </w:p>
        </w:tc>
        <w:tc>
          <w:tcPr>
            <w:tcW w:w="772" w:type="pct"/>
            <w:tcBorders>
              <w:top w:val="nil"/>
              <w:left w:val="nil"/>
              <w:bottom w:val="single" w:sz="4" w:space="0" w:color="auto"/>
              <w:right w:val="single" w:sz="12" w:space="0" w:color="auto"/>
            </w:tcBorders>
            <w:noWrap/>
            <w:vAlign w:val="bottom"/>
            <w:hideMark/>
          </w:tcPr>
          <w:p w14:paraId="26FC561A"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3.000</w:t>
            </w:r>
          </w:p>
        </w:tc>
      </w:tr>
      <w:tr w:rsidR="00F07528" w:rsidRPr="007A63AA" w14:paraId="603C53FC" w14:textId="77777777" w:rsidTr="00CF5455">
        <w:trPr>
          <w:cantSplit/>
          <w:trHeight w:val="300"/>
        </w:trPr>
        <w:tc>
          <w:tcPr>
            <w:tcW w:w="1830" w:type="pct"/>
            <w:gridSpan w:val="2"/>
            <w:tcBorders>
              <w:top w:val="nil"/>
              <w:left w:val="single" w:sz="12" w:space="0" w:color="auto"/>
              <w:bottom w:val="single" w:sz="4" w:space="0" w:color="auto"/>
              <w:right w:val="single" w:sz="4" w:space="0" w:color="auto"/>
            </w:tcBorders>
            <w:vAlign w:val="bottom"/>
            <w:hideMark/>
          </w:tcPr>
          <w:p w14:paraId="7AC0923F" w14:textId="77777777" w:rsidR="007A63AA" w:rsidRPr="007A63AA" w:rsidRDefault="007A63AA" w:rsidP="001B1F39">
            <w:pPr>
              <w:keepNext/>
              <w:rPr>
                <w:rFonts w:ascii="Arial Narrow" w:eastAsia="Times New Roman" w:hAnsi="Arial Narrow" w:cs="Times New Roman"/>
                <w:color w:val="000000"/>
                <w:sz w:val="18"/>
                <w:szCs w:val="18"/>
              </w:rPr>
            </w:pPr>
            <w:r w:rsidRPr="007A63AA">
              <w:rPr>
                <w:rFonts w:ascii="Arial Narrow" w:eastAsia="Times New Roman" w:hAnsi="Arial Narrow" w:cs="Times New Roman"/>
                <w:i/>
                <w:color w:val="000000"/>
                <w:sz w:val="18"/>
                <w:szCs w:val="18"/>
              </w:rPr>
              <w:t>COMPLIANCE DETERMINATION</w:t>
            </w:r>
          </w:p>
        </w:tc>
        <w:tc>
          <w:tcPr>
            <w:tcW w:w="517" w:type="pct"/>
            <w:tcBorders>
              <w:top w:val="nil"/>
              <w:left w:val="nil"/>
              <w:bottom w:val="single" w:sz="4" w:space="0" w:color="auto"/>
              <w:right w:val="single" w:sz="4" w:space="0" w:color="auto"/>
            </w:tcBorders>
            <w:vAlign w:val="bottom"/>
            <w:hideMark/>
          </w:tcPr>
          <w:p w14:paraId="48B76536"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Chemical</w:t>
            </w:r>
          </w:p>
        </w:tc>
        <w:tc>
          <w:tcPr>
            <w:tcW w:w="602" w:type="pct"/>
            <w:tcBorders>
              <w:top w:val="nil"/>
              <w:left w:val="single" w:sz="4" w:space="0" w:color="auto"/>
              <w:bottom w:val="single" w:sz="4" w:space="0" w:color="auto"/>
              <w:right w:val="single" w:sz="4" w:space="0" w:color="auto"/>
            </w:tcBorders>
            <w:noWrap/>
            <w:vAlign w:val="bottom"/>
            <w:hideMark/>
          </w:tcPr>
          <w:p w14:paraId="3EB298DE"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0.000</w:t>
            </w:r>
          </w:p>
        </w:tc>
        <w:tc>
          <w:tcPr>
            <w:tcW w:w="610" w:type="pct"/>
            <w:tcBorders>
              <w:top w:val="nil"/>
              <w:left w:val="nil"/>
              <w:bottom w:val="single" w:sz="4" w:space="0" w:color="auto"/>
              <w:right w:val="single" w:sz="4" w:space="0" w:color="auto"/>
            </w:tcBorders>
            <w:noWrap/>
            <w:vAlign w:val="bottom"/>
            <w:hideMark/>
          </w:tcPr>
          <w:p w14:paraId="649F44BA"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0.000</w:t>
            </w:r>
          </w:p>
        </w:tc>
        <w:tc>
          <w:tcPr>
            <w:tcW w:w="669" w:type="pct"/>
            <w:tcBorders>
              <w:top w:val="nil"/>
              <w:left w:val="nil"/>
              <w:bottom w:val="single" w:sz="4" w:space="0" w:color="auto"/>
              <w:right w:val="single" w:sz="4" w:space="0" w:color="auto"/>
            </w:tcBorders>
            <w:noWrap/>
            <w:vAlign w:val="bottom"/>
            <w:hideMark/>
          </w:tcPr>
          <w:p w14:paraId="4D1C89BB"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0.000</w:t>
            </w:r>
          </w:p>
        </w:tc>
        <w:tc>
          <w:tcPr>
            <w:tcW w:w="772" w:type="pct"/>
            <w:tcBorders>
              <w:top w:val="nil"/>
              <w:left w:val="nil"/>
              <w:bottom w:val="single" w:sz="4" w:space="0" w:color="auto"/>
              <w:right w:val="single" w:sz="12" w:space="0" w:color="auto"/>
            </w:tcBorders>
            <w:noWrap/>
            <w:vAlign w:val="bottom"/>
            <w:hideMark/>
          </w:tcPr>
          <w:p w14:paraId="5ADCB5EE"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0.000</w:t>
            </w:r>
          </w:p>
        </w:tc>
      </w:tr>
      <w:tr w:rsidR="007A63AA" w:rsidRPr="007A63AA" w14:paraId="07ACE1E8" w14:textId="77777777" w:rsidTr="007A63AA">
        <w:trPr>
          <w:trHeight w:val="178"/>
        </w:trPr>
        <w:tc>
          <w:tcPr>
            <w:tcW w:w="5000" w:type="pct"/>
            <w:gridSpan w:val="7"/>
            <w:tcBorders>
              <w:top w:val="single" w:sz="8" w:space="0" w:color="auto"/>
              <w:left w:val="single" w:sz="12" w:space="0" w:color="auto"/>
              <w:bottom w:val="single" w:sz="8" w:space="0" w:color="auto"/>
              <w:right w:val="single" w:sz="12" w:space="0" w:color="auto"/>
            </w:tcBorders>
            <w:shd w:val="pct10" w:color="auto" w:fill="auto"/>
            <w:vAlign w:val="bottom"/>
          </w:tcPr>
          <w:p w14:paraId="056ED34D" w14:textId="77777777" w:rsidR="007A63AA" w:rsidRPr="007A63AA" w:rsidRDefault="007A63AA" w:rsidP="001B1F39">
            <w:pPr>
              <w:keepNext/>
              <w:rPr>
                <w:rFonts w:ascii="Arial Narrow" w:eastAsia="Times New Roman" w:hAnsi="Arial Narrow" w:cs="Times New Roman"/>
                <w:b/>
                <w:bCs/>
                <w:i/>
                <w:iCs/>
                <w:color w:val="F0F4F6"/>
                <w:sz w:val="18"/>
                <w:szCs w:val="18"/>
              </w:rPr>
            </w:pPr>
          </w:p>
        </w:tc>
      </w:tr>
      <w:tr w:rsidR="007A63AA" w:rsidRPr="007A63AA" w14:paraId="0CAFC1E3" w14:textId="77777777" w:rsidTr="007A63AA">
        <w:trPr>
          <w:trHeight w:val="288"/>
        </w:trPr>
        <w:tc>
          <w:tcPr>
            <w:tcW w:w="5000" w:type="pct"/>
            <w:gridSpan w:val="7"/>
            <w:tcBorders>
              <w:top w:val="single" w:sz="8" w:space="0" w:color="auto"/>
              <w:left w:val="single" w:sz="12" w:space="0" w:color="auto"/>
              <w:bottom w:val="single" w:sz="4" w:space="0" w:color="auto"/>
              <w:right w:val="single" w:sz="12" w:space="0" w:color="auto"/>
            </w:tcBorders>
            <w:shd w:val="clear" w:color="auto" w:fill="auto"/>
            <w:vAlign w:val="bottom"/>
            <w:hideMark/>
          </w:tcPr>
          <w:p w14:paraId="0E6325DA" w14:textId="77777777" w:rsidR="007A63AA" w:rsidRPr="007A63AA" w:rsidRDefault="007A63AA" w:rsidP="001B1F39">
            <w:pPr>
              <w:keepNext/>
              <w:rPr>
                <w:rFonts w:ascii="Arial Narrow" w:eastAsia="Times New Roman" w:hAnsi="Arial Narrow" w:cs="Times New Roman"/>
                <w:b/>
                <w:bCs/>
                <w:i/>
                <w:iCs/>
                <w:color w:val="000000"/>
                <w:sz w:val="18"/>
                <w:szCs w:val="18"/>
              </w:rPr>
            </w:pPr>
            <w:r w:rsidRPr="007A63AA">
              <w:rPr>
                <w:rFonts w:ascii="Arial Narrow" w:eastAsia="Times New Roman" w:hAnsi="Arial Narrow" w:cs="Times New Roman"/>
                <w:b/>
                <w:bCs/>
                <w:i/>
                <w:iCs/>
                <w:sz w:val="18"/>
                <w:szCs w:val="18"/>
              </w:rPr>
              <w:t>FORM COMPLETION</w:t>
            </w:r>
          </w:p>
        </w:tc>
      </w:tr>
      <w:tr w:rsidR="00F07528" w:rsidRPr="007A63AA" w14:paraId="142E00AB" w14:textId="77777777" w:rsidTr="00CF5455">
        <w:trPr>
          <w:cantSplit/>
          <w:trHeight w:val="300"/>
        </w:trPr>
        <w:tc>
          <w:tcPr>
            <w:tcW w:w="1830" w:type="pct"/>
            <w:gridSpan w:val="2"/>
            <w:tcBorders>
              <w:top w:val="nil"/>
              <w:left w:val="single" w:sz="12" w:space="0" w:color="auto"/>
              <w:right w:val="single" w:sz="4" w:space="0" w:color="auto"/>
            </w:tcBorders>
            <w:vAlign w:val="center"/>
            <w:hideMark/>
          </w:tcPr>
          <w:p w14:paraId="4DADE2F4" w14:textId="77777777" w:rsidR="007A63AA" w:rsidRPr="007A63AA" w:rsidRDefault="007A63AA" w:rsidP="001B1F39">
            <w:pPr>
              <w:keepNext/>
              <w:jc w:val="center"/>
              <w:rPr>
                <w:rFonts w:ascii="Arial Narrow" w:eastAsia="Times New Roman" w:hAnsi="Arial Narrow" w:cs="Times New Roman"/>
                <w:color w:val="000000"/>
                <w:sz w:val="18"/>
                <w:szCs w:val="18"/>
                <w:vertAlign w:val="superscript"/>
              </w:rPr>
            </w:pPr>
            <w:r w:rsidRPr="007A63AA">
              <w:rPr>
                <w:rFonts w:ascii="Arial Narrow" w:eastAsia="Times New Roman" w:hAnsi="Arial Narrow" w:cs="Times New Roman"/>
                <w:color w:val="000000"/>
                <w:sz w:val="18"/>
                <w:szCs w:val="18"/>
              </w:rPr>
              <w:t>Substantiation using Previous Reference</w:t>
            </w:r>
          </w:p>
        </w:tc>
        <w:tc>
          <w:tcPr>
            <w:tcW w:w="517" w:type="pct"/>
            <w:tcBorders>
              <w:top w:val="nil"/>
              <w:left w:val="nil"/>
              <w:right w:val="single" w:sz="4" w:space="0" w:color="auto"/>
            </w:tcBorders>
            <w:vAlign w:val="bottom"/>
            <w:hideMark/>
          </w:tcPr>
          <w:p w14:paraId="22E87B0A"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Chemical</w:t>
            </w:r>
          </w:p>
        </w:tc>
        <w:tc>
          <w:tcPr>
            <w:tcW w:w="602" w:type="pct"/>
            <w:tcBorders>
              <w:top w:val="nil"/>
              <w:left w:val="single" w:sz="4" w:space="0" w:color="auto"/>
              <w:right w:val="single" w:sz="4" w:space="0" w:color="auto"/>
            </w:tcBorders>
            <w:noWrap/>
            <w:vAlign w:val="bottom"/>
            <w:hideMark/>
          </w:tcPr>
          <w:p w14:paraId="4BC504A6"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0.000</w:t>
            </w:r>
          </w:p>
        </w:tc>
        <w:tc>
          <w:tcPr>
            <w:tcW w:w="610" w:type="pct"/>
            <w:tcBorders>
              <w:top w:val="nil"/>
              <w:left w:val="nil"/>
              <w:right w:val="single" w:sz="4" w:space="0" w:color="auto"/>
            </w:tcBorders>
            <w:noWrap/>
            <w:vAlign w:val="bottom"/>
            <w:hideMark/>
          </w:tcPr>
          <w:p w14:paraId="60504239"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0.500</w:t>
            </w:r>
          </w:p>
        </w:tc>
        <w:tc>
          <w:tcPr>
            <w:tcW w:w="669" w:type="pct"/>
            <w:tcBorders>
              <w:top w:val="nil"/>
              <w:left w:val="nil"/>
              <w:right w:val="single" w:sz="4" w:space="0" w:color="auto"/>
            </w:tcBorders>
            <w:noWrap/>
            <w:vAlign w:val="bottom"/>
            <w:hideMark/>
          </w:tcPr>
          <w:p w14:paraId="02097075"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0.000</w:t>
            </w:r>
          </w:p>
        </w:tc>
        <w:tc>
          <w:tcPr>
            <w:tcW w:w="772" w:type="pct"/>
            <w:tcBorders>
              <w:top w:val="nil"/>
              <w:left w:val="nil"/>
              <w:right w:val="single" w:sz="12" w:space="0" w:color="auto"/>
            </w:tcBorders>
            <w:noWrap/>
            <w:vAlign w:val="bottom"/>
            <w:hideMark/>
          </w:tcPr>
          <w:p w14:paraId="3F2BF39F"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0.500</w:t>
            </w:r>
          </w:p>
        </w:tc>
      </w:tr>
      <w:tr w:rsidR="00F07528" w:rsidRPr="007A63AA" w14:paraId="75EEF413" w14:textId="77777777" w:rsidTr="00CF5455">
        <w:trPr>
          <w:cantSplit/>
          <w:trHeight w:val="315"/>
        </w:trPr>
        <w:tc>
          <w:tcPr>
            <w:tcW w:w="1830" w:type="pct"/>
            <w:gridSpan w:val="2"/>
            <w:tcBorders>
              <w:left w:val="single" w:sz="12" w:space="0" w:color="auto"/>
              <w:right w:val="single" w:sz="4" w:space="0" w:color="auto"/>
            </w:tcBorders>
            <w:vAlign w:val="center"/>
          </w:tcPr>
          <w:p w14:paraId="43DC6BCC"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sz w:val="18"/>
                <w:szCs w:val="18"/>
              </w:rPr>
              <w:t>--OR--</w:t>
            </w:r>
          </w:p>
        </w:tc>
        <w:tc>
          <w:tcPr>
            <w:tcW w:w="517" w:type="pct"/>
            <w:tcBorders>
              <w:left w:val="nil"/>
              <w:right w:val="single" w:sz="4" w:space="0" w:color="auto"/>
            </w:tcBorders>
            <w:vAlign w:val="bottom"/>
          </w:tcPr>
          <w:p w14:paraId="7A205C7A" w14:textId="77777777" w:rsidR="007A63AA" w:rsidRPr="007A63AA" w:rsidRDefault="007A63AA" w:rsidP="001B1F39">
            <w:pPr>
              <w:keepNext/>
              <w:jc w:val="center"/>
              <w:rPr>
                <w:rFonts w:ascii="Arial Narrow" w:eastAsia="Times New Roman" w:hAnsi="Arial Narrow" w:cs="Times New Roman"/>
                <w:color w:val="000000"/>
                <w:sz w:val="18"/>
                <w:szCs w:val="18"/>
              </w:rPr>
            </w:pPr>
          </w:p>
        </w:tc>
        <w:tc>
          <w:tcPr>
            <w:tcW w:w="602" w:type="pct"/>
            <w:tcBorders>
              <w:left w:val="single" w:sz="4" w:space="0" w:color="auto"/>
              <w:right w:val="single" w:sz="4" w:space="0" w:color="auto"/>
            </w:tcBorders>
            <w:noWrap/>
            <w:vAlign w:val="bottom"/>
          </w:tcPr>
          <w:p w14:paraId="4688BFB0" w14:textId="77777777" w:rsidR="007A63AA" w:rsidRPr="007A63AA" w:rsidRDefault="007A63AA" w:rsidP="001B1F39">
            <w:pPr>
              <w:keepNext/>
              <w:jc w:val="center"/>
              <w:rPr>
                <w:rFonts w:ascii="Arial Narrow" w:eastAsia="Times New Roman" w:hAnsi="Arial Narrow" w:cs="Times New Roman"/>
                <w:color w:val="000000"/>
                <w:sz w:val="18"/>
                <w:szCs w:val="18"/>
              </w:rPr>
            </w:pPr>
          </w:p>
        </w:tc>
        <w:tc>
          <w:tcPr>
            <w:tcW w:w="610" w:type="pct"/>
            <w:tcBorders>
              <w:left w:val="nil"/>
              <w:right w:val="single" w:sz="4" w:space="0" w:color="auto"/>
            </w:tcBorders>
            <w:noWrap/>
            <w:vAlign w:val="bottom"/>
          </w:tcPr>
          <w:p w14:paraId="072E9716" w14:textId="77777777" w:rsidR="007A63AA" w:rsidRPr="007A63AA" w:rsidRDefault="007A63AA" w:rsidP="001B1F39">
            <w:pPr>
              <w:keepNext/>
              <w:jc w:val="center"/>
              <w:rPr>
                <w:rFonts w:ascii="Arial Narrow" w:eastAsia="Times New Roman" w:hAnsi="Arial Narrow" w:cs="Times New Roman"/>
                <w:color w:val="000000"/>
                <w:sz w:val="18"/>
                <w:szCs w:val="18"/>
              </w:rPr>
            </w:pPr>
          </w:p>
        </w:tc>
        <w:tc>
          <w:tcPr>
            <w:tcW w:w="669" w:type="pct"/>
            <w:tcBorders>
              <w:left w:val="nil"/>
              <w:right w:val="single" w:sz="4" w:space="0" w:color="auto"/>
            </w:tcBorders>
            <w:noWrap/>
            <w:vAlign w:val="bottom"/>
          </w:tcPr>
          <w:p w14:paraId="2166D9CC" w14:textId="77777777" w:rsidR="007A63AA" w:rsidRPr="007A63AA" w:rsidRDefault="007A63AA" w:rsidP="001B1F39">
            <w:pPr>
              <w:keepNext/>
              <w:jc w:val="center"/>
              <w:rPr>
                <w:rFonts w:ascii="Arial Narrow" w:eastAsia="Times New Roman" w:hAnsi="Arial Narrow" w:cs="Times New Roman"/>
                <w:color w:val="000000"/>
                <w:sz w:val="18"/>
                <w:szCs w:val="18"/>
              </w:rPr>
            </w:pPr>
          </w:p>
        </w:tc>
        <w:tc>
          <w:tcPr>
            <w:tcW w:w="772" w:type="pct"/>
            <w:tcBorders>
              <w:left w:val="nil"/>
              <w:right w:val="single" w:sz="12" w:space="0" w:color="auto"/>
            </w:tcBorders>
            <w:noWrap/>
            <w:vAlign w:val="bottom"/>
          </w:tcPr>
          <w:p w14:paraId="01BE206F" w14:textId="77777777" w:rsidR="007A63AA" w:rsidRPr="007A63AA" w:rsidRDefault="007A63AA" w:rsidP="001B1F39">
            <w:pPr>
              <w:keepNext/>
              <w:jc w:val="center"/>
              <w:rPr>
                <w:rFonts w:ascii="Arial Narrow" w:eastAsia="Times New Roman" w:hAnsi="Arial Narrow" w:cs="Times New Roman"/>
                <w:color w:val="000000"/>
                <w:sz w:val="18"/>
                <w:szCs w:val="18"/>
              </w:rPr>
            </w:pPr>
          </w:p>
        </w:tc>
      </w:tr>
      <w:tr w:rsidR="00F07528" w:rsidRPr="007A63AA" w14:paraId="1ABF24A4" w14:textId="77777777" w:rsidTr="00CF5455">
        <w:trPr>
          <w:cantSplit/>
          <w:trHeight w:val="315"/>
        </w:trPr>
        <w:tc>
          <w:tcPr>
            <w:tcW w:w="1830" w:type="pct"/>
            <w:gridSpan w:val="2"/>
            <w:tcBorders>
              <w:left w:val="single" w:sz="12" w:space="0" w:color="auto"/>
              <w:bottom w:val="single" w:sz="4" w:space="0" w:color="auto"/>
              <w:right w:val="single" w:sz="4" w:space="0" w:color="auto"/>
            </w:tcBorders>
            <w:vAlign w:val="center"/>
          </w:tcPr>
          <w:p w14:paraId="6B166E1E"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Full Substantiation for Chemical Identity</w:t>
            </w:r>
          </w:p>
        </w:tc>
        <w:tc>
          <w:tcPr>
            <w:tcW w:w="517" w:type="pct"/>
            <w:tcBorders>
              <w:left w:val="nil"/>
              <w:bottom w:val="single" w:sz="4" w:space="0" w:color="auto"/>
              <w:right w:val="single" w:sz="4" w:space="0" w:color="auto"/>
            </w:tcBorders>
            <w:vAlign w:val="bottom"/>
          </w:tcPr>
          <w:p w14:paraId="568B7759"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Chemical</w:t>
            </w:r>
          </w:p>
        </w:tc>
        <w:tc>
          <w:tcPr>
            <w:tcW w:w="602" w:type="pct"/>
            <w:tcBorders>
              <w:left w:val="single" w:sz="4" w:space="0" w:color="auto"/>
              <w:bottom w:val="single" w:sz="4" w:space="0" w:color="auto"/>
              <w:right w:val="single" w:sz="4" w:space="0" w:color="auto"/>
            </w:tcBorders>
            <w:noWrap/>
            <w:vAlign w:val="bottom"/>
          </w:tcPr>
          <w:p w14:paraId="3F6E7450"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0.000</w:t>
            </w:r>
          </w:p>
        </w:tc>
        <w:tc>
          <w:tcPr>
            <w:tcW w:w="610" w:type="pct"/>
            <w:tcBorders>
              <w:left w:val="nil"/>
              <w:bottom w:val="single" w:sz="4" w:space="0" w:color="auto"/>
              <w:right w:val="single" w:sz="4" w:space="0" w:color="auto"/>
            </w:tcBorders>
            <w:noWrap/>
            <w:vAlign w:val="bottom"/>
          </w:tcPr>
          <w:p w14:paraId="0B70F8E2"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0.770</w:t>
            </w:r>
          </w:p>
        </w:tc>
        <w:tc>
          <w:tcPr>
            <w:tcW w:w="669" w:type="pct"/>
            <w:tcBorders>
              <w:left w:val="nil"/>
              <w:bottom w:val="single" w:sz="4" w:space="0" w:color="auto"/>
              <w:right w:val="single" w:sz="4" w:space="0" w:color="auto"/>
            </w:tcBorders>
            <w:noWrap/>
            <w:vAlign w:val="bottom"/>
          </w:tcPr>
          <w:p w14:paraId="0808A516"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0.380</w:t>
            </w:r>
          </w:p>
        </w:tc>
        <w:tc>
          <w:tcPr>
            <w:tcW w:w="772" w:type="pct"/>
            <w:tcBorders>
              <w:left w:val="nil"/>
              <w:bottom w:val="single" w:sz="4" w:space="0" w:color="auto"/>
              <w:right w:val="single" w:sz="12" w:space="0" w:color="auto"/>
            </w:tcBorders>
            <w:noWrap/>
            <w:vAlign w:val="bottom"/>
          </w:tcPr>
          <w:p w14:paraId="4EB1EC32"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1.150</w:t>
            </w:r>
          </w:p>
        </w:tc>
      </w:tr>
      <w:tr w:rsidR="007A63AA" w:rsidRPr="007A63AA" w14:paraId="4A79B5D2" w14:textId="77777777" w:rsidTr="004B218D">
        <w:trPr>
          <w:cantSplit/>
          <w:trHeight w:val="315"/>
        </w:trPr>
        <w:tc>
          <w:tcPr>
            <w:tcW w:w="1830" w:type="pct"/>
            <w:gridSpan w:val="2"/>
            <w:tcBorders>
              <w:top w:val="single" w:sz="4" w:space="0" w:color="auto"/>
              <w:left w:val="single" w:sz="12" w:space="0" w:color="auto"/>
              <w:bottom w:val="single" w:sz="12" w:space="0" w:color="auto"/>
              <w:right w:val="single" w:sz="4" w:space="0" w:color="auto"/>
            </w:tcBorders>
            <w:vAlign w:val="center"/>
            <w:hideMark/>
          </w:tcPr>
          <w:p w14:paraId="31ED5F53" w14:textId="77777777" w:rsidR="007A63AA" w:rsidRPr="007A63AA" w:rsidRDefault="007A63AA" w:rsidP="001B1F39">
            <w:pPr>
              <w:keepNext/>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Date and Time Stamps</w:t>
            </w:r>
          </w:p>
        </w:tc>
        <w:tc>
          <w:tcPr>
            <w:tcW w:w="517" w:type="pct"/>
            <w:tcBorders>
              <w:top w:val="single" w:sz="4" w:space="0" w:color="auto"/>
              <w:left w:val="nil"/>
              <w:bottom w:val="single" w:sz="12" w:space="0" w:color="auto"/>
              <w:right w:val="single" w:sz="4" w:space="0" w:color="auto"/>
            </w:tcBorders>
            <w:vAlign w:val="bottom"/>
            <w:hideMark/>
          </w:tcPr>
          <w:p w14:paraId="7A6ED262" w14:textId="334DE4E2" w:rsidR="007A63AA" w:rsidRPr="007A63AA" w:rsidRDefault="00A2232E" w:rsidP="00F07528">
            <w:pPr>
              <w:keepNext/>
              <w:jc w:val="center"/>
              <w:rPr>
                <w:rFonts w:ascii="Arial Narrow" w:eastAsia="Times New Roman" w:hAnsi="Arial Narrow" w:cs="Times New Roman"/>
                <w:color w:val="000000"/>
                <w:sz w:val="18"/>
                <w:szCs w:val="18"/>
              </w:rPr>
            </w:pPr>
            <w:r w:rsidRPr="00A2232E">
              <w:rPr>
                <w:rFonts w:ascii="Arial Narrow" w:eastAsia="Times New Roman" w:hAnsi="Arial Narrow" w:cs="Times New Roman"/>
                <w:color w:val="000000"/>
                <w:sz w:val="18"/>
                <w:szCs w:val="18"/>
              </w:rPr>
              <w:t>Submission</w:t>
            </w:r>
          </w:p>
        </w:tc>
        <w:tc>
          <w:tcPr>
            <w:tcW w:w="602" w:type="pct"/>
            <w:tcBorders>
              <w:top w:val="single" w:sz="4" w:space="0" w:color="auto"/>
              <w:left w:val="single" w:sz="4" w:space="0" w:color="auto"/>
              <w:bottom w:val="single" w:sz="12" w:space="0" w:color="auto"/>
              <w:right w:val="single" w:sz="4" w:space="0" w:color="auto"/>
            </w:tcBorders>
            <w:noWrap/>
            <w:vAlign w:val="bottom"/>
            <w:hideMark/>
          </w:tcPr>
          <w:p w14:paraId="0889F4A3"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 </w:t>
            </w:r>
          </w:p>
        </w:tc>
        <w:tc>
          <w:tcPr>
            <w:tcW w:w="610" w:type="pct"/>
            <w:tcBorders>
              <w:top w:val="single" w:sz="4" w:space="0" w:color="auto"/>
              <w:left w:val="nil"/>
              <w:bottom w:val="single" w:sz="12" w:space="0" w:color="auto"/>
              <w:right w:val="single" w:sz="4" w:space="0" w:color="auto"/>
            </w:tcBorders>
            <w:noWrap/>
            <w:vAlign w:val="bottom"/>
            <w:hideMark/>
          </w:tcPr>
          <w:p w14:paraId="2F7ACE95"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 </w:t>
            </w:r>
          </w:p>
        </w:tc>
        <w:tc>
          <w:tcPr>
            <w:tcW w:w="669" w:type="pct"/>
            <w:tcBorders>
              <w:top w:val="single" w:sz="4" w:space="0" w:color="auto"/>
              <w:left w:val="nil"/>
              <w:bottom w:val="single" w:sz="12" w:space="0" w:color="auto"/>
              <w:right w:val="single" w:sz="4" w:space="0" w:color="auto"/>
            </w:tcBorders>
            <w:noWrap/>
            <w:vAlign w:val="bottom"/>
            <w:hideMark/>
          </w:tcPr>
          <w:p w14:paraId="1553FAE8"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 </w:t>
            </w:r>
          </w:p>
        </w:tc>
        <w:tc>
          <w:tcPr>
            <w:tcW w:w="772" w:type="pct"/>
            <w:tcBorders>
              <w:top w:val="single" w:sz="4" w:space="0" w:color="auto"/>
              <w:left w:val="nil"/>
              <w:bottom w:val="single" w:sz="12" w:space="0" w:color="auto"/>
              <w:right w:val="single" w:sz="12" w:space="0" w:color="auto"/>
            </w:tcBorders>
            <w:noWrap/>
            <w:vAlign w:val="bottom"/>
            <w:hideMark/>
          </w:tcPr>
          <w:p w14:paraId="51CD426A"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System-Generated</w:t>
            </w:r>
          </w:p>
        </w:tc>
      </w:tr>
      <w:tr w:rsidR="00F07528" w:rsidRPr="007A63AA" w14:paraId="68902F72" w14:textId="77777777" w:rsidTr="00CF5455">
        <w:trPr>
          <w:cantSplit/>
          <w:trHeight w:val="315"/>
        </w:trPr>
        <w:tc>
          <w:tcPr>
            <w:tcW w:w="1830" w:type="pct"/>
            <w:gridSpan w:val="2"/>
            <w:tcBorders>
              <w:top w:val="nil"/>
              <w:left w:val="single" w:sz="12" w:space="0" w:color="auto"/>
              <w:bottom w:val="single" w:sz="8" w:space="0" w:color="auto"/>
              <w:right w:val="nil"/>
            </w:tcBorders>
            <w:vAlign w:val="bottom"/>
            <w:hideMark/>
          </w:tcPr>
          <w:p w14:paraId="3A4126E9" w14:textId="77777777" w:rsidR="007A63AA" w:rsidRPr="007A63AA" w:rsidRDefault="007A63AA" w:rsidP="001B1F39">
            <w:pPr>
              <w:keepNext/>
              <w:rPr>
                <w:rFonts w:ascii="Arial Narrow" w:eastAsia="Times New Roman" w:hAnsi="Arial Narrow" w:cs="Times New Roman"/>
                <w:b/>
                <w:bCs/>
                <w:i/>
                <w:iCs/>
                <w:color w:val="000000"/>
                <w:sz w:val="18"/>
                <w:szCs w:val="18"/>
              </w:rPr>
            </w:pPr>
            <w:r w:rsidRPr="007A63AA">
              <w:rPr>
                <w:rFonts w:ascii="Arial Narrow" w:eastAsia="Times New Roman" w:hAnsi="Arial Narrow" w:cs="Times New Roman"/>
                <w:b/>
                <w:bCs/>
                <w:i/>
                <w:iCs/>
                <w:color w:val="000000"/>
                <w:sz w:val="18"/>
                <w:szCs w:val="18"/>
              </w:rPr>
              <w:t>RECORDKEEPING</w:t>
            </w:r>
          </w:p>
        </w:tc>
        <w:tc>
          <w:tcPr>
            <w:tcW w:w="517" w:type="pct"/>
            <w:tcBorders>
              <w:top w:val="nil"/>
              <w:left w:val="nil"/>
              <w:bottom w:val="single" w:sz="8" w:space="0" w:color="auto"/>
              <w:right w:val="nil"/>
            </w:tcBorders>
            <w:vAlign w:val="bottom"/>
            <w:hideMark/>
          </w:tcPr>
          <w:p w14:paraId="707E8884" w14:textId="77777777" w:rsidR="007A63AA" w:rsidRPr="007A63AA" w:rsidRDefault="007A63AA" w:rsidP="001B1F39">
            <w:pPr>
              <w:keepNext/>
              <w:rPr>
                <w:rFonts w:ascii="Arial Narrow" w:eastAsia="Times New Roman" w:hAnsi="Arial Narrow" w:cs="Times New Roman"/>
                <w:b/>
                <w:bCs/>
                <w:i/>
                <w:iCs/>
                <w:color w:val="000000"/>
                <w:sz w:val="18"/>
                <w:szCs w:val="18"/>
              </w:rPr>
            </w:pPr>
            <w:r w:rsidRPr="007A63AA">
              <w:rPr>
                <w:rFonts w:ascii="Arial Narrow" w:eastAsia="Times New Roman" w:hAnsi="Arial Narrow" w:cs="Times New Roman"/>
                <w:b/>
                <w:bCs/>
                <w:i/>
                <w:iCs/>
                <w:color w:val="000000"/>
                <w:sz w:val="18"/>
                <w:szCs w:val="18"/>
              </w:rPr>
              <w:t> </w:t>
            </w:r>
          </w:p>
        </w:tc>
        <w:tc>
          <w:tcPr>
            <w:tcW w:w="602" w:type="pct"/>
            <w:tcBorders>
              <w:top w:val="nil"/>
              <w:left w:val="nil"/>
              <w:bottom w:val="single" w:sz="8" w:space="0" w:color="auto"/>
              <w:right w:val="nil"/>
            </w:tcBorders>
            <w:noWrap/>
            <w:vAlign w:val="bottom"/>
            <w:hideMark/>
          </w:tcPr>
          <w:p w14:paraId="414821EB" w14:textId="77777777" w:rsidR="007A63AA" w:rsidRPr="007A63AA" w:rsidRDefault="007A63AA" w:rsidP="001B1F39">
            <w:pPr>
              <w:keepNext/>
              <w:jc w:val="center"/>
              <w:rPr>
                <w:rFonts w:ascii="Arial Narrow" w:eastAsia="Times New Roman" w:hAnsi="Arial Narrow" w:cs="Times New Roman"/>
                <w:b/>
                <w:bCs/>
                <w:i/>
                <w:iCs/>
                <w:color w:val="000000"/>
                <w:sz w:val="18"/>
                <w:szCs w:val="18"/>
              </w:rPr>
            </w:pPr>
            <w:r w:rsidRPr="007A63AA">
              <w:rPr>
                <w:rFonts w:ascii="Arial Narrow" w:eastAsia="Times New Roman" w:hAnsi="Arial Narrow" w:cs="Times New Roman"/>
                <w:b/>
                <w:bCs/>
                <w:i/>
                <w:iCs/>
                <w:color w:val="000000"/>
                <w:sz w:val="18"/>
                <w:szCs w:val="18"/>
              </w:rPr>
              <w:t> </w:t>
            </w:r>
          </w:p>
        </w:tc>
        <w:tc>
          <w:tcPr>
            <w:tcW w:w="610" w:type="pct"/>
            <w:tcBorders>
              <w:top w:val="nil"/>
              <w:left w:val="nil"/>
              <w:bottom w:val="single" w:sz="8" w:space="0" w:color="auto"/>
              <w:right w:val="nil"/>
            </w:tcBorders>
            <w:noWrap/>
            <w:vAlign w:val="bottom"/>
            <w:hideMark/>
          </w:tcPr>
          <w:p w14:paraId="074A18DB" w14:textId="77777777" w:rsidR="007A63AA" w:rsidRPr="007A63AA" w:rsidRDefault="007A63AA" w:rsidP="001B1F39">
            <w:pPr>
              <w:keepNext/>
              <w:jc w:val="center"/>
              <w:rPr>
                <w:rFonts w:ascii="Arial Narrow" w:eastAsia="Times New Roman" w:hAnsi="Arial Narrow" w:cs="Times New Roman"/>
                <w:b/>
                <w:bCs/>
                <w:i/>
                <w:iCs/>
                <w:color w:val="000000"/>
                <w:sz w:val="18"/>
                <w:szCs w:val="18"/>
              </w:rPr>
            </w:pPr>
            <w:r w:rsidRPr="007A63AA">
              <w:rPr>
                <w:rFonts w:ascii="Arial Narrow" w:eastAsia="Times New Roman" w:hAnsi="Arial Narrow" w:cs="Times New Roman"/>
                <w:b/>
                <w:bCs/>
                <w:i/>
                <w:iCs/>
                <w:color w:val="000000"/>
                <w:sz w:val="18"/>
                <w:szCs w:val="18"/>
              </w:rPr>
              <w:t> </w:t>
            </w:r>
          </w:p>
        </w:tc>
        <w:tc>
          <w:tcPr>
            <w:tcW w:w="669" w:type="pct"/>
            <w:tcBorders>
              <w:top w:val="single" w:sz="8" w:space="0" w:color="auto"/>
              <w:left w:val="nil"/>
              <w:bottom w:val="single" w:sz="8" w:space="0" w:color="auto"/>
              <w:right w:val="nil"/>
            </w:tcBorders>
            <w:noWrap/>
            <w:vAlign w:val="bottom"/>
            <w:hideMark/>
          </w:tcPr>
          <w:p w14:paraId="40A82CED" w14:textId="77777777" w:rsidR="007A63AA" w:rsidRPr="007A63AA" w:rsidRDefault="007A63AA" w:rsidP="001B1F39">
            <w:pPr>
              <w:keepNext/>
              <w:jc w:val="center"/>
              <w:rPr>
                <w:rFonts w:ascii="Arial Narrow" w:eastAsia="Times New Roman" w:hAnsi="Arial Narrow" w:cs="Times New Roman"/>
                <w:b/>
                <w:bCs/>
                <w:i/>
                <w:iCs/>
                <w:color w:val="000000"/>
                <w:sz w:val="18"/>
                <w:szCs w:val="18"/>
              </w:rPr>
            </w:pPr>
            <w:r w:rsidRPr="007A63AA">
              <w:rPr>
                <w:rFonts w:ascii="Arial Narrow" w:eastAsia="Times New Roman" w:hAnsi="Arial Narrow" w:cs="Times New Roman"/>
                <w:b/>
                <w:bCs/>
                <w:i/>
                <w:iCs/>
                <w:color w:val="000000"/>
                <w:sz w:val="18"/>
                <w:szCs w:val="18"/>
              </w:rPr>
              <w:t> </w:t>
            </w:r>
          </w:p>
        </w:tc>
        <w:tc>
          <w:tcPr>
            <w:tcW w:w="772" w:type="pct"/>
            <w:tcBorders>
              <w:top w:val="single" w:sz="8" w:space="0" w:color="auto"/>
              <w:left w:val="nil"/>
              <w:bottom w:val="single" w:sz="8" w:space="0" w:color="auto"/>
              <w:right w:val="single" w:sz="12" w:space="0" w:color="auto"/>
            </w:tcBorders>
            <w:noWrap/>
            <w:vAlign w:val="bottom"/>
            <w:hideMark/>
          </w:tcPr>
          <w:p w14:paraId="0ED04FC0" w14:textId="77777777" w:rsidR="007A63AA" w:rsidRPr="007A63AA" w:rsidRDefault="007A63AA" w:rsidP="001B1F39">
            <w:pPr>
              <w:keepNext/>
              <w:jc w:val="center"/>
              <w:rPr>
                <w:rFonts w:ascii="Arial Narrow" w:eastAsia="Times New Roman" w:hAnsi="Arial Narrow" w:cs="Times New Roman"/>
                <w:b/>
                <w:bCs/>
                <w:i/>
                <w:iCs/>
                <w:color w:val="000000"/>
                <w:sz w:val="18"/>
                <w:szCs w:val="18"/>
              </w:rPr>
            </w:pPr>
            <w:r w:rsidRPr="007A63AA">
              <w:rPr>
                <w:rFonts w:ascii="Arial Narrow" w:eastAsia="Times New Roman" w:hAnsi="Arial Narrow" w:cs="Times New Roman"/>
                <w:b/>
                <w:bCs/>
                <w:i/>
                <w:iCs/>
                <w:color w:val="000000"/>
                <w:sz w:val="18"/>
                <w:szCs w:val="18"/>
              </w:rPr>
              <w:t> </w:t>
            </w:r>
          </w:p>
        </w:tc>
      </w:tr>
      <w:tr w:rsidR="007A63AA" w:rsidRPr="007A63AA" w14:paraId="6E0BBFDB" w14:textId="77777777" w:rsidTr="00921211">
        <w:trPr>
          <w:cantSplit/>
          <w:trHeight w:val="315"/>
        </w:trPr>
        <w:tc>
          <w:tcPr>
            <w:tcW w:w="1830" w:type="pct"/>
            <w:gridSpan w:val="2"/>
            <w:tcBorders>
              <w:top w:val="single" w:sz="8" w:space="0" w:color="auto"/>
              <w:left w:val="single" w:sz="12" w:space="0" w:color="auto"/>
              <w:bottom w:val="double" w:sz="12" w:space="0" w:color="auto"/>
              <w:right w:val="single" w:sz="4" w:space="0" w:color="auto"/>
            </w:tcBorders>
            <w:vAlign w:val="bottom"/>
            <w:hideMark/>
          </w:tcPr>
          <w:p w14:paraId="7E79192D" w14:textId="77777777" w:rsidR="007A63AA" w:rsidRPr="007A63AA" w:rsidRDefault="007A63AA" w:rsidP="001B1F39">
            <w:pPr>
              <w:keepNext/>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Per Submission</w:t>
            </w:r>
          </w:p>
        </w:tc>
        <w:tc>
          <w:tcPr>
            <w:tcW w:w="517" w:type="pct"/>
            <w:tcBorders>
              <w:top w:val="single" w:sz="8" w:space="0" w:color="auto"/>
              <w:left w:val="nil"/>
              <w:bottom w:val="double" w:sz="12" w:space="0" w:color="auto"/>
              <w:right w:val="single" w:sz="4" w:space="0" w:color="auto"/>
            </w:tcBorders>
            <w:vAlign w:val="bottom"/>
            <w:hideMark/>
          </w:tcPr>
          <w:p w14:paraId="06C7E1B7"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Company</w:t>
            </w:r>
          </w:p>
        </w:tc>
        <w:tc>
          <w:tcPr>
            <w:tcW w:w="602" w:type="pct"/>
            <w:tcBorders>
              <w:top w:val="single" w:sz="8" w:space="0" w:color="auto"/>
              <w:left w:val="nil"/>
              <w:bottom w:val="double" w:sz="12" w:space="0" w:color="auto"/>
              <w:right w:val="single" w:sz="4" w:space="0" w:color="auto"/>
            </w:tcBorders>
            <w:noWrap/>
            <w:vAlign w:val="bottom"/>
            <w:hideMark/>
          </w:tcPr>
          <w:p w14:paraId="3D2AE174"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0.063</w:t>
            </w:r>
          </w:p>
        </w:tc>
        <w:tc>
          <w:tcPr>
            <w:tcW w:w="610" w:type="pct"/>
            <w:tcBorders>
              <w:top w:val="single" w:sz="8" w:space="0" w:color="auto"/>
              <w:left w:val="nil"/>
              <w:bottom w:val="double" w:sz="12" w:space="0" w:color="auto"/>
              <w:right w:val="single" w:sz="4" w:space="0" w:color="auto"/>
            </w:tcBorders>
            <w:noWrap/>
            <w:vAlign w:val="bottom"/>
            <w:hideMark/>
          </w:tcPr>
          <w:p w14:paraId="3117ECEB"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0.000</w:t>
            </w:r>
          </w:p>
        </w:tc>
        <w:tc>
          <w:tcPr>
            <w:tcW w:w="669" w:type="pct"/>
            <w:tcBorders>
              <w:top w:val="single" w:sz="8" w:space="0" w:color="auto"/>
              <w:left w:val="nil"/>
              <w:bottom w:val="double" w:sz="12" w:space="0" w:color="auto"/>
              <w:right w:val="single" w:sz="4" w:space="0" w:color="auto"/>
            </w:tcBorders>
            <w:noWrap/>
            <w:vAlign w:val="bottom"/>
            <w:hideMark/>
          </w:tcPr>
          <w:p w14:paraId="7DE8BBAC"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0.000</w:t>
            </w:r>
          </w:p>
        </w:tc>
        <w:tc>
          <w:tcPr>
            <w:tcW w:w="772" w:type="pct"/>
            <w:tcBorders>
              <w:top w:val="single" w:sz="8" w:space="0" w:color="auto"/>
              <w:left w:val="nil"/>
              <w:bottom w:val="double" w:sz="12" w:space="0" w:color="auto"/>
              <w:right w:val="single" w:sz="12" w:space="0" w:color="auto"/>
            </w:tcBorders>
            <w:noWrap/>
            <w:vAlign w:val="bottom"/>
            <w:hideMark/>
          </w:tcPr>
          <w:p w14:paraId="6474C08D" w14:textId="77777777" w:rsidR="007A63AA" w:rsidRPr="007A63AA" w:rsidRDefault="007A63AA" w:rsidP="001B1F39">
            <w:pPr>
              <w:keepNext/>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0.063</w:t>
            </w:r>
          </w:p>
        </w:tc>
      </w:tr>
      <w:tr w:rsidR="007A63AA" w:rsidRPr="007A63AA" w14:paraId="58AFB596" w14:textId="77777777" w:rsidTr="007A63AA">
        <w:trPr>
          <w:cantSplit/>
          <w:trHeight w:val="300"/>
        </w:trPr>
        <w:tc>
          <w:tcPr>
            <w:tcW w:w="5000" w:type="pct"/>
            <w:gridSpan w:val="7"/>
            <w:tcBorders>
              <w:top w:val="single" w:sz="12" w:space="0" w:color="auto"/>
              <w:left w:val="single" w:sz="12" w:space="0" w:color="auto"/>
              <w:bottom w:val="single" w:sz="4" w:space="0" w:color="auto"/>
              <w:right w:val="single" w:sz="12" w:space="0" w:color="auto"/>
            </w:tcBorders>
            <w:shd w:val="clear" w:color="auto" w:fill="D3DEE4"/>
            <w:vAlign w:val="center"/>
          </w:tcPr>
          <w:p w14:paraId="53CC1E35" w14:textId="4E528053" w:rsidR="007A63AA" w:rsidRPr="00602C74" w:rsidRDefault="00DB16AE" w:rsidP="00F07528">
            <w:pPr>
              <w:keepNext/>
              <w:rPr>
                <w:rFonts w:ascii="Arial Narrow" w:hAnsi="Arial Narrow"/>
                <w:b/>
                <w:i/>
                <w:color w:val="000000"/>
                <w:sz w:val="18"/>
                <w:vertAlign w:val="superscript"/>
              </w:rPr>
            </w:pPr>
            <w:r>
              <w:rPr>
                <w:rFonts w:ascii="Arial Narrow" w:eastAsia="Times New Roman" w:hAnsi="Arial Narrow" w:cs="Times New Roman"/>
                <w:b/>
                <w:bCs/>
                <w:i/>
                <w:iCs/>
                <w:sz w:val="18"/>
                <w:szCs w:val="18"/>
              </w:rPr>
              <w:t>COMPANY-LEVEL</w:t>
            </w:r>
            <w:r w:rsidR="007A63AA" w:rsidRPr="007A63AA">
              <w:rPr>
                <w:rFonts w:ascii="Arial Narrow" w:eastAsia="Times New Roman" w:hAnsi="Arial Narrow" w:cs="Times New Roman"/>
                <w:b/>
                <w:bCs/>
                <w:i/>
                <w:iCs/>
                <w:sz w:val="18"/>
                <w:szCs w:val="18"/>
              </w:rPr>
              <w:t xml:space="preserve"> UNIT BURDEN FOR SUBSTANTIATION USING PREVIOUS REFERENCE (</w:t>
            </w:r>
            <w:r w:rsidR="001D4BD9">
              <w:rPr>
                <w:rFonts w:ascii="Arial Narrow" w:eastAsia="Times New Roman" w:hAnsi="Arial Narrow" w:cs="Times New Roman"/>
                <w:b/>
                <w:bCs/>
                <w:i/>
                <w:iCs/>
                <w:sz w:val="18"/>
                <w:szCs w:val="18"/>
              </w:rPr>
              <w:t>4</w:t>
            </w:r>
            <w:r w:rsidR="007A63AA" w:rsidRPr="007A63AA">
              <w:rPr>
                <w:rFonts w:ascii="Arial Narrow" w:eastAsia="Times New Roman" w:hAnsi="Arial Narrow" w:cs="Times New Roman"/>
                <w:b/>
                <w:bCs/>
                <w:i/>
                <w:iCs/>
                <w:sz w:val="18"/>
                <w:szCs w:val="18"/>
              </w:rPr>
              <w:t xml:space="preserve"> CHEMICALS)</w:t>
            </w:r>
            <w:r w:rsidR="00D03D67">
              <w:rPr>
                <w:rFonts w:ascii="Arial Narrow" w:eastAsia="Times New Roman" w:hAnsi="Arial Narrow" w:cs="Times New Roman"/>
                <w:b/>
                <w:bCs/>
                <w:i/>
                <w:iCs/>
                <w:sz w:val="18"/>
                <w:szCs w:val="18"/>
              </w:rPr>
              <w:t xml:space="preserve"> </w:t>
            </w:r>
            <w:r w:rsidR="00D03D67">
              <w:rPr>
                <w:rFonts w:ascii="Arial Narrow" w:eastAsia="Times New Roman" w:hAnsi="Arial Narrow" w:cs="Times New Roman"/>
                <w:b/>
                <w:bCs/>
                <w:i/>
                <w:iCs/>
                <w:sz w:val="18"/>
                <w:szCs w:val="18"/>
                <w:vertAlign w:val="superscript"/>
              </w:rPr>
              <w:t>1</w:t>
            </w:r>
          </w:p>
        </w:tc>
      </w:tr>
      <w:tr w:rsidR="007A63AA" w:rsidRPr="007A63AA" w14:paraId="53ACA3D6" w14:textId="77777777" w:rsidTr="00921211">
        <w:trPr>
          <w:cantSplit/>
          <w:trHeight w:val="300"/>
        </w:trPr>
        <w:tc>
          <w:tcPr>
            <w:tcW w:w="1340" w:type="pct"/>
            <w:tcBorders>
              <w:top w:val="single" w:sz="4" w:space="0" w:color="auto"/>
              <w:left w:val="single" w:sz="12" w:space="0" w:color="auto"/>
            </w:tcBorders>
            <w:vAlign w:val="bottom"/>
          </w:tcPr>
          <w:p w14:paraId="67D62FA1" w14:textId="77777777" w:rsidR="007A63AA" w:rsidRPr="007A63AA" w:rsidRDefault="007A63AA" w:rsidP="001B1F39">
            <w:pPr>
              <w:keepNext/>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Rule Familiarization</w:t>
            </w:r>
          </w:p>
        </w:tc>
        <w:tc>
          <w:tcPr>
            <w:tcW w:w="1007" w:type="pct"/>
            <w:gridSpan w:val="2"/>
            <w:tcBorders>
              <w:top w:val="single" w:sz="4" w:space="0" w:color="auto"/>
            </w:tcBorders>
            <w:vAlign w:val="bottom"/>
          </w:tcPr>
          <w:p w14:paraId="1EEE2229" w14:textId="77777777" w:rsidR="007A63AA" w:rsidRPr="007A63AA" w:rsidRDefault="007A63AA" w:rsidP="001B1F39">
            <w:pPr>
              <w:keepNext/>
              <w:rPr>
                <w:rFonts w:ascii="Arial Narrow" w:eastAsia="Times New Roman" w:hAnsi="Arial Narrow" w:cs="Times New Roman"/>
                <w:b/>
                <w:bCs/>
                <w:color w:val="000000"/>
                <w:sz w:val="18"/>
                <w:szCs w:val="18"/>
              </w:rPr>
            </w:pPr>
          </w:p>
        </w:tc>
        <w:tc>
          <w:tcPr>
            <w:tcW w:w="602" w:type="pct"/>
            <w:tcBorders>
              <w:top w:val="single" w:sz="4" w:space="0" w:color="auto"/>
            </w:tcBorders>
            <w:vAlign w:val="center"/>
          </w:tcPr>
          <w:p w14:paraId="30A13D3C"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610" w:type="pct"/>
            <w:tcBorders>
              <w:top w:val="single" w:sz="4" w:space="0" w:color="auto"/>
              <w:left w:val="nil"/>
            </w:tcBorders>
            <w:vAlign w:val="center"/>
          </w:tcPr>
          <w:p w14:paraId="34B7056F"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669" w:type="pct"/>
            <w:tcBorders>
              <w:top w:val="single" w:sz="4" w:space="0" w:color="auto"/>
              <w:right w:val="single" w:sz="4" w:space="0" w:color="auto"/>
            </w:tcBorders>
            <w:vAlign w:val="center"/>
          </w:tcPr>
          <w:p w14:paraId="6C58369C"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772" w:type="pct"/>
            <w:tcBorders>
              <w:top w:val="single" w:sz="4" w:space="0" w:color="auto"/>
              <w:left w:val="single" w:sz="4" w:space="0" w:color="auto"/>
              <w:right w:val="single" w:sz="12" w:space="0" w:color="auto"/>
            </w:tcBorders>
            <w:noWrap/>
            <w:vAlign w:val="bottom"/>
          </w:tcPr>
          <w:p w14:paraId="0F33DCDC" w14:textId="77777777" w:rsidR="007A63AA" w:rsidRPr="007A63AA" w:rsidRDefault="007A63AA" w:rsidP="001B1F39">
            <w:pPr>
              <w:keepNext/>
              <w:jc w:val="center"/>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3.000</w:t>
            </w:r>
          </w:p>
        </w:tc>
      </w:tr>
      <w:tr w:rsidR="007A63AA" w:rsidRPr="007A63AA" w14:paraId="2EFB3402" w14:textId="77777777" w:rsidTr="00921211">
        <w:trPr>
          <w:cantSplit/>
          <w:trHeight w:val="300"/>
        </w:trPr>
        <w:tc>
          <w:tcPr>
            <w:tcW w:w="1340" w:type="pct"/>
            <w:tcBorders>
              <w:left w:val="single" w:sz="12" w:space="0" w:color="auto"/>
            </w:tcBorders>
            <w:vAlign w:val="bottom"/>
          </w:tcPr>
          <w:p w14:paraId="21162043" w14:textId="77777777" w:rsidR="007A63AA" w:rsidRPr="007A63AA" w:rsidRDefault="007A63AA" w:rsidP="001B1F39">
            <w:pPr>
              <w:keepNext/>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Compliance Determination</w:t>
            </w:r>
          </w:p>
        </w:tc>
        <w:tc>
          <w:tcPr>
            <w:tcW w:w="1007" w:type="pct"/>
            <w:gridSpan w:val="2"/>
            <w:vAlign w:val="bottom"/>
          </w:tcPr>
          <w:p w14:paraId="68E063CF" w14:textId="77777777" w:rsidR="007A63AA" w:rsidRPr="007A63AA" w:rsidRDefault="007A63AA" w:rsidP="001B1F39">
            <w:pPr>
              <w:keepNext/>
              <w:rPr>
                <w:rFonts w:ascii="Arial Narrow" w:eastAsia="Times New Roman" w:hAnsi="Arial Narrow" w:cs="Times New Roman"/>
                <w:b/>
                <w:bCs/>
                <w:color w:val="000000"/>
                <w:sz w:val="18"/>
                <w:szCs w:val="18"/>
              </w:rPr>
            </w:pPr>
          </w:p>
        </w:tc>
        <w:tc>
          <w:tcPr>
            <w:tcW w:w="602" w:type="pct"/>
            <w:vAlign w:val="center"/>
          </w:tcPr>
          <w:p w14:paraId="0361E241"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610" w:type="pct"/>
            <w:tcBorders>
              <w:left w:val="nil"/>
            </w:tcBorders>
            <w:vAlign w:val="center"/>
          </w:tcPr>
          <w:p w14:paraId="5D319A39"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669" w:type="pct"/>
            <w:tcBorders>
              <w:right w:val="single" w:sz="4" w:space="0" w:color="auto"/>
            </w:tcBorders>
            <w:vAlign w:val="center"/>
          </w:tcPr>
          <w:p w14:paraId="52F668E7"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772" w:type="pct"/>
            <w:tcBorders>
              <w:left w:val="single" w:sz="4" w:space="0" w:color="auto"/>
              <w:right w:val="single" w:sz="12" w:space="0" w:color="auto"/>
            </w:tcBorders>
            <w:noWrap/>
            <w:vAlign w:val="bottom"/>
          </w:tcPr>
          <w:p w14:paraId="52234AD8" w14:textId="77777777" w:rsidR="007A63AA" w:rsidRPr="007A63AA" w:rsidRDefault="007A63AA" w:rsidP="001B1F39">
            <w:pPr>
              <w:keepNext/>
              <w:jc w:val="center"/>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0.000</w:t>
            </w:r>
          </w:p>
        </w:tc>
      </w:tr>
      <w:tr w:rsidR="007A63AA" w:rsidRPr="007A63AA" w14:paraId="12286784" w14:textId="77777777" w:rsidTr="00921211">
        <w:trPr>
          <w:cantSplit/>
          <w:trHeight w:val="300"/>
        </w:trPr>
        <w:tc>
          <w:tcPr>
            <w:tcW w:w="1340" w:type="pct"/>
            <w:tcBorders>
              <w:left w:val="single" w:sz="12" w:space="0" w:color="auto"/>
              <w:bottom w:val="single" w:sz="4" w:space="0" w:color="auto"/>
            </w:tcBorders>
            <w:vAlign w:val="bottom"/>
          </w:tcPr>
          <w:p w14:paraId="76070E02" w14:textId="77777777" w:rsidR="007A63AA" w:rsidRPr="007A63AA" w:rsidRDefault="007A63AA" w:rsidP="001B1F39">
            <w:pPr>
              <w:keepNext/>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Form Completion</w:t>
            </w:r>
          </w:p>
        </w:tc>
        <w:tc>
          <w:tcPr>
            <w:tcW w:w="1007" w:type="pct"/>
            <w:gridSpan w:val="2"/>
            <w:tcBorders>
              <w:bottom w:val="single" w:sz="4" w:space="0" w:color="auto"/>
            </w:tcBorders>
            <w:vAlign w:val="bottom"/>
          </w:tcPr>
          <w:p w14:paraId="07B16867" w14:textId="77777777" w:rsidR="007A63AA" w:rsidRPr="007A63AA" w:rsidRDefault="007A63AA" w:rsidP="001B1F39">
            <w:pPr>
              <w:keepNext/>
              <w:rPr>
                <w:rFonts w:ascii="Arial Narrow" w:eastAsia="Times New Roman" w:hAnsi="Arial Narrow" w:cs="Times New Roman"/>
                <w:b/>
                <w:bCs/>
                <w:color w:val="000000"/>
                <w:sz w:val="18"/>
                <w:szCs w:val="18"/>
              </w:rPr>
            </w:pPr>
          </w:p>
        </w:tc>
        <w:tc>
          <w:tcPr>
            <w:tcW w:w="602" w:type="pct"/>
            <w:tcBorders>
              <w:bottom w:val="single" w:sz="4" w:space="0" w:color="auto"/>
            </w:tcBorders>
            <w:vAlign w:val="center"/>
          </w:tcPr>
          <w:p w14:paraId="3BFEECB1"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610" w:type="pct"/>
            <w:tcBorders>
              <w:left w:val="nil"/>
              <w:bottom w:val="single" w:sz="4" w:space="0" w:color="auto"/>
            </w:tcBorders>
            <w:vAlign w:val="center"/>
          </w:tcPr>
          <w:p w14:paraId="3DCB21C3"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669" w:type="pct"/>
            <w:tcBorders>
              <w:bottom w:val="single" w:sz="4" w:space="0" w:color="auto"/>
              <w:right w:val="single" w:sz="4" w:space="0" w:color="auto"/>
            </w:tcBorders>
            <w:vAlign w:val="center"/>
          </w:tcPr>
          <w:p w14:paraId="34DAF90D"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772" w:type="pct"/>
            <w:tcBorders>
              <w:left w:val="single" w:sz="4" w:space="0" w:color="auto"/>
              <w:bottom w:val="single" w:sz="4" w:space="0" w:color="auto"/>
              <w:right w:val="single" w:sz="12" w:space="0" w:color="auto"/>
            </w:tcBorders>
            <w:noWrap/>
            <w:vAlign w:val="bottom"/>
          </w:tcPr>
          <w:p w14:paraId="4F913EF0" w14:textId="5B6115F0" w:rsidR="007A63AA" w:rsidRPr="007A63AA" w:rsidRDefault="007A63AA" w:rsidP="001B1F39">
            <w:pPr>
              <w:keepNext/>
              <w:jc w:val="center"/>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2.</w:t>
            </w:r>
            <w:r w:rsidR="001D4BD9">
              <w:rPr>
                <w:rFonts w:ascii="Arial Narrow" w:eastAsia="Times New Roman" w:hAnsi="Arial Narrow" w:cs="Times New Roman"/>
                <w:bCs/>
                <w:color w:val="000000"/>
                <w:sz w:val="18"/>
                <w:szCs w:val="18"/>
              </w:rPr>
              <w:t>0</w:t>
            </w:r>
            <w:r w:rsidRPr="007A63AA">
              <w:rPr>
                <w:rFonts w:ascii="Arial Narrow" w:eastAsia="Times New Roman" w:hAnsi="Arial Narrow" w:cs="Times New Roman"/>
                <w:bCs/>
                <w:color w:val="000000"/>
                <w:sz w:val="18"/>
                <w:szCs w:val="18"/>
              </w:rPr>
              <w:t>00</w:t>
            </w:r>
          </w:p>
        </w:tc>
      </w:tr>
      <w:tr w:rsidR="007A63AA" w:rsidRPr="007A63AA" w14:paraId="194E5359" w14:textId="77777777" w:rsidTr="007A63AA">
        <w:trPr>
          <w:cantSplit/>
          <w:trHeight w:val="300"/>
        </w:trPr>
        <w:tc>
          <w:tcPr>
            <w:tcW w:w="4228" w:type="pct"/>
            <w:gridSpan w:val="6"/>
            <w:tcBorders>
              <w:top w:val="single" w:sz="4" w:space="0" w:color="auto"/>
              <w:left w:val="single" w:sz="12" w:space="0" w:color="auto"/>
              <w:right w:val="single" w:sz="4" w:space="0" w:color="auto"/>
            </w:tcBorders>
            <w:vAlign w:val="bottom"/>
          </w:tcPr>
          <w:p w14:paraId="3317DCC4" w14:textId="4E11E245" w:rsidR="007A63AA" w:rsidRPr="007A63AA" w:rsidRDefault="007A63AA">
            <w:pPr>
              <w:keepNext/>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 xml:space="preserve">Average Burden per Company without Recordkeeping </w:t>
            </w:r>
          </w:p>
        </w:tc>
        <w:tc>
          <w:tcPr>
            <w:tcW w:w="772" w:type="pct"/>
            <w:tcBorders>
              <w:top w:val="single" w:sz="4" w:space="0" w:color="auto"/>
              <w:left w:val="single" w:sz="4" w:space="0" w:color="auto"/>
              <w:right w:val="single" w:sz="12" w:space="0" w:color="auto"/>
            </w:tcBorders>
            <w:noWrap/>
            <w:vAlign w:val="bottom"/>
          </w:tcPr>
          <w:p w14:paraId="357D0C51" w14:textId="3693813D" w:rsidR="007A63AA" w:rsidRPr="007A63AA" w:rsidRDefault="007A63AA" w:rsidP="001B1F39">
            <w:pPr>
              <w:keepNext/>
              <w:jc w:val="center"/>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5.</w:t>
            </w:r>
            <w:r w:rsidR="001D4BD9">
              <w:rPr>
                <w:rFonts w:ascii="Arial Narrow" w:eastAsia="Times New Roman" w:hAnsi="Arial Narrow" w:cs="Times New Roman"/>
                <w:bCs/>
                <w:color w:val="000000"/>
                <w:sz w:val="18"/>
                <w:szCs w:val="18"/>
              </w:rPr>
              <w:t>0</w:t>
            </w:r>
            <w:r w:rsidRPr="007A63AA">
              <w:rPr>
                <w:rFonts w:ascii="Arial Narrow" w:eastAsia="Times New Roman" w:hAnsi="Arial Narrow" w:cs="Times New Roman"/>
                <w:bCs/>
                <w:color w:val="000000"/>
                <w:sz w:val="18"/>
                <w:szCs w:val="18"/>
              </w:rPr>
              <w:t>00</w:t>
            </w:r>
          </w:p>
        </w:tc>
      </w:tr>
      <w:tr w:rsidR="007A63AA" w:rsidRPr="007A63AA" w14:paraId="07A6DDBF" w14:textId="77777777" w:rsidTr="00921211">
        <w:trPr>
          <w:cantSplit/>
          <w:trHeight w:val="300"/>
        </w:trPr>
        <w:tc>
          <w:tcPr>
            <w:tcW w:w="1340" w:type="pct"/>
            <w:tcBorders>
              <w:left w:val="single" w:sz="12" w:space="0" w:color="auto"/>
              <w:bottom w:val="single" w:sz="12" w:space="0" w:color="auto"/>
            </w:tcBorders>
            <w:vAlign w:val="bottom"/>
          </w:tcPr>
          <w:p w14:paraId="6CE04197" w14:textId="77777777" w:rsidR="007A63AA" w:rsidRPr="007A63AA" w:rsidRDefault="007A63AA" w:rsidP="001B1F39">
            <w:pPr>
              <w:keepNext/>
              <w:rPr>
                <w:rFonts w:ascii="Arial Narrow" w:eastAsia="Times New Roman" w:hAnsi="Arial Narrow" w:cs="Times New Roman"/>
                <w:bCs/>
                <w:i/>
                <w:color w:val="000000"/>
                <w:sz w:val="18"/>
                <w:szCs w:val="18"/>
              </w:rPr>
            </w:pPr>
            <w:r w:rsidRPr="007A63AA">
              <w:rPr>
                <w:rFonts w:ascii="Arial Narrow" w:eastAsia="Times New Roman" w:hAnsi="Arial Narrow" w:cs="Times New Roman"/>
                <w:bCs/>
                <w:i/>
                <w:color w:val="000000"/>
                <w:sz w:val="18"/>
                <w:szCs w:val="18"/>
              </w:rPr>
              <w:t>Recordkeeping</w:t>
            </w:r>
          </w:p>
        </w:tc>
        <w:tc>
          <w:tcPr>
            <w:tcW w:w="1007" w:type="pct"/>
            <w:gridSpan w:val="2"/>
            <w:tcBorders>
              <w:bottom w:val="single" w:sz="12" w:space="0" w:color="auto"/>
            </w:tcBorders>
            <w:vAlign w:val="bottom"/>
          </w:tcPr>
          <w:p w14:paraId="724129E6" w14:textId="77777777" w:rsidR="007A63AA" w:rsidRPr="007A63AA" w:rsidRDefault="007A63AA" w:rsidP="001B1F39">
            <w:pPr>
              <w:keepNext/>
              <w:rPr>
                <w:rFonts w:ascii="Arial Narrow" w:eastAsia="Times New Roman" w:hAnsi="Arial Narrow" w:cs="Times New Roman"/>
                <w:b/>
                <w:bCs/>
                <w:color w:val="000000"/>
                <w:sz w:val="18"/>
                <w:szCs w:val="18"/>
              </w:rPr>
            </w:pPr>
          </w:p>
        </w:tc>
        <w:tc>
          <w:tcPr>
            <w:tcW w:w="602" w:type="pct"/>
            <w:tcBorders>
              <w:bottom w:val="single" w:sz="12" w:space="0" w:color="auto"/>
            </w:tcBorders>
            <w:vAlign w:val="center"/>
          </w:tcPr>
          <w:p w14:paraId="48F15A0F"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610" w:type="pct"/>
            <w:tcBorders>
              <w:bottom w:val="single" w:sz="12" w:space="0" w:color="auto"/>
            </w:tcBorders>
            <w:vAlign w:val="center"/>
          </w:tcPr>
          <w:p w14:paraId="6E18D4E0"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669" w:type="pct"/>
            <w:tcBorders>
              <w:left w:val="nil"/>
              <w:bottom w:val="single" w:sz="12" w:space="0" w:color="auto"/>
              <w:right w:val="single" w:sz="4" w:space="0" w:color="auto"/>
            </w:tcBorders>
            <w:vAlign w:val="center"/>
          </w:tcPr>
          <w:p w14:paraId="49AB9700"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772" w:type="pct"/>
            <w:tcBorders>
              <w:left w:val="single" w:sz="4" w:space="0" w:color="auto"/>
              <w:bottom w:val="single" w:sz="12" w:space="0" w:color="auto"/>
              <w:right w:val="single" w:sz="12" w:space="0" w:color="auto"/>
            </w:tcBorders>
            <w:noWrap/>
            <w:vAlign w:val="bottom"/>
          </w:tcPr>
          <w:p w14:paraId="56CCBE21" w14:textId="77777777" w:rsidR="007A63AA" w:rsidRPr="007A63AA" w:rsidRDefault="007A63AA" w:rsidP="001B1F39">
            <w:pPr>
              <w:keepNext/>
              <w:jc w:val="center"/>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0.063</w:t>
            </w:r>
          </w:p>
        </w:tc>
      </w:tr>
      <w:tr w:rsidR="007A63AA" w:rsidRPr="007A63AA" w14:paraId="3E7EC4FB" w14:textId="77777777" w:rsidTr="007A63AA">
        <w:trPr>
          <w:cantSplit/>
          <w:trHeight w:val="300"/>
        </w:trPr>
        <w:tc>
          <w:tcPr>
            <w:tcW w:w="4228" w:type="pct"/>
            <w:gridSpan w:val="6"/>
            <w:tcBorders>
              <w:top w:val="single" w:sz="12" w:space="0" w:color="auto"/>
              <w:left w:val="single" w:sz="12" w:space="0" w:color="auto"/>
              <w:bottom w:val="single" w:sz="12" w:space="0" w:color="auto"/>
            </w:tcBorders>
            <w:vAlign w:val="center"/>
          </w:tcPr>
          <w:p w14:paraId="27958F20" w14:textId="7F8CAFE0" w:rsidR="007A63AA" w:rsidRPr="00E02B0B" w:rsidRDefault="007A63AA" w:rsidP="00F07528">
            <w:pPr>
              <w:keepNext/>
              <w:rPr>
                <w:rFonts w:ascii="Arial Narrow" w:eastAsia="Times New Roman" w:hAnsi="Arial Narrow" w:cs="Times New Roman"/>
                <w:bCs/>
                <w:color w:val="000000"/>
                <w:sz w:val="18"/>
                <w:szCs w:val="18"/>
                <w:vertAlign w:val="superscript"/>
              </w:rPr>
            </w:pPr>
            <w:r w:rsidRPr="007A63AA">
              <w:rPr>
                <w:rFonts w:ascii="Arial Narrow" w:eastAsia="Times New Roman" w:hAnsi="Arial Narrow" w:cs="Times New Roman"/>
                <w:b/>
                <w:bCs/>
                <w:color w:val="000000"/>
                <w:sz w:val="18"/>
                <w:szCs w:val="18"/>
              </w:rPr>
              <w:t xml:space="preserve">TOTAL, </w:t>
            </w:r>
            <w:r w:rsidR="00DB16AE">
              <w:rPr>
                <w:rFonts w:ascii="Arial Narrow" w:eastAsia="Times New Roman" w:hAnsi="Arial Narrow" w:cs="Times New Roman"/>
                <w:b/>
                <w:bCs/>
                <w:color w:val="000000"/>
                <w:sz w:val="18"/>
                <w:szCs w:val="18"/>
              </w:rPr>
              <w:t>Company-Level</w:t>
            </w:r>
            <w:r w:rsidRPr="007A63AA">
              <w:rPr>
                <w:rFonts w:ascii="Arial Narrow" w:eastAsia="Times New Roman" w:hAnsi="Arial Narrow" w:cs="Times New Roman"/>
                <w:b/>
                <w:bCs/>
                <w:color w:val="000000"/>
                <w:sz w:val="18"/>
                <w:szCs w:val="18"/>
              </w:rPr>
              <w:t xml:space="preserve"> Unit Burden using Previous Reference</w:t>
            </w:r>
            <w:r w:rsidR="00D03D67">
              <w:rPr>
                <w:rFonts w:ascii="Arial Narrow" w:eastAsia="Times New Roman" w:hAnsi="Arial Narrow" w:cs="Times New Roman"/>
                <w:b/>
                <w:bCs/>
                <w:color w:val="000000"/>
                <w:sz w:val="18"/>
                <w:szCs w:val="18"/>
              </w:rPr>
              <w:t xml:space="preserve"> </w:t>
            </w:r>
            <w:r w:rsidR="00DB16AE">
              <w:rPr>
                <w:rFonts w:ascii="Arial Narrow" w:eastAsia="Times New Roman" w:hAnsi="Arial Narrow" w:cs="Times New Roman"/>
                <w:b/>
                <w:bCs/>
                <w:color w:val="000000"/>
                <w:sz w:val="18"/>
                <w:szCs w:val="18"/>
              </w:rPr>
              <w:t>to Substantiation</w:t>
            </w:r>
          </w:p>
        </w:tc>
        <w:tc>
          <w:tcPr>
            <w:tcW w:w="772" w:type="pct"/>
            <w:tcBorders>
              <w:top w:val="single" w:sz="12" w:space="0" w:color="auto"/>
              <w:bottom w:val="single" w:sz="12" w:space="0" w:color="auto"/>
              <w:right w:val="single" w:sz="12" w:space="0" w:color="auto"/>
            </w:tcBorders>
            <w:shd w:val="clear" w:color="auto" w:fill="BABEC0"/>
            <w:noWrap/>
            <w:vAlign w:val="center"/>
          </w:tcPr>
          <w:p w14:paraId="2FA094F2" w14:textId="32D7372D" w:rsidR="007A63AA" w:rsidRPr="007A63AA" w:rsidRDefault="007A63AA" w:rsidP="001B1F39">
            <w:pPr>
              <w:keepNext/>
              <w:jc w:val="center"/>
              <w:rPr>
                <w:rFonts w:ascii="Arial Narrow" w:eastAsia="Times New Roman" w:hAnsi="Arial Narrow" w:cs="Times New Roman"/>
                <w:b/>
                <w:bCs/>
                <w:color w:val="000000"/>
                <w:sz w:val="18"/>
                <w:szCs w:val="18"/>
              </w:rPr>
            </w:pPr>
            <w:r w:rsidRPr="007A63AA">
              <w:rPr>
                <w:rFonts w:ascii="Arial Narrow" w:eastAsia="Times New Roman" w:hAnsi="Arial Narrow" w:cs="Times New Roman"/>
                <w:b/>
                <w:bCs/>
                <w:color w:val="000000"/>
                <w:sz w:val="18"/>
                <w:szCs w:val="18"/>
              </w:rPr>
              <w:t>5.</w:t>
            </w:r>
            <w:r w:rsidR="001D4BD9">
              <w:rPr>
                <w:rFonts w:ascii="Arial Narrow" w:eastAsia="Times New Roman" w:hAnsi="Arial Narrow" w:cs="Times New Roman"/>
                <w:b/>
                <w:bCs/>
                <w:color w:val="000000"/>
                <w:sz w:val="18"/>
                <w:szCs w:val="18"/>
              </w:rPr>
              <w:t>0</w:t>
            </w:r>
            <w:r w:rsidRPr="007A63AA">
              <w:rPr>
                <w:rFonts w:ascii="Arial Narrow" w:eastAsia="Times New Roman" w:hAnsi="Arial Narrow" w:cs="Times New Roman"/>
                <w:b/>
                <w:bCs/>
                <w:color w:val="000000"/>
                <w:sz w:val="18"/>
                <w:szCs w:val="18"/>
              </w:rPr>
              <w:t>63</w:t>
            </w:r>
          </w:p>
        </w:tc>
      </w:tr>
      <w:tr w:rsidR="007A63AA" w:rsidRPr="007A63AA" w14:paraId="5E7F7465" w14:textId="77777777" w:rsidTr="007A63AA">
        <w:trPr>
          <w:cantSplit/>
          <w:trHeight w:val="300"/>
        </w:trPr>
        <w:tc>
          <w:tcPr>
            <w:tcW w:w="5000" w:type="pct"/>
            <w:gridSpan w:val="7"/>
            <w:tcBorders>
              <w:top w:val="single" w:sz="12" w:space="0" w:color="auto"/>
              <w:left w:val="single" w:sz="12" w:space="0" w:color="auto"/>
              <w:bottom w:val="single" w:sz="4" w:space="0" w:color="auto"/>
              <w:right w:val="single" w:sz="12" w:space="0" w:color="auto"/>
            </w:tcBorders>
            <w:shd w:val="clear" w:color="auto" w:fill="D3DEE4"/>
            <w:vAlign w:val="center"/>
          </w:tcPr>
          <w:p w14:paraId="2057AC73" w14:textId="53441F42" w:rsidR="007A63AA" w:rsidRPr="00E02B0B" w:rsidRDefault="00DB16AE" w:rsidP="00F07528">
            <w:pPr>
              <w:keepNext/>
              <w:rPr>
                <w:rFonts w:ascii="Arial Narrow" w:eastAsia="Times New Roman" w:hAnsi="Arial Narrow" w:cs="Times New Roman"/>
                <w:b/>
                <w:bCs/>
                <w:color w:val="000000"/>
                <w:sz w:val="18"/>
                <w:szCs w:val="18"/>
                <w:vertAlign w:val="superscript"/>
              </w:rPr>
            </w:pPr>
            <w:r>
              <w:rPr>
                <w:rFonts w:ascii="Arial Narrow" w:eastAsia="Times New Roman" w:hAnsi="Arial Narrow" w:cs="Times New Roman"/>
                <w:b/>
                <w:bCs/>
                <w:i/>
                <w:iCs/>
                <w:sz w:val="18"/>
                <w:szCs w:val="18"/>
              </w:rPr>
              <w:t>COMPANY-LEVEL</w:t>
            </w:r>
            <w:r w:rsidR="007A63AA" w:rsidRPr="007A63AA">
              <w:rPr>
                <w:rFonts w:ascii="Arial Narrow" w:eastAsia="Times New Roman" w:hAnsi="Arial Narrow" w:cs="Times New Roman"/>
                <w:b/>
                <w:bCs/>
                <w:i/>
                <w:iCs/>
                <w:sz w:val="18"/>
                <w:szCs w:val="18"/>
              </w:rPr>
              <w:t xml:space="preserve"> UNIT BURDEN FOR FULL SUBSTANTIATION (</w:t>
            </w:r>
            <w:r w:rsidR="001D4BD9">
              <w:rPr>
                <w:rFonts w:ascii="Arial Narrow" w:eastAsia="Times New Roman" w:hAnsi="Arial Narrow" w:cs="Times New Roman"/>
                <w:b/>
                <w:bCs/>
                <w:i/>
                <w:iCs/>
                <w:sz w:val="18"/>
                <w:szCs w:val="18"/>
              </w:rPr>
              <w:t>27</w:t>
            </w:r>
            <w:r w:rsidR="004C74BB" w:rsidRPr="007A63AA">
              <w:rPr>
                <w:rFonts w:ascii="Arial Narrow" w:eastAsia="Times New Roman" w:hAnsi="Arial Narrow" w:cs="Times New Roman"/>
                <w:b/>
                <w:bCs/>
                <w:i/>
                <w:iCs/>
                <w:sz w:val="18"/>
                <w:szCs w:val="18"/>
              </w:rPr>
              <w:t xml:space="preserve"> </w:t>
            </w:r>
            <w:r w:rsidR="007A63AA" w:rsidRPr="007A63AA">
              <w:rPr>
                <w:rFonts w:ascii="Arial Narrow" w:eastAsia="Times New Roman" w:hAnsi="Arial Narrow" w:cs="Times New Roman"/>
                <w:b/>
                <w:bCs/>
                <w:i/>
                <w:iCs/>
                <w:sz w:val="18"/>
                <w:szCs w:val="18"/>
              </w:rPr>
              <w:t>CHEMICALS)</w:t>
            </w:r>
            <w:r w:rsidR="00D03D67">
              <w:rPr>
                <w:rFonts w:ascii="Arial Narrow" w:eastAsia="Times New Roman" w:hAnsi="Arial Narrow" w:cs="Times New Roman"/>
                <w:b/>
                <w:bCs/>
                <w:i/>
                <w:iCs/>
                <w:sz w:val="18"/>
                <w:szCs w:val="18"/>
              </w:rPr>
              <w:t xml:space="preserve"> </w:t>
            </w:r>
            <w:r w:rsidR="00D03D67">
              <w:rPr>
                <w:rFonts w:ascii="Arial Narrow" w:eastAsia="Times New Roman" w:hAnsi="Arial Narrow" w:cs="Times New Roman"/>
                <w:b/>
                <w:bCs/>
                <w:i/>
                <w:iCs/>
                <w:sz w:val="18"/>
                <w:szCs w:val="18"/>
                <w:vertAlign w:val="superscript"/>
              </w:rPr>
              <w:t>2</w:t>
            </w:r>
          </w:p>
        </w:tc>
      </w:tr>
      <w:tr w:rsidR="00F07528" w:rsidRPr="007A63AA" w14:paraId="420E11C3" w14:textId="77777777" w:rsidTr="00CF5455">
        <w:trPr>
          <w:cantSplit/>
          <w:trHeight w:val="300"/>
        </w:trPr>
        <w:tc>
          <w:tcPr>
            <w:tcW w:w="1340" w:type="pct"/>
            <w:tcBorders>
              <w:top w:val="single" w:sz="4" w:space="0" w:color="auto"/>
              <w:left w:val="single" w:sz="12" w:space="0" w:color="auto"/>
            </w:tcBorders>
            <w:vAlign w:val="bottom"/>
          </w:tcPr>
          <w:p w14:paraId="5AA11E82" w14:textId="77777777" w:rsidR="007A63AA" w:rsidRPr="007A63AA" w:rsidRDefault="007A63AA" w:rsidP="001B1F39">
            <w:pPr>
              <w:keepNext/>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Rule Familiarization</w:t>
            </w:r>
          </w:p>
        </w:tc>
        <w:tc>
          <w:tcPr>
            <w:tcW w:w="1007" w:type="pct"/>
            <w:gridSpan w:val="2"/>
            <w:tcBorders>
              <w:top w:val="single" w:sz="4" w:space="0" w:color="auto"/>
            </w:tcBorders>
            <w:vAlign w:val="bottom"/>
          </w:tcPr>
          <w:p w14:paraId="721C3691" w14:textId="77777777" w:rsidR="007A63AA" w:rsidRPr="007A63AA" w:rsidRDefault="007A63AA" w:rsidP="001B1F39">
            <w:pPr>
              <w:keepNext/>
              <w:rPr>
                <w:rFonts w:ascii="Arial Narrow" w:eastAsia="Times New Roman" w:hAnsi="Arial Narrow" w:cs="Times New Roman"/>
                <w:b/>
                <w:bCs/>
                <w:color w:val="000000"/>
                <w:sz w:val="18"/>
                <w:szCs w:val="18"/>
              </w:rPr>
            </w:pPr>
          </w:p>
        </w:tc>
        <w:tc>
          <w:tcPr>
            <w:tcW w:w="602" w:type="pct"/>
            <w:tcBorders>
              <w:top w:val="single" w:sz="4" w:space="0" w:color="auto"/>
            </w:tcBorders>
            <w:vAlign w:val="center"/>
          </w:tcPr>
          <w:p w14:paraId="3F66549C"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610" w:type="pct"/>
            <w:tcBorders>
              <w:top w:val="single" w:sz="4" w:space="0" w:color="auto"/>
              <w:left w:val="nil"/>
            </w:tcBorders>
            <w:vAlign w:val="center"/>
          </w:tcPr>
          <w:p w14:paraId="53C8A8EE"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669" w:type="pct"/>
            <w:tcBorders>
              <w:top w:val="single" w:sz="4" w:space="0" w:color="auto"/>
              <w:left w:val="nil"/>
              <w:right w:val="single" w:sz="4" w:space="0" w:color="auto"/>
            </w:tcBorders>
            <w:vAlign w:val="center"/>
          </w:tcPr>
          <w:p w14:paraId="54059E82"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772" w:type="pct"/>
            <w:tcBorders>
              <w:top w:val="single" w:sz="4" w:space="0" w:color="auto"/>
              <w:left w:val="single" w:sz="4" w:space="0" w:color="auto"/>
              <w:right w:val="single" w:sz="12" w:space="0" w:color="auto"/>
            </w:tcBorders>
            <w:shd w:val="clear" w:color="auto" w:fill="auto"/>
            <w:noWrap/>
            <w:vAlign w:val="bottom"/>
          </w:tcPr>
          <w:p w14:paraId="769EB837" w14:textId="77777777" w:rsidR="007A63AA" w:rsidRPr="007A63AA" w:rsidRDefault="007A63AA" w:rsidP="001B1F39">
            <w:pPr>
              <w:keepNext/>
              <w:jc w:val="center"/>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3.000</w:t>
            </w:r>
          </w:p>
        </w:tc>
      </w:tr>
      <w:tr w:rsidR="00F07528" w:rsidRPr="007A63AA" w14:paraId="6FD685AB" w14:textId="77777777" w:rsidTr="00CF5455">
        <w:trPr>
          <w:cantSplit/>
          <w:trHeight w:val="300"/>
        </w:trPr>
        <w:tc>
          <w:tcPr>
            <w:tcW w:w="1340" w:type="pct"/>
            <w:tcBorders>
              <w:left w:val="single" w:sz="12" w:space="0" w:color="auto"/>
            </w:tcBorders>
            <w:vAlign w:val="bottom"/>
          </w:tcPr>
          <w:p w14:paraId="30CC4261" w14:textId="77777777" w:rsidR="007A63AA" w:rsidRPr="007A63AA" w:rsidRDefault="007A63AA" w:rsidP="001B1F39">
            <w:pPr>
              <w:keepNext/>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Compliance Determination</w:t>
            </w:r>
          </w:p>
        </w:tc>
        <w:tc>
          <w:tcPr>
            <w:tcW w:w="1007" w:type="pct"/>
            <w:gridSpan w:val="2"/>
            <w:vAlign w:val="bottom"/>
          </w:tcPr>
          <w:p w14:paraId="271B433B" w14:textId="77777777" w:rsidR="007A63AA" w:rsidRPr="007A63AA" w:rsidRDefault="007A63AA" w:rsidP="001B1F39">
            <w:pPr>
              <w:keepNext/>
              <w:rPr>
                <w:rFonts w:ascii="Arial Narrow" w:eastAsia="Times New Roman" w:hAnsi="Arial Narrow" w:cs="Times New Roman"/>
                <w:b/>
                <w:bCs/>
                <w:color w:val="000000"/>
                <w:sz w:val="18"/>
                <w:szCs w:val="18"/>
              </w:rPr>
            </w:pPr>
          </w:p>
        </w:tc>
        <w:tc>
          <w:tcPr>
            <w:tcW w:w="602" w:type="pct"/>
            <w:vAlign w:val="center"/>
          </w:tcPr>
          <w:p w14:paraId="5BEEE68E"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610" w:type="pct"/>
            <w:tcBorders>
              <w:left w:val="nil"/>
            </w:tcBorders>
            <w:vAlign w:val="center"/>
          </w:tcPr>
          <w:p w14:paraId="770FB14C"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669" w:type="pct"/>
            <w:tcBorders>
              <w:left w:val="nil"/>
              <w:right w:val="single" w:sz="4" w:space="0" w:color="auto"/>
            </w:tcBorders>
            <w:vAlign w:val="center"/>
          </w:tcPr>
          <w:p w14:paraId="3011970A"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772" w:type="pct"/>
            <w:tcBorders>
              <w:left w:val="single" w:sz="4" w:space="0" w:color="auto"/>
              <w:right w:val="single" w:sz="12" w:space="0" w:color="auto"/>
            </w:tcBorders>
            <w:shd w:val="clear" w:color="auto" w:fill="auto"/>
            <w:noWrap/>
            <w:vAlign w:val="bottom"/>
          </w:tcPr>
          <w:p w14:paraId="2DDC19CC" w14:textId="77777777" w:rsidR="007A63AA" w:rsidRPr="007A63AA" w:rsidRDefault="007A63AA" w:rsidP="001B1F39">
            <w:pPr>
              <w:keepNext/>
              <w:jc w:val="center"/>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0.000</w:t>
            </w:r>
          </w:p>
        </w:tc>
      </w:tr>
      <w:tr w:rsidR="00F07528" w:rsidRPr="007A63AA" w14:paraId="5E158F66" w14:textId="77777777" w:rsidTr="00CF5455">
        <w:trPr>
          <w:cantSplit/>
          <w:trHeight w:val="300"/>
        </w:trPr>
        <w:tc>
          <w:tcPr>
            <w:tcW w:w="1340" w:type="pct"/>
            <w:tcBorders>
              <w:left w:val="single" w:sz="12" w:space="0" w:color="auto"/>
              <w:bottom w:val="single" w:sz="4" w:space="0" w:color="auto"/>
            </w:tcBorders>
            <w:vAlign w:val="bottom"/>
          </w:tcPr>
          <w:p w14:paraId="13D2D3CE" w14:textId="77777777" w:rsidR="007A63AA" w:rsidRPr="007A63AA" w:rsidRDefault="007A63AA" w:rsidP="001B1F39">
            <w:pPr>
              <w:keepNext/>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Form Completion</w:t>
            </w:r>
          </w:p>
        </w:tc>
        <w:tc>
          <w:tcPr>
            <w:tcW w:w="1007" w:type="pct"/>
            <w:gridSpan w:val="2"/>
            <w:tcBorders>
              <w:bottom w:val="single" w:sz="4" w:space="0" w:color="auto"/>
            </w:tcBorders>
            <w:vAlign w:val="bottom"/>
          </w:tcPr>
          <w:p w14:paraId="1A1441DB" w14:textId="77777777" w:rsidR="007A63AA" w:rsidRPr="007A63AA" w:rsidRDefault="007A63AA" w:rsidP="001B1F39">
            <w:pPr>
              <w:keepNext/>
              <w:rPr>
                <w:rFonts w:ascii="Arial Narrow" w:eastAsia="Times New Roman" w:hAnsi="Arial Narrow" w:cs="Times New Roman"/>
                <w:b/>
                <w:bCs/>
                <w:color w:val="000000"/>
                <w:sz w:val="18"/>
                <w:szCs w:val="18"/>
              </w:rPr>
            </w:pPr>
          </w:p>
        </w:tc>
        <w:tc>
          <w:tcPr>
            <w:tcW w:w="602" w:type="pct"/>
            <w:tcBorders>
              <w:bottom w:val="single" w:sz="4" w:space="0" w:color="auto"/>
            </w:tcBorders>
            <w:vAlign w:val="center"/>
          </w:tcPr>
          <w:p w14:paraId="162F34FE"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610" w:type="pct"/>
            <w:tcBorders>
              <w:left w:val="nil"/>
              <w:bottom w:val="single" w:sz="4" w:space="0" w:color="auto"/>
            </w:tcBorders>
            <w:vAlign w:val="center"/>
          </w:tcPr>
          <w:p w14:paraId="2C10C439"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669" w:type="pct"/>
            <w:tcBorders>
              <w:left w:val="nil"/>
              <w:bottom w:val="single" w:sz="4" w:space="0" w:color="auto"/>
              <w:right w:val="single" w:sz="4" w:space="0" w:color="auto"/>
            </w:tcBorders>
            <w:vAlign w:val="center"/>
          </w:tcPr>
          <w:p w14:paraId="1A449148" w14:textId="77777777" w:rsidR="007A63AA" w:rsidRPr="007A63AA" w:rsidRDefault="007A63AA" w:rsidP="001B1F39">
            <w:pPr>
              <w:keepNext/>
              <w:jc w:val="center"/>
              <w:rPr>
                <w:rFonts w:ascii="Arial Narrow" w:eastAsia="Times New Roman" w:hAnsi="Arial Narrow" w:cs="Times New Roman"/>
                <w:bCs/>
                <w:color w:val="000000"/>
                <w:sz w:val="18"/>
                <w:szCs w:val="18"/>
              </w:rPr>
            </w:pPr>
          </w:p>
        </w:tc>
        <w:tc>
          <w:tcPr>
            <w:tcW w:w="772" w:type="pct"/>
            <w:tcBorders>
              <w:left w:val="single" w:sz="4" w:space="0" w:color="auto"/>
              <w:bottom w:val="single" w:sz="4" w:space="0" w:color="auto"/>
              <w:right w:val="single" w:sz="12" w:space="0" w:color="auto"/>
            </w:tcBorders>
            <w:shd w:val="clear" w:color="auto" w:fill="auto"/>
            <w:noWrap/>
            <w:vAlign w:val="bottom"/>
          </w:tcPr>
          <w:p w14:paraId="53863113" w14:textId="09D04E9C" w:rsidR="007A63AA" w:rsidRPr="007A63AA" w:rsidRDefault="004C74BB" w:rsidP="001B1F39">
            <w:pPr>
              <w:keepNext/>
              <w:jc w:val="center"/>
              <w:rPr>
                <w:rFonts w:ascii="Arial Narrow" w:eastAsia="Times New Roman" w:hAnsi="Arial Narrow" w:cs="Times New Roman"/>
                <w:bCs/>
                <w:color w:val="000000"/>
                <w:sz w:val="18"/>
                <w:szCs w:val="18"/>
              </w:rPr>
            </w:pPr>
            <w:r>
              <w:rPr>
                <w:rFonts w:ascii="Arial Narrow" w:eastAsia="Times New Roman" w:hAnsi="Arial Narrow" w:cs="Times New Roman"/>
                <w:bCs/>
                <w:color w:val="000000"/>
                <w:sz w:val="18"/>
                <w:szCs w:val="18"/>
              </w:rPr>
              <w:t>3</w:t>
            </w:r>
            <w:r w:rsidR="001D4BD9">
              <w:rPr>
                <w:rFonts w:ascii="Arial Narrow" w:eastAsia="Times New Roman" w:hAnsi="Arial Narrow" w:cs="Times New Roman"/>
                <w:bCs/>
                <w:color w:val="000000"/>
                <w:sz w:val="18"/>
                <w:szCs w:val="18"/>
              </w:rPr>
              <w:t>1</w:t>
            </w:r>
            <w:r>
              <w:rPr>
                <w:rFonts w:ascii="Arial Narrow" w:eastAsia="Times New Roman" w:hAnsi="Arial Narrow" w:cs="Times New Roman"/>
                <w:bCs/>
                <w:color w:val="000000"/>
                <w:sz w:val="18"/>
                <w:szCs w:val="18"/>
              </w:rPr>
              <w:t>.</w:t>
            </w:r>
            <w:r w:rsidR="001D4BD9">
              <w:rPr>
                <w:rFonts w:ascii="Arial Narrow" w:eastAsia="Times New Roman" w:hAnsi="Arial Narrow" w:cs="Times New Roman"/>
                <w:bCs/>
                <w:color w:val="000000"/>
                <w:sz w:val="18"/>
                <w:szCs w:val="18"/>
              </w:rPr>
              <w:t>0</w:t>
            </w:r>
            <w:r>
              <w:rPr>
                <w:rFonts w:ascii="Arial Narrow" w:eastAsia="Times New Roman" w:hAnsi="Arial Narrow" w:cs="Times New Roman"/>
                <w:bCs/>
                <w:color w:val="000000"/>
                <w:sz w:val="18"/>
                <w:szCs w:val="18"/>
              </w:rPr>
              <w:t>50</w:t>
            </w:r>
          </w:p>
        </w:tc>
      </w:tr>
      <w:tr w:rsidR="007A63AA" w:rsidRPr="007A63AA" w14:paraId="5B4CA4D6" w14:textId="77777777" w:rsidTr="00602C74">
        <w:trPr>
          <w:cantSplit/>
          <w:trHeight w:val="300"/>
        </w:trPr>
        <w:tc>
          <w:tcPr>
            <w:tcW w:w="4228" w:type="pct"/>
            <w:gridSpan w:val="6"/>
            <w:tcBorders>
              <w:top w:val="single" w:sz="4" w:space="0" w:color="auto"/>
              <w:left w:val="single" w:sz="12" w:space="0" w:color="auto"/>
              <w:right w:val="single" w:sz="4" w:space="0" w:color="auto"/>
            </w:tcBorders>
            <w:vAlign w:val="bottom"/>
          </w:tcPr>
          <w:p w14:paraId="7C2B32AA" w14:textId="776FFC9E" w:rsidR="007A63AA" w:rsidRPr="007A63AA" w:rsidRDefault="007A63AA">
            <w:pPr>
              <w:keepNext/>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 xml:space="preserve">Average Burden per Company without Recordkeeping </w:t>
            </w:r>
          </w:p>
        </w:tc>
        <w:tc>
          <w:tcPr>
            <w:tcW w:w="772" w:type="pct"/>
            <w:tcBorders>
              <w:top w:val="single" w:sz="4" w:space="0" w:color="auto"/>
              <w:left w:val="single" w:sz="4" w:space="0" w:color="auto"/>
              <w:right w:val="single" w:sz="12" w:space="0" w:color="auto"/>
            </w:tcBorders>
            <w:shd w:val="clear" w:color="auto" w:fill="auto"/>
            <w:noWrap/>
            <w:vAlign w:val="bottom"/>
          </w:tcPr>
          <w:p w14:paraId="20439234" w14:textId="17647910" w:rsidR="007A63AA" w:rsidRPr="007A63AA" w:rsidRDefault="004C74BB" w:rsidP="001B1F39">
            <w:pPr>
              <w:keepNext/>
              <w:jc w:val="center"/>
              <w:rPr>
                <w:rFonts w:ascii="Arial Narrow" w:eastAsia="Times New Roman" w:hAnsi="Arial Narrow" w:cs="Times New Roman"/>
                <w:bCs/>
                <w:color w:val="000000"/>
                <w:sz w:val="18"/>
                <w:szCs w:val="18"/>
              </w:rPr>
            </w:pPr>
            <w:r>
              <w:rPr>
                <w:rFonts w:ascii="Arial Narrow" w:eastAsia="Times New Roman" w:hAnsi="Arial Narrow" w:cs="Times New Roman"/>
                <w:bCs/>
                <w:color w:val="000000"/>
                <w:sz w:val="18"/>
                <w:szCs w:val="18"/>
              </w:rPr>
              <w:t>3</w:t>
            </w:r>
            <w:r w:rsidR="001D4BD9">
              <w:rPr>
                <w:rFonts w:ascii="Arial Narrow" w:eastAsia="Times New Roman" w:hAnsi="Arial Narrow" w:cs="Times New Roman"/>
                <w:bCs/>
                <w:color w:val="000000"/>
                <w:sz w:val="18"/>
                <w:szCs w:val="18"/>
              </w:rPr>
              <w:t>4</w:t>
            </w:r>
            <w:r>
              <w:rPr>
                <w:rFonts w:ascii="Arial Narrow" w:eastAsia="Times New Roman" w:hAnsi="Arial Narrow" w:cs="Times New Roman"/>
                <w:bCs/>
                <w:color w:val="000000"/>
                <w:sz w:val="18"/>
                <w:szCs w:val="18"/>
              </w:rPr>
              <w:t>.</w:t>
            </w:r>
            <w:r w:rsidR="001D4BD9">
              <w:rPr>
                <w:rFonts w:ascii="Arial Narrow" w:eastAsia="Times New Roman" w:hAnsi="Arial Narrow" w:cs="Times New Roman"/>
                <w:bCs/>
                <w:color w:val="000000"/>
                <w:sz w:val="18"/>
                <w:szCs w:val="18"/>
              </w:rPr>
              <w:t>0</w:t>
            </w:r>
            <w:r>
              <w:rPr>
                <w:rFonts w:ascii="Arial Narrow" w:eastAsia="Times New Roman" w:hAnsi="Arial Narrow" w:cs="Times New Roman"/>
                <w:bCs/>
                <w:color w:val="000000"/>
                <w:sz w:val="18"/>
                <w:szCs w:val="18"/>
              </w:rPr>
              <w:t>50</w:t>
            </w:r>
          </w:p>
        </w:tc>
      </w:tr>
      <w:tr w:rsidR="00F07528" w:rsidRPr="007A63AA" w14:paraId="1D910DE6" w14:textId="77777777" w:rsidTr="00CF5455">
        <w:trPr>
          <w:cantSplit/>
          <w:trHeight w:val="300"/>
        </w:trPr>
        <w:tc>
          <w:tcPr>
            <w:tcW w:w="1340" w:type="pct"/>
            <w:tcBorders>
              <w:left w:val="single" w:sz="12" w:space="0" w:color="auto"/>
              <w:bottom w:val="single" w:sz="12" w:space="0" w:color="auto"/>
            </w:tcBorders>
            <w:vAlign w:val="bottom"/>
          </w:tcPr>
          <w:p w14:paraId="265C9EAE" w14:textId="77777777" w:rsidR="007A63AA" w:rsidRPr="007A63AA" w:rsidRDefault="007A63AA" w:rsidP="007A63AA">
            <w:pPr>
              <w:rPr>
                <w:rFonts w:ascii="Arial Narrow" w:eastAsia="Times New Roman" w:hAnsi="Arial Narrow" w:cs="Times New Roman"/>
                <w:bCs/>
                <w:i/>
                <w:color w:val="000000"/>
                <w:sz w:val="18"/>
                <w:szCs w:val="18"/>
              </w:rPr>
            </w:pPr>
            <w:r w:rsidRPr="007A63AA">
              <w:rPr>
                <w:rFonts w:ascii="Arial Narrow" w:eastAsia="Times New Roman" w:hAnsi="Arial Narrow" w:cs="Times New Roman"/>
                <w:bCs/>
                <w:i/>
                <w:color w:val="000000"/>
                <w:sz w:val="18"/>
                <w:szCs w:val="18"/>
              </w:rPr>
              <w:t>Recordkeeping</w:t>
            </w:r>
          </w:p>
        </w:tc>
        <w:tc>
          <w:tcPr>
            <w:tcW w:w="1007" w:type="pct"/>
            <w:gridSpan w:val="2"/>
            <w:tcBorders>
              <w:bottom w:val="single" w:sz="12" w:space="0" w:color="auto"/>
            </w:tcBorders>
            <w:vAlign w:val="bottom"/>
          </w:tcPr>
          <w:p w14:paraId="4A403321" w14:textId="77777777" w:rsidR="007A63AA" w:rsidRPr="007A63AA" w:rsidRDefault="007A63AA" w:rsidP="007A63AA">
            <w:pPr>
              <w:rPr>
                <w:rFonts w:ascii="Arial Narrow" w:eastAsia="Times New Roman" w:hAnsi="Arial Narrow" w:cs="Times New Roman"/>
                <w:b/>
                <w:bCs/>
                <w:color w:val="000000"/>
                <w:sz w:val="18"/>
                <w:szCs w:val="18"/>
              </w:rPr>
            </w:pPr>
          </w:p>
        </w:tc>
        <w:tc>
          <w:tcPr>
            <w:tcW w:w="602" w:type="pct"/>
            <w:tcBorders>
              <w:bottom w:val="single" w:sz="12" w:space="0" w:color="auto"/>
            </w:tcBorders>
            <w:vAlign w:val="center"/>
          </w:tcPr>
          <w:p w14:paraId="1BF6627D" w14:textId="77777777" w:rsidR="007A63AA" w:rsidRPr="007A63AA" w:rsidRDefault="007A63AA" w:rsidP="007A63AA">
            <w:pPr>
              <w:jc w:val="center"/>
              <w:rPr>
                <w:rFonts w:ascii="Arial Narrow" w:eastAsia="Times New Roman" w:hAnsi="Arial Narrow" w:cs="Times New Roman"/>
                <w:bCs/>
                <w:color w:val="000000"/>
                <w:sz w:val="18"/>
                <w:szCs w:val="18"/>
              </w:rPr>
            </w:pPr>
          </w:p>
        </w:tc>
        <w:tc>
          <w:tcPr>
            <w:tcW w:w="610" w:type="pct"/>
            <w:tcBorders>
              <w:left w:val="nil"/>
              <w:bottom w:val="single" w:sz="12" w:space="0" w:color="auto"/>
            </w:tcBorders>
            <w:vAlign w:val="center"/>
          </w:tcPr>
          <w:p w14:paraId="562D25A8" w14:textId="77777777" w:rsidR="007A63AA" w:rsidRPr="007A63AA" w:rsidRDefault="007A63AA" w:rsidP="007A63AA">
            <w:pPr>
              <w:jc w:val="center"/>
              <w:rPr>
                <w:rFonts w:ascii="Arial Narrow" w:eastAsia="Times New Roman" w:hAnsi="Arial Narrow" w:cs="Times New Roman"/>
                <w:bCs/>
                <w:color w:val="000000"/>
                <w:sz w:val="18"/>
                <w:szCs w:val="18"/>
              </w:rPr>
            </w:pPr>
          </w:p>
        </w:tc>
        <w:tc>
          <w:tcPr>
            <w:tcW w:w="669" w:type="pct"/>
            <w:tcBorders>
              <w:left w:val="nil"/>
              <w:bottom w:val="single" w:sz="12" w:space="0" w:color="auto"/>
              <w:right w:val="single" w:sz="4" w:space="0" w:color="auto"/>
            </w:tcBorders>
            <w:vAlign w:val="center"/>
          </w:tcPr>
          <w:p w14:paraId="1D0A8C7A" w14:textId="77777777" w:rsidR="007A63AA" w:rsidRPr="007A63AA" w:rsidRDefault="007A63AA" w:rsidP="007A63AA">
            <w:pPr>
              <w:jc w:val="center"/>
              <w:rPr>
                <w:rFonts w:ascii="Arial Narrow" w:eastAsia="Times New Roman" w:hAnsi="Arial Narrow" w:cs="Times New Roman"/>
                <w:bCs/>
                <w:color w:val="000000"/>
                <w:sz w:val="18"/>
                <w:szCs w:val="18"/>
              </w:rPr>
            </w:pPr>
          </w:p>
        </w:tc>
        <w:tc>
          <w:tcPr>
            <w:tcW w:w="772" w:type="pct"/>
            <w:tcBorders>
              <w:left w:val="single" w:sz="4" w:space="0" w:color="auto"/>
              <w:bottom w:val="single" w:sz="12" w:space="0" w:color="auto"/>
              <w:right w:val="single" w:sz="12" w:space="0" w:color="auto"/>
            </w:tcBorders>
            <w:shd w:val="clear" w:color="auto" w:fill="auto"/>
            <w:noWrap/>
            <w:vAlign w:val="bottom"/>
          </w:tcPr>
          <w:p w14:paraId="38BBF41F" w14:textId="77777777" w:rsidR="007A63AA" w:rsidRPr="007A63AA" w:rsidRDefault="007A63AA" w:rsidP="007A63AA">
            <w:pPr>
              <w:jc w:val="center"/>
              <w:rPr>
                <w:rFonts w:ascii="Arial Narrow" w:eastAsia="Times New Roman" w:hAnsi="Arial Narrow" w:cs="Times New Roman"/>
                <w:bCs/>
                <w:color w:val="000000"/>
                <w:sz w:val="18"/>
                <w:szCs w:val="18"/>
              </w:rPr>
            </w:pPr>
            <w:r w:rsidRPr="007A63AA">
              <w:rPr>
                <w:rFonts w:ascii="Arial Narrow" w:eastAsia="Times New Roman" w:hAnsi="Arial Narrow" w:cs="Times New Roman"/>
                <w:bCs/>
                <w:color w:val="000000"/>
                <w:sz w:val="18"/>
                <w:szCs w:val="18"/>
              </w:rPr>
              <w:t>0.063</w:t>
            </w:r>
          </w:p>
        </w:tc>
      </w:tr>
      <w:tr w:rsidR="007A63AA" w:rsidRPr="007A63AA" w14:paraId="4E8091B9" w14:textId="77777777" w:rsidTr="007A63AA">
        <w:trPr>
          <w:cantSplit/>
          <w:trHeight w:val="300"/>
        </w:trPr>
        <w:tc>
          <w:tcPr>
            <w:tcW w:w="4228" w:type="pct"/>
            <w:gridSpan w:val="6"/>
            <w:tcBorders>
              <w:top w:val="single" w:sz="12" w:space="0" w:color="auto"/>
              <w:left w:val="single" w:sz="12" w:space="0" w:color="auto"/>
              <w:bottom w:val="single" w:sz="12" w:space="0" w:color="auto"/>
            </w:tcBorders>
            <w:vAlign w:val="center"/>
          </w:tcPr>
          <w:p w14:paraId="60CEF2B7" w14:textId="5EE7543E" w:rsidR="007A63AA" w:rsidRPr="00602C74" w:rsidRDefault="007A63AA" w:rsidP="00F07528">
            <w:pPr>
              <w:rPr>
                <w:rFonts w:ascii="Arial Narrow" w:hAnsi="Arial Narrow"/>
                <w:color w:val="000000"/>
                <w:sz w:val="18"/>
                <w:vertAlign w:val="superscript"/>
              </w:rPr>
            </w:pPr>
            <w:r w:rsidRPr="007A63AA">
              <w:rPr>
                <w:rFonts w:ascii="Arial Narrow" w:eastAsia="Times New Roman" w:hAnsi="Arial Narrow" w:cs="Times New Roman"/>
                <w:b/>
                <w:bCs/>
                <w:color w:val="000000"/>
                <w:sz w:val="18"/>
                <w:szCs w:val="18"/>
              </w:rPr>
              <w:t xml:space="preserve">TOTAL, </w:t>
            </w:r>
            <w:r w:rsidR="00DB16AE">
              <w:rPr>
                <w:rFonts w:ascii="Arial Narrow" w:eastAsia="Times New Roman" w:hAnsi="Arial Narrow" w:cs="Times New Roman"/>
                <w:b/>
                <w:bCs/>
                <w:color w:val="000000"/>
                <w:sz w:val="18"/>
                <w:szCs w:val="18"/>
              </w:rPr>
              <w:t xml:space="preserve">Company-Level </w:t>
            </w:r>
            <w:r w:rsidRPr="007A63AA">
              <w:rPr>
                <w:rFonts w:ascii="Arial Narrow" w:eastAsia="Times New Roman" w:hAnsi="Arial Narrow" w:cs="Times New Roman"/>
                <w:b/>
                <w:bCs/>
                <w:color w:val="000000"/>
                <w:sz w:val="18"/>
                <w:szCs w:val="18"/>
              </w:rPr>
              <w:t>Unit Burden with Full Submission</w:t>
            </w:r>
            <w:r w:rsidR="00D03D67">
              <w:rPr>
                <w:rFonts w:ascii="Arial Narrow" w:eastAsia="Times New Roman" w:hAnsi="Arial Narrow" w:cs="Times New Roman"/>
                <w:b/>
                <w:bCs/>
                <w:color w:val="000000"/>
                <w:sz w:val="18"/>
                <w:szCs w:val="18"/>
              </w:rPr>
              <w:t xml:space="preserve"> </w:t>
            </w:r>
            <w:r w:rsidR="00DB16AE">
              <w:rPr>
                <w:rFonts w:ascii="Arial Narrow" w:eastAsia="Times New Roman" w:hAnsi="Arial Narrow" w:cs="Times New Roman"/>
                <w:b/>
                <w:bCs/>
                <w:color w:val="000000"/>
                <w:sz w:val="18"/>
                <w:szCs w:val="18"/>
              </w:rPr>
              <w:t>of Substantiation</w:t>
            </w:r>
          </w:p>
        </w:tc>
        <w:tc>
          <w:tcPr>
            <w:tcW w:w="772" w:type="pct"/>
            <w:tcBorders>
              <w:top w:val="single" w:sz="12" w:space="0" w:color="auto"/>
              <w:bottom w:val="single" w:sz="12" w:space="0" w:color="auto"/>
              <w:right w:val="single" w:sz="12" w:space="0" w:color="auto"/>
            </w:tcBorders>
            <w:shd w:val="clear" w:color="auto" w:fill="BABEC0"/>
            <w:noWrap/>
            <w:vAlign w:val="center"/>
          </w:tcPr>
          <w:p w14:paraId="7E423F3A" w14:textId="04850BBF" w:rsidR="007A63AA" w:rsidRPr="007A63AA" w:rsidRDefault="004C74BB" w:rsidP="007A63AA">
            <w:pPr>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3</w:t>
            </w:r>
            <w:r w:rsidR="001D4BD9">
              <w:rPr>
                <w:rFonts w:ascii="Arial Narrow" w:eastAsia="Times New Roman" w:hAnsi="Arial Narrow" w:cs="Times New Roman"/>
                <w:b/>
                <w:bCs/>
                <w:color w:val="000000"/>
                <w:sz w:val="18"/>
                <w:szCs w:val="18"/>
              </w:rPr>
              <w:t>4</w:t>
            </w:r>
            <w:r>
              <w:rPr>
                <w:rFonts w:ascii="Arial Narrow" w:eastAsia="Times New Roman" w:hAnsi="Arial Narrow" w:cs="Times New Roman"/>
                <w:b/>
                <w:bCs/>
                <w:color w:val="000000"/>
                <w:sz w:val="18"/>
                <w:szCs w:val="18"/>
              </w:rPr>
              <w:t>.</w:t>
            </w:r>
            <w:r w:rsidR="001D4BD9">
              <w:rPr>
                <w:rFonts w:ascii="Arial Narrow" w:eastAsia="Times New Roman" w:hAnsi="Arial Narrow" w:cs="Times New Roman"/>
                <w:b/>
                <w:bCs/>
                <w:color w:val="000000"/>
                <w:sz w:val="18"/>
                <w:szCs w:val="18"/>
              </w:rPr>
              <w:t>1</w:t>
            </w:r>
            <w:r>
              <w:rPr>
                <w:rFonts w:ascii="Arial Narrow" w:eastAsia="Times New Roman" w:hAnsi="Arial Narrow" w:cs="Times New Roman"/>
                <w:b/>
                <w:bCs/>
                <w:color w:val="000000"/>
                <w:sz w:val="18"/>
                <w:szCs w:val="18"/>
              </w:rPr>
              <w:t>13</w:t>
            </w:r>
          </w:p>
        </w:tc>
      </w:tr>
      <w:tr w:rsidR="004B218D" w:rsidRPr="007A63AA" w14:paraId="6EB1A5C2" w14:textId="77777777" w:rsidTr="00E02B0B">
        <w:trPr>
          <w:cantSplit/>
          <w:trHeight w:val="300"/>
        </w:trPr>
        <w:tc>
          <w:tcPr>
            <w:tcW w:w="5000"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4465583C" w14:textId="1675225B" w:rsidR="004B218D" w:rsidRPr="00E02B0B" w:rsidRDefault="004B218D" w:rsidP="004B218D">
            <w:pPr>
              <w:rPr>
                <w:rFonts w:ascii="Arial Narrow" w:eastAsia="Times New Roman" w:hAnsi="Arial Narrow" w:cs="Times New Roman"/>
                <w:b/>
                <w:bCs/>
                <w:color w:val="000000"/>
                <w:sz w:val="18"/>
                <w:szCs w:val="18"/>
              </w:rPr>
            </w:pPr>
            <w:r w:rsidRPr="00E02B0B">
              <w:rPr>
                <w:rFonts w:ascii="Arial Narrow" w:eastAsia="Times New Roman" w:hAnsi="Arial Narrow" w:cs="Times New Roman"/>
                <w:b/>
                <w:bCs/>
                <w:color w:val="000000"/>
                <w:sz w:val="18"/>
                <w:szCs w:val="18"/>
              </w:rPr>
              <w:t>General Note</w:t>
            </w:r>
          </w:p>
          <w:p w14:paraId="587A2342" w14:textId="6B97BC11" w:rsidR="004B218D" w:rsidRDefault="004B218D" w:rsidP="00E02B0B">
            <w:pPr>
              <w:rPr>
                <w:rFonts w:ascii="Arial Narrow" w:eastAsia="Times New Roman" w:hAnsi="Arial Narrow" w:cs="Times New Roman"/>
                <w:bCs/>
                <w:i/>
                <w:color w:val="000000"/>
                <w:sz w:val="18"/>
                <w:szCs w:val="18"/>
              </w:rPr>
            </w:pPr>
            <w:r>
              <w:rPr>
                <w:rFonts w:ascii="Arial Narrow" w:eastAsia="Times New Roman" w:hAnsi="Arial Narrow" w:cs="Times New Roman"/>
                <w:bCs/>
                <w:color w:val="000000"/>
                <w:sz w:val="18"/>
                <w:szCs w:val="18"/>
              </w:rPr>
              <w:t>Derivation of unit burden estimates are detailed in</w:t>
            </w:r>
            <w:r w:rsidR="00F15D42">
              <w:rPr>
                <w:rFonts w:ascii="Arial Narrow" w:eastAsia="Times New Roman" w:hAnsi="Arial Narrow" w:cs="Times New Roman"/>
                <w:bCs/>
                <w:color w:val="000000"/>
                <w:sz w:val="18"/>
                <w:szCs w:val="18"/>
              </w:rPr>
              <w:t xml:space="preserve"> Table 3</w:t>
            </w:r>
            <w:r w:rsidR="00BB1DCE">
              <w:rPr>
                <w:rFonts w:ascii="Arial Narrow" w:eastAsia="Times New Roman" w:hAnsi="Arial Narrow" w:cs="Times New Roman"/>
                <w:bCs/>
                <w:color w:val="000000"/>
                <w:sz w:val="18"/>
                <w:szCs w:val="18"/>
              </w:rPr>
              <w:t xml:space="preserve"> in EPA</w:t>
            </w:r>
            <w:r w:rsidR="00F15D42">
              <w:rPr>
                <w:rFonts w:ascii="Arial Narrow" w:eastAsia="Times New Roman" w:hAnsi="Arial Narrow" w:cs="Times New Roman"/>
                <w:bCs/>
                <w:color w:val="000000"/>
                <w:sz w:val="18"/>
                <w:szCs w:val="18"/>
              </w:rPr>
              <w:t xml:space="preserve"> </w:t>
            </w:r>
            <w:r>
              <w:rPr>
                <w:rFonts w:ascii="Arial Narrow" w:eastAsia="Times New Roman" w:hAnsi="Arial Narrow" w:cs="Times New Roman"/>
                <w:bCs/>
                <w:i/>
                <w:color w:val="000000"/>
                <w:sz w:val="18"/>
                <w:szCs w:val="18"/>
              </w:rPr>
              <w:t>.</w:t>
            </w:r>
          </w:p>
          <w:p w14:paraId="60A78A65" w14:textId="77777777" w:rsidR="00D03D67" w:rsidRDefault="00D03D67" w:rsidP="00E02B0B">
            <w:pP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Footnotes</w:t>
            </w:r>
          </w:p>
          <w:p w14:paraId="144CB867" w14:textId="3716C772" w:rsidR="00D03D67" w:rsidRPr="009E74F1" w:rsidRDefault="00D03D67" w:rsidP="00D03D67">
            <w:pPr>
              <w:spacing w:beforeLines="20" w:before="48" w:afterLines="20" w:after="48" w:line="264" w:lineRule="auto"/>
              <w:contextualSpacing/>
              <w:rPr>
                <w:rFonts w:ascii="Arial Narrow" w:hAnsi="Arial Narrow"/>
                <w:bCs/>
                <w:color w:val="000000"/>
                <w:sz w:val="18"/>
                <w:szCs w:val="18"/>
                <w:vertAlign w:val="superscript"/>
              </w:rPr>
            </w:pPr>
            <w:r w:rsidRPr="009E74F1">
              <w:rPr>
                <w:rFonts w:ascii="Arial Narrow" w:hAnsi="Arial Narrow"/>
                <w:bCs/>
                <w:color w:val="000000"/>
                <w:sz w:val="18"/>
                <w:szCs w:val="18"/>
                <w:vertAlign w:val="superscript"/>
              </w:rPr>
              <w:t xml:space="preserve">1 </w:t>
            </w:r>
            <w:r w:rsidRPr="009E74F1">
              <w:rPr>
                <w:rFonts w:ascii="Arial Narrow" w:hAnsi="Arial Narrow"/>
                <w:color w:val="000000"/>
                <w:sz w:val="18"/>
                <w:szCs w:val="18"/>
              </w:rPr>
              <w:t>An average company is expected to report f</w:t>
            </w:r>
            <w:r w:rsidR="001D4BD9">
              <w:rPr>
                <w:rFonts w:ascii="Arial Narrow" w:hAnsi="Arial Narrow"/>
                <w:color w:val="000000"/>
                <w:sz w:val="18"/>
                <w:szCs w:val="18"/>
              </w:rPr>
              <w:t>our</w:t>
            </w:r>
            <w:r w:rsidRPr="009E74F1">
              <w:rPr>
                <w:rFonts w:ascii="Arial Narrow" w:hAnsi="Arial Narrow"/>
                <w:color w:val="000000"/>
                <w:sz w:val="18"/>
                <w:szCs w:val="18"/>
              </w:rPr>
              <w:t xml:space="preserve"> chemicals, as derived from NOA submissions .</w:t>
            </w:r>
            <w:r w:rsidRPr="009E74F1">
              <w:rPr>
                <w:rFonts w:ascii="Arial Narrow" w:hAnsi="Arial Narrow"/>
                <w:bCs/>
                <w:color w:val="000000"/>
                <w:sz w:val="18"/>
                <w:szCs w:val="18"/>
                <w:vertAlign w:val="superscript"/>
              </w:rPr>
              <w:t xml:space="preserve"> </w:t>
            </w:r>
          </w:p>
          <w:p w14:paraId="6A919944" w14:textId="7FEE3036" w:rsidR="00D03D67" w:rsidRPr="005C4A2E" w:rsidRDefault="00D03D67" w:rsidP="00E02B0B">
            <w:pPr>
              <w:rPr>
                <w:rFonts w:ascii="Arial Narrow" w:eastAsia="Times New Roman" w:hAnsi="Arial Narrow" w:cs="Times New Roman"/>
                <w:b/>
                <w:bCs/>
                <w:color w:val="000000"/>
                <w:sz w:val="18"/>
                <w:szCs w:val="18"/>
              </w:rPr>
            </w:pPr>
            <w:r w:rsidRPr="009E74F1">
              <w:rPr>
                <w:rFonts w:ascii="Arial Narrow" w:hAnsi="Arial Narrow"/>
                <w:bCs/>
                <w:color w:val="000000"/>
                <w:sz w:val="18"/>
                <w:szCs w:val="18"/>
                <w:vertAlign w:val="superscript"/>
              </w:rPr>
              <w:t xml:space="preserve">2 </w:t>
            </w:r>
            <w:r w:rsidRPr="009E74F1">
              <w:rPr>
                <w:rFonts w:ascii="Arial Narrow" w:hAnsi="Arial Narrow"/>
                <w:color w:val="000000"/>
                <w:sz w:val="18"/>
                <w:szCs w:val="18"/>
              </w:rPr>
              <w:t xml:space="preserve">An average company is expected to report </w:t>
            </w:r>
            <w:r w:rsidR="001D4BD9">
              <w:rPr>
                <w:rFonts w:ascii="Arial Narrow" w:hAnsi="Arial Narrow"/>
                <w:color w:val="000000"/>
                <w:sz w:val="18"/>
                <w:szCs w:val="18"/>
              </w:rPr>
              <w:t>27</w:t>
            </w:r>
            <w:r w:rsidRPr="009E74F1">
              <w:rPr>
                <w:rFonts w:ascii="Arial Narrow" w:hAnsi="Arial Narrow"/>
                <w:color w:val="000000"/>
                <w:sz w:val="18"/>
                <w:szCs w:val="18"/>
              </w:rPr>
              <w:t xml:space="preserve"> chemicals, as derived from NOA submissions .</w:t>
            </w:r>
          </w:p>
        </w:tc>
      </w:tr>
    </w:tbl>
    <w:p w14:paraId="611D93CF" w14:textId="77777777" w:rsidR="00126678" w:rsidRDefault="00126678" w:rsidP="00126678"/>
    <w:p w14:paraId="12F59DE1" w14:textId="10D5D2A7" w:rsidR="00126678" w:rsidRDefault="00126678" w:rsidP="0083485C">
      <w:pPr>
        <w:pStyle w:val="Heading2"/>
      </w:pPr>
      <w:r>
        <w:t>Estimating Respondent Cost</w:t>
      </w:r>
    </w:p>
    <w:p w14:paraId="699927D8" w14:textId="30D233B3" w:rsidR="00B277D3" w:rsidRDefault="00126678" w:rsidP="00126678">
      <w:r>
        <w:t xml:space="preserve">Estimation of industry </w:t>
      </w:r>
      <w:r w:rsidR="0070495C">
        <w:t xml:space="preserve">unit </w:t>
      </w:r>
      <w:r>
        <w:t>cost</w:t>
      </w:r>
      <w:r w:rsidR="0070495C">
        <w:t xml:space="preserve"> per submission</w:t>
      </w:r>
      <w:r>
        <w:t xml:space="preserve"> involves combining the </w:t>
      </w:r>
      <w:r w:rsidR="0070495C">
        <w:t>activity-level unit burdens</w:t>
      </w:r>
      <w:r>
        <w:t xml:space="preserve"> identified in Section 6(a) with wage data </w:t>
      </w:r>
      <w:r w:rsidR="0070495C">
        <w:t>(</w:t>
      </w:r>
      <w:r>
        <w:t>for December 2017</w:t>
      </w:r>
      <w:r w:rsidR="0070495C">
        <w:t>)</w:t>
      </w:r>
      <w:r>
        <w:t xml:space="preserve"> from the B</w:t>
      </w:r>
      <w:r w:rsidR="00A7763C">
        <w:t xml:space="preserve">ureau of </w:t>
      </w:r>
      <w:r>
        <w:t>L</w:t>
      </w:r>
      <w:r w:rsidR="00A7763C">
        <w:t xml:space="preserve">abor </w:t>
      </w:r>
      <w:r>
        <w:t>S</w:t>
      </w:r>
      <w:r w:rsidR="00A7763C">
        <w:t>tatistics (BLS)</w:t>
      </w:r>
      <w:r>
        <w:t xml:space="preserve"> </w:t>
      </w:r>
      <w:r w:rsidR="0070495C">
        <w:t>, as</w:t>
      </w:r>
      <w:r>
        <w:t xml:space="preserve"> converted from raw wage rate and benefit data to loaded wage rates. </w:t>
      </w:r>
      <w:r w:rsidR="007A63AA">
        <w:fldChar w:fldCharType="begin"/>
      </w:r>
      <w:r w:rsidR="007A63AA">
        <w:instrText xml:space="preserve"> REF _Ref526493290 \h </w:instrText>
      </w:r>
      <w:r w:rsidR="007A63AA">
        <w:fldChar w:fldCharType="separate"/>
      </w:r>
      <w:r w:rsidR="005C4A2E">
        <w:t xml:space="preserve">Table </w:t>
      </w:r>
      <w:r w:rsidR="005C4A2E">
        <w:rPr>
          <w:noProof/>
        </w:rPr>
        <w:t>4</w:t>
      </w:r>
      <w:r w:rsidR="007A63AA">
        <w:fldChar w:fldCharType="end"/>
      </w:r>
      <w:r>
        <w:t xml:space="preserve"> presents the resultant loaded wage rates for managerial, professional/technical, and clerical staff.</w:t>
      </w:r>
    </w:p>
    <w:p w14:paraId="46BC65CF" w14:textId="77777777" w:rsidR="00126678" w:rsidRDefault="00126678" w:rsidP="00126678"/>
    <w:p w14:paraId="1CCFD74D" w14:textId="3610C998" w:rsidR="007A63AA" w:rsidRDefault="007A63AA" w:rsidP="007A63AA">
      <w:pPr>
        <w:pStyle w:val="Caption"/>
        <w:keepNext/>
      </w:pPr>
      <w:bookmarkStart w:id="65" w:name="_Ref526493290"/>
      <w:r>
        <w:t xml:space="preserve">Table </w:t>
      </w:r>
      <w:r w:rsidR="00A762E6">
        <w:rPr>
          <w:noProof/>
        </w:rPr>
        <w:fldChar w:fldCharType="begin"/>
      </w:r>
      <w:r w:rsidR="00A762E6">
        <w:rPr>
          <w:noProof/>
        </w:rPr>
        <w:instrText xml:space="preserve"> SEQ Table \* ARABIC </w:instrText>
      </w:r>
      <w:r w:rsidR="00A762E6">
        <w:rPr>
          <w:noProof/>
        </w:rPr>
        <w:fldChar w:fldCharType="separate"/>
      </w:r>
      <w:r w:rsidR="005C4A2E">
        <w:rPr>
          <w:noProof/>
        </w:rPr>
        <w:t>4</w:t>
      </w:r>
      <w:r w:rsidR="00A762E6">
        <w:rPr>
          <w:noProof/>
        </w:rPr>
        <w:fldChar w:fldCharType="end"/>
      </w:r>
      <w:bookmarkEnd w:id="65"/>
      <w:r>
        <w:t>. Industry Wage Rates (2017 Dollars)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97"/>
        <w:gridCol w:w="1581"/>
        <w:gridCol w:w="804"/>
        <w:gridCol w:w="738"/>
        <w:gridCol w:w="924"/>
        <w:gridCol w:w="1015"/>
        <w:gridCol w:w="1112"/>
        <w:gridCol w:w="1278"/>
        <w:gridCol w:w="1017"/>
      </w:tblGrid>
      <w:tr w:rsidR="00E02B0B" w:rsidRPr="007A63AA" w14:paraId="75199FEF" w14:textId="77777777" w:rsidTr="00E02B0B">
        <w:trPr>
          <w:trHeight w:val="546"/>
          <w:tblHeader/>
        </w:trPr>
        <w:tc>
          <w:tcPr>
            <w:tcW w:w="619" w:type="pct"/>
            <w:vMerge w:val="restart"/>
            <w:tcBorders>
              <w:top w:val="single" w:sz="12" w:space="0" w:color="auto"/>
              <w:bottom w:val="single" w:sz="6" w:space="0" w:color="auto"/>
            </w:tcBorders>
            <w:shd w:val="clear" w:color="auto" w:fill="C3C6A8"/>
            <w:vAlign w:val="center"/>
            <w:hideMark/>
          </w:tcPr>
          <w:p w14:paraId="0DC88977" w14:textId="77777777" w:rsidR="007A63AA" w:rsidRPr="007A63AA" w:rsidRDefault="007A63AA" w:rsidP="007A63AA">
            <w:pPr>
              <w:jc w:val="center"/>
              <w:rPr>
                <w:rFonts w:eastAsia="Times New Roman" w:cs="Times New Roman"/>
                <w:b/>
                <w:bCs/>
                <w:color w:val="000000"/>
                <w:sz w:val="20"/>
                <w:szCs w:val="20"/>
              </w:rPr>
            </w:pPr>
            <w:r w:rsidRPr="007A63AA">
              <w:rPr>
                <w:rFonts w:eastAsia="Times New Roman" w:cs="Times New Roman"/>
                <w:b/>
                <w:bCs/>
                <w:color w:val="000000"/>
                <w:sz w:val="20"/>
                <w:szCs w:val="20"/>
              </w:rPr>
              <w:t>Labor Category</w:t>
            </w:r>
          </w:p>
        </w:tc>
        <w:tc>
          <w:tcPr>
            <w:tcW w:w="818" w:type="pct"/>
            <w:vMerge w:val="restart"/>
            <w:tcBorders>
              <w:top w:val="single" w:sz="12" w:space="0" w:color="auto"/>
              <w:bottom w:val="single" w:sz="6" w:space="0" w:color="auto"/>
            </w:tcBorders>
            <w:shd w:val="clear" w:color="auto" w:fill="C3C6A8"/>
            <w:vAlign w:val="center"/>
            <w:hideMark/>
          </w:tcPr>
          <w:p w14:paraId="614E51E7" w14:textId="77777777" w:rsidR="007A63AA" w:rsidRPr="007A63AA" w:rsidRDefault="007A63AA" w:rsidP="007A63AA">
            <w:pPr>
              <w:jc w:val="center"/>
              <w:rPr>
                <w:rFonts w:eastAsia="Times New Roman" w:cs="Times New Roman"/>
                <w:b/>
                <w:bCs/>
                <w:color w:val="000000"/>
                <w:sz w:val="20"/>
                <w:szCs w:val="20"/>
              </w:rPr>
            </w:pPr>
            <w:r w:rsidRPr="007A63AA">
              <w:rPr>
                <w:rFonts w:eastAsia="Times New Roman" w:cs="Times New Roman"/>
                <w:b/>
                <w:bCs/>
                <w:color w:val="000000"/>
                <w:sz w:val="20"/>
                <w:szCs w:val="20"/>
              </w:rPr>
              <w:t>Data Series</w:t>
            </w:r>
            <w:r w:rsidRPr="007A63AA">
              <w:rPr>
                <w:rFonts w:eastAsia="Times New Roman" w:cs="Times New Roman"/>
                <w:b/>
                <w:bCs/>
                <w:color w:val="000000"/>
                <w:sz w:val="20"/>
                <w:szCs w:val="20"/>
                <w:vertAlign w:val="superscript"/>
              </w:rPr>
              <w:t xml:space="preserve"> a</w:t>
            </w:r>
          </w:p>
        </w:tc>
        <w:tc>
          <w:tcPr>
            <w:tcW w:w="416" w:type="pct"/>
            <w:vMerge w:val="restart"/>
            <w:tcBorders>
              <w:top w:val="single" w:sz="12" w:space="0" w:color="auto"/>
              <w:bottom w:val="single" w:sz="6" w:space="0" w:color="auto"/>
            </w:tcBorders>
            <w:shd w:val="clear" w:color="auto" w:fill="C3C6A8"/>
            <w:vAlign w:val="center"/>
            <w:hideMark/>
          </w:tcPr>
          <w:p w14:paraId="14A8E330" w14:textId="77777777" w:rsidR="007A63AA" w:rsidRPr="007A63AA" w:rsidRDefault="007A63AA" w:rsidP="007A63AA">
            <w:pPr>
              <w:jc w:val="center"/>
              <w:rPr>
                <w:rFonts w:eastAsia="Times New Roman" w:cs="Times New Roman"/>
                <w:b/>
                <w:bCs/>
                <w:color w:val="000000"/>
                <w:sz w:val="20"/>
                <w:szCs w:val="20"/>
              </w:rPr>
            </w:pPr>
            <w:r w:rsidRPr="007A63AA">
              <w:rPr>
                <w:rFonts w:eastAsia="Times New Roman" w:cs="Times New Roman"/>
                <w:b/>
                <w:bCs/>
                <w:color w:val="000000"/>
                <w:sz w:val="20"/>
                <w:szCs w:val="20"/>
              </w:rPr>
              <w:t>Date</w:t>
            </w:r>
          </w:p>
        </w:tc>
        <w:tc>
          <w:tcPr>
            <w:tcW w:w="382" w:type="pct"/>
            <w:tcBorders>
              <w:top w:val="single" w:sz="12" w:space="0" w:color="auto"/>
              <w:bottom w:val="nil"/>
              <w:right w:val="single" w:sz="4" w:space="0" w:color="auto"/>
            </w:tcBorders>
            <w:shd w:val="clear" w:color="auto" w:fill="C3C6A8"/>
            <w:vAlign w:val="center"/>
            <w:hideMark/>
          </w:tcPr>
          <w:p w14:paraId="2E205ADE" w14:textId="77777777" w:rsidR="007A63AA" w:rsidRPr="007A63AA" w:rsidRDefault="007A63AA" w:rsidP="007A63AA">
            <w:pPr>
              <w:jc w:val="center"/>
              <w:rPr>
                <w:rFonts w:eastAsia="Times New Roman" w:cs="Times New Roman"/>
                <w:b/>
                <w:bCs/>
                <w:color w:val="000000"/>
                <w:sz w:val="20"/>
                <w:szCs w:val="20"/>
              </w:rPr>
            </w:pPr>
            <w:r w:rsidRPr="007A63AA">
              <w:rPr>
                <w:rFonts w:eastAsia="Times New Roman" w:cs="Times New Roman"/>
                <w:b/>
                <w:bCs/>
                <w:color w:val="000000"/>
                <w:sz w:val="20"/>
                <w:szCs w:val="20"/>
              </w:rPr>
              <w:t>Wage</w:t>
            </w:r>
          </w:p>
        </w:tc>
        <w:tc>
          <w:tcPr>
            <w:tcW w:w="478" w:type="pct"/>
            <w:tcBorders>
              <w:top w:val="single" w:sz="12" w:space="0" w:color="auto"/>
              <w:left w:val="single" w:sz="4" w:space="0" w:color="auto"/>
              <w:bottom w:val="nil"/>
              <w:right w:val="single" w:sz="4" w:space="0" w:color="auto"/>
            </w:tcBorders>
            <w:shd w:val="clear" w:color="auto" w:fill="C3C6A8"/>
            <w:vAlign w:val="center"/>
            <w:hideMark/>
          </w:tcPr>
          <w:p w14:paraId="2A4AB37E" w14:textId="77777777" w:rsidR="007A63AA" w:rsidRPr="007A63AA" w:rsidRDefault="007A63AA" w:rsidP="007A63AA">
            <w:pPr>
              <w:jc w:val="center"/>
              <w:rPr>
                <w:rFonts w:eastAsia="Times New Roman" w:cs="Times New Roman"/>
                <w:b/>
                <w:bCs/>
                <w:color w:val="000000"/>
                <w:sz w:val="20"/>
                <w:szCs w:val="20"/>
              </w:rPr>
            </w:pPr>
            <w:r w:rsidRPr="007A63AA">
              <w:rPr>
                <w:rFonts w:eastAsia="Times New Roman" w:cs="Times New Roman"/>
                <w:b/>
                <w:bCs/>
                <w:color w:val="000000"/>
                <w:sz w:val="20"/>
                <w:szCs w:val="20"/>
              </w:rPr>
              <w:t>Fringe Benefit</w:t>
            </w:r>
          </w:p>
        </w:tc>
        <w:tc>
          <w:tcPr>
            <w:tcW w:w="525" w:type="pct"/>
            <w:tcBorders>
              <w:top w:val="single" w:sz="12" w:space="0" w:color="auto"/>
              <w:left w:val="single" w:sz="4" w:space="0" w:color="auto"/>
              <w:bottom w:val="nil"/>
              <w:right w:val="single" w:sz="4" w:space="0" w:color="auto"/>
            </w:tcBorders>
            <w:shd w:val="clear" w:color="auto" w:fill="C3C6A8"/>
            <w:vAlign w:val="center"/>
            <w:hideMark/>
          </w:tcPr>
          <w:p w14:paraId="0ED4AF22" w14:textId="77777777" w:rsidR="007A63AA" w:rsidRPr="007A63AA" w:rsidRDefault="007A63AA" w:rsidP="007A63AA">
            <w:pPr>
              <w:jc w:val="center"/>
              <w:rPr>
                <w:rFonts w:eastAsia="Times New Roman" w:cs="Times New Roman"/>
                <w:b/>
                <w:bCs/>
                <w:color w:val="000000"/>
                <w:sz w:val="20"/>
                <w:szCs w:val="20"/>
              </w:rPr>
            </w:pPr>
            <w:r w:rsidRPr="007A63AA">
              <w:rPr>
                <w:rFonts w:eastAsia="Times New Roman" w:cs="Times New Roman"/>
                <w:b/>
                <w:bCs/>
                <w:color w:val="000000"/>
                <w:sz w:val="20"/>
                <w:szCs w:val="20"/>
              </w:rPr>
              <w:t>Fringes as % Wage</w:t>
            </w:r>
          </w:p>
        </w:tc>
        <w:tc>
          <w:tcPr>
            <w:tcW w:w="575" w:type="pct"/>
            <w:tcBorders>
              <w:top w:val="single" w:sz="12" w:space="0" w:color="auto"/>
              <w:left w:val="single" w:sz="4" w:space="0" w:color="auto"/>
              <w:bottom w:val="nil"/>
              <w:right w:val="single" w:sz="4" w:space="0" w:color="auto"/>
            </w:tcBorders>
            <w:shd w:val="clear" w:color="auto" w:fill="C3C6A8"/>
            <w:vAlign w:val="bottom"/>
            <w:hideMark/>
          </w:tcPr>
          <w:p w14:paraId="104F7456" w14:textId="77777777" w:rsidR="007A63AA" w:rsidRPr="007A63AA" w:rsidRDefault="007A63AA" w:rsidP="007A63AA">
            <w:pPr>
              <w:jc w:val="center"/>
              <w:rPr>
                <w:rFonts w:eastAsia="Times New Roman" w:cs="Times New Roman"/>
                <w:b/>
                <w:bCs/>
                <w:color w:val="000000"/>
                <w:sz w:val="20"/>
                <w:szCs w:val="20"/>
              </w:rPr>
            </w:pPr>
            <w:r w:rsidRPr="007A63AA">
              <w:rPr>
                <w:rFonts w:eastAsia="Times New Roman" w:cs="Times New Roman"/>
                <w:b/>
                <w:bCs/>
                <w:color w:val="000000"/>
                <w:sz w:val="20"/>
                <w:szCs w:val="20"/>
              </w:rPr>
              <w:t xml:space="preserve">Overhead % wage </w:t>
            </w:r>
            <w:r w:rsidRPr="007A63AA">
              <w:rPr>
                <w:rFonts w:eastAsia="Times New Roman" w:cs="Times New Roman"/>
                <w:b/>
                <w:bCs/>
                <w:color w:val="000000"/>
                <w:sz w:val="20"/>
                <w:szCs w:val="20"/>
                <w:vertAlign w:val="superscript"/>
              </w:rPr>
              <w:t>b</w:t>
            </w:r>
          </w:p>
        </w:tc>
        <w:tc>
          <w:tcPr>
            <w:tcW w:w="661" w:type="pct"/>
            <w:tcBorders>
              <w:top w:val="single" w:sz="12" w:space="0" w:color="auto"/>
              <w:left w:val="single" w:sz="4" w:space="0" w:color="auto"/>
              <w:bottom w:val="nil"/>
              <w:right w:val="single" w:sz="4" w:space="0" w:color="auto"/>
            </w:tcBorders>
            <w:shd w:val="clear" w:color="auto" w:fill="C3C6A8"/>
            <w:vAlign w:val="bottom"/>
            <w:hideMark/>
          </w:tcPr>
          <w:p w14:paraId="532EB792" w14:textId="77777777" w:rsidR="007A63AA" w:rsidRPr="007A63AA" w:rsidRDefault="007A63AA" w:rsidP="007A63AA">
            <w:pPr>
              <w:jc w:val="center"/>
              <w:rPr>
                <w:rFonts w:eastAsia="Times New Roman" w:cs="Times New Roman"/>
                <w:b/>
                <w:bCs/>
                <w:color w:val="000000"/>
                <w:sz w:val="20"/>
                <w:szCs w:val="20"/>
              </w:rPr>
            </w:pPr>
            <w:r w:rsidRPr="007A63AA">
              <w:rPr>
                <w:rFonts w:eastAsia="Times New Roman" w:cs="Times New Roman"/>
                <w:b/>
                <w:bCs/>
                <w:color w:val="000000"/>
                <w:sz w:val="20"/>
                <w:szCs w:val="20"/>
              </w:rPr>
              <w:t xml:space="preserve">Fringe + Overhead Factor </w:t>
            </w:r>
            <w:r w:rsidRPr="007A63AA">
              <w:rPr>
                <w:rFonts w:eastAsia="Times New Roman" w:cs="Times New Roman"/>
                <w:b/>
                <w:bCs/>
                <w:color w:val="000000"/>
                <w:sz w:val="20"/>
                <w:szCs w:val="20"/>
                <w:vertAlign w:val="superscript"/>
              </w:rPr>
              <w:t>c</w:t>
            </w:r>
          </w:p>
        </w:tc>
        <w:tc>
          <w:tcPr>
            <w:tcW w:w="525" w:type="pct"/>
            <w:tcBorders>
              <w:top w:val="single" w:sz="12" w:space="0" w:color="auto"/>
              <w:left w:val="single" w:sz="4" w:space="0" w:color="auto"/>
              <w:bottom w:val="nil"/>
            </w:tcBorders>
            <w:shd w:val="clear" w:color="auto" w:fill="C3C6A8"/>
            <w:vAlign w:val="bottom"/>
            <w:hideMark/>
          </w:tcPr>
          <w:p w14:paraId="42453BF3" w14:textId="77777777" w:rsidR="007A63AA" w:rsidRPr="007A63AA" w:rsidRDefault="007A63AA" w:rsidP="007A63AA">
            <w:pPr>
              <w:jc w:val="center"/>
              <w:rPr>
                <w:rFonts w:eastAsia="Times New Roman" w:cs="Times New Roman"/>
                <w:b/>
                <w:bCs/>
                <w:color w:val="000000"/>
                <w:sz w:val="20"/>
                <w:szCs w:val="20"/>
              </w:rPr>
            </w:pPr>
            <w:r w:rsidRPr="007A63AA">
              <w:rPr>
                <w:rFonts w:eastAsia="Times New Roman" w:cs="Times New Roman"/>
                <w:b/>
                <w:bCs/>
                <w:color w:val="000000"/>
                <w:sz w:val="20"/>
                <w:szCs w:val="20"/>
              </w:rPr>
              <w:t xml:space="preserve">Hourly Loaded Wages </w:t>
            </w:r>
          </w:p>
        </w:tc>
      </w:tr>
      <w:tr w:rsidR="007A63AA" w:rsidRPr="007A63AA" w14:paraId="5C86A2CA" w14:textId="77777777" w:rsidTr="00E02B0B">
        <w:trPr>
          <w:trHeight w:val="192"/>
          <w:tblHeader/>
        </w:trPr>
        <w:tc>
          <w:tcPr>
            <w:tcW w:w="619" w:type="pct"/>
            <w:vMerge/>
            <w:tcBorders>
              <w:top w:val="single" w:sz="6" w:space="0" w:color="auto"/>
              <w:bottom w:val="single" w:sz="12" w:space="0" w:color="auto"/>
            </w:tcBorders>
            <w:shd w:val="clear" w:color="auto" w:fill="C3C6A8"/>
            <w:vAlign w:val="center"/>
            <w:hideMark/>
          </w:tcPr>
          <w:p w14:paraId="731978AD" w14:textId="77777777" w:rsidR="007A63AA" w:rsidRPr="007A63AA" w:rsidRDefault="007A63AA" w:rsidP="007A63AA">
            <w:pPr>
              <w:rPr>
                <w:rFonts w:eastAsia="Times New Roman" w:cs="Times New Roman"/>
                <w:b/>
                <w:bCs/>
                <w:color w:val="000000"/>
                <w:sz w:val="20"/>
                <w:szCs w:val="20"/>
              </w:rPr>
            </w:pPr>
          </w:p>
        </w:tc>
        <w:tc>
          <w:tcPr>
            <w:tcW w:w="818" w:type="pct"/>
            <w:vMerge/>
            <w:tcBorders>
              <w:top w:val="single" w:sz="6" w:space="0" w:color="auto"/>
              <w:bottom w:val="single" w:sz="12" w:space="0" w:color="auto"/>
            </w:tcBorders>
            <w:shd w:val="clear" w:color="auto" w:fill="C3C6A8"/>
            <w:vAlign w:val="center"/>
            <w:hideMark/>
          </w:tcPr>
          <w:p w14:paraId="33377192" w14:textId="77777777" w:rsidR="007A63AA" w:rsidRPr="007A63AA" w:rsidRDefault="007A63AA" w:rsidP="007A63AA">
            <w:pPr>
              <w:rPr>
                <w:rFonts w:eastAsia="Times New Roman" w:cs="Times New Roman"/>
                <w:b/>
                <w:bCs/>
                <w:color w:val="000000"/>
                <w:sz w:val="20"/>
                <w:szCs w:val="20"/>
              </w:rPr>
            </w:pPr>
          </w:p>
        </w:tc>
        <w:tc>
          <w:tcPr>
            <w:tcW w:w="416" w:type="pct"/>
            <w:vMerge/>
            <w:tcBorders>
              <w:top w:val="single" w:sz="6" w:space="0" w:color="auto"/>
              <w:bottom w:val="single" w:sz="12" w:space="0" w:color="auto"/>
            </w:tcBorders>
            <w:shd w:val="clear" w:color="auto" w:fill="C3C6A8"/>
            <w:vAlign w:val="center"/>
            <w:hideMark/>
          </w:tcPr>
          <w:p w14:paraId="710CB717" w14:textId="77777777" w:rsidR="007A63AA" w:rsidRPr="007A63AA" w:rsidRDefault="007A63AA" w:rsidP="007A63AA">
            <w:pPr>
              <w:rPr>
                <w:rFonts w:eastAsia="Times New Roman" w:cs="Times New Roman"/>
                <w:b/>
                <w:bCs/>
                <w:color w:val="000000"/>
                <w:sz w:val="20"/>
                <w:szCs w:val="20"/>
              </w:rPr>
            </w:pPr>
          </w:p>
        </w:tc>
        <w:tc>
          <w:tcPr>
            <w:tcW w:w="382" w:type="pct"/>
            <w:tcBorders>
              <w:top w:val="nil"/>
              <w:bottom w:val="single" w:sz="12" w:space="0" w:color="auto"/>
              <w:right w:val="single" w:sz="4" w:space="0" w:color="auto"/>
            </w:tcBorders>
            <w:shd w:val="clear" w:color="auto" w:fill="C3C6A8"/>
            <w:vAlign w:val="center"/>
            <w:hideMark/>
          </w:tcPr>
          <w:p w14:paraId="0FD8F162" w14:textId="77777777" w:rsidR="007A63AA" w:rsidRPr="007A63AA" w:rsidRDefault="007A63AA" w:rsidP="007A63AA">
            <w:pPr>
              <w:jc w:val="center"/>
              <w:rPr>
                <w:rFonts w:eastAsia="Times New Roman" w:cs="Times New Roman"/>
                <w:b/>
                <w:bCs/>
                <w:i/>
                <w:iCs/>
                <w:color w:val="000000"/>
                <w:sz w:val="16"/>
                <w:szCs w:val="16"/>
              </w:rPr>
            </w:pPr>
            <w:r w:rsidRPr="007A63AA">
              <w:rPr>
                <w:rFonts w:eastAsia="Times New Roman" w:cs="Times New Roman"/>
                <w:b/>
                <w:bCs/>
                <w:i/>
                <w:iCs/>
                <w:color w:val="000000"/>
                <w:sz w:val="16"/>
                <w:szCs w:val="16"/>
              </w:rPr>
              <w:t>(a)</w:t>
            </w:r>
          </w:p>
        </w:tc>
        <w:tc>
          <w:tcPr>
            <w:tcW w:w="478" w:type="pct"/>
            <w:tcBorders>
              <w:top w:val="nil"/>
              <w:left w:val="single" w:sz="4" w:space="0" w:color="auto"/>
              <w:bottom w:val="single" w:sz="12" w:space="0" w:color="auto"/>
              <w:right w:val="single" w:sz="4" w:space="0" w:color="auto"/>
            </w:tcBorders>
            <w:shd w:val="clear" w:color="auto" w:fill="C3C6A8"/>
            <w:vAlign w:val="center"/>
            <w:hideMark/>
          </w:tcPr>
          <w:p w14:paraId="10B0F22E" w14:textId="77777777" w:rsidR="007A63AA" w:rsidRPr="007A63AA" w:rsidRDefault="007A63AA" w:rsidP="007A63AA">
            <w:pPr>
              <w:jc w:val="center"/>
              <w:rPr>
                <w:rFonts w:eastAsia="Times New Roman" w:cs="Times New Roman"/>
                <w:b/>
                <w:bCs/>
                <w:i/>
                <w:iCs/>
                <w:color w:val="000000"/>
                <w:sz w:val="16"/>
                <w:szCs w:val="16"/>
              </w:rPr>
            </w:pPr>
            <w:r w:rsidRPr="007A63AA">
              <w:rPr>
                <w:rFonts w:eastAsia="Times New Roman" w:cs="Times New Roman"/>
                <w:b/>
                <w:bCs/>
                <w:i/>
                <w:iCs/>
                <w:color w:val="000000"/>
                <w:sz w:val="16"/>
                <w:szCs w:val="16"/>
              </w:rPr>
              <w:t>(b)</w:t>
            </w:r>
          </w:p>
        </w:tc>
        <w:tc>
          <w:tcPr>
            <w:tcW w:w="525" w:type="pct"/>
            <w:tcBorders>
              <w:top w:val="nil"/>
              <w:left w:val="single" w:sz="4" w:space="0" w:color="auto"/>
              <w:bottom w:val="single" w:sz="12" w:space="0" w:color="auto"/>
              <w:right w:val="single" w:sz="4" w:space="0" w:color="auto"/>
            </w:tcBorders>
            <w:shd w:val="clear" w:color="auto" w:fill="C3C6A8"/>
            <w:vAlign w:val="center"/>
            <w:hideMark/>
          </w:tcPr>
          <w:p w14:paraId="6F477D50" w14:textId="77777777" w:rsidR="007A63AA" w:rsidRPr="007A63AA" w:rsidRDefault="007A63AA" w:rsidP="007A63AA">
            <w:pPr>
              <w:jc w:val="center"/>
              <w:rPr>
                <w:rFonts w:eastAsia="Times New Roman" w:cs="Times New Roman"/>
                <w:b/>
                <w:bCs/>
                <w:i/>
                <w:iCs/>
                <w:color w:val="000000"/>
                <w:sz w:val="16"/>
                <w:szCs w:val="16"/>
              </w:rPr>
            </w:pPr>
            <w:r w:rsidRPr="007A63AA">
              <w:rPr>
                <w:rFonts w:eastAsia="Times New Roman" w:cs="Times New Roman"/>
                <w:b/>
                <w:bCs/>
                <w:i/>
                <w:iCs/>
                <w:color w:val="000000"/>
                <w:sz w:val="16"/>
                <w:szCs w:val="16"/>
              </w:rPr>
              <w:t>(c) =(b)/(a)</w:t>
            </w:r>
          </w:p>
        </w:tc>
        <w:tc>
          <w:tcPr>
            <w:tcW w:w="575" w:type="pct"/>
            <w:tcBorders>
              <w:top w:val="nil"/>
              <w:left w:val="single" w:sz="4" w:space="0" w:color="auto"/>
              <w:bottom w:val="single" w:sz="12" w:space="0" w:color="auto"/>
              <w:right w:val="single" w:sz="4" w:space="0" w:color="auto"/>
            </w:tcBorders>
            <w:shd w:val="clear" w:color="auto" w:fill="C3C6A8"/>
            <w:vAlign w:val="center"/>
            <w:hideMark/>
          </w:tcPr>
          <w:p w14:paraId="249F6584" w14:textId="77777777" w:rsidR="007A63AA" w:rsidRPr="007A63AA" w:rsidRDefault="007A63AA" w:rsidP="007A63AA">
            <w:pPr>
              <w:jc w:val="center"/>
              <w:rPr>
                <w:rFonts w:eastAsia="Times New Roman" w:cs="Times New Roman"/>
                <w:b/>
                <w:bCs/>
                <w:i/>
                <w:iCs/>
                <w:color w:val="000000"/>
                <w:sz w:val="16"/>
                <w:szCs w:val="16"/>
              </w:rPr>
            </w:pPr>
            <w:r w:rsidRPr="007A63AA">
              <w:rPr>
                <w:rFonts w:eastAsia="Times New Roman" w:cs="Times New Roman"/>
                <w:b/>
                <w:bCs/>
                <w:i/>
                <w:iCs/>
                <w:color w:val="000000"/>
                <w:sz w:val="16"/>
                <w:szCs w:val="16"/>
              </w:rPr>
              <w:t>(d)</w:t>
            </w:r>
          </w:p>
        </w:tc>
        <w:tc>
          <w:tcPr>
            <w:tcW w:w="661" w:type="pct"/>
            <w:tcBorders>
              <w:top w:val="nil"/>
              <w:left w:val="single" w:sz="4" w:space="0" w:color="auto"/>
              <w:bottom w:val="single" w:sz="12" w:space="0" w:color="auto"/>
              <w:right w:val="single" w:sz="4" w:space="0" w:color="auto"/>
            </w:tcBorders>
            <w:shd w:val="clear" w:color="auto" w:fill="C3C6A8"/>
            <w:vAlign w:val="center"/>
            <w:hideMark/>
          </w:tcPr>
          <w:p w14:paraId="120651BF" w14:textId="77777777" w:rsidR="007A63AA" w:rsidRPr="007A63AA" w:rsidRDefault="007A63AA" w:rsidP="007A63AA">
            <w:pPr>
              <w:jc w:val="center"/>
              <w:rPr>
                <w:rFonts w:eastAsia="Times New Roman" w:cs="Times New Roman"/>
                <w:b/>
                <w:bCs/>
                <w:i/>
                <w:iCs/>
                <w:color w:val="000000"/>
                <w:sz w:val="16"/>
                <w:szCs w:val="16"/>
              </w:rPr>
            </w:pPr>
            <w:r w:rsidRPr="007A63AA">
              <w:rPr>
                <w:rFonts w:eastAsia="Times New Roman" w:cs="Times New Roman"/>
                <w:b/>
                <w:bCs/>
                <w:i/>
                <w:iCs/>
                <w:color w:val="000000"/>
                <w:sz w:val="16"/>
                <w:szCs w:val="16"/>
              </w:rPr>
              <w:t>(e)= (c)+(d)+1</w:t>
            </w:r>
          </w:p>
        </w:tc>
        <w:tc>
          <w:tcPr>
            <w:tcW w:w="525" w:type="pct"/>
            <w:tcBorders>
              <w:top w:val="nil"/>
              <w:left w:val="single" w:sz="4" w:space="0" w:color="auto"/>
              <w:bottom w:val="single" w:sz="12" w:space="0" w:color="auto"/>
            </w:tcBorders>
            <w:shd w:val="clear" w:color="auto" w:fill="C3C6A8"/>
            <w:vAlign w:val="center"/>
            <w:hideMark/>
          </w:tcPr>
          <w:p w14:paraId="177AC93B" w14:textId="77777777" w:rsidR="007A63AA" w:rsidRPr="007A63AA" w:rsidRDefault="007A63AA" w:rsidP="007A63AA">
            <w:pPr>
              <w:jc w:val="center"/>
              <w:rPr>
                <w:rFonts w:eastAsia="Times New Roman" w:cs="Times New Roman"/>
                <w:b/>
                <w:bCs/>
                <w:i/>
                <w:iCs/>
                <w:color w:val="000000"/>
                <w:sz w:val="16"/>
                <w:szCs w:val="16"/>
              </w:rPr>
            </w:pPr>
            <w:r w:rsidRPr="007A63AA">
              <w:rPr>
                <w:rFonts w:eastAsia="Times New Roman" w:cs="Times New Roman"/>
                <w:b/>
                <w:bCs/>
                <w:i/>
                <w:iCs/>
                <w:color w:val="000000"/>
                <w:sz w:val="16"/>
                <w:szCs w:val="16"/>
              </w:rPr>
              <w:t>(f)=(a)×(e)</w:t>
            </w:r>
          </w:p>
        </w:tc>
      </w:tr>
      <w:tr w:rsidR="007A63AA" w:rsidRPr="007A63AA" w14:paraId="225219F4" w14:textId="77777777" w:rsidTr="00E02B0B">
        <w:trPr>
          <w:trHeight w:val="400"/>
        </w:trPr>
        <w:tc>
          <w:tcPr>
            <w:tcW w:w="619" w:type="pct"/>
            <w:tcBorders>
              <w:top w:val="single" w:sz="12" w:space="0" w:color="auto"/>
            </w:tcBorders>
            <w:shd w:val="clear" w:color="auto" w:fill="auto"/>
            <w:vAlign w:val="center"/>
            <w:hideMark/>
          </w:tcPr>
          <w:p w14:paraId="34200EBA" w14:textId="77777777" w:rsidR="007A63AA" w:rsidRPr="007A63AA" w:rsidRDefault="007A63AA" w:rsidP="007A63AA">
            <w:pP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Managerial</w:t>
            </w:r>
          </w:p>
        </w:tc>
        <w:tc>
          <w:tcPr>
            <w:tcW w:w="818" w:type="pct"/>
            <w:tcBorders>
              <w:top w:val="single" w:sz="12" w:space="0" w:color="auto"/>
            </w:tcBorders>
            <w:shd w:val="clear" w:color="auto" w:fill="auto"/>
            <w:vAlign w:val="center"/>
            <w:hideMark/>
          </w:tcPr>
          <w:p w14:paraId="4CE1CC43" w14:textId="77777777" w:rsidR="007A63AA" w:rsidRPr="007A63AA" w:rsidRDefault="007A63AA" w:rsidP="007A63AA">
            <w:pP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BLS ECEC, Private Manufacturing industries, “Mgt, Business, and Financial”</w:t>
            </w:r>
          </w:p>
        </w:tc>
        <w:tc>
          <w:tcPr>
            <w:tcW w:w="416" w:type="pct"/>
            <w:tcBorders>
              <w:top w:val="single" w:sz="12" w:space="0" w:color="auto"/>
            </w:tcBorders>
            <w:shd w:val="clear" w:color="auto" w:fill="auto"/>
            <w:vAlign w:val="center"/>
            <w:hideMark/>
          </w:tcPr>
          <w:p w14:paraId="0D660640"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Dec-17</w:t>
            </w:r>
          </w:p>
        </w:tc>
        <w:tc>
          <w:tcPr>
            <w:tcW w:w="382" w:type="pct"/>
            <w:tcBorders>
              <w:top w:val="single" w:sz="12" w:space="0" w:color="auto"/>
            </w:tcBorders>
            <w:shd w:val="clear" w:color="auto" w:fill="auto"/>
            <w:vAlign w:val="center"/>
            <w:hideMark/>
          </w:tcPr>
          <w:p w14:paraId="1E0A8BE9"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 xml:space="preserve">$46.59 </w:t>
            </w:r>
          </w:p>
        </w:tc>
        <w:tc>
          <w:tcPr>
            <w:tcW w:w="478" w:type="pct"/>
            <w:tcBorders>
              <w:top w:val="single" w:sz="12" w:space="0" w:color="auto"/>
            </w:tcBorders>
            <w:shd w:val="clear" w:color="auto" w:fill="auto"/>
            <w:vAlign w:val="center"/>
            <w:hideMark/>
          </w:tcPr>
          <w:p w14:paraId="15A62823"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 xml:space="preserve">$22.16 </w:t>
            </w:r>
          </w:p>
        </w:tc>
        <w:tc>
          <w:tcPr>
            <w:tcW w:w="525" w:type="pct"/>
            <w:tcBorders>
              <w:top w:val="single" w:sz="12" w:space="0" w:color="auto"/>
            </w:tcBorders>
            <w:shd w:val="clear" w:color="auto" w:fill="auto"/>
            <w:vAlign w:val="center"/>
            <w:hideMark/>
          </w:tcPr>
          <w:p w14:paraId="225E8CED"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49%</w:t>
            </w:r>
          </w:p>
        </w:tc>
        <w:tc>
          <w:tcPr>
            <w:tcW w:w="575" w:type="pct"/>
            <w:tcBorders>
              <w:top w:val="single" w:sz="12" w:space="0" w:color="auto"/>
            </w:tcBorders>
            <w:shd w:val="clear" w:color="auto" w:fill="auto"/>
            <w:vAlign w:val="center"/>
            <w:hideMark/>
          </w:tcPr>
          <w:p w14:paraId="20511B25"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17%</w:t>
            </w:r>
          </w:p>
        </w:tc>
        <w:tc>
          <w:tcPr>
            <w:tcW w:w="661" w:type="pct"/>
            <w:tcBorders>
              <w:top w:val="single" w:sz="12" w:space="0" w:color="auto"/>
            </w:tcBorders>
            <w:shd w:val="clear" w:color="auto" w:fill="auto"/>
            <w:vAlign w:val="center"/>
            <w:hideMark/>
          </w:tcPr>
          <w:p w14:paraId="628B1303"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1.66</w:t>
            </w:r>
          </w:p>
        </w:tc>
        <w:tc>
          <w:tcPr>
            <w:tcW w:w="525" w:type="pct"/>
            <w:tcBorders>
              <w:top w:val="single" w:sz="12" w:space="0" w:color="auto"/>
            </w:tcBorders>
            <w:shd w:val="clear" w:color="auto" w:fill="auto"/>
            <w:vAlign w:val="center"/>
            <w:hideMark/>
          </w:tcPr>
          <w:p w14:paraId="0C653941" w14:textId="77777777" w:rsidR="007A63AA" w:rsidRPr="007A63AA" w:rsidRDefault="007A63AA" w:rsidP="007A63AA">
            <w:pPr>
              <w:jc w:val="center"/>
              <w:rPr>
                <w:rFonts w:ascii="Arial Narrow" w:eastAsia="Times New Roman" w:hAnsi="Arial Narrow" w:cs="Times New Roman"/>
                <w:color w:val="000000"/>
                <w:sz w:val="18"/>
                <w:szCs w:val="18"/>
              </w:rPr>
            </w:pPr>
            <w:bookmarkStart w:id="66" w:name="RANGE!I13"/>
            <w:r w:rsidRPr="007A63AA">
              <w:rPr>
                <w:rFonts w:ascii="Arial Narrow" w:eastAsia="Times New Roman" w:hAnsi="Arial Narrow" w:cs="Times New Roman"/>
                <w:color w:val="000000"/>
                <w:sz w:val="18"/>
                <w:szCs w:val="18"/>
              </w:rPr>
              <w:t xml:space="preserve">$76.67 </w:t>
            </w:r>
            <w:bookmarkEnd w:id="66"/>
          </w:p>
        </w:tc>
      </w:tr>
      <w:tr w:rsidR="007A63AA" w:rsidRPr="007A63AA" w14:paraId="07334036" w14:textId="77777777" w:rsidTr="00E02B0B">
        <w:trPr>
          <w:trHeight w:val="316"/>
        </w:trPr>
        <w:tc>
          <w:tcPr>
            <w:tcW w:w="619" w:type="pct"/>
            <w:shd w:val="clear" w:color="auto" w:fill="E7E8E8"/>
            <w:vAlign w:val="center"/>
            <w:hideMark/>
          </w:tcPr>
          <w:p w14:paraId="42BA66FA" w14:textId="77777777" w:rsidR="007A63AA" w:rsidRPr="007A63AA" w:rsidRDefault="007A63AA" w:rsidP="007A63AA">
            <w:pP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Professional / Technical</w:t>
            </w:r>
          </w:p>
        </w:tc>
        <w:tc>
          <w:tcPr>
            <w:tcW w:w="818" w:type="pct"/>
            <w:shd w:val="clear" w:color="auto" w:fill="E7E8E8"/>
            <w:vAlign w:val="center"/>
            <w:hideMark/>
          </w:tcPr>
          <w:p w14:paraId="040D6DA6" w14:textId="77777777" w:rsidR="007A63AA" w:rsidRPr="007A63AA" w:rsidRDefault="007A63AA" w:rsidP="007A63AA">
            <w:pP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BLS ECEC, Private Manufacturing industries, “Professional and related“</w:t>
            </w:r>
          </w:p>
        </w:tc>
        <w:tc>
          <w:tcPr>
            <w:tcW w:w="416" w:type="pct"/>
            <w:shd w:val="clear" w:color="auto" w:fill="E7E8E8"/>
            <w:vAlign w:val="center"/>
            <w:hideMark/>
          </w:tcPr>
          <w:p w14:paraId="12343134"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Dec-17</w:t>
            </w:r>
          </w:p>
        </w:tc>
        <w:tc>
          <w:tcPr>
            <w:tcW w:w="382" w:type="pct"/>
            <w:shd w:val="clear" w:color="auto" w:fill="E7E8E8"/>
            <w:vAlign w:val="center"/>
            <w:hideMark/>
          </w:tcPr>
          <w:p w14:paraId="77505EB2"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 xml:space="preserve">$45.82 </w:t>
            </w:r>
          </w:p>
        </w:tc>
        <w:tc>
          <w:tcPr>
            <w:tcW w:w="478" w:type="pct"/>
            <w:shd w:val="clear" w:color="auto" w:fill="E7E8E8"/>
            <w:vAlign w:val="center"/>
            <w:hideMark/>
          </w:tcPr>
          <w:p w14:paraId="614DC574"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 xml:space="preserve">$24.33 </w:t>
            </w:r>
          </w:p>
        </w:tc>
        <w:tc>
          <w:tcPr>
            <w:tcW w:w="525" w:type="pct"/>
            <w:shd w:val="clear" w:color="auto" w:fill="E7E8E8"/>
            <w:vAlign w:val="center"/>
            <w:hideMark/>
          </w:tcPr>
          <w:p w14:paraId="7F9CD777"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55%</w:t>
            </w:r>
          </w:p>
        </w:tc>
        <w:tc>
          <w:tcPr>
            <w:tcW w:w="575" w:type="pct"/>
            <w:shd w:val="clear" w:color="auto" w:fill="E7E8E8"/>
            <w:vAlign w:val="center"/>
            <w:hideMark/>
          </w:tcPr>
          <w:p w14:paraId="3F02F8C0"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17%</w:t>
            </w:r>
          </w:p>
        </w:tc>
        <w:tc>
          <w:tcPr>
            <w:tcW w:w="661" w:type="pct"/>
            <w:shd w:val="clear" w:color="auto" w:fill="E7E8E8"/>
            <w:vAlign w:val="center"/>
            <w:hideMark/>
          </w:tcPr>
          <w:p w14:paraId="700DB5CA"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1.72</w:t>
            </w:r>
          </w:p>
        </w:tc>
        <w:tc>
          <w:tcPr>
            <w:tcW w:w="525" w:type="pct"/>
            <w:shd w:val="clear" w:color="auto" w:fill="E7E8E8"/>
            <w:vAlign w:val="center"/>
            <w:hideMark/>
          </w:tcPr>
          <w:p w14:paraId="5903F0A1" w14:textId="77777777" w:rsidR="007A63AA" w:rsidRPr="007A63AA" w:rsidRDefault="007A63AA" w:rsidP="007A63AA">
            <w:pPr>
              <w:jc w:val="center"/>
              <w:rPr>
                <w:rFonts w:ascii="Arial Narrow" w:eastAsia="Times New Roman" w:hAnsi="Arial Narrow" w:cs="Times New Roman"/>
                <w:color w:val="000000"/>
                <w:sz w:val="18"/>
                <w:szCs w:val="18"/>
              </w:rPr>
            </w:pPr>
            <w:bookmarkStart w:id="67" w:name="RANGE!I14"/>
            <w:r w:rsidRPr="007A63AA">
              <w:rPr>
                <w:rFonts w:ascii="Arial Narrow" w:eastAsia="Times New Roman" w:hAnsi="Arial Narrow" w:cs="Times New Roman"/>
                <w:color w:val="000000"/>
                <w:sz w:val="18"/>
                <w:szCs w:val="18"/>
              </w:rPr>
              <w:t xml:space="preserve">$77.94 </w:t>
            </w:r>
            <w:bookmarkEnd w:id="67"/>
          </w:p>
        </w:tc>
      </w:tr>
      <w:tr w:rsidR="007A63AA" w:rsidRPr="007A63AA" w14:paraId="538377B1" w14:textId="77777777" w:rsidTr="00E02B0B">
        <w:trPr>
          <w:trHeight w:val="400"/>
        </w:trPr>
        <w:tc>
          <w:tcPr>
            <w:tcW w:w="619" w:type="pct"/>
            <w:tcBorders>
              <w:bottom w:val="single" w:sz="6" w:space="0" w:color="auto"/>
            </w:tcBorders>
            <w:shd w:val="clear" w:color="auto" w:fill="auto"/>
            <w:vAlign w:val="center"/>
            <w:hideMark/>
          </w:tcPr>
          <w:p w14:paraId="5433046C" w14:textId="77777777" w:rsidR="007A63AA" w:rsidRPr="007A63AA" w:rsidRDefault="007A63AA" w:rsidP="007A63AA">
            <w:pP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Clerical</w:t>
            </w:r>
          </w:p>
        </w:tc>
        <w:tc>
          <w:tcPr>
            <w:tcW w:w="818" w:type="pct"/>
            <w:tcBorders>
              <w:bottom w:val="single" w:sz="6" w:space="0" w:color="auto"/>
            </w:tcBorders>
            <w:shd w:val="clear" w:color="auto" w:fill="auto"/>
            <w:vAlign w:val="center"/>
            <w:hideMark/>
          </w:tcPr>
          <w:p w14:paraId="443D94E7" w14:textId="77777777" w:rsidR="007A63AA" w:rsidRPr="007A63AA" w:rsidRDefault="007A63AA" w:rsidP="007A63AA">
            <w:pP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BLS ECEC, Private Manufacturing industries, “Office and Administrative Support”</w:t>
            </w:r>
          </w:p>
        </w:tc>
        <w:tc>
          <w:tcPr>
            <w:tcW w:w="416" w:type="pct"/>
            <w:tcBorders>
              <w:bottom w:val="single" w:sz="6" w:space="0" w:color="auto"/>
            </w:tcBorders>
            <w:shd w:val="clear" w:color="auto" w:fill="auto"/>
            <w:vAlign w:val="center"/>
            <w:hideMark/>
          </w:tcPr>
          <w:p w14:paraId="09862A74"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Dec-17</w:t>
            </w:r>
          </w:p>
        </w:tc>
        <w:tc>
          <w:tcPr>
            <w:tcW w:w="382" w:type="pct"/>
            <w:tcBorders>
              <w:bottom w:val="single" w:sz="6" w:space="0" w:color="auto"/>
            </w:tcBorders>
            <w:shd w:val="clear" w:color="auto" w:fill="auto"/>
            <w:vAlign w:val="center"/>
            <w:hideMark/>
          </w:tcPr>
          <w:p w14:paraId="7B175105"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 xml:space="preserve">$20.49 </w:t>
            </w:r>
          </w:p>
        </w:tc>
        <w:tc>
          <w:tcPr>
            <w:tcW w:w="478" w:type="pct"/>
            <w:tcBorders>
              <w:bottom w:val="single" w:sz="6" w:space="0" w:color="auto"/>
            </w:tcBorders>
            <w:shd w:val="clear" w:color="auto" w:fill="auto"/>
            <w:vAlign w:val="center"/>
            <w:hideMark/>
          </w:tcPr>
          <w:p w14:paraId="488C2573"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 xml:space="preserve">$11.02 </w:t>
            </w:r>
          </w:p>
        </w:tc>
        <w:tc>
          <w:tcPr>
            <w:tcW w:w="525" w:type="pct"/>
            <w:tcBorders>
              <w:bottom w:val="single" w:sz="6" w:space="0" w:color="auto"/>
            </w:tcBorders>
            <w:shd w:val="clear" w:color="auto" w:fill="auto"/>
            <w:vAlign w:val="center"/>
            <w:hideMark/>
          </w:tcPr>
          <w:p w14:paraId="438597B3"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52%</w:t>
            </w:r>
          </w:p>
        </w:tc>
        <w:tc>
          <w:tcPr>
            <w:tcW w:w="575" w:type="pct"/>
            <w:tcBorders>
              <w:bottom w:val="single" w:sz="6" w:space="0" w:color="auto"/>
            </w:tcBorders>
            <w:shd w:val="clear" w:color="auto" w:fill="auto"/>
            <w:vAlign w:val="center"/>
            <w:hideMark/>
          </w:tcPr>
          <w:p w14:paraId="77198F95"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17%</w:t>
            </w:r>
          </w:p>
        </w:tc>
        <w:tc>
          <w:tcPr>
            <w:tcW w:w="661" w:type="pct"/>
            <w:tcBorders>
              <w:bottom w:val="single" w:sz="6" w:space="0" w:color="auto"/>
            </w:tcBorders>
            <w:shd w:val="clear" w:color="auto" w:fill="auto"/>
            <w:vAlign w:val="center"/>
            <w:hideMark/>
          </w:tcPr>
          <w:p w14:paraId="2AA63400" w14:textId="77777777" w:rsidR="007A63AA" w:rsidRPr="007A63AA" w:rsidRDefault="007A63AA" w:rsidP="007A63AA">
            <w:pPr>
              <w:jc w:val="center"/>
              <w:rPr>
                <w:rFonts w:ascii="Arial Narrow" w:eastAsia="Times New Roman" w:hAnsi="Arial Narrow" w:cs="Times New Roman"/>
                <w:color w:val="000000"/>
                <w:sz w:val="18"/>
                <w:szCs w:val="18"/>
              </w:rPr>
            </w:pPr>
            <w:r w:rsidRPr="007A63AA">
              <w:rPr>
                <w:rFonts w:ascii="Arial Narrow" w:eastAsia="Times New Roman" w:hAnsi="Arial Narrow" w:cs="Times New Roman"/>
                <w:color w:val="000000"/>
                <w:sz w:val="18"/>
                <w:szCs w:val="18"/>
              </w:rPr>
              <w:t>1.69</w:t>
            </w:r>
          </w:p>
        </w:tc>
        <w:tc>
          <w:tcPr>
            <w:tcW w:w="525" w:type="pct"/>
            <w:tcBorders>
              <w:bottom w:val="single" w:sz="6" w:space="0" w:color="auto"/>
            </w:tcBorders>
            <w:shd w:val="clear" w:color="auto" w:fill="auto"/>
            <w:vAlign w:val="center"/>
            <w:hideMark/>
          </w:tcPr>
          <w:p w14:paraId="4525BAFE" w14:textId="77777777" w:rsidR="007A63AA" w:rsidRPr="007A63AA" w:rsidRDefault="007A63AA" w:rsidP="007A63AA">
            <w:pPr>
              <w:jc w:val="center"/>
              <w:rPr>
                <w:rFonts w:ascii="Arial Narrow" w:eastAsia="Times New Roman" w:hAnsi="Arial Narrow" w:cs="Times New Roman"/>
                <w:color w:val="000000"/>
                <w:sz w:val="18"/>
                <w:szCs w:val="18"/>
              </w:rPr>
            </w:pPr>
            <w:bookmarkStart w:id="68" w:name="RANGE!I15"/>
            <w:r w:rsidRPr="007A63AA">
              <w:rPr>
                <w:rFonts w:ascii="Arial Narrow" w:eastAsia="Times New Roman" w:hAnsi="Arial Narrow" w:cs="Times New Roman"/>
                <w:color w:val="000000"/>
                <w:sz w:val="18"/>
                <w:szCs w:val="18"/>
              </w:rPr>
              <w:t xml:space="preserve">$34.99 </w:t>
            </w:r>
            <w:bookmarkEnd w:id="68"/>
          </w:p>
        </w:tc>
      </w:tr>
      <w:tr w:rsidR="007A63AA" w:rsidRPr="007A63AA" w14:paraId="22EC9028" w14:textId="77777777" w:rsidTr="007A63AA">
        <w:trPr>
          <w:trHeight w:val="1494"/>
        </w:trPr>
        <w:tc>
          <w:tcPr>
            <w:tcW w:w="5000" w:type="pct"/>
            <w:gridSpan w:val="9"/>
            <w:tcBorders>
              <w:top w:val="single" w:sz="6" w:space="0" w:color="auto"/>
              <w:bottom w:val="single" w:sz="12" w:space="0" w:color="auto"/>
            </w:tcBorders>
            <w:shd w:val="clear" w:color="auto" w:fill="auto"/>
            <w:vAlign w:val="center"/>
            <w:hideMark/>
          </w:tcPr>
          <w:p w14:paraId="75939DD6" w14:textId="77777777" w:rsidR="007A63AA" w:rsidRPr="007161A0" w:rsidRDefault="007A63AA" w:rsidP="007A63AA">
            <w:pPr>
              <w:rPr>
                <w:rFonts w:ascii="Arial Narrow" w:eastAsia="Times New Roman" w:hAnsi="Arial Narrow" w:cs="Times New Roman"/>
                <w:b/>
                <w:bCs/>
                <w:color w:val="000000"/>
                <w:sz w:val="18"/>
                <w:szCs w:val="18"/>
              </w:rPr>
            </w:pPr>
            <w:r w:rsidRPr="007161A0">
              <w:rPr>
                <w:rFonts w:ascii="Arial Narrow" w:eastAsia="Times New Roman" w:hAnsi="Arial Narrow" w:cs="Times New Roman"/>
                <w:b/>
                <w:bCs/>
                <w:color w:val="000000"/>
                <w:sz w:val="18"/>
                <w:szCs w:val="18"/>
              </w:rPr>
              <w:t>Footnotes</w:t>
            </w:r>
          </w:p>
          <w:p w14:paraId="3B1B0118" w14:textId="0B163358" w:rsidR="007A63AA" w:rsidRPr="007161A0" w:rsidRDefault="007A63AA" w:rsidP="007A63AA">
            <w:pPr>
              <w:rPr>
                <w:rFonts w:ascii="Arial Narrow" w:eastAsia="Times New Roman" w:hAnsi="Arial Narrow" w:cs="Times New Roman"/>
                <w:b/>
                <w:bCs/>
                <w:color w:val="000000"/>
                <w:sz w:val="18"/>
                <w:szCs w:val="18"/>
              </w:rPr>
            </w:pPr>
            <w:r w:rsidRPr="007161A0">
              <w:rPr>
                <w:rFonts w:ascii="Arial Narrow" w:eastAsia="Times New Roman" w:hAnsi="Arial Narrow" w:cs="Times New Roman"/>
                <w:color w:val="000000"/>
                <w:sz w:val="18"/>
                <w:szCs w:val="18"/>
                <w:vertAlign w:val="superscript"/>
              </w:rPr>
              <w:t>a</w:t>
            </w:r>
            <w:r w:rsidRPr="007161A0">
              <w:rPr>
                <w:rFonts w:ascii="Arial Narrow" w:eastAsia="Times New Roman" w:hAnsi="Arial Narrow" w:cs="Times New Roman"/>
                <w:color w:val="000000"/>
                <w:sz w:val="18"/>
                <w:szCs w:val="18"/>
              </w:rPr>
              <w:t xml:space="preserve"> Source: </w:t>
            </w:r>
            <w:r w:rsidRPr="007161A0">
              <w:rPr>
                <w:rFonts w:ascii="Arial Narrow" w:eastAsia="Times New Roman" w:hAnsi="Arial Narrow" w:cs="Times New Roman"/>
                <w:i/>
                <w:iCs/>
                <w:color w:val="000000"/>
                <w:sz w:val="18"/>
                <w:szCs w:val="18"/>
              </w:rPr>
              <w:t xml:space="preserve">Employer Costs for Employee Compensation Historical Supplementary Tables: December 2006 – June 2018 </w:t>
            </w:r>
            <w:r w:rsidRPr="007161A0">
              <w:rPr>
                <w:rFonts w:ascii="Arial Narrow" w:eastAsia="Times New Roman" w:hAnsi="Arial Narrow" w:cs="Times New Roman"/>
                <w:color w:val="000000"/>
                <w:sz w:val="18"/>
                <w:szCs w:val="18"/>
              </w:rPr>
              <w:t>. All rates are rounded to the nearest cent.</w:t>
            </w:r>
          </w:p>
          <w:p w14:paraId="1605D45B" w14:textId="03B622C3" w:rsidR="007A63AA" w:rsidRPr="007161A0" w:rsidRDefault="007A63AA" w:rsidP="007A63AA">
            <w:pPr>
              <w:rPr>
                <w:rFonts w:ascii="Arial Narrow" w:eastAsia="Times New Roman" w:hAnsi="Arial Narrow" w:cs="Times New Roman"/>
                <w:b/>
                <w:bCs/>
                <w:color w:val="000000"/>
                <w:sz w:val="18"/>
                <w:szCs w:val="18"/>
              </w:rPr>
            </w:pPr>
            <w:r w:rsidRPr="007161A0">
              <w:rPr>
                <w:rFonts w:ascii="Arial Narrow" w:eastAsia="Times New Roman" w:hAnsi="Arial Narrow" w:cs="Times New Roman"/>
                <w:color w:val="000000"/>
                <w:sz w:val="18"/>
                <w:szCs w:val="18"/>
                <w:vertAlign w:val="superscript"/>
              </w:rPr>
              <w:t>b</w:t>
            </w:r>
            <w:r w:rsidRPr="007161A0">
              <w:rPr>
                <w:rFonts w:ascii="Arial Narrow" w:eastAsia="Times New Roman" w:hAnsi="Arial Narrow" w:cs="Times New Roman"/>
                <w:color w:val="000000"/>
                <w:sz w:val="18"/>
                <w:szCs w:val="18"/>
              </w:rPr>
              <w:t xml:space="preserve"> An overhead rate of 17% is used based on assumptions in </w:t>
            </w:r>
            <w:r w:rsidRPr="007161A0">
              <w:rPr>
                <w:rFonts w:ascii="Arial Narrow" w:eastAsia="Times New Roman" w:hAnsi="Arial Narrow" w:cs="Times New Roman"/>
                <w:i/>
                <w:iCs/>
                <w:color w:val="000000"/>
                <w:sz w:val="18"/>
                <w:szCs w:val="18"/>
              </w:rPr>
              <w:t>Wage Rates for Economic Analysis of the Toxics Release Inventory Program</w:t>
            </w:r>
            <w:r w:rsidRPr="007161A0">
              <w:rPr>
                <w:rFonts w:ascii="Arial Narrow" w:eastAsia="Times New Roman" w:hAnsi="Arial Narrow" w:cs="Times New Roman"/>
                <w:color w:val="000000"/>
                <w:sz w:val="18"/>
                <w:szCs w:val="18"/>
              </w:rPr>
              <w:t xml:space="preserve"> </w:t>
            </w:r>
            <w:r w:rsidRPr="007161A0">
              <w:rPr>
                <w:rFonts w:ascii="Arial Narrow" w:eastAsia="Times New Roman" w:hAnsi="Arial Narrow" w:cs="Times New Roman"/>
                <w:color w:val="000000"/>
                <w:sz w:val="18"/>
                <w:szCs w:val="18"/>
              </w:rPr>
              <w:fldChar w:fldCharType="begin"/>
            </w:r>
            <w:r w:rsidRPr="007161A0">
              <w:rPr>
                <w:rFonts w:ascii="Arial Narrow" w:eastAsia="Times New Roman" w:hAnsi="Arial Narrow" w:cs="Times New Roman"/>
                <w:color w:val="000000"/>
                <w:sz w:val="18"/>
                <w:szCs w:val="18"/>
              </w:rPr>
              <w:instrText xml:space="preserve"> ADDIN ZOTERO_ITEM CSL_CITATION {"citationID":"a1knt6imnqh","properties":{"formattedCitation":"(Rice, 2002)","plainCitation":"(Rice, 2002)","noteIndex":0},"citationItems":[{"id":535,"uris":["http://zotero.org/groups/1140234/items/948CM22F"],"uri":["http://zotero.org/groups/1140234/items/948CM22F"],"itemData":{"id":535,"type":"report","title":"Wage Rates for Economic Analysis of the Toxics Release Inventory Program","URL":"https://www.regulations.gov/document?D=EPA-HQ-OPPT-2014-0650-0005","author":[{"family":"Rice","given":"Cody"}],"issued":{"date-parts":[["2002"]]}}}],"schema":"https://github.com/citation-style-language/schema/raw/master/csl-citation.json"} </w:instrText>
            </w:r>
            <w:r w:rsidRPr="007161A0">
              <w:rPr>
                <w:rFonts w:ascii="Arial Narrow" w:eastAsia="Times New Roman" w:hAnsi="Arial Narrow" w:cs="Times New Roman"/>
                <w:color w:val="000000"/>
                <w:sz w:val="18"/>
                <w:szCs w:val="18"/>
              </w:rPr>
              <w:fldChar w:fldCharType="separate"/>
            </w:r>
            <w:r w:rsidR="001D4BD9" w:rsidRPr="008046B9">
              <w:rPr>
                <w:rFonts w:ascii="Arial Narrow" w:hAnsi="Arial Narrow"/>
                <w:sz w:val="18"/>
              </w:rPr>
              <w:t>(Rice, 2002)</w:t>
            </w:r>
            <w:r w:rsidRPr="007161A0">
              <w:rPr>
                <w:rFonts w:ascii="Arial Narrow" w:eastAsia="Times New Roman" w:hAnsi="Arial Narrow" w:cs="Times New Roman"/>
                <w:color w:val="000000"/>
                <w:sz w:val="18"/>
                <w:szCs w:val="18"/>
              </w:rPr>
              <w:fldChar w:fldCharType="end"/>
            </w:r>
            <w:r w:rsidRPr="007161A0">
              <w:rPr>
                <w:rFonts w:ascii="Arial Narrow" w:eastAsia="Times New Roman" w:hAnsi="Arial Narrow" w:cs="Times New Roman"/>
                <w:color w:val="000000"/>
                <w:sz w:val="18"/>
                <w:szCs w:val="18"/>
              </w:rPr>
              <w:t xml:space="preserve">, and the </w:t>
            </w:r>
            <w:r w:rsidRPr="007161A0">
              <w:rPr>
                <w:rFonts w:ascii="Arial Narrow" w:eastAsia="Times New Roman" w:hAnsi="Arial Narrow" w:cs="Times New Roman"/>
                <w:i/>
                <w:iCs/>
                <w:color w:val="000000"/>
                <w:sz w:val="18"/>
                <w:szCs w:val="18"/>
              </w:rPr>
              <w:t>Revised Economic Analysis for the Amended Inventory Update Rule: Final Report</w:t>
            </w:r>
            <w:r w:rsidRPr="00602C74">
              <w:rPr>
                <w:rFonts w:ascii="Arial Narrow" w:hAnsi="Arial Narrow"/>
                <w:color w:val="000000"/>
                <w:sz w:val="18"/>
              </w:rPr>
              <w:t xml:space="preserve"> </w:t>
            </w:r>
            <w:r w:rsidRPr="00602C74">
              <w:rPr>
                <w:rFonts w:ascii="Arial Narrow" w:hAnsi="Arial Narrow"/>
                <w:color w:val="000000"/>
                <w:sz w:val="18"/>
              </w:rPr>
              <w:fldChar w:fldCharType="begin"/>
            </w:r>
            <w:r w:rsidR="00A7763C" w:rsidRPr="00602C74">
              <w:rPr>
                <w:rFonts w:ascii="Arial Narrow" w:hAnsi="Arial Narrow"/>
                <w:color w:val="000000"/>
                <w:sz w:val="18"/>
              </w:rPr>
              <w:instrText xml:space="preserve"> ADDIN ZOTERO_ITEM CSL_CITATION {"citationID":"</w:instrText>
            </w:r>
            <w:r w:rsidR="00A7763C" w:rsidRPr="00E02B0B">
              <w:rPr>
                <w:rFonts w:ascii="Arial Narrow" w:eastAsia="Times New Roman" w:hAnsi="Arial Narrow" w:cs="Times New Roman"/>
                <w:color w:val="000000"/>
                <w:sz w:val="18"/>
                <w:szCs w:val="18"/>
              </w:rPr>
              <w:instrText>RzGPxFN2</w:instrText>
            </w:r>
            <w:r w:rsidR="00A7763C" w:rsidRPr="00602C74">
              <w:rPr>
                <w:rFonts w:ascii="Arial Narrow" w:hAnsi="Arial Narrow"/>
                <w:color w:val="000000"/>
                <w:sz w:val="18"/>
              </w:rPr>
              <w:instrText>","properties":{"formattedCitation":"(EPA, 2002)","plainCitation":"(EPA, 2002)","noteIndex":0},"citationItems":[{"id":516,"uris":["http://zotero.org/groups/1140234/items/DGNMVQV7"],"uri":["http://zotero.org/groups/1140234/items/DGNMVQV7"],"itemData":{"id":516,"type":"report","title":"Revised Economic Analysis for the Amended Inventory Update Rule: Final Report","URL":"https://www.regulations.gov/document?D=EPA-HQ-OPPT-2014-0650-0011","author":[{"literal":"</w:instrText>
            </w:r>
            <w:r w:rsidR="00A7763C" w:rsidRPr="00E02B0B">
              <w:rPr>
                <w:rFonts w:ascii="Arial Narrow" w:eastAsia="Times New Roman" w:hAnsi="Arial Narrow" w:cs="Times New Roman"/>
                <w:color w:val="000000"/>
                <w:sz w:val="18"/>
                <w:szCs w:val="18"/>
              </w:rPr>
              <w:instrText>Environmental Protection Agency (</w:instrText>
            </w:r>
            <w:r w:rsidR="00A7763C" w:rsidRPr="00602C74">
              <w:rPr>
                <w:rFonts w:ascii="Arial Narrow" w:hAnsi="Arial Narrow"/>
                <w:color w:val="000000"/>
                <w:sz w:val="18"/>
              </w:rPr>
              <w:instrText>EPA</w:instrText>
            </w:r>
            <w:r w:rsidR="00A7763C" w:rsidRPr="00E02B0B">
              <w:rPr>
                <w:rFonts w:ascii="Arial Narrow" w:eastAsia="Times New Roman" w:hAnsi="Arial Narrow" w:cs="Times New Roman"/>
                <w:color w:val="000000"/>
                <w:sz w:val="18"/>
                <w:szCs w:val="18"/>
              </w:rPr>
              <w:instrText>)"}],"</w:instrText>
            </w:r>
            <w:r w:rsidR="00A7763C" w:rsidRPr="00602C74">
              <w:rPr>
                <w:rFonts w:ascii="Arial Narrow" w:hAnsi="Arial Narrow"/>
                <w:color w:val="000000"/>
                <w:sz w:val="18"/>
              </w:rPr>
              <w:instrText>issued":{"date-parts":[["2002</w:instrText>
            </w:r>
            <w:r w:rsidR="00A7763C" w:rsidRPr="00E02B0B">
              <w:rPr>
                <w:rFonts w:ascii="Arial Narrow" w:eastAsia="Times New Roman" w:hAnsi="Arial Narrow" w:cs="Times New Roman"/>
                <w:color w:val="000000"/>
                <w:sz w:val="18"/>
                <w:szCs w:val="18"/>
              </w:rPr>
              <w:instrText>"]]}},"suppress-author":true,"prefix":"EPA, "}],"</w:instrText>
            </w:r>
            <w:r w:rsidR="00A7763C" w:rsidRPr="00602C74">
              <w:rPr>
                <w:rFonts w:ascii="Arial Narrow" w:hAnsi="Arial Narrow"/>
                <w:color w:val="000000"/>
                <w:sz w:val="18"/>
              </w:rPr>
              <w:instrText xml:space="preserve">schema":"https://github.com/citation-style-language/schema/raw/master/csl-citation.json"} </w:instrText>
            </w:r>
            <w:r w:rsidRPr="00602C74">
              <w:rPr>
                <w:rFonts w:ascii="Arial Narrow" w:hAnsi="Arial Narrow"/>
                <w:color w:val="000000"/>
                <w:sz w:val="18"/>
              </w:rPr>
              <w:fldChar w:fldCharType="separate"/>
            </w:r>
            <w:r w:rsidR="001D4BD9" w:rsidRPr="008046B9">
              <w:rPr>
                <w:rFonts w:ascii="Arial Narrow" w:hAnsi="Arial Narrow"/>
                <w:sz w:val="18"/>
              </w:rPr>
              <w:t>(EPA, 2002)</w:t>
            </w:r>
            <w:r w:rsidRPr="00602C74">
              <w:rPr>
                <w:rFonts w:ascii="Arial Narrow" w:hAnsi="Arial Narrow"/>
                <w:color w:val="000000"/>
                <w:sz w:val="18"/>
              </w:rPr>
              <w:fldChar w:fldCharType="end"/>
            </w:r>
            <w:r w:rsidRPr="007161A0">
              <w:rPr>
                <w:rFonts w:ascii="Arial Narrow" w:eastAsia="Times New Roman" w:hAnsi="Arial Narrow" w:cs="Times New Roman"/>
                <w:color w:val="000000"/>
                <w:sz w:val="18"/>
                <w:szCs w:val="18"/>
              </w:rPr>
              <w:t>.</w:t>
            </w:r>
          </w:p>
          <w:p w14:paraId="78B06A57" w14:textId="77777777" w:rsidR="007A63AA" w:rsidRPr="007A63AA" w:rsidRDefault="007A63AA" w:rsidP="007A63AA">
            <w:pPr>
              <w:rPr>
                <w:rFonts w:eastAsia="Times New Roman" w:cs="Times New Roman"/>
                <w:b/>
                <w:bCs/>
                <w:color w:val="000000"/>
                <w:sz w:val="18"/>
                <w:szCs w:val="18"/>
              </w:rPr>
            </w:pPr>
            <w:r w:rsidRPr="007161A0">
              <w:rPr>
                <w:rFonts w:ascii="Arial Narrow" w:eastAsia="Times New Roman" w:hAnsi="Arial Narrow" w:cs="Times New Roman"/>
                <w:color w:val="000000"/>
                <w:sz w:val="18"/>
                <w:szCs w:val="18"/>
                <w:vertAlign w:val="superscript"/>
              </w:rPr>
              <w:t>c</w:t>
            </w:r>
            <w:r w:rsidRPr="007161A0">
              <w:rPr>
                <w:rFonts w:ascii="Arial Narrow" w:eastAsia="Times New Roman" w:hAnsi="Arial Narrow" w:cs="Times New Roman"/>
                <w:color w:val="000000"/>
                <w:sz w:val="18"/>
                <w:szCs w:val="18"/>
              </w:rPr>
              <w:t xml:space="preserve"> The inflation factor of “1” in the formula for calculating the fringe + overhead factor means wage data are not escalated to reflect inflation.</w:t>
            </w:r>
          </w:p>
        </w:tc>
      </w:tr>
    </w:tbl>
    <w:p w14:paraId="449A8878" w14:textId="77777777" w:rsidR="00126678" w:rsidRDefault="00126678" w:rsidP="00126678"/>
    <w:p w14:paraId="11000EEB" w14:textId="6DBC7E39" w:rsidR="00126678" w:rsidRDefault="00126678" w:rsidP="00126678">
      <w:r>
        <w:t xml:space="preserve">Industry </w:t>
      </w:r>
      <w:r w:rsidR="0070495C">
        <w:t>company-level unit</w:t>
      </w:r>
      <w:r>
        <w:t xml:space="preserve"> costs are presented below in </w:t>
      </w:r>
      <w:r w:rsidR="007A63AA">
        <w:fldChar w:fldCharType="begin"/>
      </w:r>
      <w:r w:rsidR="007A63AA">
        <w:instrText xml:space="preserve"> REF _Ref526493351 \h </w:instrText>
      </w:r>
      <w:r w:rsidR="007A63AA">
        <w:fldChar w:fldCharType="separate"/>
      </w:r>
      <w:r w:rsidR="005C4A2E">
        <w:t xml:space="preserve">Table </w:t>
      </w:r>
      <w:r w:rsidR="005C4A2E">
        <w:rPr>
          <w:noProof/>
        </w:rPr>
        <w:t>5</w:t>
      </w:r>
      <w:r w:rsidR="007A63AA">
        <w:fldChar w:fldCharType="end"/>
      </w:r>
      <w:r>
        <w:t xml:space="preserve">, in similar fashion to the </w:t>
      </w:r>
      <w:r w:rsidR="0070495C">
        <w:t xml:space="preserve">company-level </w:t>
      </w:r>
      <w:r>
        <w:t>unit burdens provided in</w:t>
      </w:r>
      <w:r w:rsidR="00B3255B">
        <w:t xml:space="preserve"> </w:t>
      </w:r>
      <w:r w:rsidR="00B3255B">
        <w:fldChar w:fldCharType="begin"/>
      </w:r>
      <w:r w:rsidR="00B3255B">
        <w:instrText xml:space="preserve"> REF _Ref528062545 \h </w:instrText>
      </w:r>
      <w:r w:rsidR="00B3255B">
        <w:fldChar w:fldCharType="separate"/>
      </w:r>
      <w:r w:rsidR="005C4A2E">
        <w:t xml:space="preserve">Table </w:t>
      </w:r>
      <w:r w:rsidR="005C4A2E">
        <w:rPr>
          <w:noProof/>
        </w:rPr>
        <w:t>3</w:t>
      </w:r>
      <w:r w:rsidR="00B3255B">
        <w:fldChar w:fldCharType="end"/>
      </w:r>
      <w:r>
        <w:t>.</w:t>
      </w:r>
    </w:p>
    <w:p w14:paraId="1006F772" w14:textId="77777777" w:rsidR="0083644A" w:rsidRDefault="0083644A" w:rsidP="00126678"/>
    <w:p w14:paraId="2791EAAC" w14:textId="77777777" w:rsidR="0083644A" w:rsidRPr="00126678" w:rsidRDefault="0083644A" w:rsidP="0083644A">
      <w:r>
        <w:t xml:space="preserve">For total industry burden and cost by activity and reporting group, see </w:t>
      </w:r>
      <w:r>
        <w:fldChar w:fldCharType="begin"/>
      </w:r>
      <w:r>
        <w:instrText xml:space="preserve"> REF _Ref526495549 \h </w:instrText>
      </w:r>
      <w:r>
        <w:fldChar w:fldCharType="separate"/>
      </w:r>
      <w:r>
        <w:t xml:space="preserve">Table </w:t>
      </w:r>
      <w:r>
        <w:rPr>
          <w:noProof/>
        </w:rPr>
        <w:t>8</w:t>
      </w:r>
      <w:r>
        <w:fldChar w:fldCharType="end"/>
      </w:r>
      <w:r>
        <w:t xml:space="preserve"> of this document in Section 6(d).</w:t>
      </w:r>
    </w:p>
    <w:p w14:paraId="77724E5D" w14:textId="77777777" w:rsidR="00126678" w:rsidRDefault="00126678" w:rsidP="00126678"/>
    <w:p w14:paraId="70B2AA9D" w14:textId="056CBFD5" w:rsidR="007A63AA" w:rsidRDefault="007A63AA" w:rsidP="007A63AA">
      <w:pPr>
        <w:pStyle w:val="Caption"/>
        <w:keepNext/>
      </w:pPr>
      <w:bookmarkStart w:id="69" w:name="_Ref526493351"/>
      <w:r>
        <w:t xml:space="preserve">Table </w:t>
      </w:r>
      <w:r w:rsidR="00A762E6">
        <w:rPr>
          <w:noProof/>
        </w:rPr>
        <w:fldChar w:fldCharType="begin"/>
      </w:r>
      <w:r w:rsidR="00A762E6">
        <w:rPr>
          <w:noProof/>
        </w:rPr>
        <w:instrText xml:space="preserve"> SEQ Table \* ARABIC </w:instrText>
      </w:r>
      <w:r w:rsidR="00A762E6">
        <w:rPr>
          <w:noProof/>
        </w:rPr>
        <w:fldChar w:fldCharType="separate"/>
      </w:r>
      <w:r w:rsidR="005C4A2E">
        <w:rPr>
          <w:noProof/>
        </w:rPr>
        <w:t>5</w:t>
      </w:r>
      <w:r w:rsidR="00A762E6">
        <w:rPr>
          <w:noProof/>
        </w:rPr>
        <w:fldChar w:fldCharType="end"/>
      </w:r>
      <w:bookmarkEnd w:id="69"/>
      <w:r>
        <w:t xml:space="preserve">. </w:t>
      </w:r>
      <w:r w:rsidR="00EA53E4">
        <w:t>Incremen</w:t>
      </w:r>
      <w:r w:rsidR="00384D85">
        <w:t>t</w:t>
      </w:r>
      <w:r w:rsidR="00EA53E4">
        <w:t>al Unit Costs per Average Company, by Reporting Group</w:t>
      </w:r>
      <w:r>
        <w:t xml:space="preserve"> </w:t>
      </w:r>
      <w:r w:rsidR="00EA53E4">
        <w:t xml:space="preserve">     </w:t>
      </w:r>
    </w:p>
    <w:tbl>
      <w:tblPr>
        <w:tblStyle w:val="TableGrid4"/>
        <w:tblW w:w="4851" w:type="pct"/>
        <w:tblInd w:w="18" w:type="dxa"/>
        <w:tblLayout w:type="fixed"/>
        <w:tblLook w:val="04A0" w:firstRow="1" w:lastRow="0" w:firstColumn="1" w:lastColumn="0" w:noHBand="0" w:noVBand="1"/>
      </w:tblPr>
      <w:tblGrid>
        <w:gridCol w:w="3286"/>
        <w:gridCol w:w="1103"/>
        <w:gridCol w:w="1212"/>
        <w:gridCol w:w="1108"/>
        <w:gridCol w:w="1270"/>
        <w:gridCol w:w="1399"/>
      </w:tblGrid>
      <w:tr w:rsidR="00F07528" w:rsidRPr="007A63AA" w14:paraId="5D3B9CBB" w14:textId="77777777" w:rsidTr="00921211">
        <w:trPr>
          <w:cantSplit/>
          <w:trHeight w:val="432"/>
          <w:tblHeader/>
        </w:trPr>
        <w:tc>
          <w:tcPr>
            <w:tcW w:w="1752" w:type="pct"/>
            <w:tcBorders>
              <w:top w:val="single" w:sz="12" w:space="0" w:color="auto"/>
              <w:left w:val="single" w:sz="12" w:space="0" w:color="auto"/>
              <w:bottom w:val="single" w:sz="12" w:space="0" w:color="auto"/>
            </w:tcBorders>
            <w:shd w:val="clear" w:color="auto" w:fill="C3C6A8"/>
            <w:noWrap/>
            <w:vAlign w:val="center"/>
            <w:hideMark/>
          </w:tcPr>
          <w:p w14:paraId="72A780F1" w14:textId="77777777" w:rsidR="007A63AA" w:rsidRPr="007A63AA" w:rsidRDefault="007A63AA" w:rsidP="007A63AA">
            <w:pPr>
              <w:keepNext/>
              <w:spacing w:beforeLines="20" w:before="48" w:afterLines="20" w:after="48" w:line="264" w:lineRule="auto"/>
              <w:contextualSpacing/>
              <w:jc w:val="center"/>
              <w:rPr>
                <w:b/>
                <w:bCs/>
              </w:rPr>
            </w:pPr>
            <w:r w:rsidRPr="007A63AA">
              <w:rPr>
                <w:b/>
                <w:bCs/>
              </w:rPr>
              <w:t>Activity</w:t>
            </w:r>
          </w:p>
        </w:tc>
        <w:tc>
          <w:tcPr>
            <w:tcW w:w="588" w:type="pct"/>
            <w:tcBorders>
              <w:top w:val="single" w:sz="12" w:space="0" w:color="auto"/>
              <w:bottom w:val="single" w:sz="12" w:space="0" w:color="auto"/>
            </w:tcBorders>
            <w:shd w:val="clear" w:color="auto" w:fill="C3C6A8"/>
            <w:vAlign w:val="center"/>
            <w:hideMark/>
          </w:tcPr>
          <w:p w14:paraId="1F0A9E0E" w14:textId="77777777" w:rsidR="007A63AA" w:rsidRPr="007A63AA" w:rsidRDefault="007A63AA" w:rsidP="007A63AA">
            <w:pPr>
              <w:keepNext/>
              <w:spacing w:beforeLines="20" w:before="48" w:afterLines="20" w:after="48" w:line="264" w:lineRule="auto"/>
              <w:contextualSpacing/>
              <w:jc w:val="center"/>
              <w:rPr>
                <w:b/>
                <w:bCs/>
              </w:rPr>
            </w:pPr>
            <w:r w:rsidRPr="007A63AA">
              <w:rPr>
                <w:b/>
                <w:bCs/>
              </w:rPr>
              <w:t>Unit of Analysis</w:t>
            </w:r>
          </w:p>
        </w:tc>
        <w:tc>
          <w:tcPr>
            <w:tcW w:w="646" w:type="pct"/>
            <w:tcBorders>
              <w:top w:val="single" w:sz="12" w:space="0" w:color="auto"/>
              <w:bottom w:val="single" w:sz="12" w:space="0" w:color="auto"/>
            </w:tcBorders>
            <w:shd w:val="clear" w:color="auto" w:fill="C3C6A8"/>
            <w:vAlign w:val="center"/>
            <w:hideMark/>
          </w:tcPr>
          <w:p w14:paraId="755E4657" w14:textId="77777777" w:rsidR="007A63AA" w:rsidRPr="007A63AA" w:rsidRDefault="007A63AA" w:rsidP="007A63AA">
            <w:pPr>
              <w:keepNext/>
              <w:spacing w:beforeLines="20" w:before="48" w:afterLines="20" w:after="48" w:line="264" w:lineRule="auto"/>
              <w:contextualSpacing/>
              <w:jc w:val="center"/>
              <w:rPr>
                <w:b/>
                <w:bCs/>
              </w:rPr>
            </w:pPr>
            <w:r w:rsidRPr="007A63AA">
              <w:rPr>
                <w:b/>
                <w:bCs/>
              </w:rPr>
              <w:t>Clerical Cost (2017$)</w:t>
            </w:r>
            <w:r w:rsidRPr="007A63AA">
              <w:rPr>
                <w:b/>
                <w:bCs/>
              </w:rPr>
              <w:br/>
            </w:r>
            <w:r w:rsidRPr="007A63AA">
              <w:rPr>
                <w:b/>
                <w:bCs/>
                <w:sz w:val="18"/>
                <w:szCs w:val="18"/>
              </w:rPr>
              <w:t>(a)</w:t>
            </w:r>
          </w:p>
        </w:tc>
        <w:tc>
          <w:tcPr>
            <w:tcW w:w="591" w:type="pct"/>
            <w:tcBorders>
              <w:top w:val="single" w:sz="12" w:space="0" w:color="auto"/>
              <w:bottom w:val="single" w:sz="12" w:space="0" w:color="auto"/>
            </w:tcBorders>
            <w:shd w:val="clear" w:color="auto" w:fill="C3C6A8"/>
            <w:vAlign w:val="center"/>
            <w:hideMark/>
          </w:tcPr>
          <w:p w14:paraId="3CBD6DD8" w14:textId="77777777" w:rsidR="007A63AA" w:rsidRPr="007A63AA" w:rsidRDefault="007A63AA" w:rsidP="007A63AA">
            <w:pPr>
              <w:keepNext/>
              <w:spacing w:beforeLines="20" w:before="48" w:afterLines="20" w:after="48" w:line="264" w:lineRule="auto"/>
              <w:contextualSpacing/>
              <w:jc w:val="center"/>
              <w:rPr>
                <w:b/>
                <w:bCs/>
              </w:rPr>
            </w:pPr>
            <w:r w:rsidRPr="007A63AA">
              <w:rPr>
                <w:b/>
                <w:bCs/>
              </w:rPr>
              <w:t>Technical Cost (2017$)</w:t>
            </w:r>
          </w:p>
          <w:p w14:paraId="4A2BC339" w14:textId="77777777" w:rsidR="007A63AA" w:rsidRPr="007A63AA" w:rsidRDefault="007A63AA" w:rsidP="007A63AA">
            <w:pPr>
              <w:keepNext/>
              <w:spacing w:beforeLines="20" w:before="48" w:afterLines="20" w:after="48" w:line="264" w:lineRule="auto"/>
              <w:contextualSpacing/>
              <w:jc w:val="center"/>
              <w:rPr>
                <w:b/>
                <w:bCs/>
              </w:rPr>
            </w:pPr>
            <w:r w:rsidRPr="007A63AA">
              <w:rPr>
                <w:b/>
                <w:bCs/>
                <w:sz w:val="18"/>
                <w:szCs w:val="18"/>
              </w:rPr>
              <w:t>(b)</w:t>
            </w:r>
          </w:p>
        </w:tc>
        <w:tc>
          <w:tcPr>
            <w:tcW w:w="677" w:type="pct"/>
            <w:tcBorders>
              <w:top w:val="single" w:sz="12" w:space="0" w:color="auto"/>
              <w:bottom w:val="single" w:sz="12" w:space="0" w:color="auto"/>
            </w:tcBorders>
            <w:shd w:val="clear" w:color="auto" w:fill="C3C6A8"/>
            <w:vAlign w:val="center"/>
            <w:hideMark/>
          </w:tcPr>
          <w:p w14:paraId="0BED2DB0" w14:textId="77777777" w:rsidR="007A63AA" w:rsidRPr="007A63AA" w:rsidRDefault="007A63AA" w:rsidP="007A63AA">
            <w:pPr>
              <w:keepNext/>
              <w:spacing w:beforeLines="20" w:before="48" w:afterLines="20" w:after="48" w:line="264" w:lineRule="auto"/>
              <w:contextualSpacing/>
              <w:jc w:val="center"/>
              <w:rPr>
                <w:b/>
                <w:bCs/>
              </w:rPr>
            </w:pPr>
            <w:r w:rsidRPr="007A63AA">
              <w:rPr>
                <w:b/>
                <w:bCs/>
              </w:rPr>
              <w:t>Managerial Cost (2017$)</w:t>
            </w:r>
            <w:r w:rsidRPr="007A63AA">
              <w:rPr>
                <w:b/>
                <w:bCs/>
              </w:rPr>
              <w:br/>
            </w:r>
            <w:r w:rsidRPr="007A63AA">
              <w:rPr>
                <w:b/>
                <w:bCs/>
                <w:sz w:val="18"/>
                <w:szCs w:val="18"/>
              </w:rPr>
              <w:t>(c)</w:t>
            </w:r>
          </w:p>
        </w:tc>
        <w:tc>
          <w:tcPr>
            <w:tcW w:w="746" w:type="pct"/>
            <w:tcBorders>
              <w:top w:val="single" w:sz="12" w:space="0" w:color="auto"/>
              <w:bottom w:val="single" w:sz="12" w:space="0" w:color="auto"/>
              <w:right w:val="single" w:sz="12" w:space="0" w:color="auto"/>
            </w:tcBorders>
            <w:shd w:val="clear" w:color="auto" w:fill="C3C6A8"/>
            <w:vAlign w:val="center"/>
            <w:hideMark/>
          </w:tcPr>
          <w:p w14:paraId="24FE7375" w14:textId="77777777" w:rsidR="007A63AA" w:rsidRPr="007A63AA" w:rsidRDefault="007A63AA" w:rsidP="007A63AA">
            <w:pPr>
              <w:keepNext/>
              <w:spacing w:beforeLines="20" w:before="48" w:afterLines="20" w:after="48" w:line="264" w:lineRule="auto"/>
              <w:contextualSpacing/>
              <w:jc w:val="center"/>
              <w:rPr>
                <w:b/>
                <w:bCs/>
              </w:rPr>
            </w:pPr>
            <w:r w:rsidRPr="007A63AA">
              <w:rPr>
                <w:b/>
                <w:bCs/>
              </w:rPr>
              <w:t xml:space="preserve">Total Cost </w:t>
            </w:r>
            <w:r w:rsidRPr="007A63AA">
              <w:rPr>
                <w:b/>
                <w:bCs/>
              </w:rPr>
              <w:br/>
              <w:t>(2017$)</w:t>
            </w:r>
          </w:p>
          <w:p w14:paraId="50A02406" w14:textId="77777777" w:rsidR="007A63AA" w:rsidRPr="007A63AA" w:rsidRDefault="007A63AA" w:rsidP="007A63AA">
            <w:pPr>
              <w:keepNext/>
              <w:spacing w:beforeLines="20" w:before="48" w:afterLines="20" w:after="48" w:line="264" w:lineRule="auto"/>
              <w:contextualSpacing/>
              <w:jc w:val="center"/>
              <w:rPr>
                <w:b/>
                <w:bCs/>
                <w:sz w:val="18"/>
                <w:szCs w:val="18"/>
              </w:rPr>
            </w:pPr>
            <w:r w:rsidRPr="007A63AA">
              <w:rPr>
                <w:b/>
                <w:bCs/>
                <w:sz w:val="18"/>
                <w:szCs w:val="18"/>
              </w:rPr>
              <w:t xml:space="preserve">(d) = </w:t>
            </w:r>
          </w:p>
          <w:p w14:paraId="2A92CFD3" w14:textId="77777777" w:rsidR="007A63AA" w:rsidRPr="007A63AA" w:rsidRDefault="007A63AA" w:rsidP="007A63AA">
            <w:pPr>
              <w:keepNext/>
              <w:spacing w:beforeLines="20" w:before="48" w:afterLines="20" w:after="48" w:line="264" w:lineRule="auto"/>
              <w:contextualSpacing/>
              <w:jc w:val="center"/>
              <w:rPr>
                <w:b/>
                <w:bCs/>
              </w:rPr>
            </w:pPr>
            <w:r w:rsidRPr="007A63AA">
              <w:rPr>
                <w:b/>
                <w:bCs/>
                <w:sz w:val="18"/>
                <w:szCs w:val="18"/>
              </w:rPr>
              <w:t>(a) + (b) + (c)</w:t>
            </w:r>
          </w:p>
        </w:tc>
      </w:tr>
      <w:tr w:rsidR="00F07528" w:rsidRPr="007A63AA" w14:paraId="703DE2AB" w14:textId="77777777" w:rsidTr="00921211">
        <w:trPr>
          <w:cantSplit/>
          <w:trHeight w:val="288"/>
        </w:trPr>
        <w:tc>
          <w:tcPr>
            <w:tcW w:w="1752" w:type="pct"/>
            <w:tcBorders>
              <w:left w:val="single" w:sz="12" w:space="0" w:color="auto"/>
            </w:tcBorders>
            <w:vAlign w:val="center"/>
            <w:hideMark/>
          </w:tcPr>
          <w:p w14:paraId="52F88BEC" w14:textId="77777777" w:rsidR="007A63AA" w:rsidRPr="007A63AA" w:rsidRDefault="007A63AA" w:rsidP="007A63AA">
            <w:pPr>
              <w:keepNext/>
              <w:contextualSpacing/>
              <w:rPr>
                <w:rFonts w:ascii="Arial Narrow" w:hAnsi="Arial Narrow"/>
                <w:sz w:val="18"/>
                <w:szCs w:val="18"/>
              </w:rPr>
            </w:pPr>
            <w:r w:rsidRPr="007A63AA">
              <w:rPr>
                <w:rFonts w:ascii="Arial Narrow" w:hAnsi="Arial Narrow"/>
                <w:i/>
                <w:sz w:val="18"/>
                <w:szCs w:val="18"/>
              </w:rPr>
              <w:t>RULE FAMILIARIZATION</w:t>
            </w:r>
          </w:p>
        </w:tc>
        <w:tc>
          <w:tcPr>
            <w:tcW w:w="588" w:type="pct"/>
            <w:vAlign w:val="center"/>
            <w:hideMark/>
          </w:tcPr>
          <w:p w14:paraId="241CBC58" w14:textId="77777777" w:rsidR="007A63AA" w:rsidRPr="007A63AA" w:rsidRDefault="007A63AA" w:rsidP="007A63AA">
            <w:pPr>
              <w:keepNext/>
              <w:contextualSpacing/>
              <w:rPr>
                <w:rFonts w:ascii="Arial Narrow" w:hAnsi="Arial Narrow"/>
                <w:sz w:val="18"/>
                <w:szCs w:val="18"/>
              </w:rPr>
            </w:pPr>
            <w:r w:rsidRPr="007A63AA">
              <w:rPr>
                <w:rFonts w:ascii="Arial Narrow" w:hAnsi="Arial Narrow"/>
                <w:sz w:val="18"/>
                <w:szCs w:val="18"/>
              </w:rPr>
              <w:t>Company</w:t>
            </w:r>
          </w:p>
        </w:tc>
        <w:tc>
          <w:tcPr>
            <w:tcW w:w="646" w:type="pct"/>
            <w:noWrap/>
            <w:vAlign w:val="center"/>
            <w:hideMark/>
          </w:tcPr>
          <w:p w14:paraId="7D724D1D" w14:textId="77777777" w:rsidR="007A63AA" w:rsidRPr="007A63AA" w:rsidRDefault="007A63AA" w:rsidP="007A63AA">
            <w:pPr>
              <w:keepNext/>
              <w:contextualSpacing/>
              <w:jc w:val="right"/>
              <w:rPr>
                <w:rFonts w:ascii="Arial Narrow" w:hAnsi="Arial Narrow"/>
                <w:sz w:val="18"/>
                <w:szCs w:val="18"/>
              </w:rPr>
            </w:pPr>
            <w:r w:rsidRPr="007A63AA">
              <w:rPr>
                <w:rFonts w:ascii="Arial Narrow" w:hAnsi="Arial Narrow"/>
                <w:sz w:val="18"/>
                <w:szCs w:val="18"/>
              </w:rPr>
              <w:t>$0.00</w:t>
            </w:r>
          </w:p>
        </w:tc>
        <w:tc>
          <w:tcPr>
            <w:tcW w:w="591" w:type="pct"/>
            <w:noWrap/>
            <w:vAlign w:val="center"/>
            <w:hideMark/>
          </w:tcPr>
          <w:p w14:paraId="250546E0" w14:textId="77777777" w:rsidR="007A63AA" w:rsidRPr="007A63AA" w:rsidRDefault="007A63AA" w:rsidP="007A63AA">
            <w:pPr>
              <w:keepNext/>
              <w:contextualSpacing/>
              <w:jc w:val="right"/>
              <w:rPr>
                <w:rFonts w:ascii="Arial Narrow" w:hAnsi="Arial Narrow"/>
                <w:sz w:val="18"/>
                <w:szCs w:val="18"/>
              </w:rPr>
            </w:pPr>
            <w:r w:rsidRPr="007A63AA">
              <w:rPr>
                <w:rFonts w:ascii="Arial Narrow" w:hAnsi="Arial Narrow"/>
                <w:sz w:val="18"/>
                <w:szCs w:val="18"/>
              </w:rPr>
              <w:t>$116.91</w:t>
            </w:r>
          </w:p>
        </w:tc>
        <w:tc>
          <w:tcPr>
            <w:tcW w:w="677" w:type="pct"/>
            <w:noWrap/>
            <w:vAlign w:val="center"/>
            <w:hideMark/>
          </w:tcPr>
          <w:p w14:paraId="567CC43C" w14:textId="77777777" w:rsidR="007A63AA" w:rsidRPr="007A63AA" w:rsidRDefault="007A63AA" w:rsidP="007A63AA">
            <w:pPr>
              <w:keepNext/>
              <w:contextualSpacing/>
              <w:jc w:val="right"/>
              <w:rPr>
                <w:rFonts w:ascii="Arial Narrow" w:hAnsi="Arial Narrow"/>
                <w:sz w:val="18"/>
                <w:szCs w:val="18"/>
              </w:rPr>
            </w:pPr>
            <w:r w:rsidRPr="007A63AA">
              <w:rPr>
                <w:rFonts w:ascii="Arial Narrow" w:hAnsi="Arial Narrow"/>
                <w:sz w:val="18"/>
                <w:szCs w:val="18"/>
              </w:rPr>
              <w:t>$115.01</w:t>
            </w:r>
          </w:p>
        </w:tc>
        <w:tc>
          <w:tcPr>
            <w:tcW w:w="746" w:type="pct"/>
            <w:tcBorders>
              <w:right w:val="single" w:sz="12" w:space="0" w:color="auto"/>
            </w:tcBorders>
            <w:noWrap/>
            <w:vAlign w:val="center"/>
            <w:hideMark/>
          </w:tcPr>
          <w:p w14:paraId="0B8108DE" w14:textId="77777777" w:rsidR="007A63AA" w:rsidRPr="007A63AA" w:rsidRDefault="007A63AA" w:rsidP="007A63AA">
            <w:pPr>
              <w:keepNext/>
              <w:contextualSpacing/>
              <w:jc w:val="right"/>
              <w:rPr>
                <w:rFonts w:ascii="Arial Narrow" w:hAnsi="Arial Narrow"/>
                <w:sz w:val="18"/>
                <w:szCs w:val="18"/>
              </w:rPr>
            </w:pPr>
            <w:r w:rsidRPr="007A63AA">
              <w:rPr>
                <w:rFonts w:ascii="Arial Narrow" w:hAnsi="Arial Narrow"/>
                <w:sz w:val="18"/>
                <w:szCs w:val="18"/>
              </w:rPr>
              <w:t>$231.92</w:t>
            </w:r>
          </w:p>
        </w:tc>
      </w:tr>
      <w:tr w:rsidR="00F07528" w:rsidRPr="007A63AA" w14:paraId="4F42676A" w14:textId="77777777" w:rsidTr="00921211">
        <w:trPr>
          <w:cantSplit/>
          <w:trHeight w:val="288"/>
        </w:trPr>
        <w:tc>
          <w:tcPr>
            <w:tcW w:w="1752" w:type="pct"/>
            <w:tcBorders>
              <w:left w:val="single" w:sz="12" w:space="0" w:color="auto"/>
            </w:tcBorders>
            <w:vAlign w:val="center"/>
            <w:hideMark/>
          </w:tcPr>
          <w:p w14:paraId="112DB8E7" w14:textId="77777777" w:rsidR="007A63AA" w:rsidRPr="007A63AA" w:rsidRDefault="007A63AA" w:rsidP="007A63AA">
            <w:pPr>
              <w:keepNext/>
              <w:contextualSpacing/>
              <w:rPr>
                <w:rFonts w:ascii="Arial Narrow" w:hAnsi="Arial Narrow"/>
                <w:sz w:val="18"/>
                <w:szCs w:val="18"/>
              </w:rPr>
            </w:pPr>
            <w:r w:rsidRPr="007A63AA">
              <w:rPr>
                <w:rFonts w:ascii="Arial Narrow" w:hAnsi="Arial Narrow"/>
                <w:i/>
                <w:sz w:val="18"/>
                <w:szCs w:val="18"/>
              </w:rPr>
              <w:t>COMPLIANCE DETERMINATION</w:t>
            </w:r>
          </w:p>
        </w:tc>
        <w:tc>
          <w:tcPr>
            <w:tcW w:w="588" w:type="pct"/>
            <w:vAlign w:val="center"/>
            <w:hideMark/>
          </w:tcPr>
          <w:p w14:paraId="221B3649" w14:textId="77777777" w:rsidR="007A63AA" w:rsidRPr="007A63AA" w:rsidRDefault="007A63AA" w:rsidP="007A63AA">
            <w:pPr>
              <w:keepNext/>
              <w:contextualSpacing/>
              <w:rPr>
                <w:rFonts w:ascii="Arial Narrow" w:hAnsi="Arial Narrow"/>
                <w:sz w:val="18"/>
                <w:szCs w:val="18"/>
              </w:rPr>
            </w:pPr>
            <w:r w:rsidRPr="007A63AA">
              <w:rPr>
                <w:rFonts w:ascii="Arial Narrow" w:hAnsi="Arial Narrow"/>
                <w:sz w:val="18"/>
                <w:szCs w:val="18"/>
              </w:rPr>
              <w:t>Chemical</w:t>
            </w:r>
          </w:p>
        </w:tc>
        <w:tc>
          <w:tcPr>
            <w:tcW w:w="646" w:type="pct"/>
            <w:noWrap/>
            <w:vAlign w:val="center"/>
            <w:hideMark/>
          </w:tcPr>
          <w:p w14:paraId="08FE431F" w14:textId="77777777" w:rsidR="007A63AA" w:rsidRPr="007A63AA" w:rsidRDefault="007A63AA" w:rsidP="007A63AA">
            <w:pPr>
              <w:keepNext/>
              <w:contextualSpacing/>
              <w:jc w:val="right"/>
              <w:rPr>
                <w:rFonts w:ascii="Arial Narrow" w:hAnsi="Arial Narrow"/>
                <w:sz w:val="18"/>
                <w:szCs w:val="18"/>
              </w:rPr>
            </w:pPr>
            <w:r w:rsidRPr="007A63AA">
              <w:rPr>
                <w:rFonts w:ascii="Arial Narrow" w:hAnsi="Arial Narrow"/>
                <w:sz w:val="18"/>
                <w:szCs w:val="18"/>
              </w:rPr>
              <w:t>$0.00</w:t>
            </w:r>
          </w:p>
        </w:tc>
        <w:tc>
          <w:tcPr>
            <w:tcW w:w="591" w:type="pct"/>
            <w:noWrap/>
            <w:vAlign w:val="center"/>
            <w:hideMark/>
          </w:tcPr>
          <w:p w14:paraId="1D61C35F" w14:textId="77777777" w:rsidR="007A63AA" w:rsidRPr="007A63AA" w:rsidRDefault="007A63AA" w:rsidP="007A63AA">
            <w:pPr>
              <w:keepNext/>
              <w:contextualSpacing/>
              <w:jc w:val="right"/>
              <w:rPr>
                <w:rFonts w:ascii="Arial Narrow" w:hAnsi="Arial Narrow"/>
                <w:sz w:val="18"/>
                <w:szCs w:val="18"/>
              </w:rPr>
            </w:pPr>
            <w:r w:rsidRPr="007A63AA">
              <w:rPr>
                <w:rFonts w:ascii="Arial Narrow" w:hAnsi="Arial Narrow"/>
                <w:sz w:val="18"/>
                <w:szCs w:val="18"/>
              </w:rPr>
              <w:t>$0.00</w:t>
            </w:r>
          </w:p>
        </w:tc>
        <w:tc>
          <w:tcPr>
            <w:tcW w:w="677" w:type="pct"/>
            <w:noWrap/>
            <w:vAlign w:val="center"/>
            <w:hideMark/>
          </w:tcPr>
          <w:p w14:paraId="4A90D573" w14:textId="77777777" w:rsidR="007A63AA" w:rsidRPr="007A63AA" w:rsidRDefault="007A63AA" w:rsidP="007A63AA">
            <w:pPr>
              <w:keepNext/>
              <w:contextualSpacing/>
              <w:jc w:val="right"/>
              <w:rPr>
                <w:rFonts w:ascii="Arial Narrow" w:hAnsi="Arial Narrow"/>
                <w:sz w:val="18"/>
                <w:szCs w:val="18"/>
              </w:rPr>
            </w:pPr>
            <w:r w:rsidRPr="007A63AA">
              <w:rPr>
                <w:rFonts w:ascii="Arial Narrow" w:hAnsi="Arial Narrow"/>
                <w:sz w:val="18"/>
                <w:szCs w:val="18"/>
              </w:rPr>
              <w:t>$0.00</w:t>
            </w:r>
          </w:p>
        </w:tc>
        <w:tc>
          <w:tcPr>
            <w:tcW w:w="746" w:type="pct"/>
            <w:tcBorders>
              <w:right w:val="single" w:sz="12" w:space="0" w:color="auto"/>
            </w:tcBorders>
            <w:noWrap/>
            <w:vAlign w:val="center"/>
            <w:hideMark/>
          </w:tcPr>
          <w:p w14:paraId="315970A0" w14:textId="77777777" w:rsidR="007A63AA" w:rsidRPr="007A63AA" w:rsidRDefault="007A63AA" w:rsidP="007A63AA">
            <w:pPr>
              <w:keepNext/>
              <w:contextualSpacing/>
              <w:jc w:val="right"/>
              <w:rPr>
                <w:rFonts w:ascii="Arial Narrow" w:hAnsi="Arial Narrow"/>
                <w:sz w:val="18"/>
                <w:szCs w:val="18"/>
              </w:rPr>
            </w:pPr>
            <w:r w:rsidRPr="007A63AA">
              <w:rPr>
                <w:rFonts w:ascii="Arial Narrow" w:hAnsi="Arial Narrow"/>
                <w:sz w:val="18"/>
                <w:szCs w:val="18"/>
              </w:rPr>
              <w:t>$0.00</w:t>
            </w:r>
          </w:p>
        </w:tc>
      </w:tr>
      <w:tr w:rsidR="00F07528" w:rsidRPr="007A63AA" w14:paraId="3549DDF7" w14:textId="77777777" w:rsidTr="00921211">
        <w:trPr>
          <w:cantSplit/>
          <w:trHeight w:val="288"/>
        </w:trPr>
        <w:tc>
          <w:tcPr>
            <w:tcW w:w="1752" w:type="pct"/>
            <w:tcBorders>
              <w:top w:val="single" w:sz="12" w:space="0" w:color="auto"/>
              <w:left w:val="single" w:sz="12" w:space="0" w:color="auto"/>
              <w:bottom w:val="single" w:sz="12" w:space="0" w:color="auto"/>
              <w:right w:val="nil"/>
            </w:tcBorders>
            <w:shd w:val="clear" w:color="auto" w:fill="E7E8E8"/>
            <w:vAlign w:val="center"/>
          </w:tcPr>
          <w:p w14:paraId="41863DAD" w14:textId="77777777" w:rsidR="007A63AA" w:rsidRPr="007A63AA" w:rsidRDefault="007A63AA" w:rsidP="007A63AA">
            <w:pPr>
              <w:keepNext/>
              <w:spacing w:beforeLines="20" w:before="48" w:afterLines="20" w:after="48" w:line="264" w:lineRule="auto"/>
              <w:contextualSpacing/>
              <w:rPr>
                <w:rFonts w:ascii="Arial Narrow" w:hAnsi="Arial Narrow"/>
                <w:b/>
                <w:bCs/>
                <w:i/>
                <w:iCs/>
                <w:color w:val="F0F4F6"/>
                <w:sz w:val="18"/>
                <w:szCs w:val="18"/>
              </w:rPr>
            </w:pPr>
          </w:p>
        </w:tc>
        <w:tc>
          <w:tcPr>
            <w:tcW w:w="588" w:type="pct"/>
            <w:tcBorders>
              <w:top w:val="single" w:sz="12" w:space="0" w:color="auto"/>
              <w:left w:val="nil"/>
              <w:bottom w:val="single" w:sz="12" w:space="0" w:color="auto"/>
              <w:right w:val="nil"/>
            </w:tcBorders>
            <w:shd w:val="clear" w:color="auto" w:fill="E7E8E8"/>
            <w:vAlign w:val="center"/>
          </w:tcPr>
          <w:p w14:paraId="55F8EC77" w14:textId="77777777" w:rsidR="007A63AA" w:rsidRPr="007A63AA" w:rsidRDefault="007A63AA" w:rsidP="007A63AA">
            <w:pPr>
              <w:keepNext/>
              <w:spacing w:beforeLines="20" w:before="48" w:afterLines="20" w:after="48" w:line="264" w:lineRule="auto"/>
              <w:contextualSpacing/>
              <w:rPr>
                <w:rFonts w:ascii="Arial Narrow" w:hAnsi="Arial Narrow"/>
                <w:b/>
                <w:bCs/>
                <w:i/>
                <w:iCs/>
                <w:color w:val="F0F4F6"/>
                <w:sz w:val="18"/>
                <w:szCs w:val="18"/>
              </w:rPr>
            </w:pPr>
          </w:p>
        </w:tc>
        <w:tc>
          <w:tcPr>
            <w:tcW w:w="646" w:type="pct"/>
            <w:tcBorders>
              <w:top w:val="single" w:sz="12" w:space="0" w:color="auto"/>
              <w:left w:val="nil"/>
              <w:bottom w:val="single" w:sz="12" w:space="0" w:color="auto"/>
              <w:right w:val="nil"/>
            </w:tcBorders>
            <w:shd w:val="clear" w:color="auto" w:fill="E7E8E8"/>
            <w:noWrap/>
            <w:vAlign w:val="center"/>
          </w:tcPr>
          <w:p w14:paraId="49946A2C" w14:textId="77777777" w:rsidR="007A63AA" w:rsidRPr="007A63AA" w:rsidRDefault="007A63AA" w:rsidP="007A63AA">
            <w:pPr>
              <w:keepNext/>
              <w:spacing w:beforeLines="20" w:before="48" w:afterLines="20" w:after="48" w:line="264" w:lineRule="auto"/>
              <w:contextualSpacing/>
              <w:jc w:val="right"/>
              <w:rPr>
                <w:rFonts w:ascii="Arial Narrow" w:hAnsi="Arial Narrow"/>
                <w:b/>
                <w:bCs/>
                <w:i/>
                <w:iCs/>
                <w:color w:val="F0F4F6"/>
                <w:sz w:val="18"/>
                <w:szCs w:val="18"/>
              </w:rPr>
            </w:pPr>
          </w:p>
        </w:tc>
        <w:tc>
          <w:tcPr>
            <w:tcW w:w="591" w:type="pct"/>
            <w:tcBorders>
              <w:top w:val="single" w:sz="12" w:space="0" w:color="auto"/>
              <w:left w:val="nil"/>
              <w:bottom w:val="single" w:sz="12" w:space="0" w:color="auto"/>
              <w:right w:val="nil"/>
            </w:tcBorders>
            <w:shd w:val="clear" w:color="auto" w:fill="E7E8E8"/>
            <w:noWrap/>
            <w:vAlign w:val="center"/>
          </w:tcPr>
          <w:p w14:paraId="5DB9E4C3" w14:textId="77777777" w:rsidR="007A63AA" w:rsidRPr="007A63AA" w:rsidRDefault="007A63AA" w:rsidP="007A63AA">
            <w:pPr>
              <w:keepNext/>
              <w:spacing w:beforeLines="20" w:before="48" w:afterLines="20" w:after="48" w:line="264" w:lineRule="auto"/>
              <w:contextualSpacing/>
              <w:jc w:val="right"/>
              <w:rPr>
                <w:rFonts w:ascii="Arial Narrow" w:hAnsi="Arial Narrow"/>
                <w:b/>
                <w:bCs/>
                <w:i/>
                <w:iCs/>
                <w:color w:val="F0F4F6"/>
                <w:sz w:val="18"/>
                <w:szCs w:val="18"/>
              </w:rPr>
            </w:pPr>
          </w:p>
        </w:tc>
        <w:tc>
          <w:tcPr>
            <w:tcW w:w="677" w:type="pct"/>
            <w:tcBorders>
              <w:top w:val="single" w:sz="12" w:space="0" w:color="auto"/>
              <w:left w:val="nil"/>
              <w:bottom w:val="single" w:sz="12" w:space="0" w:color="auto"/>
              <w:right w:val="nil"/>
            </w:tcBorders>
            <w:shd w:val="clear" w:color="auto" w:fill="E7E8E8"/>
            <w:noWrap/>
            <w:vAlign w:val="center"/>
          </w:tcPr>
          <w:p w14:paraId="3F89F152" w14:textId="77777777" w:rsidR="007A63AA" w:rsidRPr="007A63AA" w:rsidRDefault="007A63AA" w:rsidP="007A63AA">
            <w:pPr>
              <w:keepNext/>
              <w:spacing w:beforeLines="20" w:before="48" w:afterLines="20" w:after="48" w:line="264" w:lineRule="auto"/>
              <w:contextualSpacing/>
              <w:jc w:val="right"/>
              <w:rPr>
                <w:rFonts w:ascii="Arial Narrow" w:hAnsi="Arial Narrow"/>
                <w:b/>
                <w:bCs/>
                <w:i/>
                <w:iCs/>
                <w:color w:val="F0F4F6"/>
                <w:sz w:val="18"/>
                <w:szCs w:val="18"/>
              </w:rPr>
            </w:pPr>
          </w:p>
        </w:tc>
        <w:tc>
          <w:tcPr>
            <w:tcW w:w="746" w:type="pct"/>
            <w:tcBorders>
              <w:top w:val="single" w:sz="12" w:space="0" w:color="auto"/>
              <w:left w:val="nil"/>
              <w:bottom w:val="single" w:sz="12" w:space="0" w:color="auto"/>
              <w:right w:val="single" w:sz="12" w:space="0" w:color="auto"/>
            </w:tcBorders>
            <w:shd w:val="clear" w:color="auto" w:fill="E7E8E8"/>
            <w:noWrap/>
            <w:vAlign w:val="center"/>
          </w:tcPr>
          <w:p w14:paraId="29FBA085" w14:textId="77777777" w:rsidR="007A63AA" w:rsidRPr="007A63AA" w:rsidRDefault="007A63AA" w:rsidP="007A63AA">
            <w:pPr>
              <w:keepNext/>
              <w:spacing w:beforeLines="20" w:before="48" w:afterLines="20" w:after="48" w:line="264" w:lineRule="auto"/>
              <w:contextualSpacing/>
              <w:jc w:val="right"/>
              <w:rPr>
                <w:rFonts w:ascii="Arial Narrow" w:hAnsi="Arial Narrow"/>
                <w:b/>
                <w:bCs/>
                <w:i/>
                <w:iCs/>
                <w:color w:val="F0F4F6"/>
                <w:sz w:val="18"/>
                <w:szCs w:val="18"/>
              </w:rPr>
            </w:pPr>
          </w:p>
        </w:tc>
      </w:tr>
      <w:tr w:rsidR="00F07528" w:rsidRPr="007A63AA" w14:paraId="29F18A84" w14:textId="77777777" w:rsidTr="00921211">
        <w:trPr>
          <w:cantSplit/>
          <w:trHeight w:val="288"/>
        </w:trPr>
        <w:tc>
          <w:tcPr>
            <w:tcW w:w="1752" w:type="pct"/>
            <w:tcBorders>
              <w:top w:val="single" w:sz="12" w:space="0" w:color="auto"/>
              <w:left w:val="single" w:sz="12" w:space="0" w:color="auto"/>
              <w:bottom w:val="single" w:sz="4" w:space="0" w:color="auto"/>
              <w:right w:val="nil"/>
            </w:tcBorders>
            <w:shd w:val="clear" w:color="auto" w:fill="auto"/>
            <w:vAlign w:val="center"/>
            <w:hideMark/>
          </w:tcPr>
          <w:p w14:paraId="6DD529CA" w14:textId="77777777" w:rsidR="007A63AA" w:rsidRPr="007A63AA" w:rsidRDefault="007A63AA" w:rsidP="007A63AA">
            <w:pPr>
              <w:keepNext/>
              <w:spacing w:beforeLines="20" w:before="48" w:afterLines="20" w:after="48" w:line="264" w:lineRule="auto"/>
              <w:contextualSpacing/>
              <w:rPr>
                <w:rFonts w:ascii="Arial Narrow" w:hAnsi="Arial Narrow"/>
                <w:b/>
                <w:bCs/>
                <w:i/>
                <w:iCs/>
                <w:color w:val="F0F4F6"/>
                <w:sz w:val="18"/>
                <w:szCs w:val="18"/>
              </w:rPr>
            </w:pPr>
            <w:r w:rsidRPr="007A63AA">
              <w:rPr>
                <w:rFonts w:ascii="Arial Narrow" w:hAnsi="Arial Narrow"/>
                <w:b/>
                <w:bCs/>
                <w:i/>
                <w:iCs/>
                <w:sz w:val="18"/>
                <w:szCs w:val="18"/>
              </w:rPr>
              <w:t>FORM COMPLETION</w:t>
            </w:r>
          </w:p>
        </w:tc>
        <w:tc>
          <w:tcPr>
            <w:tcW w:w="588" w:type="pct"/>
            <w:tcBorders>
              <w:top w:val="single" w:sz="12" w:space="0" w:color="auto"/>
              <w:left w:val="nil"/>
              <w:bottom w:val="single" w:sz="4" w:space="0" w:color="auto"/>
              <w:right w:val="nil"/>
            </w:tcBorders>
            <w:shd w:val="clear" w:color="auto" w:fill="auto"/>
            <w:vAlign w:val="center"/>
            <w:hideMark/>
          </w:tcPr>
          <w:p w14:paraId="25B11B27" w14:textId="77777777" w:rsidR="007A63AA" w:rsidRPr="007A63AA" w:rsidRDefault="007A63AA" w:rsidP="007A63AA">
            <w:pPr>
              <w:keepNext/>
              <w:spacing w:beforeLines="20" w:before="48" w:afterLines="20" w:after="48" w:line="264" w:lineRule="auto"/>
              <w:contextualSpacing/>
              <w:rPr>
                <w:rFonts w:ascii="Arial Narrow" w:hAnsi="Arial Narrow"/>
                <w:b/>
                <w:bCs/>
                <w:i/>
                <w:iCs/>
                <w:color w:val="F0F4F6"/>
                <w:sz w:val="18"/>
                <w:szCs w:val="18"/>
              </w:rPr>
            </w:pPr>
            <w:r w:rsidRPr="007A63AA">
              <w:rPr>
                <w:rFonts w:ascii="Arial Narrow" w:hAnsi="Arial Narrow"/>
                <w:b/>
                <w:bCs/>
                <w:i/>
                <w:iCs/>
                <w:color w:val="F0F4F6"/>
                <w:sz w:val="18"/>
                <w:szCs w:val="18"/>
              </w:rPr>
              <w:t> </w:t>
            </w:r>
          </w:p>
        </w:tc>
        <w:tc>
          <w:tcPr>
            <w:tcW w:w="646" w:type="pct"/>
            <w:tcBorders>
              <w:top w:val="single" w:sz="12" w:space="0" w:color="auto"/>
              <w:left w:val="nil"/>
              <w:bottom w:val="single" w:sz="4" w:space="0" w:color="auto"/>
              <w:right w:val="nil"/>
            </w:tcBorders>
            <w:shd w:val="clear" w:color="auto" w:fill="auto"/>
            <w:noWrap/>
            <w:vAlign w:val="center"/>
            <w:hideMark/>
          </w:tcPr>
          <w:p w14:paraId="166B68E2" w14:textId="77777777" w:rsidR="007A63AA" w:rsidRPr="007A63AA" w:rsidRDefault="007A63AA" w:rsidP="007A63AA">
            <w:pPr>
              <w:keepNext/>
              <w:spacing w:beforeLines="20" w:before="48" w:afterLines="20" w:after="48" w:line="264" w:lineRule="auto"/>
              <w:contextualSpacing/>
              <w:jc w:val="right"/>
              <w:rPr>
                <w:rFonts w:ascii="Arial Narrow" w:hAnsi="Arial Narrow"/>
                <w:b/>
                <w:bCs/>
                <w:i/>
                <w:iCs/>
                <w:color w:val="F0F4F6"/>
                <w:sz w:val="18"/>
                <w:szCs w:val="18"/>
              </w:rPr>
            </w:pPr>
          </w:p>
        </w:tc>
        <w:tc>
          <w:tcPr>
            <w:tcW w:w="591" w:type="pct"/>
            <w:tcBorders>
              <w:top w:val="single" w:sz="12" w:space="0" w:color="auto"/>
              <w:left w:val="nil"/>
              <w:bottom w:val="single" w:sz="4" w:space="0" w:color="auto"/>
              <w:right w:val="nil"/>
            </w:tcBorders>
            <w:shd w:val="clear" w:color="auto" w:fill="auto"/>
            <w:noWrap/>
            <w:vAlign w:val="center"/>
            <w:hideMark/>
          </w:tcPr>
          <w:p w14:paraId="31A3650B" w14:textId="77777777" w:rsidR="007A63AA" w:rsidRPr="007A63AA" w:rsidRDefault="007A63AA" w:rsidP="007A63AA">
            <w:pPr>
              <w:keepNext/>
              <w:spacing w:beforeLines="20" w:before="48" w:afterLines="20" w:after="48" w:line="264" w:lineRule="auto"/>
              <w:contextualSpacing/>
              <w:jc w:val="right"/>
              <w:rPr>
                <w:rFonts w:ascii="Arial Narrow" w:hAnsi="Arial Narrow"/>
                <w:b/>
                <w:bCs/>
                <w:i/>
                <w:iCs/>
                <w:color w:val="F0F4F6"/>
                <w:sz w:val="18"/>
                <w:szCs w:val="18"/>
              </w:rPr>
            </w:pPr>
          </w:p>
        </w:tc>
        <w:tc>
          <w:tcPr>
            <w:tcW w:w="677" w:type="pct"/>
            <w:tcBorders>
              <w:top w:val="single" w:sz="12" w:space="0" w:color="auto"/>
              <w:left w:val="nil"/>
              <w:bottom w:val="single" w:sz="4" w:space="0" w:color="auto"/>
              <w:right w:val="nil"/>
            </w:tcBorders>
            <w:shd w:val="clear" w:color="auto" w:fill="auto"/>
            <w:noWrap/>
            <w:vAlign w:val="center"/>
            <w:hideMark/>
          </w:tcPr>
          <w:p w14:paraId="646820A6" w14:textId="77777777" w:rsidR="007A63AA" w:rsidRPr="007A63AA" w:rsidRDefault="007A63AA" w:rsidP="007A63AA">
            <w:pPr>
              <w:keepNext/>
              <w:spacing w:beforeLines="20" w:before="48" w:afterLines="20" w:after="48" w:line="264" w:lineRule="auto"/>
              <w:contextualSpacing/>
              <w:jc w:val="right"/>
              <w:rPr>
                <w:rFonts w:ascii="Arial Narrow" w:hAnsi="Arial Narrow"/>
                <w:b/>
                <w:bCs/>
                <w:i/>
                <w:iCs/>
                <w:color w:val="F0F4F6"/>
                <w:sz w:val="18"/>
                <w:szCs w:val="18"/>
              </w:rPr>
            </w:pPr>
          </w:p>
        </w:tc>
        <w:tc>
          <w:tcPr>
            <w:tcW w:w="746" w:type="pct"/>
            <w:tcBorders>
              <w:top w:val="single" w:sz="12" w:space="0" w:color="auto"/>
              <w:left w:val="nil"/>
              <w:bottom w:val="single" w:sz="4" w:space="0" w:color="auto"/>
              <w:right w:val="single" w:sz="12" w:space="0" w:color="auto"/>
            </w:tcBorders>
            <w:shd w:val="clear" w:color="auto" w:fill="auto"/>
            <w:noWrap/>
            <w:vAlign w:val="center"/>
            <w:hideMark/>
          </w:tcPr>
          <w:p w14:paraId="09B96F5A" w14:textId="77777777" w:rsidR="007A63AA" w:rsidRPr="007A63AA" w:rsidRDefault="007A63AA" w:rsidP="007A63AA">
            <w:pPr>
              <w:keepNext/>
              <w:spacing w:beforeLines="20" w:before="48" w:afterLines="20" w:after="48" w:line="264" w:lineRule="auto"/>
              <w:contextualSpacing/>
              <w:jc w:val="right"/>
              <w:rPr>
                <w:rFonts w:ascii="Arial Narrow" w:hAnsi="Arial Narrow"/>
                <w:b/>
                <w:bCs/>
                <w:i/>
                <w:iCs/>
                <w:color w:val="F0F4F6"/>
                <w:sz w:val="18"/>
                <w:szCs w:val="18"/>
              </w:rPr>
            </w:pPr>
          </w:p>
        </w:tc>
      </w:tr>
      <w:tr w:rsidR="00F07528" w:rsidRPr="007A63AA" w14:paraId="6EABB2E9" w14:textId="77777777" w:rsidTr="00921211">
        <w:trPr>
          <w:cantSplit/>
          <w:trHeight w:val="288"/>
        </w:trPr>
        <w:tc>
          <w:tcPr>
            <w:tcW w:w="1752" w:type="pct"/>
            <w:tcBorders>
              <w:left w:val="single" w:sz="12" w:space="0" w:color="auto"/>
              <w:bottom w:val="nil"/>
            </w:tcBorders>
            <w:vAlign w:val="center"/>
            <w:hideMark/>
          </w:tcPr>
          <w:p w14:paraId="325BB3FC" w14:textId="77777777" w:rsidR="007A63AA" w:rsidRPr="007A63AA" w:rsidRDefault="007A63AA" w:rsidP="007A63AA">
            <w:pPr>
              <w:keepNext/>
              <w:spacing w:beforeLines="20" w:before="48" w:afterLines="20" w:after="48" w:line="264" w:lineRule="auto"/>
              <w:contextualSpacing/>
              <w:jc w:val="center"/>
              <w:rPr>
                <w:rFonts w:ascii="Arial Narrow" w:hAnsi="Arial Narrow"/>
                <w:sz w:val="18"/>
                <w:szCs w:val="18"/>
                <w:vertAlign w:val="superscript"/>
              </w:rPr>
            </w:pPr>
            <w:r w:rsidRPr="007A63AA">
              <w:rPr>
                <w:rFonts w:ascii="Arial Narrow" w:hAnsi="Arial Narrow"/>
                <w:sz w:val="18"/>
                <w:szCs w:val="18"/>
              </w:rPr>
              <w:t>Substantiation via Previous Reference</w:t>
            </w:r>
          </w:p>
        </w:tc>
        <w:tc>
          <w:tcPr>
            <w:tcW w:w="588" w:type="pct"/>
            <w:tcBorders>
              <w:bottom w:val="nil"/>
            </w:tcBorders>
            <w:vAlign w:val="center"/>
            <w:hideMark/>
          </w:tcPr>
          <w:p w14:paraId="03148FB6" w14:textId="77777777" w:rsidR="007A63AA" w:rsidRPr="007A63AA" w:rsidRDefault="007A63AA" w:rsidP="007A63AA">
            <w:pPr>
              <w:keepNext/>
              <w:spacing w:beforeLines="20" w:before="48" w:afterLines="20" w:after="48" w:line="264" w:lineRule="auto"/>
              <w:contextualSpacing/>
              <w:rPr>
                <w:rFonts w:ascii="Arial Narrow" w:hAnsi="Arial Narrow"/>
                <w:sz w:val="18"/>
                <w:szCs w:val="18"/>
              </w:rPr>
            </w:pPr>
            <w:r w:rsidRPr="007A63AA">
              <w:rPr>
                <w:rFonts w:ascii="Arial Narrow" w:hAnsi="Arial Narrow"/>
                <w:color w:val="000000"/>
                <w:sz w:val="18"/>
                <w:szCs w:val="18"/>
              </w:rPr>
              <w:t>Chemical</w:t>
            </w:r>
          </w:p>
        </w:tc>
        <w:tc>
          <w:tcPr>
            <w:tcW w:w="646" w:type="pct"/>
            <w:tcBorders>
              <w:bottom w:val="nil"/>
            </w:tcBorders>
            <w:noWrap/>
            <w:vAlign w:val="center"/>
            <w:hideMark/>
          </w:tcPr>
          <w:p w14:paraId="46D9DF55"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r w:rsidRPr="007A63AA">
              <w:rPr>
                <w:rFonts w:ascii="Arial Narrow" w:hAnsi="Arial Narrow"/>
                <w:sz w:val="18"/>
                <w:szCs w:val="18"/>
              </w:rPr>
              <w:t>$0.00</w:t>
            </w:r>
          </w:p>
        </w:tc>
        <w:tc>
          <w:tcPr>
            <w:tcW w:w="591" w:type="pct"/>
            <w:tcBorders>
              <w:bottom w:val="nil"/>
            </w:tcBorders>
            <w:noWrap/>
            <w:vAlign w:val="center"/>
            <w:hideMark/>
          </w:tcPr>
          <w:p w14:paraId="2F598BC9"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r w:rsidRPr="007A63AA">
              <w:rPr>
                <w:rFonts w:ascii="Arial Narrow" w:hAnsi="Arial Narrow"/>
                <w:sz w:val="18"/>
                <w:szCs w:val="18"/>
              </w:rPr>
              <w:t>$38.97</w:t>
            </w:r>
          </w:p>
        </w:tc>
        <w:tc>
          <w:tcPr>
            <w:tcW w:w="677" w:type="pct"/>
            <w:tcBorders>
              <w:bottom w:val="nil"/>
            </w:tcBorders>
            <w:noWrap/>
            <w:vAlign w:val="center"/>
            <w:hideMark/>
          </w:tcPr>
          <w:p w14:paraId="19546893"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r w:rsidRPr="007A63AA">
              <w:rPr>
                <w:rFonts w:ascii="Arial Narrow" w:hAnsi="Arial Narrow"/>
                <w:sz w:val="18"/>
                <w:szCs w:val="18"/>
              </w:rPr>
              <w:t>$0.00</w:t>
            </w:r>
          </w:p>
        </w:tc>
        <w:tc>
          <w:tcPr>
            <w:tcW w:w="746" w:type="pct"/>
            <w:tcBorders>
              <w:bottom w:val="nil"/>
              <w:right w:val="single" w:sz="12" w:space="0" w:color="auto"/>
            </w:tcBorders>
            <w:noWrap/>
            <w:vAlign w:val="center"/>
            <w:hideMark/>
          </w:tcPr>
          <w:p w14:paraId="563C9EFA"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r w:rsidRPr="007A63AA">
              <w:rPr>
                <w:rFonts w:ascii="Arial Narrow" w:hAnsi="Arial Narrow"/>
                <w:sz w:val="18"/>
                <w:szCs w:val="18"/>
              </w:rPr>
              <w:t>$38.97</w:t>
            </w:r>
          </w:p>
        </w:tc>
      </w:tr>
      <w:tr w:rsidR="00F07528" w:rsidRPr="007A63AA" w14:paraId="161AF402" w14:textId="77777777" w:rsidTr="00921211">
        <w:trPr>
          <w:cantSplit/>
          <w:trHeight w:val="288"/>
        </w:trPr>
        <w:tc>
          <w:tcPr>
            <w:tcW w:w="1752" w:type="pct"/>
            <w:tcBorders>
              <w:top w:val="nil"/>
              <w:left w:val="single" w:sz="12" w:space="0" w:color="auto"/>
              <w:bottom w:val="nil"/>
            </w:tcBorders>
            <w:vAlign w:val="center"/>
          </w:tcPr>
          <w:p w14:paraId="4BFB8988" w14:textId="77777777" w:rsidR="007A63AA" w:rsidRPr="007A63AA" w:rsidRDefault="007A63AA" w:rsidP="007A63AA">
            <w:pPr>
              <w:keepNext/>
              <w:spacing w:beforeLines="20" w:before="48" w:afterLines="20" w:after="48" w:line="264" w:lineRule="auto"/>
              <w:contextualSpacing/>
              <w:jc w:val="center"/>
              <w:rPr>
                <w:rFonts w:ascii="Arial Narrow" w:hAnsi="Arial Narrow"/>
                <w:color w:val="000000"/>
                <w:sz w:val="18"/>
                <w:szCs w:val="18"/>
              </w:rPr>
            </w:pPr>
            <w:r w:rsidRPr="007A63AA">
              <w:rPr>
                <w:rFonts w:ascii="Arial Narrow" w:hAnsi="Arial Narrow"/>
                <w:sz w:val="18"/>
                <w:szCs w:val="18"/>
              </w:rPr>
              <w:t>--OR--</w:t>
            </w:r>
          </w:p>
        </w:tc>
        <w:tc>
          <w:tcPr>
            <w:tcW w:w="588" w:type="pct"/>
            <w:tcBorders>
              <w:top w:val="nil"/>
              <w:bottom w:val="nil"/>
            </w:tcBorders>
            <w:vAlign w:val="center"/>
          </w:tcPr>
          <w:p w14:paraId="0BD80E09" w14:textId="77777777" w:rsidR="007A63AA" w:rsidRPr="007A63AA" w:rsidRDefault="007A63AA" w:rsidP="007A63AA">
            <w:pPr>
              <w:keepNext/>
              <w:spacing w:beforeLines="20" w:before="48" w:afterLines="20" w:after="48" w:line="264" w:lineRule="auto"/>
              <w:contextualSpacing/>
              <w:rPr>
                <w:rFonts w:ascii="Arial Narrow" w:hAnsi="Arial Narrow"/>
                <w:color w:val="000000"/>
                <w:sz w:val="18"/>
                <w:szCs w:val="18"/>
              </w:rPr>
            </w:pPr>
          </w:p>
        </w:tc>
        <w:tc>
          <w:tcPr>
            <w:tcW w:w="646" w:type="pct"/>
            <w:tcBorders>
              <w:top w:val="nil"/>
              <w:bottom w:val="nil"/>
            </w:tcBorders>
            <w:noWrap/>
            <w:vAlign w:val="center"/>
          </w:tcPr>
          <w:p w14:paraId="7A9F2AC2"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p>
        </w:tc>
        <w:tc>
          <w:tcPr>
            <w:tcW w:w="591" w:type="pct"/>
            <w:tcBorders>
              <w:top w:val="nil"/>
              <w:bottom w:val="nil"/>
            </w:tcBorders>
            <w:noWrap/>
            <w:vAlign w:val="center"/>
          </w:tcPr>
          <w:p w14:paraId="47385D38"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p>
        </w:tc>
        <w:tc>
          <w:tcPr>
            <w:tcW w:w="677" w:type="pct"/>
            <w:tcBorders>
              <w:top w:val="nil"/>
              <w:bottom w:val="nil"/>
            </w:tcBorders>
            <w:noWrap/>
            <w:vAlign w:val="center"/>
          </w:tcPr>
          <w:p w14:paraId="585D1A37"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p>
        </w:tc>
        <w:tc>
          <w:tcPr>
            <w:tcW w:w="746" w:type="pct"/>
            <w:tcBorders>
              <w:top w:val="nil"/>
              <w:bottom w:val="nil"/>
              <w:right w:val="single" w:sz="12" w:space="0" w:color="auto"/>
            </w:tcBorders>
            <w:noWrap/>
            <w:vAlign w:val="center"/>
          </w:tcPr>
          <w:p w14:paraId="06C386E7"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p>
        </w:tc>
      </w:tr>
      <w:tr w:rsidR="00F07528" w:rsidRPr="007A63AA" w14:paraId="4D289F61" w14:textId="77777777" w:rsidTr="00921211">
        <w:trPr>
          <w:cantSplit/>
          <w:trHeight w:val="288"/>
        </w:trPr>
        <w:tc>
          <w:tcPr>
            <w:tcW w:w="1752" w:type="pct"/>
            <w:tcBorders>
              <w:top w:val="nil"/>
              <w:left w:val="single" w:sz="12" w:space="0" w:color="auto"/>
              <w:bottom w:val="single" w:sz="4" w:space="0" w:color="auto"/>
            </w:tcBorders>
            <w:vAlign w:val="center"/>
            <w:hideMark/>
          </w:tcPr>
          <w:p w14:paraId="230FAB06" w14:textId="77777777" w:rsidR="007A63AA" w:rsidRPr="007A63AA" w:rsidRDefault="007A63AA" w:rsidP="007A63AA">
            <w:pPr>
              <w:keepNext/>
              <w:spacing w:beforeLines="20" w:before="48" w:afterLines="20" w:after="48" w:line="264" w:lineRule="auto"/>
              <w:contextualSpacing/>
              <w:jc w:val="center"/>
              <w:rPr>
                <w:rFonts w:ascii="Arial Narrow" w:hAnsi="Arial Narrow"/>
                <w:sz w:val="18"/>
                <w:szCs w:val="18"/>
              </w:rPr>
            </w:pPr>
            <w:r w:rsidRPr="007A63AA">
              <w:rPr>
                <w:rFonts w:ascii="Arial Narrow" w:hAnsi="Arial Narrow"/>
                <w:color w:val="000000"/>
                <w:sz w:val="18"/>
                <w:szCs w:val="18"/>
              </w:rPr>
              <w:t>CBI Substantiation for Chemical Identity</w:t>
            </w:r>
          </w:p>
        </w:tc>
        <w:tc>
          <w:tcPr>
            <w:tcW w:w="588" w:type="pct"/>
            <w:tcBorders>
              <w:top w:val="nil"/>
              <w:bottom w:val="single" w:sz="4" w:space="0" w:color="auto"/>
            </w:tcBorders>
            <w:vAlign w:val="center"/>
            <w:hideMark/>
          </w:tcPr>
          <w:p w14:paraId="2B20C4CC" w14:textId="77777777" w:rsidR="007A63AA" w:rsidRPr="007A63AA" w:rsidRDefault="007A63AA" w:rsidP="007A63AA">
            <w:pPr>
              <w:keepNext/>
              <w:spacing w:beforeLines="20" w:before="48" w:afterLines="20" w:after="48" w:line="264" w:lineRule="auto"/>
              <w:contextualSpacing/>
              <w:rPr>
                <w:rFonts w:ascii="Arial Narrow" w:hAnsi="Arial Narrow"/>
                <w:sz w:val="18"/>
                <w:szCs w:val="18"/>
              </w:rPr>
            </w:pPr>
            <w:r w:rsidRPr="007A63AA">
              <w:rPr>
                <w:rFonts w:ascii="Arial Narrow" w:hAnsi="Arial Narrow"/>
                <w:color w:val="000000"/>
                <w:sz w:val="18"/>
                <w:szCs w:val="18"/>
              </w:rPr>
              <w:t>Chemical</w:t>
            </w:r>
          </w:p>
        </w:tc>
        <w:tc>
          <w:tcPr>
            <w:tcW w:w="646" w:type="pct"/>
            <w:tcBorders>
              <w:top w:val="nil"/>
              <w:bottom w:val="single" w:sz="4" w:space="0" w:color="auto"/>
            </w:tcBorders>
            <w:noWrap/>
            <w:vAlign w:val="center"/>
            <w:hideMark/>
          </w:tcPr>
          <w:p w14:paraId="232A81C1"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r w:rsidRPr="007A63AA">
              <w:rPr>
                <w:rFonts w:ascii="Arial Narrow" w:hAnsi="Arial Narrow"/>
                <w:sz w:val="18"/>
                <w:szCs w:val="18"/>
              </w:rPr>
              <w:t>$0.00</w:t>
            </w:r>
          </w:p>
        </w:tc>
        <w:tc>
          <w:tcPr>
            <w:tcW w:w="591" w:type="pct"/>
            <w:tcBorders>
              <w:top w:val="nil"/>
              <w:bottom w:val="single" w:sz="4" w:space="0" w:color="auto"/>
            </w:tcBorders>
            <w:noWrap/>
            <w:vAlign w:val="center"/>
            <w:hideMark/>
          </w:tcPr>
          <w:p w14:paraId="30C09312"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r w:rsidRPr="007A63AA">
              <w:rPr>
                <w:rFonts w:ascii="Arial Narrow" w:hAnsi="Arial Narrow"/>
                <w:sz w:val="18"/>
                <w:szCs w:val="18"/>
              </w:rPr>
              <w:t>$60.01</w:t>
            </w:r>
          </w:p>
        </w:tc>
        <w:tc>
          <w:tcPr>
            <w:tcW w:w="677" w:type="pct"/>
            <w:tcBorders>
              <w:top w:val="nil"/>
              <w:bottom w:val="single" w:sz="4" w:space="0" w:color="auto"/>
            </w:tcBorders>
            <w:noWrap/>
            <w:vAlign w:val="center"/>
            <w:hideMark/>
          </w:tcPr>
          <w:p w14:paraId="66D6D7BA"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r w:rsidRPr="007A63AA">
              <w:rPr>
                <w:rFonts w:ascii="Arial Narrow" w:hAnsi="Arial Narrow"/>
                <w:sz w:val="18"/>
                <w:szCs w:val="18"/>
              </w:rPr>
              <w:t>$29.13</w:t>
            </w:r>
          </w:p>
        </w:tc>
        <w:tc>
          <w:tcPr>
            <w:tcW w:w="746" w:type="pct"/>
            <w:tcBorders>
              <w:top w:val="nil"/>
              <w:bottom w:val="single" w:sz="4" w:space="0" w:color="auto"/>
              <w:right w:val="single" w:sz="12" w:space="0" w:color="auto"/>
            </w:tcBorders>
            <w:noWrap/>
            <w:vAlign w:val="center"/>
            <w:hideMark/>
          </w:tcPr>
          <w:p w14:paraId="5B1EF1A1"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r w:rsidRPr="007A63AA">
              <w:rPr>
                <w:rFonts w:ascii="Arial Narrow" w:hAnsi="Arial Narrow"/>
                <w:sz w:val="18"/>
                <w:szCs w:val="18"/>
              </w:rPr>
              <w:t>$89.14</w:t>
            </w:r>
          </w:p>
        </w:tc>
      </w:tr>
      <w:tr w:rsidR="00F07528" w:rsidRPr="007A63AA" w14:paraId="6CAE079C" w14:textId="77777777" w:rsidTr="00921211">
        <w:trPr>
          <w:cantSplit/>
          <w:trHeight w:val="288"/>
        </w:trPr>
        <w:tc>
          <w:tcPr>
            <w:tcW w:w="1752" w:type="pct"/>
            <w:tcBorders>
              <w:top w:val="single" w:sz="4" w:space="0" w:color="auto"/>
              <w:left w:val="single" w:sz="12" w:space="0" w:color="auto"/>
              <w:bottom w:val="single" w:sz="12" w:space="0" w:color="auto"/>
            </w:tcBorders>
            <w:vAlign w:val="center"/>
          </w:tcPr>
          <w:p w14:paraId="2A7729AD" w14:textId="77777777" w:rsidR="007A63AA" w:rsidRPr="007A63AA" w:rsidRDefault="007A63AA" w:rsidP="007A63AA">
            <w:pPr>
              <w:keepNext/>
              <w:spacing w:beforeLines="20" w:before="48" w:afterLines="20" w:after="48" w:line="264" w:lineRule="auto"/>
              <w:contextualSpacing/>
              <w:rPr>
                <w:rFonts w:ascii="Arial Narrow" w:hAnsi="Arial Narrow"/>
                <w:sz w:val="18"/>
                <w:szCs w:val="18"/>
              </w:rPr>
            </w:pPr>
            <w:r w:rsidRPr="007A63AA">
              <w:rPr>
                <w:rFonts w:ascii="Arial Narrow" w:hAnsi="Arial Narrow"/>
                <w:sz w:val="18"/>
                <w:szCs w:val="18"/>
              </w:rPr>
              <w:t>Date and Time Stamps</w:t>
            </w:r>
          </w:p>
        </w:tc>
        <w:tc>
          <w:tcPr>
            <w:tcW w:w="588" w:type="pct"/>
            <w:tcBorders>
              <w:top w:val="single" w:sz="4" w:space="0" w:color="auto"/>
              <w:bottom w:val="single" w:sz="12" w:space="0" w:color="auto"/>
            </w:tcBorders>
            <w:vAlign w:val="center"/>
          </w:tcPr>
          <w:p w14:paraId="388698BB" w14:textId="734346F1" w:rsidR="007A63AA" w:rsidRPr="007A63AA" w:rsidRDefault="00A2232E" w:rsidP="00F07528">
            <w:pPr>
              <w:keepNext/>
              <w:spacing w:beforeLines="20" w:before="48" w:afterLines="20" w:after="48" w:line="264" w:lineRule="auto"/>
              <w:contextualSpacing/>
              <w:rPr>
                <w:rFonts w:ascii="Arial Narrow" w:hAnsi="Arial Narrow"/>
                <w:sz w:val="18"/>
                <w:szCs w:val="18"/>
              </w:rPr>
            </w:pPr>
            <w:r>
              <w:rPr>
                <w:rFonts w:ascii="Arial Narrow" w:hAnsi="Arial Narrow"/>
                <w:sz w:val="18"/>
                <w:szCs w:val="18"/>
              </w:rPr>
              <w:t>Submission</w:t>
            </w:r>
          </w:p>
        </w:tc>
        <w:tc>
          <w:tcPr>
            <w:tcW w:w="646" w:type="pct"/>
            <w:tcBorders>
              <w:top w:val="single" w:sz="4" w:space="0" w:color="auto"/>
              <w:bottom w:val="single" w:sz="12" w:space="0" w:color="auto"/>
            </w:tcBorders>
            <w:noWrap/>
            <w:vAlign w:val="center"/>
          </w:tcPr>
          <w:p w14:paraId="1E9E1155" w14:textId="77777777" w:rsidR="007A63AA" w:rsidRPr="007A63AA" w:rsidRDefault="007A63AA" w:rsidP="007A63AA">
            <w:pPr>
              <w:keepNext/>
              <w:spacing w:beforeLines="20" w:before="48" w:afterLines="20" w:after="48" w:line="264" w:lineRule="auto"/>
              <w:contextualSpacing/>
              <w:jc w:val="center"/>
              <w:rPr>
                <w:rFonts w:ascii="Arial Narrow" w:hAnsi="Arial Narrow"/>
                <w:sz w:val="18"/>
                <w:szCs w:val="18"/>
              </w:rPr>
            </w:pPr>
          </w:p>
        </w:tc>
        <w:tc>
          <w:tcPr>
            <w:tcW w:w="591" w:type="pct"/>
            <w:tcBorders>
              <w:top w:val="single" w:sz="4" w:space="0" w:color="auto"/>
              <w:bottom w:val="single" w:sz="12" w:space="0" w:color="auto"/>
            </w:tcBorders>
            <w:noWrap/>
            <w:vAlign w:val="center"/>
          </w:tcPr>
          <w:p w14:paraId="310BA3BA" w14:textId="77777777" w:rsidR="007A63AA" w:rsidRPr="007A63AA" w:rsidRDefault="007A63AA" w:rsidP="007A63AA">
            <w:pPr>
              <w:keepNext/>
              <w:spacing w:beforeLines="20" w:before="48" w:afterLines="20" w:after="48" w:line="264" w:lineRule="auto"/>
              <w:contextualSpacing/>
              <w:jc w:val="center"/>
              <w:rPr>
                <w:rFonts w:ascii="Arial Narrow" w:hAnsi="Arial Narrow"/>
                <w:sz w:val="18"/>
                <w:szCs w:val="18"/>
              </w:rPr>
            </w:pPr>
          </w:p>
        </w:tc>
        <w:tc>
          <w:tcPr>
            <w:tcW w:w="677" w:type="pct"/>
            <w:tcBorders>
              <w:top w:val="single" w:sz="4" w:space="0" w:color="auto"/>
              <w:bottom w:val="single" w:sz="12" w:space="0" w:color="auto"/>
            </w:tcBorders>
            <w:noWrap/>
            <w:vAlign w:val="center"/>
          </w:tcPr>
          <w:p w14:paraId="2694D2BD" w14:textId="77777777" w:rsidR="007A63AA" w:rsidRPr="007A63AA" w:rsidRDefault="007A63AA" w:rsidP="007A63AA">
            <w:pPr>
              <w:keepNext/>
              <w:spacing w:beforeLines="20" w:before="48" w:afterLines="20" w:after="48" w:line="264" w:lineRule="auto"/>
              <w:contextualSpacing/>
              <w:jc w:val="center"/>
              <w:rPr>
                <w:rFonts w:ascii="Arial Narrow" w:hAnsi="Arial Narrow"/>
                <w:sz w:val="18"/>
                <w:szCs w:val="18"/>
              </w:rPr>
            </w:pPr>
          </w:p>
        </w:tc>
        <w:tc>
          <w:tcPr>
            <w:tcW w:w="746" w:type="pct"/>
            <w:tcBorders>
              <w:top w:val="single" w:sz="4" w:space="0" w:color="auto"/>
              <w:bottom w:val="single" w:sz="12" w:space="0" w:color="auto"/>
              <w:right w:val="single" w:sz="12" w:space="0" w:color="auto"/>
            </w:tcBorders>
            <w:noWrap/>
            <w:vAlign w:val="center"/>
          </w:tcPr>
          <w:p w14:paraId="36657108" w14:textId="77777777" w:rsidR="007A63AA" w:rsidRPr="007A63AA" w:rsidRDefault="007A63AA" w:rsidP="007A63AA">
            <w:pPr>
              <w:keepNext/>
              <w:spacing w:beforeLines="20" w:before="48" w:afterLines="20" w:after="48" w:line="264" w:lineRule="auto"/>
              <w:contextualSpacing/>
              <w:jc w:val="center"/>
              <w:rPr>
                <w:rFonts w:ascii="Arial Narrow" w:hAnsi="Arial Narrow"/>
                <w:sz w:val="18"/>
                <w:szCs w:val="18"/>
              </w:rPr>
            </w:pPr>
            <w:r w:rsidRPr="007A63AA">
              <w:rPr>
                <w:rFonts w:ascii="Arial Narrow" w:hAnsi="Arial Narrow"/>
                <w:sz w:val="18"/>
                <w:szCs w:val="18"/>
              </w:rPr>
              <w:t>System-Generated</w:t>
            </w:r>
          </w:p>
        </w:tc>
      </w:tr>
      <w:tr w:rsidR="00F07528" w:rsidRPr="007A63AA" w14:paraId="06799B0E" w14:textId="77777777" w:rsidTr="00921211">
        <w:trPr>
          <w:cantSplit/>
          <w:trHeight w:val="288"/>
        </w:trPr>
        <w:tc>
          <w:tcPr>
            <w:tcW w:w="1752" w:type="pct"/>
            <w:tcBorders>
              <w:top w:val="single" w:sz="12" w:space="0" w:color="auto"/>
              <w:left w:val="single" w:sz="12" w:space="0" w:color="auto"/>
              <w:bottom w:val="single" w:sz="4" w:space="0" w:color="auto"/>
              <w:right w:val="nil"/>
            </w:tcBorders>
            <w:vAlign w:val="center"/>
            <w:hideMark/>
          </w:tcPr>
          <w:p w14:paraId="6B66E55A" w14:textId="77777777" w:rsidR="007A63AA" w:rsidRPr="007A63AA" w:rsidRDefault="007A63AA" w:rsidP="007A63AA">
            <w:pPr>
              <w:keepNext/>
              <w:spacing w:beforeLines="20" w:before="48" w:afterLines="20" w:after="48" w:line="264" w:lineRule="auto"/>
              <w:rPr>
                <w:rFonts w:ascii="Arial Narrow" w:hAnsi="Arial Narrow"/>
                <w:b/>
                <w:bCs/>
                <w:i/>
                <w:iCs/>
                <w:sz w:val="18"/>
                <w:szCs w:val="18"/>
              </w:rPr>
            </w:pPr>
            <w:r w:rsidRPr="007A63AA">
              <w:rPr>
                <w:rFonts w:ascii="Arial Narrow" w:hAnsi="Arial Narrow"/>
                <w:b/>
                <w:bCs/>
                <w:i/>
                <w:iCs/>
                <w:sz w:val="18"/>
                <w:szCs w:val="18"/>
              </w:rPr>
              <w:t>RECORDKEEPING</w:t>
            </w:r>
          </w:p>
        </w:tc>
        <w:tc>
          <w:tcPr>
            <w:tcW w:w="588" w:type="pct"/>
            <w:tcBorders>
              <w:top w:val="single" w:sz="12" w:space="0" w:color="auto"/>
              <w:left w:val="nil"/>
              <w:bottom w:val="single" w:sz="4" w:space="0" w:color="auto"/>
              <w:right w:val="nil"/>
            </w:tcBorders>
            <w:vAlign w:val="center"/>
            <w:hideMark/>
          </w:tcPr>
          <w:p w14:paraId="6579AD4C" w14:textId="77777777" w:rsidR="007A63AA" w:rsidRPr="007A63AA" w:rsidRDefault="007A63AA" w:rsidP="007A63AA">
            <w:pPr>
              <w:keepNext/>
              <w:spacing w:beforeLines="20" w:before="48" w:afterLines="20" w:after="48" w:line="264" w:lineRule="auto"/>
              <w:rPr>
                <w:rFonts w:ascii="Arial Narrow" w:hAnsi="Arial Narrow"/>
                <w:b/>
                <w:bCs/>
                <w:i/>
                <w:iCs/>
                <w:sz w:val="18"/>
                <w:szCs w:val="18"/>
              </w:rPr>
            </w:pPr>
            <w:r w:rsidRPr="007A63AA">
              <w:rPr>
                <w:rFonts w:ascii="Arial Narrow" w:hAnsi="Arial Narrow"/>
                <w:b/>
                <w:bCs/>
                <w:i/>
                <w:iCs/>
                <w:sz w:val="18"/>
                <w:szCs w:val="18"/>
              </w:rPr>
              <w:t> </w:t>
            </w:r>
          </w:p>
        </w:tc>
        <w:tc>
          <w:tcPr>
            <w:tcW w:w="646" w:type="pct"/>
            <w:tcBorders>
              <w:top w:val="single" w:sz="12" w:space="0" w:color="auto"/>
              <w:left w:val="nil"/>
              <w:bottom w:val="single" w:sz="4" w:space="0" w:color="auto"/>
              <w:right w:val="nil"/>
            </w:tcBorders>
            <w:noWrap/>
            <w:vAlign w:val="center"/>
            <w:hideMark/>
          </w:tcPr>
          <w:p w14:paraId="07FA2357" w14:textId="77777777" w:rsidR="007A63AA" w:rsidRPr="007A63AA" w:rsidRDefault="007A63AA" w:rsidP="007A63AA">
            <w:pPr>
              <w:keepNext/>
              <w:spacing w:beforeLines="20" w:before="48" w:afterLines="20" w:after="48" w:line="264" w:lineRule="auto"/>
              <w:jc w:val="center"/>
              <w:rPr>
                <w:rFonts w:ascii="Arial Narrow" w:hAnsi="Arial Narrow"/>
                <w:b/>
                <w:bCs/>
                <w:i/>
                <w:iCs/>
                <w:sz w:val="18"/>
                <w:szCs w:val="18"/>
              </w:rPr>
            </w:pPr>
          </w:p>
        </w:tc>
        <w:tc>
          <w:tcPr>
            <w:tcW w:w="591" w:type="pct"/>
            <w:tcBorders>
              <w:top w:val="single" w:sz="12" w:space="0" w:color="auto"/>
              <w:left w:val="nil"/>
              <w:bottom w:val="single" w:sz="4" w:space="0" w:color="auto"/>
              <w:right w:val="nil"/>
            </w:tcBorders>
            <w:noWrap/>
            <w:vAlign w:val="center"/>
            <w:hideMark/>
          </w:tcPr>
          <w:p w14:paraId="222A7535" w14:textId="77777777" w:rsidR="007A63AA" w:rsidRPr="007A63AA" w:rsidRDefault="007A63AA" w:rsidP="007A63AA">
            <w:pPr>
              <w:keepNext/>
              <w:spacing w:beforeLines="20" w:before="48" w:afterLines="20" w:after="48" w:line="264" w:lineRule="auto"/>
              <w:jc w:val="center"/>
              <w:rPr>
                <w:rFonts w:ascii="Arial Narrow" w:hAnsi="Arial Narrow"/>
                <w:b/>
                <w:bCs/>
                <w:i/>
                <w:iCs/>
                <w:sz w:val="18"/>
                <w:szCs w:val="18"/>
              </w:rPr>
            </w:pPr>
          </w:p>
        </w:tc>
        <w:tc>
          <w:tcPr>
            <w:tcW w:w="677" w:type="pct"/>
            <w:tcBorders>
              <w:top w:val="single" w:sz="12" w:space="0" w:color="auto"/>
              <w:left w:val="nil"/>
              <w:bottom w:val="single" w:sz="4" w:space="0" w:color="auto"/>
              <w:right w:val="nil"/>
            </w:tcBorders>
            <w:noWrap/>
            <w:vAlign w:val="center"/>
            <w:hideMark/>
          </w:tcPr>
          <w:p w14:paraId="51DF395C" w14:textId="77777777" w:rsidR="007A63AA" w:rsidRPr="007A63AA" w:rsidRDefault="007A63AA" w:rsidP="007A63AA">
            <w:pPr>
              <w:keepNext/>
              <w:spacing w:beforeLines="20" w:before="48" w:afterLines="20" w:after="48" w:line="264" w:lineRule="auto"/>
              <w:jc w:val="center"/>
              <w:rPr>
                <w:rFonts w:ascii="Arial Narrow" w:hAnsi="Arial Narrow"/>
                <w:b/>
                <w:bCs/>
                <w:i/>
                <w:iCs/>
                <w:sz w:val="18"/>
                <w:szCs w:val="18"/>
              </w:rPr>
            </w:pPr>
          </w:p>
        </w:tc>
        <w:tc>
          <w:tcPr>
            <w:tcW w:w="746" w:type="pct"/>
            <w:tcBorders>
              <w:top w:val="single" w:sz="12" w:space="0" w:color="auto"/>
              <w:left w:val="nil"/>
              <w:bottom w:val="single" w:sz="4" w:space="0" w:color="auto"/>
              <w:right w:val="single" w:sz="12" w:space="0" w:color="auto"/>
            </w:tcBorders>
            <w:noWrap/>
            <w:vAlign w:val="center"/>
            <w:hideMark/>
          </w:tcPr>
          <w:p w14:paraId="7BA866B8" w14:textId="77777777" w:rsidR="007A63AA" w:rsidRPr="007A63AA" w:rsidRDefault="007A63AA" w:rsidP="007A63AA">
            <w:pPr>
              <w:keepNext/>
              <w:spacing w:beforeLines="20" w:before="48" w:afterLines="20" w:after="48" w:line="264" w:lineRule="auto"/>
              <w:jc w:val="center"/>
              <w:rPr>
                <w:rFonts w:ascii="Arial Narrow" w:hAnsi="Arial Narrow"/>
                <w:b/>
                <w:bCs/>
                <w:i/>
                <w:iCs/>
                <w:sz w:val="18"/>
                <w:szCs w:val="18"/>
              </w:rPr>
            </w:pPr>
          </w:p>
        </w:tc>
      </w:tr>
      <w:tr w:rsidR="00F07528" w:rsidRPr="007A63AA" w14:paraId="574FFBF2" w14:textId="77777777" w:rsidTr="00921211">
        <w:trPr>
          <w:cantSplit/>
          <w:trHeight w:val="288"/>
        </w:trPr>
        <w:tc>
          <w:tcPr>
            <w:tcW w:w="1752" w:type="pct"/>
            <w:tcBorders>
              <w:top w:val="single" w:sz="4" w:space="0" w:color="auto"/>
              <w:left w:val="single" w:sz="12" w:space="0" w:color="auto"/>
              <w:bottom w:val="double" w:sz="12" w:space="0" w:color="auto"/>
            </w:tcBorders>
            <w:vAlign w:val="center"/>
            <w:hideMark/>
          </w:tcPr>
          <w:p w14:paraId="023E2575" w14:textId="77777777" w:rsidR="007A63AA" w:rsidRPr="007A63AA" w:rsidRDefault="007A63AA" w:rsidP="007A63AA">
            <w:pPr>
              <w:keepNext/>
              <w:spacing w:beforeLines="20" w:before="48" w:afterLines="20" w:after="48" w:line="264" w:lineRule="auto"/>
              <w:contextualSpacing/>
              <w:rPr>
                <w:rFonts w:ascii="Arial Narrow" w:hAnsi="Arial Narrow"/>
                <w:sz w:val="18"/>
                <w:szCs w:val="18"/>
              </w:rPr>
            </w:pPr>
            <w:r w:rsidRPr="007A63AA">
              <w:rPr>
                <w:rFonts w:ascii="Arial Narrow" w:hAnsi="Arial Narrow"/>
                <w:sz w:val="18"/>
                <w:szCs w:val="18"/>
              </w:rPr>
              <w:t>Per Submission</w:t>
            </w:r>
          </w:p>
        </w:tc>
        <w:tc>
          <w:tcPr>
            <w:tcW w:w="588" w:type="pct"/>
            <w:tcBorders>
              <w:top w:val="single" w:sz="4" w:space="0" w:color="auto"/>
              <w:bottom w:val="double" w:sz="12" w:space="0" w:color="auto"/>
            </w:tcBorders>
            <w:vAlign w:val="center"/>
            <w:hideMark/>
          </w:tcPr>
          <w:p w14:paraId="252FA3EA" w14:textId="77777777" w:rsidR="007A63AA" w:rsidRPr="007A63AA" w:rsidRDefault="007A63AA" w:rsidP="007A63AA">
            <w:pPr>
              <w:keepNext/>
              <w:spacing w:beforeLines="20" w:before="48" w:afterLines="20" w:after="48" w:line="264" w:lineRule="auto"/>
              <w:contextualSpacing/>
              <w:rPr>
                <w:rFonts w:ascii="Arial Narrow" w:hAnsi="Arial Narrow"/>
                <w:sz w:val="18"/>
                <w:szCs w:val="18"/>
              </w:rPr>
            </w:pPr>
            <w:r w:rsidRPr="007A63AA">
              <w:rPr>
                <w:rFonts w:ascii="Arial Narrow" w:hAnsi="Arial Narrow"/>
                <w:sz w:val="18"/>
                <w:szCs w:val="18"/>
              </w:rPr>
              <w:t>Company</w:t>
            </w:r>
          </w:p>
        </w:tc>
        <w:tc>
          <w:tcPr>
            <w:tcW w:w="646" w:type="pct"/>
            <w:tcBorders>
              <w:top w:val="single" w:sz="4" w:space="0" w:color="auto"/>
              <w:bottom w:val="double" w:sz="12" w:space="0" w:color="auto"/>
            </w:tcBorders>
            <w:noWrap/>
            <w:vAlign w:val="center"/>
            <w:hideMark/>
          </w:tcPr>
          <w:p w14:paraId="2FB01A82"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r w:rsidRPr="007A63AA">
              <w:rPr>
                <w:rFonts w:ascii="Arial Narrow" w:hAnsi="Arial Narrow"/>
                <w:sz w:val="18"/>
                <w:szCs w:val="18"/>
              </w:rPr>
              <w:t>$2.19</w:t>
            </w:r>
          </w:p>
        </w:tc>
        <w:tc>
          <w:tcPr>
            <w:tcW w:w="591" w:type="pct"/>
            <w:tcBorders>
              <w:top w:val="single" w:sz="4" w:space="0" w:color="auto"/>
              <w:bottom w:val="double" w:sz="12" w:space="0" w:color="auto"/>
            </w:tcBorders>
            <w:noWrap/>
            <w:vAlign w:val="center"/>
            <w:hideMark/>
          </w:tcPr>
          <w:p w14:paraId="11F5B72F"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r w:rsidRPr="007A63AA">
              <w:rPr>
                <w:rFonts w:ascii="Arial Narrow" w:hAnsi="Arial Narrow"/>
                <w:sz w:val="18"/>
                <w:szCs w:val="18"/>
              </w:rPr>
              <w:t>$0.00</w:t>
            </w:r>
          </w:p>
        </w:tc>
        <w:tc>
          <w:tcPr>
            <w:tcW w:w="677" w:type="pct"/>
            <w:tcBorders>
              <w:top w:val="single" w:sz="4" w:space="0" w:color="auto"/>
              <w:bottom w:val="double" w:sz="12" w:space="0" w:color="auto"/>
            </w:tcBorders>
            <w:noWrap/>
            <w:vAlign w:val="center"/>
            <w:hideMark/>
          </w:tcPr>
          <w:p w14:paraId="1A814444"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r w:rsidRPr="007A63AA">
              <w:rPr>
                <w:rFonts w:ascii="Arial Narrow" w:hAnsi="Arial Narrow"/>
                <w:sz w:val="18"/>
                <w:szCs w:val="18"/>
              </w:rPr>
              <w:t>$0.00</w:t>
            </w:r>
          </w:p>
        </w:tc>
        <w:tc>
          <w:tcPr>
            <w:tcW w:w="746" w:type="pct"/>
            <w:tcBorders>
              <w:top w:val="single" w:sz="4" w:space="0" w:color="auto"/>
              <w:bottom w:val="double" w:sz="12" w:space="0" w:color="auto"/>
              <w:right w:val="single" w:sz="12" w:space="0" w:color="auto"/>
            </w:tcBorders>
            <w:noWrap/>
            <w:vAlign w:val="center"/>
            <w:hideMark/>
          </w:tcPr>
          <w:p w14:paraId="6C24B566" w14:textId="77777777" w:rsidR="007A63AA" w:rsidRPr="007A63AA" w:rsidRDefault="007A63AA" w:rsidP="007A63AA">
            <w:pPr>
              <w:keepNext/>
              <w:spacing w:beforeLines="20" w:before="48" w:afterLines="20" w:after="48" w:line="264" w:lineRule="auto"/>
              <w:contextualSpacing/>
              <w:jc w:val="right"/>
              <w:rPr>
                <w:rFonts w:ascii="Arial Narrow" w:hAnsi="Arial Narrow"/>
                <w:sz w:val="18"/>
                <w:szCs w:val="18"/>
              </w:rPr>
            </w:pPr>
            <w:r w:rsidRPr="007A63AA">
              <w:rPr>
                <w:rFonts w:ascii="Arial Narrow" w:hAnsi="Arial Narrow"/>
                <w:sz w:val="18"/>
                <w:szCs w:val="18"/>
              </w:rPr>
              <w:t>$2.19</w:t>
            </w:r>
          </w:p>
        </w:tc>
      </w:tr>
      <w:tr w:rsidR="00F07528" w:rsidRPr="007A63AA" w14:paraId="2C14BDBC" w14:textId="77777777" w:rsidTr="00F07528">
        <w:trPr>
          <w:cantSplit/>
          <w:trHeight w:val="288"/>
        </w:trPr>
        <w:tc>
          <w:tcPr>
            <w:tcW w:w="4254" w:type="pct"/>
            <w:gridSpan w:val="5"/>
            <w:tcBorders>
              <w:top w:val="double" w:sz="12" w:space="0" w:color="auto"/>
              <w:left w:val="single" w:sz="12" w:space="0" w:color="auto"/>
              <w:bottom w:val="single" w:sz="12" w:space="0" w:color="auto"/>
              <w:right w:val="nil"/>
            </w:tcBorders>
            <w:shd w:val="clear" w:color="auto" w:fill="D3DEE4"/>
            <w:noWrap/>
            <w:vAlign w:val="center"/>
            <w:hideMark/>
          </w:tcPr>
          <w:p w14:paraId="41AB748C" w14:textId="77057DAA" w:rsidR="007A63AA" w:rsidRPr="00602C74" w:rsidRDefault="0070495C" w:rsidP="004C74BB">
            <w:pPr>
              <w:keepNext/>
              <w:spacing w:beforeLines="20" w:before="48" w:afterLines="20" w:after="48" w:line="264" w:lineRule="auto"/>
              <w:contextualSpacing/>
              <w:rPr>
                <w:rFonts w:ascii="Arial Narrow" w:hAnsi="Arial Narrow"/>
                <w:color w:val="F0F4F6"/>
                <w:sz w:val="18"/>
                <w:vertAlign w:val="superscript"/>
              </w:rPr>
            </w:pPr>
            <w:r>
              <w:rPr>
                <w:rFonts w:ascii="Arial Narrow" w:hAnsi="Arial Narrow"/>
                <w:b/>
                <w:bCs/>
                <w:i/>
                <w:iCs/>
                <w:sz w:val="18"/>
                <w:szCs w:val="18"/>
              </w:rPr>
              <w:t>COMPANY-LEVEL</w:t>
            </w:r>
            <w:r w:rsidRPr="007A63AA">
              <w:rPr>
                <w:rFonts w:ascii="Arial Narrow" w:hAnsi="Arial Narrow"/>
                <w:b/>
                <w:bCs/>
                <w:i/>
                <w:iCs/>
                <w:sz w:val="18"/>
                <w:szCs w:val="18"/>
              </w:rPr>
              <w:t xml:space="preserve"> </w:t>
            </w:r>
            <w:r w:rsidR="007A63AA" w:rsidRPr="007A63AA">
              <w:rPr>
                <w:rFonts w:ascii="Arial Narrow" w:hAnsi="Arial Narrow"/>
                <w:b/>
                <w:bCs/>
                <w:i/>
                <w:iCs/>
                <w:sz w:val="18"/>
                <w:szCs w:val="18"/>
              </w:rPr>
              <w:t xml:space="preserve">UNIT COST FOR </w:t>
            </w:r>
            <w:r w:rsidR="004C74BB" w:rsidRPr="007A63AA">
              <w:rPr>
                <w:rFonts w:ascii="Arial Narrow" w:hAnsi="Arial Narrow"/>
                <w:b/>
                <w:bCs/>
                <w:i/>
                <w:iCs/>
                <w:sz w:val="18"/>
                <w:szCs w:val="18"/>
              </w:rPr>
              <w:t>SUB</w:t>
            </w:r>
            <w:r w:rsidR="004C74BB">
              <w:rPr>
                <w:rFonts w:ascii="Arial Narrow" w:hAnsi="Arial Narrow"/>
                <w:b/>
                <w:bCs/>
                <w:i/>
                <w:iCs/>
                <w:sz w:val="18"/>
                <w:szCs w:val="18"/>
              </w:rPr>
              <w:t>STANTIATION</w:t>
            </w:r>
            <w:r w:rsidR="004C74BB" w:rsidRPr="007A63AA">
              <w:rPr>
                <w:rFonts w:ascii="Arial Narrow" w:hAnsi="Arial Narrow"/>
                <w:b/>
                <w:bCs/>
                <w:i/>
                <w:iCs/>
                <w:sz w:val="18"/>
                <w:szCs w:val="18"/>
              </w:rPr>
              <w:t xml:space="preserve"> </w:t>
            </w:r>
            <w:r w:rsidR="007A63AA" w:rsidRPr="007A63AA">
              <w:rPr>
                <w:rFonts w:ascii="Arial Narrow" w:hAnsi="Arial Narrow"/>
                <w:b/>
                <w:bCs/>
                <w:i/>
                <w:iCs/>
                <w:sz w:val="18"/>
                <w:szCs w:val="18"/>
              </w:rPr>
              <w:t>USING PREVIOUS REFERENCE (</w:t>
            </w:r>
            <w:r w:rsidR="001D4BD9">
              <w:rPr>
                <w:rFonts w:ascii="Arial Narrow" w:hAnsi="Arial Narrow"/>
                <w:b/>
                <w:bCs/>
                <w:i/>
                <w:iCs/>
                <w:sz w:val="18"/>
                <w:szCs w:val="18"/>
              </w:rPr>
              <w:t>4</w:t>
            </w:r>
            <w:r w:rsidR="007A63AA" w:rsidRPr="007A63AA">
              <w:rPr>
                <w:rFonts w:ascii="Arial Narrow" w:hAnsi="Arial Narrow"/>
                <w:b/>
                <w:bCs/>
                <w:i/>
                <w:iCs/>
                <w:sz w:val="18"/>
                <w:szCs w:val="18"/>
              </w:rPr>
              <w:t xml:space="preserve"> CHEMICALS)</w:t>
            </w:r>
            <w:r w:rsidR="007A63AA" w:rsidRPr="007A63AA">
              <w:rPr>
                <w:rFonts w:ascii="Arial Narrow" w:hAnsi="Arial Narrow"/>
                <w:sz w:val="18"/>
                <w:szCs w:val="18"/>
              </w:rPr>
              <w:t> </w:t>
            </w:r>
            <w:r w:rsidR="00D03D67">
              <w:rPr>
                <w:rFonts w:ascii="Arial Narrow" w:hAnsi="Arial Narrow"/>
                <w:sz w:val="18"/>
                <w:szCs w:val="18"/>
                <w:vertAlign w:val="superscript"/>
              </w:rPr>
              <w:t>1</w:t>
            </w:r>
          </w:p>
        </w:tc>
        <w:tc>
          <w:tcPr>
            <w:tcW w:w="746" w:type="pct"/>
            <w:tcBorders>
              <w:top w:val="double" w:sz="12" w:space="0" w:color="auto"/>
              <w:left w:val="nil"/>
              <w:bottom w:val="single" w:sz="12" w:space="0" w:color="auto"/>
              <w:right w:val="single" w:sz="12" w:space="0" w:color="auto"/>
            </w:tcBorders>
            <w:shd w:val="clear" w:color="auto" w:fill="D3DEE4"/>
            <w:noWrap/>
            <w:vAlign w:val="center"/>
            <w:hideMark/>
          </w:tcPr>
          <w:p w14:paraId="69A2F819" w14:textId="77777777" w:rsidR="007A63AA" w:rsidRPr="007A63AA" w:rsidRDefault="007A63AA" w:rsidP="007A63AA">
            <w:pPr>
              <w:keepNext/>
              <w:spacing w:beforeLines="20" w:before="48" w:afterLines="20" w:after="48" w:line="264" w:lineRule="auto"/>
              <w:contextualSpacing/>
              <w:jc w:val="right"/>
              <w:rPr>
                <w:rFonts w:ascii="Arial Narrow" w:hAnsi="Arial Narrow"/>
                <w:color w:val="F0F4F6"/>
                <w:sz w:val="18"/>
                <w:szCs w:val="18"/>
              </w:rPr>
            </w:pPr>
            <w:r w:rsidRPr="007A63AA">
              <w:rPr>
                <w:rFonts w:ascii="Arial Narrow" w:hAnsi="Arial Narrow"/>
                <w:color w:val="F0F4F6"/>
                <w:sz w:val="18"/>
                <w:szCs w:val="18"/>
              </w:rPr>
              <w:t> </w:t>
            </w:r>
          </w:p>
        </w:tc>
      </w:tr>
      <w:tr w:rsidR="00F07528" w:rsidRPr="007A63AA" w14:paraId="3146C0B6" w14:textId="77777777" w:rsidTr="00921211">
        <w:trPr>
          <w:cantSplit/>
          <w:trHeight w:val="288"/>
        </w:trPr>
        <w:tc>
          <w:tcPr>
            <w:tcW w:w="1752" w:type="pct"/>
            <w:tcBorders>
              <w:top w:val="single" w:sz="4" w:space="0" w:color="auto"/>
              <w:left w:val="single" w:sz="12" w:space="0" w:color="auto"/>
              <w:bottom w:val="nil"/>
              <w:right w:val="nil"/>
            </w:tcBorders>
            <w:noWrap/>
            <w:vAlign w:val="center"/>
          </w:tcPr>
          <w:p w14:paraId="32BFA94B" w14:textId="77777777" w:rsidR="007A63AA" w:rsidRPr="007A63AA" w:rsidRDefault="007A63AA" w:rsidP="007A63AA">
            <w:pPr>
              <w:keepNext/>
              <w:spacing w:beforeLines="20" w:before="48" w:afterLines="20" w:after="48" w:line="264" w:lineRule="auto"/>
              <w:contextualSpacing/>
              <w:rPr>
                <w:rFonts w:ascii="Arial Narrow" w:hAnsi="Arial Narrow"/>
                <w:bCs/>
                <w:sz w:val="18"/>
                <w:szCs w:val="18"/>
              </w:rPr>
            </w:pPr>
            <w:r w:rsidRPr="007A63AA">
              <w:rPr>
                <w:rFonts w:ascii="Arial Narrow" w:hAnsi="Arial Narrow"/>
                <w:bCs/>
                <w:sz w:val="18"/>
                <w:szCs w:val="18"/>
              </w:rPr>
              <w:t>Rule Familiarization</w:t>
            </w:r>
          </w:p>
        </w:tc>
        <w:tc>
          <w:tcPr>
            <w:tcW w:w="588" w:type="pct"/>
            <w:tcBorders>
              <w:top w:val="single" w:sz="4" w:space="0" w:color="auto"/>
              <w:left w:val="nil"/>
              <w:bottom w:val="nil"/>
              <w:right w:val="nil"/>
            </w:tcBorders>
            <w:noWrap/>
            <w:vAlign w:val="center"/>
          </w:tcPr>
          <w:p w14:paraId="7DCE6D78" w14:textId="77777777" w:rsidR="007A63AA" w:rsidRPr="007A63AA" w:rsidRDefault="007A63AA" w:rsidP="007A63AA">
            <w:pPr>
              <w:keepNext/>
              <w:spacing w:beforeLines="20" w:before="48" w:afterLines="20" w:after="48" w:line="264" w:lineRule="auto"/>
              <w:contextualSpacing/>
              <w:rPr>
                <w:rFonts w:ascii="Arial Narrow" w:hAnsi="Arial Narrow"/>
                <w:b/>
                <w:bCs/>
                <w:sz w:val="18"/>
                <w:szCs w:val="18"/>
              </w:rPr>
            </w:pPr>
          </w:p>
        </w:tc>
        <w:tc>
          <w:tcPr>
            <w:tcW w:w="646" w:type="pct"/>
            <w:tcBorders>
              <w:top w:val="single" w:sz="4" w:space="0" w:color="auto"/>
              <w:left w:val="nil"/>
              <w:bottom w:val="nil"/>
              <w:right w:val="nil"/>
            </w:tcBorders>
            <w:noWrap/>
            <w:vAlign w:val="center"/>
          </w:tcPr>
          <w:p w14:paraId="734AA2E1" w14:textId="77777777" w:rsidR="007A63AA" w:rsidRPr="007A63AA" w:rsidRDefault="007A63AA" w:rsidP="007A63AA">
            <w:pPr>
              <w:keepNext/>
              <w:spacing w:beforeLines="20" w:before="48" w:afterLines="20" w:after="48" w:line="264" w:lineRule="auto"/>
              <w:contextualSpacing/>
              <w:jc w:val="center"/>
              <w:rPr>
                <w:rFonts w:ascii="Arial Narrow" w:hAnsi="Arial Narrow"/>
                <w:bCs/>
                <w:sz w:val="18"/>
                <w:szCs w:val="18"/>
              </w:rPr>
            </w:pPr>
          </w:p>
        </w:tc>
        <w:tc>
          <w:tcPr>
            <w:tcW w:w="591" w:type="pct"/>
            <w:tcBorders>
              <w:top w:val="single" w:sz="4" w:space="0" w:color="auto"/>
              <w:left w:val="nil"/>
              <w:bottom w:val="nil"/>
              <w:right w:val="nil"/>
            </w:tcBorders>
            <w:noWrap/>
            <w:vAlign w:val="center"/>
          </w:tcPr>
          <w:p w14:paraId="11578F8C" w14:textId="77777777" w:rsidR="007A63AA" w:rsidRPr="007A63AA" w:rsidRDefault="007A63AA" w:rsidP="007A63AA">
            <w:pPr>
              <w:keepNext/>
              <w:spacing w:beforeLines="20" w:before="48" w:afterLines="20" w:after="48" w:line="264" w:lineRule="auto"/>
              <w:contextualSpacing/>
              <w:jc w:val="center"/>
              <w:rPr>
                <w:rFonts w:ascii="Arial Narrow" w:hAnsi="Arial Narrow"/>
                <w:bCs/>
                <w:sz w:val="18"/>
                <w:szCs w:val="18"/>
              </w:rPr>
            </w:pPr>
          </w:p>
        </w:tc>
        <w:tc>
          <w:tcPr>
            <w:tcW w:w="677" w:type="pct"/>
            <w:tcBorders>
              <w:top w:val="single" w:sz="4" w:space="0" w:color="auto"/>
              <w:left w:val="nil"/>
              <w:bottom w:val="nil"/>
              <w:right w:val="single" w:sz="4" w:space="0" w:color="auto"/>
            </w:tcBorders>
            <w:noWrap/>
            <w:vAlign w:val="center"/>
          </w:tcPr>
          <w:p w14:paraId="672AA06F" w14:textId="77777777" w:rsidR="007A63AA" w:rsidRPr="007A63AA" w:rsidRDefault="007A63AA" w:rsidP="007A63AA">
            <w:pPr>
              <w:keepNext/>
              <w:spacing w:beforeLines="20" w:before="48" w:afterLines="20" w:after="48" w:line="264" w:lineRule="auto"/>
              <w:contextualSpacing/>
              <w:jc w:val="center"/>
              <w:rPr>
                <w:rFonts w:ascii="Arial Narrow" w:hAnsi="Arial Narrow"/>
                <w:bCs/>
                <w:sz w:val="18"/>
                <w:szCs w:val="18"/>
              </w:rPr>
            </w:pPr>
          </w:p>
        </w:tc>
        <w:tc>
          <w:tcPr>
            <w:tcW w:w="746" w:type="pct"/>
            <w:tcBorders>
              <w:top w:val="single" w:sz="4" w:space="0" w:color="auto"/>
              <w:left w:val="single" w:sz="4" w:space="0" w:color="auto"/>
              <w:bottom w:val="nil"/>
              <w:right w:val="single" w:sz="12" w:space="0" w:color="auto"/>
            </w:tcBorders>
            <w:noWrap/>
            <w:vAlign w:val="center"/>
          </w:tcPr>
          <w:p w14:paraId="6959B377" w14:textId="77777777" w:rsidR="007A63AA" w:rsidRPr="007A63AA" w:rsidRDefault="007A63AA" w:rsidP="007A63AA">
            <w:pPr>
              <w:keepNext/>
              <w:spacing w:beforeLines="20" w:before="48" w:afterLines="20" w:after="48" w:line="264" w:lineRule="auto"/>
              <w:contextualSpacing/>
              <w:jc w:val="right"/>
              <w:rPr>
                <w:rFonts w:ascii="Arial Narrow" w:hAnsi="Arial Narrow"/>
                <w:bCs/>
                <w:sz w:val="18"/>
                <w:szCs w:val="18"/>
              </w:rPr>
            </w:pPr>
            <w:r w:rsidRPr="007A63AA">
              <w:rPr>
                <w:rFonts w:ascii="Arial Narrow" w:hAnsi="Arial Narrow"/>
                <w:bCs/>
                <w:sz w:val="18"/>
                <w:szCs w:val="18"/>
              </w:rPr>
              <w:t>$231.92</w:t>
            </w:r>
          </w:p>
        </w:tc>
      </w:tr>
      <w:tr w:rsidR="00F07528" w:rsidRPr="007A63AA" w14:paraId="3925A415" w14:textId="77777777" w:rsidTr="00921211">
        <w:trPr>
          <w:cantSplit/>
          <w:trHeight w:val="288"/>
        </w:trPr>
        <w:tc>
          <w:tcPr>
            <w:tcW w:w="1752" w:type="pct"/>
            <w:tcBorders>
              <w:top w:val="nil"/>
              <w:left w:val="single" w:sz="12" w:space="0" w:color="auto"/>
              <w:bottom w:val="nil"/>
              <w:right w:val="nil"/>
            </w:tcBorders>
            <w:noWrap/>
            <w:vAlign w:val="center"/>
          </w:tcPr>
          <w:p w14:paraId="025BCFDA" w14:textId="77777777" w:rsidR="007A63AA" w:rsidRPr="007A63AA" w:rsidRDefault="007A63AA" w:rsidP="007A63AA">
            <w:pPr>
              <w:keepNext/>
              <w:spacing w:beforeLines="20" w:before="48" w:afterLines="20" w:after="48" w:line="264" w:lineRule="auto"/>
              <w:contextualSpacing/>
              <w:rPr>
                <w:rFonts w:ascii="Arial Narrow" w:hAnsi="Arial Narrow"/>
                <w:bCs/>
                <w:sz w:val="18"/>
                <w:szCs w:val="18"/>
              </w:rPr>
            </w:pPr>
            <w:r w:rsidRPr="007A63AA">
              <w:rPr>
                <w:rFonts w:ascii="Arial Narrow" w:hAnsi="Arial Narrow"/>
                <w:bCs/>
                <w:sz w:val="18"/>
                <w:szCs w:val="18"/>
              </w:rPr>
              <w:t>Compliance Determination</w:t>
            </w:r>
          </w:p>
        </w:tc>
        <w:tc>
          <w:tcPr>
            <w:tcW w:w="588" w:type="pct"/>
            <w:tcBorders>
              <w:top w:val="nil"/>
              <w:left w:val="nil"/>
              <w:bottom w:val="nil"/>
              <w:right w:val="nil"/>
            </w:tcBorders>
            <w:noWrap/>
            <w:vAlign w:val="center"/>
          </w:tcPr>
          <w:p w14:paraId="1741877C" w14:textId="77777777" w:rsidR="007A63AA" w:rsidRPr="007A63AA" w:rsidRDefault="007A63AA" w:rsidP="007A63AA">
            <w:pPr>
              <w:keepNext/>
              <w:spacing w:beforeLines="20" w:before="48" w:afterLines="20" w:after="48" w:line="264" w:lineRule="auto"/>
              <w:contextualSpacing/>
              <w:rPr>
                <w:rFonts w:ascii="Arial Narrow" w:hAnsi="Arial Narrow"/>
                <w:b/>
                <w:bCs/>
                <w:sz w:val="18"/>
                <w:szCs w:val="18"/>
              </w:rPr>
            </w:pPr>
          </w:p>
        </w:tc>
        <w:tc>
          <w:tcPr>
            <w:tcW w:w="646" w:type="pct"/>
            <w:tcBorders>
              <w:top w:val="nil"/>
              <w:left w:val="nil"/>
              <w:bottom w:val="nil"/>
              <w:right w:val="nil"/>
            </w:tcBorders>
            <w:noWrap/>
            <w:vAlign w:val="center"/>
          </w:tcPr>
          <w:p w14:paraId="47F756BF" w14:textId="77777777" w:rsidR="007A63AA" w:rsidRPr="007A63AA" w:rsidRDefault="007A63AA" w:rsidP="007A63AA">
            <w:pPr>
              <w:keepNext/>
              <w:spacing w:beforeLines="20" w:before="48" w:afterLines="20" w:after="48" w:line="264" w:lineRule="auto"/>
              <w:contextualSpacing/>
              <w:jc w:val="center"/>
              <w:rPr>
                <w:rFonts w:ascii="Arial Narrow" w:hAnsi="Arial Narrow"/>
                <w:bCs/>
                <w:sz w:val="18"/>
                <w:szCs w:val="18"/>
              </w:rPr>
            </w:pPr>
          </w:p>
        </w:tc>
        <w:tc>
          <w:tcPr>
            <w:tcW w:w="591" w:type="pct"/>
            <w:tcBorders>
              <w:top w:val="nil"/>
              <w:left w:val="nil"/>
              <w:bottom w:val="nil"/>
              <w:right w:val="nil"/>
            </w:tcBorders>
            <w:noWrap/>
            <w:vAlign w:val="center"/>
          </w:tcPr>
          <w:p w14:paraId="76C7BECA" w14:textId="77777777" w:rsidR="007A63AA" w:rsidRPr="007A63AA" w:rsidRDefault="007A63AA" w:rsidP="007A63AA">
            <w:pPr>
              <w:keepNext/>
              <w:spacing w:beforeLines="20" w:before="48" w:afterLines="20" w:after="48" w:line="264" w:lineRule="auto"/>
              <w:contextualSpacing/>
              <w:jc w:val="center"/>
              <w:rPr>
                <w:rFonts w:ascii="Arial Narrow" w:hAnsi="Arial Narrow"/>
                <w:bCs/>
                <w:sz w:val="18"/>
                <w:szCs w:val="18"/>
              </w:rPr>
            </w:pPr>
          </w:p>
        </w:tc>
        <w:tc>
          <w:tcPr>
            <w:tcW w:w="677" w:type="pct"/>
            <w:tcBorders>
              <w:top w:val="nil"/>
              <w:left w:val="nil"/>
              <w:bottom w:val="nil"/>
              <w:right w:val="single" w:sz="4" w:space="0" w:color="auto"/>
            </w:tcBorders>
            <w:noWrap/>
            <w:vAlign w:val="center"/>
          </w:tcPr>
          <w:p w14:paraId="67EF50AE" w14:textId="77777777" w:rsidR="007A63AA" w:rsidRPr="007A63AA" w:rsidRDefault="007A63AA" w:rsidP="007A63AA">
            <w:pPr>
              <w:keepNext/>
              <w:spacing w:beforeLines="20" w:before="48" w:afterLines="20" w:after="48" w:line="264" w:lineRule="auto"/>
              <w:contextualSpacing/>
              <w:jc w:val="center"/>
              <w:rPr>
                <w:rFonts w:ascii="Arial Narrow" w:hAnsi="Arial Narrow"/>
                <w:bCs/>
                <w:sz w:val="18"/>
                <w:szCs w:val="18"/>
              </w:rPr>
            </w:pPr>
          </w:p>
        </w:tc>
        <w:tc>
          <w:tcPr>
            <w:tcW w:w="746" w:type="pct"/>
            <w:tcBorders>
              <w:top w:val="nil"/>
              <w:left w:val="single" w:sz="4" w:space="0" w:color="auto"/>
              <w:bottom w:val="nil"/>
              <w:right w:val="single" w:sz="12" w:space="0" w:color="auto"/>
            </w:tcBorders>
            <w:noWrap/>
            <w:vAlign w:val="center"/>
          </w:tcPr>
          <w:p w14:paraId="62F70271" w14:textId="77777777" w:rsidR="007A63AA" w:rsidRPr="007A63AA" w:rsidRDefault="007A63AA" w:rsidP="007A63AA">
            <w:pPr>
              <w:keepNext/>
              <w:spacing w:beforeLines="20" w:before="48" w:afterLines="20" w:after="48" w:line="264" w:lineRule="auto"/>
              <w:contextualSpacing/>
              <w:jc w:val="right"/>
              <w:rPr>
                <w:rFonts w:ascii="Arial Narrow" w:hAnsi="Arial Narrow"/>
                <w:bCs/>
                <w:sz w:val="18"/>
                <w:szCs w:val="18"/>
              </w:rPr>
            </w:pPr>
            <w:r w:rsidRPr="007A63AA">
              <w:rPr>
                <w:rFonts w:ascii="Arial Narrow" w:hAnsi="Arial Narrow"/>
                <w:bCs/>
                <w:sz w:val="18"/>
                <w:szCs w:val="18"/>
              </w:rPr>
              <w:t>$0.00</w:t>
            </w:r>
          </w:p>
        </w:tc>
      </w:tr>
      <w:tr w:rsidR="00F07528" w:rsidRPr="007A63AA" w14:paraId="7788830A" w14:textId="77777777" w:rsidTr="00921211">
        <w:trPr>
          <w:cantSplit/>
          <w:trHeight w:val="288"/>
        </w:trPr>
        <w:tc>
          <w:tcPr>
            <w:tcW w:w="1752" w:type="pct"/>
            <w:tcBorders>
              <w:top w:val="nil"/>
              <w:left w:val="single" w:sz="12" w:space="0" w:color="auto"/>
              <w:bottom w:val="single" w:sz="4" w:space="0" w:color="auto"/>
              <w:right w:val="nil"/>
            </w:tcBorders>
            <w:noWrap/>
            <w:vAlign w:val="center"/>
          </w:tcPr>
          <w:p w14:paraId="74149D35" w14:textId="77777777" w:rsidR="007A63AA" w:rsidRPr="007A63AA" w:rsidRDefault="007A63AA" w:rsidP="007A63AA">
            <w:pPr>
              <w:keepNext/>
              <w:spacing w:beforeLines="20" w:before="48" w:afterLines="20" w:after="48" w:line="264" w:lineRule="auto"/>
              <w:contextualSpacing/>
              <w:rPr>
                <w:rFonts w:ascii="Arial Narrow" w:hAnsi="Arial Narrow"/>
                <w:bCs/>
                <w:sz w:val="18"/>
                <w:szCs w:val="18"/>
              </w:rPr>
            </w:pPr>
            <w:r w:rsidRPr="007A63AA">
              <w:rPr>
                <w:rFonts w:ascii="Arial Narrow" w:hAnsi="Arial Narrow"/>
                <w:bCs/>
                <w:sz w:val="18"/>
                <w:szCs w:val="18"/>
              </w:rPr>
              <w:t>Form Completion</w:t>
            </w:r>
          </w:p>
        </w:tc>
        <w:tc>
          <w:tcPr>
            <w:tcW w:w="588" w:type="pct"/>
            <w:tcBorders>
              <w:top w:val="nil"/>
              <w:left w:val="nil"/>
              <w:bottom w:val="single" w:sz="4" w:space="0" w:color="auto"/>
              <w:right w:val="nil"/>
            </w:tcBorders>
            <w:noWrap/>
            <w:vAlign w:val="center"/>
          </w:tcPr>
          <w:p w14:paraId="55DFE374" w14:textId="77777777" w:rsidR="007A63AA" w:rsidRPr="007A63AA" w:rsidRDefault="007A63AA" w:rsidP="007A63AA">
            <w:pPr>
              <w:keepNext/>
              <w:spacing w:beforeLines="20" w:before="48" w:afterLines="20" w:after="48" w:line="264" w:lineRule="auto"/>
              <w:contextualSpacing/>
              <w:rPr>
                <w:rFonts w:ascii="Arial Narrow" w:hAnsi="Arial Narrow"/>
                <w:b/>
                <w:bCs/>
                <w:sz w:val="18"/>
                <w:szCs w:val="18"/>
              </w:rPr>
            </w:pPr>
          </w:p>
        </w:tc>
        <w:tc>
          <w:tcPr>
            <w:tcW w:w="646" w:type="pct"/>
            <w:tcBorders>
              <w:top w:val="nil"/>
              <w:left w:val="nil"/>
              <w:bottom w:val="single" w:sz="4" w:space="0" w:color="auto"/>
              <w:right w:val="nil"/>
            </w:tcBorders>
            <w:noWrap/>
            <w:vAlign w:val="center"/>
          </w:tcPr>
          <w:p w14:paraId="0925B3E2" w14:textId="77777777" w:rsidR="007A63AA" w:rsidRPr="007A63AA" w:rsidRDefault="007A63AA" w:rsidP="007A63AA">
            <w:pPr>
              <w:keepNext/>
              <w:spacing w:beforeLines="20" w:before="48" w:afterLines="20" w:after="48" w:line="264" w:lineRule="auto"/>
              <w:contextualSpacing/>
              <w:jc w:val="center"/>
              <w:rPr>
                <w:rFonts w:ascii="Arial Narrow" w:hAnsi="Arial Narrow"/>
                <w:bCs/>
                <w:sz w:val="18"/>
                <w:szCs w:val="18"/>
              </w:rPr>
            </w:pPr>
          </w:p>
        </w:tc>
        <w:tc>
          <w:tcPr>
            <w:tcW w:w="591" w:type="pct"/>
            <w:tcBorders>
              <w:top w:val="nil"/>
              <w:left w:val="nil"/>
              <w:bottom w:val="single" w:sz="4" w:space="0" w:color="auto"/>
              <w:right w:val="nil"/>
            </w:tcBorders>
            <w:noWrap/>
            <w:vAlign w:val="center"/>
          </w:tcPr>
          <w:p w14:paraId="0672974F" w14:textId="77777777" w:rsidR="007A63AA" w:rsidRPr="007A63AA" w:rsidRDefault="007A63AA" w:rsidP="007A63AA">
            <w:pPr>
              <w:keepNext/>
              <w:spacing w:beforeLines="20" w:before="48" w:afterLines="20" w:after="48" w:line="264" w:lineRule="auto"/>
              <w:contextualSpacing/>
              <w:jc w:val="center"/>
              <w:rPr>
                <w:rFonts w:ascii="Arial Narrow" w:hAnsi="Arial Narrow"/>
                <w:bCs/>
                <w:sz w:val="18"/>
                <w:szCs w:val="18"/>
              </w:rPr>
            </w:pPr>
          </w:p>
        </w:tc>
        <w:tc>
          <w:tcPr>
            <w:tcW w:w="677" w:type="pct"/>
            <w:tcBorders>
              <w:top w:val="nil"/>
              <w:left w:val="nil"/>
              <w:bottom w:val="single" w:sz="4" w:space="0" w:color="auto"/>
              <w:right w:val="single" w:sz="4" w:space="0" w:color="auto"/>
            </w:tcBorders>
            <w:noWrap/>
            <w:vAlign w:val="center"/>
          </w:tcPr>
          <w:p w14:paraId="752359A2" w14:textId="77777777" w:rsidR="007A63AA" w:rsidRPr="007A63AA" w:rsidRDefault="007A63AA" w:rsidP="007A63AA">
            <w:pPr>
              <w:keepNext/>
              <w:spacing w:beforeLines="20" w:before="48" w:afterLines="20" w:after="48" w:line="264" w:lineRule="auto"/>
              <w:contextualSpacing/>
              <w:jc w:val="center"/>
              <w:rPr>
                <w:rFonts w:ascii="Arial Narrow" w:hAnsi="Arial Narrow"/>
                <w:bCs/>
                <w:sz w:val="18"/>
                <w:szCs w:val="18"/>
              </w:rPr>
            </w:pPr>
          </w:p>
        </w:tc>
        <w:tc>
          <w:tcPr>
            <w:tcW w:w="746" w:type="pct"/>
            <w:tcBorders>
              <w:top w:val="nil"/>
              <w:left w:val="single" w:sz="4" w:space="0" w:color="auto"/>
              <w:bottom w:val="single" w:sz="4" w:space="0" w:color="auto"/>
              <w:right w:val="single" w:sz="12" w:space="0" w:color="auto"/>
            </w:tcBorders>
            <w:noWrap/>
            <w:vAlign w:val="center"/>
          </w:tcPr>
          <w:p w14:paraId="683294EF" w14:textId="73C0C8B6" w:rsidR="007A63AA" w:rsidRPr="007A63AA" w:rsidRDefault="007A63AA" w:rsidP="007A63AA">
            <w:pPr>
              <w:keepNext/>
              <w:spacing w:beforeLines="20" w:before="48" w:afterLines="20" w:after="48" w:line="264" w:lineRule="auto"/>
              <w:contextualSpacing/>
              <w:jc w:val="right"/>
              <w:rPr>
                <w:rFonts w:ascii="Arial Narrow" w:hAnsi="Arial Narrow"/>
                <w:bCs/>
                <w:sz w:val="18"/>
                <w:szCs w:val="18"/>
              </w:rPr>
            </w:pPr>
            <w:r w:rsidRPr="007A63AA">
              <w:rPr>
                <w:rFonts w:ascii="Arial Narrow" w:hAnsi="Arial Narrow"/>
                <w:bCs/>
                <w:sz w:val="18"/>
                <w:szCs w:val="18"/>
              </w:rPr>
              <w:t>$1</w:t>
            </w:r>
            <w:r w:rsidR="001D4BD9">
              <w:rPr>
                <w:rFonts w:ascii="Arial Narrow" w:hAnsi="Arial Narrow"/>
                <w:bCs/>
                <w:sz w:val="18"/>
                <w:szCs w:val="18"/>
              </w:rPr>
              <w:t>55</w:t>
            </w:r>
            <w:r w:rsidRPr="007A63AA">
              <w:rPr>
                <w:rFonts w:ascii="Arial Narrow" w:hAnsi="Arial Narrow"/>
                <w:bCs/>
                <w:sz w:val="18"/>
                <w:szCs w:val="18"/>
              </w:rPr>
              <w:t>.8</w:t>
            </w:r>
            <w:r w:rsidR="001D4BD9">
              <w:rPr>
                <w:rFonts w:ascii="Arial Narrow" w:hAnsi="Arial Narrow"/>
                <w:bCs/>
                <w:sz w:val="18"/>
                <w:szCs w:val="18"/>
              </w:rPr>
              <w:t>8</w:t>
            </w:r>
          </w:p>
        </w:tc>
      </w:tr>
      <w:tr w:rsidR="00F07528" w:rsidRPr="007A63AA" w14:paraId="1CEEB5CA" w14:textId="77777777" w:rsidTr="00921211">
        <w:trPr>
          <w:cantSplit/>
          <w:trHeight w:val="288"/>
        </w:trPr>
        <w:tc>
          <w:tcPr>
            <w:tcW w:w="3577" w:type="pct"/>
            <w:gridSpan w:val="4"/>
            <w:tcBorders>
              <w:top w:val="single" w:sz="4" w:space="0" w:color="auto"/>
              <w:left w:val="single" w:sz="12" w:space="0" w:color="auto"/>
              <w:bottom w:val="nil"/>
              <w:right w:val="nil"/>
            </w:tcBorders>
            <w:noWrap/>
            <w:vAlign w:val="center"/>
          </w:tcPr>
          <w:p w14:paraId="4B181E41" w14:textId="28B2D52D" w:rsidR="007A63AA" w:rsidRPr="007A63AA" w:rsidRDefault="007A63AA">
            <w:pPr>
              <w:keepNext/>
              <w:spacing w:beforeLines="20" w:before="48" w:afterLines="20" w:after="48" w:line="264" w:lineRule="auto"/>
              <w:contextualSpacing/>
              <w:rPr>
                <w:rFonts w:ascii="Arial Narrow" w:hAnsi="Arial Narrow"/>
                <w:bCs/>
                <w:sz w:val="18"/>
                <w:szCs w:val="18"/>
              </w:rPr>
            </w:pPr>
            <w:r w:rsidRPr="007A63AA">
              <w:rPr>
                <w:rFonts w:ascii="Arial Narrow" w:hAnsi="Arial Narrow"/>
                <w:bCs/>
                <w:sz w:val="18"/>
                <w:szCs w:val="18"/>
              </w:rPr>
              <w:t>Typical Average Cost per Company without Recordkeeping</w:t>
            </w:r>
          </w:p>
        </w:tc>
        <w:tc>
          <w:tcPr>
            <w:tcW w:w="677" w:type="pct"/>
            <w:tcBorders>
              <w:top w:val="single" w:sz="4" w:space="0" w:color="auto"/>
              <w:left w:val="nil"/>
              <w:bottom w:val="nil"/>
              <w:right w:val="single" w:sz="4" w:space="0" w:color="auto"/>
            </w:tcBorders>
            <w:noWrap/>
            <w:vAlign w:val="center"/>
          </w:tcPr>
          <w:p w14:paraId="774D74C2" w14:textId="77777777" w:rsidR="007A63AA" w:rsidRPr="007A63AA" w:rsidRDefault="007A63AA" w:rsidP="007A63AA">
            <w:pPr>
              <w:keepNext/>
              <w:spacing w:beforeLines="20" w:before="48" w:afterLines="20" w:after="48" w:line="264" w:lineRule="auto"/>
              <w:contextualSpacing/>
              <w:jc w:val="center"/>
              <w:rPr>
                <w:rFonts w:ascii="Arial Narrow" w:hAnsi="Arial Narrow"/>
                <w:bCs/>
                <w:sz w:val="18"/>
                <w:szCs w:val="18"/>
              </w:rPr>
            </w:pPr>
          </w:p>
        </w:tc>
        <w:tc>
          <w:tcPr>
            <w:tcW w:w="746" w:type="pct"/>
            <w:tcBorders>
              <w:top w:val="single" w:sz="4" w:space="0" w:color="auto"/>
              <w:left w:val="single" w:sz="4" w:space="0" w:color="auto"/>
              <w:bottom w:val="nil"/>
              <w:right w:val="single" w:sz="12" w:space="0" w:color="auto"/>
            </w:tcBorders>
            <w:noWrap/>
            <w:vAlign w:val="center"/>
          </w:tcPr>
          <w:p w14:paraId="71852BD0" w14:textId="45E0F151" w:rsidR="007A63AA" w:rsidRPr="007A63AA" w:rsidRDefault="007A63AA" w:rsidP="007A63AA">
            <w:pPr>
              <w:keepNext/>
              <w:spacing w:beforeLines="20" w:before="48" w:afterLines="20" w:after="48" w:line="264" w:lineRule="auto"/>
              <w:contextualSpacing/>
              <w:jc w:val="right"/>
              <w:rPr>
                <w:rFonts w:ascii="Arial Narrow" w:hAnsi="Arial Narrow"/>
                <w:bCs/>
                <w:sz w:val="18"/>
                <w:szCs w:val="18"/>
              </w:rPr>
            </w:pPr>
            <w:r w:rsidRPr="007A63AA">
              <w:rPr>
                <w:rFonts w:ascii="Arial Narrow" w:hAnsi="Arial Narrow"/>
                <w:b/>
                <w:bCs/>
                <w:sz w:val="18"/>
                <w:szCs w:val="18"/>
              </w:rPr>
              <w:t>$</w:t>
            </w:r>
            <w:r w:rsidR="001D4BD9">
              <w:rPr>
                <w:rFonts w:ascii="Arial Narrow" w:hAnsi="Arial Narrow"/>
                <w:bCs/>
                <w:sz w:val="18"/>
                <w:szCs w:val="18"/>
              </w:rPr>
              <w:t>387</w:t>
            </w:r>
            <w:r w:rsidRPr="007A63AA">
              <w:rPr>
                <w:rFonts w:ascii="Arial Narrow" w:hAnsi="Arial Narrow"/>
                <w:bCs/>
                <w:sz w:val="18"/>
                <w:szCs w:val="18"/>
              </w:rPr>
              <w:t>.</w:t>
            </w:r>
            <w:r w:rsidR="001D4BD9">
              <w:rPr>
                <w:rFonts w:ascii="Arial Narrow" w:hAnsi="Arial Narrow"/>
                <w:bCs/>
                <w:sz w:val="18"/>
                <w:szCs w:val="18"/>
              </w:rPr>
              <w:t>80</w:t>
            </w:r>
          </w:p>
        </w:tc>
      </w:tr>
      <w:tr w:rsidR="00F07528" w:rsidRPr="007A63AA" w14:paraId="1208E953" w14:textId="77777777" w:rsidTr="00921211">
        <w:trPr>
          <w:cantSplit/>
          <w:trHeight w:val="288"/>
        </w:trPr>
        <w:tc>
          <w:tcPr>
            <w:tcW w:w="1752" w:type="pct"/>
            <w:tcBorders>
              <w:top w:val="nil"/>
              <w:left w:val="single" w:sz="12" w:space="0" w:color="auto"/>
              <w:bottom w:val="single" w:sz="12" w:space="0" w:color="auto"/>
              <w:right w:val="nil"/>
            </w:tcBorders>
            <w:noWrap/>
            <w:vAlign w:val="center"/>
          </w:tcPr>
          <w:p w14:paraId="0CC0B72A" w14:textId="77777777" w:rsidR="007A63AA" w:rsidRPr="007A63AA" w:rsidRDefault="007A63AA" w:rsidP="007A63AA">
            <w:pPr>
              <w:keepNext/>
              <w:spacing w:beforeLines="20" w:before="48" w:afterLines="20" w:after="48" w:line="264" w:lineRule="auto"/>
              <w:contextualSpacing/>
              <w:rPr>
                <w:rFonts w:ascii="Arial Narrow" w:hAnsi="Arial Narrow"/>
                <w:bCs/>
                <w:i/>
                <w:sz w:val="18"/>
                <w:szCs w:val="18"/>
              </w:rPr>
            </w:pPr>
            <w:r w:rsidRPr="007A63AA">
              <w:rPr>
                <w:rFonts w:ascii="Arial Narrow" w:hAnsi="Arial Narrow"/>
                <w:bCs/>
                <w:i/>
                <w:sz w:val="18"/>
                <w:szCs w:val="18"/>
              </w:rPr>
              <w:t>Recordkeeping</w:t>
            </w:r>
          </w:p>
        </w:tc>
        <w:tc>
          <w:tcPr>
            <w:tcW w:w="588" w:type="pct"/>
            <w:tcBorders>
              <w:top w:val="nil"/>
              <w:left w:val="nil"/>
              <w:bottom w:val="single" w:sz="12" w:space="0" w:color="auto"/>
              <w:right w:val="nil"/>
            </w:tcBorders>
            <w:noWrap/>
            <w:vAlign w:val="center"/>
          </w:tcPr>
          <w:p w14:paraId="583F8340" w14:textId="77777777" w:rsidR="007A63AA" w:rsidRPr="007A63AA" w:rsidRDefault="007A63AA" w:rsidP="007A63AA">
            <w:pPr>
              <w:keepNext/>
              <w:spacing w:beforeLines="20" w:before="48" w:afterLines="20" w:after="48" w:line="264" w:lineRule="auto"/>
              <w:contextualSpacing/>
              <w:rPr>
                <w:rFonts w:ascii="Arial Narrow" w:hAnsi="Arial Narrow"/>
                <w:b/>
                <w:bCs/>
                <w:sz w:val="18"/>
                <w:szCs w:val="18"/>
              </w:rPr>
            </w:pPr>
          </w:p>
        </w:tc>
        <w:tc>
          <w:tcPr>
            <w:tcW w:w="646" w:type="pct"/>
            <w:tcBorders>
              <w:top w:val="nil"/>
              <w:left w:val="nil"/>
              <w:bottom w:val="single" w:sz="12" w:space="0" w:color="auto"/>
              <w:right w:val="nil"/>
            </w:tcBorders>
            <w:noWrap/>
            <w:vAlign w:val="center"/>
          </w:tcPr>
          <w:p w14:paraId="179B028C" w14:textId="77777777" w:rsidR="007A63AA" w:rsidRPr="007A63AA" w:rsidRDefault="007A63AA" w:rsidP="007A63AA">
            <w:pPr>
              <w:keepNext/>
              <w:spacing w:beforeLines="20" w:before="48" w:afterLines="20" w:after="48" w:line="264" w:lineRule="auto"/>
              <w:contextualSpacing/>
              <w:jc w:val="center"/>
              <w:rPr>
                <w:rFonts w:ascii="Arial Narrow" w:hAnsi="Arial Narrow"/>
                <w:bCs/>
                <w:sz w:val="18"/>
                <w:szCs w:val="18"/>
              </w:rPr>
            </w:pPr>
          </w:p>
        </w:tc>
        <w:tc>
          <w:tcPr>
            <w:tcW w:w="591" w:type="pct"/>
            <w:tcBorders>
              <w:top w:val="nil"/>
              <w:left w:val="nil"/>
              <w:bottom w:val="single" w:sz="12" w:space="0" w:color="auto"/>
              <w:right w:val="nil"/>
            </w:tcBorders>
            <w:noWrap/>
            <w:vAlign w:val="center"/>
          </w:tcPr>
          <w:p w14:paraId="30BD7599" w14:textId="77777777" w:rsidR="007A63AA" w:rsidRPr="007A63AA" w:rsidRDefault="007A63AA" w:rsidP="007A63AA">
            <w:pPr>
              <w:keepNext/>
              <w:spacing w:beforeLines="20" w:before="48" w:afterLines="20" w:after="48" w:line="264" w:lineRule="auto"/>
              <w:contextualSpacing/>
              <w:jc w:val="center"/>
              <w:rPr>
                <w:rFonts w:ascii="Arial Narrow" w:hAnsi="Arial Narrow"/>
                <w:bCs/>
                <w:sz w:val="18"/>
                <w:szCs w:val="18"/>
              </w:rPr>
            </w:pPr>
          </w:p>
        </w:tc>
        <w:tc>
          <w:tcPr>
            <w:tcW w:w="677" w:type="pct"/>
            <w:tcBorders>
              <w:top w:val="nil"/>
              <w:left w:val="nil"/>
              <w:bottom w:val="single" w:sz="12" w:space="0" w:color="auto"/>
              <w:right w:val="single" w:sz="4" w:space="0" w:color="auto"/>
            </w:tcBorders>
            <w:noWrap/>
            <w:vAlign w:val="center"/>
          </w:tcPr>
          <w:p w14:paraId="6F554605" w14:textId="77777777" w:rsidR="007A63AA" w:rsidRPr="007A63AA" w:rsidRDefault="007A63AA" w:rsidP="007A63AA">
            <w:pPr>
              <w:keepNext/>
              <w:spacing w:beforeLines="20" w:before="48" w:afterLines="20" w:after="48" w:line="264" w:lineRule="auto"/>
              <w:contextualSpacing/>
              <w:jc w:val="center"/>
              <w:rPr>
                <w:rFonts w:ascii="Arial Narrow" w:hAnsi="Arial Narrow"/>
                <w:bCs/>
                <w:sz w:val="18"/>
                <w:szCs w:val="18"/>
              </w:rPr>
            </w:pPr>
          </w:p>
        </w:tc>
        <w:tc>
          <w:tcPr>
            <w:tcW w:w="746" w:type="pct"/>
            <w:tcBorders>
              <w:top w:val="nil"/>
              <w:left w:val="single" w:sz="4" w:space="0" w:color="auto"/>
              <w:bottom w:val="single" w:sz="12" w:space="0" w:color="auto"/>
              <w:right w:val="single" w:sz="12" w:space="0" w:color="auto"/>
            </w:tcBorders>
            <w:noWrap/>
            <w:vAlign w:val="center"/>
          </w:tcPr>
          <w:p w14:paraId="356C2D0C" w14:textId="77777777" w:rsidR="007A63AA" w:rsidRPr="007A63AA" w:rsidRDefault="007A63AA" w:rsidP="007A63AA">
            <w:pPr>
              <w:keepNext/>
              <w:spacing w:beforeLines="20" w:before="48" w:afterLines="20" w:after="48" w:line="264" w:lineRule="auto"/>
              <w:contextualSpacing/>
              <w:jc w:val="right"/>
              <w:rPr>
                <w:rFonts w:ascii="Arial Narrow" w:hAnsi="Arial Narrow"/>
                <w:bCs/>
                <w:sz w:val="18"/>
                <w:szCs w:val="18"/>
              </w:rPr>
            </w:pPr>
            <w:r w:rsidRPr="007A63AA">
              <w:rPr>
                <w:rFonts w:ascii="Arial Narrow" w:hAnsi="Arial Narrow"/>
                <w:bCs/>
                <w:sz w:val="18"/>
                <w:szCs w:val="18"/>
              </w:rPr>
              <w:t>$2.19</w:t>
            </w:r>
          </w:p>
        </w:tc>
      </w:tr>
      <w:tr w:rsidR="00F07528" w:rsidRPr="007A63AA" w14:paraId="30C76476" w14:textId="77777777" w:rsidTr="00921211">
        <w:trPr>
          <w:cantSplit/>
          <w:trHeight w:val="288"/>
        </w:trPr>
        <w:tc>
          <w:tcPr>
            <w:tcW w:w="3577" w:type="pct"/>
            <w:gridSpan w:val="4"/>
            <w:tcBorders>
              <w:top w:val="single" w:sz="12" w:space="0" w:color="auto"/>
              <w:left w:val="single" w:sz="12" w:space="0" w:color="auto"/>
              <w:bottom w:val="single" w:sz="12" w:space="0" w:color="auto"/>
              <w:right w:val="nil"/>
            </w:tcBorders>
            <w:noWrap/>
            <w:vAlign w:val="center"/>
          </w:tcPr>
          <w:p w14:paraId="7AEBBEF6" w14:textId="3CC92203" w:rsidR="007A63AA" w:rsidRPr="007A63AA" w:rsidDel="00384026" w:rsidRDefault="007A63AA">
            <w:pPr>
              <w:keepNext/>
              <w:spacing w:beforeLines="20" w:before="48" w:afterLines="20" w:after="48" w:line="264" w:lineRule="auto"/>
              <w:contextualSpacing/>
              <w:rPr>
                <w:rFonts w:ascii="Arial Narrow" w:hAnsi="Arial Narrow"/>
                <w:b/>
                <w:bCs/>
                <w:sz w:val="18"/>
                <w:szCs w:val="18"/>
              </w:rPr>
            </w:pPr>
            <w:r w:rsidRPr="007A63AA">
              <w:rPr>
                <w:rFonts w:ascii="Arial Narrow" w:hAnsi="Arial Narrow"/>
                <w:b/>
                <w:bCs/>
                <w:color w:val="000000"/>
                <w:sz w:val="18"/>
                <w:szCs w:val="18"/>
              </w:rPr>
              <w:t xml:space="preserve">TOTAL, </w:t>
            </w:r>
            <w:r w:rsidR="0070495C">
              <w:rPr>
                <w:rFonts w:ascii="Arial Narrow" w:hAnsi="Arial Narrow"/>
                <w:b/>
                <w:bCs/>
                <w:color w:val="000000"/>
                <w:sz w:val="18"/>
                <w:szCs w:val="18"/>
              </w:rPr>
              <w:t>Company-Level</w:t>
            </w:r>
            <w:r w:rsidR="0070495C" w:rsidRPr="007A63AA">
              <w:rPr>
                <w:rFonts w:ascii="Arial Narrow" w:hAnsi="Arial Narrow"/>
                <w:b/>
                <w:bCs/>
                <w:color w:val="000000"/>
                <w:sz w:val="18"/>
                <w:szCs w:val="18"/>
              </w:rPr>
              <w:t xml:space="preserve"> </w:t>
            </w:r>
            <w:r w:rsidRPr="007A63AA">
              <w:rPr>
                <w:rFonts w:ascii="Arial Narrow" w:hAnsi="Arial Narrow"/>
                <w:b/>
                <w:bCs/>
                <w:color w:val="000000"/>
                <w:sz w:val="18"/>
                <w:szCs w:val="18"/>
              </w:rPr>
              <w:t>Unit Cost using Previous Reference</w:t>
            </w:r>
            <w:r w:rsidR="0070495C">
              <w:rPr>
                <w:rFonts w:ascii="Arial Narrow" w:hAnsi="Arial Narrow"/>
                <w:b/>
                <w:bCs/>
                <w:color w:val="000000"/>
                <w:sz w:val="18"/>
                <w:szCs w:val="18"/>
              </w:rPr>
              <w:t xml:space="preserve"> to Substantiation</w:t>
            </w:r>
          </w:p>
        </w:tc>
        <w:tc>
          <w:tcPr>
            <w:tcW w:w="677" w:type="pct"/>
            <w:tcBorders>
              <w:top w:val="single" w:sz="12" w:space="0" w:color="auto"/>
              <w:left w:val="nil"/>
              <w:bottom w:val="single" w:sz="12" w:space="0" w:color="auto"/>
              <w:right w:val="nil"/>
            </w:tcBorders>
            <w:noWrap/>
            <w:vAlign w:val="center"/>
          </w:tcPr>
          <w:p w14:paraId="4109CAD8" w14:textId="77777777" w:rsidR="007A63AA" w:rsidRPr="007A63AA" w:rsidDel="00384026" w:rsidRDefault="007A63AA" w:rsidP="007A63AA">
            <w:pPr>
              <w:keepNext/>
              <w:spacing w:beforeLines="20" w:before="48" w:afterLines="20" w:after="48" w:line="264" w:lineRule="auto"/>
              <w:contextualSpacing/>
              <w:jc w:val="center"/>
              <w:rPr>
                <w:rFonts w:ascii="Arial Narrow" w:hAnsi="Arial Narrow"/>
                <w:b/>
                <w:bCs/>
                <w:sz w:val="18"/>
                <w:szCs w:val="18"/>
              </w:rPr>
            </w:pPr>
          </w:p>
        </w:tc>
        <w:tc>
          <w:tcPr>
            <w:tcW w:w="746" w:type="pct"/>
            <w:tcBorders>
              <w:top w:val="single" w:sz="12" w:space="0" w:color="auto"/>
              <w:left w:val="nil"/>
              <w:bottom w:val="single" w:sz="12" w:space="0" w:color="auto"/>
              <w:right w:val="single" w:sz="12" w:space="0" w:color="auto"/>
            </w:tcBorders>
            <w:shd w:val="clear" w:color="auto" w:fill="BABEC0"/>
            <w:noWrap/>
            <w:vAlign w:val="center"/>
          </w:tcPr>
          <w:p w14:paraId="2FB79477" w14:textId="258AE534" w:rsidR="007A63AA" w:rsidRPr="007A63AA" w:rsidDel="00384026" w:rsidRDefault="007A63AA" w:rsidP="007A63AA">
            <w:pPr>
              <w:keepNext/>
              <w:spacing w:beforeLines="20" w:before="48" w:afterLines="20" w:after="48" w:line="264" w:lineRule="auto"/>
              <w:contextualSpacing/>
              <w:jc w:val="right"/>
              <w:rPr>
                <w:rFonts w:ascii="Arial Narrow" w:hAnsi="Arial Narrow"/>
                <w:b/>
                <w:bCs/>
                <w:sz w:val="18"/>
                <w:szCs w:val="18"/>
              </w:rPr>
            </w:pPr>
            <w:r w:rsidRPr="007A63AA">
              <w:rPr>
                <w:rFonts w:ascii="Arial Narrow" w:hAnsi="Arial Narrow"/>
                <w:b/>
                <w:bCs/>
                <w:sz w:val="18"/>
                <w:szCs w:val="18"/>
              </w:rPr>
              <w:t>$</w:t>
            </w:r>
            <w:r w:rsidR="001D4BD9">
              <w:rPr>
                <w:rFonts w:ascii="Arial Narrow" w:hAnsi="Arial Narrow"/>
                <w:b/>
                <w:bCs/>
                <w:sz w:val="18"/>
                <w:szCs w:val="18"/>
              </w:rPr>
              <w:t>389</w:t>
            </w:r>
            <w:r w:rsidRPr="007A63AA">
              <w:rPr>
                <w:rFonts w:ascii="Arial Narrow" w:hAnsi="Arial Narrow"/>
                <w:b/>
                <w:bCs/>
                <w:sz w:val="18"/>
                <w:szCs w:val="18"/>
              </w:rPr>
              <w:t>.9</w:t>
            </w:r>
            <w:r w:rsidR="001D4BD9">
              <w:rPr>
                <w:rFonts w:ascii="Arial Narrow" w:hAnsi="Arial Narrow"/>
                <w:b/>
                <w:bCs/>
                <w:sz w:val="18"/>
                <w:szCs w:val="18"/>
              </w:rPr>
              <w:t>9</w:t>
            </w:r>
          </w:p>
        </w:tc>
      </w:tr>
      <w:tr w:rsidR="007A63AA" w:rsidRPr="007A63AA" w14:paraId="172D8755" w14:textId="77777777" w:rsidTr="00921211">
        <w:trPr>
          <w:cantSplit/>
          <w:trHeight w:val="288"/>
        </w:trPr>
        <w:tc>
          <w:tcPr>
            <w:tcW w:w="5000" w:type="pct"/>
            <w:gridSpan w:val="6"/>
            <w:tcBorders>
              <w:top w:val="single" w:sz="12" w:space="0" w:color="auto"/>
              <w:left w:val="single" w:sz="12" w:space="0" w:color="auto"/>
              <w:bottom w:val="single" w:sz="4" w:space="0" w:color="auto"/>
              <w:right w:val="single" w:sz="12" w:space="0" w:color="auto"/>
            </w:tcBorders>
            <w:shd w:val="clear" w:color="auto" w:fill="D3DEE4"/>
            <w:noWrap/>
            <w:vAlign w:val="center"/>
            <w:hideMark/>
          </w:tcPr>
          <w:p w14:paraId="6C65C46D" w14:textId="5C87D49B" w:rsidR="007A63AA" w:rsidRPr="00602C74" w:rsidRDefault="007A63AA" w:rsidP="004C74BB">
            <w:pPr>
              <w:keepNext/>
              <w:spacing w:beforeLines="20" w:before="48" w:afterLines="20" w:after="48" w:line="264" w:lineRule="auto"/>
              <w:contextualSpacing/>
              <w:rPr>
                <w:rFonts w:ascii="Arial Narrow" w:hAnsi="Arial Narrow"/>
                <w:b/>
                <w:sz w:val="18"/>
                <w:vertAlign w:val="superscript"/>
              </w:rPr>
            </w:pPr>
            <w:r w:rsidRPr="007A63AA">
              <w:rPr>
                <w:rFonts w:ascii="Arial Narrow" w:hAnsi="Arial Narrow"/>
                <w:b/>
                <w:bCs/>
                <w:i/>
                <w:iCs/>
                <w:sz w:val="18"/>
                <w:szCs w:val="18"/>
              </w:rPr>
              <w:t xml:space="preserve">AVERAGE UNIT COST FOR FULL </w:t>
            </w:r>
            <w:r w:rsidR="004C74BB">
              <w:rPr>
                <w:rFonts w:ascii="Arial Narrow" w:hAnsi="Arial Narrow"/>
                <w:b/>
                <w:bCs/>
                <w:i/>
                <w:iCs/>
                <w:sz w:val="18"/>
                <w:szCs w:val="18"/>
              </w:rPr>
              <w:t>SUBSTANTIATION</w:t>
            </w:r>
            <w:r w:rsidR="004C74BB" w:rsidRPr="007A63AA">
              <w:rPr>
                <w:rFonts w:ascii="Arial Narrow" w:hAnsi="Arial Narrow"/>
                <w:b/>
                <w:bCs/>
                <w:i/>
                <w:iCs/>
                <w:sz w:val="18"/>
                <w:szCs w:val="18"/>
              </w:rPr>
              <w:t xml:space="preserve"> </w:t>
            </w:r>
            <w:r w:rsidRPr="007A63AA">
              <w:rPr>
                <w:rFonts w:ascii="Arial Narrow" w:hAnsi="Arial Narrow"/>
                <w:b/>
                <w:bCs/>
                <w:i/>
                <w:iCs/>
                <w:sz w:val="18"/>
                <w:szCs w:val="18"/>
              </w:rPr>
              <w:t>(</w:t>
            </w:r>
            <w:r w:rsidR="001D4BD9">
              <w:rPr>
                <w:rFonts w:ascii="Arial Narrow" w:hAnsi="Arial Narrow"/>
                <w:b/>
                <w:bCs/>
                <w:i/>
                <w:iCs/>
                <w:sz w:val="18"/>
                <w:szCs w:val="18"/>
              </w:rPr>
              <w:t>27</w:t>
            </w:r>
            <w:r w:rsidR="004C74BB" w:rsidRPr="007A63AA">
              <w:rPr>
                <w:rFonts w:ascii="Arial Narrow" w:hAnsi="Arial Narrow"/>
                <w:b/>
                <w:bCs/>
                <w:i/>
                <w:iCs/>
                <w:sz w:val="18"/>
                <w:szCs w:val="18"/>
              </w:rPr>
              <w:t xml:space="preserve"> </w:t>
            </w:r>
            <w:r w:rsidRPr="007A63AA">
              <w:rPr>
                <w:rFonts w:ascii="Arial Narrow" w:hAnsi="Arial Narrow"/>
                <w:b/>
                <w:bCs/>
                <w:i/>
                <w:iCs/>
                <w:sz w:val="18"/>
                <w:szCs w:val="18"/>
              </w:rPr>
              <w:t>CHEMICALS)</w:t>
            </w:r>
            <w:r w:rsidR="00D03D67">
              <w:rPr>
                <w:rFonts w:ascii="Arial Narrow" w:hAnsi="Arial Narrow"/>
                <w:b/>
                <w:bCs/>
                <w:i/>
                <w:iCs/>
                <w:sz w:val="18"/>
                <w:szCs w:val="18"/>
              </w:rPr>
              <w:t xml:space="preserve"> </w:t>
            </w:r>
            <w:r w:rsidR="00D03D67">
              <w:rPr>
                <w:rFonts w:ascii="Arial Narrow" w:hAnsi="Arial Narrow"/>
                <w:b/>
                <w:bCs/>
                <w:i/>
                <w:iCs/>
                <w:sz w:val="18"/>
                <w:szCs w:val="18"/>
                <w:vertAlign w:val="superscript"/>
              </w:rPr>
              <w:t>2</w:t>
            </w:r>
          </w:p>
        </w:tc>
      </w:tr>
      <w:tr w:rsidR="00F07528" w:rsidRPr="007A63AA" w14:paraId="52D6F411" w14:textId="77777777" w:rsidTr="00921211">
        <w:trPr>
          <w:cantSplit/>
          <w:trHeight w:val="288"/>
        </w:trPr>
        <w:tc>
          <w:tcPr>
            <w:tcW w:w="1752" w:type="pct"/>
            <w:tcBorders>
              <w:top w:val="single" w:sz="4" w:space="0" w:color="auto"/>
              <w:left w:val="single" w:sz="12" w:space="0" w:color="auto"/>
              <w:bottom w:val="nil"/>
              <w:right w:val="nil"/>
            </w:tcBorders>
            <w:noWrap/>
            <w:vAlign w:val="center"/>
          </w:tcPr>
          <w:p w14:paraId="48AD7390" w14:textId="77777777" w:rsidR="007A63AA" w:rsidRPr="007A63AA" w:rsidDel="0097463A" w:rsidRDefault="007A63AA" w:rsidP="007A63AA">
            <w:pPr>
              <w:keepNext/>
              <w:spacing w:beforeLines="20" w:before="48" w:afterLines="20" w:after="48" w:line="264" w:lineRule="auto"/>
              <w:contextualSpacing/>
              <w:rPr>
                <w:rFonts w:ascii="Arial Narrow" w:hAnsi="Arial Narrow"/>
                <w:bCs/>
                <w:sz w:val="18"/>
                <w:szCs w:val="18"/>
              </w:rPr>
            </w:pPr>
            <w:r w:rsidRPr="007A63AA">
              <w:rPr>
                <w:rFonts w:ascii="Arial Narrow" w:hAnsi="Arial Narrow"/>
                <w:bCs/>
                <w:sz w:val="18"/>
                <w:szCs w:val="18"/>
              </w:rPr>
              <w:t>Rule Familiarization</w:t>
            </w:r>
          </w:p>
        </w:tc>
        <w:tc>
          <w:tcPr>
            <w:tcW w:w="588" w:type="pct"/>
            <w:tcBorders>
              <w:top w:val="single" w:sz="4" w:space="0" w:color="auto"/>
              <w:left w:val="nil"/>
              <w:bottom w:val="nil"/>
              <w:right w:val="nil"/>
            </w:tcBorders>
            <w:noWrap/>
            <w:vAlign w:val="center"/>
          </w:tcPr>
          <w:p w14:paraId="4137312E" w14:textId="77777777" w:rsidR="007A63AA" w:rsidRPr="007A63AA" w:rsidRDefault="007A63AA" w:rsidP="007A63AA">
            <w:pPr>
              <w:keepNext/>
              <w:spacing w:beforeLines="20" w:before="48" w:afterLines="20" w:after="48" w:line="264" w:lineRule="auto"/>
              <w:contextualSpacing/>
              <w:rPr>
                <w:rFonts w:ascii="Arial Narrow" w:hAnsi="Arial Narrow"/>
                <w:sz w:val="18"/>
                <w:szCs w:val="18"/>
              </w:rPr>
            </w:pPr>
          </w:p>
        </w:tc>
        <w:tc>
          <w:tcPr>
            <w:tcW w:w="646" w:type="pct"/>
            <w:tcBorders>
              <w:top w:val="single" w:sz="4" w:space="0" w:color="auto"/>
              <w:left w:val="nil"/>
              <w:bottom w:val="nil"/>
              <w:right w:val="nil"/>
            </w:tcBorders>
            <w:noWrap/>
            <w:vAlign w:val="center"/>
          </w:tcPr>
          <w:p w14:paraId="7D6691B1" w14:textId="77777777" w:rsidR="007A63AA" w:rsidRPr="007A63AA" w:rsidRDefault="007A63AA" w:rsidP="007A63AA">
            <w:pPr>
              <w:keepNext/>
              <w:spacing w:beforeLines="20" w:before="48" w:afterLines="20" w:after="48" w:line="264" w:lineRule="auto"/>
              <w:contextualSpacing/>
              <w:jc w:val="center"/>
              <w:rPr>
                <w:rFonts w:ascii="Arial Narrow" w:hAnsi="Arial Narrow"/>
                <w:b/>
                <w:bCs/>
                <w:sz w:val="18"/>
                <w:szCs w:val="18"/>
              </w:rPr>
            </w:pPr>
          </w:p>
        </w:tc>
        <w:tc>
          <w:tcPr>
            <w:tcW w:w="591" w:type="pct"/>
            <w:tcBorders>
              <w:top w:val="single" w:sz="4" w:space="0" w:color="auto"/>
              <w:left w:val="nil"/>
              <w:bottom w:val="nil"/>
              <w:right w:val="nil"/>
            </w:tcBorders>
            <w:noWrap/>
            <w:vAlign w:val="center"/>
          </w:tcPr>
          <w:p w14:paraId="62F0274A" w14:textId="77777777" w:rsidR="007A63AA" w:rsidRPr="007A63AA" w:rsidRDefault="007A63AA" w:rsidP="007A63AA">
            <w:pPr>
              <w:keepNext/>
              <w:spacing w:beforeLines="20" w:before="48" w:afterLines="20" w:after="48" w:line="264" w:lineRule="auto"/>
              <w:contextualSpacing/>
              <w:jc w:val="center"/>
              <w:rPr>
                <w:rFonts w:ascii="Arial Narrow" w:hAnsi="Arial Narrow"/>
                <w:b/>
                <w:bCs/>
                <w:sz w:val="18"/>
                <w:szCs w:val="18"/>
              </w:rPr>
            </w:pPr>
          </w:p>
        </w:tc>
        <w:tc>
          <w:tcPr>
            <w:tcW w:w="677" w:type="pct"/>
            <w:tcBorders>
              <w:top w:val="single" w:sz="4" w:space="0" w:color="auto"/>
              <w:left w:val="nil"/>
              <w:bottom w:val="nil"/>
              <w:right w:val="single" w:sz="4" w:space="0" w:color="auto"/>
            </w:tcBorders>
            <w:noWrap/>
            <w:vAlign w:val="center"/>
          </w:tcPr>
          <w:p w14:paraId="3220229E" w14:textId="77777777" w:rsidR="007A63AA" w:rsidRPr="007A63AA" w:rsidRDefault="007A63AA" w:rsidP="007A63AA">
            <w:pPr>
              <w:keepNext/>
              <w:spacing w:beforeLines="20" w:before="48" w:afterLines="20" w:after="48" w:line="264" w:lineRule="auto"/>
              <w:contextualSpacing/>
              <w:jc w:val="center"/>
              <w:rPr>
                <w:rFonts w:ascii="Arial Narrow" w:hAnsi="Arial Narrow"/>
                <w:b/>
                <w:bCs/>
                <w:sz w:val="18"/>
                <w:szCs w:val="18"/>
              </w:rPr>
            </w:pPr>
          </w:p>
        </w:tc>
        <w:tc>
          <w:tcPr>
            <w:tcW w:w="746" w:type="pct"/>
            <w:tcBorders>
              <w:top w:val="single" w:sz="4" w:space="0" w:color="auto"/>
              <w:left w:val="single" w:sz="4" w:space="0" w:color="auto"/>
              <w:bottom w:val="nil"/>
              <w:right w:val="single" w:sz="12" w:space="0" w:color="auto"/>
            </w:tcBorders>
            <w:noWrap/>
            <w:vAlign w:val="center"/>
          </w:tcPr>
          <w:p w14:paraId="15DCCDFC" w14:textId="77777777" w:rsidR="007A63AA" w:rsidRPr="007A63AA" w:rsidRDefault="007A63AA" w:rsidP="007A63AA">
            <w:pPr>
              <w:keepNext/>
              <w:spacing w:beforeLines="20" w:before="48" w:afterLines="20" w:after="48" w:line="264" w:lineRule="auto"/>
              <w:contextualSpacing/>
              <w:jc w:val="right"/>
              <w:rPr>
                <w:rFonts w:ascii="Arial Narrow" w:hAnsi="Arial Narrow"/>
                <w:b/>
                <w:bCs/>
                <w:sz w:val="18"/>
                <w:szCs w:val="18"/>
              </w:rPr>
            </w:pPr>
            <w:r w:rsidRPr="007A63AA">
              <w:rPr>
                <w:rFonts w:ascii="Arial Narrow" w:hAnsi="Arial Narrow"/>
                <w:bCs/>
                <w:sz w:val="18"/>
                <w:szCs w:val="18"/>
              </w:rPr>
              <w:t>$231.92</w:t>
            </w:r>
          </w:p>
        </w:tc>
      </w:tr>
      <w:tr w:rsidR="00F07528" w:rsidRPr="007A63AA" w14:paraId="47F231BF" w14:textId="77777777" w:rsidTr="00921211">
        <w:trPr>
          <w:cantSplit/>
          <w:trHeight w:val="288"/>
        </w:trPr>
        <w:tc>
          <w:tcPr>
            <w:tcW w:w="1752" w:type="pct"/>
            <w:tcBorders>
              <w:top w:val="nil"/>
              <w:left w:val="single" w:sz="12" w:space="0" w:color="auto"/>
              <w:bottom w:val="nil"/>
              <w:right w:val="nil"/>
            </w:tcBorders>
            <w:noWrap/>
            <w:vAlign w:val="center"/>
          </w:tcPr>
          <w:p w14:paraId="1B5E20DF" w14:textId="77777777" w:rsidR="007A63AA" w:rsidRPr="007A63AA" w:rsidDel="0097463A" w:rsidRDefault="007A63AA" w:rsidP="007A63AA">
            <w:pPr>
              <w:keepNext/>
              <w:spacing w:beforeLines="20" w:before="48" w:afterLines="20" w:after="48" w:line="264" w:lineRule="auto"/>
              <w:contextualSpacing/>
              <w:rPr>
                <w:rFonts w:ascii="Arial Narrow" w:hAnsi="Arial Narrow"/>
                <w:bCs/>
                <w:sz w:val="18"/>
                <w:szCs w:val="18"/>
              </w:rPr>
            </w:pPr>
            <w:r w:rsidRPr="007A63AA">
              <w:rPr>
                <w:rFonts w:ascii="Arial Narrow" w:hAnsi="Arial Narrow"/>
                <w:bCs/>
                <w:sz w:val="18"/>
                <w:szCs w:val="18"/>
              </w:rPr>
              <w:t>Compliance Determination</w:t>
            </w:r>
          </w:p>
        </w:tc>
        <w:tc>
          <w:tcPr>
            <w:tcW w:w="588" w:type="pct"/>
            <w:tcBorders>
              <w:top w:val="nil"/>
              <w:left w:val="nil"/>
              <w:bottom w:val="nil"/>
              <w:right w:val="nil"/>
            </w:tcBorders>
            <w:noWrap/>
            <w:vAlign w:val="center"/>
          </w:tcPr>
          <w:p w14:paraId="051FC5AF" w14:textId="77777777" w:rsidR="007A63AA" w:rsidRPr="007A63AA" w:rsidRDefault="007A63AA" w:rsidP="007A63AA">
            <w:pPr>
              <w:keepNext/>
              <w:spacing w:beforeLines="20" w:before="48" w:afterLines="20" w:after="48" w:line="264" w:lineRule="auto"/>
              <w:contextualSpacing/>
              <w:rPr>
                <w:rFonts w:ascii="Arial Narrow" w:hAnsi="Arial Narrow"/>
                <w:sz w:val="18"/>
                <w:szCs w:val="18"/>
              </w:rPr>
            </w:pPr>
          </w:p>
        </w:tc>
        <w:tc>
          <w:tcPr>
            <w:tcW w:w="646" w:type="pct"/>
            <w:tcBorders>
              <w:top w:val="nil"/>
              <w:left w:val="nil"/>
              <w:bottom w:val="nil"/>
              <w:right w:val="nil"/>
            </w:tcBorders>
            <w:noWrap/>
            <w:vAlign w:val="center"/>
          </w:tcPr>
          <w:p w14:paraId="2EEF86AB" w14:textId="77777777" w:rsidR="007A63AA" w:rsidRPr="007A63AA" w:rsidRDefault="007A63AA" w:rsidP="007A63AA">
            <w:pPr>
              <w:keepNext/>
              <w:spacing w:beforeLines="20" w:before="48" w:afterLines="20" w:after="48" w:line="264" w:lineRule="auto"/>
              <w:contextualSpacing/>
              <w:jc w:val="center"/>
              <w:rPr>
                <w:rFonts w:ascii="Arial Narrow" w:hAnsi="Arial Narrow"/>
                <w:b/>
                <w:bCs/>
                <w:sz w:val="18"/>
                <w:szCs w:val="18"/>
              </w:rPr>
            </w:pPr>
          </w:p>
        </w:tc>
        <w:tc>
          <w:tcPr>
            <w:tcW w:w="591" w:type="pct"/>
            <w:tcBorders>
              <w:top w:val="nil"/>
              <w:left w:val="nil"/>
              <w:bottom w:val="nil"/>
              <w:right w:val="nil"/>
            </w:tcBorders>
            <w:noWrap/>
            <w:vAlign w:val="center"/>
          </w:tcPr>
          <w:p w14:paraId="360E1B86" w14:textId="77777777" w:rsidR="007A63AA" w:rsidRPr="007A63AA" w:rsidRDefault="007A63AA" w:rsidP="007A63AA">
            <w:pPr>
              <w:keepNext/>
              <w:spacing w:beforeLines="20" w:before="48" w:afterLines="20" w:after="48" w:line="264" w:lineRule="auto"/>
              <w:contextualSpacing/>
              <w:jc w:val="center"/>
              <w:rPr>
                <w:rFonts w:ascii="Arial Narrow" w:hAnsi="Arial Narrow"/>
                <w:b/>
                <w:bCs/>
                <w:sz w:val="18"/>
                <w:szCs w:val="18"/>
              </w:rPr>
            </w:pPr>
          </w:p>
        </w:tc>
        <w:tc>
          <w:tcPr>
            <w:tcW w:w="677" w:type="pct"/>
            <w:tcBorders>
              <w:top w:val="nil"/>
              <w:left w:val="nil"/>
              <w:bottom w:val="nil"/>
              <w:right w:val="single" w:sz="4" w:space="0" w:color="auto"/>
            </w:tcBorders>
            <w:noWrap/>
            <w:vAlign w:val="center"/>
          </w:tcPr>
          <w:p w14:paraId="5642AF82" w14:textId="77777777" w:rsidR="007A63AA" w:rsidRPr="007A63AA" w:rsidRDefault="007A63AA" w:rsidP="007A63AA">
            <w:pPr>
              <w:keepNext/>
              <w:spacing w:beforeLines="20" w:before="48" w:afterLines="20" w:after="48" w:line="264" w:lineRule="auto"/>
              <w:contextualSpacing/>
              <w:jc w:val="center"/>
              <w:rPr>
                <w:rFonts w:ascii="Arial Narrow" w:hAnsi="Arial Narrow"/>
                <w:b/>
                <w:bCs/>
                <w:sz w:val="18"/>
                <w:szCs w:val="18"/>
              </w:rPr>
            </w:pPr>
          </w:p>
        </w:tc>
        <w:tc>
          <w:tcPr>
            <w:tcW w:w="746" w:type="pct"/>
            <w:tcBorders>
              <w:top w:val="nil"/>
              <w:left w:val="single" w:sz="4" w:space="0" w:color="auto"/>
              <w:bottom w:val="nil"/>
              <w:right w:val="single" w:sz="12" w:space="0" w:color="auto"/>
            </w:tcBorders>
            <w:noWrap/>
            <w:vAlign w:val="center"/>
          </w:tcPr>
          <w:p w14:paraId="5753E12C" w14:textId="77777777" w:rsidR="007A63AA" w:rsidRPr="007A63AA" w:rsidRDefault="007A63AA" w:rsidP="007A63AA">
            <w:pPr>
              <w:keepNext/>
              <w:spacing w:beforeLines="20" w:before="48" w:afterLines="20" w:after="48" w:line="264" w:lineRule="auto"/>
              <w:contextualSpacing/>
              <w:jc w:val="right"/>
              <w:rPr>
                <w:rFonts w:ascii="Arial Narrow" w:hAnsi="Arial Narrow"/>
                <w:b/>
                <w:bCs/>
                <w:sz w:val="18"/>
                <w:szCs w:val="18"/>
              </w:rPr>
            </w:pPr>
            <w:r w:rsidRPr="007A63AA">
              <w:rPr>
                <w:rFonts w:ascii="Arial Narrow" w:hAnsi="Arial Narrow"/>
                <w:bCs/>
                <w:sz w:val="18"/>
                <w:szCs w:val="18"/>
              </w:rPr>
              <w:t>$0.00</w:t>
            </w:r>
          </w:p>
        </w:tc>
      </w:tr>
      <w:tr w:rsidR="00F07528" w:rsidRPr="007A63AA" w14:paraId="12B733D0" w14:textId="77777777" w:rsidTr="00921211">
        <w:trPr>
          <w:cantSplit/>
          <w:trHeight w:val="288"/>
        </w:trPr>
        <w:tc>
          <w:tcPr>
            <w:tcW w:w="1752" w:type="pct"/>
            <w:tcBorders>
              <w:top w:val="nil"/>
              <w:left w:val="single" w:sz="12" w:space="0" w:color="auto"/>
              <w:bottom w:val="single" w:sz="4" w:space="0" w:color="auto"/>
              <w:right w:val="nil"/>
            </w:tcBorders>
            <w:noWrap/>
            <w:vAlign w:val="center"/>
          </w:tcPr>
          <w:p w14:paraId="316B4148" w14:textId="77777777" w:rsidR="007A63AA" w:rsidRPr="007A63AA" w:rsidDel="0097463A" w:rsidRDefault="007A63AA" w:rsidP="007A63AA">
            <w:pPr>
              <w:keepNext/>
              <w:spacing w:beforeLines="20" w:before="48" w:afterLines="20" w:after="48" w:line="264" w:lineRule="auto"/>
              <w:contextualSpacing/>
              <w:rPr>
                <w:rFonts w:ascii="Arial Narrow" w:hAnsi="Arial Narrow"/>
                <w:bCs/>
                <w:sz w:val="18"/>
                <w:szCs w:val="18"/>
              </w:rPr>
            </w:pPr>
            <w:r w:rsidRPr="007A63AA">
              <w:rPr>
                <w:rFonts w:ascii="Arial Narrow" w:hAnsi="Arial Narrow"/>
                <w:bCs/>
                <w:sz w:val="18"/>
                <w:szCs w:val="18"/>
              </w:rPr>
              <w:t>Form Completion</w:t>
            </w:r>
          </w:p>
        </w:tc>
        <w:tc>
          <w:tcPr>
            <w:tcW w:w="588" w:type="pct"/>
            <w:tcBorders>
              <w:top w:val="nil"/>
              <w:left w:val="nil"/>
              <w:bottom w:val="single" w:sz="4" w:space="0" w:color="auto"/>
              <w:right w:val="nil"/>
            </w:tcBorders>
            <w:noWrap/>
            <w:vAlign w:val="center"/>
          </w:tcPr>
          <w:p w14:paraId="7AB43946" w14:textId="77777777" w:rsidR="007A63AA" w:rsidRPr="007A63AA" w:rsidRDefault="007A63AA" w:rsidP="007A63AA">
            <w:pPr>
              <w:keepNext/>
              <w:spacing w:beforeLines="20" w:before="48" w:afterLines="20" w:after="48" w:line="264" w:lineRule="auto"/>
              <w:contextualSpacing/>
              <w:rPr>
                <w:rFonts w:ascii="Arial Narrow" w:hAnsi="Arial Narrow"/>
                <w:sz w:val="18"/>
                <w:szCs w:val="18"/>
              </w:rPr>
            </w:pPr>
          </w:p>
        </w:tc>
        <w:tc>
          <w:tcPr>
            <w:tcW w:w="646" w:type="pct"/>
            <w:tcBorders>
              <w:top w:val="nil"/>
              <w:left w:val="nil"/>
              <w:bottom w:val="single" w:sz="4" w:space="0" w:color="auto"/>
              <w:right w:val="nil"/>
            </w:tcBorders>
            <w:noWrap/>
            <w:vAlign w:val="center"/>
          </w:tcPr>
          <w:p w14:paraId="6F0635A0" w14:textId="77777777" w:rsidR="007A63AA" w:rsidRPr="007A63AA" w:rsidRDefault="007A63AA" w:rsidP="007A63AA">
            <w:pPr>
              <w:keepNext/>
              <w:spacing w:beforeLines="20" w:before="48" w:afterLines="20" w:after="48" w:line="264" w:lineRule="auto"/>
              <w:contextualSpacing/>
              <w:jc w:val="center"/>
              <w:rPr>
                <w:rFonts w:ascii="Arial Narrow" w:hAnsi="Arial Narrow"/>
                <w:b/>
                <w:bCs/>
                <w:sz w:val="18"/>
                <w:szCs w:val="18"/>
              </w:rPr>
            </w:pPr>
          </w:p>
        </w:tc>
        <w:tc>
          <w:tcPr>
            <w:tcW w:w="591" w:type="pct"/>
            <w:tcBorders>
              <w:top w:val="nil"/>
              <w:left w:val="nil"/>
              <w:bottom w:val="single" w:sz="4" w:space="0" w:color="auto"/>
              <w:right w:val="nil"/>
            </w:tcBorders>
            <w:noWrap/>
            <w:vAlign w:val="center"/>
          </w:tcPr>
          <w:p w14:paraId="5C443D6D" w14:textId="77777777" w:rsidR="007A63AA" w:rsidRPr="007A63AA" w:rsidRDefault="007A63AA" w:rsidP="007A63AA">
            <w:pPr>
              <w:keepNext/>
              <w:spacing w:beforeLines="20" w:before="48" w:afterLines="20" w:after="48" w:line="264" w:lineRule="auto"/>
              <w:contextualSpacing/>
              <w:jc w:val="center"/>
              <w:rPr>
                <w:rFonts w:ascii="Arial Narrow" w:hAnsi="Arial Narrow"/>
                <w:b/>
                <w:bCs/>
                <w:sz w:val="18"/>
                <w:szCs w:val="18"/>
              </w:rPr>
            </w:pPr>
          </w:p>
        </w:tc>
        <w:tc>
          <w:tcPr>
            <w:tcW w:w="677" w:type="pct"/>
            <w:tcBorders>
              <w:top w:val="nil"/>
              <w:left w:val="nil"/>
              <w:bottom w:val="single" w:sz="4" w:space="0" w:color="auto"/>
              <w:right w:val="single" w:sz="4" w:space="0" w:color="auto"/>
            </w:tcBorders>
            <w:noWrap/>
            <w:vAlign w:val="center"/>
          </w:tcPr>
          <w:p w14:paraId="40F553A4" w14:textId="77777777" w:rsidR="007A63AA" w:rsidRPr="007A63AA" w:rsidRDefault="007A63AA" w:rsidP="007A63AA">
            <w:pPr>
              <w:keepNext/>
              <w:spacing w:beforeLines="20" w:before="48" w:afterLines="20" w:after="48" w:line="264" w:lineRule="auto"/>
              <w:contextualSpacing/>
              <w:jc w:val="center"/>
              <w:rPr>
                <w:rFonts w:ascii="Arial Narrow" w:hAnsi="Arial Narrow"/>
                <w:b/>
                <w:bCs/>
                <w:sz w:val="18"/>
                <w:szCs w:val="18"/>
              </w:rPr>
            </w:pPr>
          </w:p>
        </w:tc>
        <w:tc>
          <w:tcPr>
            <w:tcW w:w="746" w:type="pct"/>
            <w:tcBorders>
              <w:top w:val="nil"/>
              <w:left w:val="single" w:sz="4" w:space="0" w:color="auto"/>
              <w:bottom w:val="single" w:sz="4" w:space="0" w:color="auto"/>
              <w:right w:val="single" w:sz="12" w:space="0" w:color="auto"/>
            </w:tcBorders>
            <w:noWrap/>
            <w:vAlign w:val="center"/>
          </w:tcPr>
          <w:p w14:paraId="1E969AA3" w14:textId="61F41A8B" w:rsidR="007A63AA" w:rsidRPr="007A63AA" w:rsidRDefault="007A63AA" w:rsidP="00134135">
            <w:pPr>
              <w:keepNext/>
              <w:spacing w:beforeLines="20" w:before="48" w:afterLines="20" w:after="48" w:line="264" w:lineRule="auto"/>
              <w:contextualSpacing/>
              <w:jc w:val="right"/>
              <w:rPr>
                <w:rFonts w:ascii="Arial Narrow" w:hAnsi="Arial Narrow"/>
                <w:b/>
                <w:bCs/>
                <w:sz w:val="18"/>
                <w:szCs w:val="18"/>
              </w:rPr>
            </w:pPr>
            <w:r w:rsidRPr="007A63AA">
              <w:rPr>
                <w:rFonts w:ascii="Arial Narrow" w:hAnsi="Arial Narrow"/>
                <w:bCs/>
                <w:sz w:val="18"/>
                <w:szCs w:val="18"/>
              </w:rPr>
              <w:t>$2,</w:t>
            </w:r>
            <w:r w:rsidR="001D4BD9">
              <w:rPr>
                <w:rFonts w:ascii="Arial Narrow" w:hAnsi="Arial Narrow"/>
                <w:bCs/>
                <w:sz w:val="18"/>
                <w:szCs w:val="18"/>
              </w:rPr>
              <w:t>406.78</w:t>
            </w:r>
          </w:p>
        </w:tc>
      </w:tr>
      <w:tr w:rsidR="00F07528" w:rsidRPr="007A63AA" w14:paraId="48A3A173" w14:textId="77777777" w:rsidTr="00921211">
        <w:trPr>
          <w:cantSplit/>
          <w:trHeight w:val="288"/>
        </w:trPr>
        <w:tc>
          <w:tcPr>
            <w:tcW w:w="3577" w:type="pct"/>
            <w:gridSpan w:val="4"/>
            <w:tcBorders>
              <w:top w:val="single" w:sz="4" w:space="0" w:color="auto"/>
              <w:left w:val="single" w:sz="12" w:space="0" w:color="auto"/>
              <w:bottom w:val="nil"/>
              <w:right w:val="nil"/>
            </w:tcBorders>
            <w:noWrap/>
            <w:vAlign w:val="center"/>
          </w:tcPr>
          <w:p w14:paraId="194B68D0" w14:textId="0B2A9F24" w:rsidR="007A63AA" w:rsidRPr="007A63AA" w:rsidRDefault="007A63AA">
            <w:pPr>
              <w:keepNext/>
              <w:spacing w:beforeLines="20" w:before="48" w:afterLines="20" w:after="48" w:line="264" w:lineRule="auto"/>
              <w:contextualSpacing/>
              <w:rPr>
                <w:rFonts w:ascii="Arial Narrow" w:hAnsi="Arial Narrow"/>
                <w:bCs/>
                <w:sz w:val="18"/>
                <w:szCs w:val="18"/>
              </w:rPr>
            </w:pPr>
            <w:r w:rsidRPr="007A63AA">
              <w:rPr>
                <w:rFonts w:ascii="Arial Narrow" w:hAnsi="Arial Narrow"/>
                <w:bCs/>
                <w:sz w:val="18"/>
                <w:szCs w:val="18"/>
              </w:rPr>
              <w:t>Average Cost per Company without Recordkeeping</w:t>
            </w:r>
          </w:p>
        </w:tc>
        <w:tc>
          <w:tcPr>
            <w:tcW w:w="677" w:type="pct"/>
            <w:tcBorders>
              <w:top w:val="single" w:sz="4" w:space="0" w:color="auto"/>
              <w:left w:val="nil"/>
              <w:bottom w:val="nil"/>
              <w:right w:val="single" w:sz="4" w:space="0" w:color="auto"/>
            </w:tcBorders>
            <w:noWrap/>
            <w:vAlign w:val="center"/>
          </w:tcPr>
          <w:p w14:paraId="7D00BA84" w14:textId="77777777" w:rsidR="007A63AA" w:rsidRPr="007A63AA" w:rsidRDefault="007A63AA" w:rsidP="007A63AA">
            <w:pPr>
              <w:keepNext/>
              <w:spacing w:beforeLines="20" w:before="48" w:afterLines="20" w:after="48" w:line="264" w:lineRule="auto"/>
              <w:contextualSpacing/>
              <w:jc w:val="center"/>
              <w:rPr>
                <w:rFonts w:ascii="Arial Narrow" w:hAnsi="Arial Narrow"/>
                <w:bCs/>
                <w:sz w:val="18"/>
                <w:szCs w:val="18"/>
              </w:rPr>
            </w:pPr>
          </w:p>
        </w:tc>
        <w:tc>
          <w:tcPr>
            <w:tcW w:w="746" w:type="pct"/>
            <w:tcBorders>
              <w:top w:val="single" w:sz="4" w:space="0" w:color="auto"/>
              <w:left w:val="single" w:sz="4" w:space="0" w:color="auto"/>
              <w:bottom w:val="nil"/>
              <w:right w:val="single" w:sz="12" w:space="0" w:color="auto"/>
            </w:tcBorders>
            <w:noWrap/>
            <w:vAlign w:val="center"/>
          </w:tcPr>
          <w:p w14:paraId="20005AAF" w14:textId="6CAB3756" w:rsidR="007A63AA" w:rsidRPr="007A63AA" w:rsidRDefault="007A63AA" w:rsidP="00134135">
            <w:pPr>
              <w:keepNext/>
              <w:spacing w:beforeLines="20" w:before="48" w:afterLines="20" w:after="48" w:line="264" w:lineRule="auto"/>
              <w:contextualSpacing/>
              <w:jc w:val="right"/>
              <w:rPr>
                <w:rFonts w:ascii="Arial Narrow" w:hAnsi="Arial Narrow"/>
                <w:bCs/>
                <w:sz w:val="18"/>
                <w:szCs w:val="18"/>
              </w:rPr>
            </w:pPr>
            <w:r w:rsidRPr="007A63AA">
              <w:rPr>
                <w:rFonts w:ascii="Arial Narrow" w:hAnsi="Arial Narrow"/>
                <w:bCs/>
                <w:sz w:val="18"/>
                <w:szCs w:val="18"/>
              </w:rPr>
              <w:t>$2,</w:t>
            </w:r>
            <w:r w:rsidR="001D4BD9">
              <w:rPr>
                <w:rFonts w:ascii="Arial Narrow" w:hAnsi="Arial Narrow"/>
                <w:bCs/>
                <w:sz w:val="18"/>
                <w:szCs w:val="18"/>
              </w:rPr>
              <w:t>638.70</w:t>
            </w:r>
          </w:p>
        </w:tc>
      </w:tr>
      <w:tr w:rsidR="00F07528" w:rsidRPr="007A63AA" w14:paraId="4AE6DA03" w14:textId="77777777" w:rsidTr="00921211">
        <w:trPr>
          <w:cantSplit/>
          <w:trHeight w:val="288"/>
        </w:trPr>
        <w:tc>
          <w:tcPr>
            <w:tcW w:w="1752" w:type="pct"/>
            <w:tcBorders>
              <w:top w:val="nil"/>
              <w:left w:val="single" w:sz="12" w:space="0" w:color="auto"/>
              <w:bottom w:val="single" w:sz="12" w:space="0" w:color="auto"/>
              <w:right w:val="nil"/>
            </w:tcBorders>
            <w:noWrap/>
            <w:vAlign w:val="center"/>
          </w:tcPr>
          <w:p w14:paraId="48758342" w14:textId="77777777" w:rsidR="007A63AA" w:rsidRPr="007A63AA" w:rsidDel="0097463A" w:rsidRDefault="007A63AA" w:rsidP="007A63AA">
            <w:pPr>
              <w:keepNext/>
              <w:spacing w:beforeLines="20" w:before="48" w:afterLines="20" w:after="48" w:line="264" w:lineRule="auto"/>
              <w:contextualSpacing/>
              <w:rPr>
                <w:rFonts w:ascii="Arial Narrow" w:hAnsi="Arial Narrow"/>
                <w:bCs/>
                <w:i/>
                <w:sz w:val="18"/>
                <w:szCs w:val="18"/>
              </w:rPr>
            </w:pPr>
            <w:r w:rsidRPr="007A63AA">
              <w:rPr>
                <w:rFonts w:ascii="Arial Narrow" w:hAnsi="Arial Narrow"/>
                <w:bCs/>
                <w:i/>
                <w:sz w:val="18"/>
                <w:szCs w:val="18"/>
              </w:rPr>
              <w:t>Recordkeeping</w:t>
            </w:r>
          </w:p>
        </w:tc>
        <w:tc>
          <w:tcPr>
            <w:tcW w:w="588" w:type="pct"/>
            <w:tcBorders>
              <w:top w:val="nil"/>
              <w:left w:val="nil"/>
              <w:bottom w:val="single" w:sz="12" w:space="0" w:color="auto"/>
              <w:right w:val="nil"/>
            </w:tcBorders>
            <w:noWrap/>
            <w:vAlign w:val="center"/>
          </w:tcPr>
          <w:p w14:paraId="5F394395" w14:textId="77777777" w:rsidR="007A63AA" w:rsidRPr="007A63AA" w:rsidRDefault="007A63AA" w:rsidP="007A63AA">
            <w:pPr>
              <w:keepNext/>
              <w:spacing w:beforeLines="20" w:before="48" w:afterLines="20" w:after="48" w:line="264" w:lineRule="auto"/>
              <w:contextualSpacing/>
              <w:rPr>
                <w:rFonts w:ascii="Arial Narrow" w:hAnsi="Arial Narrow"/>
                <w:sz w:val="18"/>
                <w:szCs w:val="18"/>
              </w:rPr>
            </w:pPr>
          </w:p>
        </w:tc>
        <w:tc>
          <w:tcPr>
            <w:tcW w:w="646" w:type="pct"/>
            <w:tcBorders>
              <w:top w:val="nil"/>
              <w:left w:val="nil"/>
              <w:bottom w:val="single" w:sz="12" w:space="0" w:color="auto"/>
              <w:right w:val="nil"/>
            </w:tcBorders>
            <w:noWrap/>
            <w:vAlign w:val="center"/>
          </w:tcPr>
          <w:p w14:paraId="32E28558" w14:textId="77777777" w:rsidR="007A63AA" w:rsidRPr="007A63AA" w:rsidRDefault="007A63AA" w:rsidP="007A63AA">
            <w:pPr>
              <w:keepNext/>
              <w:spacing w:beforeLines="20" w:before="48" w:afterLines="20" w:after="48" w:line="264" w:lineRule="auto"/>
              <w:contextualSpacing/>
              <w:jc w:val="center"/>
              <w:rPr>
                <w:rFonts w:ascii="Arial Narrow" w:hAnsi="Arial Narrow"/>
                <w:b/>
                <w:bCs/>
                <w:sz w:val="18"/>
                <w:szCs w:val="18"/>
              </w:rPr>
            </w:pPr>
          </w:p>
        </w:tc>
        <w:tc>
          <w:tcPr>
            <w:tcW w:w="591" w:type="pct"/>
            <w:tcBorders>
              <w:top w:val="nil"/>
              <w:left w:val="nil"/>
              <w:bottom w:val="single" w:sz="12" w:space="0" w:color="auto"/>
              <w:right w:val="nil"/>
            </w:tcBorders>
            <w:noWrap/>
            <w:vAlign w:val="center"/>
          </w:tcPr>
          <w:p w14:paraId="37224F1F" w14:textId="77777777" w:rsidR="007A63AA" w:rsidRPr="007A63AA" w:rsidRDefault="007A63AA" w:rsidP="007A63AA">
            <w:pPr>
              <w:keepNext/>
              <w:spacing w:beforeLines="20" w:before="48" w:afterLines="20" w:after="48" w:line="264" w:lineRule="auto"/>
              <w:contextualSpacing/>
              <w:jc w:val="center"/>
              <w:rPr>
                <w:rFonts w:ascii="Arial Narrow" w:hAnsi="Arial Narrow"/>
                <w:b/>
                <w:bCs/>
                <w:sz w:val="18"/>
                <w:szCs w:val="18"/>
              </w:rPr>
            </w:pPr>
          </w:p>
        </w:tc>
        <w:tc>
          <w:tcPr>
            <w:tcW w:w="677" w:type="pct"/>
            <w:tcBorders>
              <w:top w:val="nil"/>
              <w:left w:val="nil"/>
              <w:bottom w:val="single" w:sz="12" w:space="0" w:color="auto"/>
              <w:right w:val="single" w:sz="4" w:space="0" w:color="auto"/>
            </w:tcBorders>
            <w:noWrap/>
            <w:vAlign w:val="center"/>
          </w:tcPr>
          <w:p w14:paraId="3A421D0C" w14:textId="77777777" w:rsidR="007A63AA" w:rsidRPr="007A63AA" w:rsidRDefault="007A63AA" w:rsidP="007A63AA">
            <w:pPr>
              <w:keepNext/>
              <w:spacing w:beforeLines="20" w:before="48" w:afterLines="20" w:after="48" w:line="264" w:lineRule="auto"/>
              <w:contextualSpacing/>
              <w:jc w:val="center"/>
              <w:rPr>
                <w:rFonts w:ascii="Arial Narrow" w:hAnsi="Arial Narrow"/>
                <w:b/>
                <w:bCs/>
                <w:sz w:val="18"/>
                <w:szCs w:val="18"/>
              </w:rPr>
            </w:pPr>
          </w:p>
        </w:tc>
        <w:tc>
          <w:tcPr>
            <w:tcW w:w="746" w:type="pct"/>
            <w:tcBorders>
              <w:top w:val="nil"/>
              <w:left w:val="single" w:sz="4" w:space="0" w:color="auto"/>
              <w:bottom w:val="single" w:sz="12" w:space="0" w:color="auto"/>
              <w:right w:val="single" w:sz="12" w:space="0" w:color="auto"/>
            </w:tcBorders>
            <w:noWrap/>
            <w:vAlign w:val="center"/>
          </w:tcPr>
          <w:p w14:paraId="15612576" w14:textId="77777777" w:rsidR="007A63AA" w:rsidRPr="007A63AA" w:rsidRDefault="007A63AA" w:rsidP="007A63AA">
            <w:pPr>
              <w:keepNext/>
              <w:spacing w:beforeLines="20" w:before="48" w:afterLines="20" w:after="48" w:line="264" w:lineRule="auto"/>
              <w:contextualSpacing/>
              <w:jc w:val="right"/>
              <w:rPr>
                <w:rFonts w:ascii="Arial Narrow" w:hAnsi="Arial Narrow"/>
                <w:b/>
                <w:bCs/>
                <w:sz w:val="18"/>
                <w:szCs w:val="18"/>
              </w:rPr>
            </w:pPr>
            <w:r w:rsidRPr="007A63AA">
              <w:rPr>
                <w:rFonts w:ascii="Arial Narrow" w:hAnsi="Arial Narrow"/>
                <w:bCs/>
                <w:sz w:val="18"/>
                <w:szCs w:val="18"/>
              </w:rPr>
              <w:t>$2.19</w:t>
            </w:r>
          </w:p>
        </w:tc>
      </w:tr>
      <w:tr w:rsidR="00F07528" w:rsidRPr="007A63AA" w14:paraId="4ABA2162" w14:textId="77777777" w:rsidTr="00921211">
        <w:trPr>
          <w:cantSplit/>
          <w:trHeight w:val="288"/>
        </w:trPr>
        <w:tc>
          <w:tcPr>
            <w:tcW w:w="3577" w:type="pct"/>
            <w:gridSpan w:val="4"/>
            <w:tcBorders>
              <w:top w:val="single" w:sz="12" w:space="0" w:color="auto"/>
              <w:left w:val="single" w:sz="12" w:space="0" w:color="auto"/>
              <w:bottom w:val="single" w:sz="12" w:space="0" w:color="auto"/>
              <w:right w:val="nil"/>
            </w:tcBorders>
            <w:noWrap/>
            <w:vAlign w:val="center"/>
          </w:tcPr>
          <w:p w14:paraId="15467D22" w14:textId="7C864F1C" w:rsidR="007A63AA" w:rsidRPr="007A63AA" w:rsidRDefault="007A63AA">
            <w:pPr>
              <w:keepNext/>
              <w:spacing w:beforeLines="20" w:before="48" w:afterLines="20" w:after="48" w:line="264" w:lineRule="auto"/>
              <w:contextualSpacing/>
              <w:rPr>
                <w:rFonts w:ascii="Arial Narrow" w:hAnsi="Arial Narrow"/>
                <w:bCs/>
                <w:sz w:val="18"/>
                <w:szCs w:val="18"/>
              </w:rPr>
            </w:pPr>
            <w:r w:rsidRPr="007A63AA">
              <w:rPr>
                <w:rFonts w:ascii="Arial Narrow" w:hAnsi="Arial Narrow"/>
                <w:b/>
                <w:bCs/>
                <w:color w:val="000000"/>
                <w:sz w:val="18"/>
                <w:szCs w:val="18"/>
              </w:rPr>
              <w:t xml:space="preserve">TOTAL, </w:t>
            </w:r>
            <w:r w:rsidR="0070495C">
              <w:rPr>
                <w:rFonts w:ascii="Arial Narrow" w:hAnsi="Arial Narrow"/>
                <w:b/>
                <w:bCs/>
                <w:color w:val="000000"/>
                <w:sz w:val="18"/>
                <w:szCs w:val="18"/>
              </w:rPr>
              <w:t>Company-Level</w:t>
            </w:r>
            <w:r w:rsidR="0070495C" w:rsidRPr="007A63AA">
              <w:rPr>
                <w:rFonts w:ascii="Arial Narrow" w:hAnsi="Arial Narrow"/>
                <w:b/>
                <w:bCs/>
                <w:color w:val="000000"/>
                <w:sz w:val="18"/>
                <w:szCs w:val="18"/>
              </w:rPr>
              <w:t xml:space="preserve"> </w:t>
            </w:r>
            <w:r w:rsidRPr="007A63AA">
              <w:rPr>
                <w:rFonts w:ascii="Arial Narrow" w:hAnsi="Arial Narrow"/>
                <w:b/>
                <w:bCs/>
                <w:color w:val="000000"/>
                <w:sz w:val="18"/>
                <w:szCs w:val="18"/>
              </w:rPr>
              <w:t>Unit Cost with Full Submission</w:t>
            </w:r>
            <w:r w:rsidR="0070495C">
              <w:rPr>
                <w:rFonts w:ascii="Arial Narrow" w:hAnsi="Arial Narrow"/>
                <w:b/>
                <w:bCs/>
                <w:color w:val="000000"/>
                <w:sz w:val="18"/>
                <w:szCs w:val="18"/>
              </w:rPr>
              <w:t xml:space="preserve"> of Substantiation</w:t>
            </w:r>
          </w:p>
        </w:tc>
        <w:tc>
          <w:tcPr>
            <w:tcW w:w="677" w:type="pct"/>
            <w:tcBorders>
              <w:top w:val="single" w:sz="12" w:space="0" w:color="auto"/>
              <w:left w:val="nil"/>
              <w:bottom w:val="single" w:sz="12" w:space="0" w:color="auto"/>
              <w:right w:val="nil"/>
            </w:tcBorders>
            <w:noWrap/>
            <w:vAlign w:val="center"/>
          </w:tcPr>
          <w:p w14:paraId="4C3B453C" w14:textId="77777777" w:rsidR="007A63AA" w:rsidRPr="007A63AA" w:rsidRDefault="007A63AA" w:rsidP="007A63AA">
            <w:pPr>
              <w:keepNext/>
              <w:spacing w:beforeLines="20" w:before="48" w:afterLines="20" w:after="48" w:line="264" w:lineRule="auto"/>
              <w:contextualSpacing/>
              <w:jc w:val="center"/>
              <w:rPr>
                <w:rFonts w:ascii="Arial Narrow" w:hAnsi="Arial Narrow"/>
                <w:bCs/>
                <w:sz w:val="18"/>
                <w:szCs w:val="18"/>
              </w:rPr>
            </w:pPr>
          </w:p>
        </w:tc>
        <w:tc>
          <w:tcPr>
            <w:tcW w:w="746" w:type="pct"/>
            <w:tcBorders>
              <w:top w:val="single" w:sz="12" w:space="0" w:color="auto"/>
              <w:left w:val="nil"/>
              <w:bottom w:val="single" w:sz="12" w:space="0" w:color="auto"/>
              <w:right w:val="single" w:sz="12" w:space="0" w:color="auto"/>
            </w:tcBorders>
            <w:shd w:val="clear" w:color="auto" w:fill="BABEC0"/>
            <w:noWrap/>
            <w:vAlign w:val="center"/>
          </w:tcPr>
          <w:p w14:paraId="18DBFE5E" w14:textId="4A311B79" w:rsidR="007A63AA" w:rsidRPr="007A63AA" w:rsidRDefault="007A63AA" w:rsidP="00134135">
            <w:pPr>
              <w:keepNext/>
              <w:spacing w:beforeLines="20" w:before="48" w:afterLines="20" w:after="48" w:line="264" w:lineRule="auto"/>
              <w:contextualSpacing/>
              <w:jc w:val="right"/>
              <w:rPr>
                <w:rFonts w:ascii="Arial Narrow" w:hAnsi="Arial Narrow"/>
                <w:b/>
                <w:bCs/>
                <w:sz w:val="18"/>
                <w:szCs w:val="18"/>
              </w:rPr>
            </w:pPr>
            <w:r w:rsidRPr="007A63AA">
              <w:rPr>
                <w:rFonts w:ascii="Arial Narrow" w:hAnsi="Arial Narrow"/>
                <w:b/>
                <w:bCs/>
                <w:sz w:val="18"/>
                <w:szCs w:val="18"/>
              </w:rPr>
              <w:t>$2,</w:t>
            </w:r>
            <w:r w:rsidR="001D4BD9">
              <w:rPr>
                <w:rFonts w:ascii="Arial Narrow" w:hAnsi="Arial Narrow"/>
                <w:b/>
                <w:bCs/>
                <w:sz w:val="18"/>
                <w:szCs w:val="18"/>
              </w:rPr>
              <w:t>640.89</w:t>
            </w:r>
          </w:p>
        </w:tc>
      </w:tr>
      <w:tr w:rsidR="00F07528" w:rsidRPr="001F17A3" w14:paraId="656BD2C6" w14:textId="77777777" w:rsidTr="00921211">
        <w:trPr>
          <w:cantSplit/>
          <w:trHeight w:val="20"/>
        </w:trPr>
        <w:tc>
          <w:tcPr>
            <w:tcW w:w="3577" w:type="pct"/>
            <w:gridSpan w:val="4"/>
            <w:tcBorders>
              <w:top w:val="single" w:sz="12" w:space="0" w:color="auto"/>
              <w:left w:val="single" w:sz="12" w:space="0" w:color="auto"/>
              <w:bottom w:val="nil"/>
              <w:right w:val="nil"/>
            </w:tcBorders>
            <w:noWrap/>
            <w:vAlign w:val="center"/>
          </w:tcPr>
          <w:p w14:paraId="619F8025" w14:textId="5041CBF6" w:rsidR="007A63AA" w:rsidRPr="007161A0" w:rsidRDefault="007A63AA" w:rsidP="007A63AA">
            <w:pPr>
              <w:spacing w:beforeLines="20" w:before="48" w:afterLines="20" w:after="48" w:line="264" w:lineRule="auto"/>
              <w:contextualSpacing/>
              <w:rPr>
                <w:rFonts w:ascii="Arial Narrow" w:hAnsi="Arial Narrow"/>
                <w:b/>
                <w:bCs/>
                <w:color w:val="000000"/>
                <w:sz w:val="16"/>
                <w:szCs w:val="16"/>
              </w:rPr>
            </w:pPr>
            <w:r w:rsidRPr="007161A0">
              <w:rPr>
                <w:rFonts w:ascii="Arial Narrow" w:hAnsi="Arial Narrow"/>
                <w:b/>
                <w:color w:val="000000"/>
                <w:sz w:val="16"/>
                <w:szCs w:val="16"/>
              </w:rPr>
              <w:t>General Note</w:t>
            </w:r>
            <w:r w:rsidR="004B218D">
              <w:rPr>
                <w:rFonts w:ascii="Arial Narrow" w:hAnsi="Arial Narrow"/>
                <w:b/>
                <w:color w:val="000000"/>
                <w:sz w:val="16"/>
                <w:szCs w:val="16"/>
              </w:rPr>
              <w:t>s</w:t>
            </w:r>
          </w:p>
        </w:tc>
        <w:tc>
          <w:tcPr>
            <w:tcW w:w="677" w:type="pct"/>
            <w:tcBorders>
              <w:top w:val="single" w:sz="12" w:space="0" w:color="auto"/>
              <w:left w:val="nil"/>
              <w:bottom w:val="nil"/>
              <w:right w:val="nil"/>
            </w:tcBorders>
            <w:noWrap/>
            <w:vAlign w:val="center"/>
          </w:tcPr>
          <w:p w14:paraId="3F03F996" w14:textId="77777777" w:rsidR="007A63AA" w:rsidRPr="007161A0" w:rsidRDefault="007A63AA" w:rsidP="007A63AA">
            <w:pPr>
              <w:spacing w:beforeLines="20" w:before="48" w:afterLines="20" w:after="48" w:line="264" w:lineRule="auto"/>
              <w:contextualSpacing/>
              <w:jc w:val="center"/>
              <w:rPr>
                <w:rFonts w:ascii="Arial Narrow" w:hAnsi="Arial Narrow"/>
                <w:bCs/>
                <w:sz w:val="16"/>
                <w:szCs w:val="16"/>
              </w:rPr>
            </w:pPr>
          </w:p>
        </w:tc>
        <w:tc>
          <w:tcPr>
            <w:tcW w:w="746" w:type="pct"/>
            <w:tcBorders>
              <w:top w:val="single" w:sz="12" w:space="0" w:color="auto"/>
              <w:left w:val="nil"/>
              <w:bottom w:val="nil"/>
              <w:right w:val="single" w:sz="12" w:space="0" w:color="auto"/>
            </w:tcBorders>
            <w:shd w:val="clear" w:color="auto" w:fill="auto"/>
            <w:noWrap/>
            <w:vAlign w:val="center"/>
          </w:tcPr>
          <w:p w14:paraId="168AC9C9" w14:textId="77777777" w:rsidR="007A63AA" w:rsidRPr="007161A0" w:rsidRDefault="007A63AA" w:rsidP="007A63AA">
            <w:pPr>
              <w:spacing w:beforeLines="20" w:before="48" w:afterLines="20" w:after="48" w:line="264" w:lineRule="auto"/>
              <w:contextualSpacing/>
              <w:jc w:val="right"/>
              <w:rPr>
                <w:rFonts w:ascii="Arial Narrow" w:hAnsi="Arial Narrow"/>
                <w:b/>
                <w:bCs/>
                <w:sz w:val="16"/>
                <w:szCs w:val="16"/>
              </w:rPr>
            </w:pPr>
          </w:p>
        </w:tc>
      </w:tr>
      <w:tr w:rsidR="007A63AA" w:rsidRPr="001F17A3" w14:paraId="3506737A" w14:textId="77777777" w:rsidTr="00921211">
        <w:trPr>
          <w:cantSplit/>
          <w:trHeight w:val="20"/>
        </w:trPr>
        <w:tc>
          <w:tcPr>
            <w:tcW w:w="5000" w:type="pct"/>
            <w:gridSpan w:val="6"/>
            <w:tcBorders>
              <w:top w:val="nil"/>
              <w:left w:val="single" w:sz="12" w:space="0" w:color="auto"/>
              <w:bottom w:val="nil"/>
              <w:right w:val="single" w:sz="12" w:space="0" w:color="auto"/>
            </w:tcBorders>
            <w:noWrap/>
            <w:vAlign w:val="center"/>
          </w:tcPr>
          <w:p w14:paraId="7481DCF4" w14:textId="5ABBBA92" w:rsidR="007A63AA" w:rsidRPr="00602C74" w:rsidRDefault="007A63AA" w:rsidP="00FA37A2">
            <w:pPr>
              <w:spacing w:beforeLines="20" w:before="48" w:afterLines="20" w:after="48" w:line="264" w:lineRule="auto"/>
              <w:contextualSpacing/>
              <w:rPr>
                <w:rFonts w:ascii="Arial Narrow" w:hAnsi="Arial Narrow"/>
                <w:b/>
                <w:sz w:val="18"/>
              </w:rPr>
            </w:pPr>
            <w:r w:rsidRPr="00602C74">
              <w:rPr>
                <w:rFonts w:ascii="Arial Narrow" w:hAnsi="Arial Narrow"/>
                <w:color w:val="000000"/>
                <w:sz w:val="18"/>
              </w:rPr>
              <w:t xml:space="preserve">See </w:t>
            </w:r>
            <w:r w:rsidRPr="00602C74">
              <w:rPr>
                <w:rFonts w:ascii="Arial Narrow" w:hAnsi="Arial Narrow"/>
                <w:color w:val="000000"/>
                <w:sz w:val="18"/>
              </w:rPr>
              <w:fldChar w:fldCharType="begin"/>
            </w:r>
            <w:r w:rsidRPr="00602C74">
              <w:rPr>
                <w:rFonts w:ascii="Arial Narrow" w:hAnsi="Arial Narrow"/>
                <w:color w:val="000000"/>
                <w:sz w:val="18"/>
              </w:rPr>
              <w:instrText xml:space="preserve"> REF _Ref485024683 \h  \* MERGEFORMAT </w:instrText>
            </w:r>
            <w:r w:rsidRPr="00602C74">
              <w:rPr>
                <w:rFonts w:ascii="Arial Narrow" w:hAnsi="Arial Narrow"/>
                <w:color w:val="000000"/>
                <w:sz w:val="18"/>
              </w:rPr>
            </w:r>
            <w:r w:rsidRPr="00602C74">
              <w:rPr>
                <w:rFonts w:ascii="Arial Narrow" w:hAnsi="Arial Narrow"/>
                <w:color w:val="000000"/>
                <w:sz w:val="18"/>
              </w:rPr>
              <w:fldChar w:fldCharType="separate"/>
            </w:r>
            <w:r w:rsidR="005C4A2E" w:rsidRPr="00602C74">
              <w:rPr>
                <w:rFonts w:ascii="Arial Narrow" w:hAnsi="Arial Narrow"/>
                <w:color w:val="000000"/>
                <w:sz w:val="18"/>
              </w:rPr>
              <w:t>Table 2</w:t>
            </w:r>
            <w:r w:rsidRPr="00602C74">
              <w:rPr>
                <w:rFonts w:ascii="Arial Narrow" w:hAnsi="Arial Narrow"/>
                <w:color w:val="000000"/>
                <w:sz w:val="18"/>
              </w:rPr>
              <w:fldChar w:fldCharType="end"/>
            </w:r>
            <w:r w:rsidRPr="00602C74">
              <w:rPr>
                <w:rFonts w:ascii="Arial Narrow" w:hAnsi="Arial Narrow"/>
                <w:color w:val="000000"/>
                <w:sz w:val="18"/>
              </w:rPr>
              <w:t xml:space="preserve"> for </w:t>
            </w:r>
            <w:r w:rsidR="00F622BF" w:rsidRPr="00602C74">
              <w:rPr>
                <w:rFonts w:ascii="Arial Narrow" w:hAnsi="Arial Narrow"/>
                <w:color w:val="000000"/>
                <w:sz w:val="18"/>
              </w:rPr>
              <w:t>unit b</w:t>
            </w:r>
            <w:r w:rsidRPr="00602C74">
              <w:rPr>
                <w:rFonts w:ascii="Arial Narrow" w:hAnsi="Arial Narrow"/>
                <w:color w:val="000000"/>
                <w:sz w:val="18"/>
              </w:rPr>
              <w:t xml:space="preserve">urden estimate information; See </w:t>
            </w:r>
            <w:r w:rsidRPr="00602C74">
              <w:rPr>
                <w:rFonts w:ascii="Arial Narrow" w:hAnsi="Arial Narrow"/>
                <w:color w:val="000000"/>
                <w:sz w:val="18"/>
              </w:rPr>
              <w:fldChar w:fldCharType="begin"/>
            </w:r>
            <w:r w:rsidRPr="00602C74">
              <w:rPr>
                <w:rFonts w:ascii="Arial Narrow" w:hAnsi="Arial Narrow"/>
                <w:color w:val="000000"/>
                <w:sz w:val="18"/>
              </w:rPr>
              <w:instrText xml:space="preserve"> REF _Ref526493290 \h  \* MERGEFORMAT </w:instrText>
            </w:r>
            <w:r w:rsidRPr="00602C74">
              <w:rPr>
                <w:rFonts w:ascii="Arial Narrow" w:hAnsi="Arial Narrow"/>
                <w:color w:val="000000"/>
                <w:sz w:val="18"/>
              </w:rPr>
            </w:r>
            <w:r w:rsidRPr="00602C74">
              <w:rPr>
                <w:rFonts w:ascii="Arial Narrow" w:hAnsi="Arial Narrow"/>
                <w:color w:val="000000"/>
                <w:sz w:val="18"/>
              </w:rPr>
              <w:fldChar w:fldCharType="separate"/>
            </w:r>
            <w:r w:rsidR="005C4A2E" w:rsidRPr="00602C74">
              <w:rPr>
                <w:rFonts w:ascii="Arial Narrow" w:hAnsi="Arial Narrow"/>
                <w:color w:val="000000"/>
                <w:sz w:val="18"/>
              </w:rPr>
              <w:t>Table 4</w:t>
            </w:r>
            <w:r w:rsidRPr="00602C74">
              <w:rPr>
                <w:rFonts w:ascii="Arial Narrow" w:hAnsi="Arial Narrow"/>
                <w:color w:val="000000"/>
                <w:sz w:val="18"/>
              </w:rPr>
              <w:fldChar w:fldCharType="end"/>
            </w:r>
            <w:r w:rsidRPr="00602C74">
              <w:rPr>
                <w:rFonts w:ascii="Arial Narrow" w:hAnsi="Arial Narrow"/>
                <w:color w:val="000000"/>
                <w:sz w:val="18"/>
              </w:rPr>
              <w:t xml:space="preserve"> for Wage Rates. Additionally Agency </w:t>
            </w:r>
            <w:r w:rsidR="00FA37A2">
              <w:rPr>
                <w:rFonts w:ascii="Arial Narrow" w:hAnsi="Arial Narrow"/>
                <w:color w:val="000000"/>
                <w:sz w:val="18"/>
              </w:rPr>
              <w:t>best professional judgement</w:t>
            </w:r>
            <w:r w:rsidR="00FA37A2" w:rsidRPr="00602C74">
              <w:rPr>
                <w:rFonts w:ascii="Arial Narrow" w:hAnsi="Arial Narrow"/>
                <w:color w:val="000000"/>
                <w:sz w:val="18"/>
              </w:rPr>
              <w:t xml:space="preserve"> </w:t>
            </w:r>
            <w:r w:rsidRPr="00602C74">
              <w:rPr>
                <w:rFonts w:ascii="Arial Narrow" w:hAnsi="Arial Narrow"/>
                <w:color w:val="000000"/>
                <w:sz w:val="18"/>
              </w:rPr>
              <w:t xml:space="preserve">is employed to finalize results. See details in </w:t>
            </w:r>
            <w:r w:rsidRPr="00602C74">
              <w:rPr>
                <w:rFonts w:ascii="Arial Narrow" w:hAnsi="Arial Narrow"/>
                <w:color w:val="000000"/>
                <w:sz w:val="18"/>
              </w:rPr>
              <w:fldChar w:fldCharType="begin"/>
            </w:r>
            <w:r w:rsidRPr="00602C74">
              <w:rPr>
                <w:rFonts w:ascii="Arial Narrow" w:hAnsi="Arial Narrow"/>
                <w:color w:val="000000"/>
                <w:sz w:val="18"/>
              </w:rPr>
              <w:instrText xml:space="preserve"> REF _Ref485024683 \h  \* MERGEFORMAT </w:instrText>
            </w:r>
            <w:r w:rsidRPr="00602C74">
              <w:rPr>
                <w:rFonts w:ascii="Arial Narrow" w:hAnsi="Arial Narrow"/>
                <w:color w:val="000000"/>
                <w:sz w:val="18"/>
              </w:rPr>
            </w:r>
            <w:r w:rsidRPr="00602C74">
              <w:rPr>
                <w:rFonts w:ascii="Arial Narrow" w:hAnsi="Arial Narrow"/>
                <w:color w:val="000000"/>
                <w:sz w:val="18"/>
              </w:rPr>
              <w:fldChar w:fldCharType="separate"/>
            </w:r>
            <w:r w:rsidR="005C4A2E" w:rsidRPr="00602C74">
              <w:rPr>
                <w:rFonts w:ascii="Arial Narrow" w:hAnsi="Arial Narrow"/>
                <w:color w:val="000000"/>
                <w:sz w:val="18"/>
              </w:rPr>
              <w:t>Table 2</w:t>
            </w:r>
            <w:r w:rsidRPr="00602C74">
              <w:rPr>
                <w:rFonts w:ascii="Arial Narrow" w:hAnsi="Arial Narrow"/>
                <w:color w:val="000000"/>
                <w:sz w:val="18"/>
              </w:rPr>
              <w:fldChar w:fldCharType="end"/>
            </w:r>
            <w:r w:rsidRPr="00602C74">
              <w:rPr>
                <w:rFonts w:ascii="Arial Narrow" w:hAnsi="Arial Narrow"/>
                <w:color w:val="000000"/>
                <w:sz w:val="18"/>
              </w:rPr>
              <w:t xml:space="preserve">. Industry wage rates are provided in </w:t>
            </w:r>
            <w:r w:rsidRPr="006D3008">
              <w:rPr>
                <w:rFonts w:ascii="Arial Narrow" w:hAnsi="Arial Narrow"/>
                <w:bCs/>
                <w:color w:val="000000"/>
                <w:sz w:val="18"/>
                <w:szCs w:val="18"/>
              </w:rPr>
              <w:fldChar w:fldCharType="begin"/>
            </w:r>
            <w:r w:rsidRPr="006D3008">
              <w:rPr>
                <w:rFonts w:ascii="Arial Narrow" w:hAnsi="Arial Narrow"/>
                <w:bCs/>
                <w:color w:val="000000"/>
                <w:sz w:val="18"/>
                <w:szCs w:val="18"/>
              </w:rPr>
              <w:instrText xml:space="preserve"> REF _Ref526493290 \h  \* MERGEFORMAT </w:instrText>
            </w:r>
            <w:r w:rsidRPr="006D3008">
              <w:rPr>
                <w:rFonts w:ascii="Arial Narrow" w:hAnsi="Arial Narrow"/>
                <w:bCs/>
                <w:color w:val="000000"/>
                <w:sz w:val="18"/>
                <w:szCs w:val="18"/>
              </w:rPr>
            </w:r>
            <w:r w:rsidRPr="006D3008">
              <w:rPr>
                <w:rFonts w:ascii="Arial Narrow" w:hAnsi="Arial Narrow"/>
                <w:bCs/>
                <w:color w:val="000000"/>
                <w:sz w:val="18"/>
                <w:szCs w:val="18"/>
              </w:rPr>
              <w:fldChar w:fldCharType="separate"/>
            </w:r>
            <w:r w:rsidR="005C4A2E" w:rsidRPr="006D3008">
              <w:rPr>
                <w:rFonts w:ascii="Arial Narrow" w:hAnsi="Arial Narrow"/>
                <w:bCs/>
                <w:color w:val="000000"/>
                <w:sz w:val="18"/>
                <w:szCs w:val="18"/>
              </w:rPr>
              <w:t>Table 4</w:t>
            </w:r>
            <w:r w:rsidRPr="006D3008">
              <w:rPr>
                <w:rFonts w:ascii="Arial Narrow" w:hAnsi="Arial Narrow"/>
                <w:bCs/>
                <w:color w:val="000000"/>
                <w:sz w:val="18"/>
                <w:szCs w:val="18"/>
              </w:rPr>
              <w:fldChar w:fldCharType="end"/>
            </w:r>
            <w:r w:rsidRPr="006D3008">
              <w:rPr>
                <w:rFonts w:ascii="Arial Narrow" w:hAnsi="Arial Narrow"/>
                <w:bCs/>
                <w:color w:val="000000"/>
                <w:sz w:val="18"/>
                <w:szCs w:val="18"/>
              </w:rPr>
              <w:t>.</w:t>
            </w:r>
            <w:r w:rsidR="004B218D" w:rsidRPr="006D3008">
              <w:rPr>
                <w:rFonts w:ascii="Arial Narrow" w:hAnsi="Arial Narrow"/>
                <w:bCs/>
                <w:color w:val="000000"/>
                <w:sz w:val="18"/>
                <w:szCs w:val="18"/>
              </w:rPr>
              <w:t xml:space="preserve"> Derivation of unit cost estimates are detailed in</w:t>
            </w:r>
            <w:r w:rsidR="00BB1DCE" w:rsidRPr="006D3008">
              <w:rPr>
                <w:rFonts w:ascii="Arial Narrow" w:hAnsi="Arial Narrow"/>
                <w:bCs/>
                <w:color w:val="000000"/>
                <w:sz w:val="18"/>
                <w:szCs w:val="18"/>
              </w:rPr>
              <w:t xml:space="preserve"> Table 5 in EPA</w:t>
            </w:r>
            <w:r w:rsidR="004B218D" w:rsidRPr="006D3008">
              <w:rPr>
                <w:rFonts w:ascii="Arial Narrow" w:hAnsi="Arial Narrow"/>
                <w:bCs/>
                <w:color w:val="000000"/>
                <w:sz w:val="18"/>
                <w:szCs w:val="18"/>
              </w:rPr>
              <w:t xml:space="preserve"> </w:t>
            </w:r>
            <w:r w:rsidR="004B218D" w:rsidRPr="006D3008">
              <w:rPr>
                <w:rFonts w:ascii="Arial Narrow" w:hAnsi="Arial Narrow"/>
                <w:bCs/>
                <w:i/>
                <w:color w:val="000000"/>
                <w:sz w:val="18"/>
                <w:szCs w:val="18"/>
              </w:rPr>
              <w:t>.</w:t>
            </w:r>
          </w:p>
        </w:tc>
      </w:tr>
      <w:tr w:rsidR="00F07528" w:rsidRPr="001F17A3" w14:paraId="17EA9A53" w14:textId="77777777" w:rsidTr="00921211">
        <w:trPr>
          <w:cantSplit/>
          <w:trHeight w:val="20"/>
        </w:trPr>
        <w:tc>
          <w:tcPr>
            <w:tcW w:w="3577" w:type="pct"/>
            <w:gridSpan w:val="4"/>
            <w:tcBorders>
              <w:top w:val="nil"/>
              <w:left w:val="single" w:sz="12" w:space="0" w:color="auto"/>
              <w:bottom w:val="nil"/>
              <w:right w:val="nil"/>
            </w:tcBorders>
            <w:noWrap/>
            <w:vAlign w:val="center"/>
          </w:tcPr>
          <w:p w14:paraId="5388EC75" w14:textId="77777777" w:rsidR="007A63AA" w:rsidRPr="00602C74" w:rsidRDefault="007A63AA" w:rsidP="007A63AA">
            <w:pPr>
              <w:spacing w:beforeLines="20" w:before="48" w:afterLines="20" w:after="48" w:line="264" w:lineRule="auto"/>
              <w:contextualSpacing/>
              <w:rPr>
                <w:rFonts w:ascii="Arial Narrow" w:hAnsi="Arial Narrow"/>
                <w:color w:val="000000"/>
                <w:sz w:val="18"/>
              </w:rPr>
            </w:pPr>
            <w:r w:rsidRPr="00602C74">
              <w:rPr>
                <w:rFonts w:ascii="Arial Narrow" w:hAnsi="Arial Narrow"/>
                <w:b/>
                <w:color w:val="000000"/>
                <w:sz w:val="18"/>
              </w:rPr>
              <w:t>Footnotes</w:t>
            </w:r>
          </w:p>
        </w:tc>
        <w:tc>
          <w:tcPr>
            <w:tcW w:w="677" w:type="pct"/>
            <w:tcBorders>
              <w:top w:val="nil"/>
              <w:left w:val="nil"/>
              <w:bottom w:val="nil"/>
              <w:right w:val="nil"/>
            </w:tcBorders>
            <w:noWrap/>
            <w:vAlign w:val="center"/>
          </w:tcPr>
          <w:p w14:paraId="46E415E0" w14:textId="77777777" w:rsidR="007A63AA" w:rsidRPr="00602C74" w:rsidRDefault="007A63AA" w:rsidP="007A63AA">
            <w:pPr>
              <w:spacing w:beforeLines="20" w:before="48" w:afterLines="20" w:after="48" w:line="264" w:lineRule="auto"/>
              <w:contextualSpacing/>
              <w:jc w:val="center"/>
              <w:rPr>
                <w:rFonts w:ascii="Arial Narrow" w:hAnsi="Arial Narrow"/>
                <w:sz w:val="18"/>
              </w:rPr>
            </w:pPr>
          </w:p>
        </w:tc>
        <w:tc>
          <w:tcPr>
            <w:tcW w:w="746" w:type="pct"/>
            <w:tcBorders>
              <w:top w:val="nil"/>
              <w:left w:val="nil"/>
              <w:bottom w:val="nil"/>
              <w:right w:val="single" w:sz="12" w:space="0" w:color="auto"/>
            </w:tcBorders>
            <w:shd w:val="clear" w:color="auto" w:fill="auto"/>
            <w:noWrap/>
            <w:vAlign w:val="center"/>
          </w:tcPr>
          <w:p w14:paraId="37281641" w14:textId="77777777" w:rsidR="007A63AA" w:rsidRPr="00602C74" w:rsidRDefault="007A63AA" w:rsidP="007A63AA">
            <w:pPr>
              <w:spacing w:beforeLines="20" w:before="48" w:afterLines="20" w:after="48" w:line="264" w:lineRule="auto"/>
              <w:contextualSpacing/>
              <w:jc w:val="right"/>
              <w:rPr>
                <w:rFonts w:ascii="Arial Narrow" w:hAnsi="Arial Narrow"/>
                <w:b/>
                <w:sz w:val="18"/>
              </w:rPr>
            </w:pPr>
          </w:p>
        </w:tc>
      </w:tr>
      <w:tr w:rsidR="007A63AA" w:rsidRPr="001F17A3" w14:paraId="0781240D" w14:textId="77777777" w:rsidTr="00921211">
        <w:trPr>
          <w:cantSplit/>
          <w:trHeight w:val="20"/>
        </w:trPr>
        <w:tc>
          <w:tcPr>
            <w:tcW w:w="5000" w:type="pct"/>
            <w:gridSpan w:val="6"/>
            <w:tcBorders>
              <w:top w:val="nil"/>
              <w:left w:val="single" w:sz="12" w:space="0" w:color="auto"/>
              <w:bottom w:val="single" w:sz="12" w:space="0" w:color="auto"/>
              <w:right w:val="single" w:sz="12" w:space="0" w:color="auto"/>
            </w:tcBorders>
            <w:noWrap/>
            <w:vAlign w:val="center"/>
          </w:tcPr>
          <w:p w14:paraId="1E2F2C69" w14:textId="6EF162D4" w:rsidR="007A63AA" w:rsidRPr="00602C74" w:rsidRDefault="007A63AA" w:rsidP="007A63AA">
            <w:pPr>
              <w:spacing w:beforeLines="20" w:before="48" w:afterLines="20" w:after="48" w:line="264" w:lineRule="auto"/>
              <w:contextualSpacing/>
              <w:rPr>
                <w:rFonts w:ascii="Arial Narrow" w:hAnsi="Arial Narrow"/>
                <w:color w:val="000000"/>
                <w:sz w:val="18"/>
                <w:vertAlign w:val="superscript"/>
              </w:rPr>
            </w:pPr>
            <w:r w:rsidRPr="00602C74">
              <w:rPr>
                <w:rFonts w:ascii="Arial Narrow" w:hAnsi="Arial Narrow"/>
                <w:color w:val="000000"/>
                <w:sz w:val="18"/>
                <w:vertAlign w:val="superscript"/>
              </w:rPr>
              <w:t xml:space="preserve">1 </w:t>
            </w:r>
            <w:r w:rsidRPr="00602C74">
              <w:rPr>
                <w:rFonts w:ascii="Arial Narrow" w:hAnsi="Arial Narrow"/>
                <w:color w:val="000000"/>
                <w:sz w:val="18"/>
              </w:rPr>
              <w:t xml:space="preserve">An average company is expected to report </w:t>
            </w:r>
            <w:r w:rsidR="004B218D" w:rsidRPr="00E02B0B">
              <w:rPr>
                <w:rFonts w:ascii="Arial Narrow" w:hAnsi="Arial Narrow"/>
                <w:color w:val="000000"/>
                <w:sz w:val="18"/>
                <w:szCs w:val="18"/>
              </w:rPr>
              <w:t>f</w:t>
            </w:r>
            <w:r w:rsidR="001D4BD9">
              <w:rPr>
                <w:rFonts w:ascii="Arial Narrow" w:hAnsi="Arial Narrow"/>
                <w:color w:val="000000"/>
                <w:sz w:val="18"/>
                <w:szCs w:val="18"/>
              </w:rPr>
              <w:t>our</w:t>
            </w:r>
            <w:r w:rsidR="004B218D" w:rsidRPr="00602C74">
              <w:rPr>
                <w:rFonts w:ascii="Arial Narrow" w:hAnsi="Arial Narrow"/>
                <w:color w:val="000000"/>
                <w:sz w:val="18"/>
              </w:rPr>
              <w:t xml:space="preserve"> </w:t>
            </w:r>
            <w:r w:rsidRPr="00602C74">
              <w:rPr>
                <w:rFonts w:ascii="Arial Narrow" w:hAnsi="Arial Narrow"/>
                <w:color w:val="000000"/>
                <w:sz w:val="18"/>
              </w:rPr>
              <w:t>chemicals,</w:t>
            </w:r>
            <w:r w:rsidR="003E1961" w:rsidRPr="00602C74">
              <w:rPr>
                <w:rFonts w:ascii="Arial Narrow" w:hAnsi="Arial Narrow"/>
                <w:color w:val="000000"/>
                <w:sz w:val="18"/>
              </w:rPr>
              <w:t xml:space="preserve"> as derived from NOA submissions </w:t>
            </w:r>
            <w:r w:rsidR="003E1961" w:rsidRPr="00E02B0B">
              <w:rPr>
                <w:rFonts w:ascii="Arial Narrow" w:hAnsi="Arial Narrow"/>
                <w:color w:val="000000"/>
                <w:sz w:val="18"/>
                <w:szCs w:val="18"/>
              </w:rPr>
              <w:t>.</w:t>
            </w:r>
            <w:r w:rsidRPr="00602C74">
              <w:rPr>
                <w:rFonts w:ascii="Arial Narrow" w:hAnsi="Arial Narrow"/>
                <w:color w:val="000000"/>
                <w:sz w:val="18"/>
                <w:vertAlign w:val="superscript"/>
              </w:rPr>
              <w:t xml:space="preserve"> </w:t>
            </w:r>
          </w:p>
          <w:p w14:paraId="12C76BD9" w14:textId="3D695F85" w:rsidR="007A63AA" w:rsidRPr="00602C74" w:rsidRDefault="007A63AA" w:rsidP="007A63AA">
            <w:pPr>
              <w:spacing w:beforeLines="20" w:before="48" w:afterLines="20" w:after="48" w:line="264" w:lineRule="auto"/>
              <w:contextualSpacing/>
              <w:rPr>
                <w:rFonts w:ascii="Arial Narrow" w:hAnsi="Arial Narrow"/>
                <w:b/>
                <w:sz w:val="18"/>
              </w:rPr>
            </w:pPr>
            <w:r w:rsidRPr="00602C74">
              <w:rPr>
                <w:rFonts w:ascii="Arial Narrow" w:hAnsi="Arial Narrow"/>
                <w:color w:val="000000"/>
                <w:sz w:val="18"/>
                <w:vertAlign w:val="superscript"/>
              </w:rPr>
              <w:t xml:space="preserve">2 </w:t>
            </w:r>
            <w:r w:rsidRPr="00602C74">
              <w:rPr>
                <w:rFonts w:ascii="Arial Narrow" w:hAnsi="Arial Narrow"/>
                <w:color w:val="000000"/>
                <w:sz w:val="18"/>
              </w:rPr>
              <w:t xml:space="preserve">An average company is expected to report </w:t>
            </w:r>
            <w:r w:rsidR="001D4BD9">
              <w:rPr>
                <w:rFonts w:ascii="Arial Narrow" w:hAnsi="Arial Narrow"/>
                <w:color w:val="000000"/>
                <w:sz w:val="18"/>
                <w:szCs w:val="18"/>
              </w:rPr>
              <w:t>27</w:t>
            </w:r>
            <w:r w:rsidRPr="00E02B0B">
              <w:rPr>
                <w:rFonts w:ascii="Arial Narrow" w:hAnsi="Arial Narrow"/>
                <w:color w:val="000000"/>
                <w:sz w:val="18"/>
                <w:szCs w:val="18"/>
              </w:rPr>
              <w:t xml:space="preserve"> chemicals, as derived from NOA submissions</w:t>
            </w:r>
            <w:r w:rsidR="003E1961" w:rsidRPr="00E02B0B">
              <w:rPr>
                <w:rFonts w:ascii="Arial Narrow" w:hAnsi="Arial Narrow"/>
                <w:color w:val="000000"/>
                <w:sz w:val="18"/>
                <w:szCs w:val="18"/>
              </w:rPr>
              <w:t xml:space="preserve"> </w:t>
            </w:r>
            <w:r w:rsidRPr="00E02B0B">
              <w:rPr>
                <w:rFonts w:ascii="Arial Narrow" w:hAnsi="Arial Narrow"/>
                <w:color w:val="000000"/>
                <w:sz w:val="18"/>
                <w:szCs w:val="18"/>
              </w:rPr>
              <w:t>.</w:t>
            </w:r>
          </w:p>
        </w:tc>
      </w:tr>
    </w:tbl>
    <w:p w14:paraId="5299B943" w14:textId="0882C006" w:rsidR="00126678" w:rsidRPr="00DF1AF6" w:rsidRDefault="00126678" w:rsidP="00DF1AF6">
      <w:pPr>
        <w:pStyle w:val="Heading2"/>
      </w:pPr>
      <w:r w:rsidRPr="00DF1AF6">
        <w:t xml:space="preserve">Estimating </w:t>
      </w:r>
      <w:r w:rsidR="006768EF" w:rsidRPr="00DF1AF6">
        <w:t>Agency Burden and</w:t>
      </w:r>
      <w:r w:rsidRPr="00DF1AF6">
        <w:t xml:space="preserve"> Cost</w:t>
      </w:r>
    </w:p>
    <w:p w14:paraId="056CA00A" w14:textId="097A4119" w:rsidR="00126678" w:rsidRDefault="00126678" w:rsidP="00F07528">
      <w:r>
        <w:t xml:space="preserve">The implementation of EPA capacity to receive and process substantiations for </w:t>
      </w:r>
      <w:r w:rsidR="00DF1AF6">
        <w:t xml:space="preserve">CBI chemID </w:t>
      </w:r>
      <w:r>
        <w:t xml:space="preserve">claims will </w:t>
      </w:r>
      <w:r w:rsidR="006768EF">
        <w:t xml:space="preserve">involve additional costs during </w:t>
      </w:r>
      <w:r w:rsidR="00DF1AF6">
        <w:t>the</w:t>
      </w:r>
      <w:r w:rsidR="000360F9">
        <w:t xml:space="preserve"> </w:t>
      </w:r>
      <w:r w:rsidR="00F07528">
        <w:t>9</w:t>
      </w:r>
      <w:r w:rsidR="00617B9C">
        <w:t>0</w:t>
      </w:r>
      <w:r w:rsidR="006768EF">
        <w:t xml:space="preserve">-day reporting period </w:t>
      </w:r>
      <w:r w:rsidR="00DF1AF6">
        <w:t xml:space="preserve">to collect information, and for </w:t>
      </w:r>
      <w:r w:rsidR="00B347AD">
        <w:t xml:space="preserve">about </w:t>
      </w:r>
      <w:r w:rsidR="00DF1AF6">
        <w:t xml:space="preserve">five years thereafter </w:t>
      </w:r>
      <w:r w:rsidR="006768EF">
        <w:t xml:space="preserve">to </w:t>
      </w:r>
      <w:r w:rsidR="00DF1AF6">
        <w:t xml:space="preserve">review </w:t>
      </w:r>
      <w:r w:rsidR="006768EF">
        <w:t xml:space="preserve">claims, as well as </w:t>
      </w:r>
      <w:r w:rsidR="000360F9">
        <w:t xml:space="preserve">to </w:t>
      </w:r>
      <w:r w:rsidR="006768EF">
        <w:t>updat</w:t>
      </w:r>
      <w:r w:rsidR="000360F9">
        <w:t>e</w:t>
      </w:r>
      <w:r w:rsidR="006768EF">
        <w:t xml:space="preserve"> the TSCA Inventory based </w:t>
      </w:r>
      <w:r w:rsidR="000360F9">
        <w:t>as needed</w:t>
      </w:r>
      <w:r w:rsidR="006768EF">
        <w:t>. EPA IT systems and related maintenance for facilitating form submission and processing are also required</w:t>
      </w:r>
      <w:r>
        <w:t>.</w:t>
      </w:r>
    </w:p>
    <w:p w14:paraId="77353FC4" w14:textId="77777777" w:rsidR="00126678" w:rsidRDefault="00126678" w:rsidP="00126678"/>
    <w:p w14:paraId="2854A483" w14:textId="5C4F2AB8" w:rsidR="00126678" w:rsidRDefault="00126678" w:rsidP="00126678">
      <w:r>
        <w:t xml:space="preserve">Estimates of Agency labor required to complete substantiation review are discussed in Section </w:t>
      </w:r>
      <w:r w:rsidR="003E1961">
        <w:t>4.6</w:t>
      </w:r>
      <w:r>
        <w:t xml:space="preserve"> of the </w:t>
      </w:r>
      <w:r>
        <w:rPr>
          <w:i/>
        </w:rPr>
        <w:t xml:space="preserve">Economic Analysis for the Proposed Rule: </w:t>
      </w:r>
      <w:r w:rsidR="00FA37A2" w:rsidRPr="00FA37A2">
        <w:rPr>
          <w:i/>
        </w:rPr>
        <w:t>Procedures for Review of CBI Claims for the Identity of Chemicals on the TSCA Inventory</w:t>
      </w:r>
      <w:r w:rsidR="00FA37A2" w:rsidRPr="00FA37A2" w:rsidDel="00FA37A2">
        <w:rPr>
          <w:i/>
        </w:rPr>
        <w:t xml:space="preserve"> </w:t>
      </w:r>
      <w:r>
        <w:t xml:space="preserve">. Agency burden is combined with wage data in </w:t>
      </w:r>
      <w:r w:rsidR="003E1961">
        <w:fldChar w:fldCharType="begin"/>
      </w:r>
      <w:r w:rsidR="003E1961">
        <w:instrText xml:space="preserve"> REF _Ref526494753 \h </w:instrText>
      </w:r>
      <w:r w:rsidR="003E1961">
        <w:fldChar w:fldCharType="separate"/>
      </w:r>
      <w:r w:rsidR="005C4A2E">
        <w:t xml:space="preserve">Table </w:t>
      </w:r>
      <w:r w:rsidR="005C4A2E">
        <w:rPr>
          <w:noProof/>
        </w:rPr>
        <w:t>6</w:t>
      </w:r>
      <w:r w:rsidR="003E1961">
        <w:fldChar w:fldCharType="end"/>
      </w:r>
      <w:r w:rsidR="003E1961">
        <w:t xml:space="preserve"> </w:t>
      </w:r>
      <w:r>
        <w:t xml:space="preserve">to estimate Agency cost, as shown in </w:t>
      </w:r>
      <w:r w:rsidR="003E1961">
        <w:fldChar w:fldCharType="begin"/>
      </w:r>
      <w:r w:rsidR="003E1961">
        <w:instrText xml:space="preserve"> REF _Ref526494838 \h </w:instrText>
      </w:r>
      <w:r w:rsidR="003E1961">
        <w:fldChar w:fldCharType="separate"/>
      </w:r>
      <w:r w:rsidR="005C4A2E">
        <w:t xml:space="preserve">Table </w:t>
      </w:r>
      <w:r w:rsidR="005C4A2E">
        <w:rPr>
          <w:noProof/>
        </w:rPr>
        <w:t>7</w:t>
      </w:r>
      <w:r w:rsidR="003E1961">
        <w:fldChar w:fldCharType="end"/>
      </w:r>
      <w:r>
        <w:t xml:space="preserve">. </w:t>
      </w:r>
    </w:p>
    <w:p w14:paraId="50DC3751" w14:textId="77777777" w:rsidR="00126678" w:rsidRDefault="00126678" w:rsidP="00126678"/>
    <w:p w14:paraId="12EE10DA" w14:textId="5B3FCACA" w:rsidR="003E1961" w:rsidRDefault="003E1961" w:rsidP="003E1961">
      <w:pPr>
        <w:pStyle w:val="Caption"/>
        <w:keepNext/>
      </w:pPr>
      <w:bookmarkStart w:id="70" w:name="_Ref526494753"/>
      <w:r>
        <w:t xml:space="preserve">Table </w:t>
      </w:r>
      <w:r w:rsidR="00A762E6">
        <w:rPr>
          <w:noProof/>
        </w:rPr>
        <w:fldChar w:fldCharType="begin"/>
      </w:r>
      <w:r w:rsidR="00A762E6">
        <w:rPr>
          <w:noProof/>
        </w:rPr>
        <w:instrText xml:space="preserve"> SEQ Table \* ARABIC </w:instrText>
      </w:r>
      <w:r w:rsidR="00A762E6">
        <w:rPr>
          <w:noProof/>
        </w:rPr>
        <w:fldChar w:fldCharType="separate"/>
      </w:r>
      <w:r w:rsidR="005C4A2E">
        <w:rPr>
          <w:noProof/>
        </w:rPr>
        <w:t>6</w:t>
      </w:r>
      <w:r w:rsidR="00A762E6">
        <w:rPr>
          <w:noProof/>
        </w:rPr>
        <w:fldChar w:fldCharType="end"/>
      </w:r>
      <w:bookmarkEnd w:id="70"/>
      <w:r>
        <w:t>. Agency Wage Rate (2017 Dollars)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8"/>
        <w:gridCol w:w="2865"/>
        <w:gridCol w:w="934"/>
        <w:gridCol w:w="897"/>
        <w:gridCol w:w="858"/>
        <w:gridCol w:w="1052"/>
        <w:gridCol w:w="1086"/>
        <w:gridCol w:w="976"/>
      </w:tblGrid>
      <w:tr w:rsidR="003E1961" w:rsidRPr="003E1961" w14:paraId="60EB6140" w14:textId="77777777" w:rsidTr="003E1961">
        <w:trPr>
          <w:trHeight w:val="468"/>
        </w:trPr>
        <w:tc>
          <w:tcPr>
            <w:tcW w:w="516" w:type="pct"/>
            <w:vMerge w:val="restart"/>
            <w:tcBorders>
              <w:top w:val="single" w:sz="12" w:space="0" w:color="auto"/>
              <w:left w:val="single" w:sz="12" w:space="0" w:color="auto"/>
            </w:tcBorders>
            <w:shd w:val="clear" w:color="auto" w:fill="C3C6A8"/>
            <w:vAlign w:val="center"/>
            <w:hideMark/>
          </w:tcPr>
          <w:p w14:paraId="7F6999DD" w14:textId="77777777" w:rsidR="003E1961" w:rsidRPr="003E1961" w:rsidRDefault="003E1961" w:rsidP="003E1961">
            <w:pPr>
              <w:keepNext/>
              <w:jc w:val="center"/>
              <w:rPr>
                <w:rFonts w:eastAsia="Times New Roman" w:cs="Times New Roman"/>
                <w:b/>
                <w:bCs/>
                <w:color w:val="000000"/>
                <w:sz w:val="18"/>
                <w:szCs w:val="18"/>
              </w:rPr>
            </w:pPr>
            <w:r w:rsidRPr="003E1961">
              <w:rPr>
                <w:rFonts w:eastAsia="Times New Roman" w:cs="Times New Roman"/>
                <w:b/>
                <w:bCs/>
                <w:color w:val="000000"/>
                <w:sz w:val="18"/>
                <w:szCs w:val="18"/>
              </w:rPr>
              <w:t>Labor Category</w:t>
            </w:r>
          </w:p>
        </w:tc>
        <w:tc>
          <w:tcPr>
            <w:tcW w:w="1482" w:type="pct"/>
            <w:vMerge w:val="restart"/>
            <w:tcBorders>
              <w:top w:val="single" w:sz="12" w:space="0" w:color="auto"/>
              <w:right w:val="single" w:sz="4" w:space="0" w:color="auto"/>
            </w:tcBorders>
            <w:shd w:val="clear" w:color="auto" w:fill="C3C6A8"/>
            <w:vAlign w:val="center"/>
            <w:hideMark/>
          </w:tcPr>
          <w:p w14:paraId="1140AACD" w14:textId="77777777" w:rsidR="003E1961" w:rsidRPr="003E1961" w:rsidRDefault="003E1961" w:rsidP="003E1961">
            <w:pPr>
              <w:keepNext/>
              <w:jc w:val="center"/>
              <w:rPr>
                <w:rFonts w:eastAsia="Times New Roman" w:cs="Times New Roman"/>
                <w:b/>
                <w:bCs/>
                <w:color w:val="000000"/>
                <w:sz w:val="18"/>
                <w:szCs w:val="18"/>
              </w:rPr>
            </w:pPr>
            <w:r w:rsidRPr="003E1961">
              <w:rPr>
                <w:rFonts w:eastAsia="Times New Roman" w:cs="Times New Roman"/>
                <w:b/>
                <w:bCs/>
                <w:color w:val="000000"/>
                <w:sz w:val="18"/>
                <w:szCs w:val="18"/>
              </w:rPr>
              <w:t>Data Source for Wage Information</w:t>
            </w:r>
            <w:r w:rsidRPr="003E1961">
              <w:rPr>
                <w:rFonts w:ascii="Arial Narrow" w:eastAsia="Times New Roman" w:hAnsi="Arial Narrow" w:cs="Times New Roman"/>
                <w:color w:val="000000"/>
                <w:sz w:val="18"/>
                <w:szCs w:val="18"/>
              </w:rPr>
              <w:t xml:space="preserve"> </w:t>
            </w:r>
            <w:r w:rsidRPr="003E1961">
              <w:rPr>
                <w:rFonts w:ascii="Arial Narrow" w:eastAsia="Times New Roman" w:hAnsi="Arial Narrow" w:cs="Times New Roman"/>
                <w:color w:val="000000"/>
                <w:sz w:val="18"/>
                <w:szCs w:val="18"/>
                <w:vertAlign w:val="superscript"/>
              </w:rPr>
              <w:t>a</w:t>
            </w:r>
          </w:p>
        </w:tc>
        <w:tc>
          <w:tcPr>
            <w:tcW w:w="483" w:type="pct"/>
            <w:tcBorders>
              <w:top w:val="single" w:sz="12" w:space="0" w:color="auto"/>
              <w:left w:val="single" w:sz="4" w:space="0" w:color="auto"/>
              <w:bottom w:val="nil"/>
            </w:tcBorders>
            <w:shd w:val="clear" w:color="auto" w:fill="C3C6A8"/>
            <w:vAlign w:val="center"/>
            <w:hideMark/>
          </w:tcPr>
          <w:p w14:paraId="78E52328" w14:textId="77777777" w:rsidR="003E1961" w:rsidRPr="003E1961" w:rsidRDefault="003E1961" w:rsidP="003E1961">
            <w:pPr>
              <w:keepNext/>
              <w:jc w:val="center"/>
              <w:rPr>
                <w:rFonts w:eastAsia="Times New Roman" w:cs="Times New Roman"/>
                <w:b/>
                <w:bCs/>
                <w:color w:val="000000"/>
                <w:sz w:val="18"/>
                <w:szCs w:val="18"/>
              </w:rPr>
            </w:pPr>
            <w:r w:rsidRPr="003E1961">
              <w:rPr>
                <w:rFonts w:eastAsia="Times New Roman" w:cs="Times New Roman"/>
                <w:b/>
                <w:bCs/>
                <w:color w:val="000000"/>
                <w:sz w:val="18"/>
                <w:szCs w:val="18"/>
              </w:rPr>
              <w:t>Wage ($/hour)</w:t>
            </w:r>
          </w:p>
        </w:tc>
        <w:tc>
          <w:tcPr>
            <w:tcW w:w="464" w:type="pct"/>
            <w:tcBorders>
              <w:top w:val="single" w:sz="12" w:space="0" w:color="auto"/>
              <w:bottom w:val="nil"/>
            </w:tcBorders>
            <w:shd w:val="clear" w:color="auto" w:fill="C3C6A8"/>
            <w:vAlign w:val="center"/>
            <w:hideMark/>
          </w:tcPr>
          <w:p w14:paraId="0982A793" w14:textId="77777777" w:rsidR="003E1961" w:rsidRPr="003E1961" w:rsidRDefault="003E1961" w:rsidP="003E1961">
            <w:pPr>
              <w:keepNext/>
              <w:jc w:val="center"/>
              <w:rPr>
                <w:rFonts w:eastAsia="Times New Roman" w:cs="Times New Roman"/>
                <w:b/>
                <w:bCs/>
                <w:color w:val="000000"/>
                <w:sz w:val="18"/>
                <w:szCs w:val="18"/>
              </w:rPr>
            </w:pPr>
            <w:r w:rsidRPr="003E1961">
              <w:rPr>
                <w:rFonts w:eastAsia="Times New Roman" w:cs="Times New Roman"/>
                <w:b/>
                <w:bCs/>
                <w:color w:val="000000"/>
                <w:sz w:val="18"/>
                <w:szCs w:val="18"/>
              </w:rPr>
              <w:t>Fringe Benefit</w:t>
            </w:r>
          </w:p>
        </w:tc>
        <w:tc>
          <w:tcPr>
            <w:tcW w:w="444" w:type="pct"/>
            <w:tcBorders>
              <w:top w:val="single" w:sz="12" w:space="0" w:color="auto"/>
              <w:bottom w:val="nil"/>
            </w:tcBorders>
            <w:shd w:val="clear" w:color="auto" w:fill="C3C6A8"/>
            <w:vAlign w:val="center"/>
            <w:hideMark/>
          </w:tcPr>
          <w:p w14:paraId="7463778F" w14:textId="77777777" w:rsidR="003E1961" w:rsidRPr="003E1961" w:rsidRDefault="003E1961" w:rsidP="003E1961">
            <w:pPr>
              <w:keepNext/>
              <w:jc w:val="center"/>
              <w:rPr>
                <w:rFonts w:eastAsia="Times New Roman" w:cs="Times New Roman"/>
                <w:b/>
                <w:bCs/>
                <w:color w:val="000000"/>
                <w:sz w:val="18"/>
                <w:szCs w:val="18"/>
              </w:rPr>
            </w:pPr>
            <w:r w:rsidRPr="003E1961">
              <w:rPr>
                <w:rFonts w:eastAsia="Times New Roman" w:cs="Times New Roman"/>
                <w:b/>
                <w:bCs/>
                <w:color w:val="000000"/>
                <w:sz w:val="18"/>
                <w:szCs w:val="18"/>
              </w:rPr>
              <w:t>Fringes as % wage</w:t>
            </w:r>
          </w:p>
        </w:tc>
        <w:tc>
          <w:tcPr>
            <w:tcW w:w="544" w:type="pct"/>
            <w:tcBorders>
              <w:top w:val="single" w:sz="12" w:space="0" w:color="auto"/>
              <w:bottom w:val="nil"/>
            </w:tcBorders>
            <w:shd w:val="clear" w:color="auto" w:fill="C3C6A8"/>
            <w:vAlign w:val="center"/>
            <w:hideMark/>
          </w:tcPr>
          <w:p w14:paraId="26EE9BE4" w14:textId="77777777" w:rsidR="003E1961" w:rsidRPr="003E1961" w:rsidRDefault="003E1961" w:rsidP="003E1961">
            <w:pPr>
              <w:keepNext/>
              <w:jc w:val="center"/>
              <w:rPr>
                <w:rFonts w:eastAsia="Times New Roman" w:cs="Times New Roman"/>
                <w:b/>
                <w:bCs/>
                <w:color w:val="000000"/>
                <w:sz w:val="18"/>
                <w:szCs w:val="18"/>
              </w:rPr>
            </w:pPr>
            <w:r w:rsidRPr="003E1961">
              <w:rPr>
                <w:rFonts w:eastAsia="Times New Roman" w:cs="Times New Roman"/>
                <w:b/>
                <w:bCs/>
                <w:color w:val="000000"/>
                <w:sz w:val="18"/>
                <w:szCs w:val="18"/>
              </w:rPr>
              <w:t>Overhead as % wage</w:t>
            </w:r>
            <w:r w:rsidRPr="003E1961">
              <w:rPr>
                <w:rFonts w:ascii="Arial Narrow" w:eastAsia="Times New Roman" w:hAnsi="Arial Narrow" w:cs="Times New Roman"/>
                <w:color w:val="000000"/>
                <w:sz w:val="18"/>
                <w:szCs w:val="18"/>
              </w:rPr>
              <w:t xml:space="preserve"> </w:t>
            </w:r>
            <w:r w:rsidRPr="003E1961">
              <w:rPr>
                <w:rFonts w:ascii="Arial Narrow" w:eastAsia="Times New Roman" w:hAnsi="Arial Narrow" w:cs="Times New Roman"/>
                <w:color w:val="000000"/>
                <w:sz w:val="18"/>
                <w:szCs w:val="18"/>
                <w:vertAlign w:val="superscript"/>
              </w:rPr>
              <w:t>b</w:t>
            </w:r>
          </w:p>
        </w:tc>
        <w:tc>
          <w:tcPr>
            <w:tcW w:w="562" w:type="pct"/>
            <w:tcBorders>
              <w:top w:val="single" w:sz="12" w:space="0" w:color="auto"/>
              <w:bottom w:val="nil"/>
            </w:tcBorders>
            <w:shd w:val="clear" w:color="auto" w:fill="C3C6A8"/>
            <w:vAlign w:val="center"/>
            <w:hideMark/>
          </w:tcPr>
          <w:p w14:paraId="2ADF45E2" w14:textId="77777777" w:rsidR="003E1961" w:rsidRPr="003E1961" w:rsidRDefault="003E1961" w:rsidP="003E1961">
            <w:pPr>
              <w:keepNext/>
              <w:jc w:val="center"/>
              <w:rPr>
                <w:rFonts w:eastAsia="Times New Roman" w:cs="Times New Roman"/>
                <w:b/>
                <w:bCs/>
                <w:color w:val="000000"/>
                <w:sz w:val="18"/>
                <w:szCs w:val="18"/>
              </w:rPr>
            </w:pPr>
            <w:r w:rsidRPr="003E1961">
              <w:rPr>
                <w:rFonts w:eastAsia="Times New Roman" w:cs="Times New Roman"/>
                <w:b/>
                <w:bCs/>
                <w:color w:val="000000"/>
                <w:sz w:val="18"/>
                <w:szCs w:val="18"/>
              </w:rPr>
              <w:t>Fringe + Overhead Factor</w:t>
            </w:r>
            <w:r w:rsidRPr="003E1961">
              <w:rPr>
                <w:rFonts w:eastAsia="Times New Roman" w:cs="Times New Roman"/>
                <w:b/>
                <w:bCs/>
                <w:color w:val="000000"/>
                <w:sz w:val="20"/>
                <w:szCs w:val="20"/>
              </w:rPr>
              <w:t xml:space="preserve"> </w:t>
            </w:r>
            <w:r w:rsidRPr="003E1961">
              <w:rPr>
                <w:rFonts w:eastAsia="Times New Roman" w:cs="Times New Roman"/>
                <w:b/>
                <w:bCs/>
                <w:color w:val="000000"/>
                <w:sz w:val="20"/>
                <w:szCs w:val="20"/>
                <w:vertAlign w:val="superscript"/>
              </w:rPr>
              <w:t>c</w:t>
            </w:r>
          </w:p>
        </w:tc>
        <w:tc>
          <w:tcPr>
            <w:tcW w:w="505" w:type="pct"/>
            <w:tcBorders>
              <w:top w:val="single" w:sz="12" w:space="0" w:color="auto"/>
              <w:bottom w:val="nil"/>
              <w:right w:val="single" w:sz="12" w:space="0" w:color="auto"/>
            </w:tcBorders>
            <w:shd w:val="clear" w:color="auto" w:fill="C3C6A8"/>
            <w:vAlign w:val="center"/>
            <w:hideMark/>
          </w:tcPr>
          <w:p w14:paraId="5288B097" w14:textId="77777777" w:rsidR="003E1961" w:rsidRPr="003E1961" w:rsidRDefault="003E1961" w:rsidP="003E1961">
            <w:pPr>
              <w:keepNext/>
              <w:jc w:val="center"/>
              <w:rPr>
                <w:rFonts w:eastAsia="Times New Roman" w:cs="Times New Roman"/>
                <w:b/>
                <w:bCs/>
                <w:color w:val="000000"/>
                <w:sz w:val="18"/>
                <w:szCs w:val="18"/>
              </w:rPr>
            </w:pPr>
            <w:r w:rsidRPr="003E1961">
              <w:rPr>
                <w:rFonts w:eastAsia="Times New Roman" w:cs="Times New Roman"/>
                <w:b/>
                <w:bCs/>
                <w:color w:val="000000"/>
                <w:sz w:val="18"/>
                <w:szCs w:val="18"/>
              </w:rPr>
              <w:t>Loaded Wage ($/hour)</w:t>
            </w:r>
          </w:p>
        </w:tc>
      </w:tr>
      <w:tr w:rsidR="003E1961" w:rsidRPr="003E1961" w14:paraId="5F6279B0" w14:textId="77777777" w:rsidTr="003E1961">
        <w:trPr>
          <w:trHeight w:val="300"/>
        </w:trPr>
        <w:tc>
          <w:tcPr>
            <w:tcW w:w="516" w:type="pct"/>
            <w:vMerge/>
            <w:tcBorders>
              <w:left w:val="single" w:sz="12" w:space="0" w:color="auto"/>
              <w:bottom w:val="single" w:sz="12" w:space="0" w:color="auto"/>
            </w:tcBorders>
            <w:shd w:val="clear" w:color="auto" w:fill="C3C6A8"/>
            <w:vAlign w:val="center"/>
            <w:hideMark/>
          </w:tcPr>
          <w:p w14:paraId="40FED0A2" w14:textId="77777777" w:rsidR="003E1961" w:rsidRPr="003E1961" w:rsidRDefault="003E1961" w:rsidP="003E1961">
            <w:pPr>
              <w:keepNext/>
              <w:rPr>
                <w:rFonts w:eastAsia="Times New Roman" w:cs="Times New Roman"/>
                <w:b/>
                <w:bCs/>
                <w:color w:val="000000"/>
                <w:sz w:val="18"/>
                <w:szCs w:val="18"/>
              </w:rPr>
            </w:pPr>
          </w:p>
        </w:tc>
        <w:tc>
          <w:tcPr>
            <w:tcW w:w="1482" w:type="pct"/>
            <w:vMerge/>
            <w:tcBorders>
              <w:bottom w:val="single" w:sz="12" w:space="0" w:color="auto"/>
              <w:right w:val="single" w:sz="4" w:space="0" w:color="auto"/>
            </w:tcBorders>
            <w:shd w:val="clear" w:color="auto" w:fill="C3C6A8"/>
            <w:vAlign w:val="center"/>
            <w:hideMark/>
          </w:tcPr>
          <w:p w14:paraId="0A969E69" w14:textId="77777777" w:rsidR="003E1961" w:rsidRPr="003E1961" w:rsidRDefault="003E1961" w:rsidP="003E1961">
            <w:pPr>
              <w:keepNext/>
              <w:rPr>
                <w:rFonts w:eastAsia="Times New Roman" w:cs="Times New Roman"/>
                <w:b/>
                <w:bCs/>
                <w:color w:val="000000"/>
                <w:sz w:val="18"/>
                <w:szCs w:val="18"/>
              </w:rPr>
            </w:pPr>
          </w:p>
        </w:tc>
        <w:tc>
          <w:tcPr>
            <w:tcW w:w="483" w:type="pct"/>
            <w:tcBorders>
              <w:top w:val="nil"/>
              <w:left w:val="single" w:sz="4" w:space="0" w:color="auto"/>
              <w:bottom w:val="single" w:sz="12" w:space="0" w:color="auto"/>
            </w:tcBorders>
            <w:shd w:val="clear" w:color="auto" w:fill="C3C6A8"/>
            <w:vAlign w:val="center"/>
            <w:hideMark/>
          </w:tcPr>
          <w:p w14:paraId="4F47E787" w14:textId="77777777" w:rsidR="003E1961" w:rsidRPr="003E1961" w:rsidRDefault="003E1961" w:rsidP="003E1961">
            <w:pPr>
              <w:keepNext/>
              <w:jc w:val="center"/>
              <w:rPr>
                <w:rFonts w:eastAsia="Times New Roman" w:cs="Times New Roman"/>
                <w:b/>
                <w:bCs/>
                <w:color w:val="000000"/>
                <w:sz w:val="16"/>
                <w:szCs w:val="16"/>
              </w:rPr>
            </w:pPr>
            <w:r w:rsidRPr="003E1961">
              <w:rPr>
                <w:rFonts w:eastAsia="Times New Roman" w:cs="Times New Roman"/>
                <w:b/>
                <w:bCs/>
                <w:color w:val="000000"/>
                <w:sz w:val="16"/>
                <w:szCs w:val="16"/>
              </w:rPr>
              <w:t>(a)</w:t>
            </w:r>
          </w:p>
        </w:tc>
        <w:tc>
          <w:tcPr>
            <w:tcW w:w="464" w:type="pct"/>
            <w:tcBorders>
              <w:top w:val="nil"/>
              <w:bottom w:val="single" w:sz="12" w:space="0" w:color="auto"/>
            </w:tcBorders>
            <w:shd w:val="clear" w:color="auto" w:fill="C3C6A8"/>
            <w:vAlign w:val="center"/>
            <w:hideMark/>
          </w:tcPr>
          <w:p w14:paraId="148A0787" w14:textId="77777777" w:rsidR="003E1961" w:rsidRPr="003E1961" w:rsidRDefault="003E1961" w:rsidP="003E1961">
            <w:pPr>
              <w:keepNext/>
              <w:jc w:val="center"/>
              <w:rPr>
                <w:rFonts w:eastAsia="Times New Roman" w:cs="Times New Roman"/>
                <w:b/>
                <w:bCs/>
                <w:color w:val="000000"/>
                <w:sz w:val="16"/>
                <w:szCs w:val="16"/>
              </w:rPr>
            </w:pPr>
            <w:r w:rsidRPr="003E1961">
              <w:rPr>
                <w:rFonts w:eastAsia="Times New Roman" w:cs="Times New Roman"/>
                <w:b/>
                <w:bCs/>
                <w:color w:val="000000"/>
                <w:sz w:val="16"/>
                <w:szCs w:val="16"/>
              </w:rPr>
              <w:t>(b)</w:t>
            </w:r>
          </w:p>
        </w:tc>
        <w:tc>
          <w:tcPr>
            <w:tcW w:w="444" w:type="pct"/>
            <w:tcBorders>
              <w:top w:val="nil"/>
              <w:bottom w:val="single" w:sz="12" w:space="0" w:color="auto"/>
            </w:tcBorders>
            <w:shd w:val="clear" w:color="auto" w:fill="C3C6A8"/>
            <w:vAlign w:val="center"/>
            <w:hideMark/>
          </w:tcPr>
          <w:p w14:paraId="0E4F8596" w14:textId="77777777" w:rsidR="003E1961" w:rsidRPr="003E1961" w:rsidRDefault="003E1961" w:rsidP="003E1961">
            <w:pPr>
              <w:keepNext/>
              <w:jc w:val="center"/>
              <w:rPr>
                <w:rFonts w:eastAsia="Times New Roman" w:cs="Times New Roman"/>
                <w:b/>
                <w:bCs/>
                <w:color w:val="000000"/>
                <w:sz w:val="16"/>
                <w:szCs w:val="16"/>
              </w:rPr>
            </w:pPr>
            <w:r w:rsidRPr="003E1961">
              <w:rPr>
                <w:rFonts w:eastAsia="Times New Roman" w:cs="Times New Roman"/>
                <w:b/>
                <w:bCs/>
                <w:color w:val="000000"/>
                <w:sz w:val="16"/>
                <w:szCs w:val="16"/>
              </w:rPr>
              <w:t>(c) =   (b) / (a)</w:t>
            </w:r>
          </w:p>
        </w:tc>
        <w:tc>
          <w:tcPr>
            <w:tcW w:w="544" w:type="pct"/>
            <w:tcBorders>
              <w:top w:val="nil"/>
              <w:bottom w:val="single" w:sz="12" w:space="0" w:color="auto"/>
            </w:tcBorders>
            <w:shd w:val="clear" w:color="auto" w:fill="C3C6A8"/>
            <w:vAlign w:val="center"/>
            <w:hideMark/>
          </w:tcPr>
          <w:p w14:paraId="1BC4802B" w14:textId="77777777" w:rsidR="003E1961" w:rsidRPr="003E1961" w:rsidRDefault="003E1961" w:rsidP="003E1961">
            <w:pPr>
              <w:keepNext/>
              <w:jc w:val="center"/>
              <w:rPr>
                <w:rFonts w:eastAsia="Times New Roman" w:cs="Times New Roman"/>
                <w:b/>
                <w:bCs/>
                <w:color w:val="000000"/>
                <w:sz w:val="16"/>
                <w:szCs w:val="16"/>
              </w:rPr>
            </w:pPr>
            <w:r w:rsidRPr="003E1961">
              <w:rPr>
                <w:rFonts w:eastAsia="Times New Roman" w:cs="Times New Roman"/>
                <w:b/>
                <w:bCs/>
                <w:color w:val="000000"/>
                <w:sz w:val="16"/>
                <w:szCs w:val="16"/>
              </w:rPr>
              <w:t>(d)</w:t>
            </w:r>
          </w:p>
        </w:tc>
        <w:tc>
          <w:tcPr>
            <w:tcW w:w="562" w:type="pct"/>
            <w:tcBorders>
              <w:top w:val="nil"/>
              <w:bottom w:val="single" w:sz="12" w:space="0" w:color="auto"/>
            </w:tcBorders>
            <w:shd w:val="clear" w:color="auto" w:fill="C3C6A8"/>
            <w:vAlign w:val="center"/>
            <w:hideMark/>
          </w:tcPr>
          <w:p w14:paraId="5C75BFB2" w14:textId="77777777" w:rsidR="003E1961" w:rsidRPr="003E1961" w:rsidRDefault="003E1961" w:rsidP="003E1961">
            <w:pPr>
              <w:keepNext/>
              <w:jc w:val="center"/>
              <w:rPr>
                <w:rFonts w:eastAsia="Times New Roman" w:cs="Times New Roman"/>
                <w:b/>
                <w:bCs/>
                <w:color w:val="000000"/>
                <w:sz w:val="16"/>
                <w:szCs w:val="16"/>
              </w:rPr>
            </w:pPr>
            <w:r w:rsidRPr="003E1961">
              <w:rPr>
                <w:rFonts w:eastAsia="Times New Roman" w:cs="Times New Roman"/>
                <w:b/>
                <w:bCs/>
                <w:color w:val="000000"/>
                <w:sz w:val="16"/>
                <w:szCs w:val="16"/>
              </w:rPr>
              <w:t xml:space="preserve">(e) = </w:t>
            </w:r>
            <w:r w:rsidRPr="003E1961">
              <w:rPr>
                <w:rFonts w:eastAsia="Times New Roman" w:cs="Times New Roman"/>
                <w:b/>
                <w:bCs/>
                <w:color w:val="000000"/>
                <w:sz w:val="16"/>
                <w:szCs w:val="16"/>
              </w:rPr>
              <w:br/>
              <w:t>(c) + (d) + 1</w:t>
            </w:r>
          </w:p>
        </w:tc>
        <w:tc>
          <w:tcPr>
            <w:tcW w:w="505" w:type="pct"/>
            <w:tcBorders>
              <w:top w:val="nil"/>
              <w:bottom w:val="single" w:sz="12" w:space="0" w:color="auto"/>
              <w:right w:val="single" w:sz="12" w:space="0" w:color="auto"/>
            </w:tcBorders>
            <w:shd w:val="clear" w:color="auto" w:fill="C3C6A8"/>
            <w:vAlign w:val="center"/>
            <w:hideMark/>
          </w:tcPr>
          <w:p w14:paraId="2C47F3D8" w14:textId="77777777" w:rsidR="003E1961" w:rsidRPr="003E1961" w:rsidRDefault="003E1961" w:rsidP="003E1961">
            <w:pPr>
              <w:keepNext/>
              <w:jc w:val="center"/>
              <w:rPr>
                <w:rFonts w:eastAsia="Times New Roman" w:cs="Times New Roman"/>
                <w:b/>
                <w:bCs/>
                <w:color w:val="000000"/>
                <w:sz w:val="16"/>
                <w:szCs w:val="16"/>
              </w:rPr>
            </w:pPr>
            <w:r w:rsidRPr="003E1961">
              <w:rPr>
                <w:rFonts w:eastAsia="Times New Roman" w:cs="Times New Roman"/>
                <w:b/>
                <w:bCs/>
                <w:color w:val="000000"/>
                <w:sz w:val="16"/>
                <w:szCs w:val="16"/>
              </w:rPr>
              <w:t>(f) =</w:t>
            </w:r>
            <w:r w:rsidRPr="003E1961">
              <w:rPr>
                <w:rFonts w:eastAsia="Times New Roman" w:cs="Times New Roman"/>
                <w:b/>
                <w:bCs/>
                <w:color w:val="000000"/>
                <w:sz w:val="16"/>
                <w:szCs w:val="16"/>
              </w:rPr>
              <w:br/>
              <w:t xml:space="preserve"> (a) </w:t>
            </w:r>
            <w:r w:rsidRPr="003E1961">
              <w:rPr>
                <w:rFonts w:eastAsia="Times New Roman" w:cs="Times New Roman"/>
                <w:b/>
                <w:bCs/>
                <w:i/>
                <w:iCs/>
                <w:color w:val="000000"/>
                <w:sz w:val="16"/>
                <w:szCs w:val="16"/>
              </w:rPr>
              <w:t>×</w:t>
            </w:r>
            <w:r w:rsidRPr="003E1961">
              <w:rPr>
                <w:rFonts w:eastAsia="Times New Roman" w:cs="Times New Roman"/>
                <w:b/>
                <w:bCs/>
                <w:color w:val="000000"/>
                <w:sz w:val="16"/>
                <w:szCs w:val="16"/>
              </w:rPr>
              <w:t xml:space="preserve"> (e)</w:t>
            </w:r>
          </w:p>
        </w:tc>
      </w:tr>
      <w:tr w:rsidR="003E1961" w:rsidRPr="003E1961" w14:paraId="460D7E98" w14:textId="77777777" w:rsidTr="00921211">
        <w:trPr>
          <w:trHeight w:val="517"/>
        </w:trPr>
        <w:tc>
          <w:tcPr>
            <w:tcW w:w="516" w:type="pct"/>
            <w:vMerge w:val="restart"/>
            <w:tcBorders>
              <w:top w:val="single" w:sz="12" w:space="0" w:color="auto"/>
              <w:left w:val="single" w:sz="12" w:space="0" w:color="auto"/>
            </w:tcBorders>
            <w:shd w:val="clear" w:color="auto" w:fill="auto"/>
            <w:vAlign w:val="center"/>
            <w:hideMark/>
          </w:tcPr>
          <w:p w14:paraId="5FE33512" w14:textId="77777777" w:rsidR="003E1961" w:rsidRPr="003E1961" w:rsidRDefault="003E1961" w:rsidP="003E1961">
            <w:pPr>
              <w:keepNext/>
              <w:rPr>
                <w:rFonts w:ascii="Arial Narrow" w:eastAsia="Times New Roman" w:hAnsi="Arial Narrow" w:cs="Times New Roman"/>
                <w:color w:val="000000"/>
                <w:sz w:val="18"/>
                <w:szCs w:val="18"/>
              </w:rPr>
            </w:pPr>
            <w:r w:rsidRPr="003E1961">
              <w:rPr>
                <w:rFonts w:ascii="Arial Narrow" w:eastAsia="Times New Roman" w:hAnsi="Arial Narrow" w:cs="Times New Roman"/>
                <w:color w:val="000000"/>
                <w:sz w:val="18"/>
                <w:szCs w:val="18"/>
              </w:rPr>
              <w:t>EPA staff</w:t>
            </w:r>
          </w:p>
        </w:tc>
        <w:tc>
          <w:tcPr>
            <w:tcW w:w="1482" w:type="pct"/>
            <w:vMerge w:val="restart"/>
            <w:tcBorders>
              <w:top w:val="single" w:sz="12" w:space="0" w:color="auto"/>
            </w:tcBorders>
            <w:shd w:val="clear" w:color="auto" w:fill="auto"/>
            <w:vAlign w:val="center"/>
            <w:hideMark/>
          </w:tcPr>
          <w:p w14:paraId="2A77CF1A" w14:textId="77777777" w:rsidR="003E1961" w:rsidRPr="003E1961" w:rsidRDefault="003E1961" w:rsidP="003E1961">
            <w:pPr>
              <w:keepNext/>
              <w:rPr>
                <w:rFonts w:ascii="Arial Narrow" w:eastAsia="Times New Roman" w:hAnsi="Arial Narrow" w:cs="Times New Roman"/>
                <w:color w:val="000000"/>
                <w:sz w:val="18"/>
                <w:szCs w:val="18"/>
              </w:rPr>
            </w:pPr>
            <w:r w:rsidRPr="003E1961">
              <w:rPr>
                <w:rFonts w:ascii="Arial Narrow" w:eastAsia="Times New Roman" w:hAnsi="Arial Narrow" w:cs="Times New Roman"/>
                <w:color w:val="000000"/>
                <w:sz w:val="18"/>
                <w:szCs w:val="18"/>
              </w:rPr>
              <w:t>Annual federal staff cost: OPM Washington-Baltimore-Arlington, DC-MD-PA-VA-WV area,</w:t>
            </w:r>
            <w:r w:rsidRPr="00602C74">
              <w:rPr>
                <w:rFonts w:ascii="Arial Narrow" w:hAnsi="Arial Narrow"/>
                <w:color w:val="000000"/>
                <w:sz w:val="18"/>
              </w:rPr>
              <w:t xml:space="preserve"> </w:t>
            </w:r>
            <w:r w:rsidRPr="003E1961">
              <w:rPr>
                <w:rFonts w:ascii="Arial Narrow" w:eastAsia="Times New Roman" w:hAnsi="Arial Narrow" w:cs="Times New Roman"/>
                <w:color w:val="000000"/>
                <w:sz w:val="18"/>
                <w:szCs w:val="18"/>
              </w:rPr>
              <w:t>GS-13 Step 5 pay rates</w:t>
            </w:r>
          </w:p>
        </w:tc>
        <w:tc>
          <w:tcPr>
            <w:tcW w:w="483" w:type="pct"/>
            <w:vMerge w:val="restart"/>
            <w:tcBorders>
              <w:top w:val="single" w:sz="12" w:space="0" w:color="auto"/>
            </w:tcBorders>
            <w:shd w:val="clear" w:color="auto" w:fill="auto"/>
            <w:vAlign w:val="center"/>
            <w:hideMark/>
          </w:tcPr>
          <w:p w14:paraId="5150F0EF" w14:textId="77777777" w:rsidR="003E1961" w:rsidRPr="003E1961" w:rsidRDefault="003E1961" w:rsidP="003E1961">
            <w:pPr>
              <w:keepNext/>
              <w:jc w:val="center"/>
              <w:rPr>
                <w:rFonts w:ascii="Arial Narrow" w:eastAsia="Times New Roman" w:hAnsi="Arial Narrow" w:cs="Times New Roman"/>
                <w:color w:val="000000"/>
                <w:sz w:val="18"/>
                <w:szCs w:val="18"/>
              </w:rPr>
            </w:pPr>
            <w:r w:rsidRPr="003E1961">
              <w:rPr>
                <w:rFonts w:ascii="Arial Narrow" w:eastAsia="Times New Roman" w:hAnsi="Arial Narrow" w:cs="Times New Roman"/>
                <w:color w:val="000000"/>
                <w:sz w:val="18"/>
                <w:szCs w:val="18"/>
              </w:rPr>
              <w:t>$51.48</w:t>
            </w:r>
          </w:p>
        </w:tc>
        <w:tc>
          <w:tcPr>
            <w:tcW w:w="464" w:type="pct"/>
            <w:vMerge w:val="restart"/>
            <w:tcBorders>
              <w:top w:val="single" w:sz="12" w:space="0" w:color="auto"/>
            </w:tcBorders>
            <w:shd w:val="clear" w:color="auto" w:fill="auto"/>
            <w:vAlign w:val="center"/>
            <w:hideMark/>
          </w:tcPr>
          <w:p w14:paraId="2937EE85" w14:textId="77777777" w:rsidR="003E1961" w:rsidRPr="003E1961" w:rsidRDefault="003E1961" w:rsidP="003E1961">
            <w:pPr>
              <w:keepNext/>
              <w:rPr>
                <w:rFonts w:ascii="Arial Narrow" w:eastAsia="Times New Roman" w:hAnsi="Arial Narrow" w:cs="Times New Roman"/>
                <w:color w:val="000000"/>
                <w:sz w:val="18"/>
                <w:szCs w:val="18"/>
              </w:rPr>
            </w:pPr>
            <w:r w:rsidRPr="003E1961">
              <w:rPr>
                <w:rFonts w:ascii="Arial Narrow" w:eastAsia="Times New Roman" w:hAnsi="Arial Narrow" w:cs="Times New Roman"/>
                <w:color w:val="000000"/>
                <w:sz w:val="18"/>
                <w:szCs w:val="18"/>
              </w:rPr>
              <w:t>Included in 60% overhead</w:t>
            </w:r>
          </w:p>
        </w:tc>
        <w:tc>
          <w:tcPr>
            <w:tcW w:w="444" w:type="pct"/>
            <w:vMerge w:val="restart"/>
            <w:tcBorders>
              <w:top w:val="single" w:sz="12" w:space="0" w:color="auto"/>
            </w:tcBorders>
            <w:shd w:val="clear" w:color="auto" w:fill="auto"/>
            <w:vAlign w:val="center"/>
            <w:hideMark/>
          </w:tcPr>
          <w:p w14:paraId="61C63B28" w14:textId="77777777" w:rsidR="003E1961" w:rsidRPr="003E1961" w:rsidRDefault="003E1961" w:rsidP="003E1961">
            <w:pPr>
              <w:keepNext/>
              <w:jc w:val="center"/>
              <w:rPr>
                <w:rFonts w:ascii="Arial Narrow" w:eastAsia="Times New Roman" w:hAnsi="Arial Narrow" w:cs="Times New Roman"/>
                <w:color w:val="000000"/>
                <w:sz w:val="18"/>
                <w:szCs w:val="18"/>
              </w:rPr>
            </w:pPr>
            <w:r w:rsidRPr="003E1961">
              <w:rPr>
                <w:rFonts w:ascii="Arial Narrow" w:eastAsia="Times New Roman" w:hAnsi="Arial Narrow" w:cs="Times New Roman"/>
                <w:color w:val="000000"/>
                <w:sz w:val="18"/>
                <w:szCs w:val="18"/>
              </w:rPr>
              <w:t>N/A</w:t>
            </w:r>
          </w:p>
        </w:tc>
        <w:tc>
          <w:tcPr>
            <w:tcW w:w="544" w:type="pct"/>
            <w:vMerge w:val="restart"/>
            <w:tcBorders>
              <w:top w:val="single" w:sz="12" w:space="0" w:color="auto"/>
            </w:tcBorders>
            <w:shd w:val="clear" w:color="auto" w:fill="auto"/>
            <w:vAlign w:val="center"/>
            <w:hideMark/>
          </w:tcPr>
          <w:p w14:paraId="0CD85B61" w14:textId="77777777" w:rsidR="003E1961" w:rsidRPr="003E1961" w:rsidRDefault="003E1961" w:rsidP="003E1961">
            <w:pPr>
              <w:keepNext/>
              <w:jc w:val="center"/>
              <w:rPr>
                <w:rFonts w:ascii="Arial Narrow" w:eastAsia="Times New Roman" w:hAnsi="Arial Narrow" w:cs="Times New Roman"/>
                <w:color w:val="000000"/>
                <w:sz w:val="18"/>
                <w:szCs w:val="18"/>
              </w:rPr>
            </w:pPr>
            <w:r w:rsidRPr="003E1961">
              <w:rPr>
                <w:rFonts w:ascii="Arial Narrow" w:eastAsia="Times New Roman" w:hAnsi="Arial Narrow" w:cs="Times New Roman"/>
                <w:color w:val="000000"/>
                <w:sz w:val="18"/>
                <w:szCs w:val="18"/>
              </w:rPr>
              <w:t>60%</w:t>
            </w:r>
          </w:p>
        </w:tc>
        <w:tc>
          <w:tcPr>
            <w:tcW w:w="562" w:type="pct"/>
            <w:vMerge w:val="restart"/>
            <w:tcBorders>
              <w:top w:val="single" w:sz="12" w:space="0" w:color="auto"/>
            </w:tcBorders>
            <w:shd w:val="clear" w:color="auto" w:fill="auto"/>
            <w:vAlign w:val="center"/>
            <w:hideMark/>
          </w:tcPr>
          <w:p w14:paraId="633656A7" w14:textId="77777777" w:rsidR="003E1961" w:rsidRPr="003E1961" w:rsidRDefault="003E1961" w:rsidP="003E1961">
            <w:pPr>
              <w:keepNext/>
              <w:jc w:val="center"/>
              <w:rPr>
                <w:rFonts w:ascii="Arial Narrow" w:eastAsia="Times New Roman" w:hAnsi="Arial Narrow" w:cs="Times New Roman"/>
                <w:color w:val="000000"/>
                <w:sz w:val="18"/>
                <w:szCs w:val="18"/>
              </w:rPr>
            </w:pPr>
            <w:r w:rsidRPr="003E1961">
              <w:rPr>
                <w:rFonts w:ascii="Arial Narrow" w:eastAsia="Times New Roman" w:hAnsi="Arial Narrow" w:cs="Times New Roman"/>
                <w:color w:val="000000"/>
                <w:sz w:val="18"/>
                <w:szCs w:val="18"/>
              </w:rPr>
              <w:t>1.6</w:t>
            </w:r>
          </w:p>
        </w:tc>
        <w:tc>
          <w:tcPr>
            <w:tcW w:w="505" w:type="pct"/>
            <w:vMerge w:val="restart"/>
            <w:tcBorders>
              <w:top w:val="single" w:sz="12" w:space="0" w:color="auto"/>
              <w:right w:val="single" w:sz="12" w:space="0" w:color="auto"/>
            </w:tcBorders>
            <w:shd w:val="clear" w:color="auto" w:fill="auto"/>
            <w:vAlign w:val="center"/>
            <w:hideMark/>
          </w:tcPr>
          <w:p w14:paraId="36A72A46" w14:textId="77777777" w:rsidR="003E1961" w:rsidRPr="003E1961" w:rsidRDefault="003E1961" w:rsidP="003E1961">
            <w:pPr>
              <w:keepNext/>
              <w:jc w:val="center"/>
              <w:rPr>
                <w:rFonts w:ascii="Arial Narrow" w:eastAsia="Times New Roman" w:hAnsi="Arial Narrow" w:cs="Times New Roman"/>
                <w:color w:val="000000"/>
                <w:sz w:val="18"/>
                <w:szCs w:val="18"/>
              </w:rPr>
            </w:pPr>
            <w:bookmarkStart w:id="71" w:name="RANGE!H4"/>
            <w:r w:rsidRPr="003E1961">
              <w:rPr>
                <w:rFonts w:ascii="Arial Narrow" w:eastAsia="Times New Roman" w:hAnsi="Arial Narrow" w:cs="Times New Roman"/>
                <w:color w:val="000000"/>
                <w:sz w:val="18"/>
                <w:szCs w:val="18"/>
              </w:rPr>
              <w:t>$</w:t>
            </w:r>
            <w:bookmarkEnd w:id="71"/>
            <w:r w:rsidRPr="003E1961">
              <w:rPr>
                <w:rFonts w:ascii="Arial Narrow" w:eastAsia="Times New Roman" w:hAnsi="Arial Narrow" w:cs="Times New Roman"/>
                <w:color w:val="000000"/>
                <w:sz w:val="18"/>
                <w:szCs w:val="18"/>
              </w:rPr>
              <w:t>82.37</w:t>
            </w:r>
          </w:p>
        </w:tc>
      </w:tr>
      <w:tr w:rsidR="003E1961" w:rsidRPr="003E1961" w14:paraId="7ED1CA1E" w14:textId="77777777" w:rsidTr="003E1961">
        <w:trPr>
          <w:trHeight w:val="675"/>
        </w:trPr>
        <w:tc>
          <w:tcPr>
            <w:tcW w:w="516" w:type="pct"/>
            <w:vMerge/>
            <w:tcBorders>
              <w:left w:val="single" w:sz="12" w:space="0" w:color="auto"/>
              <w:bottom w:val="single" w:sz="6" w:space="0" w:color="auto"/>
            </w:tcBorders>
            <w:vAlign w:val="center"/>
            <w:hideMark/>
          </w:tcPr>
          <w:p w14:paraId="0EBE6BC8" w14:textId="77777777" w:rsidR="003E1961" w:rsidRPr="003E1961" w:rsidRDefault="003E1961" w:rsidP="003E1961">
            <w:pPr>
              <w:keepNext/>
              <w:rPr>
                <w:rFonts w:eastAsia="Times New Roman" w:cs="Times New Roman"/>
                <w:color w:val="000000"/>
                <w:sz w:val="20"/>
                <w:szCs w:val="20"/>
              </w:rPr>
            </w:pPr>
          </w:p>
        </w:tc>
        <w:tc>
          <w:tcPr>
            <w:tcW w:w="1482" w:type="pct"/>
            <w:vMerge/>
            <w:tcBorders>
              <w:bottom w:val="single" w:sz="6" w:space="0" w:color="auto"/>
            </w:tcBorders>
            <w:vAlign w:val="center"/>
            <w:hideMark/>
          </w:tcPr>
          <w:p w14:paraId="3A3993F9" w14:textId="77777777" w:rsidR="003E1961" w:rsidRPr="003E1961" w:rsidRDefault="003E1961" w:rsidP="003E1961">
            <w:pPr>
              <w:keepNext/>
              <w:rPr>
                <w:rFonts w:eastAsia="Times New Roman" w:cs="Times New Roman"/>
                <w:color w:val="000000"/>
                <w:sz w:val="16"/>
                <w:szCs w:val="16"/>
              </w:rPr>
            </w:pPr>
          </w:p>
        </w:tc>
        <w:tc>
          <w:tcPr>
            <w:tcW w:w="483" w:type="pct"/>
            <w:vMerge/>
            <w:tcBorders>
              <w:bottom w:val="single" w:sz="6" w:space="0" w:color="auto"/>
            </w:tcBorders>
            <w:vAlign w:val="center"/>
            <w:hideMark/>
          </w:tcPr>
          <w:p w14:paraId="4DEE99C3" w14:textId="77777777" w:rsidR="003E1961" w:rsidRPr="003E1961" w:rsidRDefault="003E1961" w:rsidP="003E1961">
            <w:pPr>
              <w:keepNext/>
              <w:rPr>
                <w:rFonts w:eastAsia="Times New Roman" w:cs="Times New Roman"/>
                <w:color w:val="000000"/>
                <w:sz w:val="20"/>
                <w:szCs w:val="20"/>
              </w:rPr>
            </w:pPr>
          </w:p>
        </w:tc>
        <w:tc>
          <w:tcPr>
            <w:tcW w:w="464" w:type="pct"/>
            <w:vMerge/>
            <w:tcBorders>
              <w:bottom w:val="single" w:sz="6" w:space="0" w:color="auto"/>
            </w:tcBorders>
            <w:vAlign w:val="center"/>
            <w:hideMark/>
          </w:tcPr>
          <w:p w14:paraId="558DB3AB" w14:textId="77777777" w:rsidR="003E1961" w:rsidRPr="003E1961" w:rsidRDefault="003E1961" w:rsidP="003E1961">
            <w:pPr>
              <w:keepNext/>
              <w:rPr>
                <w:rFonts w:eastAsia="Times New Roman" w:cs="Times New Roman"/>
                <w:color w:val="000000"/>
                <w:sz w:val="20"/>
                <w:szCs w:val="20"/>
              </w:rPr>
            </w:pPr>
          </w:p>
        </w:tc>
        <w:tc>
          <w:tcPr>
            <w:tcW w:w="444" w:type="pct"/>
            <w:vMerge/>
            <w:tcBorders>
              <w:bottom w:val="single" w:sz="6" w:space="0" w:color="auto"/>
            </w:tcBorders>
            <w:vAlign w:val="center"/>
            <w:hideMark/>
          </w:tcPr>
          <w:p w14:paraId="38327B31" w14:textId="77777777" w:rsidR="003E1961" w:rsidRPr="003E1961" w:rsidRDefault="003E1961" w:rsidP="003E1961">
            <w:pPr>
              <w:keepNext/>
              <w:rPr>
                <w:rFonts w:eastAsia="Times New Roman" w:cs="Times New Roman"/>
                <w:color w:val="000000"/>
                <w:sz w:val="20"/>
                <w:szCs w:val="20"/>
              </w:rPr>
            </w:pPr>
          </w:p>
        </w:tc>
        <w:tc>
          <w:tcPr>
            <w:tcW w:w="544" w:type="pct"/>
            <w:vMerge/>
            <w:tcBorders>
              <w:bottom w:val="single" w:sz="6" w:space="0" w:color="auto"/>
            </w:tcBorders>
            <w:vAlign w:val="center"/>
            <w:hideMark/>
          </w:tcPr>
          <w:p w14:paraId="03ACD900" w14:textId="77777777" w:rsidR="003E1961" w:rsidRPr="003E1961" w:rsidRDefault="003E1961" w:rsidP="003E1961">
            <w:pPr>
              <w:keepNext/>
              <w:rPr>
                <w:rFonts w:eastAsia="Times New Roman" w:cs="Times New Roman"/>
                <w:color w:val="000000"/>
                <w:sz w:val="20"/>
                <w:szCs w:val="20"/>
              </w:rPr>
            </w:pPr>
          </w:p>
        </w:tc>
        <w:tc>
          <w:tcPr>
            <w:tcW w:w="562" w:type="pct"/>
            <w:vMerge/>
            <w:tcBorders>
              <w:bottom w:val="single" w:sz="6" w:space="0" w:color="auto"/>
            </w:tcBorders>
            <w:vAlign w:val="center"/>
            <w:hideMark/>
          </w:tcPr>
          <w:p w14:paraId="190D9272" w14:textId="77777777" w:rsidR="003E1961" w:rsidRPr="003E1961" w:rsidRDefault="003E1961" w:rsidP="003E1961">
            <w:pPr>
              <w:keepNext/>
              <w:rPr>
                <w:rFonts w:eastAsia="Times New Roman" w:cs="Times New Roman"/>
                <w:color w:val="000000"/>
                <w:sz w:val="20"/>
                <w:szCs w:val="20"/>
              </w:rPr>
            </w:pPr>
          </w:p>
        </w:tc>
        <w:tc>
          <w:tcPr>
            <w:tcW w:w="505" w:type="pct"/>
            <w:vMerge/>
            <w:tcBorders>
              <w:bottom w:val="single" w:sz="6" w:space="0" w:color="auto"/>
              <w:right w:val="single" w:sz="12" w:space="0" w:color="auto"/>
            </w:tcBorders>
            <w:vAlign w:val="center"/>
            <w:hideMark/>
          </w:tcPr>
          <w:p w14:paraId="38B7D0CB" w14:textId="77777777" w:rsidR="003E1961" w:rsidRPr="003E1961" w:rsidRDefault="003E1961" w:rsidP="003E1961">
            <w:pPr>
              <w:keepNext/>
              <w:rPr>
                <w:rFonts w:eastAsia="Times New Roman" w:cs="Times New Roman"/>
                <w:color w:val="000000"/>
                <w:sz w:val="20"/>
                <w:szCs w:val="20"/>
              </w:rPr>
            </w:pPr>
          </w:p>
        </w:tc>
      </w:tr>
      <w:tr w:rsidR="003E1961" w:rsidRPr="003E1961" w14:paraId="5E9B2C63" w14:textId="77777777" w:rsidTr="007161A0">
        <w:trPr>
          <w:trHeight w:val="975"/>
        </w:trPr>
        <w:tc>
          <w:tcPr>
            <w:tcW w:w="5000" w:type="pct"/>
            <w:gridSpan w:val="8"/>
            <w:tcBorders>
              <w:left w:val="single" w:sz="12" w:space="0" w:color="auto"/>
              <w:bottom w:val="single" w:sz="12" w:space="0" w:color="auto"/>
              <w:right w:val="single" w:sz="12" w:space="0" w:color="auto"/>
            </w:tcBorders>
            <w:shd w:val="clear" w:color="auto" w:fill="auto"/>
            <w:vAlign w:val="center"/>
            <w:hideMark/>
          </w:tcPr>
          <w:p w14:paraId="5143E0F3" w14:textId="77777777" w:rsidR="003E1961" w:rsidRPr="007161A0" w:rsidRDefault="003E1961" w:rsidP="003E1961">
            <w:pPr>
              <w:rPr>
                <w:rFonts w:ascii="Arial Narrow" w:eastAsia="Times New Roman" w:hAnsi="Arial Narrow" w:cs="Times New Roman"/>
                <w:b/>
                <w:color w:val="000000"/>
                <w:sz w:val="18"/>
                <w:szCs w:val="18"/>
              </w:rPr>
            </w:pPr>
            <w:r w:rsidRPr="007161A0">
              <w:rPr>
                <w:rFonts w:ascii="Arial Narrow" w:eastAsia="Times New Roman" w:hAnsi="Arial Narrow" w:cs="Times New Roman"/>
                <w:b/>
                <w:color w:val="000000"/>
                <w:sz w:val="18"/>
                <w:szCs w:val="18"/>
              </w:rPr>
              <w:t>Footnotes</w:t>
            </w:r>
          </w:p>
          <w:p w14:paraId="3419B474" w14:textId="181E258A" w:rsidR="003E1961" w:rsidRPr="007161A0" w:rsidRDefault="003E1961" w:rsidP="003E1961">
            <w:pPr>
              <w:rPr>
                <w:rFonts w:ascii="Arial Narrow" w:eastAsia="Times New Roman" w:hAnsi="Arial Narrow" w:cs="Times New Roman"/>
                <w:b/>
                <w:color w:val="000000"/>
                <w:sz w:val="18"/>
                <w:szCs w:val="18"/>
              </w:rPr>
            </w:pPr>
            <w:r w:rsidRPr="007161A0">
              <w:rPr>
                <w:rFonts w:ascii="Arial Narrow" w:eastAsia="Times New Roman" w:hAnsi="Arial Narrow" w:cs="Times New Roman"/>
                <w:color w:val="000000"/>
                <w:sz w:val="18"/>
                <w:szCs w:val="18"/>
                <w:vertAlign w:val="superscript"/>
              </w:rPr>
              <w:t>a</w:t>
            </w:r>
            <w:r w:rsidRPr="007161A0">
              <w:rPr>
                <w:rFonts w:ascii="Arial Narrow" w:eastAsia="Times New Roman" w:hAnsi="Arial Narrow" w:cs="Times New Roman"/>
                <w:color w:val="000000"/>
                <w:sz w:val="18"/>
                <w:szCs w:val="18"/>
              </w:rPr>
              <w:t xml:space="preserve"> Source: Salaries &amp; Wages for the locality of Washington-Baltimore-Arlington </w:t>
            </w:r>
            <w:r w:rsidRPr="007161A0">
              <w:rPr>
                <w:rFonts w:ascii="Arial Narrow" w:eastAsia="Times New Roman" w:hAnsi="Arial Narrow" w:cs="Times New Roman"/>
                <w:color w:val="000000"/>
                <w:sz w:val="18"/>
                <w:szCs w:val="18"/>
              </w:rPr>
              <w:fldChar w:fldCharType="begin"/>
            </w:r>
            <w:r w:rsidR="00A7763C">
              <w:rPr>
                <w:rFonts w:ascii="Arial Narrow" w:eastAsia="Times New Roman" w:hAnsi="Arial Narrow" w:cs="Times New Roman"/>
                <w:color w:val="000000"/>
                <w:sz w:val="18"/>
                <w:szCs w:val="18"/>
              </w:rPr>
              <w:instrText xml:space="preserve"> ADDIN ZOTERO_ITEM CSL_CITATION {"citationID":"7DXb3Hz0","properties":{"formattedCitation":"(Office of Personnel Management (OPM), 2017)","plainCitation":"(Office of Personnel Management (OPM), 2017)","noteIndex":0},"citationItems":[{"id":1677,"uris":["http://zotero.org/groups/1140234/items/DVEJVKAU"],"uri":["http://zotero.org/groups/1140234/items/DVEJVKAU"],"itemData":{"id":1677,"type":"webpage","title":"Pay &amp; Leave: Salaries &amp; Wages: Salary Table 2017-DCB","URL":"www.opm.gov/policy-data-oversight/pay-leave/salaries-wages/salary-tables/17Tables/html/DCB_h.aspx","shortTitle":"Pay &amp; Leave: Salaries &amp; Wages: Salary Table 2017-DCB","author":[{"literal":"Office of Personnel Management (OPM)"}],"issued":{"date-parts":[["2017"]]}}}],"schema":"https://github.com/citation-style-language/schema/raw/master/csl-citation.json"} </w:instrText>
            </w:r>
            <w:r w:rsidRPr="007161A0">
              <w:rPr>
                <w:rFonts w:ascii="Arial Narrow" w:eastAsia="Times New Roman" w:hAnsi="Arial Narrow" w:cs="Times New Roman"/>
                <w:color w:val="000000"/>
                <w:sz w:val="18"/>
                <w:szCs w:val="18"/>
              </w:rPr>
              <w:fldChar w:fldCharType="separate"/>
            </w:r>
            <w:r w:rsidR="001D4BD9" w:rsidRPr="008046B9">
              <w:rPr>
                <w:rFonts w:ascii="Arial Narrow" w:hAnsi="Arial Narrow"/>
                <w:sz w:val="18"/>
              </w:rPr>
              <w:t>(Office of Personnel Management (OPM), 2017)</w:t>
            </w:r>
            <w:r w:rsidRPr="007161A0">
              <w:rPr>
                <w:rFonts w:ascii="Arial Narrow" w:eastAsia="Times New Roman" w:hAnsi="Arial Narrow" w:cs="Times New Roman"/>
                <w:color w:val="000000"/>
                <w:sz w:val="18"/>
                <w:szCs w:val="18"/>
              </w:rPr>
              <w:fldChar w:fldCharType="end"/>
            </w:r>
            <w:r w:rsidRPr="007161A0">
              <w:rPr>
                <w:rFonts w:ascii="Arial Narrow" w:eastAsia="Times New Roman" w:hAnsi="Arial Narrow" w:cs="Times New Roman"/>
                <w:color w:val="000000"/>
                <w:sz w:val="18"/>
                <w:szCs w:val="18"/>
              </w:rPr>
              <w:t>. All rates are rounded to the nearest cent.</w:t>
            </w:r>
          </w:p>
          <w:p w14:paraId="592C8860" w14:textId="0F1D65D5" w:rsidR="003E1961" w:rsidRPr="007161A0" w:rsidRDefault="003E1961" w:rsidP="003E1961">
            <w:pPr>
              <w:rPr>
                <w:rFonts w:ascii="Arial Narrow" w:eastAsia="Times New Roman" w:hAnsi="Arial Narrow" w:cs="Times New Roman"/>
                <w:b/>
                <w:color w:val="000000"/>
                <w:sz w:val="18"/>
                <w:szCs w:val="18"/>
              </w:rPr>
            </w:pPr>
            <w:r w:rsidRPr="007161A0">
              <w:rPr>
                <w:rFonts w:ascii="Arial Narrow" w:eastAsia="Times New Roman" w:hAnsi="Arial Narrow" w:cs="Times New Roman"/>
                <w:color w:val="000000"/>
                <w:sz w:val="18"/>
                <w:szCs w:val="18"/>
                <w:vertAlign w:val="superscript"/>
              </w:rPr>
              <w:t xml:space="preserve">b </w:t>
            </w:r>
            <w:r w:rsidRPr="007161A0">
              <w:rPr>
                <w:rFonts w:ascii="Arial Narrow" w:eastAsia="Times New Roman" w:hAnsi="Arial Narrow" w:cs="Times New Roman"/>
                <w:color w:val="000000"/>
                <w:sz w:val="18"/>
                <w:szCs w:val="18"/>
              </w:rPr>
              <w:t>The 60 percent fringes-and-overhead rate is from</w:t>
            </w:r>
            <w:r w:rsidRPr="007161A0">
              <w:rPr>
                <w:rFonts w:ascii="Arial Narrow" w:eastAsia="Times New Roman" w:hAnsi="Arial Narrow" w:cs="Times New Roman"/>
                <w:i/>
                <w:iCs/>
                <w:color w:val="000000"/>
                <w:sz w:val="18"/>
                <w:szCs w:val="18"/>
              </w:rPr>
              <w:t xml:space="preserve"> Instructions for Preparing ICRs</w:t>
            </w:r>
            <w:r w:rsidRPr="007161A0">
              <w:rPr>
                <w:rFonts w:ascii="Arial Narrow" w:eastAsia="Times New Roman" w:hAnsi="Arial Narrow" w:cs="Times New Roman"/>
                <w:color w:val="000000"/>
                <w:sz w:val="18"/>
                <w:szCs w:val="18"/>
              </w:rPr>
              <w:t xml:space="preserve"> </w:t>
            </w:r>
            <w:r w:rsidRPr="007161A0">
              <w:rPr>
                <w:rFonts w:ascii="Arial Narrow" w:eastAsia="Times New Roman" w:hAnsi="Arial Narrow" w:cs="Times New Roman"/>
                <w:color w:val="000000"/>
                <w:sz w:val="18"/>
                <w:szCs w:val="18"/>
              </w:rPr>
              <w:fldChar w:fldCharType="begin"/>
            </w:r>
            <w:r w:rsidRPr="007161A0">
              <w:rPr>
                <w:rFonts w:ascii="Arial Narrow" w:eastAsia="Times New Roman" w:hAnsi="Arial Narrow" w:cs="Times New Roman"/>
                <w:color w:val="000000"/>
                <w:sz w:val="18"/>
                <w:szCs w:val="18"/>
              </w:rPr>
              <w:instrText xml:space="preserve"> ADDIN ZOTERO_ITEM CSL_CITATION {"citationID":"a225g86d2o4","properties":{"formattedCitation":"(EPA, 2009)","plainCitation":"(EPA, 2009)","noteIndex":0},"citationItems":[{"id":518,"uris":["http://zotero.org/groups/1140234/items/5J3UQV4V"],"uri":["http://zotero.org/groups/1140234/items/5J3UQV4V"],"itemData":{"id":518,"type":"report","title":"ICR Handbook: EPA's Guide to Writing Information Collection Requests under the Paperwork Reduction Act of 1995","URL":"https://www.pdffiller.com/10247637--ICR-Handbook---Environmental-Protection-Agency-","author":[{"literal":"EPA"}],"issued":{"date-parts":[["2009"]]}}}],"schema":"https://github.com/citation-style-language/schema/raw/master/csl-citation.json"} </w:instrText>
            </w:r>
            <w:r w:rsidRPr="007161A0">
              <w:rPr>
                <w:rFonts w:ascii="Arial Narrow" w:eastAsia="Times New Roman" w:hAnsi="Arial Narrow" w:cs="Times New Roman"/>
                <w:color w:val="000000"/>
                <w:sz w:val="18"/>
                <w:szCs w:val="18"/>
              </w:rPr>
              <w:fldChar w:fldCharType="separate"/>
            </w:r>
            <w:r w:rsidR="001D4BD9" w:rsidRPr="008046B9">
              <w:rPr>
                <w:rFonts w:ascii="Arial Narrow" w:hAnsi="Arial Narrow"/>
                <w:sz w:val="18"/>
              </w:rPr>
              <w:t>(EPA, 2009)</w:t>
            </w:r>
            <w:r w:rsidRPr="007161A0">
              <w:rPr>
                <w:rFonts w:ascii="Arial Narrow" w:eastAsia="Times New Roman" w:hAnsi="Arial Narrow" w:cs="Times New Roman"/>
                <w:color w:val="000000"/>
                <w:sz w:val="18"/>
                <w:szCs w:val="18"/>
              </w:rPr>
              <w:fldChar w:fldCharType="end"/>
            </w:r>
            <w:r w:rsidRPr="007161A0">
              <w:rPr>
                <w:rFonts w:ascii="Arial Narrow" w:eastAsia="Times New Roman" w:hAnsi="Arial Narrow" w:cs="Times New Roman"/>
                <w:color w:val="000000"/>
                <w:sz w:val="18"/>
                <w:szCs w:val="18"/>
              </w:rPr>
              <w:t>.</w:t>
            </w:r>
          </w:p>
          <w:p w14:paraId="1C78BA98" w14:textId="77777777" w:rsidR="003E1961" w:rsidRPr="007161A0" w:rsidRDefault="003E1961" w:rsidP="003E1961">
            <w:pPr>
              <w:rPr>
                <w:rFonts w:ascii="Arial Narrow" w:eastAsia="Times New Roman" w:hAnsi="Arial Narrow" w:cs="Times New Roman"/>
                <w:b/>
                <w:color w:val="000000"/>
                <w:sz w:val="18"/>
                <w:szCs w:val="18"/>
              </w:rPr>
            </w:pPr>
            <w:r w:rsidRPr="007161A0">
              <w:rPr>
                <w:rFonts w:ascii="Arial Narrow" w:eastAsia="Times New Roman" w:hAnsi="Arial Narrow" w:cs="Times New Roman"/>
                <w:color w:val="000000"/>
                <w:sz w:val="18"/>
                <w:szCs w:val="18"/>
                <w:vertAlign w:val="superscript"/>
              </w:rPr>
              <w:t>c</w:t>
            </w:r>
            <w:r w:rsidRPr="007161A0">
              <w:rPr>
                <w:rFonts w:ascii="Arial Narrow" w:eastAsia="Times New Roman" w:hAnsi="Arial Narrow" w:cs="Times New Roman"/>
                <w:color w:val="000000"/>
                <w:sz w:val="18"/>
                <w:szCs w:val="18"/>
              </w:rPr>
              <w:t xml:space="preserve"> The inflation factor of “1” in the formula for calculating the fringe + overhead factor means wage data are not escalated to reflect inflation.</w:t>
            </w:r>
          </w:p>
        </w:tc>
      </w:tr>
    </w:tbl>
    <w:p w14:paraId="203BD384" w14:textId="77777777" w:rsidR="00126678" w:rsidRDefault="00126678" w:rsidP="00126678"/>
    <w:p w14:paraId="5CDEEDB6" w14:textId="6426B14E" w:rsidR="00771E3E" w:rsidRDefault="003E1961" w:rsidP="00771E3E">
      <w:pPr>
        <w:pStyle w:val="Caption"/>
      </w:pPr>
      <w:bookmarkStart w:id="72" w:name="_Ref526494838"/>
      <w:r>
        <w:t xml:space="preserve">Table </w:t>
      </w:r>
      <w:r w:rsidR="00A762E6">
        <w:rPr>
          <w:noProof/>
        </w:rPr>
        <w:fldChar w:fldCharType="begin"/>
      </w:r>
      <w:r w:rsidR="00A762E6">
        <w:rPr>
          <w:noProof/>
        </w:rPr>
        <w:instrText xml:space="preserve"> SEQ Table \* ARABIC </w:instrText>
      </w:r>
      <w:r w:rsidR="00A762E6">
        <w:rPr>
          <w:noProof/>
        </w:rPr>
        <w:fldChar w:fldCharType="separate"/>
      </w:r>
      <w:r w:rsidR="005C4A2E">
        <w:rPr>
          <w:noProof/>
        </w:rPr>
        <w:t>7</w:t>
      </w:r>
      <w:r w:rsidR="00A762E6">
        <w:rPr>
          <w:noProof/>
        </w:rPr>
        <w:fldChar w:fldCharType="end"/>
      </w:r>
      <w:bookmarkEnd w:id="72"/>
      <w:r>
        <w:t xml:space="preserve">. </w:t>
      </w:r>
      <w:r w:rsidR="00B3255B">
        <w:t>Agency Burden and Cost</w:t>
      </w:r>
      <w:r w:rsidR="0070495C">
        <w:t>s</w:t>
      </w:r>
      <w:r w:rsidR="00B3255B">
        <w:t xml:space="preserve"> for IT and Substantiation Review</w:t>
      </w:r>
    </w:p>
    <w:tbl>
      <w:tblPr>
        <w:tblW w:w="5000" w:type="pct"/>
        <w:tblLayout w:type="fixed"/>
        <w:tblLook w:val="04A0" w:firstRow="1" w:lastRow="0" w:firstColumn="1" w:lastColumn="0" w:noHBand="0" w:noVBand="1"/>
      </w:tblPr>
      <w:tblGrid>
        <w:gridCol w:w="1457"/>
        <w:gridCol w:w="2125"/>
        <w:gridCol w:w="1574"/>
        <w:gridCol w:w="1409"/>
        <w:gridCol w:w="1732"/>
        <w:gridCol w:w="1369"/>
      </w:tblGrid>
      <w:tr w:rsidR="008046B9" w:rsidRPr="003E1961" w14:paraId="4213EA3A" w14:textId="77777777" w:rsidTr="00E02B0B">
        <w:trPr>
          <w:trHeight w:val="288"/>
        </w:trPr>
        <w:tc>
          <w:tcPr>
            <w:tcW w:w="754" w:type="pct"/>
            <w:tcBorders>
              <w:top w:val="single" w:sz="12" w:space="0" w:color="auto"/>
              <w:left w:val="single" w:sz="12" w:space="0" w:color="auto"/>
              <w:bottom w:val="single" w:sz="12" w:space="0" w:color="auto"/>
              <w:right w:val="single" w:sz="4" w:space="0" w:color="auto"/>
            </w:tcBorders>
            <w:shd w:val="clear" w:color="auto" w:fill="C3C6A8"/>
            <w:vAlign w:val="bottom"/>
          </w:tcPr>
          <w:p w14:paraId="7F119E0A" w14:textId="77777777" w:rsidR="003E1961" w:rsidRPr="003E1961" w:rsidRDefault="003E1961" w:rsidP="003E1961">
            <w:pPr>
              <w:keepNext/>
              <w:spacing w:beforeLines="20" w:before="48" w:afterLines="20" w:after="48" w:line="264" w:lineRule="auto"/>
              <w:contextualSpacing/>
              <w:jc w:val="center"/>
              <w:rPr>
                <w:rFonts w:eastAsia="Times New Roman" w:cs="Times New Roman"/>
                <w:b/>
                <w:bCs/>
                <w:color w:val="000000"/>
                <w:sz w:val="20"/>
                <w:szCs w:val="20"/>
              </w:rPr>
            </w:pPr>
            <w:r w:rsidRPr="003E1961">
              <w:rPr>
                <w:rFonts w:eastAsia="Times New Roman" w:cs="Times New Roman"/>
                <w:b/>
                <w:bCs/>
                <w:color w:val="000000"/>
                <w:sz w:val="20"/>
                <w:szCs w:val="20"/>
              </w:rPr>
              <w:t>Activity</w:t>
            </w:r>
          </w:p>
        </w:tc>
        <w:tc>
          <w:tcPr>
            <w:tcW w:w="1099" w:type="pct"/>
            <w:tcBorders>
              <w:top w:val="single" w:sz="12" w:space="0" w:color="auto"/>
              <w:left w:val="single" w:sz="12" w:space="0" w:color="auto"/>
              <w:bottom w:val="single" w:sz="12" w:space="0" w:color="auto"/>
              <w:right w:val="single" w:sz="4" w:space="0" w:color="auto"/>
            </w:tcBorders>
            <w:shd w:val="clear" w:color="auto" w:fill="C3C6A8"/>
            <w:noWrap/>
            <w:vAlign w:val="bottom"/>
            <w:hideMark/>
          </w:tcPr>
          <w:p w14:paraId="61E8E070" w14:textId="497F3A0F" w:rsidR="003E1961" w:rsidRPr="003E1961" w:rsidRDefault="00E367E2" w:rsidP="003E1961">
            <w:pPr>
              <w:keepNext/>
              <w:spacing w:beforeLines="20" w:before="48" w:afterLines="20" w:after="48" w:line="264" w:lineRule="auto"/>
              <w:contextualSpacing/>
              <w:jc w:val="center"/>
              <w:rPr>
                <w:rFonts w:eastAsia="Times New Roman" w:cs="Times New Roman"/>
                <w:b/>
                <w:bCs/>
                <w:color w:val="000000"/>
                <w:sz w:val="20"/>
                <w:szCs w:val="20"/>
              </w:rPr>
            </w:pPr>
            <w:r>
              <w:rPr>
                <w:b/>
                <w:bCs/>
                <w:color w:val="000000"/>
                <w:sz w:val="20"/>
              </w:rPr>
              <w:t>Number of chemical-specific NOA claims Requiring Review</w:t>
            </w:r>
          </w:p>
        </w:tc>
        <w:tc>
          <w:tcPr>
            <w:tcW w:w="814" w:type="pct"/>
            <w:tcBorders>
              <w:top w:val="single" w:sz="12" w:space="0" w:color="auto"/>
              <w:left w:val="nil"/>
              <w:bottom w:val="single" w:sz="12" w:space="0" w:color="auto"/>
              <w:right w:val="single" w:sz="4" w:space="0" w:color="auto"/>
            </w:tcBorders>
            <w:shd w:val="clear" w:color="auto" w:fill="C3C6A8"/>
            <w:noWrap/>
            <w:vAlign w:val="bottom"/>
            <w:hideMark/>
          </w:tcPr>
          <w:p w14:paraId="3DF71DCD" w14:textId="6FD1220D" w:rsidR="003E1961" w:rsidRPr="003E1961" w:rsidRDefault="003E1961" w:rsidP="003E1961">
            <w:pPr>
              <w:keepNext/>
              <w:spacing w:beforeLines="20" w:before="48" w:afterLines="20" w:after="48" w:line="264" w:lineRule="auto"/>
              <w:contextualSpacing/>
              <w:jc w:val="center"/>
              <w:rPr>
                <w:rFonts w:eastAsia="Times New Roman" w:cs="Times New Roman"/>
                <w:b/>
                <w:bCs/>
                <w:color w:val="000000"/>
                <w:sz w:val="20"/>
                <w:szCs w:val="20"/>
              </w:rPr>
            </w:pPr>
            <w:r w:rsidRPr="003E1961">
              <w:rPr>
                <w:rFonts w:eastAsia="Times New Roman" w:cs="Times New Roman"/>
                <w:b/>
                <w:bCs/>
                <w:color w:val="000000"/>
                <w:sz w:val="20"/>
                <w:szCs w:val="20"/>
              </w:rPr>
              <w:t>Burden</w:t>
            </w:r>
            <w:r w:rsidR="001D435A">
              <w:rPr>
                <w:rFonts w:eastAsia="Times New Roman" w:cs="Times New Roman"/>
                <w:b/>
                <w:bCs/>
                <w:color w:val="000000"/>
                <w:sz w:val="20"/>
                <w:szCs w:val="20"/>
              </w:rPr>
              <w:br/>
            </w:r>
            <w:r w:rsidR="001D435A">
              <w:rPr>
                <w:b/>
                <w:bCs/>
                <w:color w:val="000000"/>
                <w:sz w:val="20"/>
              </w:rPr>
              <w:t>(Hours)</w:t>
            </w:r>
          </w:p>
        </w:tc>
        <w:tc>
          <w:tcPr>
            <w:tcW w:w="729" w:type="pct"/>
            <w:tcBorders>
              <w:top w:val="single" w:sz="12" w:space="0" w:color="auto"/>
              <w:left w:val="nil"/>
              <w:bottom w:val="single" w:sz="12" w:space="0" w:color="auto"/>
              <w:right w:val="single" w:sz="4" w:space="0" w:color="auto"/>
            </w:tcBorders>
            <w:shd w:val="clear" w:color="auto" w:fill="C3C6A8"/>
            <w:noWrap/>
            <w:vAlign w:val="bottom"/>
            <w:hideMark/>
          </w:tcPr>
          <w:p w14:paraId="2136EE4F" w14:textId="77777777" w:rsidR="003E1961" w:rsidRDefault="003E1961" w:rsidP="003E1961">
            <w:pPr>
              <w:keepNext/>
              <w:spacing w:beforeLines="20" w:before="48" w:afterLines="20" w:after="48" w:line="264" w:lineRule="auto"/>
              <w:contextualSpacing/>
              <w:jc w:val="center"/>
              <w:rPr>
                <w:rFonts w:eastAsia="Times New Roman" w:cs="Times New Roman"/>
                <w:b/>
                <w:bCs/>
                <w:color w:val="000000"/>
                <w:sz w:val="20"/>
                <w:szCs w:val="20"/>
              </w:rPr>
            </w:pPr>
            <w:r w:rsidRPr="003E1961">
              <w:rPr>
                <w:rFonts w:eastAsia="Times New Roman" w:cs="Times New Roman"/>
                <w:b/>
                <w:bCs/>
                <w:color w:val="000000"/>
                <w:sz w:val="20"/>
                <w:szCs w:val="20"/>
              </w:rPr>
              <w:t>Labor Cost</w:t>
            </w:r>
          </w:p>
          <w:p w14:paraId="4C3F17A4" w14:textId="53611BBF" w:rsidR="00D03D67" w:rsidRPr="003E1961" w:rsidRDefault="00D03D67" w:rsidP="003E1961">
            <w:pPr>
              <w:keepNext/>
              <w:spacing w:beforeLines="20" w:before="48" w:afterLines="20" w:after="48" w:line="264" w:lineRule="auto"/>
              <w:contextualSpacing/>
              <w:jc w:val="center"/>
              <w:rPr>
                <w:rFonts w:eastAsia="Times New Roman" w:cs="Times New Roman"/>
                <w:b/>
                <w:bCs/>
                <w:color w:val="000000"/>
                <w:sz w:val="20"/>
                <w:szCs w:val="20"/>
              </w:rPr>
            </w:pPr>
            <w:r>
              <w:rPr>
                <w:rFonts w:eastAsia="Times New Roman" w:cs="Times New Roman"/>
                <w:b/>
                <w:bCs/>
                <w:color w:val="000000"/>
                <w:sz w:val="20"/>
                <w:szCs w:val="20"/>
              </w:rPr>
              <w:t>(2017$)</w:t>
            </w:r>
          </w:p>
        </w:tc>
        <w:tc>
          <w:tcPr>
            <w:tcW w:w="896" w:type="pct"/>
            <w:tcBorders>
              <w:top w:val="single" w:sz="12" w:space="0" w:color="auto"/>
              <w:left w:val="nil"/>
              <w:bottom w:val="single" w:sz="12" w:space="0" w:color="auto"/>
              <w:right w:val="single" w:sz="4" w:space="0" w:color="auto"/>
            </w:tcBorders>
            <w:shd w:val="clear" w:color="auto" w:fill="C3C6A8"/>
            <w:noWrap/>
            <w:vAlign w:val="bottom"/>
            <w:hideMark/>
          </w:tcPr>
          <w:p w14:paraId="0DDF758C" w14:textId="77777777" w:rsidR="003E1961" w:rsidRDefault="003E1961" w:rsidP="003E1961">
            <w:pPr>
              <w:keepNext/>
              <w:spacing w:beforeLines="20" w:before="48" w:afterLines="20" w:after="48" w:line="264" w:lineRule="auto"/>
              <w:contextualSpacing/>
              <w:jc w:val="center"/>
              <w:rPr>
                <w:rFonts w:eastAsia="Times New Roman" w:cs="Times New Roman"/>
                <w:b/>
                <w:bCs/>
                <w:color w:val="000000"/>
                <w:sz w:val="20"/>
                <w:szCs w:val="20"/>
              </w:rPr>
            </w:pPr>
            <w:r w:rsidRPr="003E1961">
              <w:rPr>
                <w:rFonts w:eastAsia="Times New Roman" w:cs="Times New Roman"/>
                <w:b/>
                <w:bCs/>
                <w:color w:val="000000"/>
                <w:sz w:val="20"/>
                <w:szCs w:val="20"/>
              </w:rPr>
              <w:t>Non-Labor Cost</w:t>
            </w:r>
          </w:p>
          <w:p w14:paraId="2B7AC413" w14:textId="50AD3E2C" w:rsidR="00D03D67" w:rsidRPr="003E1961" w:rsidRDefault="00D03D67" w:rsidP="003E1961">
            <w:pPr>
              <w:keepNext/>
              <w:spacing w:beforeLines="20" w:before="48" w:afterLines="20" w:after="48" w:line="264" w:lineRule="auto"/>
              <w:contextualSpacing/>
              <w:jc w:val="center"/>
              <w:rPr>
                <w:rFonts w:eastAsia="Times New Roman" w:cs="Times New Roman"/>
                <w:b/>
                <w:bCs/>
                <w:color w:val="000000"/>
                <w:sz w:val="20"/>
                <w:szCs w:val="20"/>
              </w:rPr>
            </w:pPr>
            <w:r>
              <w:rPr>
                <w:rFonts w:eastAsia="Times New Roman" w:cs="Times New Roman"/>
                <w:b/>
                <w:bCs/>
                <w:color w:val="000000"/>
                <w:sz w:val="20"/>
                <w:szCs w:val="20"/>
              </w:rPr>
              <w:t>(2017$)</w:t>
            </w:r>
          </w:p>
        </w:tc>
        <w:tc>
          <w:tcPr>
            <w:tcW w:w="708" w:type="pct"/>
            <w:tcBorders>
              <w:top w:val="single" w:sz="12" w:space="0" w:color="auto"/>
              <w:left w:val="nil"/>
              <w:bottom w:val="single" w:sz="12" w:space="0" w:color="auto"/>
              <w:right w:val="single" w:sz="12" w:space="0" w:color="auto"/>
            </w:tcBorders>
            <w:shd w:val="clear" w:color="auto" w:fill="C3C6A8"/>
            <w:vAlign w:val="bottom"/>
            <w:hideMark/>
          </w:tcPr>
          <w:p w14:paraId="1FC0CA0C" w14:textId="77777777" w:rsidR="003E1961" w:rsidRPr="003E1961" w:rsidRDefault="003E1961" w:rsidP="003E1961">
            <w:pPr>
              <w:keepNext/>
              <w:spacing w:beforeLines="20" w:before="48" w:afterLines="20" w:after="48" w:line="264" w:lineRule="auto"/>
              <w:contextualSpacing/>
              <w:jc w:val="center"/>
              <w:rPr>
                <w:rFonts w:eastAsia="Times New Roman" w:cs="Times New Roman"/>
                <w:b/>
                <w:bCs/>
                <w:color w:val="000000"/>
                <w:sz w:val="20"/>
                <w:szCs w:val="20"/>
              </w:rPr>
            </w:pPr>
            <w:r w:rsidRPr="003E1961">
              <w:rPr>
                <w:rFonts w:eastAsia="Times New Roman" w:cs="Times New Roman"/>
                <w:b/>
                <w:bCs/>
                <w:color w:val="000000"/>
                <w:sz w:val="20"/>
                <w:szCs w:val="20"/>
              </w:rPr>
              <w:t>Total Cost (2017$)</w:t>
            </w:r>
          </w:p>
        </w:tc>
      </w:tr>
      <w:tr w:rsidR="008046B9" w:rsidRPr="003E1961" w14:paraId="701E6558" w14:textId="77777777" w:rsidTr="00D03D67">
        <w:trPr>
          <w:trHeight w:val="300"/>
        </w:trPr>
        <w:tc>
          <w:tcPr>
            <w:tcW w:w="754" w:type="pct"/>
            <w:tcBorders>
              <w:top w:val="nil"/>
              <w:left w:val="single" w:sz="12" w:space="0" w:color="auto"/>
              <w:bottom w:val="single" w:sz="4" w:space="0" w:color="auto"/>
              <w:right w:val="single" w:sz="4" w:space="0" w:color="auto"/>
            </w:tcBorders>
            <w:vAlign w:val="center"/>
          </w:tcPr>
          <w:p w14:paraId="110D91EF" w14:textId="77777777" w:rsidR="003E1961" w:rsidRPr="003E1961" w:rsidRDefault="003E1961" w:rsidP="003E1961">
            <w:pPr>
              <w:keepNext/>
              <w:spacing w:beforeLines="20" w:before="48" w:afterLines="20" w:after="48" w:line="264" w:lineRule="auto"/>
              <w:contextualSpacing/>
              <w:rPr>
                <w:rFonts w:ascii="Arial Narrow" w:eastAsia="Times New Roman" w:hAnsi="Arial Narrow" w:cs="Times New Roman"/>
                <w:color w:val="000000"/>
                <w:sz w:val="20"/>
                <w:szCs w:val="20"/>
              </w:rPr>
            </w:pPr>
            <w:r w:rsidRPr="003E1961">
              <w:rPr>
                <w:rFonts w:ascii="Arial Narrow" w:eastAsia="Times New Roman" w:hAnsi="Arial Narrow" w:cs="Times New Roman"/>
                <w:color w:val="000000"/>
                <w:sz w:val="20"/>
                <w:szCs w:val="20"/>
              </w:rPr>
              <w:t>CDX and CISS</w:t>
            </w:r>
          </w:p>
        </w:tc>
        <w:tc>
          <w:tcPr>
            <w:tcW w:w="1099" w:type="pct"/>
            <w:tcBorders>
              <w:top w:val="nil"/>
              <w:left w:val="single" w:sz="12" w:space="0" w:color="auto"/>
              <w:bottom w:val="single" w:sz="4" w:space="0" w:color="auto"/>
              <w:right w:val="single" w:sz="4" w:space="0" w:color="auto"/>
            </w:tcBorders>
            <w:shd w:val="clear" w:color="auto" w:fill="auto"/>
            <w:noWrap/>
            <w:vAlign w:val="center"/>
          </w:tcPr>
          <w:p w14:paraId="50A42FA7" w14:textId="77777777" w:rsidR="003E1961" w:rsidRPr="003E1961" w:rsidRDefault="003E1961" w:rsidP="003E1961">
            <w:pPr>
              <w:keepNext/>
              <w:spacing w:beforeLines="20" w:before="48" w:afterLines="20" w:after="48" w:line="264" w:lineRule="auto"/>
              <w:contextualSpacing/>
              <w:jc w:val="center"/>
              <w:rPr>
                <w:rFonts w:ascii="Arial Narrow" w:eastAsia="Times New Roman" w:hAnsi="Arial Narrow" w:cs="Times New Roman"/>
                <w:color w:val="000000"/>
                <w:sz w:val="20"/>
                <w:szCs w:val="20"/>
              </w:rPr>
            </w:pPr>
            <w:r w:rsidRPr="003E1961">
              <w:rPr>
                <w:rFonts w:ascii="Arial Narrow" w:eastAsia="Times New Roman" w:hAnsi="Arial Narrow" w:cs="Times New Roman"/>
                <w:color w:val="000000"/>
                <w:sz w:val="20"/>
                <w:szCs w:val="20"/>
              </w:rPr>
              <w:t>N/A</w:t>
            </w:r>
          </w:p>
        </w:tc>
        <w:tc>
          <w:tcPr>
            <w:tcW w:w="814" w:type="pct"/>
            <w:tcBorders>
              <w:top w:val="nil"/>
              <w:left w:val="nil"/>
              <w:bottom w:val="single" w:sz="4" w:space="0" w:color="auto"/>
              <w:right w:val="single" w:sz="4" w:space="0" w:color="auto"/>
            </w:tcBorders>
            <w:shd w:val="clear" w:color="auto" w:fill="auto"/>
            <w:noWrap/>
            <w:vAlign w:val="center"/>
            <w:hideMark/>
          </w:tcPr>
          <w:p w14:paraId="45C4EB7D" w14:textId="30E33661" w:rsidR="003E1961" w:rsidRPr="003E1961" w:rsidRDefault="00134135" w:rsidP="003E1961">
            <w:pPr>
              <w:keepNext/>
              <w:spacing w:beforeLines="20" w:before="48" w:afterLines="20" w:after="48" w:line="264" w:lineRule="auto"/>
              <w:contextualSpacing/>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73</w:t>
            </w:r>
          </w:p>
        </w:tc>
        <w:tc>
          <w:tcPr>
            <w:tcW w:w="729" w:type="pct"/>
            <w:tcBorders>
              <w:top w:val="nil"/>
              <w:left w:val="nil"/>
              <w:bottom w:val="single" w:sz="4" w:space="0" w:color="auto"/>
              <w:right w:val="single" w:sz="4" w:space="0" w:color="auto"/>
            </w:tcBorders>
            <w:shd w:val="clear" w:color="auto" w:fill="auto"/>
            <w:noWrap/>
            <w:vAlign w:val="center"/>
            <w:hideMark/>
          </w:tcPr>
          <w:p w14:paraId="2E8B01BD" w14:textId="17A9F46B" w:rsidR="003E1961" w:rsidRPr="003E1961" w:rsidRDefault="003E1961" w:rsidP="00134135">
            <w:pPr>
              <w:keepNext/>
              <w:spacing w:beforeLines="20" w:before="48" w:afterLines="20" w:after="48" w:line="264" w:lineRule="auto"/>
              <w:ind w:firstLineChars="100" w:firstLine="200"/>
              <w:contextualSpacing/>
              <w:jc w:val="center"/>
              <w:rPr>
                <w:rFonts w:ascii="Arial Narrow" w:eastAsia="Times New Roman" w:hAnsi="Arial Narrow" w:cs="Times New Roman"/>
                <w:color w:val="000000"/>
                <w:sz w:val="20"/>
                <w:szCs w:val="20"/>
              </w:rPr>
            </w:pPr>
            <w:r w:rsidRPr="003E1961">
              <w:rPr>
                <w:rFonts w:ascii="Arial Narrow" w:eastAsia="Times New Roman" w:hAnsi="Arial Narrow" w:cs="Times New Roman"/>
                <w:color w:val="000000"/>
                <w:sz w:val="20"/>
                <w:szCs w:val="20"/>
              </w:rPr>
              <w:t>$</w:t>
            </w:r>
            <w:r w:rsidR="00134135">
              <w:rPr>
                <w:rFonts w:ascii="Arial Narrow" w:eastAsia="Times New Roman" w:hAnsi="Arial Narrow" w:cs="Times New Roman"/>
                <w:color w:val="000000"/>
                <w:sz w:val="20"/>
                <w:szCs w:val="20"/>
              </w:rPr>
              <w:t>6,013</w:t>
            </w:r>
          </w:p>
        </w:tc>
        <w:tc>
          <w:tcPr>
            <w:tcW w:w="896" w:type="pct"/>
            <w:tcBorders>
              <w:top w:val="nil"/>
              <w:left w:val="nil"/>
              <w:bottom w:val="single" w:sz="4" w:space="0" w:color="auto"/>
              <w:right w:val="single" w:sz="4" w:space="0" w:color="auto"/>
            </w:tcBorders>
            <w:shd w:val="clear" w:color="auto" w:fill="auto"/>
            <w:noWrap/>
            <w:vAlign w:val="center"/>
            <w:hideMark/>
          </w:tcPr>
          <w:p w14:paraId="25CE75A5" w14:textId="77777777" w:rsidR="003E1961" w:rsidRPr="003E1961" w:rsidRDefault="003E1961" w:rsidP="003E1961">
            <w:pPr>
              <w:keepNext/>
              <w:spacing w:beforeLines="20" w:before="48" w:afterLines="20" w:after="48" w:line="264" w:lineRule="auto"/>
              <w:ind w:firstLineChars="100" w:firstLine="200"/>
              <w:contextualSpacing/>
              <w:jc w:val="center"/>
              <w:rPr>
                <w:rFonts w:ascii="Arial Narrow" w:eastAsia="Times New Roman" w:hAnsi="Arial Narrow" w:cs="Times New Roman"/>
                <w:color w:val="000000"/>
                <w:sz w:val="20"/>
                <w:szCs w:val="20"/>
              </w:rPr>
            </w:pPr>
            <w:r w:rsidRPr="003E1961">
              <w:rPr>
                <w:rFonts w:ascii="Arial Narrow" w:eastAsia="Times New Roman" w:hAnsi="Arial Narrow" w:cs="Times New Roman"/>
                <w:color w:val="000000"/>
                <w:sz w:val="20"/>
                <w:szCs w:val="20"/>
              </w:rPr>
              <w:t>$10,000</w:t>
            </w:r>
          </w:p>
        </w:tc>
        <w:tc>
          <w:tcPr>
            <w:tcW w:w="708" w:type="pct"/>
            <w:tcBorders>
              <w:top w:val="nil"/>
              <w:left w:val="nil"/>
              <w:bottom w:val="single" w:sz="4" w:space="0" w:color="auto"/>
              <w:right w:val="single" w:sz="12" w:space="0" w:color="auto"/>
            </w:tcBorders>
            <w:shd w:val="clear" w:color="auto" w:fill="auto"/>
            <w:noWrap/>
            <w:vAlign w:val="center"/>
            <w:hideMark/>
          </w:tcPr>
          <w:p w14:paraId="7C840771" w14:textId="6E1263CB" w:rsidR="003E1961" w:rsidRPr="003E1961" w:rsidRDefault="003E1961" w:rsidP="00134135">
            <w:pPr>
              <w:keepNext/>
              <w:spacing w:beforeLines="20" w:before="48" w:afterLines="20" w:after="48" w:line="264" w:lineRule="auto"/>
              <w:ind w:firstLineChars="100" w:firstLine="200"/>
              <w:contextualSpacing/>
              <w:jc w:val="center"/>
              <w:rPr>
                <w:rFonts w:ascii="Arial Narrow" w:eastAsia="Times New Roman" w:hAnsi="Arial Narrow" w:cs="Times New Roman"/>
                <w:color w:val="000000"/>
                <w:sz w:val="20"/>
                <w:szCs w:val="20"/>
              </w:rPr>
            </w:pPr>
            <w:r w:rsidRPr="003E1961">
              <w:rPr>
                <w:rFonts w:ascii="Arial Narrow" w:eastAsia="Times New Roman" w:hAnsi="Arial Narrow" w:cs="Times New Roman"/>
                <w:color w:val="000000"/>
                <w:sz w:val="20"/>
                <w:szCs w:val="20"/>
              </w:rPr>
              <w:t>$</w:t>
            </w:r>
            <w:r w:rsidR="00134135">
              <w:rPr>
                <w:rFonts w:ascii="Arial Narrow" w:eastAsia="Times New Roman" w:hAnsi="Arial Narrow" w:cs="Times New Roman"/>
                <w:color w:val="000000"/>
                <w:sz w:val="20"/>
                <w:szCs w:val="20"/>
              </w:rPr>
              <w:t>16,013</w:t>
            </w:r>
          </w:p>
        </w:tc>
      </w:tr>
      <w:tr w:rsidR="008046B9" w:rsidRPr="003E1961" w14:paraId="77FB1118" w14:textId="77777777" w:rsidTr="00D03D67">
        <w:trPr>
          <w:trHeight w:val="585"/>
        </w:trPr>
        <w:tc>
          <w:tcPr>
            <w:tcW w:w="754" w:type="pct"/>
            <w:vMerge w:val="restart"/>
            <w:tcBorders>
              <w:top w:val="nil"/>
              <w:left w:val="single" w:sz="12" w:space="0" w:color="auto"/>
              <w:right w:val="single" w:sz="4" w:space="0" w:color="auto"/>
            </w:tcBorders>
            <w:vAlign w:val="center"/>
          </w:tcPr>
          <w:p w14:paraId="5922E55E" w14:textId="77777777" w:rsidR="00D03D67" w:rsidRPr="003E1961" w:rsidRDefault="00D03D67" w:rsidP="003E1961">
            <w:pPr>
              <w:spacing w:beforeLines="20" w:before="48" w:afterLines="20" w:after="48" w:line="264" w:lineRule="auto"/>
              <w:contextualSpacing/>
              <w:rPr>
                <w:rFonts w:ascii="Arial Narrow" w:eastAsia="Times New Roman" w:hAnsi="Arial Narrow" w:cs="Times New Roman"/>
                <w:color w:val="000000"/>
                <w:sz w:val="20"/>
                <w:szCs w:val="20"/>
              </w:rPr>
            </w:pPr>
            <w:r w:rsidRPr="003E1961">
              <w:rPr>
                <w:rFonts w:ascii="Arial Narrow" w:eastAsia="Times New Roman" w:hAnsi="Arial Narrow" w:cs="Times New Roman"/>
                <w:color w:val="000000"/>
                <w:sz w:val="20"/>
                <w:szCs w:val="20"/>
              </w:rPr>
              <w:t>Management of NOA Submissions</w:t>
            </w:r>
          </w:p>
        </w:tc>
        <w:tc>
          <w:tcPr>
            <w:tcW w:w="1099" w:type="pct"/>
            <w:vMerge w:val="restart"/>
            <w:tcBorders>
              <w:top w:val="nil"/>
              <w:left w:val="single" w:sz="12" w:space="0" w:color="auto"/>
              <w:right w:val="single" w:sz="4" w:space="0" w:color="auto"/>
            </w:tcBorders>
            <w:shd w:val="clear" w:color="auto" w:fill="auto"/>
            <w:noWrap/>
            <w:vAlign w:val="center"/>
          </w:tcPr>
          <w:p w14:paraId="2AC61F7E" w14:textId="5792D17C" w:rsidR="00D03D67" w:rsidRPr="003E1961" w:rsidRDefault="001D4BD9" w:rsidP="00A113B5">
            <w:pPr>
              <w:spacing w:beforeLines="20" w:before="48" w:afterLines="20" w:after="48" w:line="264" w:lineRule="auto"/>
              <w:contextualSpacing/>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w:t>
            </w:r>
            <w:r w:rsidR="00D03D67">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98</w:t>
            </w:r>
            <w:r w:rsidR="00A113B5">
              <w:rPr>
                <w:rFonts w:ascii="Arial Narrow" w:eastAsia="Times New Roman" w:hAnsi="Arial Narrow" w:cs="Times New Roman"/>
                <w:color w:val="000000"/>
                <w:sz w:val="20"/>
                <w:szCs w:val="20"/>
              </w:rPr>
              <w:t>6</w:t>
            </w:r>
          </w:p>
        </w:tc>
        <w:tc>
          <w:tcPr>
            <w:tcW w:w="814" w:type="pct"/>
            <w:tcBorders>
              <w:top w:val="nil"/>
              <w:left w:val="nil"/>
              <w:bottom w:val="dashed" w:sz="4" w:space="0" w:color="auto"/>
              <w:right w:val="single" w:sz="4" w:space="0" w:color="auto"/>
            </w:tcBorders>
            <w:shd w:val="clear" w:color="auto" w:fill="auto"/>
            <w:vAlign w:val="center"/>
            <w:hideMark/>
          </w:tcPr>
          <w:p w14:paraId="2C8FBDDF" w14:textId="10026587" w:rsidR="00D03D67" w:rsidRDefault="00D03D67" w:rsidP="00E02B0B">
            <w:pPr>
              <w:spacing w:beforeLines="20" w:before="48" w:afterLines="20" w:after="48"/>
              <w:contextualSpacing/>
              <w:jc w:val="center"/>
              <w:rPr>
                <w:rFonts w:ascii="Arial Narrow" w:hAnsi="Arial Narrow"/>
                <w:color w:val="000000"/>
                <w:sz w:val="20"/>
                <w:szCs w:val="20"/>
              </w:rPr>
            </w:pPr>
            <w:r>
              <w:rPr>
                <w:rFonts w:ascii="Arial Narrow" w:hAnsi="Arial Narrow"/>
                <w:color w:val="000000"/>
                <w:sz w:val="20"/>
                <w:szCs w:val="20"/>
              </w:rPr>
              <w:t>1.5 hours x</w:t>
            </w:r>
          </w:p>
          <w:p w14:paraId="0DB2DE2C" w14:textId="3C0E765B" w:rsidR="00D03D67" w:rsidRPr="003E1961" w:rsidRDefault="001D4BD9" w:rsidP="00602C74">
            <w:pPr>
              <w:spacing w:beforeLines="20" w:before="48" w:afterLines="20" w:after="48"/>
              <w:contextualSpacing/>
              <w:jc w:val="center"/>
              <w:rPr>
                <w:rFonts w:ascii="Arial Narrow" w:eastAsia="Times New Roman" w:hAnsi="Arial Narrow" w:cs="Times New Roman"/>
                <w:color w:val="000000"/>
                <w:sz w:val="20"/>
                <w:szCs w:val="20"/>
              </w:rPr>
            </w:pPr>
            <w:r>
              <w:rPr>
                <w:rFonts w:ascii="Arial Narrow" w:hAnsi="Arial Narrow"/>
                <w:color w:val="000000"/>
                <w:sz w:val="20"/>
                <w:szCs w:val="20"/>
              </w:rPr>
              <w:t>5</w:t>
            </w:r>
            <w:r w:rsidR="00D03D67">
              <w:rPr>
                <w:rFonts w:ascii="Arial Narrow" w:hAnsi="Arial Narrow"/>
                <w:color w:val="000000"/>
                <w:sz w:val="20"/>
                <w:szCs w:val="20"/>
              </w:rPr>
              <w:t>,</w:t>
            </w:r>
            <w:r>
              <w:rPr>
                <w:rFonts w:ascii="Arial Narrow" w:hAnsi="Arial Narrow"/>
                <w:color w:val="000000"/>
                <w:sz w:val="20"/>
                <w:szCs w:val="20"/>
              </w:rPr>
              <w:t>98</w:t>
            </w:r>
            <w:r w:rsidR="00A113B5">
              <w:rPr>
                <w:rFonts w:ascii="Arial Narrow" w:hAnsi="Arial Narrow"/>
                <w:color w:val="000000"/>
                <w:sz w:val="20"/>
                <w:szCs w:val="20"/>
              </w:rPr>
              <w:t>6</w:t>
            </w:r>
            <w:r w:rsidR="00D03D67">
              <w:rPr>
                <w:rFonts w:ascii="Arial Narrow" w:hAnsi="Arial Narrow"/>
                <w:color w:val="000000"/>
                <w:sz w:val="20"/>
                <w:szCs w:val="20"/>
              </w:rPr>
              <w:t xml:space="preserve"> claims</w:t>
            </w:r>
          </w:p>
        </w:tc>
        <w:tc>
          <w:tcPr>
            <w:tcW w:w="729" w:type="pct"/>
            <w:vMerge w:val="restart"/>
            <w:tcBorders>
              <w:top w:val="nil"/>
              <w:left w:val="nil"/>
              <w:right w:val="single" w:sz="4" w:space="0" w:color="auto"/>
            </w:tcBorders>
            <w:shd w:val="clear" w:color="auto" w:fill="auto"/>
            <w:noWrap/>
            <w:vAlign w:val="center"/>
            <w:hideMark/>
          </w:tcPr>
          <w:p w14:paraId="2201F6B5" w14:textId="41AECFB7" w:rsidR="00D03D67" w:rsidRPr="003E1961" w:rsidRDefault="00D03D67" w:rsidP="00A113B5">
            <w:pPr>
              <w:spacing w:beforeLines="20" w:before="48" w:afterLines="20" w:after="48" w:line="264" w:lineRule="auto"/>
              <w:ind w:firstLineChars="100" w:firstLine="200"/>
              <w:contextualSpacing/>
              <w:jc w:val="center"/>
              <w:rPr>
                <w:rFonts w:ascii="Arial Narrow" w:eastAsia="Times New Roman" w:hAnsi="Arial Narrow" w:cs="Times New Roman"/>
                <w:color w:val="000000"/>
                <w:sz w:val="20"/>
                <w:szCs w:val="20"/>
              </w:rPr>
            </w:pPr>
            <w:r w:rsidRPr="003E1961">
              <w:rPr>
                <w:rFonts w:ascii="Arial Narrow" w:eastAsia="Times New Roman" w:hAnsi="Arial Narrow" w:cs="Times New Roman"/>
                <w:color w:val="000000"/>
                <w:sz w:val="20"/>
                <w:szCs w:val="20"/>
              </w:rPr>
              <w:t>$</w:t>
            </w:r>
            <w:r w:rsidR="00A113B5">
              <w:rPr>
                <w:rFonts w:ascii="Arial Narrow" w:eastAsia="Times New Roman" w:hAnsi="Arial Narrow" w:cs="Times New Roman"/>
                <w:color w:val="000000"/>
                <w:sz w:val="20"/>
                <w:szCs w:val="20"/>
              </w:rPr>
              <w:t>739,600</w:t>
            </w:r>
          </w:p>
        </w:tc>
        <w:tc>
          <w:tcPr>
            <w:tcW w:w="896" w:type="pct"/>
            <w:vMerge w:val="restart"/>
            <w:tcBorders>
              <w:top w:val="nil"/>
              <w:left w:val="nil"/>
              <w:right w:val="single" w:sz="4" w:space="0" w:color="auto"/>
            </w:tcBorders>
            <w:shd w:val="clear" w:color="auto" w:fill="auto"/>
            <w:noWrap/>
            <w:vAlign w:val="center"/>
            <w:hideMark/>
          </w:tcPr>
          <w:p w14:paraId="4062447D" w14:textId="77777777" w:rsidR="00D03D67" w:rsidRPr="003E1961" w:rsidRDefault="00D03D67" w:rsidP="003E1961">
            <w:pPr>
              <w:spacing w:beforeLines="20" w:before="48" w:afterLines="20" w:after="48" w:line="264" w:lineRule="auto"/>
              <w:ind w:firstLineChars="100" w:firstLine="200"/>
              <w:contextualSpacing/>
              <w:jc w:val="center"/>
              <w:rPr>
                <w:rFonts w:ascii="Arial Narrow" w:eastAsia="Times New Roman" w:hAnsi="Arial Narrow" w:cs="Times New Roman"/>
                <w:color w:val="000000"/>
                <w:sz w:val="20"/>
                <w:szCs w:val="20"/>
              </w:rPr>
            </w:pPr>
            <w:r w:rsidRPr="003E1961">
              <w:rPr>
                <w:rFonts w:ascii="Arial Narrow" w:eastAsia="Times New Roman" w:hAnsi="Arial Narrow" w:cs="Times New Roman"/>
                <w:color w:val="000000"/>
                <w:sz w:val="20"/>
                <w:szCs w:val="20"/>
              </w:rPr>
              <w:t>$0</w:t>
            </w:r>
          </w:p>
        </w:tc>
        <w:tc>
          <w:tcPr>
            <w:tcW w:w="708" w:type="pct"/>
            <w:vMerge w:val="restart"/>
            <w:tcBorders>
              <w:top w:val="nil"/>
              <w:left w:val="nil"/>
              <w:right w:val="single" w:sz="12" w:space="0" w:color="auto"/>
            </w:tcBorders>
            <w:shd w:val="clear" w:color="auto" w:fill="auto"/>
            <w:noWrap/>
            <w:vAlign w:val="center"/>
            <w:hideMark/>
          </w:tcPr>
          <w:p w14:paraId="14EA34DF" w14:textId="07A79424" w:rsidR="00D03D67" w:rsidRPr="003E1961" w:rsidRDefault="00D03D67" w:rsidP="00A113B5">
            <w:pPr>
              <w:spacing w:beforeLines="20" w:before="48" w:afterLines="20" w:after="48" w:line="264" w:lineRule="auto"/>
              <w:ind w:firstLineChars="100" w:firstLine="200"/>
              <w:contextualSpacing/>
              <w:jc w:val="center"/>
              <w:rPr>
                <w:rFonts w:ascii="Arial Narrow" w:eastAsia="Times New Roman" w:hAnsi="Arial Narrow" w:cs="Times New Roman"/>
                <w:color w:val="000000"/>
                <w:sz w:val="20"/>
                <w:szCs w:val="20"/>
              </w:rPr>
            </w:pPr>
            <w:r w:rsidRPr="003E1961">
              <w:rPr>
                <w:rFonts w:ascii="Arial Narrow" w:eastAsia="Times New Roman" w:hAnsi="Arial Narrow" w:cs="Times New Roman"/>
                <w:color w:val="000000"/>
                <w:sz w:val="20"/>
                <w:szCs w:val="20"/>
              </w:rPr>
              <w:t>$</w:t>
            </w:r>
            <w:r w:rsidR="00A113B5">
              <w:rPr>
                <w:rFonts w:ascii="Arial Narrow" w:eastAsia="Times New Roman" w:hAnsi="Arial Narrow" w:cs="Times New Roman"/>
                <w:color w:val="000000"/>
                <w:sz w:val="20"/>
                <w:szCs w:val="20"/>
              </w:rPr>
              <w:t>739,600</w:t>
            </w:r>
          </w:p>
        </w:tc>
      </w:tr>
      <w:tr w:rsidR="00D03D67" w:rsidRPr="003E1961" w14:paraId="6B083C23" w14:textId="77777777" w:rsidTr="00D03D67">
        <w:trPr>
          <w:trHeight w:val="585"/>
        </w:trPr>
        <w:tc>
          <w:tcPr>
            <w:tcW w:w="754" w:type="pct"/>
            <w:vMerge/>
            <w:tcBorders>
              <w:left w:val="single" w:sz="12" w:space="0" w:color="auto"/>
              <w:bottom w:val="single" w:sz="4" w:space="0" w:color="auto"/>
              <w:right w:val="single" w:sz="4" w:space="0" w:color="auto"/>
            </w:tcBorders>
            <w:vAlign w:val="center"/>
          </w:tcPr>
          <w:p w14:paraId="27A413EF" w14:textId="77777777" w:rsidR="00D03D67" w:rsidRPr="003E1961" w:rsidRDefault="00D03D67" w:rsidP="003E1961">
            <w:pPr>
              <w:spacing w:beforeLines="20" w:before="48" w:afterLines="20" w:after="48" w:line="264" w:lineRule="auto"/>
              <w:contextualSpacing/>
              <w:rPr>
                <w:rFonts w:ascii="Arial Narrow" w:eastAsia="Times New Roman" w:hAnsi="Arial Narrow" w:cs="Times New Roman"/>
                <w:color w:val="000000"/>
                <w:sz w:val="20"/>
                <w:szCs w:val="20"/>
              </w:rPr>
            </w:pPr>
          </w:p>
        </w:tc>
        <w:tc>
          <w:tcPr>
            <w:tcW w:w="1099" w:type="pct"/>
            <w:vMerge/>
            <w:tcBorders>
              <w:left w:val="single" w:sz="12" w:space="0" w:color="auto"/>
              <w:bottom w:val="single" w:sz="4" w:space="0" w:color="auto"/>
              <w:right w:val="single" w:sz="4" w:space="0" w:color="auto"/>
            </w:tcBorders>
            <w:shd w:val="clear" w:color="auto" w:fill="auto"/>
            <w:noWrap/>
            <w:vAlign w:val="center"/>
          </w:tcPr>
          <w:p w14:paraId="5C9D86A6" w14:textId="77777777" w:rsidR="00D03D67" w:rsidRDefault="00D03D67" w:rsidP="003E1961">
            <w:pPr>
              <w:spacing w:beforeLines="20" w:before="48" w:afterLines="20" w:after="48" w:line="264" w:lineRule="auto"/>
              <w:contextualSpacing/>
              <w:jc w:val="center"/>
              <w:rPr>
                <w:rFonts w:ascii="Arial Narrow" w:eastAsia="Times New Roman" w:hAnsi="Arial Narrow" w:cs="Times New Roman"/>
                <w:color w:val="000000"/>
                <w:sz w:val="20"/>
                <w:szCs w:val="20"/>
              </w:rPr>
            </w:pPr>
          </w:p>
        </w:tc>
        <w:tc>
          <w:tcPr>
            <w:tcW w:w="814" w:type="pct"/>
            <w:tcBorders>
              <w:top w:val="dashed" w:sz="4" w:space="0" w:color="auto"/>
              <w:left w:val="nil"/>
              <w:bottom w:val="single" w:sz="4" w:space="0" w:color="auto"/>
              <w:right w:val="single" w:sz="4" w:space="0" w:color="auto"/>
            </w:tcBorders>
            <w:shd w:val="clear" w:color="auto" w:fill="auto"/>
            <w:vAlign w:val="center"/>
          </w:tcPr>
          <w:p w14:paraId="22436B71" w14:textId="6D418125" w:rsidR="00D03D67" w:rsidRDefault="001D4BD9" w:rsidP="00A113B5">
            <w:pPr>
              <w:spacing w:beforeLines="20" w:before="48" w:afterLines="20" w:after="48"/>
              <w:contextualSpacing/>
              <w:jc w:val="center"/>
              <w:rPr>
                <w:rFonts w:ascii="Arial Narrow" w:hAnsi="Arial Narrow"/>
                <w:color w:val="000000"/>
                <w:sz w:val="20"/>
                <w:szCs w:val="20"/>
              </w:rPr>
            </w:pPr>
            <w:r>
              <w:rPr>
                <w:rFonts w:ascii="Arial Narrow" w:eastAsia="Times New Roman" w:hAnsi="Arial Narrow" w:cs="Times New Roman"/>
                <w:color w:val="000000"/>
                <w:sz w:val="20"/>
                <w:szCs w:val="20"/>
              </w:rPr>
              <w:t>8</w:t>
            </w:r>
            <w:r w:rsidR="00D03D67">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9</w:t>
            </w:r>
            <w:r w:rsidR="00A113B5">
              <w:rPr>
                <w:rFonts w:ascii="Arial Narrow" w:eastAsia="Times New Roman" w:hAnsi="Arial Narrow" w:cs="Times New Roman"/>
                <w:color w:val="000000"/>
                <w:sz w:val="20"/>
                <w:szCs w:val="20"/>
              </w:rPr>
              <w:t>79</w:t>
            </w:r>
          </w:p>
        </w:tc>
        <w:tc>
          <w:tcPr>
            <w:tcW w:w="729" w:type="pct"/>
            <w:vMerge/>
            <w:tcBorders>
              <w:left w:val="nil"/>
              <w:bottom w:val="single" w:sz="4" w:space="0" w:color="auto"/>
              <w:right w:val="single" w:sz="4" w:space="0" w:color="auto"/>
            </w:tcBorders>
            <w:shd w:val="clear" w:color="auto" w:fill="auto"/>
            <w:noWrap/>
            <w:vAlign w:val="center"/>
          </w:tcPr>
          <w:p w14:paraId="0F7D9F6D" w14:textId="77777777" w:rsidR="00D03D67" w:rsidRPr="003E1961" w:rsidRDefault="00D03D67">
            <w:pPr>
              <w:spacing w:beforeLines="20" w:before="48" w:afterLines="20" w:after="48" w:line="264" w:lineRule="auto"/>
              <w:ind w:firstLineChars="100" w:firstLine="200"/>
              <w:contextualSpacing/>
              <w:jc w:val="center"/>
              <w:rPr>
                <w:rFonts w:ascii="Arial Narrow" w:eastAsia="Times New Roman" w:hAnsi="Arial Narrow" w:cs="Times New Roman"/>
                <w:color w:val="000000"/>
                <w:sz w:val="20"/>
                <w:szCs w:val="20"/>
              </w:rPr>
            </w:pPr>
          </w:p>
        </w:tc>
        <w:tc>
          <w:tcPr>
            <w:tcW w:w="896" w:type="pct"/>
            <w:vMerge/>
            <w:tcBorders>
              <w:left w:val="nil"/>
              <w:bottom w:val="single" w:sz="4" w:space="0" w:color="auto"/>
              <w:right w:val="single" w:sz="4" w:space="0" w:color="auto"/>
            </w:tcBorders>
            <w:shd w:val="clear" w:color="auto" w:fill="auto"/>
            <w:noWrap/>
            <w:vAlign w:val="center"/>
          </w:tcPr>
          <w:p w14:paraId="6159D61D" w14:textId="77777777" w:rsidR="00D03D67" w:rsidRPr="003E1961" w:rsidRDefault="00D03D67" w:rsidP="003E1961">
            <w:pPr>
              <w:spacing w:beforeLines="20" w:before="48" w:afterLines="20" w:after="48" w:line="264" w:lineRule="auto"/>
              <w:ind w:firstLineChars="100" w:firstLine="200"/>
              <w:contextualSpacing/>
              <w:jc w:val="center"/>
              <w:rPr>
                <w:rFonts w:ascii="Arial Narrow" w:eastAsia="Times New Roman" w:hAnsi="Arial Narrow" w:cs="Times New Roman"/>
                <w:color w:val="000000"/>
                <w:sz w:val="20"/>
                <w:szCs w:val="20"/>
              </w:rPr>
            </w:pPr>
          </w:p>
        </w:tc>
        <w:tc>
          <w:tcPr>
            <w:tcW w:w="708" w:type="pct"/>
            <w:vMerge/>
            <w:tcBorders>
              <w:left w:val="nil"/>
              <w:bottom w:val="single" w:sz="4" w:space="0" w:color="auto"/>
              <w:right w:val="single" w:sz="12" w:space="0" w:color="auto"/>
            </w:tcBorders>
            <w:shd w:val="clear" w:color="auto" w:fill="auto"/>
            <w:noWrap/>
            <w:vAlign w:val="center"/>
          </w:tcPr>
          <w:p w14:paraId="4E77F53E" w14:textId="77777777" w:rsidR="00D03D67" w:rsidRPr="003E1961" w:rsidRDefault="00D03D67">
            <w:pPr>
              <w:spacing w:beforeLines="20" w:before="48" w:afterLines="20" w:after="48" w:line="264" w:lineRule="auto"/>
              <w:ind w:firstLineChars="100" w:firstLine="200"/>
              <w:contextualSpacing/>
              <w:jc w:val="center"/>
              <w:rPr>
                <w:rFonts w:ascii="Arial Narrow" w:eastAsia="Times New Roman" w:hAnsi="Arial Narrow" w:cs="Times New Roman"/>
                <w:color w:val="000000"/>
                <w:sz w:val="20"/>
                <w:szCs w:val="20"/>
              </w:rPr>
            </w:pPr>
          </w:p>
        </w:tc>
      </w:tr>
      <w:tr w:rsidR="008046B9" w:rsidRPr="003E1961" w14:paraId="66C3C6F0" w14:textId="77777777" w:rsidTr="00D03D67">
        <w:trPr>
          <w:trHeight w:val="300"/>
        </w:trPr>
        <w:tc>
          <w:tcPr>
            <w:tcW w:w="754" w:type="pct"/>
            <w:tcBorders>
              <w:top w:val="nil"/>
              <w:left w:val="single" w:sz="12" w:space="0" w:color="auto"/>
              <w:bottom w:val="single" w:sz="12" w:space="0" w:color="auto"/>
              <w:right w:val="single" w:sz="4" w:space="0" w:color="auto"/>
            </w:tcBorders>
            <w:vAlign w:val="center"/>
          </w:tcPr>
          <w:p w14:paraId="75CBCDDC" w14:textId="77777777" w:rsidR="003E1961" w:rsidRPr="003E1961" w:rsidRDefault="003E1961" w:rsidP="003E1961">
            <w:pPr>
              <w:spacing w:beforeLines="20" w:before="48" w:afterLines="20" w:after="48" w:line="264" w:lineRule="auto"/>
              <w:contextualSpacing/>
              <w:rPr>
                <w:rFonts w:ascii="Arial Narrow" w:eastAsia="Times New Roman" w:hAnsi="Arial Narrow" w:cs="Times New Roman"/>
                <w:color w:val="000000"/>
                <w:sz w:val="20"/>
                <w:szCs w:val="20"/>
              </w:rPr>
            </w:pPr>
            <w:r w:rsidRPr="003E1961">
              <w:rPr>
                <w:rFonts w:ascii="Arial Narrow" w:eastAsia="Times New Roman" w:hAnsi="Arial Narrow" w:cs="Times New Roman"/>
                <w:color w:val="000000"/>
                <w:sz w:val="20"/>
                <w:szCs w:val="20"/>
              </w:rPr>
              <w:t>TSCA Inventory Maintenance</w:t>
            </w:r>
          </w:p>
        </w:tc>
        <w:tc>
          <w:tcPr>
            <w:tcW w:w="1099" w:type="pct"/>
            <w:tcBorders>
              <w:top w:val="nil"/>
              <w:left w:val="single" w:sz="12" w:space="0" w:color="auto"/>
              <w:bottom w:val="single" w:sz="12" w:space="0" w:color="auto"/>
              <w:right w:val="single" w:sz="4" w:space="0" w:color="auto"/>
            </w:tcBorders>
            <w:shd w:val="clear" w:color="auto" w:fill="auto"/>
            <w:noWrap/>
            <w:vAlign w:val="center"/>
          </w:tcPr>
          <w:p w14:paraId="26A572C6" w14:textId="77777777" w:rsidR="003E1961" w:rsidRPr="003E1961" w:rsidRDefault="003E1961" w:rsidP="003E1961">
            <w:pPr>
              <w:spacing w:beforeLines="20" w:before="48" w:afterLines="20" w:after="48" w:line="264" w:lineRule="auto"/>
              <w:contextualSpacing/>
              <w:jc w:val="center"/>
              <w:rPr>
                <w:rFonts w:ascii="Arial Narrow" w:eastAsia="Times New Roman" w:hAnsi="Arial Narrow" w:cs="Times New Roman"/>
                <w:color w:val="000000"/>
                <w:sz w:val="20"/>
                <w:szCs w:val="20"/>
              </w:rPr>
            </w:pPr>
            <w:r w:rsidRPr="003E1961">
              <w:rPr>
                <w:rFonts w:ascii="Arial Narrow" w:eastAsia="Times New Roman" w:hAnsi="Arial Narrow" w:cs="Times New Roman"/>
                <w:color w:val="000000"/>
                <w:sz w:val="20"/>
                <w:szCs w:val="20"/>
              </w:rPr>
              <w:t>N/A</w:t>
            </w:r>
          </w:p>
        </w:tc>
        <w:tc>
          <w:tcPr>
            <w:tcW w:w="814" w:type="pct"/>
            <w:tcBorders>
              <w:top w:val="nil"/>
              <w:left w:val="nil"/>
              <w:bottom w:val="single" w:sz="12" w:space="0" w:color="auto"/>
              <w:right w:val="single" w:sz="4" w:space="0" w:color="auto"/>
            </w:tcBorders>
            <w:shd w:val="clear" w:color="auto" w:fill="auto"/>
            <w:noWrap/>
            <w:vAlign w:val="center"/>
            <w:hideMark/>
          </w:tcPr>
          <w:p w14:paraId="3430E787" w14:textId="777E9E2B" w:rsidR="003E1961" w:rsidRPr="003E1961" w:rsidRDefault="00134135" w:rsidP="003E1961">
            <w:pPr>
              <w:spacing w:beforeLines="20" w:before="48" w:afterLines="20" w:after="48" w:line="264" w:lineRule="auto"/>
              <w:contextualSpacing/>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73</w:t>
            </w:r>
          </w:p>
        </w:tc>
        <w:tc>
          <w:tcPr>
            <w:tcW w:w="729" w:type="pct"/>
            <w:tcBorders>
              <w:top w:val="nil"/>
              <w:left w:val="nil"/>
              <w:bottom w:val="single" w:sz="12" w:space="0" w:color="auto"/>
              <w:right w:val="single" w:sz="4" w:space="0" w:color="auto"/>
            </w:tcBorders>
            <w:shd w:val="clear" w:color="auto" w:fill="auto"/>
            <w:noWrap/>
            <w:vAlign w:val="center"/>
            <w:hideMark/>
          </w:tcPr>
          <w:p w14:paraId="532EF877" w14:textId="4F86BF3F" w:rsidR="003E1961" w:rsidRPr="003E1961" w:rsidRDefault="003E1961" w:rsidP="00134135">
            <w:pPr>
              <w:spacing w:beforeLines="20" w:before="48" w:afterLines="20" w:after="48" w:line="264" w:lineRule="auto"/>
              <w:ind w:firstLineChars="100" w:firstLine="200"/>
              <w:contextualSpacing/>
              <w:jc w:val="center"/>
              <w:rPr>
                <w:rFonts w:ascii="Arial Narrow" w:eastAsia="Times New Roman" w:hAnsi="Arial Narrow" w:cs="Times New Roman"/>
                <w:color w:val="000000"/>
                <w:sz w:val="20"/>
                <w:szCs w:val="20"/>
              </w:rPr>
            </w:pPr>
            <w:r w:rsidRPr="003E1961">
              <w:rPr>
                <w:rFonts w:ascii="Arial Narrow" w:eastAsia="Times New Roman" w:hAnsi="Arial Narrow" w:cs="Times New Roman"/>
                <w:color w:val="000000"/>
                <w:sz w:val="20"/>
                <w:szCs w:val="20"/>
              </w:rPr>
              <w:t>$</w:t>
            </w:r>
            <w:r w:rsidR="00134135">
              <w:rPr>
                <w:rFonts w:ascii="Arial Narrow" w:eastAsia="Times New Roman" w:hAnsi="Arial Narrow" w:cs="Times New Roman"/>
                <w:color w:val="000000"/>
                <w:sz w:val="20"/>
                <w:szCs w:val="20"/>
              </w:rPr>
              <w:t>6,013</w:t>
            </w:r>
          </w:p>
        </w:tc>
        <w:tc>
          <w:tcPr>
            <w:tcW w:w="896" w:type="pct"/>
            <w:tcBorders>
              <w:top w:val="nil"/>
              <w:left w:val="nil"/>
              <w:bottom w:val="single" w:sz="12" w:space="0" w:color="auto"/>
              <w:right w:val="single" w:sz="4" w:space="0" w:color="auto"/>
            </w:tcBorders>
            <w:shd w:val="clear" w:color="auto" w:fill="auto"/>
            <w:noWrap/>
            <w:vAlign w:val="center"/>
            <w:hideMark/>
          </w:tcPr>
          <w:p w14:paraId="4BFEBF94" w14:textId="77777777" w:rsidR="003E1961" w:rsidRPr="003E1961" w:rsidRDefault="003E1961" w:rsidP="003E1961">
            <w:pPr>
              <w:spacing w:beforeLines="20" w:before="48" w:afterLines="20" w:after="48" w:line="264" w:lineRule="auto"/>
              <w:ind w:firstLineChars="100" w:firstLine="200"/>
              <w:contextualSpacing/>
              <w:jc w:val="center"/>
              <w:rPr>
                <w:rFonts w:ascii="Arial Narrow" w:eastAsia="Times New Roman" w:hAnsi="Arial Narrow" w:cs="Times New Roman"/>
                <w:color w:val="000000"/>
                <w:sz w:val="20"/>
                <w:szCs w:val="20"/>
              </w:rPr>
            </w:pPr>
            <w:r w:rsidRPr="003E1961">
              <w:rPr>
                <w:rFonts w:ascii="Arial Narrow" w:eastAsia="Times New Roman" w:hAnsi="Arial Narrow" w:cs="Times New Roman"/>
                <w:color w:val="000000"/>
                <w:sz w:val="20"/>
                <w:szCs w:val="20"/>
              </w:rPr>
              <w:t>$10,000</w:t>
            </w:r>
          </w:p>
        </w:tc>
        <w:tc>
          <w:tcPr>
            <w:tcW w:w="708" w:type="pct"/>
            <w:tcBorders>
              <w:top w:val="nil"/>
              <w:left w:val="nil"/>
              <w:bottom w:val="single" w:sz="12" w:space="0" w:color="auto"/>
              <w:right w:val="single" w:sz="12" w:space="0" w:color="auto"/>
            </w:tcBorders>
            <w:shd w:val="clear" w:color="auto" w:fill="auto"/>
            <w:noWrap/>
            <w:vAlign w:val="center"/>
            <w:hideMark/>
          </w:tcPr>
          <w:p w14:paraId="07085C26" w14:textId="7F63B5D0" w:rsidR="003E1961" w:rsidRPr="003E1961" w:rsidRDefault="003E1961" w:rsidP="00134135">
            <w:pPr>
              <w:spacing w:beforeLines="20" w:before="48" w:afterLines="20" w:after="48" w:line="264" w:lineRule="auto"/>
              <w:ind w:firstLineChars="100" w:firstLine="200"/>
              <w:contextualSpacing/>
              <w:jc w:val="center"/>
              <w:rPr>
                <w:rFonts w:ascii="Arial Narrow" w:eastAsia="Times New Roman" w:hAnsi="Arial Narrow" w:cs="Times New Roman"/>
                <w:color w:val="000000"/>
                <w:sz w:val="20"/>
                <w:szCs w:val="20"/>
              </w:rPr>
            </w:pPr>
            <w:r w:rsidRPr="003E1961">
              <w:rPr>
                <w:rFonts w:ascii="Arial Narrow" w:eastAsia="Times New Roman" w:hAnsi="Arial Narrow" w:cs="Times New Roman"/>
                <w:color w:val="000000"/>
                <w:sz w:val="20"/>
                <w:szCs w:val="20"/>
              </w:rPr>
              <w:t>$</w:t>
            </w:r>
            <w:r w:rsidR="00134135">
              <w:rPr>
                <w:rFonts w:ascii="Arial Narrow" w:eastAsia="Times New Roman" w:hAnsi="Arial Narrow" w:cs="Times New Roman"/>
                <w:color w:val="000000"/>
                <w:sz w:val="20"/>
                <w:szCs w:val="20"/>
              </w:rPr>
              <w:t>16,013</w:t>
            </w:r>
          </w:p>
        </w:tc>
      </w:tr>
      <w:tr w:rsidR="008046B9" w:rsidRPr="003E1961" w14:paraId="3C6BED77" w14:textId="77777777" w:rsidTr="00E02B0B">
        <w:trPr>
          <w:trHeight w:val="300"/>
        </w:trPr>
        <w:tc>
          <w:tcPr>
            <w:tcW w:w="2667" w:type="pct"/>
            <w:gridSpan w:val="3"/>
            <w:tcBorders>
              <w:top w:val="single" w:sz="12" w:space="0" w:color="auto"/>
              <w:left w:val="single" w:sz="12" w:space="0" w:color="auto"/>
              <w:bottom w:val="single" w:sz="12" w:space="0" w:color="auto"/>
              <w:right w:val="nil"/>
            </w:tcBorders>
          </w:tcPr>
          <w:p w14:paraId="7FB3DAAC" w14:textId="77777777" w:rsidR="003E1961" w:rsidRPr="003E1961" w:rsidRDefault="003E1961" w:rsidP="003E1961">
            <w:pPr>
              <w:spacing w:beforeLines="20" w:before="48" w:afterLines="20" w:after="48" w:line="264" w:lineRule="auto"/>
              <w:contextualSpacing/>
              <w:rPr>
                <w:rFonts w:ascii="Arial Narrow" w:eastAsia="Times New Roman" w:hAnsi="Arial Narrow" w:cs="Times New Roman"/>
                <w:b/>
                <w:bCs/>
                <w:color w:val="000000"/>
                <w:sz w:val="20"/>
                <w:szCs w:val="20"/>
              </w:rPr>
            </w:pPr>
            <w:r w:rsidRPr="003E1961">
              <w:rPr>
                <w:rFonts w:ascii="Arial Narrow" w:eastAsia="Times New Roman" w:hAnsi="Arial Narrow" w:cs="Times New Roman"/>
                <w:b/>
                <w:bCs/>
                <w:color w:val="000000"/>
                <w:sz w:val="20"/>
                <w:szCs w:val="20"/>
              </w:rPr>
              <w:t>TOTAL Annual Ongoing Costs</w:t>
            </w:r>
          </w:p>
        </w:tc>
        <w:tc>
          <w:tcPr>
            <w:tcW w:w="729" w:type="pct"/>
            <w:tcBorders>
              <w:top w:val="single" w:sz="12" w:space="0" w:color="auto"/>
              <w:left w:val="nil"/>
              <w:bottom w:val="single" w:sz="12" w:space="0" w:color="auto"/>
              <w:right w:val="nil"/>
            </w:tcBorders>
            <w:shd w:val="clear" w:color="auto" w:fill="auto"/>
            <w:noWrap/>
            <w:vAlign w:val="bottom"/>
            <w:hideMark/>
          </w:tcPr>
          <w:p w14:paraId="31D8F17F" w14:textId="77777777" w:rsidR="003E1961" w:rsidRPr="003E1961" w:rsidRDefault="003E1961" w:rsidP="003E1961">
            <w:pPr>
              <w:spacing w:beforeLines="20" w:before="48" w:afterLines="20" w:after="48" w:line="264" w:lineRule="auto"/>
              <w:contextualSpacing/>
              <w:rPr>
                <w:rFonts w:ascii="Arial Narrow" w:eastAsia="Times New Roman" w:hAnsi="Arial Narrow" w:cs="Times New Roman"/>
                <w:b/>
                <w:bCs/>
                <w:color w:val="000000"/>
                <w:sz w:val="20"/>
                <w:szCs w:val="20"/>
              </w:rPr>
            </w:pPr>
            <w:r w:rsidRPr="003E1961">
              <w:rPr>
                <w:rFonts w:ascii="Arial Narrow" w:eastAsia="Times New Roman" w:hAnsi="Arial Narrow" w:cs="Times New Roman"/>
                <w:b/>
                <w:bCs/>
                <w:color w:val="000000"/>
                <w:sz w:val="20"/>
                <w:szCs w:val="20"/>
              </w:rPr>
              <w:t> </w:t>
            </w:r>
          </w:p>
        </w:tc>
        <w:tc>
          <w:tcPr>
            <w:tcW w:w="896" w:type="pct"/>
            <w:tcBorders>
              <w:top w:val="single" w:sz="12" w:space="0" w:color="auto"/>
              <w:left w:val="nil"/>
              <w:bottom w:val="single" w:sz="12" w:space="0" w:color="auto"/>
              <w:right w:val="nil"/>
            </w:tcBorders>
            <w:shd w:val="clear" w:color="auto" w:fill="auto"/>
            <w:noWrap/>
            <w:vAlign w:val="bottom"/>
            <w:hideMark/>
          </w:tcPr>
          <w:p w14:paraId="6AB55619" w14:textId="77777777" w:rsidR="003E1961" w:rsidRPr="003E1961" w:rsidRDefault="003E1961" w:rsidP="003E1961">
            <w:pPr>
              <w:spacing w:beforeLines="20" w:before="48" w:afterLines="20" w:after="48" w:line="264" w:lineRule="auto"/>
              <w:contextualSpacing/>
              <w:rPr>
                <w:rFonts w:ascii="Arial Narrow" w:eastAsia="Times New Roman" w:hAnsi="Arial Narrow" w:cs="Times New Roman"/>
                <w:b/>
                <w:bCs/>
                <w:color w:val="000000"/>
                <w:sz w:val="20"/>
                <w:szCs w:val="20"/>
              </w:rPr>
            </w:pPr>
            <w:r w:rsidRPr="003E1961">
              <w:rPr>
                <w:rFonts w:ascii="Arial Narrow" w:eastAsia="Times New Roman" w:hAnsi="Arial Narrow" w:cs="Times New Roman"/>
                <w:b/>
                <w:bCs/>
                <w:color w:val="000000"/>
                <w:sz w:val="20"/>
                <w:szCs w:val="20"/>
              </w:rPr>
              <w:t> </w:t>
            </w:r>
          </w:p>
        </w:tc>
        <w:tc>
          <w:tcPr>
            <w:tcW w:w="708" w:type="pct"/>
            <w:tcBorders>
              <w:top w:val="single" w:sz="12" w:space="0" w:color="auto"/>
              <w:left w:val="nil"/>
              <w:bottom w:val="single" w:sz="12" w:space="0" w:color="auto"/>
              <w:right w:val="single" w:sz="12" w:space="0" w:color="auto"/>
            </w:tcBorders>
            <w:shd w:val="clear" w:color="auto" w:fill="auto"/>
            <w:noWrap/>
            <w:vAlign w:val="center"/>
            <w:hideMark/>
          </w:tcPr>
          <w:p w14:paraId="49B4E96E" w14:textId="49C5469B" w:rsidR="003E1961" w:rsidRPr="003E1961" w:rsidRDefault="003E1961" w:rsidP="00A113B5">
            <w:pPr>
              <w:spacing w:beforeLines="20" w:before="48" w:afterLines="20" w:after="48" w:line="264" w:lineRule="auto"/>
              <w:ind w:firstLineChars="100" w:firstLine="201"/>
              <w:contextualSpacing/>
              <w:jc w:val="center"/>
              <w:rPr>
                <w:rFonts w:ascii="Arial Narrow" w:eastAsia="Times New Roman" w:hAnsi="Arial Narrow" w:cs="Times New Roman"/>
                <w:b/>
                <w:bCs/>
                <w:color w:val="000000"/>
                <w:sz w:val="20"/>
                <w:szCs w:val="20"/>
              </w:rPr>
            </w:pPr>
            <w:r w:rsidRPr="003E1961">
              <w:rPr>
                <w:rFonts w:ascii="Arial Narrow" w:eastAsia="Times New Roman" w:hAnsi="Arial Narrow" w:cs="Times New Roman"/>
                <w:b/>
                <w:bCs/>
                <w:color w:val="000000"/>
                <w:sz w:val="20"/>
                <w:szCs w:val="20"/>
              </w:rPr>
              <w:t>$</w:t>
            </w:r>
            <w:r w:rsidR="00A113B5">
              <w:rPr>
                <w:rFonts w:ascii="Arial Narrow" w:eastAsia="Times New Roman" w:hAnsi="Arial Narrow" w:cs="Times New Roman"/>
                <w:b/>
                <w:bCs/>
                <w:color w:val="000000"/>
                <w:sz w:val="20"/>
                <w:szCs w:val="20"/>
              </w:rPr>
              <w:t>771,626</w:t>
            </w:r>
          </w:p>
        </w:tc>
      </w:tr>
      <w:tr w:rsidR="00B45DED" w:rsidRPr="003E1961" w14:paraId="71C3304A" w14:textId="77777777" w:rsidTr="003E1961">
        <w:trPr>
          <w:trHeight w:val="144"/>
        </w:trPr>
        <w:tc>
          <w:tcPr>
            <w:tcW w:w="5000" w:type="pct"/>
            <w:gridSpan w:val="6"/>
            <w:tcBorders>
              <w:top w:val="single" w:sz="12" w:space="0" w:color="auto"/>
              <w:left w:val="single" w:sz="12" w:space="0" w:color="auto"/>
              <w:right w:val="single" w:sz="12" w:space="0" w:color="auto"/>
            </w:tcBorders>
          </w:tcPr>
          <w:p w14:paraId="1381B32B" w14:textId="37D4F241" w:rsidR="00B45DED" w:rsidRPr="003E1961" w:rsidRDefault="00B45DED" w:rsidP="00B45DED">
            <w:pPr>
              <w:rPr>
                <w:rFonts w:eastAsia="Times New Roman" w:cs="Times New Roman"/>
                <w:b/>
                <w:color w:val="000000"/>
                <w:sz w:val="18"/>
                <w:szCs w:val="18"/>
              </w:rPr>
            </w:pPr>
            <w:r w:rsidRPr="000D5DB9">
              <w:rPr>
                <w:rFonts w:ascii="Arial Narrow" w:hAnsi="Arial Narrow"/>
                <w:b/>
                <w:color w:val="000000"/>
                <w:sz w:val="18"/>
                <w:szCs w:val="18"/>
              </w:rPr>
              <w:t>General Notes</w:t>
            </w:r>
          </w:p>
        </w:tc>
      </w:tr>
      <w:tr w:rsidR="00B45DED" w:rsidRPr="003E1961" w14:paraId="42AECB88" w14:textId="77777777" w:rsidTr="003E1961">
        <w:trPr>
          <w:trHeight w:val="144"/>
        </w:trPr>
        <w:tc>
          <w:tcPr>
            <w:tcW w:w="5000" w:type="pct"/>
            <w:gridSpan w:val="6"/>
            <w:tcBorders>
              <w:left w:val="single" w:sz="12" w:space="0" w:color="auto"/>
              <w:right w:val="single" w:sz="12" w:space="0" w:color="auto"/>
            </w:tcBorders>
          </w:tcPr>
          <w:p w14:paraId="68208582" w14:textId="3B6CDCB8" w:rsidR="00233E0C" w:rsidRPr="00921211" w:rsidRDefault="00B45DED" w:rsidP="00F07528">
            <w:pPr>
              <w:numPr>
                <w:ilvl w:val="0"/>
                <w:numId w:val="11"/>
              </w:numPr>
              <w:spacing w:after="180" w:line="264" w:lineRule="auto"/>
              <w:contextualSpacing/>
              <w:rPr>
                <w:rFonts w:ascii="Arial Narrow" w:hAnsi="Arial Narrow"/>
                <w:color w:val="000000"/>
                <w:sz w:val="18"/>
              </w:rPr>
            </w:pPr>
            <w:r w:rsidRPr="000D5DB9">
              <w:rPr>
                <w:rFonts w:ascii="Arial Narrow" w:hAnsi="Arial Narrow"/>
                <w:bCs/>
                <w:color w:val="000000"/>
                <w:sz w:val="18"/>
                <w:szCs w:val="16"/>
              </w:rPr>
              <w:t xml:space="preserve">Sources: Estimates used in the </w:t>
            </w:r>
            <w:r w:rsidR="00963561">
              <w:rPr>
                <w:rFonts w:ascii="Arial Narrow" w:hAnsi="Arial Narrow"/>
                <w:bCs/>
                <w:color w:val="000000"/>
                <w:sz w:val="18"/>
                <w:szCs w:val="16"/>
              </w:rPr>
              <w:t>Active-Inactive</w:t>
            </w:r>
            <w:r w:rsidRPr="000D5DB9">
              <w:rPr>
                <w:rFonts w:ascii="Arial Narrow" w:hAnsi="Arial Narrow"/>
                <w:bCs/>
                <w:color w:val="000000"/>
                <w:sz w:val="18"/>
                <w:szCs w:val="16"/>
              </w:rPr>
              <w:t xml:space="preserve"> rule</w:t>
            </w:r>
            <w:r w:rsidR="00F07528">
              <w:rPr>
                <w:rFonts w:ascii="Arial Narrow" w:hAnsi="Arial Narrow"/>
                <w:bCs/>
                <w:color w:val="000000"/>
                <w:sz w:val="18"/>
                <w:szCs w:val="16"/>
              </w:rPr>
              <w:t xml:space="preserve"> </w:t>
            </w:r>
            <w:r w:rsidR="00F07528">
              <w:rPr>
                <w:rFonts w:ascii="Arial Narrow" w:hAnsi="Arial Narrow"/>
                <w:bCs/>
                <w:color w:val="000000"/>
                <w:sz w:val="18"/>
                <w:szCs w:val="16"/>
              </w:rPr>
              <w:fldChar w:fldCharType="begin"/>
            </w:r>
            <w:r w:rsidR="00F07528">
              <w:rPr>
                <w:rFonts w:ascii="Arial Narrow" w:hAnsi="Arial Narrow"/>
                <w:bCs/>
                <w:color w:val="000000"/>
                <w:sz w:val="18"/>
                <w:szCs w:val="16"/>
              </w:rPr>
              <w:instrText xml:space="preserve"> ADDIN ZOTERO_ITEM CSL_CITATION {"citationID":"WmcLoG3q","properties":{"formattedCitation":"((Williamson, 2016); Agency best professional judgement)","plainCitation":"((Williamson, 2016); Agency best professional judgement)","noteIndex":0},"citationItems":[{"id":540,"uris":["http://zotero.org/groups/1140234/items/2RZNISCA"],"uri":["http://zotero.org/groups/1140234/items/2RZNISCA"],"itemData":{"id":540,"type":"article-journal","title":"Email from Tracy Williamson to Cody Rice and Laura Nielsen. October 26, 2016.","container-title":"RE: INV rule - internal resources.","shortTitle":"Email from Tracy Williamson to Cody Rice and Laura Nielsen. October 26, 2016.","author":[{"family":"Williamson","given":"Tracy"}],"issued":{"date-parts":[["2016",10,26]]}},"prefix":"(","suffix":"); Agency best professional judgement"}],"schema":"https://github.com/citation-style-language/schema/raw/master/csl-citation.json"} </w:instrText>
            </w:r>
            <w:r w:rsidR="00F07528">
              <w:rPr>
                <w:rFonts w:ascii="Arial Narrow" w:hAnsi="Arial Narrow"/>
                <w:bCs/>
                <w:color w:val="000000"/>
                <w:sz w:val="18"/>
                <w:szCs w:val="16"/>
              </w:rPr>
              <w:fldChar w:fldCharType="separate"/>
            </w:r>
            <w:r w:rsidR="00F07528" w:rsidRPr="00921211">
              <w:rPr>
                <w:rFonts w:ascii="Arial Narrow" w:hAnsi="Arial Narrow"/>
                <w:sz w:val="18"/>
              </w:rPr>
              <w:t>((Williamson, 2016); Agency best professional judgement)</w:t>
            </w:r>
            <w:r w:rsidR="00F07528">
              <w:rPr>
                <w:rFonts w:ascii="Arial Narrow" w:hAnsi="Arial Narrow"/>
                <w:bCs/>
                <w:color w:val="000000"/>
                <w:sz w:val="18"/>
                <w:szCs w:val="16"/>
              </w:rPr>
              <w:fldChar w:fldCharType="end"/>
            </w:r>
            <w:r w:rsidRPr="000D5DB9">
              <w:rPr>
                <w:rFonts w:ascii="Arial Narrow" w:hAnsi="Arial Narrow"/>
                <w:bCs/>
                <w:color w:val="000000"/>
                <w:sz w:val="18"/>
                <w:szCs w:val="16"/>
              </w:rPr>
              <w:t xml:space="preserve"> and wage rates i</w:t>
            </w:r>
            <w:r w:rsidRPr="00B3255B">
              <w:rPr>
                <w:rFonts w:ascii="Arial Narrow" w:hAnsi="Arial Narrow"/>
                <w:bCs/>
                <w:color w:val="000000"/>
                <w:sz w:val="18"/>
                <w:szCs w:val="18"/>
              </w:rPr>
              <w:t>n</w:t>
            </w:r>
            <w:r w:rsidR="00B3255B" w:rsidRPr="00B3255B">
              <w:rPr>
                <w:rFonts w:ascii="Arial Narrow" w:hAnsi="Arial Narrow"/>
                <w:bCs/>
                <w:color w:val="000000"/>
                <w:sz w:val="18"/>
                <w:szCs w:val="18"/>
              </w:rPr>
              <w:t xml:space="preserve"> </w:t>
            </w:r>
            <w:r w:rsidR="00B3255B" w:rsidRPr="00B3255B">
              <w:rPr>
                <w:rFonts w:ascii="Arial Narrow" w:hAnsi="Arial Narrow"/>
                <w:bCs/>
                <w:color w:val="000000"/>
                <w:sz w:val="18"/>
                <w:szCs w:val="18"/>
              </w:rPr>
              <w:fldChar w:fldCharType="begin"/>
            </w:r>
            <w:r w:rsidR="00B3255B" w:rsidRPr="003B54E8">
              <w:rPr>
                <w:rFonts w:ascii="Arial Narrow" w:hAnsi="Arial Narrow"/>
                <w:bCs/>
                <w:color w:val="000000"/>
                <w:sz w:val="18"/>
                <w:szCs w:val="18"/>
              </w:rPr>
              <w:instrText xml:space="preserve"> REF _Ref526494753 \h  \* MERGEFORMAT </w:instrText>
            </w:r>
            <w:r w:rsidR="00B3255B" w:rsidRPr="00B3255B">
              <w:rPr>
                <w:rFonts w:ascii="Arial Narrow" w:hAnsi="Arial Narrow"/>
                <w:bCs/>
                <w:color w:val="000000"/>
                <w:sz w:val="18"/>
                <w:szCs w:val="18"/>
              </w:rPr>
            </w:r>
            <w:r w:rsidR="00B3255B" w:rsidRPr="00B3255B">
              <w:rPr>
                <w:rFonts w:ascii="Arial Narrow" w:hAnsi="Arial Narrow"/>
                <w:bCs/>
                <w:color w:val="000000"/>
                <w:sz w:val="18"/>
                <w:szCs w:val="18"/>
              </w:rPr>
              <w:fldChar w:fldCharType="separate"/>
            </w:r>
            <w:r w:rsidR="005C4A2E" w:rsidRPr="00E02B0B">
              <w:rPr>
                <w:rFonts w:ascii="Arial Narrow" w:hAnsi="Arial Narrow"/>
                <w:sz w:val="18"/>
                <w:szCs w:val="18"/>
              </w:rPr>
              <w:t xml:space="preserve">Table </w:t>
            </w:r>
            <w:r w:rsidR="005C4A2E" w:rsidRPr="00E02B0B">
              <w:rPr>
                <w:rFonts w:ascii="Arial Narrow" w:hAnsi="Arial Narrow"/>
                <w:noProof/>
                <w:sz w:val="18"/>
                <w:szCs w:val="18"/>
              </w:rPr>
              <w:t>6</w:t>
            </w:r>
            <w:r w:rsidR="00B3255B" w:rsidRPr="00B3255B">
              <w:rPr>
                <w:rFonts w:ascii="Arial Narrow" w:hAnsi="Arial Narrow"/>
                <w:bCs/>
                <w:color w:val="000000"/>
                <w:sz w:val="18"/>
                <w:szCs w:val="18"/>
              </w:rPr>
              <w:fldChar w:fldCharType="end"/>
            </w:r>
            <w:r w:rsidRPr="000D5DB9">
              <w:rPr>
                <w:rFonts w:ascii="Arial Narrow" w:hAnsi="Arial Narrow"/>
                <w:bCs/>
                <w:color w:val="000000"/>
                <w:sz w:val="18"/>
                <w:szCs w:val="16"/>
              </w:rPr>
              <w:t>.</w:t>
            </w:r>
          </w:p>
        </w:tc>
      </w:tr>
      <w:tr w:rsidR="00B45DED" w:rsidRPr="003E1961" w14:paraId="3EC54E8E" w14:textId="77777777" w:rsidTr="007161A0">
        <w:trPr>
          <w:trHeight w:val="144"/>
        </w:trPr>
        <w:tc>
          <w:tcPr>
            <w:tcW w:w="5000" w:type="pct"/>
            <w:gridSpan w:val="6"/>
            <w:tcBorders>
              <w:left w:val="single" w:sz="12" w:space="0" w:color="auto"/>
              <w:bottom w:val="single" w:sz="12" w:space="0" w:color="auto"/>
              <w:right w:val="single" w:sz="12" w:space="0" w:color="auto"/>
            </w:tcBorders>
          </w:tcPr>
          <w:p w14:paraId="46C2EB2F" w14:textId="75065703" w:rsidR="00B45DED" w:rsidRPr="003E1961" w:rsidRDefault="00B45DED" w:rsidP="004B218D">
            <w:pPr>
              <w:numPr>
                <w:ilvl w:val="0"/>
                <w:numId w:val="11"/>
              </w:numPr>
              <w:spacing w:after="180" w:line="264" w:lineRule="auto"/>
              <w:contextualSpacing/>
              <w:rPr>
                <w:rFonts w:eastAsia="Calibri" w:cs="Times New Roman"/>
                <w:color w:val="000000"/>
                <w:sz w:val="18"/>
                <w:szCs w:val="18"/>
              </w:rPr>
            </w:pPr>
            <w:r w:rsidRPr="000D5DB9">
              <w:rPr>
                <w:rFonts w:ascii="Arial Narrow" w:hAnsi="Arial Narrow"/>
                <w:bCs/>
                <w:color w:val="000000"/>
                <w:sz w:val="18"/>
                <w:szCs w:val="16"/>
              </w:rPr>
              <w:t>All FTE hours are associated with a labor cost based on wage rate for GS-13 Step 5 of $82.37 per hour and assumes 2,080 working hours per year (see</w:t>
            </w:r>
            <w:r w:rsidR="00EB3968">
              <w:rPr>
                <w:rFonts w:ascii="Arial Narrow" w:hAnsi="Arial Narrow"/>
                <w:bCs/>
                <w:color w:val="000000"/>
                <w:sz w:val="18"/>
                <w:szCs w:val="16"/>
              </w:rPr>
              <w:t xml:space="preserve"> </w:t>
            </w:r>
            <w:r w:rsidR="00EB3968">
              <w:rPr>
                <w:rFonts w:ascii="Arial Narrow" w:hAnsi="Arial Narrow"/>
                <w:bCs/>
                <w:color w:val="000000"/>
                <w:sz w:val="18"/>
                <w:szCs w:val="16"/>
              </w:rPr>
              <w:fldChar w:fldCharType="begin"/>
            </w:r>
            <w:r w:rsidR="00EB3968">
              <w:rPr>
                <w:rFonts w:ascii="Arial Narrow" w:hAnsi="Arial Narrow"/>
                <w:bCs/>
                <w:color w:val="000000"/>
                <w:sz w:val="18"/>
                <w:szCs w:val="16"/>
              </w:rPr>
              <w:instrText xml:space="preserve"> REF _Ref526494753 \h  \* MERGEFORMAT </w:instrText>
            </w:r>
            <w:r w:rsidR="00EB3968">
              <w:rPr>
                <w:rFonts w:ascii="Arial Narrow" w:hAnsi="Arial Narrow"/>
                <w:bCs/>
                <w:color w:val="000000"/>
                <w:sz w:val="18"/>
                <w:szCs w:val="16"/>
              </w:rPr>
            </w:r>
            <w:r w:rsidR="00EB3968">
              <w:rPr>
                <w:rFonts w:ascii="Arial Narrow" w:hAnsi="Arial Narrow"/>
                <w:bCs/>
                <w:color w:val="000000"/>
                <w:sz w:val="18"/>
                <w:szCs w:val="16"/>
              </w:rPr>
              <w:fldChar w:fldCharType="separate"/>
            </w:r>
            <w:r w:rsidR="005C4A2E" w:rsidRPr="00E02B0B">
              <w:rPr>
                <w:rFonts w:ascii="Arial Narrow" w:hAnsi="Arial Narrow"/>
                <w:bCs/>
                <w:color w:val="000000"/>
                <w:sz w:val="18"/>
                <w:szCs w:val="16"/>
              </w:rPr>
              <w:t>Table 6</w:t>
            </w:r>
            <w:r w:rsidR="00EB3968">
              <w:rPr>
                <w:rFonts w:ascii="Arial Narrow" w:hAnsi="Arial Narrow"/>
                <w:bCs/>
                <w:color w:val="000000"/>
                <w:sz w:val="18"/>
                <w:szCs w:val="16"/>
              </w:rPr>
              <w:fldChar w:fldCharType="end"/>
            </w:r>
            <w:r w:rsidRPr="000D5DB9">
              <w:rPr>
                <w:rFonts w:ascii="Arial Narrow" w:hAnsi="Arial Narrow"/>
                <w:bCs/>
                <w:color w:val="000000"/>
                <w:sz w:val="18"/>
                <w:szCs w:val="16"/>
              </w:rPr>
              <w:t xml:space="preserve">); 0.5 FTE from </w:t>
            </w:r>
            <w:r w:rsidR="00963561">
              <w:rPr>
                <w:rFonts w:ascii="Arial Narrow" w:hAnsi="Arial Narrow"/>
                <w:bCs/>
                <w:color w:val="000000"/>
                <w:sz w:val="18"/>
                <w:szCs w:val="16"/>
              </w:rPr>
              <w:t>Active-Inactive</w:t>
            </w:r>
            <w:r w:rsidRPr="000D5DB9">
              <w:rPr>
                <w:rFonts w:ascii="Arial Narrow" w:hAnsi="Arial Narrow"/>
                <w:bCs/>
                <w:color w:val="000000"/>
                <w:sz w:val="18"/>
                <w:szCs w:val="16"/>
              </w:rPr>
              <w:t xml:space="preserve"> rule is factored down (to 7%) based on the percent of total chemicals in NOA Form As with CBI chemID claims that are reflected in counts for chemical-specific  NOA Form A claims </w:t>
            </w:r>
            <w:r w:rsidRPr="000D5DB9">
              <w:rPr>
                <w:rFonts w:ascii="Arial Narrow" w:hAnsi="Arial Narrow"/>
                <w:bCs/>
                <w:color w:val="000000"/>
                <w:sz w:val="18"/>
                <w:szCs w:val="16"/>
              </w:rPr>
              <w:fldChar w:fldCharType="begin"/>
            </w:r>
            <w:r w:rsidR="00731D51">
              <w:rPr>
                <w:rFonts w:ascii="Arial Narrow" w:hAnsi="Arial Narrow"/>
                <w:bCs/>
                <w:color w:val="000000"/>
                <w:sz w:val="18"/>
                <w:szCs w:val="16"/>
              </w:rPr>
              <w:instrText xml:space="preserve"> ADDIN ZOTERO_ITEM CSL_CITATION {"citationID":"hhu28bUL","properties":{"formattedCitation":"(EPA, 2018)","plainCitation":"(EPA, 2018)","noteIndex":0},"citationItems":[{"id":1711,"uris":["http://zotero.org/groups/1140234/items/DQCHNEKC"],"uri":["http://zotero.org/groups/1140234/items/DQCHNEKC"],"itemData":{"id":1711,"type":"article","title":"NOA Submissions datafiles delivered from William Burlew (Industrial Chemistry Branch) to Laura Nielsen (Economics and Policy Analysis Branch) on August 30, 2018 via CBI G Drive. Modified to develop the EPAB 2018 Generic NOA Datafile, internal EPA interim release (November 4, 2018)","author":[{"literal":"EPA"}],"issued":{"date-parts":[["2018",8,30]]}}}],"schema":"https://github.com/citation-style-language/schema/raw/master/csl-citation.json"} </w:instrText>
            </w:r>
            <w:r w:rsidRPr="000D5DB9">
              <w:rPr>
                <w:rFonts w:ascii="Arial Narrow" w:hAnsi="Arial Narrow"/>
                <w:bCs/>
                <w:color w:val="000000"/>
                <w:sz w:val="18"/>
                <w:szCs w:val="16"/>
              </w:rPr>
              <w:fldChar w:fldCharType="separate"/>
            </w:r>
            <w:r w:rsidR="00731D51" w:rsidRPr="00960105">
              <w:rPr>
                <w:rFonts w:ascii="Arial Narrow" w:hAnsi="Arial Narrow"/>
                <w:sz w:val="18"/>
              </w:rPr>
              <w:t>(EPA, 2018)</w:t>
            </w:r>
            <w:r w:rsidRPr="000D5DB9">
              <w:rPr>
                <w:rFonts w:ascii="Arial Narrow" w:hAnsi="Arial Narrow"/>
                <w:bCs/>
                <w:color w:val="000000"/>
                <w:sz w:val="18"/>
                <w:szCs w:val="16"/>
              </w:rPr>
              <w:fldChar w:fldCharType="end"/>
            </w:r>
            <w:r w:rsidRPr="000D5DB9">
              <w:rPr>
                <w:rFonts w:ascii="Arial Narrow" w:hAnsi="Arial Narrow"/>
                <w:bCs/>
                <w:color w:val="000000"/>
                <w:sz w:val="18"/>
                <w:szCs w:val="16"/>
              </w:rPr>
              <w:t xml:space="preserve">. </w:t>
            </w:r>
          </w:p>
        </w:tc>
      </w:tr>
    </w:tbl>
    <w:p w14:paraId="6E2F64A4" w14:textId="77777777" w:rsidR="00B347AD" w:rsidRPr="00126678" w:rsidRDefault="00B347AD" w:rsidP="00B347AD">
      <w:pPr>
        <w:pStyle w:val="Heading2"/>
      </w:pPr>
      <w:r>
        <w:t>Bottom Line Burden Hours and Costs</w:t>
      </w:r>
    </w:p>
    <w:p w14:paraId="3AA8AC4D" w14:textId="0D6156BF" w:rsidR="00527225" w:rsidRDefault="00126678" w:rsidP="00EB3968">
      <w:r>
        <w:t>Total industry burden and cost are estimated by combining industry unit burdens from</w:t>
      </w:r>
      <w:r w:rsidR="00527225">
        <w:t xml:space="preserve"> </w:t>
      </w:r>
      <w:r w:rsidR="00527225">
        <w:fldChar w:fldCharType="begin"/>
      </w:r>
      <w:r w:rsidR="00527225">
        <w:instrText xml:space="preserve"> REF _Ref528062545 \h </w:instrText>
      </w:r>
      <w:r w:rsidR="00527225">
        <w:fldChar w:fldCharType="separate"/>
      </w:r>
      <w:r w:rsidR="005C4A2E">
        <w:t xml:space="preserve">Table </w:t>
      </w:r>
      <w:r w:rsidR="005C4A2E">
        <w:rPr>
          <w:noProof/>
        </w:rPr>
        <w:t>3</w:t>
      </w:r>
      <w:r w:rsidR="00527225">
        <w:fldChar w:fldCharType="end"/>
      </w:r>
      <w:r w:rsidR="00527225">
        <w:t xml:space="preserve"> and industry unit costs from </w:t>
      </w:r>
      <w:r w:rsidR="00527225">
        <w:fldChar w:fldCharType="begin"/>
      </w:r>
      <w:r w:rsidR="00527225">
        <w:instrText xml:space="preserve"> REF _Ref526493351 \h </w:instrText>
      </w:r>
      <w:r w:rsidR="00527225">
        <w:fldChar w:fldCharType="separate"/>
      </w:r>
      <w:r w:rsidR="005C4A2E">
        <w:t xml:space="preserve">Table </w:t>
      </w:r>
      <w:r w:rsidR="005C4A2E">
        <w:rPr>
          <w:noProof/>
        </w:rPr>
        <w:t>5</w:t>
      </w:r>
      <w:r w:rsidR="00527225">
        <w:fldChar w:fldCharType="end"/>
      </w:r>
      <w:r w:rsidR="00527225">
        <w:t xml:space="preserve"> with affected universe counts, as derived in the </w:t>
      </w:r>
      <w:r w:rsidR="00527225">
        <w:rPr>
          <w:i/>
        </w:rPr>
        <w:t xml:space="preserve">Economic Analysis for the Proposed Rule: </w:t>
      </w:r>
      <w:r w:rsidR="00FA37A2" w:rsidRPr="00FA37A2">
        <w:rPr>
          <w:i/>
        </w:rPr>
        <w:t>Procedures for Review of CBI Claims for the Identity of Chemicals on the TSCA Inventory</w:t>
      </w:r>
      <w:r w:rsidR="00527225">
        <w:t>.</w:t>
      </w:r>
      <w:r w:rsidR="00EB3968">
        <w:t xml:space="preserve"> </w:t>
      </w:r>
    </w:p>
    <w:p w14:paraId="7BAEFA06" w14:textId="77777777" w:rsidR="00527225" w:rsidRDefault="00527225" w:rsidP="00EB3968"/>
    <w:p w14:paraId="4E663798" w14:textId="3C931D4C" w:rsidR="00EB3968" w:rsidRDefault="00EB3968" w:rsidP="00EB3968">
      <w:r>
        <w:t xml:space="preserve">In </w:t>
      </w:r>
      <w:r>
        <w:fldChar w:fldCharType="begin"/>
      </w:r>
      <w:r>
        <w:instrText xml:space="preserve"> REF _Ref528062545 \h </w:instrText>
      </w:r>
      <w:r>
        <w:fldChar w:fldCharType="separate"/>
      </w:r>
      <w:r w:rsidR="005C4A2E">
        <w:t xml:space="preserve">Table </w:t>
      </w:r>
      <w:r w:rsidR="005C4A2E">
        <w:rPr>
          <w:noProof/>
        </w:rPr>
        <w:t>3</w:t>
      </w:r>
      <w:r>
        <w:fldChar w:fldCharType="end"/>
      </w:r>
      <w:r>
        <w:t xml:space="preserve">, activity burdens are combined to produce unit burdens associated with submissions for the two </w:t>
      </w:r>
      <w:r w:rsidR="00737012">
        <w:t>groups</w:t>
      </w:r>
      <w:r>
        <w:t xml:space="preserve"> of reporters affected by the proposed rule.</w:t>
      </w:r>
      <w:r w:rsidR="00527225">
        <w:t xml:space="preserve"> </w:t>
      </w:r>
      <w:r>
        <w:t xml:space="preserve">For reporters citing a reference to a previous substantiation, EPA estimates that the average company reports on </w:t>
      </w:r>
      <w:r w:rsidR="00A113B5">
        <w:t xml:space="preserve">four </w:t>
      </w:r>
      <w:r>
        <w:t xml:space="preserve">chemicals. For reporters submitting full substantiation, EPA estimates that the average company reports on </w:t>
      </w:r>
      <w:r w:rsidR="00A113B5">
        <w:t xml:space="preserve">27 </w:t>
      </w:r>
      <w:r>
        <w:t>chemicals.</w:t>
      </w:r>
      <w:r w:rsidR="00527225">
        <w:t xml:space="preserve"> Similar unit costs are produced in </w:t>
      </w:r>
      <w:r w:rsidR="00527225">
        <w:fldChar w:fldCharType="begin"/>
      </w:r>
      <w:r w:rsidR="00527225">
        <w:instrText xml:space="preserve"> REF _Ref526493351 \h </w:instrText>
      </w:r>
      <w:r w:rsidR="00527225">
        <w:fldChar w:fldCharType="separate"/>
      </w:r>
      <w:r w:rsidR="005C4A2E">
        <w:t xml:space="preserve">Table </w:t>
      </w:r>
      <w:r w:rsidR="005C4A2E">
        <w:rPr>
          <w:noProof/>
        </w:rPr>
        <w:t>5</w:t>
      </w:r>
      <w:r w:rsidR="00527225">
        <w:fldChar w:fldCharType="end"/>
      </w:r>
      <w:r w:rsidR="00527225">
        <w:t>.</w:t>
      </w:r>
    </w:p>
    <w:p w14:paraId="290AEA4D" w14:textId="77777777" w:rsidR="00EB3968" w:rsidRDefault="00EB3968" w:rsidP="00EB3968"/>
    <w:p w14:paraId="6746471A" w14:textId="0F1EC9DF" w:rsidR="00126678" w:rsidRDefault="00126678" w:rsidP="005C4A2E">
      <w:r>
        <w:t xml:space="preserve">Total burden and total costs are then aggregated for all </w:t>
      </w:r>
      <w:r w:rsidR="004C74BB">
        <w:t>companie</w:t>
      </w:r>
      <w:r>
        <w:t>s in the affected universe. Total industry burden and cost are presented in</w:t>
      </w:r>
      <w:r w:rsidR="006639A0">
        <w:t xml:space="preserve"> </w:t>
      </w:r>
      <w:r w:rsidR="006639A0">
        <w:fldChar w:fldCharType="begin"/>
      </w:r>
      <w:r w:rsidR="006639A0">
        <w:instrText xml:space="preserve"> REF _Ref526495549 \h </w:instrText>
      </w:r>
      <w:r w:rsidR="006639A0">
        <w:fldChar w:fldCharType="separate"/>
      </w:r>
      <w:r w:rsidR="005C4A2E">
        <w:t xml:space="preserve">Table </w:t>
      </w:r>
      <w:r w:rsidR="005C4A2E">
        <w:rPr>
          <w:noProof/>
        </w:rPr>
        <w:t>8</w:t>
      </w:r>
      <w:r w:rsidR="006639A0">
        <w:fldChar w:fldCharType="end"/>
      </w:r>
      <w:r>
        <w:t xml:space="preserve">. </w:t>
      </w:r>
    </w:p>
    <w:p w14:paraId="7CC71E0A" w14:textId="3BEA1D60" w:rsidR="00126678" w:rsidRDefault="00126678" w:rsidP="00126678"/>
    <w:p w14:paraId="21A2975C" w14:textId="72D7CCF7" w:rsidR="002742F5" w:rsidRDefault="00C233FD" w:rsidP="000D0156">
      <w:pPr>
        <w:pStyle w:val="Caption"/>
        <w:keepNext/>
      </w:pPr>
      <w:bookmarkStart w:id="73" w:name="_Ref526495549"/>
      <w:r>
        <w:t xml:space="preserve">Table </w:t>
      </w:r>
      <w:r w:rsidR="00A762E6">
        <w:rPr>
          <w:noProof/>
        </w:rPr>
        <w:fldChar w:fldCharType="begin"/>
      </w:r>
      <w:r w:rsidR="00A762E6">
        <w:rPr>
          <w:noProof/>
        </w:rPr>
        <w:instrText xml:space="preserve"> SEQ Table \* ARABIC </w:instrText>
      </w:r>
      <w:r w:rsidR="00A762E6">
        <w:rPr>
          <w:noProof/>
        </w:rPr>
        <w:fldChar w:fldCharType="separate"/>
      </w:r>
      <w:r w:rsidR="005C4A2E">
        <w:rPr>
          <w:noProof/>
        </w:rPr>
        <w:t>8</w:t>
      </w:r>
      <w:r w:rsidR="00A762E6">
        <w:rPr>
          <w:noProof/>
        </w:rPr>
        <w:fldChar w:fldCharType="end"/>
      </w:r>
      <w:bookmarkEnd w:id="73"/>
      <w:r>
        <w:t xml:space="preserve">. </w:t>
      </w:r>
      <w:r w:rsidR="009F5194">
        <w:t xml:space="preserve">Overall Incremental </w:t>
      </w:r>
      <w:r>
        <w:t>Industry Burden and Cost</w:t>
      </w:r>
      <w:r w:rsidR="00871908">
        <w:t>s</w:t>
      </w:r>
      <w:r w:rsidR="000D0156">
        <w:t xml:space="preserve">, by </w:t>
      </w:r>
      <w:r w:rsidR="006366D7">
        <w:t xml:space="preserve">Reporting Group </w:t>
      </w:r>
      <w:r w:rsidR="000D0156">
        <w:t xml:space="preserve"> </w:t>
      </w:r>
    </w:p>
    <w:tbl>
      <w:tblPr>
        <w:tblW w:w="5000" w:type="pct"/>
        <w:tblLayout w:type="fixed"/>
        <w:tblLook w:val="04A0" w:firstRow="1" w:lastRow="0" w:firstColumn="1" w:lastColumn="0" w:noHBand="0" w:noVBand="1"/>
      </w:tblPr>
      <w:tblGrid>
        <w:gridCol w:w="2689"/>
        <w:gridCol w:w="1305"/>
        <w:gridCol w:w="1400"/>
        <w:gridCol w:w="41"/>
        <w:gridCol w:w="1639"/>
        <w:gridCol w:w="1212"/>
        <w:gridCol w:w="1380"/>
      </w:tblGrid>
      <w:tr w:rsidR="008046B9" w:rsidRPr="008F66C4" w14:paraId="1683AC4F" w14:textId="77777777" w:rsidTr="006366D7">
        <w:trPr>
          <w:trHeight w:val="870"/>
        </w:trPr>
        <w:tc>
          <w:tcPr>
            <w:tcW w:w="1391" w:type="pct"/>
            <w:tcBorders>
              <w:top w:val="single" w:sz="12" w:space="0" w:color="auto"/>
              <w:left w:val="single" w:sz="12" w:space="0" w:color="auto"/>
              <w:bottom w:val="single" w:sz="4" w:space="0" w:color="auto"/>
              <w:right w:val="single" w:sz="4" w:space="0" w:color="auto"/>
            </w:tcBorders>
            <w:shd w:val="clear" w:color="auto" w:fill="C3C6A8"/>
            <w:noWrap/>
            <w:vAlign w:val="bottom"/>
            <w:hideMark/>
          </w:tcPr>
          <w:p w14:paraId="6A5F53FF" w14:textId="1AD5C898" w:rsidR="002742F5" w:rsidRPr="00535886" w:rsidRDefault="002742F5" w:rsidP="006366D7">
            <w:pPr>
              <w:keepNext/>
              <w:jc w:val="center"/>
              <w:rPr>
                <w:b/>
                <w:bCs/>
                <w:color w:val="000000"/>
                <w:sz w:val="20"/>
              </w:rPr>
            </w:pPr>
            <w:r>
              <w:rPr>
                <w:b/>
                <w:bCs/>
                <w:color w:val="000000"/>
                <w:sz w:val="20"/>
              </w:rPr>
              <w:t>IC: Prepare and Submit Report, and Maintain Records</w:t>
            </w:r>
          </w:p>
        </w:tc>
        <w:tc>
          <w:tcPr>
            <w:tcW w:w="675" w:type="pct"/>
            <w:tcBorders>
              <w:top w:val="single" w:sz="12" w:space="0" w:color="auto"/>
              <w:left w:val="nil"/>
              <w:bottom w:val="single" w:sz="4" w:space="0" w:color="auto"/>
              <w:right w:val="single" w:sz="4" w:space="0" w:color="auto"/>
            </w:tcBorders>
            <w:shd w:val="clear" w:color="auto" w:fill="C3C6A8"/>
            <w:vAlign w:val="bottom"/>
            <w:hideMark/>
          </w:tcPr>
          <w:p w14:paraId="662647E2" w14:textId="77777777" w:rsidR="002742F5" w:rsidRPr="00535886" w:rsidRDefault="002742F5" w:rsidP="006366D7">
            <w:pPr>
              <w:keepNext/>
              <w:jc w:val="center"/>
              <w:rPr>
                <w:b/>
                <w:bCs/>
                <w:color w:val="000000"/>
                <w:sz w:val="20"/>
              </w:rPr>
            </w:pPr>
            <w:r w:rsidRPr="00535886">
              <w:rPr>
                <w:b/>
                <w:bCs/>
                <w:color w:val="000000"/>
                <w:sz w:val="20"/>
              </w:rPr>
              <w:t>Unit Burden (Hours per Company)</w:t>
            </w:r>
          </w:p>
        </w:tc>
        <w:tc>
          <w:tcPr>
            <w:tcW w:w="724" w:type="pct"/>
            <w:tcBorders>
              <w:top w:val="single" w:sz="12" w:space="0" w:color="auto"/>
              <w:left w:val="nil"/>
              <w:bottom w:val="single" w:sz="4" w:space="0" w:color="auto"/>
              <w:right w:val="single" w:sz="4" w:space="0" w:color="auto"/>
            </w:tcBorders>
            <w:shd w:val="clear" w:color="auto" w:fill="C3C6A8"/>
            <w:vAlign w:val="bottom"/>
            <w:hideMark/>
          </w:tcPr>
          <w:p w14:paraId="65A0A70E" w14:textId="77777777" w:rsidR="002742F5" w:rsidRPr="00535886" w:rsidRDefault="002742F5" w:rsidP="006366D7">
            <w:pPr>
              <w:keepNext/>
              <w:jc w:val="center"/>
              <w:rPr>
                <w:b/>
                <w:bCs/>
                <w:color w:val="000000"/>
                <w:sz w:val="20"/>
              </w:rPr>
            </w:pPr>
            <w:r w:rsidRPr="00535886">
              <w:rPr>
                <w:b/>
                <w:bCs/>
                <w:color w:val="000000"/>
                <w:sz w:val="20"/>
              </w:rPr>
              <w:t>Unit Costs (2017$)</w:t>
            </w:r>
          </w:p>
        </w:tc>
        <w:tc>
          <w:tcPr>
            <w:tcW w:w="868" w:type="pct"/>
            <w:gridSpan w:val="2"/>
            <w:tcBorders>
              <w:top w:val="single" w:sz="12" w:space="0" w:color="auto"/>
              <w:left w:val="nil"/>
              <w:bottom w:val="single" w:sz="4" w:space="0" w:color="auto"/>
              <w:right w:val="single" w:sz="12" w:space="0" w:color="auto"/>
            </w:tcBorders>
            <w:shd w:val="clear" w:color="auto" w:fill="C3C6A8"/>
            <w:vAlign w:val="bottom"/>
            <w:hideMark/>
          </w:tcPr>
          <w:p w14:paraId="5F35AAE3" w14:textId="77777777" w:rsidR="002742F5" w:rsidRPr="00535886" w:rsidRDefault="002742F5" w:rsidP="006366D7">
            <w:pPr>
              <w:keepNext/>
              <w:jc w:val="center"/>
              <w:rPr>
                <w:b/>
                <w:bCs/>
                <w:color w:val="000000"/>
                <w:sz w:val="20"/>
              </w:rPr>
            </w:pPr>
            <w:r w:rsidRPr="00535886">
              <w:rPr>
                <w:b/>
                <w:bCs/>
                <w:color w:val="000000"/>
                <w:sz w:val="20"/>
              </w:rPr>
              <w:t>Number of Respondents / Responses</w:t>
            </w:r>
            <w:r>
              <w:rPr>
                <w:b/>
                <w:bCs/>
                <w:color w:val="000000"/>
                <w:sz w:val="20"/>
              </w:rPr>
              <w:t xml:space="preserve"> (Companies)</w:t>
            </w:r>
          </w:p>
        </w:tc>
        <w:tc>
          <w:tcPr>
            <w:tcW w:w="627" w:type="pct"/>
            <w:tcBorders>
              <w:top w:val="single" w:sz="12" w:space="0" w:color="auto"/>
              <w:left w:val="single" w:sz="12" w:space="0" w:color="auto"/>
              <w:bottom w:val="single" w:sz="4" w:space="0" w:color="auto"/>
              <w:right w:val="single" w:sz="4" w:space="0" w:color="auto"/>
            </w:tcBorders>
            <w:shd w:val="clear" w:color="auto" w:fill="C3C6A8"/>
            <w:vAlign w:val="bottom"/>
            <w:hideMark/>
          </w:tcPr>
          <w:p w14:paraId="28E9A866" w14:textId="77777777" w:rsidR="002742F5" w:rsidRPr="00535886" w:rsidRDefault="002742F5" w:rsidP="006366D7">
            <w:pPr>
              <w:keepNext/>
              <w:jc w:val="center"/>
              <w:rPr>
                <w:b/>
                <w:bCs/>
                <w:color w:val="000000"/>
                <w:sz w:val="20"/>
              </w:rPr>
            </w:pPr>
            <w:r w:rsidRPr="00535886">
              <w:rPr>
                <w:b/>
                <w:bCs/>
                <w:color w:val="000000"/>
                <w:sz w:val="20"/>
              </w:rPr>
              <w:t>Total Burden (Hours)</w:t>
            </w:r>
          </w:p>
        </w:tc>
        <w:tc>
          <w:tcPr>
            <w:tcW w:w="715" w:type="pct"/>
            <w:tcBorders>
              <w:top w:val="single" w:sz="12" w:space="0" w:color="auto"/>
              <w:left w:val="nil"/>
              <w:bottom w:val="single" w:sz="4" w:space="0" w:color="auto"/>
              <w:right w:val="single" w:sz="12" w:space="0" w:color="auto"/>
            </w:tcBorders>
            <w:shd w:val="clear" w:color="auto" w:fill="C3C6A8"/>
            <w:vAlign w:val="bottom"/>
            <w:hideMark/>
          </w:tcPr>
          <w:p w14:paraId="26EE140B" w14:textId="77777777" w:rsidR="002742F5" w:rsidRPr="00535886" w:rsidRDefault="002742F5" w:rsidP="006366D7">
            <w:pPr>
              <w:keepNext/>
              <w:jc w:val="center"/>
              <w:rPr>
                <w:b/>
                <w:bCs/>
                <w:color w:val="000000"/>
                <w:sz w:val="20"/>
              </w:rPr>
            </w:pPr>
            <w:r w:rsidRPr="00535886">
              <w:rPr>
                <w:b/>
                <w:bCs/>
                <w:color w:val="000000"/>
                <w:sz w:val="20"/>
              </w:rPr>
              <w:t>Total Costs (2017$)</w:t>
            </w:r>
          </w:p>
        </w:tc>
      </w:tr>
      <w:tr w:rsidR="002742F5" w:rsidRPr="00535886" w14:paraId="532A6C3A" w14:textId="77777777" w:rsidTr="00602C74">
        <w:trPr>
          <w:trHeight w:val="300"/>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4762305" w14:textId="77777777" w:rsidR="002742F5" w:rsidRPr="00535886" w:rsidRDefault="002742F5" w:rsidP="006366D7">
            <w:pPr>
              <w:keepNext/>
              <w:rPr>
                <w:rFonts w:ascii="Arial Narrow" w:hAnsi="Arial Narrow"/>
                <w:color w:val="000000"/>
                <w:sz w:val="18"/>
                <w:szCs w:val="18"/>
              </w:rPr>
            </w:pPr>
            <w:r w:rsidRPr="00535886">
              <w:rPr>
                <w:rFonts w:ascii="Arial Narrow" w:hAnsi="Arial Narrow"/>
                <w:color w:val="000000"/>
                <w:sz w:val="18"/>
                <w:szCs w:val="18"/>
              </w:rPr>
              <w:t>REPORTERS USING REFERENCE TO PREVIOUS SUBSTANTIATION</w:t>
            </w:r>
          </w:p>
        </w:tc>
      </w:tr>
      <w:tr w:rsidR="002742F5" w:rsidRPr="00535886" w14:paraId="5DD536F6" w14:textId="77777777" w:rsidTr="00C85DE4">
        <w:trPr>
          <w:trHeight w:val="300"/>
        </w:trPr>
        <w:tc>
          <w:tcPr>
            <w:tcW w:w="139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D86DF1D" w14:textId="77777777" w:rsidR="002742F5" w:rsidRPr="00535886" w:rsidRDefault="002742F5" w:rsidP="006366D7">
            <w:pPr>
              <w:keepNext/>
              <w:rPr>
                <w:rFonts w:ascii="Arial Narrow" w:hAnsi="Arial Narrow"/>
                <w:color w:val="000000"/>
                <w:sz w:val="18"/>
                <w:szCs w:val="18"/>
              </w:rPr>
            </w:pPr>
            <w:r w:rsidRPr="00535886">
              <w:rPr>
                <w:rFonts w:ascii="Arial Narrow" w:hAnsi="Arial Narrow"/>
                <w:color w:val="000000"/>
                <w:sz w:val="18"/>
                <w:szCs w:val="18"/>
              </w:rPr>
              <w:t>Rule Familiarization</w:t>
            </w:r>
          </w:p>
        </w:tc>
        <w:tc>
          <w:tcPr>
            <w:tcW w:w="675" w:type="pct"/>
            <w:tcBorders>
              <w:top w:val="single" w:sz="4" w:space="0" w:color="auto"/>
              <w:left w:val="nil"/>
              <w:bottom w:val="single" w:sz="4" w:space="0" w:color="auto"/>
              <w:right w:val="single" w:sz="4" w:space="0" w:color="auto"/>
            </w:tcBorders>
            <w:shd w:val="clear" w:color="auto" w:fill="auto"/>
            <w:noWrap/>
            <w:vAlign w:val="bottom"/>
            <w:hideMark/>
          </w:tcPr>
          <w:p w14:paraId="5A2A208B" w14:textId="77777777"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3.000</w:t>
            </w:r>
          </w:p>
        </w:tc>
        <w:tc>
          <w:tcPr>
            <w:tcW w:w="724" w:type="pct"/>
            <w:tcBorders>
              <w:top w:val="single" w:sz="4" w:space="0" w:color="auto"/>
              <w:left w:val="nil"/>
              <w:bottom w:val="single" w:sz="4" w:space="0" w:color="auto"/>
              <w:right w:val="single" w:sz="4" w:space="0" w:color="auto"/>
            </w:tcBorders>
            <w:shd w:val="clear" w:color="auto" w:fill="auto"/>
            <w:noWrap/>
            <w:vAlign w:val="bottom"/>
            <w:hideMark/>
          </w:tcPr>
          <w:p w14:paraId="1D2F5980" w14:textId="77777777"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$231.92</w:t>
            </w:r>
          </w:p>
        </w:tc>
        <w:tc>
          <w:tcPr>
            <w:tcW w:w="868" w:type="pct"/>
            <w:gridSpan w:val="2"/>
            <w:tcBorders>
              <w:top w:val="nil"/>
              <w:left w:val="nil"/>
              <w:bottom w:val="single" w:sz="4" w:space="0" w:color="auto"/>
              <w:right w:val="single" w:sz="12" w:space="0" w:color="auto"/>
            </w:tcBorders>
            <w:shd w:val="clear" w:color="auto" w:fill="auto"/>
            <w:noWrap/>
            <w:vAlign w:val="bottom"/>
            <w:hideMark/>
          </w:tcPr>
          <w:p w14:paraId="3C8957A5" w14:textId="37F1D6B8"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2</w:t>
            </w:r>
            <w:r w:rsidR="001D4BD9">
              <w:rPr>
                <w:rFonts w:ascii="Arial Narrow" w:hAnsi="Arial Narrow"/>
                <w:color w:val="000000"/>
                <w:sz w:val="18"/>
                <w:szCs w:val="18"/>
              </w:rPr>
              <w:t>3</w:t>
            </w:r>
          </w:p>
        </w:tc>
        <w:tc>
          <w:tcPr>
            <w:tcW w:w="62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BF42E1A" w14:textId="53C72DD4"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6</w:t>
            </w:r>
            <w:r w:rsidR="001D4BD9">
              <w:rPr>
                <w:rFonts w:ascii="Arial Narrow" w:hAnsi="Arial Narrow"/>
                <w:color w:val="000000"/>
                <w:sz w:val="18"/>
                <w:szCs w:val="18"/>
              </w:rPr>
              <w:t>9</w:t>
            </w:r>
          </w:p>
        </w:tc>
        <w:tc>
          <w:tcPr>
            <w:tcW w:w="715" w:type="pct"/>
            <w:tcBorders>
              <w:top w:val="single" w:sz="4" w:space="0" w:color="auto"/>
              <w:left w:val="nil"/>
              <w:bottom w:val="single" w:sz="4" w:space="0" w:color="auto"/>
              <w:right w:val="single" w:sz="12" w:space="0" w:color="auto"/>
            </w:tcBorders>
            <w:shd w:val="clear" w:color="auto" w:fill="auto"/>
            <w:noWrap/>
            <w:vAlign w:val="bottom"/>
            <w:hideMark/>
          </w:tcPr>
          <w:p w14:paraId="6199A17E" w14:textId="1B3607D1"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$5,</w:t>
            </w:r>
            <w:r w:rsidR="001D4BD9">
              <w:rPr>
                <w:rFonts w:ascii="Arial Narrow" w:hAnsi="Arial Narrow"/>
                <w:sz w:val="18"/>
                <w:szCs w:val="18"/>
              </w:rPr>
              <w:t>334</w:t>
            </w:r>
          </w:p>
        </w:tc>
      </w:tr>
      <w:tr w:rsidR="002742F5" w:rsidRPr="00535886" w14:paraId="4753D2DE" w14:textId="77777777" w:rsidTr="00C85DE4">
        <w:trPr>
          <w:trHeight w:val="300"/>
        </w:trPr>
        <w:tc>
          <w:tcPr>
            <w:tcW w:w="1391" w:type="pct"/>
            <w:tcBorders>
              <w:top w:val="nil"/>
              <w:left w:val="single" w:sz="12" w:space="0" w:color="auto"/>
              <w:bottom w:val="single" w:sz="4" w:space="0" w:color="auto"/>
              <w:right w:val="single" w:sz="4" w:space="0" w:color="auto"/>
            </w:tcBorders>
            <w:shd w:val="clear" w:color="auto" w:fill="auto"/>
            <w:noWrap/>
            <w:vAlign w:val="bottom"/>
            <w:hideMark/>
          </w:tcPr>
          <w:p w14:paraId="57AA738D" w14:textId="77777777" w:rsidR="002742F5" w:rsidRPr="00535886" w:rsidRDefault="002742F5" w:rsidP="006366D7">
            <w:pPr>
              <w:keepNext/>
              <w:rPr>
                <w:rFonts w:ascii="Arial Narrow" w:hAnsi="Arial Narrow"/>
                <w:color w:val="000000"/>
                <w:sz w:val="18"/>
                <w:szCs w:val="18"/>
              </w:rPr>
            </w:pPr>
            <w:r w:rsidRPr="00535886">
              <w:rPr>
                <w:rFonts w:ascii="Arial Narrow" w:hAnsi="Arial Narrow"/>
                <w:color w:val="000000"/>
                <w:sz w:val="18"/>
                <w:szCs w:val="18"/>
              </w:rPr>
              <w:t>Compliance Determination</w:t>
            </w:r>
          </w:p>
        </w:tc>
        <w:tc>
          <w:tcPr>
            <w:tcW w:w="675" w:type="pct"/>
            <w:tcBorders>
              <w:top w:val="nil"/>
              <w:left w:val="nil"/>
              <w:bottom w:val="single" w:sz="4" w:space="0" w:color="auto"/>
              <w:right w:val="single" w:sz="4" w:space="0" w:color="auto"/>
            </w:tcBorders>
            <w:shd w:val="clear" w:color="auto" w:fill="auto"/>
            <w:noWrap/>
            <w:vAlign w:val="bottom"/>
            <w:hideMark/>
          </w:tcPr>
          <w:p w14:paraId="411FCF8D" w14:textId="77777777"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0.000</w:t>
            </w:r>
          </w:p>
        </w:tc>
        <w:tc>
          <w:tcPr>
            <w:tcW w:w="724" w:type="pct"/>
            <w:tcBorders>
              <w:top w:val="nil"/>
              <w:left w:val="nil"/>
              <w:bottom w:val="single" w:sz="4" w:space="0" w:color="auto"/>
              <w:right w:val="single" w:sz="4" w:space="0" w:color="auto"/>
            </w:tcBorders>
            <w:shd w:val="clear" w:color="auto" w:fill="auto"/>
            <w:noWrap/>
            <w:vAlign w:val="bottom"/>
            <w:hideMark/>
          </w:tcPr>
          <w:p w14:paraId="7C6A1A34" w14:textId="77777777"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$0.00</w:t>
            </w:r>
          </w:p>
        </w:tc>
        <w:tc>
          <w:tcPr>
            <w:tcW w:w="868" w:type="pct"/>
            <w:gridSpan w:val="2"/>
            <w:tcBorders>
              <w:top w:val="nil"/>
              <w:left w:val="nil"/>
              <w:bottom w:val="single" w:sz="4" w:space="0" w:color="auto"/>
              <w:right w:val="single" w:sz="12" w:space="0" w:color="auto"/>
            </w:tcBorders>
            <w:shd w:val="clear" w:color="auto" w:fill="auto"/>
            <w:noWrap/>
            <w:vAlign w:val="bottom"/>
            <w:hideMark/>
          </w:tcPr>
          <w:p w14:paraId="0D7C2FC2" w14:textId="02D6A2B0"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2</w:t>
            </w:r>
            <w:r w:rsidR="001D4BD9">
              <w:rPr>
                <w:rFonts w:ascii="Arial Narrow" w:hAnsi="Arial Narrow"/>
                <w:color w:val="000000"/>
                <w:sz w:val="18"/>
                <w:szCs w:val="18"/>
              </w:rPr>
              <w:t>3</w:t>
            </w:r>
          </w:p>
        </w:tc>
        <w:tc>
          <w:tcPr>
            <w:tcW w:w="627" w:type="pct"/>
            <w:tcBorders>
              <w:top w:val="nil"/>
              <w:left w:val="single" w:sz="12" w:space="0" w:color="auto"/>
              <w:bottom w:val="single" w:sz="4" w:space="0" w:color="auto"/>
              <w:right w:val="single" w:sz="4" w:space="0" w:color="auto"/>
            </w:tcBorders>
            <w:shd w:val="clear" w:color="auto" w:fill="auto"/>
            <w:noWrap/>
            <w:vAlign w:val="bottom"/>
            <w:hideMark/>
          </w:tcPr>
          <w:p w14:paraId="7040EA7C" w14:textId="77777777"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0</w:t>
            </w:r>
          </w:p>
        </w:tc>
        <w:tc>
          <w:tcPr>
            <w:tcW w:w="715" w:type="pct"/>
            <w:tcBorders>
              <w:top w:val="nil"/>
              <w:left w:val="nil"/>
              <w:bottom w:val="single" w:sz="4" w:space="0" w:color="auto"/>
              <w:right w:val="single" w:sz="12" w:space="0" w:color="auto"/>
            </w:tcBorders>
            <w:shd w:val="clear" w:color="auto" w:fill="auto"/>
            <w:noWrap/>
            <w:vAlign w:val="bottom"/>
            <w:hideMark/>
          </w:tcPr>
          <w:p w14:paraId="05707C0E" w14:textId="77777777"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$0</w:t>
            </w:r>
          </w:p>
        </w:tc>
      </w:tr>
      <w:tr w:rsidR="002742F5" w:rsidRPr="00535886" w14:paraId="2BACEAC4" w14:textId="77777777" w:rsidTr="00C85DE4">
        <w:trPr>
          <w:trHeight w:val="300"/>
        </w:trPr>
        <w:tc>
          <w:tcPr>
            <w:tcW w:w="1391" w:type="pct"/>
            <w:tcBorders>
              <w:top w:val="nil"/>
              <w:left w:val="single" w:sz="12" w:space="0" w:color="auto"/>
              <w:bottom w:val="single" w:sz="4" w:space="0" w:color="auto"/>
              <w:right w:val="single" w:sz="4" w:space="0" w:color="auto"/>
            </w:tcBorders>
            <w:shd w:val="clear" w:color="auto" w:fill="auto"/>
            <w:noWrap/>
            <w:vAlign w:val="bottom"/>
            <w:hideMark/>
          </w:tcPr>
          <w:p w14:paraId="75CD67CF" w14:textId="177D40BB" w:rsidR="002742F5" w:rsidRPr="00535886" w:rsidRDefault="002742F5" w:rsidP="00F07528">
            <w:pPr>
              <w:keepNext/>
              <w:rPr>
                <w:rFonts w:ascii="Arial Narrow" w:hAnsi="Arial Narrow"/>
                <w:color w:val="000000"/>
                <w:sz w:val="18"/>
                <w:szCs w:val="18"/>
              </w:rPr>
            </w:pPr>
            <w:r w:rsidRPr="00535886">
              <w:rPr>
                <w:rFonts w:ascii="Arial Narrow" w:hAnsi="Arial Narrow"/>
                <w:color w:val="000000"/>
                <w:sz w:val="18"/>
                <w:szCs w:val="18"/>
              </w:rPr>
              <w:t>Form Completion (</w:t>
            </w:r>
            <w:r w:rsidR="002D53A8">
              <w:rPr>
                <w:rFonts w:ascii="Arial Narrow" w:hAnsi="Arial Narrow"/>
                <w:color w:val="000000"/>
                <w:sz w:val="18"/>
                <w:szCs w:val="18"/>
              </w:rPr>
              <w:t>4</w:t>
            </w:r>
            <w:r w:rsidRPr="00535886">
              <w:rPr>
                <w:rFonts w:ascii="Arial Narrow" w:hAnsi="Arial Narrow"/>
                <w:color w:val="000000"/>
                <w:sz w:val="18"/>
                <w:szCs w:val="18"/>
              </w:rPr>
              <w:t xml:space="preserve"> Chemicals)</w:t>
            </w:r>
          </w:p>
        </w:tc>
        <w:tc>
          <w:tcPr>
            <w:tcW w:w="675" w:type="pct"/>
            <w:tcBorders>
              <w:top w:val="nil"/>
              <w:left w:val="nil"/>
              <w:bottom w:val="single" w:sz="4" w:space="0" w:color="auto"/>
              <w:right w:val="single" w:sz="4" w:space="0" w:color="auto"/>
            </w:tcBorders>
            <w:shd w:val="clear" w:color="auto" w:fill="auto"/>
            <w:noWrap/>
            <w:vAlign w:val="bottom"/>
            <w:hideMark/>
          </w:tcPr>
          <w:p w14:paraId="6414763E" w14:textId="7F2BF188"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2.</w:t>
            </w:r>
            <w:r w:rsidR="001D4BD9">
              <w:rPr>
                <w:rFonts w:ascii="Arial Narrow" w:hAnsi="Arial Narrow"/>
                <w:color w:val="000000"/>
                <w:sz w:val="18"/>
                <w:szCs w:val="18"/>
              </w:rPr>
              <w:t>0</w:t>
            </w:r>
            <w:r w:rsidRPr="00535886">
              <w:rPr>
                <w:rFonts w:ascii="Arial Narrow" w:hAnsi="Arial Narrow"/>
                <w:color w:val="000000"/>
                <w:sz w:val="18"/>
                <w:szCs w:val="18"/>
              </w:rPr>
              <w:t>00</w:t>
            </w:r>
          </w:p>
        </w:tc>
        <w:tc>
          <w:tcPr>
            <w:tcW w:w="724" w:type="pct"/>
            <w:tcBorders>
              <w:top w:val="nil"/>
              <w:left w:val="nil"/>
              <w:bottom w:val="single" w:sz="4" w:space="0" w:color="auto"/>
              <w:right w:val="single" w:sz="4" w:space="0" w:color="auto"/>
            </w:tcBorders>
            <w:shd w:val="clear" w:color="auto" w:fill="auto"/>
            <w:noWrap/>
            <w:vAlign w:val="bottom"/>
            <w:hideMark/>
          </w:tcPr>
          <w:p w14:paraId="00092715" w14:textId="53DDE611"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$1</w:t>
            </w:r>
            <w:r w:rsidR="001D4BD9">
              <w:rPr>
                <w:rFonts w:ascii="Arial Narrow" w:hAnsi="Arial Narrow"/>
                <w:sz w:val="18"/>
                <w:szCs w:val="18"/>
              </w:rPr>
              <w:t>55</w:t>
            </w:r>
            <w:r w:rsidRPr="00535886">
              <w:rPr>
                <w:rFonts w:ascii="Arial Narrow" w:hAnsi="Arial Narrow"/>
                <w:sz w:val="18"/>
                <w:szCs w:val="18"/>
              </w:rPr>
              <w:t>.8</w:t>
            </w:r>
            <w:r w:rsidR="001D4BD9">
              <w:rPr>
                <w:rFonts w:ascii="Arial Narrow" w:hAnsi="Arial Narrow"/>
                <w:sz w:val="18"/>
                <w:szCs w:val="18"/>
              </w:rPr>
              <w:t>8</w:t>
            </w:r>
          </w:p>
        </w:tc>
        <w:tc>
          <w:tcPr>
            <w:tcW w:w="868" w:type="pct"/>
            <w:gridSpan w:val="2"/>
            <w:tcBorders>
              <w:top w:val="nil"/>
              <w:left w:val="nil"/>
              <w:bottom w:val="single" w:sz="4" w:space="0" w:color="auto"/>
              <w:right w:val="single" w:sz="12" w:space="0" w:color="auto"/>
            </w:tcBorders>
            <w:shd w:val="clear" w:color="auto" w:fill="auto"/>
            <w:noWrap/>
            <w:vAlign w:val="bottom"/>
            <w:hideMark/>
          </w:tcPr>
          <w:p w14:paraId="7A2CFC16" w14:textId="02D00E18"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2</w:t>
            </w:r>
            <w:r w:rsidR="001D4BD9">
              <w:rPr>
                <w:rFonts w:ascii="Arial Narrow" w:hAnsi="Arial Narrow"/>
                <w:color w:val="000000"/>
                <w:sz w:val="18"/>
                <w:szCs w:val="18"/>
              </w:rPr>
              <w:t>3</w:t>
            </w:r>
          </w:p>
        </w:tc>
        <w:tc>
          <w:tcPr>
            <w:tcW w:w="627" w:type="pct"/>
            <w:tcBorders>
              <w:top w:val="nil"/>
              <w:left w:val="single" w:sz="12" w:space="0" w:color="auto"/>
              <w:bottom w:val="single" w:sz="4" w:space="0" w:color="auto"/>
              <w:right w:val="single" w:sz="4" w:space="0" w:color="auto"/>
            </w:tcBorders>
            <w:shd w:val="clear" w:color="auto" w:fill="auto"/>
            <w:noWrap/>
            <w:vAlign w:val="bottom"/>
            <w:hideMark/>
          </w:tcPr>
          <w:p w14:paraId="2ACFBF52" w14:textId="02B96220" w:rsidR="002742F5" w:rsidRPr="00535886" w:rsidRDefault="001D4BD9" w:rsidP="006366D7">
            <w:pPr>
              <w:keepNext/>
              <w:jc w:val="center"/>
              <w:rPr>
                <w:rFonts w:ascii="Arial Narrow" w:hAnsi="Arial Narrow"/>
                <w:color w:val="000000"/>
                <w:sz w:val="18"/>
                <w:szCs w:val="18"/>
              </w:rPr>
            </w:pPr>
            <w:r>
              <w:rPr>
                <w:rFonts w:ascii="Arial Narrow" w:hAnsi="Arial Narrow"/>
                <w:color w:val="000000"/>
                <w:sz w:val="18"/>
                <w:szCs w:val="18"/>
              </w:rPr>
              <w:t>46</w:t>
            </w:r>
          </w:p>
        </w:tc>
        <w:tc>
          <w:tcPr>
            <w:tcW w:w="715" w:type="pct"/>
            <w:tcBorders>
              <w:top w:val="nil"/>
              <w:left w:val="nil"/>
              <w:bottom w:val="single" w:sz="4" w:space="0" w:color="auto"/>
              <w:right w:val="single" w:sz="12" w:space="0" w:color="auto"/>
            </w:tcBorders>
            <w:shd w:val="clear" w:color="auto" w:fill="auto"/>
            <w:noWrap/>
            <w:vAlign w:val="bottom"/>
            <w:hideMark/>
          </w:tcPr>
          <w:p w14:paraId="7EEB807B" w14:textId="1CF609F8"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w:t>
            </w:r>
            <w:r w:rsidR="001D4BD9">
              <w:rPr>
                <w:rFonts w:ascii="Arial Narrow" w:hAnsi="Arial Narrow"/>
                <w:sz w:val="18"/>
                <w:szCs w:val="18"/>
              </w:rPr>
              <w:t>3</w:t>
            </w:r>
            <w:r w:rsidRPr="00535886">
              <w:rPr>
                <w:rFonts w:ascii="Arial Narrow" w:hAnsi="Arial Narrow"/>
                <w:sz w:val="18"/>
                <w:szCs w:val="18"/>
              </w:rPr>
              <w:t>,</w:t>
            </w:r>
            <w:r w:rsidR="001D4BD9">
              <w:rPr>
                <w:rFonts w:ascii="Arial Narrow" w:hAnsi="Arial Narrow"/>
                <w:sz w:val="18"/>
                <w:szCs w:val="18"/>
              </w:rPr>
              <w:t>585</w:t>
            </w:r>
          </w:p>
        </w:tc>
      </w:tr>
      <w:tr w:rsidR="002742F5" w:rsidRPr="00535886" w14:paraId="78F9AC41" w14:textId="77777777" w:rsidTr="00C85DE4">
        <w:trPr>
          <w:trHeight w:val="315"/>
        </w:trPr>
        <w:tc>
          <w:tcPr>
            <w:tcW w:w="1391" w:type="pct"/>
            <w:tcBorders>
              <w:top w:val="nil"/>
              <w:left w:val="single" w:sz="12" w:space="0" w:color="auto"/>
              <w:bottom w:val="single" w:sz="12" w:space="0" w:color="auto"/>
              <w:right w:val="single" w:sz="4" w:space="0" w:color="auto"/>
            </w:tcBorders>
            <w:shd w:val="clear" w:color="auto" w:fill="auto"/>
            <w:noWrap/>
            <w:vAlign w:val="bottom"/>
            <w:hideMark/>
          </w:tcPr>
          <w:p w14:paraId="23B73340" w14:textId="77777777" w:rsidR="002742F5" w:rsidRPr="00535886" w:rsidRDefault="002742F5" w:rsidP="006366D7">
            <w:pPr>
              <w:keepNext/>
              <w:rPr>
                <w:rFonts w:ascii="Arial Narrow" w:hAnsi="Arial Narrow"/>
                <w:color w:val="000000"/>
                <w:sz w:val="18"/>
                <w:szCs w:val="18"/>
              </w:rPr>
            </w:pPr>
            <w:r w:rsidRPr="00535886">
              <w:rPr>
                <w:rFonts w:ascii="Arial Narrow" w:hAnsi="Arial Narrow"/>
                <w:color w:val="000000"/>
                <w:sz w:val="18"/>
                <w:szCs w:val="18"/>
              </w:rPr>
              <w:t>Recordkeeping</w:t>
            </w:r>
          </w:p>
        </w:tc>
        <w:tc>
          <w:tcPr>
            <w:tcW w:w="675" w:type="pct"/>
            <w:tcBorders>
              <w:top w:val="nil"/>
              <w:left w:val="nil"/>
              <w:bottom w:val="single" w:sz="12" w:space="0" w:color="auto"/>
              <w:right w:val="single" w:sz="4" w:space="0" w:color="auto"/>
            </w:tcBorders>
            <w:shd w:val="clear" w:color="auto" w:fill="auto"/>
            <w:noWrap/>
            <w:vAlign w:val="bottom"/>
            <w:hideMark/>
          </w:tcPr>
          <w:p w14:paraId="4635F41E" w14:textId="77777777"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0.063</w:t>
            </w:r>
          </w:p>
        </w:tc>
        <w:tc>
          <w:tcPr>
            <w:tcW w:w="724" w:type="pct"/>
            <w:tcBorders>
              <w:top w:val="nil"/>
              <w:left w:val="nil"/>
              <w:bottom w:val="single" w:sz="12" w:space="0" w:color="auto"/>
              <w:right w:val="single" w:sz="4" w:space="0" w:color="auto"/>
            </w:tcBorders>
            <w:shd w:val="clear" w:color="auto" w:fill="auto"/>
            <w:noWrap/>
            <w:vAlign w:val="bottom"/>
            <w:hideMark/>
          </w:tcPr>
          <w:p w14:paraId="1EE302E2" w14:textId="77777777"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$2.19</w:t>
            </w:r>
          </w:p>
        </w:tc>
        <w:tc>
          <w:tcPr>
            <w:tcW w:w="868" w:type="pct"/>
            <w:gridSpan w:val="2"/>
            <w:tcBorders>
              <w:top w:val="single" w:sz="4" w:space="0" w:color="auto"/>
              <w:left w:val="nil"/>
              <w:bottom w:val="single" w:sz="12" w:space="0" w:color="auto"/>
              <w:right w:val="single" w:sz="12" w:space="0" w:color="auto"/>
            </w:tcBorders>
            <w:shd w:val="clear" w:color="auto" w:fill="auto"/>
            <w:noWrap/>
            <w:vAlign w:val="bottom"/>
            <w:hideMark/>
          </w:tcPr>
          <w:p w14:paraId="05F265BB" w14:textId="25E93D3E"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2</w:t>
            </w:r>
            <w:r w:rsidR="001D4BD9">
              <w:rPr>
                <w:rFonts w:ascii="Arial Narrow" w:hAnsi="Arial Narrow"/>
                <w:color w:val="000000"/>
                <w:sz w:val="18"/>
                <w:szCs w:val="18"/>
              </w:rPr>
              <w:t>3</w:t>
            </w:r>
          </w:p>
        </w:tc>
        <w:tc>
          <w:tcPr>
            <w:tcW w:w="627" w:type="pct"/>
            <w:tcBorders>
              <w:top w:val="nil"/>
              <w:left w:val="single" w:sz="12" w:space="0" w:color="auto"/>
              <w:bottom w:val="single" w:sz="12" w:space="0" w:color="auto"/>
              <w:right w:val="single" w:sz="4" w:space="0" w:color="auto"/>
            </w:tcBorders>
            <w:shd w:val="clear" w:color="auto" w:fill="auto"/>
            <w:noWrap/>
            <w:vAlign w:val="bottom"/>
            <w:hideMark/>
          </w:tcPr>
          <w:p w14:paraId="3F35714E" w14:textId="77777777"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1</w:t>
            </w:r>
          </w:p>
        </w:tc>
        <w:tc>
          <w:tcPr>
            <w:tcW w:w="715" w:type="pct"/>
            <w:tcBorders>
              <w:top w:val="nil"/>
              <w:left w:val="nil"/>
              <w:bottom w:val="single" w:sz="12" w:space="0" w:color="auto"/>
              <w:right w:val="single" w:sz="12" w:space="0" w:color="auto"/>
            </w:tcBorders>
            <w:shd w:val="clear" w:color="auto" w:fill="auto"/>
            <w:noWrap/>
            <w:vAlign w:val="bottom"/>
            <w:hideMark/>
          </w:tcPr>
          <w:p w14:paraId="004883EC" w14:textId="7FDF30A9"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w:t>
            </w:r>
            <w:r w:rsidR="001D4BD9">
              <w:rPr>
                <w:rFonts w:ascii="Arial Narrow" w:hAnsi="Arial Narrow"/>
                <w:sz w:val="18"/>
                <w:szCs w:val="18"/>
              </w:rPr>
              <w:t>50</w:t>
            </w:r>
          </w:p>
        </w:tc>
      </w:tr>
      <w:tr w:rsidR="008046B9" w:rsidRPr="00535886" w14:paraId="235135DE" w14:textId="77777777" w:rsidTr="008046B9">
        <w:trPr>
          <w:trHeight w:val="315"/>
        </w:trPr>
        <w:tc>
          <w:tcPr>
            <w:tcW w:w="3658" w:type="pct"/>
            <w:gridSpan w:val="5"/>
            <w:tcBorders>
              <w:top w:val="single" w:sz="12" w:space="0" w:color="auto"/>
              <w:left w:val="single" w:sz="12" w:space="0" w:color="auto"/>
              <w:bottom w:val="single" w:sz="8" w:space="0" w:color="auto"/>
              <w:right w:val="single" w:sz="12" w:space="0" w:color="auto"/>
            </w:tcBorders>
            <w:shd w:val="clear" w:color="auto" w:fill="BFBFBF" w:themeFill="background1" w:themeFillShade="BF"/>
            <w:noWrap/>
            <w:vAlign w:val="bottom"/>
            <w:hideMark/>
          </w:tcPr>
          <w:p w14:paraId="1D522A4F" w14:textId="77777777" w:rsidR="002742F5" w:rsidRPr="00535886" w:rsidRDefault="002742F5" w:rsidP="006366D7">
            <w:pPr>
              <w:keepNext/>
              <w:rPr>
                <w:rFonts w:ascii="Arial Narrow" w:hAnsi="Arial Narrow"/>
                <w:b/>
                <w:bCs/>
                <w:color w:val="000000"/>
                <w:sz w:val="18"/>
                <w:szCs w:val="18"/>
              </w:rPr>
            </w:pPr>
            <w:r w:rsidRPr="00535886">
              <w:rPr>
                <w:rFonts w:ascii="Arial Narrow" w:hAnsi="Arial Narrow"/>
                <w:b/>
                <w:bCs/>
                <w:color w:val="000000"/>
                <w:sz w:val="18"/>
                <w:szCs w:val="18"/>
              </w:rPr>
              <w:t>Subtotal</w:t>
            </w:r>
          </w:p>
        </w:tc>
        <w:tc>
          <w:tcPr>
            <w:tcW w:w="627" w:type="pct"/>
            <w:tcBorders>
              <w:top w:val="single" w:sz="12" w:space="0" w:color="auto"/>
              <w:left w:val="single" w:sz="12" w:space="0" w:color="auto"/>
              <w:bottom w:val="single" w:sz="8" w:space="0" w:color="auto"/>
              <w:right w:val="single" w:sz="4" w:space="0" w:color="auto"/>
            </w:tcBorders>
            <w:shd w:val="clear" w:color="auto" w:fill="BFBFBF" w:themeFill="background1" w:themeFillShade="BF"/>
            <w:noWrap/>
            <w:vAlign w:val="bottom"/>
            <w:hideMark/>
          </w:tcPr>
          <w:p w14:paraId="742DE1C0" w14:textId="305ACBFD" w:rsidR="002742F5" w:rsidRPr="00535886" w:rsidRDefault="002742F5" w:rsidP="006366D7">
            <w:pPr>
              <w:keepNext/>
              <w:jc w:val="center"/>
              <w:rPr>
                <w:rFonts w:ascii="Arial Narrow" w:hAnsi="Arial Narrow"/>
                <w:b/>
                <w:bCs/>
                <w:color w:val="000000"/>
                <w:sz w:val="18"/>
                <w:szCs w:val="18"/>
              </w:rPr>
            </w:pPr>
            <w:r w:rsidRPr="00535886">
              <w:rPr>
                <w:rFonts w:ascii="Arial Narrow" w:hAnsi="Arial Narrow"/>
                <w:b/>
                <w:bCs/>
                <w:color w:val="000000"/>
                <w:sz w:val="18"/>
                <w:szCs w:val="18"/>
              </w:rPr>
              <w:t>1</w:t>
            </w:r>
            <w:r w:rsidR="001D4BD9">
              <w:rPr>
                <w:rFonts w:ascii="Arial Narrow" w:hAnsi="Arial Narrow"/>
                <w:b/>
                <w:bCs/>
                <w:color w:val="000000"/>
                <w:sz w:val="18"/>
                <w:szCs w:val="18"/>
              </w:rPr>
              <w:t>16</w:t>
            </w:r>
          </w:p>
        </w:tc>
        <w:tc>
          <w:tcPr>
            <w:tcW w:w="715" w:type="pct"/>
            <w:tcBorders>
              <w:top w:val="single" w:sz="12" w:space="0" w:color="auto"/>
              <w:left w:val="nil"/>
              <w:bottom w:val="single" w:sz="8" w:space="0" w:color="auto"/>
              <w:right w:val="single" w:sz="12" w:space="0" w:color="auto"/>
            </w:tcBorders>
            <w:shd w:val="clear" w:color="auto" w:fill="BFBFBF" w:themeFill="background1" w:themeFillShade="BF"/>
            <w:noWrap/>
            <w:vAlign w:val="bottom"/>
            <w:hideMark/>
          </w:tcPr>
          <w:p w14:paraId="1F3A86C7" w14:textId="265087D9" w:rsidR="002742F5" w:rsidRPr="00535886" w:rsidRDefault="002742F5" w:rsidP="006366D7">
            <w:pPr>
              <w:keepNext/>
              <w:ind w:firstLine="181"/>
              <w:jc w:val="right"/>
              <w:rPr>
                <w:rFonts w:ascii="Arial Narrow" w:hAnsi="Arial Narrow"/>
                <w:b/>
                <w:bCs/>
                <w:sz w:val="18"/>
                <w:szCs w:val="18"/>
              </w:rPr>
            </w:pPr>
            <w:r w:rsidRPr="00535886">
              <w:rPr>
                <w:rFonts w:ascii="Arial Narrow" w:hAnsi="Arial Narrow"/>
                <w:b/>
                <w:bCs/>
                <w:sz w:val="18"/>
                <w:szCs w:val="18"/>
              </w:rPr>
              <w:t>$</w:t>
            </w:r>
            <w:r w:rsidR="001D4BD9">
              <w:rPr>
                <w:rFonts w:ascii="Arial Narrow" w:hAnsi="Arial Narrow"/>
                <w:b/>
                <w:bCs/>
                <w:sz w:val="18"/>
                <w:szCs w:val="18"/>
              </w:rPr>
              <w:t>8</w:t>
            </w:r>
            <w:r w:rsidRPr="00535886">
              <w:rPr>
                <w:rFonts w:ascii="Arial Narrow" w:hAnsi="Arial Narrow"/>
                <w:b/>
                <w:bCs/>
                <w:sz w:val="18"/>
                <w:szCs w:val="18"/>
              </w:rPr>
              <w:t>,</w:t>
            </w:r>
            <w:r w:rsidR="001D4BD9">
              <w:rPr>
                <w:rFonts w:ascii="Arial Narrow" w:hAnsi="Arial Narrow"/>
                <w:b/>
                <w:bCs/>
                <w:sz w:val="18"/>
                <w:szCs w:val="18"/>
              </w:rPr>
              <w:t>969</w:t>
            </w:r>
          </w:p>
        </w:tc>
      </w:tr>
      <w:tr w:rsidR="002742F5" w:rsidRPr="00535886" w14:paraId="0C7D387E" w14:textId="77777777" w:rsidTr="00602C74">
        <w:trPr>
          <w:trHeight w:val="300"/>
        </w:trPr>
        <w:tc>
          <w:tcPr>
            <w:tcW w:w="5000" w:type="pct"/>
            <w:gridSpan w:val="7"/>
            <w:tcBorders>
              <w:top w:val="single" w:sz="8" w:space="0" w:color="auto"/>
              <w:left w:val="single" w:sz="12" w:space="0" w:color="auto"/>
              <w:bottom w:val="single" w:sz="4" w:space="0" w:color="auto"/>
              <w:right w:val="single" w:sz="12" w:space="0" w:color="auto"/>
            </w:tcBorders>
            <w:shd w:val="clear" w:color="auto" w:fill="auto"/>
            <w:noWrap/>
            <w:vAlign w:val="bottom"/>
            <w:hideMark/>
          </w:tcPr>
          <w:p w14:paraId="7D8C5A9D" w14:textId="77777777" w:rsidR="002742F5" w:rsidRPr="00535886" w:rsidRDefault="002742F5" w:rsidP="006366D7">
            <w:pPr>
              <w:keepNext/>
              <w:rPr>
                <w:rFonts w:ascii="Arial Narrow" w:hAnsi="Arial Narrow"/>
                <w:color w:val="000000"/>
                <w:sz w:val="18"/>
                <w:szCs w:val="18"/>
              </w:rPr>
            </w:pPr>
            <w:r w:rsidRPr="00535886">
              <w:rPr>
                <w:rFonts w:ascii="Arial Narrow" w:hAnsi="Arial Narrow"/>
                <w:color w:val="000000"/>
                <w:sz w:val="18"/>
                <w:szCs w:val="18"/>
              </w:rPr>
              <w:t>REPORTERS WITH FULL SUBSTANTIATION</w:t>
            </w:r>
          </w:p>
        </w:tc>
      </w:tr>
      <w:tr w:rsidR="002742F5" w:rsidRPr="00535886" w14:paraId="74DA9147" w14:textId="77777777" w:rsidTr="00C85DE4">
        <w:trPr>
          <w:trHeight w:val="300"/>
        </w:trPr>
        <w:tc>
          <w:tcPr>
            <w:tcW w:w="1391" w:type="pct"/>
            <w:tcBorders>
              <w:top w:val="nil"/>
              <w:left w:val="single" w:sz="12" w:space="0" w:color="auto"/>
              <w:bottom w:val="single" w:sz="4" w:space="0" w:color="auto"/>
              <w:right w:val="single" w:sz="4" w:space="0" w:color="auto"/>
            </w:tcBorders>
            <w:shd w:val="clear" w:color="auto" w:fill="auto"/>
            <w:noWrap/>
            <w:vAlign w:val="bottom"/>
            <w:hideMark/>
          </w:tcPr>
          <w:p w14:paraId="3AECEC33" w14:textId="77777777" w:rsidR="002742F5" w:rsidRPr="00535886" w:rsidRDefault="002742F5" w:rsidP="006366D7">
            <w:pPr>
              <w:keepNext/>
              <w:rPr>
                <w:rFonts w:ascii="Arial Narrow" w:hAnsi="Arial Narrow"/>
                <w:color w:val="000000"/>
                <w:sz w:val="18"/>
                <w:szCs w:val="18"/>
              </w:rPr>
            </w:pPr>
            <w:r w:rsidRPr="00535886">
              <w:rPr>
                <w:rFonts w:ascii="Arial Narrow" w:hAnsi="Arial Narrow"/>
                <w:color w:val="000000"/>
                <w:sz w:val="18"/>
                <w:szCs w:val="18"/>
              </w:rPr>
              <w:t>Rule Familiarization</w:t>
            </w:r>
          </w:p>
        </w:tc>
        <w:tc>
          <w:tcPr>
            <w:tcW w:w="675" w:type="pct"/>
            <w:tcBorders>
              <w:top w:val="nil"/>
              <w:left w:val="nil"/>
              <w:bottom w:val="single" w:sz="4" w:space="0" w:color="auto"/>
              <w:right w:val="single" w:sz="4" w:space="0" w:color="auto"/>
            </w:tcBorders>
            <w:shd w:val="clear" w:color="auto" w:fill="auto"/>
            <w:noWrap/>
            <w:vAlign w:val="bottom"/>
            <w:hideMark/>
          </w:tcPr>
          <w:p w14:paraId="2E2E43BC" w14:textId="77777777"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3.000</w:t>
            </w:r>
          </w:p>
        </w:tc>
        <w:tc>
          <w:tcPr>
            <w:tcW w:w="724" w:type="pct"/>
            <w:tcBorders>
              <w:top w:val="nil"/>
              <w:left w:val="nil"/>
              <w:bottom w:val="single" w:sz="4" w:space="0" w:color="auto"/>
              <w:right w:val="single" w:sz="4" w:space="0" w:color="auto"/>
            </w:tcBorders>
            <w:shd w:val="clear" w:color="auto" w:fill="auto"/>
            <w:noWrap/>
            <w:vAlign w:val="bottom"/>
            <w:hideMark/>
          </w:tcPr>
          <w:p w14:paraId="3FE949A8" w14:textId="77777777"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$231.92</w:t>
            </w:r>
          </w:p>
        </w:tc>
        <w:tc>
          <w:tcPr>
            <w:tcW w:w="868" w:type="pct"/>
            <w:gridSpan w:val="2"/>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3BB7B02" w14:textId="7A7848A0" w:rsidR="002742F5" w:rsidRPr="00535886" w:rsidRDefault="001D4BD9" w:rsidP="006366D7">
            <w:pPr>
              <w:keepNext/>
              <w:jc w:val="center"/>
              <w:rPr>
                <w:rFonts w:ascii="Arial Narrow" w:hAnsi="Arial Narrow"/>
                <w:color w:val="000000"/>
                <w:sz w:val="18"/>
                <w:szCs w:val="18"/>
              </w:rPr>
            </w:pPr>
            <w:r>
              <w:rPr>
                <w:rFonts w:ascii="Arial Narrow" w:hAnsi="Arial Narrow"/>
                <w:color w:val="000000"/>
                <w:sz w:val="18"/>
                <w:szCs w:val="18"/>
              </w:rPr>
              <w:t>103</w:t>
            </w:r>
          </w:p>
        </w:tc>
        <w:tc>
          <w:tcPr>
            <w:tcW w:w="627" w:type="pct"/>
            <w:tcBorders>
              <w:top w:val="nil"/>
              <w:left w:val="single" w:sz="12" w:space="0" w:color="auto"/>
              <w:bottom w:val="single" w:sz="4" w:space="0" w:color="auto"/>
              <w:right w:val="single" w:sz="4" w:space="0" w:color="auto"/>
            </w:tcBorders>
            <w:shd w:val="clear" w:color="auto" w:fill="auto"/>
            <w:noWrap/>
            <w:vAlign w:val="bottom"/>
            <w:hideMark/>
          </w:tcPr>
          <w:p w14:paraId="7A6AF8C7" w14:textId="73871630"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2</w:t>
            </w:r>
            <w:r w:rsidR="001D4BD9">
              <w:rPr>
                <w:rFonts w:ascii="Arial Narrow" w:hAnsi="Arial Narrow"/>
                <w:color w:val="000000"/>
                <w:sz w:val="18"/>
                <w:szCs w:val="18"/>
              </w:rPr>
              <w:t>309</w:t>
            </w:r>
          </w:p>
        </w:tc>
        <w:tc>
          <w:tcPr>
            <w:tcW w:w="715" w:type="pct"/>
            <w:tcBorders>
              <w:top w:val="nil"/>
              <w:left w:val="nil"/>
              <w:bottom w:val="single" w:sz="4" w:space="0" w:color="auto"/>
              <w:right w:val="single" w:sz="12" w:space="0" w:color="auto"/>
            </w:tcBorders>
            <w:shd w:val="clear" w:color="auto" w:fill="auto"/>
            <w:noWrap/>
            <w:vAlign w:val="bottom"/>
            <w:hideMark/>
          </w:tcPr>
          <w:p w14:paraId="74D6F0A3" w14:textId="206B1737"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$2</w:t>
            </w:r>
            <w:r w:rsidR="001D4BD9">
              <w:rPr>
                <w:rFonts w:ascii="Arial Narrow" w:hAnsi="Arial Narrow"/>
                <w:sz w:val="18"/>
                <w:szCs w:val="18"/>
              </w:rPr>
              <w:t>3</w:t>
            </w:r>
            <w:r w:rsidRPr="00535886">
              <w:rPr>
                <w:rFonts w:ascii="Arial Narrow" w:hAnsi="Arial Narrow"/>
                <w:sz w:val="18"/>
                <w:szCs w:val="18"/>
              </w:rPr>
              <w:t>,</w:t>
            </w:r>
            <w:r w:rsidR="001D4BD9">
              <w:rPr>
                <w:rFonts w:ascii="Arial Narrow" w:hAnsi="Arial Narrow"/>
                <w:sz w:val="18"/>
                <w:szCs w:val="18"/>
              </w:rPr>
              <w:t>888</w:t>
            </w:r>
          </w:p>
        </w:tc>
      </w:tr>
      <w:tr w:rsidR="002742F5" w:rsidRPr="00535886" w14:paraId="64A8A75C" w14:textId="77777777" w:rsidTr="00C85DE4">
        <w:trPr>
          <w:trHeight w:val="300"/>
        </w:trPr>
        <w:tc>
          <w:tcPr>
            <w:tcW w:w="1391" w:type="pct"/>
            <w:tcBorders>
              <w:top w:val="nil"/>
              <w:left w:val="single" w:sz="12" w:space="0" w:color="auto"/>
              <w:bottom w:val="single" w:sz="4" w:space="0" w:color="auto"/>
              <w:right w:val="single" w:sz="4" w:space="0" w:color="auto"/>
            </w:tcBorders>
            <w:shd w:val="clear" w:color="auto" w:fill="auto"/>
            <w:noWrap/>
            <w:vAlign w:val="bottom"/>
            <w:hideMark/>
          </w:tcPr>
          <w:p w14:paraId="00043893" w14:textId="77777777" w:rsidR="002742F5" w:rsidRPr="00535886" w:rsidRDefault="002742F5" w:rsidP="006366D7">
            <w:pPr>
              <w:keepNext/>
              <w:rPr>
                <w:rFonts w:ascii="Arial Narrow" w:hAnsi="Arial Narrow"/>
                <w:color w:val="000000"/>
                <w:sz w:val="18"/>
                <w:szCs w:val="18"/>
              </w:rPr>
            </w:pPr>
            <w:r w:rsidRPr="00535886">
              <w:rPr>
                <w:rFonts w:ascii="Arial Narrow" w:hAnsi="Arial Narrow"/>
                <w:color w:val="000000"/>
                <w:sz w:val="18"/>
                <w:szCs w:val="18"/>
              </w:rPr>
              <w:t>Compliance Determination</w:t>
            </w:r>
          </w:p>
        </w:tc>
        <w:tc>
          <w:tcPr>
            <w:tcW w:w="675" w:type="pct"/>
            <w:tcBorders>
              <w:top w:val="nil"/>
              <w:left w:val="nil"/>
              <w:bottom w:val="single" w:sz="4" w:space="0" w:color="auto"/>
              <w:right w:val="single" w:sz="4" w:space="0" w:color="auto"/>
            </w:tcBorders>
            <w:shd w:val="clear" w:color="auto" w:fill="auto"/>
            <w:noWrap/>
            <w:vAlign w:val="bottom"/>
            <w:hideMark/>
          </w:tcPr>
          <w:p w14:paraId="3CFB028B" w14:textId="77777777"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0.000</w:t>
            </w:r>
          </w:p>
        </w:tc>
        <w:tc>
          <w:tcPr>
            <w:tcW w:w="724" w:type="pct"/>
            <w:tcBorders>
              <w:top w:val="nil"/>
              <w:left w:val="nil"/>
              <w:bottom w:val="single" w:sz="4" w:space="0" w:color="auto"/>
              <w:right w:val="single" w:sz="4" w:space="0" w:color="auto"/>
            </w:tcBorders>
            <w:shd w:val="clear" w:color="auto" w:fill="auto"/>
            <w:noWrap/>
            <w:vAlign w:val="bottom"/>
            <w:hideMark/>
          </w:tcPr>
          <w:p w14:paraId="049D6F9C" w14:textId="77777777"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$0.00</w:t>
            </w:r>
          </w:p>
        </w:tc>
        <w:tc>
          <w:tcPr>
            <w:tcW w:w="868" w:type="pct"/>
            <w:gridSpan w:val="2"/>
            <w:tcBorders>
              <w:top w:val="nil"/>
              <w:left w:val="single" w:sz="4" w:space="0" w:color="auto"/>
              <w:bottom w:val="single" w:sz="4" w:space="0" w:color="auto"/>
              <w:right w:val="single" w:sz="12" w:space="0" w:color="auto"/>
            </w:tcBorders>
            <w:shd w:val="clear" w:color="auto" w:fill="auto"/>
            <w:noWrap/>
            <w:vAlign w:val="bottom"/>
            <w:hideMark/>
          </w:tcPr>
          <w:p w14:paraId="26CF5E3C" w14:textId="4766627C" w:rsidR="002742F5" w:rsidRPr="00535886" w:rsidRDefault="001D4BD9" w:rsidP="006366D7">
            <w:pPr>
              <w:keepNext/>
              <w:jc w:val="center"/>
              <w:rPr>
                <w:rFonts w:ascii="Arial Narrow" w:hAnsi="Arial Narrow"/>
                <w:color w:val="000000"/>
                <w:sz w:val="18"/>
                <w:szCs w:val="18"/>
              </w:rPr>
            </w:pPr>
            <w:r>
              <w:rPr>
                <w:rFonts w:ascii="Arial Narrow" w:hAnsi="Arial Narrow"/>
                <w:color w:val="000000"/>
                <w:sz w:val="18"/>
                <w:szCs w:val="18"/>
              </w:rPr>
              <w:t>103</w:t>
            </w:r>
          </w:p>
        </w:tc>
        <w:tc>
          <w:tcPr>
            <w:tcW w:w="627" w:type="pct"/>
            <w:tcBorders>
              <w:top w:val="nil"/>
              <w:left w:val="single" w:sz="12" w:space="0" w:color="auto"/>
              <w:bottom w:val="single" w:sz="4" w:space="0" w:color="auto"/>
              <w:right w:val="single" w:sz="4" w:space="0" w:color="auto"/>
            </w:tcBorders>
            <w:shd w:val="clear" w:color="auto" w:fill="auto"/>
            <w:noWrap/>
            <w:vAlign w:val="bottom"/>
            <w:hideMark/>
          </w:tcPr>
          <w:p w14:paraId="7C5EDDDD" w14:textId="77777777"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0</w:t>
            </w:r>
          </w:p>
        </w:tc>
        <w:tc>
          <w:tcPr>
            <w:tcW w:w="715" w:type="pct"/>
            <w:tcBorders>
              <w:top w:val="nil"/>
              <w:left w:val="nil"/>
              <w:bottom w:val="single" w:sz="4" w:space="0" w:color="auto"/>
              <w:right w:val="single" w:sz="12" w:space="0" w:color="auto"/>
            </w:tcBorders>
            <w:shd w:val="clear" w:color="auto" w:fill="auto"/>
            <w:noWrap/>
            <w:vAlign w:val="bottom"/>
            <w:hideMark/>
          </w:tcPr>
          <w:p w14:paraId="5E725EB8" w14:textId="77777777"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$0</w:t>
            </w:r>
          </w:p>
        </w:tc>
      </w:tr>
      <w:tr w:rsidR="002742F5" w:rsidRPr="00535886" w14:paraId="6C6EA589" w14:textId="77777777" w:rsidTr="00C85DE4">
        <w:trPr>
          <w:trHeight w:val="300"/>
        </w:trPr>
        <w:tc>
          <w:tcPr>
            <w:tcW w:w="1391" w:type="pct"/>
            <w:tcBorders>
              <w:top w:val="nil"/>
              <w:left w:val="single" w:sz="12" w:space="0" w:color="auto"/>
              <w:bottom w:val="single" w:sz="4" w:space="0" w:color="auto"/>
              <w:right w:val="single" w:sz="4" w:space="0" w:color="auto"/>
            </w:tcBorders>
            <w:shd w:val="clear" w:color="auto" w:fill="auto"/>
            <w:noWrap/>
            <w:vAlign w:val="bottom"/>
            <w:hideMark/>
          </w:tcPr>
          <w:p w14:paraId="3529718E" w14:textId="32253294" w:rsidR="002742F5" w:rsidRPr="00535886" w:rsidRDefault="002742F5" w:rsidP="00F07528">
            <w:pPr>
              <w:keepNext/>
              <w:rPr>
                <w:rFonts w:ascii="Arial Narrow" w:hAnsi="Arial Narrow"/>
                <w:color w:val="000000"/>
                <w:sz w:val="18"/>
                <w:szCs w:val="18"/>
              </w:rPr>
            </w:pPr>
            <w:r w:rsidRPr="00535886">
              <w:rPr>
                <w:rFonts w:ascii="Arial Narrow" w:hAnsi="Arial Narrow"/>
                <w:color w:val="000000"/>
                <w:sz w:val="18"/>
                <w:szCs w:val="18"/>
              </w:rPr>
              <w:t>Form Completion (</w:t>
            </w:r>
            <w:r w:rsidR="002D53A8">
              <w:rPr>
                <w:rFonts w:ascii="Arial Narrow" w:hAnsi="Arial Narrow"/>
                <w:color w:val="000000"/>
                <w:sz w:val="18"/>
                <w:szCs w:val="18"/>
              </w:rPr>
              <w:t>27</w:t>
            </w:r>
            <w:r w:rsidRPr="00535886">
              <w:rPr>
                <w:rFonts w:ascii="Arial Narrow" w:hAnsi="Arial Narrow"/>
                <w:color w:val="000000"/>
                <w:sz w:val="18"/>
                <w:szCs w:val="18"/>
              </w:rPr>
              <w:t xml:space="preserve"> Chemicals)</w:t>
            </w:r>
          </w:p>
        </w:tc>
        <w:tc>
          <w:tcPr>
            <w:tcW w:w="675" w:type="pct"/>
            <w:tcBorders>
              <w:top w:val="nil"/>
              <w:left w:val="nil"/>
              <w:bottom w:val="single" w:sz="4" w:space="0" w:color="auto"/>
              <w:right w:val="single" w:sz="4" w:space="0" w:color="auto"/>
            </w:tcBorders>
            <w:shd w:val="clear" w:color="auto" w:fill="auto"/>
            <w:noWrap/>
            <w:vAlign w:val="bottom"/>
            <w:hideMark/>
          </w:tcPr>
          <w:p w14:paraId="11F6151A" w14:textId="3DDD1028"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3</w:t>
            </w:r>
            <w:r w:rsidR="001D4BD9">
              <w:rPr>
                <w:rFonts w:ascii="Arial Narrow" w:hAnsi="Arial Narrow"/>
                <w:color w:val="000000"/>
                <w:sz w:val="18"/>
                <w:szCs w:val="18"/>
              </w:rPr>
              <w:t>1</w:t>
            </w:r>
            <w:r w:rsidRPr="00535886">
              <w:rPr>
                <w:rFonts w:ascii="Arial Narrow" w:hAnsi="Arial Narrow"/>
                <w:color w:val="000000"/>
                <w:sz w:val="18"/>
                <w:szCs w:val="18"/>
              </w:rPr>
              <w:t>.</w:t>
            </w:r>
            <w:r w:rsidR="001D4BD9">
              <w:rPr>
                <w:rFonts w:ascii="Arial Narrow" w:hAnsi="Arial Narrow"/>
                <w:color w:val="000000"/>
                <w:sz w:val="18"/>
                <w:szCs w:val="18"/>
              </w:rPr>
              <w:t>0</w:t>
            </w:r>
            <w:r w:rsidRPr="00535886">
              <w:rPr>
                <w:rFonts w:ascii="Arial Narrow" w:hAnsi="Arial Narrow"/>
                <w:color w:val="000000"/>
                <w:sz w:val="18"/>
                <w:szCs w:val="18"/>
              </w:rPr>
              <w:t>50</w:t>
            </w:r>
          </w:p>
        </w:tc>
        <w:tc>
          <w:tcPr>
            <w:tcW w:w="724" w:type="pct"/>
            <w:tcBorders>
              <w:top w:val="nil"/>
              <w:left w:val="nil"/>
              <w:bottom w:val="single" w:sz="4" w:space="0" w:color="auto"/>
              <w:right w:val="single" w:sz="4" w:space="0" w:color="auto"/>
            </w:tcBorders>
            <w:shd w:val="clear" w:color="auto" w:fill="auto"/>
            <w:noWrap/>
            <w:vAlign w:val="bottom"/>
            <w:hideMark/>
          </w:tcPr>
          <w:p w14:paraId="289448FC" w14:textId="64C19197"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$2,</w:t>
            </w:r>
            <w:r w:rsidR="001D4BD9">
              <w:rPr>
                <w:rFonts w:ascii="Arial Narrow" w:hAnsi="Arial Narrow"/>
                <w:sz w:val="18"/>
                <w:szCs w:val="18"/>
              </w:rPr>
              <w:t>406</w:t>
            </w:r>
            <w:r w:rsidRPr="00535886">
              <w:rPr>
                <w:rFonts w:ascii="Arial Narrow" w:hAnsi="Arial Narrow"/>
                <w:sz w:val="18"/>
                <w:szCs w:val="18"/>
              </w:rPr>
              <w:t>.</w:t>
            </w:r>
            <w:r w:rsidR="001D4BD9">
              <w:rPr>
                <w:rFonts w:ascii="Arial Narrow" w:hAnsi="Arial Narrow"/>
                <w:sz w:val="18"/>
                <w:szCs w:val="18"/>
              </w:rPr>
              <w:t>78</w:t>
            </w:r>
          </w:p>
        </w:tc>
        <w:tc>
          <w:tcPr>
            <w:tcW w:w="868" w:type="pct"/>
            <w:gridSpan w:val="2"/>
            <w:tcBorders>
              <w:top w:val="nil"/>
              <w:left w:val="single" w:sz="4" w:space="0" w:color="auto"/>
              <w:bottom w:val="single" w:sz="4" w:space="0" w:color="auto"/>
              <w:right w:val="single" w:sz="12" w:space="0" w:color="auto"/>
            </w:tcBorders>
            <w:shd w:val="clear" w:color="auto" w:fill="auto"/>
            <w:noWrap/>
            <w:vAlign w:val="bottom"/>
            <w:hideMark/>
          </w:tcPr>
          <w:p w14:paraId="5BC0AA69" w14:textId="70FB3D7F" w:rsidR="002742F5" w:rsidRPr="00535886" w:rsidRDefault="001D4BD9" w:rsidP="006366D7">
            <w:pPr>
              <w:keepNext/>
              <w:jc w:val="center"/>
              <w:rPr>
                <w:rFonts w:ascii="Arial Narrow" w:hAnsi="Arial Narrow"/>
                <w:color w:val="000000"/>
                <w:sz w:val="18"/>
                <w:szCs w:val="18"/>
              </w:rPr>
            </w:pPr>
            <w:r>
              <w:rPr>
                <w:rFonts w:ascii="Arial Narrow" w:hAnsi="Arial Narrow"/>
                <w:color w:val="000000"/>
                <w:sz w:val="18"/>
                <w:szCs w:val="18"/>
              </w:rPr>
              <w:t>103</w:t>
            </w:r>
          </w:p>
        </w:tc>
        <w:tc>
          <w:tcPr>
            <w:tcW w:w="627" w:type="pct"/>
            <w:tcBorders>
              <w:top w:val="nil"/>
              <w:left w:val="single" w:sz="12" w:space="0" w:color="auto"/>
              <w:bottom w:val="single" w:sz="4" w:space="0" w:color="auto"/>
              <w:right w:val="single" w:sz="4" w:space="0" w:color="auto"/>
            </w:tcBorders>
            <w:shd w:val="clear" w:color="auto" w:fill="auto"/>
            <w:noWrap/>
            <w:vAlign w:val="bottom"/>
            <w:hideMark/>
          </w:tcPr>
          <w:p w14:paraId="09566733" w14:textId="717323B3"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3,</w:t>
            </w:r>
            <w:r w:rsidR="001D4BD9">
              <w:rPr>
                <w:rFonts w:ascii="Arial Narrow" w:hAnsi="Arial Narrow"/>
                <w:color w:val="000000"/>
                <w:sz w:val="18"/>
                <w:szCs w:val="18"/>
              </w:rPr>
              <w:t>198</w:t>
            </w:r>
          </w:p>
        </w:tc>
        <w:tc>
          <w:tcPr>
            <w:tcW w:w="715" w:type="pct"/>
            <w:tcBorders>
              <w:top w:val="nil"/>
              <w:left w:val="nil"/>
              <w:bottom w:val="single" w:sz="4" w:space="0" w:color="auto"/>
              <w:right w:val="single" w:sz="12" w:space="0" w:color="auto"/>
            </w:tcBorders>
            <w:shd w:val="clear" w:color="auto" w:fill="auto"/>
            <w:noWrap/>
            <w:vAlign w:val="bottom"/>
            <w:hideMark/>
          </w:tcPr>
          <w:p w14:paraId="52C1B5F7" w14:textId="692D7FE3"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$2</w:t>
            </w:r>
            <w:r w:rsidR="001D4BD9">
              <w:rPr>
                <w:rFonts w:ascii="Arial Narrow" w:hAnsi="Arial Narrow"/>
                <w:sz w:val="18"/>
                <w:szCs w:val="18"/>
              </w:rPr>
              <w:t>47</w:t>
            </w:r>
            <w:r w:rsidRPr="00535886">
              <w:rPr>
                <w:rFonts w:ascii="Arial Narrow" w:hAnsi="Arial Narrow"/>
                <w:sz w:val="18"/>
                <w:szCs w:val="18"/>
              </w:rPr>
              <w:t>,</w:t>
            </w:r>
            <w:r w:rsidR="001D4BD9">
              <w:rPr>
                <w:rFonts w:ascii="Arial Narrow" w:hAnsi="Arial Narrow"/>
                <w:sz w:val="18"/>
                <w:szCs w:val="18"/>
              </w:rPr>
              <w:t>898</w:t>
            </w:r>
          </w:p>
        </w:tc>
      </w:tr>
      <w:tr w:rsidR="002742F5" w:rsidRPr="00535886" w14:paraId="20AB2982" w14:textId="77777777" w:rsidTr="00C85DE4">
        <w:trPr>
          <w:trHeight w:val="315"/>
        </w:trPr>
        <w:tc>
          <w:tcPr>
            <w:tcW w:w="1391" w:type="pct"/>
            <w:tcBorders>
              <w:top w:val="nil"/>
              <w:left w:val="single" w:sz="12" w:space="0" w:color="auto"/>
              <w:bottom w:val="single" w:sz="12" w:space="0" w:color="auto"/>
              <w:right w:val="single" w:sz="4" w:space="0" w:color="auto"/>
            </w:tcBorders>
            <w:shd w:val="clear" w:color="auto" w:fill="auto"/>
            <w:noWrap/>
            <w:vAlign w:val="bottom"/>
            <w:hideMark/>
          </w:tcPr>
          <w:p w14:paraId="6BD16CAE" w14:textId="77777777" w:rsidR="002742F5" w:rsidRPr="00535886" w:rsidRDefault="002742F5" w:rsidP="006366D7">
            <w:pPr>
              <w:keepNext/>
              <w:rPr>
                <w:rFonts w:ascii="Arial Narrow" w:hAnsi="Arial Narrow"/>
                <w:color w:val="000000"/>
                <w:sz w:val="18"/>
                <w:szCs w:val="18"/>
              </w:rPr>
            </w:pPr>
            <w:r w:rsidRPr="00535886">
              <w:rPr>
                <w:rFonts w:ascii="Arial Narrow" w:hAnsi="Arial Narrow"/>
                <w:color w:val="000000"/>
                <w:sz w:val="18"/>
                <w:szCs w:val="18"/>
              </w:rPr>
              <w:t>Recordkeeping</w:t>
            </w:r>
          </w:p>
        </w:tc>
        <w:tc>
          <w:tcPr>
            <w:tcW w:w="675" w:type="pct"/>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5C434F69" w14:textId="77777777"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0.063</w:t>
            </w:r>
          </w:p>
        </w:tc>
        <w:tc>
          <w:tcPr>
            <w:tcW w:w="724" w:type="pct"/>
            <w:tcBorders>
              <w:top w:val="single" w:sz="4" w:space="0" w:color="auto"/>
              <w:left w:val="nil"/>
              <w:bottom w:val="single" w:sz="12" w:space="0" w:color="auto"/>
              <w:right w:val="single" w:sz="4" w:space="0" w:color="auto"/>
            </w:tcBorders>
            <w:shd w:val="clear" w:color="auto" w:fill="auto"/>
            <w:noWrap/>
            <w:vAlign w:val="bottom"/>
            <w:hideMark/>
          </w:tcPr>
          <w:p w14:paraId="1D4A6742" w14:textId="77777777"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$2.19</w:t>
            </w:r>
          </w:p>
        </w:tc>
        <w:tc>
          <w:tcPr>
            <w:tcW w:w="868" w:type="pct"/>
            <w:gridSpan w:val="2"/>
            <w:tcBorders>
              <w:top w:val="nil"/>
              <w:left w:val="nil"/>
              <w:bottom w:val="single" w:sz="12" w:space="0" w:color="auto"/>
              <w:right w:val="single" w:sz="12" w:space="0" w:color="auto"/>
            </w:tcBorders>
            <w:shd w:val="clear" w:color="auto" w:fill="auto"/>
            <w:noWrap/>
            <w:vAlign w:val="bottom"/>
            <w:hideMark/>
          </w:tcPr>
          <w:p w14:paraId="4A6808F9" w14:textId="11901D08" w:rsidR="002742F5" w:rsidRPr="00535886" w:rsidRDefault="001D4BD9" w:rsidP="006366D7">
            <w:pPr>
              <w:keepNext/>
              <w:jc w:val="center"/>
              <w:rPr>
                <w:rFonts w:ascii="Arial Narrow" w:hAnsi="Arial Narrow"/>
                <w:color w:val="000000"/>
                <w:sz w:val="18"/>
                <w:szCs w:val="18"/>
              </w:rPr>
            </w:pPr>
            <w:r>
              <w:rPr>
                <w:rFonts w:ascii="Arial Narrow" w:hAnsi="Arial Narrow"/>
                <w:color w:val="000000"/>
                <w:sz w:val="18"/>
                <w:szCs w:val="18"/>
              </w:rPr>
              <w:t>103</w:t>
            </w:r>
          </w:p>
        </w:tc>
        <w:tc>
          <w:tcPr>
            <w:tcW w:w="627" w:type="pct"/>
            <w:tcBorders>
              <w:top w:val="nil"/>
              <w:left w:val="single" w:sz="12" w:space="0" w:color="auto"/>
              <w:bottom w:val="single" w:sz="12" w:space="0" w:color="auto"/>
              <w:right w:val="single" w:sz="4" w:space="0" w:color="auto"/>
            </w:tcBorders>
            <w:shd w:val="clear" w:color="auto" w:fill="auto"/>
            <w:noWrap/>
            <w:vAlign w:val="bottom"/>
            <w:hideMark/>
          </w:tcPr>
          <w:p w14:paraId="142D0290" w14:textId="77777777" w:rsidR="002742F5" w:rsidRPr="00535886" w:rsidRDefault="002742F5" w:rsidP="006366D7">
            <w:pPr>
              <w:keepNext/>
              <w:jc w:val="center"/>
              <w:rPr>
                <w:rFonts w:ascii="Arial Narrow" w:hAnsi="Arial Narrow"/>
                <w:color w:val="000000"/>
                <w:sz w:val="18"/>
                <w:szCs w:val="18"/>
              </w:rPr>
            </w:pPr>
            <w:r w:rsidRPr="00535886">
              <w:rPr>
                <w:rFonts w:ascii="Arial Narrow" w:hAnsi="Arial Narrow"/>
                <w:color w:val="000000"/>
                <w:sz w:val="18"/>
                <w:szCs w:val="18"/>
              </w:rPr>
              <w:t>6</w:t>
            </w:r>
          </w:p>
        </w:tc>
        <w:tc>
          <w:tcPr>
            <w:tcW w:w="715" w:type="pct"/>
            <w:tcBorders>
              <w:top w:val="nil"/>
              <w:left w:val="nil"/>
              <w:bottom w:val="single" w:sz="12" w:space="0" w:color="auto"/>
              <w:right w:val="single" w:sz="12" w:space="0" w:color="auto"/>
            </w:tcBorders>
            <w:shd w:val="clear" w:color="auto" w:fill="auto"/>
            <w:noWrap/>
            <w:vAlign w:val="bottom"/>
            <w:hideMark/>
          </w:tcPr>
          <w:p w14:paraId="1DC81A71" w14:textId="60B66F28" w:rsidR="002742F5" w:rsidRPr="00535886" w:rsidRDefault="002742F5" w:rsidP="006366D7">
            <w:pPr>
              <w:keepNext/>
              <w:ind w:firstLine="180"/>
              <w:jc w:val="right"/>
              <w:rPr>
                <w:rFonts w:ascii="Arial Narrow" w:hAnsi="Arial Narrow"/>
                <w:sz w:val="18"/>
                <w:szCs w:val="18"/>
              </w:rPr>
            </w:pPr>
            <w:r w:rsidRPr="00535886">
              <w:rPr>
                <w:rFonts w:ascii="Arial Narrow" w:hAnsi="Arial Narrow"/>
                <w:sz w:val="18"/>
                <w:szCs w:val="18"/>
              </w:rPr>
              <w:t>$2</w:t>
            </w:r>
            <w:r w:rsidR="001D4BD9">
              <w:rPr>
                <w:rFonts w:ascii="Arial Narrow" w:hAnsi="Arial Narrow"/>
                <w:sz w:val="18"/>
                <w:szCs w:val="18"/>
              </w:rPr>
              <w:t>26</w:t>
            </w:r>
          </w:p>
        </w:tc>
      </w:tr>
      <w:tr w:rsidR="008046B9" w:rsidRPr="00535886" w14:paraId="5D8DF13B" w14:textId="77777777" w:rsidTr="008046B9">
        <w:trPr>
          <w:trHeight w:val="315"/>
        </w:trPr>
        <w:tc>
          <w:tcPr>
            <w:tcW w:w="3658" w:type="pct"/>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hideMark/>
          </w:tcPr>
          <w:p w14:paraId="61642C80" w14:textId="77777777" w:rsidR="002742F5" w:rsidRPr="00535886" w:rsidRDefault="002742F5" w:rsidP="006366D7">
            <w:pPr>
              <w:keepNext/>
              <w:rPr>
                <w:rFonts w:ascii="Arial Narrow" w:hAnsi="Arial Narrow"/>
                <w:b/>
                <w:bCs/>
                <w:color w:val="000000"/>
                <w:sz w:val="18"/>
                <w:szCs w:val="18"/>
              </w:rPr>
            </w:pPr>
            <w:r w:rsidRPr="00535886">
              <w:rPr>
                <w:rFonts w:ascii="Arial Narrow" w:hAnsi="Arial Narrow"/>
                <w:b/>
                <w:bCs/>
                <w:color w:val="000000"/>
                <w:sz w:val="18"/>
                <w:szCs w:val="18"/>
              </w:rPr>
              <w:t>Subtotal</w:t>
            </w:r>
          </w:p>
        </w:tc>
        <w:tc>
          <w:tcPr>
            <w:tcW w:w="627" w:type="pct"/>
            <w:tcBorders>
              <w:top w:val="single" w:sz="12" w:space="0" w:color="auto"/>
              <w:left w:val="single" w:sz="12" w:space="0" w:color="auto"/>
              <w:bottom w:val="single" w:sz="12" w:space="0" w:color="auto"/>
              <w:right w:val="single" w:sz="4" w:space="0" w:color="auto"/>
            </w:tcBorders>
            <w:shd w:val="clear" w:color="auto" w:fill="BFBFBF" w:themeFill="background1" w:themeFillShade="BF"/>
            <w:noWrap/>
            <w:vAlign w:val="bottom"/>
            <w:hideMark/>
          </w:tcPr>
          <w:p w14:paraId="5B0C2741" w14:textId="51D334A9" w:rsidR="002742F5" w:rsidRPr="00535886" w:rsidRDefault="002742F5" w:rsidP="006366D7">
            <w:pPr>
              <w:keepNext/>
              <w:jc w:val="center"/>
              <w:rPr>
                <w:rFonts w:ascii="Arial Narrow" w:hAnsi="Arial Narrow"/>
                <w:b/>
                <w:bCs/>
                <w:color w:val="000000"/>
                <w:sz w:val="18"/>
                <w:szCs w:val="18"/>
              </w:rPr>
            </w:pPr>
            <w:r w:rsidRPr="00535886">
              <w:rPr>
                <w:rFonts w:ascii="Arial Narrow" w:hAnsi="Arial Narrow"/>
                <w:b/>
                <w:bCs/>
                <w:color w:val="000000"/>
                <w:sz w:val="18"/>
                <w:szCs w:val="18"/>
              </w:rPr>
              <w:t>3,</w:t>
            </w:r>
            <w:r w:rsidR="001D4BD9">
              <w:rPr>
                <w:rFonts w:ascii="Arial Narrow" w:hAnsi="Arial Narrow"/>
                <w:b/>
                <w:bCs/>
                <w:color w:val="000000"/>
                <w:sz w:val="18"/>
                <w:szCs w:val="18"/>
              </w:rPr>
              <w:t>513</w:t>
            </w:r>
          </w:p>
        </w:tc>
        <w:tc>
          <w:tcPr>
            <w:tcW w:w="715" w:type="pct"/>
            <w:tcBorders>
              <w:top w:val="single" w:sz="12" w:space="0" w:color="auto"/>
              <w:left w:val="nil"/>
              <w:bottom w:val="single" w:sz="12" w:space="0" w:color="auto"/>
              <w:right w:val="single" w:sz="12" w:space="0" w:color="auto"/>
            </w:tcBorders>
            <w:shd w:val="clear" w:color="auto" w:fill="BFBFBF" w:themeFill="background1" w:themeFillShade="BF"/>
            <w:noWrap/>
            <w:vAlign w:val="bottom"/>
            <w:hideMark/>
          </w:tcPr>
          <w:p w14:paraId="7C4AD302" w14:textId="2E981D26" w:rsidR="002742F5" w:rsidRPr="00535886" w:rsidRDefault="002742F5" w:rsidP="006366D7">
            <w:pPr>
              <w:keepNext/>
              <w:ind w:firstLine="181"/>
              <w:jc w:val="right"/>
              <w:rPr>
                <w:rFonts w:ascii="Arial Narrow" w:hAnsi="Arial Narrow"/>
                <w:b/>
                <w:bCs/>
                <w:sz w:val="18"/>
                <w:szCs w:val="18"/>
              </w:rPr>
            </w:pPr>
            <w:r w:rsidRPr="00535886">
              <w:rPr>
                <w:rFonts w:ascii="Arial Narrow" w:hAnsi="Arial Narrow"/>
                <w:b/>
                <w:bCs/>
                <w:sz w:val="18"/>
                <w:szCs w:val="18"/>
              </w:rPr>
              <w:t>$2</w:t>
            </w:r>
            <w:r w:rsidR="001D4BD9">
              <w:rPr>
                <w:rFonts w:ascii="Arial Narrow" w:hAnsi="Arial Narrow"/>
                <w:b/>
                <w:bCs/>
                <w:sz w:val="18"/>
                <w:szCs w:val="18"/>
              </w:rPr>
              <w:t>72</w:t>
            </w:r>
            <w:r w:rsidRPr="00535886">
              <w:rPr>
                <w:rFonts w:ascii="Arial Narrow" w:hAnsi="Arial Narrow"/>
                <w:b/>
                <w:bCs/>
                <w:sz w:val="18"/>
                <w:szCs w:val="18"/>
              </w:rPr>
              <w:t>,</w:t>
            </w:r>
            <w:r w:rsidR="001D4BD9">
              <w:rPr>
                <w:rFonts w:ascii="Arial Narrow" w:hAnsi="Arial Narrow"/>
                <w:b/>
                <w:bCs/>
                <w:sz w:val="18"/>
                <w:szCs w:val="18"/>
              </w:rPr>
              <w:t>012</w:t>
            </w:r>
          </w:p>
        </w:tc>
      </w:tr>
      <w:tr w:rsidR="002742F5" w:rsidRPr="00535886" w14:paraId="3A0DC48C" w14:textId="77777777" w:rsidTr="00602C74">
        <w:trPr>
          <w:trHeight w:val="315"/>
        </w:trPr>
        <w:tc>
          <w:tcPr>
            <w:tcW w:w="5000" w:type="pct"/>
            <w:gridSpan w:val="7"/>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96C47DD" w14:textId="77777777" w:rsidR="002742F5" w:rsidRPr="00535886" w:rsidRDefault="002742F5" w:rsidP="006366D7">
            <w:pPr>
              <w:keepNext/>
              <w:rPr>
                <w:rFonts w:ascii="Arial Narrow" w:hAnsi="Arial Narrow"/>
                <w:color w:val="000000"/>
                <w:sz w:val="18"/>
                <w:szCs w:val="18"/>
              </w:rPr>
            </w:pPr>
            <w:r w:rsidRPr="00535886">
              <w:rPr>
                <w:rFonts w:ascii="Arial Narrow" w:hAnsi="Arial Narrow"/>
                <w:color w:val="000000"/>
                <w:sz w:val="18"/>
                <w:szCs w:val="18"/>
              </w:rPr>
              <w:t>ALL REPORTERS</w:t>
            </w:r>
          </w:p>
        </w:tc>
      </w:tr>
      <w:tr w:rsidR="008046B9" w:rsidRPr="00535886" w14:paraId="010277EA" w14:textId="77777777" w:rsidTr="008046B9">
        <w:trPr>
          <w:trHeight w:val="315"/>
        </w:trPr>
        <w:tc>
          <w:tcPr>
            <w:tcW w:w="2811" w:type="pct"/>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hideMark/>
          </w:tcPr>
          <w:p w14:paraId="755937D7" w14:textId="77777777" w:rsidR="006D3008" w:rsidRPr="00535886" w:rsidRDefault="006D3008" w:rsidP="00C85DE4">
            <w:pPr>
              <w:rPr>
                <w:rFonts w:ascii="Arial Narrow" w:hAnsi="Arial Narrow"/>
                <w:b/>
                <w:bCs/>
                <w:color w:val="000000"/>
                <w:sz w:val="18"/>
                <w:szCs w:val="18"/>
              </w:rPr>
            </w:pPr>
            <w:r w:rsidRPr="00535886">
              <w:rPr>
                <w:rFonts w:ascii="Arial Narrow" w:hAnsi="Arial Narrow"/>
                <w:b/>
                <w:bCs/>
                <w:color w:val="000000"/>
                <w:sz w:val="18"/>
                <w:szCs w:val="18"/>
              </w:rPr>
              <w:t>Total</w:t>
            </w:r>
          </w:p>
        </w:tc>
        <w:tc>
          <w:tcPr>
            <w:tcW w:w="84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bottom"/>
          </w:tcPr>
          <w:p w14:paraId="3D3A11D7" w14:textId="38AE2792" w:rsidR="006D3008" w:rsidRPr="008046B9" w:rsidRDefault="006D3008" w:rsidP="008046B9">
            <w:pPr>
              <w:jc w:val="center"/>
              <w:rPr>
                <w:rFonts w:ascii="Arial Narrow" w:hAnsi="Arial Narrow"/>
                <w:b/>
                <w:bCs/>
                <w:i/>
                <w:color w:val="000000"/>
                <w:sz w:val="18"/>
                <w:szCs w:val="18"/>
              </w:rPr>
            </w:pPr>
            <w:r w:rsidRPr="008046B9">
              <w:rPr>
                <w:rFonts w:ascii="Arial Narrow" w:hAnsi="Arial Narrow"/>
                <w:b/>
                <w:bCs/>
                <w:i/>
                <w:color w:val="000000"/>
                <w:sz w:val="18"/>
                <w:szCs w:val="18"/>
              </w:rPr>
              <w:t>126</w:t>
            </w:r>
          </w:p>
        </w:tc>
        <w:tc>
          <w:tcPr>
            <w:tcW w:w="627" w:type="pct"/>
            <w:tcBorders>
              <w:top w:val="single" w:sz="12" w:space="0" w:color="auto"/>
              <w:left w:val="single" w:sz="12" w:space="0" w:color="auto"/>
              <w:bottom w:val="single" w:sz="12" w:space="0" w:color="auto"/>
              <w:right w:val="single" w:sz="4" w:space="0" w:color="auto"/>
            </w:tcBorders>
            <w:shd w:val="clear" w:color="auto" w:fill="BFBFBF" w:themeFill="background1" w:themeFillShade="BF"/>
            <w:noWrap/>
            <w:vAlign w:val="bottom"/>
            <w:hideMark/>
          </w:tcPr>
          <w:p w14:paraId="77CB3CEB" w14:textId="1CA307E9" w:rsidR="006D3008" w:rsidRPr="00535886" w:rsidRDefault="006D3008" w:rsidP="00C85DE4">
            <w:pPr>
              <w:jc w:val="center"/>
              <w:rPr>
                <w:rFonts w:ascii="Arial Narrow" w:hAnsi="Arial Narrow"/>
                <w:b/>
                <w:bCs/>
                <w:i/>
                <w:iCs/>
                <w:color w:val="000000"/>
                <w:sz w:val="18"/>
                <w:szCs w:val="18"/>
              </w:rPr>
            </w:pPr>
            <w:r w:rsidRPr="00535886">
              <w:rPr>
                <w:rFonts w:ascii="Arial Narrow" w:hAnsi="Arial Narrow"/>
                <w:b/>
                <w:bCs/>
                <w:i/>
                <w:iCs/>
                <w:color w:val="000000"/>
                <w:sz w:val="18"/>
                <w:szCs w:val="18"/>
              </w:rPr>
              <w:t>3,</w:t>
            </w:r>
            <w:r>
              <w:rPr>
                <w:rFonts w:ascii="Arial Narrow" w:hAnsi="Arial Narrow"/>
                <w:b/>
                <w:bCs/>
                <w:i/>
                <w:iCs/>
                <w:color w:val="000000"/>
                <w:sz w:val="18"/>
                <w:szCs w:val="18"/>
              </w:rPr>
              <w:t>629</w:t>
            </w:r>
          </w:p>
        </w:tc>
        <w:tc>
          <w:tcPr>
            <w:tcW w:w="715" w:type="pct"/>
            <w:tcBorders>
              <w:top w:val="single" w:sz="12" w:space="0" w:color="auto"/>
              <w:left w:val="nil"/>
              <w:bottom w:val="single" w:sz="12" w:space="0" w:color="auto"/>
              <w:right w:val="single" w:sz="12" w:space="0" w:color="auto"/>
            </w:tcBorders>
            <w:shd w:val="clear" w:color="auto" w:fill="BFBFBF" w:themeFill="background1" w:themeFillShade="BF"/>
            <w:noWrap/>
            <w:vAlign w:val="bottom"/>
            <w:hideMark/>
          </w:tcPr>
          <w:p w14:paraId="4AECFF14" w14:textId="3573259A" w:rsidR="006D3008" w:rsidRPr="00535886" w:rsidRDefault="006D3008" w:rsidP="00C85DE4">
            <w:pPr>
              <w:ind w:firstLineChars="100" w:firstLine="181"/>
              <w:jc w:val="right"/>
              <w:rPr>
                <w:rFonts w:ascii="Arial Narrow" w:hAnsi="Arial Narrow"/>
                <w:b/>
                <w:bCs/>
                <w:i/>
                <w:iCs/>
                <w:color w:val="000000"/>
                <w:sz w:val="18"/>
                <w:szCs w:val="18"/>
              </w:rPr>
            </w:pPr>
            <w:r w:rsidRPr="00535886">
              <w:rPr>
                <w:rFonts w:ascii="Arial Narrow" w:hAnsi="Arial Narrow"/>
                <w:b/>
                <w:bCs/>
                <w:i/>
                <w:iCs/>
                <w:color w:val="000000"/>
                <w:sz w:val="18"/>
                <w:szCs w:val="18"/>
              </w:rPr>
              <w:t>$</w:t>
            </w:r>
            <w:r>
              <w:rPr>
                <w:rFonts w:ascii="Arial Narrow" w:hAnsi="Arial Narrow"/>
                <w:b/>
                <w:bCs/>
                <w:i/>
                <w:iCs/>
                <w:color w:val="000000"/>
                <w:sz w:val="18"/>
                <w:szCs w:val="18"/>
              </w:rPr>
              <w:t>280</w:t>
            </w:r>
            <w:r w:rsidRPr="00535886">
              <w:rPr>
                <w:rFonts w:ascii="Arial Narrow" w:hAnsi="Arial Narrow"/>
                <w:b/>
                <w:bCs/>
                <w:i/>
                <w:iCs/>
                <w:color w:val="000000"/>
                <w:sz w:val="18"/>
                <w:szCs w:val="18"/>
              </w:rPr>
              <w:t>,</w:t>
            </w:r>
            <w:r>
              <w:rPr>
                <w:rFonts w:ascii="Arial Narrow" w:hAnsi="Arial Narrow"/>
                <w:b/>
                <w:bCs/>
                <w:i/>
                <w:iCs/>
                <w:color w:val="000000"/>
                <w:sz w:val="18"/>
                <w:szCs w:val="18"/>
              </w:rPr>
              <w:t>981</w:t>
            </w:r>
          </w:p>
        </w:tc>
      </w:tr>
      <w:tr w:rsidR="00D03D67" w:rsidRPr="00535886" w14:paraId="1371689A" w14:textId="77777777" w:rsidTr="00E02B0B">
        <w:trPr>
          <w:trHeight w:val="315"/>
        </w:trPr>
        <w:tc>
          <w:tcPr>
            <w:tcW w:w="5000" w:type="pct"/>
            <w:gridSpan w:val="7"/>
            <w:tcBorders>
              <w:top w:val="single" w:sz="12" w:space="0" w:color="auto"/>
              <w:left w:val="single" w:sz="12" w:space="0" w:color="auto"/>
              <w:bottom w:val="single" w:sz="12" w:space="0" w:color="auto"/>
              <w:right w:val="single" w:sz="12" w:space="0" w:color="auto"/>
            </w:tcBorders>
            <w:shd w:val="clear" w:color="auto" w:fill="auto"/>
            <w:noWrap/>
          </w:tcPr>
          <w:p w14:paraId="289FDC98" w14:textId="17DE7DED" w:rsidR="00D03D67" w:rsidRPr="005C4A2E" w:rsidRDefault="00D03D67" w:rsidP="00E02B0B">
            <w:pPr>
              <w:rPr>
                <w:rFonts w:ascii="Arial Narrow" w:hAnsi="Arial Narrow"/>
                <w:b/>
                <w:bCs/>
                <w:iCs/>
                <w:color w:val="000000"/>
                <w:sz w:val="18"/>
                <w:szCs w:val="18"/>
              </w:rPr>
            </w:pPr>
            <w:r w:rsidRPr="005C4A2E">
              <w:rPr>
                <w:rFonts w:ascii="Arial Narrow" w:hAnsi="Arial Narrow"/>
                <w:b/>
                <w:bCs/>
                <w:iCs/>
                <w:color w:val="000000"/>
                <w:sz w:val="18"/>
                <w:szCs w:val="18"/>
              </w:rPr>
              <w:t>General Note</w:t>
            </w:r>
          </w:p>
          <w:p w14:paraId="5ED7AF6A" w14:textId="4C8FFE48" w:rsidR="00D03D67" w:rsidRPr="00E02B0B" w:rsidRDefault="00D03D67" w:rsidP="00F07528">
            <w:pPr>
              <w:rPr>
                <w:rFonts w:ascii="Arial Narrow" w:hAnsi="Arial Narrow"/>
                <w:bCs/>
                <w:iCs/>
                <w:color w:val="000000"/>
                <w:sz w:val="18"/>
                <w:szCs w:val="18"/>
              </w:rPr>
            </w:pPr>
            <w:r w:rsidRPr="00D03D67">
              <w:rPr>
                <w:rFonts w:ascii="Arial Narrow" w:hAnsi="Arial Narrow"/>
                <w:bCs/>
                <w:iCs/>
                <w:color w:val="000000"/>
                <w:sz w:val="18"/>
                <w:szCs w:val="18"/>
              </w:rPr>
              <w:t>Total industry burden and cost</w:t>
            </w:r>
            <w:r w:rsidR="00871908">
              <w:rPr>
                <w:rFonts w:ascii="Arial Narrow" w:hAnsi="Arial Narrow"/>
                <w:bCs/>
                <w:iCs/>
                <w:color w:val="000000"/>
                <w:sz w:val="18"/>
                <w:szCs w:val="18"/>
              </w:rPr>
              <w:t>s</w:t>
            </w:r>
            <w:r w:rsidRPr="00D03D67">
              <w:rPr>
                <w:rFonts w:ascii="Arial Narrow" w:hAnsi="Arial Narrow"/>
                <w:bCs/>
                <w:iCs/>
                <w:color w:val="000000"/>
                <w:sz w:val="18"/>
                <w:szCs w:val="18"/>
              </w:rPr>
              <w:t xml:space="preserve"> are estimated by combining </w:t>
            </w:r>
            <w:r w:rsidR="00871908">
              <w:rPr>
                <w:rFonts w:ascii="Arial Narrow" w:hAnsi="Arial Narrow"/>
                <w:bCs/>
                <w:iCs/>
                <w:color w:val="000000"/>
                <w:sz w:val="18"/>
                <w:szCs w:val="18"/>
              </w:rPr>
              <w:t xml:space="preserve">company-level </w:t>
            </w:r>
            <w:r w:rsidRPr="00D03D67">
              <w:rPr>
                <w:rFonts w:ascii="Arial Narrow" w:hAnsi="Arial Narrow"/>
                <w:bCs/>
                <w:iCs/>
                <w:color w:val="000000"/>
                <w:sz w:val="18"/>
                <w:szCs w:val="18"/>
              </w:rPr>
              <w:t>unit burdens (</w:t>
            </w:r>
            <w:r w:rsidRPr="00E02B0B">
              <w:rPr>
                <w:rFonts w:ascii="Arial Narrow" w:hAnsi="Arial Narrow"/>
                <w:bCs/>
                <w:iCs/>
                <w:color w:val="000000"/>
                <w:sz w:val="18"/>
                <w:szCs w:val="18"/>
              </w:rPr>
              <w:fldChar w:fldCharType="begin"/>
            </w:r>
            <w:r w:rsidRPr="00D03D67">
              <w:rPr>
                <w:rFonts w:ascii="Arial Narrow" w:hAnsi="Arial Narrow"/>
                <w:bCs/>
                <w:iCs/>
                <w:color w:val="000000"/>
                <w:sz w:val="18"/>
                <w:szCs w:val="18"/>
              </w:rPr>
              <w:instrText xml:space="preserve"> REF _Ref528062545 \h  \* MERGEFORMAT </w:instrText>
            </w:r>
            <w:r w:rsidRPr="00E02B0B">
              <w:rPr>
                <w:rFonts w:ascii="Arial Narrow" w:hAnsi="Arial Narrow"/>
                <w:bCs/>
                <w:iCs/>
                <w:color w:val="000000"/>
                <w:sz w:val="18"/>
                <w:szCs w:val="18"/>
              </w:rPr>
            </w:r>
            <w:r w:rsidRPr="00E02B0B">
              <w:rPr>
                <w:rFonts w:ascii="Arial Narrow" w:hAnsi="Arial Narrow"/>
                <w:bCs/>
                <w:iCs/>
                <w:color w:val="000000"/>
                <w:sz w:val="18"/>
                <w:szCs w:val="18"/>
              </w:rPr>
              <w:fldChar w:fldCharType="separate"/>
            </w:r>
            <w:r w:rsidR="005C4A2E" w:rsidRPr="00E02B0B">
              <w:rPr>
                <w:rFonts w:ascii="Arial Narrow" w:hAnsi="Arial Narrow"/>
                <w:sz w:val="18"/>
                <w:szCs w:val="18"/>
              </w:rPr>
              <w:t xml:space="preserve">Table </w:t>
            </w:r>
            <w:r w:rsidR="005C4A2E" w:rsidRPr="00E02B0B">
              <w:rPr>
                <w:rFonts w:ascii="Arial Narrow" w:hAnsi="Arial Narrow"/>
                <w:noProof/>
                <w:sz w:val="18"/>
                <w:szCs w:val="18"/>
              </w:rPr>
              <w:t>3</w:t>
            </w:r>
            <w:r w:rsidRPr="00E02B0B">
              <w:rPr>
                <w:rFonts w:ascii="Arial Narrow" w:hAnsi="Arial Narrow"/>
                <w:bCs/>
                <w:iCs/>
                <w:color w:val="000000"/>
                <w:sz w:val="18"/>
                <w:szCs w:val="18"/>
              </w:rPr>
              <w:fldChar w:fldCharType="end"/>
            </w:r>
            <w:r w:rsidRPr="005C4A2E">
              <w:rPr>
                <w:rFonts w:ascii="Arial Narrow" w:hAnsi="Arial Narrow"/>
                <w:bCs/>
                <w:iCs/>
                <w:color w:val="000000"/>
                <w:sz w:val="18"/>
                <w:szCs w:val="18"/>
              </w:rPr>
              <w:t>) and costs (</w:t>
            </w:r>
            <w:r w:rsidRPr="00E02B0B">
              <w:rPr>
                <w:rFonts w:ascii="Arial Narrow" w:hAnsi="Arial Narrow"/>
                <w:bCs/>
                <w:iCs/>
                <w:color w:val="000000"/>
                <w:sz w:val="18"/>
                <w:szCs w:val="18"/>
              </w:rPr>
              <w:fldChar w:fldCharType="begin"/>
            </w:r>
            <w:r w:rsidRPr="00D03D67">
              <w:rPr>
                <w:rFonts w:ascii="Arial Narrow" w:hAnsi="Arial Narrow"/>
                <w:bCs/>
                <w:iCs/>
                <w:color w:val="000000"/>
                <w:sz w:val="18"/>
                <w:szCs w:val="18"/>
              </w:rPr>
              <w:instrText xml:space="preserve"> REF _Ref526493351 \h  \* MERGEFORMAT </w:instrText>
            </w:r>
            <w:r w:rsidRPr="00E02B0B">
              <w:rPr>
                <w:rFonts w:ascii="Arial Narrow" w:hAnsi="Arial Narrow"/>
                <w:bCs/>
                <w:iCs/>
                <w:color w:val="000000"/>
                <w:sz w:val="18"/>
                <w:szCs w:val="18"/>
              </w:rPr>
            </w:r>
            <w:r w:rsidRPr="00E02B0B">
              <w:rPr>
                <w:rFonts w:ascii="Arial Narrow" w:hAnsi="Arial Narrow"/>
                <w:bCs/>
                <w:iCs/>
                <w:color w:val="000000"/>
                <w:sz w:val="18"/>
                <w:szCs w:val="18"/>
              </w:rPr>
              <w:fldChar w:fldCharType="separate"/>
            </w:r>
            <w:r w:rsidR="005C4A2E" w:rsidRPr="00E02B0B">
              <w:rPr>
                <w:rFonts w:ascii="Arial Narrow" w:hAnsi="Arial Narrow"/>
                <w:sz w:val="18"/>
                <w:szCs w:val="18"/>
              </w:rPr>
              <w:t xml:space="preserve">Table </w:t>
            </w:r>
            <w:r w:rsidR="005C4A2E" w:rsidRPr="00E02B0B">
              <w:rPr>
                <w:rFonts w:ascii="Arial Narrow" w:hAnsi="Arial Narrow"/>
                <w:noProof/>
                <w:sz w:val="18"/>
                <w:szCs w:val="18"/>
              </w:rPr>
              <w:t>5</w:t>
            </w:r>
            <w:r w:rsidRPr="00E02B0B">
              <w:rPr>
                <w:rFonts w:ascii="Arial Narrow" w:hAnsi="Arial Narrow"/>
                <w:bCs/>
                <w:iCs/>
                <w:color w:val="000000"/>
                <w:sz w:val="18"/>
                <w:szCs w:val="18"/>
              </w:rPr>
              <w:fldChar w:fldCharType="end"/>
            </w:r>
            <w:r w:rsidRPr="005C4A2E">
              <w:rPr>
                <w:rFonts w:ascii="Arial Narrow" w:hAnsi="Arial Narrow"/>
                <w:bCs/>
                <w:iCs/>
                <w:color w:val="000000"/>
                <w:sz w:val="18"/>
                <w:szCs w:val="18"/>
              </w:rPr>
              <w:t>) with estimates of the potentially affected universe .</w:t>
            </w:r>
          </w:p>
        </w:tc>
      </w:tr>
    </w:tbl>
    <w:p w14:paraId="05D588A8" w14:textId="7AD0EAB2" w:rsidR="00C233FD" w:rsidRDefault="00C233FD" w:rsidP="000D0156">
      <w:pPr>
        <w:pStyle w:val="Caption"/>
        <w:keepNext/>
      </w:pPr>
    </w:p>
    <w:p w14:paraId="26163509" w14:textId="62C9EA01" w:rsidR="00DD0EA9" w:rsidRDefault="00C233FD" w:rsidP="00126678">
      <w:r>
        <w:t>The following tables</w:t>
      </w:r>
      <w:r w:rsidR="00126678">
        <w:t xml:space="preserve"> display the annual burden and costs borne by respondents and EPA associated with submitting and processing substantiation for claims of confidentiality for chemical substance identity as part of an amended NOA as a result of this information collection for the period of this ICR.</w:t>
      </w:r>
    </w:p>
    <w:p w14:paraId="772312AF" w14:textId="77777777" w:rsidR="00DD0EA9" w:rsidRDefault="00DD0EA9">
      <w:pPr>
        <w:spacing w:after="200" w:line="276" w:lineRule="auto"/>
      </w:pPr>
      <w:r>
        <w:br w:type="page"/>
      </w:r>
    </w:p>
    <w:p w14:paraId="1D68FBF7" w14:textId="77777777" w:rsidR="00126678" w:rsidRDefault="00126678" w:rsidP="00126678"/>
    <w:p w14:paraId="7BA4A3C6" w14:textId="4B1AF90E" w:rsidR="00C233FD" w:rsidRDefault="00C233FD" w:rsidP="00C233FD">
      <w:pPr>
        <w:pStyle w:val="Caption"/>
        <w:keepNext/>
      </w:pPr>
      <w:bookmarkStart w:id="74" w:name="_Ref526496172"/>
      <w:r>
        <w:t xml:space="preserve">Table </w:t>
      </w:r>
      <w:r w:rsidR="00A762E6">
        <w:rPr>
          <w:noProof/>
        </w:rPr>
        <w:fldChar w:fldCharType="begin"/>
      </w:r>
      <w:r w:rsidR="00A762E6">
        <w:rPr>
          <w:noProof/>
        </w:rPr>
        <w:instrText xml:space="preserve"> SEQ Table \* ARABIC </w:instrText>
      </w:r>
      <w:r w:rsidR="00A762E6">
        <w:rPr>
          <w:noProof/>
        </w:rPr>
        <w:fldChar w:fldCharType="separate"/>
      </w:r>
      <w:r w:rsidR="005C4A2E">
        <w:rPr>
          <w:noProof/>
        </w:rPr>
        <w:t>9</w:t>
      </w:r>
      <w:r w:rsidR="00A762E6">
        <w:rPr>
          <w:noProof/>
        </w:rPr>
        <w:fldChar w:fldCharType="end"/>
      </w:r>
      <w:bookmarkEnd w:id="74"/>
      <w:r>
        <w:t xml:space="preserve">. Annual </w:t>
      </w:r>
      <w:r w:rsidR="006366D7">
        <w:t xml:space="preserve">Incremental </w:t>
      </w:r>
      <w:r>
        <w:t>Burden</w:t>
      </w:r>
      <w:r w:rsidR="00C12127">
        <w:t>,</w:t>
      </w:r>
      <w:r w:rsidR="00A50A17">
        <w:t xml:space="preserve"> </w:t>
      </w:r>
      <w:r w:rsidR="00FA37A2">
        <w:t>Proposed</w:t>
      </w:r>
      <w:r>
        <w:t xml:space="preserve"> Rule </w:t>
      </w:r>
    </w:p>
    <w:tbl>
      <w:tblPr>
        <w:tblStyle w:val="TableGrid5"/>
        <w:tblW w:w="952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575"/>
        <w:gridCol w:w="900"/>
        <w:gridCol w:w="900"/>
        <w:gridCol w:w="900"/>
        <w:gridCol w:w="990"/>
        <w:gridCol w:w="1260"/>
      </w:tblGrid>
      <w:tr w:rsidR="0062084A" w:rsidRPr="00C233FD" w14:paraId="316210FE" w14:textId="6DB715FF" w:rsidTr="007161A0">
        <w:tc>
          <w:tcPr>
            <w:tcW w:w="4575" w:type="dxa"/>
            <w:vMerge w:val="restart"/>
            <w:shd w:val="clear" w:color="auto" w:fill="C3C6A8"/>
            <w:vAlign w:val="bottom"/>
          </w:tcPr>
          <w:p w14:paraId="21F4881F" w14:textId="77777777" w:rsidR="0062084A" w:rsidRPr="00C233FD" w:rsidRDefault="0062084A" w:rsidP="00C233FD">
            <w:pPr>
              <w:spacing w:beforeLines="20" w:before="48" w:afterLines="20" w:after="48"/>
              <w:jc w:val="center"/>
              <w:rPr>
                <w:b/>
              </w:rPr>
            </w:pPr>
            <w:r w:rsidRPr="00C233FD">
              <w:rPr>
                <w:b/>
              </w:rPr>
              <w:t>Burden Category</w:t>
            </w:r>
          </w:p>
        </w:tc>
        <w:tc>
          <w:tcPr>
            <w:tcW w:w="4950" w:type="dxa"/>
            <w:gridSpan w:val="5"/>
            <w:shd w:val="clear" w:color="auto" w:fill="C3C6A8"/>
          </w:tcPr>
          <w:p w14:paraId="23D3BD04" w14:textId="567D843C" w:rsidR="0062084A" w:rsidRPr="00C233FD" w:rsidRDefault="0062084A" w:rsidP="00C233FD">
            <w:pPr>
              <w:spacing w:beforeLines="20" w:before="48" w:afterLines="20" w:after="48"/>
              <w:jc w:val="center"/>
              <w:rPr>
                <w:b/>
              </w:rPr>
            </w:pPr>
            <w:r w:rsidRPr="00C233FD">
              <w:rPr>
                <w:b/>
              </w:rPr>
              <w:t>Burden Hours</w:t>
            </w:r>
          </w:p>
        </w:tc>
      </w:tr>
      <w:tr w:rsidR="0062084A" w:rsidRPr="00C233FD" w14:paraId="38BED107" w14:textId="0D071328" w:rsidTr="007161A0">
        <w:tc>
          <w:tcPr>
            <w:tcW w:w="4575" w:type="dxa"/>
            <w:vMerge/>
            <w:shd w:val="clear" w:color="auto" w:fill="C3C6A8"/>
            <w:vAlign w:val="bottom"/>
          </w:tcPr>
          <w:p w14:paraId="1A32A0DD" w14:textId="77777777" w:rsidR="0062084A" w:rsidRPr="00C233FD" w:rsidRDefault="0062084A" w:rsidP="00C233FD">
            <w:pPr>
              <w:spacing w:beforeLines="20" w:before="48" w:afterLines="20" w:after="48"/>
              <w:jc w:val="center"/>
              <w:rPr>
                <w:b/>
              </w:rPr>
            </w:pPr>
          </w:p>
        </w:tc>
        <w:tc>
          <w:tcPr>
            <w:tcW w:w="900" w:type="dxa"/>
            <w:shd w:val="clear" w:color="auto" w:fill="C3C6A8"/>
            <w:vAlign w:val="bottom"/>
          </w:tcPr>
          <w:p w14:paraId="235207CB" w14:textId="77777777" w:rsidR="0062084A" w:rsidRPr="00C233FD" w:rsidRDefault="0062084A" w:rsidP="00C233FD">
            <w:pPr>
              <w:spacing w:beforeLines="20" w:before="48" w:afterLines="20" w:after="48"/>
              <w:jc w:val="center"/>
              <w:rPr>
                <w:b/>
              </w:rPr>
            </w:pPr>
            <w:r w:rsidRPr="00C233FD">
              <w:rPr>
                <w:b/>
              </w:rPr>
              <w:t>Year 1</w:t>
            </w:r>
          </w:p>
        </w:tc>
        <w:tc>
          <w:tcPr>
            <w:tcW w:w="900" w:type="dxa"/>
            <w:shd w:val="clear" w:color="auto" w:fill="C3C6A8"/>
            <w:vAlign w:val="bottom"/>
          </w:tcPr>
          <w:p w14:paraId="1D01B17E" w14:textId="77777777" w:rsidR="0062084A" w:rsidRPr="00C233FD" w:rsidRDefault="0062084A" w:rsidP="00C233FD">
            <w:pPr>
              <w:spacing w:beforeLines="20" w:before="48" w:afterLines="20" w:after="48"/>
              <w:jc w:val="center"/>
              <w:rPr>
                <w:b/>
              </w:rPr>
            </w:pPr>
            <w:r w:rsidRPr="00C233FD">
              <w:rPr>
                <w:b/>
              </w:rPr>
              <w:t>Year 2</w:t>
            </w:r>
          </w:p>
        </w:tc>
        <w:tc>
          <w:tcPr>
            <w:tcW w:w="900" w:type="dxa"/>
            <w:tcBorders>
              <w:right w:val="single" w:sz="12" w:space="0" w:color="auto"/>
            </w:tcBorders>
            <w:shd w:val="clear" w:color="auto" w:fill="C3C6A8"/>
            <w:vAlign w:val="bottom"/>
          </w:tcPr>
          <w:p w14:paraId="6502F1D5" w14:textId="77777777" w:rsidR="0062084A" w:rsidRPr="00C233FD" w:rsidRDefault="0062084A" w:rsidP="00C233FD">
            <w:pPr>
              <w:spacing w:beforeLines="20" w:before="48" w:afterLines="20" w:after="48"/>
              <w:jc w:val="center"/>
              <w:rPr>
                <w:b/>
              </w:rPr>
            </w:pPr>
            <w:r w:rsidRPr="00C233FD">
              <w:rPr>
                <w:b/>
              </w:rPr>
              <w:t>Year 3</w:t>
            </w:r>
          </w:p>
        </w:tc>
        <w:tc>
          <w:tcPr>
            <w:tcW w:w="990" w:type="dxa"/>
            <w:tcBorders>
              <w:top w:val="single" w:sz="4" w:space="0" w:color="auto"/>
              <w:left w:val="single" w:sz="12" w:space="0" w:color="auto"/>
              <w:right w:val="single" w:sz="12" w:space="0" w:color="auto"/>
            </w:tcBorders>
            <w:shd w:val="clear" w:color="auto" w:fill="C3C6A8"/>
            <w:vAlign w:val="bottom"/>
          </w:tcPr>
          <w:p w14:paraId="3D046806" w14:textId="390C5166" w:rsidR="0062084A" w:rsidRPr="00C233FD" w:rsidRDefault="0062084A" w:rsidP="00C233FD">
            <w:pPr>
              <w:spacing w:beforeLines="20" w:before="48" w:afterLines="20" w:after="48"/>
              <w:jc w:val="center"/>
              <w:rPr>
                <w:b/>
              </w:rPr>
            </w:pPr>
            <w:r w:rsidRPr="006768EF">
              <w:rPr>
                <w:b/>
              </w:rPr>
              <w:t>Total</w:t>
            </w:r>
            <w:r w:rsidRPr="00C233FD">
              <w:rPr>
                <w:b/>
              </w:rPr>
              <w:t xml:space="preserve"> </w:t>
            </w:r>
          </w:p>
          <w:p w14:paraId="6D177A61" w14:textId="289B7645" w:rsidR="0062084A" w:rsidRPr="00C233FD" w:rsidRDefault="0062084A" w:rsidP="00C233FD">
            <w:pPr>
              <w:spacing w:beforeLines="20" w:before="48" w:afterLines="20" w:after="48"/>
              <w:jc w:val="center"/>
              <w:rPr>
                <w:b/>
              </w:rPr>
            </w:pPr>
            <w:r w:rsidRPr="00C233FD">
              <w:rPr>
                <w:b/>
              </w:rPr>
              <w:t>ICR Period</w:t>
            </w:r>
          </w:p>
        </w:tc>
        <w:tc>
          <w:tcPr>
            <w:tcW w:w="1260" w:type="dxa"/>
            <w:tcBorders>
              <w:top w:val="single" w:sz="4" w:space="0" w:color="auto"/>
              <w:left w:val="single" w:sz="12" w:space="0" w:color="auto"/>
            </w:tcBorders>
            <w:shd w:val="clear" w:color="auto" w:fill="C3C6A8"/>
          </w:tcPr>
          <w:p w14:paraId="313A9EA0" w14:textId="19C961ED" w:rsidR="0062084A" w:rsidRDefault="0062084A" w:rsidP="00C233FD">
            <w:pPr>
              <w:spacing w:beforeLines="20" w:before="48" w:afterLines="20" w:after="48"/>
              <w:jc w:val="center"/>
              <w:rPr>
                <w:b/>
              </w:rPr>
            </w:pPr>
            <w:r>
              <w:rPr>
                <w:b/>
              </w:rPr>
              <w:t xml:space="preserve">Average Annual </w:t>
            </w:r>
          </w:p>
          <w:p w14:paraId="63768AB2" w14:textId="2150BBA0" w:rsidR="0062084A" w:rsidRPr="006768EF" w:rsidRDefault="0062084A" w:rsidP="00C233FD">
            <w:pPr>
              <w:spacing w:beforeLines="20" w:before="48" w:afterLines="20" w:after="48"/>
              <w:jc w:val="center"/>
              <w:rPr>
                <w:b/>
              </w:rPr>
            </w:pPr>
            <w:r>
              <w:rPr>
                <w:b/>
              </w:rPr>
              <w:t xml:space="preserve"> ICR Period</w:t>
            </w:r>
          </w:p>
        </w:tc>
      </w:tr>
      <w:tr w:rsidR="0062084A" w:rsidRPr="00C233FD" w14:paraId="0232F0D1" w14:textId="55B3AC19" w:rsidTr="00602C74">
        <w:tc>
          <w:tcPr>
            <w:tcW w:w="4575" w:type="dxa"/>
            <w:tcBorders>
              <w:right w:val="nil"/>
            </w:tcBorders>
          </w:tcPr>
          <w:p w14:paraId="0B65C1B4" w14:textId="77777777" w:rsidR="0062084A" w:rsidRPr="00C233FD" w:rsidRDefault="0062084A" w:rsidP="00C233FD">
            <w:pPr>
              <w:spacing w:beforeLines="20" w:before="48" w:afterLines="20" w:after="48"/>
              <w:rPr>
                <w:rFonts w:ascii="Arial Narrow" w:hAnsi="Arial Narrow"/>
                <w:sz w:val="18"/>
                <w:szCs w:val="18"/>
              </w:rPr>
            </w:pPr>
            <w:r w:rsidRPr="00C233FD">
              <w:rPr>
                <w:rFonts w:ascii="Arial Narrow" w:hAnsi="Arial Narrow"/>
                <w:sz w:val="18"/>
                <w:szCs w:val="18"/>
              </w:rPr>
              <w:t>Industry Burden</w:t>
            </w:r>
          </w:p>
        </w:tc>
        <w:tc>
          <w:tcPr>
            <w:tcW w:w="900" w:type="dxa"/>
            <w:tcBorders>
              <w:left w:val="nil"/>
              <w:right w:val="nil"/>
            </w:tcBorders>
          </w:tcPr>
          <w:p w14:paraId="59C4C6CB" w14:textId="77777777" w:rsidR="0062084A" w:rsidRPr="00C233FD" w:rsidRDefault="0062084A" w:rsidP="00C233FD">
            <w:pPr>
              <w:spacing w:beforeLines="20" w:before="48" w:afterLines="20" w:after="48"/>
              <w:jc w:val="right"/>
              <w:rPr>
                <w:rFonts w:ascii="Arial Narrow" w:hAnsi="Arial Narrow"/>
                <w:bCs/>
                <w:color w:val="000000"/>
                <w:sz w:val="18"/>
                <w:szCs w:val="18"/>
              </w:rPr>
            </w:pPr>
          </w:p>
        </w:tc>
        <w:tc>
          <w:tcPr>
            <w:tcW w:w="900" w:type="dxa"/>
            <w:tcBorders>
              <w:left w:val="nil"/>
              <w:right w:val="nil"/>
            </w:tcBorders>
          </w:tcPr>
          <w:p w14:paraId="6D0B409F" w14:textId="77777777" w:rsidR="0062084A" w:rsidRPr="00C233FD" w:rsidRDefault="0062084A" w:rsidP="00C233FD">
            <w:pPr>
              <w:spacing w:beforeLines="20" w:before="48" w:afterLines="20" w:after="48"/>
              <w:jc w:val="right"/>
              <w:rPr>
                <w:rFonts w:ascii="Arial Narrow" w:hAnsi="Arial Narrow"/>
                <w:bCs/>
                <w:color w:val="000000"/>
                <w:sz w:val="18"/>
                <w:szCs w:val="18"/>
              </w:rPr>
            </w:pPr>
          </w:p>
        </w:tc>
        <w:tc>
          <w:tcPr>
            <w:tcW w:w="900" w:type="dxa"/>
            <w:tcBorders>
              <w:left w:val="nil"/>
              <w:right w:val="nil"/>
            </w:tcBorders>
          </w:tcPr>
          <w:p w14:paraId="63BAFCA9" w14:textId="77777777" w:rsidR="0062084A" w:rsidRPr="00C233FD" w:rsidRDefault="0062084A" w:rsidP="00C233FD">
            <w:pPr>
              <w:spacing w:beforeLines="20" w:before="48" w:afterLines="20" w:after="48"/>
              <w:jc w:val="right"/>
              <w:rPr>
                <w:rFonts w:ascii="Arial Narrow" w:hAnsi="Arial Narrow"/>
                <w:bCs/>
                <w:color w:val="000000"/>
                <w:sz w:val="18"/>
                <w:szCs w:val="18"/>
              </w:rPr>
            </w:pPr>
          </w:p>
        </w:tc>
        <w:tc>
          <w:tcPr>
            <w:tcW w:w="990" w:type="dxa"/>
            <w:tcBorders>
              <w:left w:val="nil"/>
              <w:right w:val="nil"/>
            </w:tcBorders>
          </w:tcPr>
          <w:p w14:paraId="177BC4A0" w14:textId="77777777" w:rsidR="0062084A" w:rsidRPr="00C233FD" w:rsidRDefault="0062084A" w:rsidP="00C233FD">
            <w:pPr>
              <w:spacing w:beforeLines="20" w:before="48" w:afterLines="20" w:after="48"/>
              <w:jc w:val="right"/>
              <w:rPr>
                <w:rFonts w:ascii="Arial Narrow" w:hAnsi="Arial Narrow"/>
                <w:sz w:val="18"/>
                <w:szCs w:val="18"/>
              </w:rPr>
            </w:pPr>
          </w:p>
        </w:tc>
        <w:tc>
          <w:tcPr>
            <w:tcW w:w="1260" w:type="dxa"/>
            <w:tcBorders>
              <w:left w:val="nil"/>
            </w:tcBorders>
          </w:tcPr>
          <w:p w14:paraId="68DE2853" w14:textId="77777777" w:rsidR="0062084A" w:rsidRPr="00C233FD" w:rsidRDefault="0062084A" w:rsidP="00C233FD">
            <w:pPr>
              <w:spacing w:beforeLines="20" w:before="48" w:afterLines="20" w:after="48"/>
              <w:jc w:val="right"/>
              <w:rPr>
                <w:rFonts w:ascii="Arial Narrow" w:hAnsi="Arial Narrow"/>
                <w:sz w:val="18"/>
                <w:szCs w:val="18"/>
              </w:rPr>
            </w:pPr>
          </w:p>
        </w:tc>
      </w:tr>
      <w:tr w:rsidR="0062084A" w:rsidRPr="00C233FD" w14:paraId="005FBBFB" w14:textId="6E333420" w:rsidTr="007161A0">
        <w:tc>
          <w:tcPr>
            <w:tcW w:w="4575" w:type="dxa"/>
          </w:tcPr>
          <w:p w14:paraId="51A34718" w14:textId="587D45C5" w:rsidR="0062084A" w:rsidRPr="00C233FD" w:rsidRDefault="002742F5">
            <w:pPr>
              <w:spacing w:beforeLines="20" w:before="48" w:afterLines="20" w:after="48"/>
              <w:rPr>
                <w:rFonts w:ascii="Arial Narrow" w:hAnsi="Arial Narrow"/>
                <w:sz w:val="18"/>
                <w:szCs w:val="18"/>
              </w:rPr>
            </w:pPr>
            <w:r>
              <w:rPr>
                <w:rFonts w:ascii="Arial Narrow" w:hAnsi="Arial Narrow"/>
                <w:sz w:val="18"/>
                <w:szCs w:val="18"/>
              </w:rPr>
              <w:t>REPORTERS USING REFERENCE TO PREVIOUS SUBSTANTIATION</w:t>
            </w:r>
            <w:r w:rsidRPr="006768EF">
              <w:rPr>
                <w:rFonts w:ascii="Arial Narrow" w:hAnsi="Arial Narrow"/>
                <w:sz w:val="18"/>
                <w:szCs w:val="18"/>
              </w:rPr>
              <w:t xml:space="preserve"> </w:t>
            </w:r>
          </w:p>
        </w:tc>
        <w:tc>
          <w:tcPr>
            <w:tcW w:w="900" w:type="dxa"/>
            <w:vAlign w:val="center"/>
          </w:tcPr>
          <w:p w14:paraId="7FEB5335" w14:textId="1D764204" w:rsidR="0062084A" w:rsidRPr="00C233FD" w:rsidRDefault="002742F5" w:rsidP="007161A0">
            <w:pPr>
              <w:spacing w:beforeLines="20" w:before="48" w:afterLines="20" w:after="48"/>
              <w:jc w:val="center"/>
              <w:rPr>
                <w:rFonts w:ascii="Arial Narrow" w:hAnsi="Arial Narrow"/>
                <w:bCs/>
                <w:color w:val="000000"/>
                <w:sz w:val="18"/>
                <w:szCs w:val="18"/>
              </w:rPr>
            </w:pPr>
            <w:r>
              <w:rPr>
                <w:rFonts w:ascii="Arial Narrow" w:hAnsi="Arial Narrow"/>
                <w:bCs/>
                <w:color w:val="000000"/>
                <w:sz w:val="18"/>
                <w:szCs w:val="18"/>
              </w:rPr>
              <w:t>1</w:t>
            </w:r>
            <w:r w:rsidR="001D4BD9">
              <w:rPr>
                <w:rFonts w:ascii="Arial Narrow" w:hAnsi="Arial Narrow"/>
                <w:bCs/>
                <w:color w:val="000000"/>
                <w:sz w:val="18"/>
                <w:szCs w:val="18"/>
              </w:rPr>
              <w:t>16</w:t>
            </w:r>
          </w:p>
        </w:tc>
        <w:tc>
          <w:tcPr>
            <w:tcW w:w="900" w:type="dxa"/>
            <w:vAlign w:val="center"/>
          </w:tcPr>
          <w:p w14:paraId="01E42340" w14:textId="21FB7F1F" w:rsidR="0062084A" w:rsidRPr="00C233FD" w:rsidRDefault="0062084A" w:rsidP="007161A0">
            <w:pPr>
              <w:spacing w:beforeLines="20" w:before="48" w:afterLines="20" w:after="48"/>
              <w:jc w:val="center"/>
              <w:rPr>
                <w:rFonts w:ascii="Arial Narrow" w:hAnsi="Arial Narrow"/>
                <w:bCs/>
                <w:color w:val="000000"/>
                <w:sz w:val="18"/>
                <w:szCs w:val="18"/>
              </w:rPr>
            </w:pPr>
            <w:r w:rsidRPr="006768EF">
              <w:rPr>
                <w:rFonts w:ascii="Arial Narrow" w:hAnsi="Arial Narrow"/>
                <w:bCs/>
                <w:color w:val="000000"/>
                <w:sz w:val="18"/>
                <w:szCs w:val="18"/>
              </w:rPr>
              <w:t>0</w:t>
            </w:r>
          </w:p>
        </w:tc>
        <w:tc>
          <w:tcPr>
            <w:tcW w:w="900" w:type="dxa"/>
            <w:tcBorders>
              <w:right w:val="single" w:sz="12" w:space="0" w:color="auto"/>
            </w:tcBorders>
            <w:vAlign w:val="center"/>
          </w:tcPr>
          <w:p w14:paraId="2828FFA1" w14:textId="21E20644" w:rsidR="0062084A" w:rsidRPr="00C233FD" w:rsidRDefault="0062084A" w:rsidP="007161A0">
            <w:pPr>
              <w:spacing w:beforeLines="20" w:before="48" w:afterLines="20" w:after="48"/>
              <w:jc w:val="center"/>
              <w:rPr>
                <w:rFonts w:ascii="Arial Narrow" w:hAnsi="Arial Narrow"/>
                <w:bCs/>
                <w:color w:val="000000"/>
                <w:sz w:val="18"/>
                <w:szCs w:val="18"/>
              </w:rPr>
            </w:pPr>
            <w:r w:rsidRPr="006768EF">
              <w:rPr>
                <w:rFonts w:ascii="Arial Narrow" w:hAnsi="Arial Narrow"/>
                <w:bCs/>
                <w:color w:val="000000"/>
                <w:sz w:val="18"/>
                <w:szCs w:val="18"/>
              </w:rPr>
              <w:t>0</w:t>
            </w:r>
          </w:p>
        </w:tc>
        <w:tc>
          <w:tcPr>
            <w:tcW w:w="990" w:type="dxa"/>
            <w:tcBorders>
              <w:left w:val="single" w:sz="12" w:space="0" w:color="auto"/>
              <w:right w:val="single" w:sz="12" w:space="0" w:color="auto"/>
            </w:tcBorders>
            <w:vAlign w:val="center"/>
          </w:tcPr>
          <w:p w14:paraId="47E391DE" w14:textId="5CCF485A" w:rsidR="0062084A" w:rsidRPr="00C233FD" w:rsidRDefault="002742F5" w:rsidP="007161A0">
            <w:pPr>
              <w:spacing w:beforeLines="20" w:before="48" w:afterLines="20" w:after="48"/>
              <w:jc w:val="center"/>
              <w:rPr>
                <w:rFonts w:ascii="Arial Narrow" w:hAnsi="Arial Narrow"/>
                <w:sz w:val="18"/>
                <w:szCs w:val="18"/>
              </w:rPr>
            </w:pPr>
            <w:r>
              <w:rPr>
                <w:rFonts w:ascii="Arial Narrow" w:hAnsi="Arial Narrow"/>
                <w:sz w:val="18"/>
                <w:szCs w:val="18"/>
              </w:rPr>
              <w:t>1</w:t>
            </w:r>
            <w:r w:rsidR="001D4BD9">
              <w:rPr>
                <w:rFonts w:ascii="Arial Narrow" w:hAnsi="Arial Narrow"/>
                <w:sz w:val="18"/>
                <w:szCs w:val="18"/>
              </w:rPr>
              <w:t>16</w:t>
            </w:r>
          </w:p>
        </w:tc>
        <w:tc>
          <w:tcPr>
            <w:tcW w:w="1260" w:type="dxa"/>
            <w:tcBorders>
              <w:left w:val="single" w:sz="12" w:space="0" w:color="auto"/>
            </w:tcBorders>
            <w:vAlign w:val="center"/>
          </w:tcPr>
          <w:p w14:paraId="3D63A530" w14:textId="171787AE" w:rsidR="0062084A" w:rsidRPr="006768EF" w:rsidRDefault="001D4BD9" w:rsidP="007161A0">
            <w:pPr>
              <w:spacing w:beforeLines="20" w:before="48" w:afterLines="20" w:after="48"/>
              <w:jc w:val="center"/>
              <w:rPr>
                <w:rFonts w:ascii="Arial Narrow" w:hAnsi="Arial Narrow"/>
                <w:sz w:val="18"/>
                <w:szCs w:val="18"/>
              </w:rPr>
            </w:pPr>
            <w:r>
              <w:rPr>
                <w:rFonts w:ascii="Arial Narrow" w:hAnsi="Arial Narrow"/>
                <w:sz w:val="18"/>
                <w:szCs w:val="18"/>
              </w:rPr>
              <w:t>39</w:t>
            </w:r>
          </w:p>
        </w:tc>
      </w:tr>
      <w:tr w:rsidR="0062084A" w:rsidRPr="00C233FD" w14:paraId="387F6A83" w14:textId="32C50A84" w:rsidTr="007161A0">
        <w:tc>
          <w:tcPr>
            <w:tcW w:w="4575" w:type="dxa"/>
            <w:tcBorders>
              <w:bottom w:val="single" w:sz="12" w:space="0" w:color="auto"/>
            </w:tcBorders>
          </w:tcPr>
          <w:p w14:paraId="2A57E9C1" w14:textId="703D53EE" w:rsidR="0062084A" w:rsidRPr="006768EF" w:rsidRDefault="002742F5" w:rsidP="00C233FD">
            <w:pPr>
              <w:spacing w:beforeLines="20" w:before="48" w:afterLines="20" w:after="48"/>
              <w:rPr>
                <w:rFonts w:ascii="Arial Narrow" w:hAnsi="Arial Narrow"/>
                <w:sz w:val="18"/>
                <w:szCs w:val="18"/>
              </w:rPr>
            </w:pPr>
            <w:r>
              <w:rPr>
                <w:rFonts w:ascii="Arial Narrow" w:hAnsi="Arial Narrow"/>
                <w:sz w:val="18"/>
                <w:szCs w:val="18"/>
              </w:rPr>
              <w:t>REPORTERS WITH FULL SUBSTANTIATION</w:t>
            </w:r>
          </w:p>
        </w:tc>
        <w:tc>
          <w:tcPr>
            <w:tcW w:w="900" w:type="dxa"/>
            <w:tcBorders>
              <w:bottom w:val="single" w:sz="12" w:space="0" w:color="auto"/>
            </w:tcBorders>
            <w:vAlign w:val="center"/>
          </w:tcPr>
          <w:p w14:paraId="09AF6C14" w14:textId="7CBCCFA9" w:rsidR="0062084A" w:rsidRPr="006768EF" w:rsidRDefault="002742F5" w:rsidP="007161A0">
            <w:pPr>
              <w:spacing w:beforeLines="20" w:before="48" w:afterLines="20" w:after="48"/>
              <w:jc w:val="center"/>
              <w:rPr>
                <w:rFonts w:ascii="Arial Narrow" w:hAnsi="Arial Narrow"/>
                <w:bCs/>
                <w:color w:val="000000"/>
                <w:sz w:val="18"/>
                <w:szCs w:val="18"/>
              </w:rPr>
            </w:pPr>
            <w:r>
              <w:rPr>
                <w:rFonts w:ascii="Arial Narrow" w:hAnsi="Arial Narrow"/>
                <w:bCs/>
                <w:color w:val="000000"/>
                <w:sz w:val="18"/>
                <w:szCs w:val="18"/>
              </w:rPr>
              <w:t>3,</w:t>
            </w:r>
            <w:r w:rsidR="001D4BD9">
              <w:rPr>
                <w:rFonts w:ascii="Arial Narrow" w:hAnsi="Arial Narrow"/>
                <w:bCs/>
                <w:color w:val="000000"/>
                <w:sz w:val="18"/>
                <w:szCs w:val="18"/>
              </w:rPr>
              <w:t>513</w:t>
            </w:r>
          </w:p>
        </w:tc>
        <w:tc>
          <w:tcPr>
            <w:tcW w:w="900" w:type="dxa"/>
            <w:tcBorders>
              <w:bottom w:val="single" w:sz="12" w:space="0" w:color="auto"/>
            </w:tcBorders>
            <w:vAlign w:val="center"/>
          </w:tcPr>
          <w:p w14:paraId="29D20260" w14:textId="3E8CB179" w:rsidR="0062084A" w:rsidRPr="006768EF" w:rsidRDefault="0062084A" w:rsidP="007161A0">
            <w:pPr>
              <w:spacing w:beforeLines="20" w:before="48" w:afterLines="20" w:after="48"/>
              <w:jc w:val="center"/>
              <w:rPr>
                <w:rFonts w:ascii="Arial Narrow" w:hAnsi="Arial Narrow"/>
                <w:bCs/>
                <w:color w:val="000000"/>
                <w:sz w:val="18"/>
                <w:szCs w:val="18"/>
              </w:rPr>
            </w:pPr>
            <w:r w:rsidRPr="006768EF">
              <w:rPr>
                <w:rFonts w:ascii="Arial Narrow" w:hAnsi="Arial Narrow"/>
                <w:bCs/>
                <w:color w:val="000000"/>
                <w:sz w:val="18"/>
                <w:szCs w:val="18"/>
              </w:rPr>
              <w:t>0</w:t>
            </w:r>
          </w:p>
        </w:tc>
        <w:tc>
          <w:tcPr>
            <w:tcW w:w="900" w:type="dxa"/>
            <w:tcBorders>
              <w:bottom w:val="single" w:sz="12" w:space="0" w:color="auto"/>
              <w:right w:val="single" w:sz="12" w:space="0" w:color="auto"/>
            </w:tcBorders>
            <w:vAlign w:val="center"/>
          </w:tcPr>
          <w:p w14:paraId="78B1DECF" w14:textId="36813637" w:rsidR="0062084A" w:rsidRPr="006768EF" w:rsidRDefault="0062084A" w:rsidP="007161A0">
            <w:pPr>
              <w:spacing w:beforeLines="20" w:before="48" w:afterLines="20" w:after="48"/>
              <w:jc w:val="center"/>
              <w:rPr>
                <w:rFonts w:ascii="Arial Narrow" w:hAnsi="Arial Narrow"/>
                <w:bCs/>
                <w:color w:val="000000"/>
                <w:sz w:val="18"/>
                <w:szCs w:val="18"/>
              </w:rPr>
            </w:pPr>
            <w:r w:rsidRPr="006768EF">
              <w:rPr>
                <w:rFonts w:ascii="Arial Narrow" w:hAnsi="Arial Narrow"/>
                <w:bCs/>
                <w:color w:val="000000"/>
                <w:sz w:val="18"/>
                <w:szCs w:val="18"/>
              </w:rPr>
              <w:t>0</w:t>
            </w:r>
          </w:p>
        </w:tc>
        <w:tc>
          <w:tcPr>
            <w:tcW w:w="990" w:type="dxa"/>
            <w:tcBorders>
              <w:left w:val="single" w:sz="12" w:space="0" w:color="auto"/>
              <w:bottom w:val="single" w:sz="12" w:space="0" w:color="auto"/>
              <w:right w:val="single" w:sz="12" w:space="0" w:color="auto"/>
            </w:tcBorders>
            <w:vAlign w:val="center"/>
          </w:tcPr>
          <w:p w14:paraId="5ABDA568" w14:textId="72778219" w:rsidR="0062084A" w:rsidRPr="006768EF" w:rsidRDefault="002742F5" w:rsidP="007161A0">
            <w:pPr>
              <w:spacing w:beforeLines="20" w:before="48" w:afterLines="20" w:after="48"/>
              <w:jc w:val="center"/>
              <w:rPr>
                <w:rFonts w:ascii="Arial Narrow" w:hAnsi="Arial Narrow"/>
                <w:sz w:val="18"/>
                <w:szCs w:val="18"/>
              </w:rPr>
            </w:pPr>
            <w:r>
              <w:rPr>
                <w:rFonts w:ascii="Arial Narrow" w:hAnsi="Arial Narrow"/>
                <w:sz w:val="18"/>
                <w:szCs w:val="18"/>
              </w:rPr>
              <w:t>3,</w:t>
            </w:r>
            <w:r w:rsidR="001D4BD9">
              <w:rPr>
                <w:rFonts w:ascii="Arial Narrow" w:hAnsi="Arial Narrow"/>
                <w:sz w:val="18"/>
                <w:szCs w:val="18"/>
              </w:rPr>
              <w:t>513</w:t>
            </w:r>
          </w:p>
        </w:tc>
        <w:tc>
          <w:tcPr>
            <w:tcW w:w="1260" w:type="dxa"/>
            <w:tcBorders>
              <w:left w:val="single" w:sz="12" w:space="0" w:color="auto"/>
              <w:bottom w:val="single" w:sz="12" w:space="0" w:color="auto"/>
            </w:tcBorders>
            <w:vAlign w:val="center"/>
          </w:tcPr>
          <w:p w14:paraId="4C3128E4" w14:textId="6DC6F516" w:rsidR="0062084A" w:rsidRPr="006768EF" w:rsidRDefault="002742F5" w:rsidP="007161A0">
            <w:pPr>
              <w:spacing w:beforeLines="20" w:before="48" w:afterLines="20" w:after="48"/>
              <w:jc w:val="center"/>
              <w:rPr>
                <w:rFonts w:ascii="Arial Narrow" w:hAnsi="Arial Narrow"/>
                <w:sz w:val="18"/>
                <w:szCs w:val="18"/>
              </w:rPr>
            </w:pPr>
            <w:r>
              <w:rPr>
                <w:rFonts w:ascii="Arial Narrow" w:hAnsi="Arial Narrow"/>
                <w:sz w:val="18"/>
                <w:szCs w:val="18"/>
              </w:rPr>
              <w:t>1,</w:t>
            </w:r>
            <w:r w:rsidR="001D4BD9">
              <w:rPr>
                <w:rFonts w:ascii="Arial Narrow" w:hAnsi="Arial Narrow"/>
                <w:sz w:val="18"/>
                <w:szCs w:val="18"/>
              </w:rPr>
              <w:t>171</w:t>
            </w:r>
          </w:p>
        </w:tc>
      </w:tr>
      <w:tr w:rsidR="0062084A" w:rsidRPr="00C233FD" w14:paraId="402FA84D" w14:textId="14FAA2D9" w:rsidTr="007161A0">
        <w:tc>
          <w:tcPr>
            <w:tcW w:w="4575" w:type="dxa"/>
            <w:tcBorders>
              <w:top w:val="single" w:sz="12" w:space="0" w:color="auto"/>
              <w:bottom w:val="single" w:sz="12" w:space="0" w:color="auto"/>
            </w:tcBorders>
          </w:tcPr>
          <w:p w14:paraId="73BB46DA" w14:textId="77777777" w:rsidR="0062084A" w:rsidRPr="00C233FD" w:rsidRDefault="0062084A" w:rsidP="00C233FD">
            <w:pPr>
              <w:spacing w:beforeLines="20" w:before="48" w:afterLines="20" w:after="48"/>
              <w:rPr>
                <w:rFonts w:ascii="Arial Narrow" w:hAnsi="Arial Narrow"/>
                <w:b/>
                <w:sz w:val="18"/>
                <w:szCs w:val="18"/>
              </w:rPr>
            </w:pPr>
            <w:r w:rsidRPr="00C233FD">
              <w:rPr>
                <w:rFonts w:ascii="Arial Narrow" w:hAnsi="Arial Narrow"/>
                <w:b/>
                <w:sz w:val="18"/>
                <w:szCs w:val="18"/>
              </w:rPr>
              <w:t>Industry Burden, Total</w:t>
            </w:r>
          </w:p>
        </w:tc>
        <w:tc>
          <w:tcPr>
            <w:tcW w:w="900" w:type="dxa"/>
            <w:tcBorders>
              <w:top w:val="single" w:sz="12" w:space="0" w:color="auto"/>
              <w:bottom w:val="single" w:sz="12" w:space="0" w:color="auto"/>
            </w:tcBorders>
            <w:vAlign w:val="center"/>
          </w:tcPr>
          <w:p w14:paraId="7299FBA6" w14:textId="382BE242" w:rsidR="0062084A" w:rsidRPr="00C233FD" w:rsidRDefault="0062084A" w:rsidP="007161A0">
            <w:pPr>
              <w:spacing w:beforeLines="20" w:before="48" w:afterLines="20" w:after="48"/>
              <w:jc w:val="center"/>
              <w:rPr>
                <w:rFonts w:ascii="Arial Narrow" w:hAnsi="Arial Narrow"/>
                <w:b/>
                <w:sz w:val="18"/>
                <w:szCs w:val="18"/>
              </w:rPr>
            </w:pPr>
            <w:r w:rsidRPr="006768EF">
              <w:rPr>
                <w:rFonts w:ascii="Arial Narrow" w:hAnsi="Arial Narrow"/>
                <w:b/>
                <w:bCs/>
                <w:color w:val="000000"/>
                <w:sz w:val="18"/>
                <w:szCs w:val="18"/>
              </w:rPr>
              <w:t>3,</w:t>
            </w:r>
            <w:r w:rsidR="001D4BD9">
              <w:rPr>
                <w:rFonts w:ascii="Arial Narrow" w:hAnsi="Arial Narrow"/>
                <w:b/>
                <w:bCs/>
                <w:color w:val="000000"/>
                <w:sz w:val="18"/>
                <w:szCs w:val="18"/>
              </w:rPr>
              <w:t>629</w:t>
            </w:r>
          </w:p>
        </w:tc>
        <w:tc>
          <w:tcPr>
            <w:tcW w:w="900" w:type="dxa"/>
            <w:tcBorders>
              <w:top w:val="single" w:sz="12" w:space="0" w:color="auto"/>
              <w:bottom w:val="single" w:sz="12" w:space="0" w:color="auto"/>
            </w:tcBorders>
            <w:vAlign w:val="center"/>
          </w:tcPr>
          <w:p w14:paraId="18581175" w14:textId="4DA1F33F" w:rsidR="0062084A" w:rsidRPr="00C233FD" w:rsidRDefault="0062084A" w:rsidP="007161A0">
            <w:pPr>
              <w:spacing w:beforeLines="20" w:before="48" w:afterLines="20" w:after="48"/>
              <w:jc w:val="center"/>
              <w:rPr>
                <w:rFonts w:ascii="Arial Narrow" w:hAnsi="Arial Narrow"/>
                <w:b/>
                <w:sz w:val="18"/>
                <w:szCs w:val="18"/>
              </w:rPr>
            </w:pPr>
            <w:r w:rsidRPr="006768EF">
              <w:rPr>
                <w:rFonts w:ascii="Arial Narrow" w:hAnsi="Arial Narrow"/>
                <w:b/>
                <w:bCs/>
                <w:color w:val="000000"/>
                <w:sz w:val="18"/>
                <w:szCs w:val="18"/>
              </w:rPr>
              <w:t>0</w:t>
            </w:r>
          </w:p>
        </w:tc>
        <w:tc>
          <w:tcPr>
            <w:tcW w:w="900" w:type="dxa"/>
            <w:tcBorders>
              <w:top w:val="single" w:sz="12" w:space="0" w:color="auto"/>
              <w:bottom w:val="single" w:sz="12" w:space="0" w:color="auto"/>
              <w:right w:val="single" w:sz="12" w:space="0" w:color="auto"/>
            </w:tcBorders>
            <w:vAlign w:val="center"/>
          </w:tcPr>
          <w:p w14:paraId="05A27C9D" w14:textId="032590FD" w:rsidR="0062084A" w:rsidRPr="00C233FD" w:rsidRDefault="0062084A" w:rsidP="007161A0">
            <w:pPr>
              <w:spacing w:beforeLines="20" w:before="48" w:afterLines="20" w:after="48"/>
              <w:jc w:val="center"/>
              <w:rPr>
                <w:rFonts w:ascii="Arial Narrow" w:hAnsi="Arial Narrow"/>
                <w:b/>
                <w:sz w:val="18"/>
                <w:szCs w:val="18"/>
              </w:rPr>
            </w:pPr>
            <w:r w:rsidRPr="006768EF">
              <w:rPr>
                <w:rFonts w:ascii="Arial Narrow" w:hAnsi="Arial Narrow"/>
                <w:b/>
                <w:bCs/>
                <w:color w:val="000000"/>
                <w:sz w:val="18"/>
                <w:szCs w:val="18"/>
              </w:rPr>
              <w:t>0</w:t>
            </w:r>
          </w:p>
        </w:tc>
        <w:tc>
          <w:tcPr>
            <w:tcW w:w="990" w:type="dxa"/>
            <w:tcBorders>
              <w:top w:val="single" w:sz="12" w:space="0" w:color="auto"/>
              <w:left w:val="single" w:sz="12" w:space="0" w:color="auto"/>
              <w:bottom w:val="single" w:sz="12" w:space="0" w:color="auto"/>
              <w:right w:val="single" w:sz="12" w:space="0" w:color="auto"/>
            </w:tcBorders>
            <w:vAlign w:val="center"/>
          </w:tcPr>
          <w:p w14:paraId="459354F9" w14:textId="7215CFB9" w:rsidR="0062084A" w:rsidRPr="00C233FD" w:rsidRDefault="0062084A" w:rsidP="007161A0">
            <w:pPr>
              <w:spacing w:beforeLines="20" w:before="48" w:afterLines="20" w:after="48"/>
              <w:jc w:val="center"/>
              <w:rPr>
                <w:rFonts w:ascii="Arial Narrow" w:hAnsi="Arial Narrow"/>
                <w:b/>
                <w:sz w:val="18"/>
                <w:szCs w:val="18"/>
              </w:rPr>
            </w:pPr>
            <w:r w:rsidRPr="006768EF">
              <w:rPr>
                <w:rFonts w:ascii="Arial Narrow" w:hAnsi="Arial Narrow"/>
                <w:b/>
                <w:sz w:val="18"/>
                <w:szCs w:val="18"/>
              </w:rPr>
              <w:t>3,</w:t>
            </w:r>
            <w:r w:rsidR="001D4BD9">
              <w:rPr>
                <w:rFonts w:ascii="Arial Narrow" w:hAnsi="Arial Narrow"/>
                <w:b/>
                <w:sz w:val="18"/>
                <w:szCs w:val="18"/>
              </w:rPr>
              <w:t>629</w:t>
            </w:r>
          </w:p>
        </w:tc>
        <w:tc>
          <w:tcPr>
            <w:tcW w:w="1260" w:type="dxa"/>
            <w:tcBorders>
              <w:top w:val="single" w:sz="12" w:space="0" w:color="auto"/>
              <w:left w:val="single" w:sz="12" w:space="0" w:color="auto"/>
              <w:bottom w:val="single" w:sz="12" w:space="0" w:color="auto"/>
            </w:tcBorders>
            <w:vAlign w:val="center"/>
          </w:tcPr>
          <w:p w14:paraId="6E462783" w14:textId="49CEDE66" w:rsidR="0062084A" w:rsidRPr="006768EF" w:rsidRDefault="0062084A" w:rsidP="007161A0">
            <w:pPr>
              <w:spacing w:beforeLines="20" w:before="48" w:afterLines="20" w:after="48"/>
              <w:jc w:val="center"/>
              <w:rPr>
                <w:rFonts w:ascii="Arial Narrow" w:hAnsi="Arial Narrow"/>
                <w:b/>
                <w:sz w:val="18"/>
                <w:szCs w:val="18"/>
              </w:rPr>
            </w:pPr>
            <w:r>
              <w:rPr>
                <w:rFonts w:ascii="Arial Narrow" w:hAnsi="Arial Narrow"/>
                <w:b/>
                <w:sz w:val="18"/>
                <w:szCs w:val="18"/>
              </w:rPr>
              <w:t>1,</w:t>
            </w:r>
            <w:r w:rsidR="001D4BD9">
              <w:rPr>
                <w:rFonts w:ascii="Arial Narrow" w:hAnsi="Arial Narrow"/>
                <w:b/>
                <w:sz w:val="18"/>
                <w:szCs w:val="18"/>
              </w:rPr>
              <w:t>210</w:t>
            </w:r>
          </w:p>
        </w:tc>
      </w:tr>
    </w:tbl>
    <w:p w14:paraId="3D5A7649" w14:textId="77777777" w:rsidR="00126678" w:rsidRDefault="00126678" w:rsidP="00126678"/>
    <w:p w14:paraId="5C6DD6DF" w14:textId="2B332297" w:rsidR="00126678" w:rsidRDefault="00B347AD" w:rsidP="00AC44CA">
      <w:pPr>
        <w:pStyle w:val="Heading2"/>
      </w:pPr>
      <w:r>
        <w:t>Reasons for Change in Burden</w:t>
      </w:r>
    </w:p>
    <w:p w14:paraId="7206D1A4" w14:textId="3C9AFE56" w:rsidR="00126678" w:rsidRDefault="00126678" w:rsidP="00126678">
      <w:r>
        <w:t>This is a new data collection activity resulting from the Frank R. Lautenberg Chemical Safety for the 21</w:t>
      </w:r>
      <w:r w:rsidRPr="00126678">
        <w:rPr>
          <w:vertAlign w:val="superscript"/>
        </w:rPr>
        <w:t>st</w:t>
      </w:r>
      <w:r>
        <w:t xml:space="preserve"> Century Act, which requires additional responsibilities of EPA in maintaining the TSCA Inventory, and imposes reporting requirements on regulated entities wishing to maintain claims of confidentiality for chemical substance identity. As such, the change being implemented in this ICR period is the addition of new burden and cost </w:t>
      </w:r>
      <w:r w:rsidR="00A11A1C">
        <w:t xml:space="preserve">for these activities, as presented in </w:t>
      </w:r>
      <w:r w:rsidR="00A11A1C">
        <w:fldChar w:fldCharType="begin"/>
      </w:r>
      <w:r w:rsidR="00A11A1C">
        <w:instrText xml:space="preserve"> REF _Ref526496172 \h </w:instrText>
      </w:r>
      <w:r w:rsidR="00A11A1C">
        <w:fldChar w:fldCharType="separate"/>
      </w:r>
      <w:r w:rsidR="005C4A2E">
        <w:t xml:space="preserve">Table </w:t>
      </w:r>
      <w:r w:rsidR="005C4A2E">
        <w:rPr>
          <w:noProof/>
        </w:rPr>
        <w:t>9</w:t>
      </w:r>
      <w:r w:rsidR="00A11A1C">
        <w:fldChar w:fldCharType="end"/>
      </w:r>
      <w:r w:rsidR="00A11A1C">
        <w:t>. The total burden to industry for this ICR period is 3,</w:t>
      </w:r>
      <w:r w:rsidR="005C78C2">
        <w:t>629</w:t>
      </w:r>
      <w:r w:rsidR="00A11A1C">
        <w:t xml:space="preserve"> hours, all occurring in during a </w:t>
      </w:r>
      <w:r w:rsidR="00F07528">
        <w:t>9</w:t>
      </w:r>
      <w:r w:rsidR="0057323F">
        <w:t>0</w:t>
      </w:r>
      <w:r w:rsidR="00A11A1C">
        <w:t>-day reporting period after the rule is enacted.</w:t>
      </w:r>
    </w:p>
    <w:p w14:paraId="738695E0" w14:textId="77777777" w:rsidR="00126678" w:rsidRDefault="00126678" w:rsidP="00126678"/>
    <w:p w14:paraId="5FEA0ABD" w14:textId="08CE6161" w:rsidR="00A11A1C" w:rsidRDefault="00A11A1C" w:rsidP="00A11A1C">
      <w:pPr>
        <w:pStyle w:val="Heading2"/>
      </w:pPr>
      <w:r>
        <w:t>Burden Statement</w:t>
      </w:r>
    </w:p>
    <w:p w14:paraId="0C01C649" w14:textId="4567DDF2" w:rsidR="00A11A1C" w:rsidRDefault="00A11A1C" w:rsidP="00A11A1C">
      <w:r>
        <w:t>The industry burden for this collection of information</w:t>
      </w:r>
      <w:r w:rsidR="00B347AD">
        <w:t xml:space="preserve"> annually </w:t>
      </w:r>
      <w:r>
        <w:t xml:space="preserve">is estimated to average </w:t>
      </w:r>
      <w:r w:rsidR="00B347AD">
        <w:t>1.</w:t>
      </w:r>
      <w:r w:rsidR="005C78C2">
        <w:t xml:space="preserve">688 </w:t>
      </w:r>
      <w:r>
        <w:t xml:space="preserve">hours per </w:t>
      </w:r>
      <w:r w:rsidR="00C1374F">
        <w:t xml:space="preserve">average </w:t>
      </w:r>
      <w:r>
        <w:t xml:space="preserve">response </w:t>
      </w:r>
      <w:r w:rsidR="00C1374F">
        <w:t xml:space="preserve">for </w:t>
      </w:r>
      <w:r>
        <w:t xml:space="preserve">referencing </w:t>
      </w:r>
      <w:r w:rsidR="00C1374F">
        <w:t xml:space="preserve">a </w:t>
      </w:r>
      <w:r>
        <w:t xml:space="preserve">previous substantiation (for an average of </w:t>
      </w:r>
      <w:r w:rsidR="003B54E8">
        <w:t>f</w:t>
      </w:r>
      <w:r w:rsidR="005C78C2">
        <w:t>our</w:t>
      </w:r>
      <w:r w:rsidR="003B54E8">
        <w:t xml:space="preserve"> </w:t>
      </w:r>
      <w:r>
        <w:t xml:space="preserve">chemicals per </w:t>
      </w:r>
      <w:r w:rsidR="00C1374F">
        <w:t>company</w:t>
      </w:r>
      <w:r>
        <w:t xml:space="preserve">) and </w:t>
      </w:r>
      <w:r w:rsidR="005C78C2">
        <w:t>11.371</w:t>
      </w:r>
      <w:r w:rsidR="00B347AD">
        <w:t xml:space="preserve"> </w:t>
      </w:r>
      <w:r>
        <w:t xml:space="preserve">hours per </w:t>
      </w:r>
      <w:r w:rsidR="00C1374F">
        <w:t xml:space="preserve">average </w:t>
      </w:r>
      <w:r>
        <w:t xml:space="preserve">response </w:t>
      </w:r>
      <w:r w:rsidR="00C1374F">
        <w:t xml:space="preserve">for </w:t>
      </w:r>
      <w:r>
        <w:t xml:space="preserve">providing </w:t>
      </w:r>
      <w:r w:rsidR="00C1374F">
        <w:t xml:space="preserve">full </w:t>
      </w:r>
      <w:r>
        <w:t xml:space="preserve">substantiation (for an average of </w:t>
      </w:r>
      <w:r w:rsidR="005C78C2">
        <w:t>27</w:t>
      </w:r>
      <w:r>
        <w:t xml:space="preserve"> chemicals per </w:t>
      </w:r>
      <w:r w:rsidR="00C1374F">
        <w:t>company</w:t>
      </w:r>
      <w:r>
        <w:t>). An Agency may not conduct or sponsor such a request and a person or facility is not required to respond to a collection of information unless it displays a currently valid OMB control number. The OMB control numbers for EPA’s regulations in title 40 of the CD</w:t>
      </w:r>
      <w:r w:rsidR="004230E2">
        <w:t>R</w:t>
      </w:r>
      <w:r>
        <w:t>, after appearing in the Federal Register, are listed in 40 CFR part 9 and included on the related collection instrument of form, if applicable.</w:t>
      </w:r>
    </w:p>
    <w:p w14:paraId="03319216" w14:textId="77777777" w:rsidR="00A11A1C" w:rsidRDefault="00A11A1C" w:rsidP="00A11A1C"/>
    <w:p w14:paraId="39F53146" w14:textId="6DFA4B14" w:rsidR="00A11A1C" w:rsidRPr="002B1022" w:rsidRDefault="00A11A1C" w:rsidP="00F07528">
      <w:pPr>
        <w:rPr>
          <w:rFonts w:cs="Times New Roman"/>
        </w:rPr>
      </w:pPr>
      <w:r w:rsidRPr="002B1022">
        <w:rPr>
          <w:rFonts w:cs="Times New Roman"/>
        </w:rPr>
        <w:t xml:space="preserve">The Agency has established a public docket for </w:t>
      </w:r>
      <w:r>
        <w:rPr>
          <w:rFonts w:cs="Times New Roman"/>
        </w:rPr>
        <w:t xml:space="preserve">the rulemaking that includes </w:t>
      </w:r>
      <w:r w:rsidRPr="002B1022">
        <w:rPr>
          <w:rFonts w:cs="Times New Roman"/>
        </w:rPr>
        <w:t xml:space="preserve">this ICR under Docket ID No. </w:t>
      </w:r>
      <w:r w:rsidRPr="00E02B0B">
        <w:rPr>
          <w:rFonts w:cs="Times New Roman"/>
        </w:rPr>
        <w:t>EPA-HQ-OPPT-</w:t>
      </w:r>
      <w:r w:rsidR="00963561" w:rsidRPr="00963561">
        <w:rPr>
          <w:rFonts w:cs="Times New Roman"/>
        </w:rPr>
        <w:t>2018-0320</w:t>
      </w:r>
      <w:r w:rsidR="00E61EE7">
        <w:rPr>
          <w:rFonts w:cs="Times New Roman"/>
        </w:rPr>
        <w:t xml:space="preserve"> </w:t>
      </w:r>
      <w:r w:rsidRPr="002B1022">
        <w:rPr>
          <w:rFonts w:cs="Times New Roman"/>
        </w:rPr>
        <w:t xml:space="preserve">which is available for online viewing at </w:t>
      </w:r>
      <w:hyperlink r:id="rId15" w:history="1">
        <w:r w:rsidRPr="00292829">
          <w:rPr>
            <w:rFonts w:cs="Times New Roman"/>
            <w:i/>
          </w:rPr>
          <w:t>http://www.regulations.gov</w:t>
        </w:r>
      </w:hyperlink>
      <w:r w:rsidRPr="002B1022">
        <w:rPr>
          <w:rFonts w:cs="Times New Roman"/>
        </w:rPr>
        <w:t xml:space="preserve">, or in-person viewing at the Pollution Prevention and Toxics Docket in </w:t>
      </w:r>
      <w:r>
        <w:rPr>
          <w:rFonts w:cs="Times New Roman"/>
        </w:rPr>
        <w:t>EPA</w:t>
      </w:r>
      <w:r w:rsidRPr="002B1022">
        <w:rPr>
          <w:rFonts w:cs="Times New Roman"/>
        </w:rPr>
        <w:t xml:space="preserve"> Docket Center (EPA/DC). </w:t>
      </w:r>
      <w:r>
        <w:rPr>
          <w:rFonts w:cs="Times New Roman"/>
        </w:rPr>
        <w:t>EPA</w:t>
      </w:r>
      <w:r w:rsidRPr="002B1022">
        <w:rPr>
          <w:rFonts w:cs="Times New Roman"/>
        </w:rPr>
        <w:t xml:space="preserve">/DC Public Reading Room is located in the William Jefferson Clinton (WJC) West Building, Room 3334, 1301 Constitution Ave., N.W., Washington, DC. </w:t>
      </w:r>
      <w:r>
        <w:rPr>
          <w:rFonts w:cs="Times New Roman"/>
        </w:rPr>
        <w:t>EPA</w:t>
      </w:r>
      <w:r w:rsidRPr="002B1022">
        <w:rPr>
          <w:rFonts w:cs="Times New Roman"/>
        </w:rPr>
        <w:t xml:space="preserve">/DC Public Reading Room is open from 8:30 a.m. to 4:30 p.m., Monday through Friday, excluding legal holidays. The telephone number for </w:t>
      </w:r>
      <w:r>
        <w:rPr>
          <w:rFonts w:cs="Times New Roman"/>
        </w:rPr>
        <w:t>EPA</w:t>
      </w:r>
      <w:r w:rsidRPr="002B1022">
        <w:rPr>
          <w:rFonts w:cs="Times New Roman"/>
        </w:rPr>
        <w:t>/DC Public Reading Room is (202) 566-1744, and the telephone number for the Pollution Prevention and Toxics Docket is (202) 566-0280.</w:t>
      </w:r>
    </w:p>
    <w:p w14:paraId="0E701C54" w14:textId="77777777" w:rsidR="00A11A1C" w:rsidRPr="002B1022" w:rsidRDefault="00A11A1C" w:rsidP="00A11A1C">
      <w:pPr>
        <w:ind w:left="720"/>
        <w:rPr>
          <w:rFonts w:cs="Times New Roman"/>
        </w:rPr>
      </w:pPr>
    </w:p>
    <w:p w14:paraId="7DFB8A71" w14:textId="21899F77" w:rsidR="00A11A1C" w:rsidRPr="00292829" w:rsidRDefault="00A11A1C" w:rsidP="00F07528">
      <w:pPr>
        <w:rPr>
          <w:rFonts w:cs="Times New Roman"/>
        </w:rPr>
      </w:pPr>
      <w:r w:rsidRPr="002B1022">
        <w:rPr>
          <w:rFonts w:cs="Times New Roman"/>
        </w:rPr>
        <w:t xml:space="preserve">You may submit comments regarding the Agency's need for this information, the accuracy of the provided burden estimates and any suggested methods for minimizing respondent burden, including the use of automated collection techniques. Submit your comments, referencing </w:t>
      </w:r>
      <w:r w:rsidR="008B4C2E">
        <w:rPr>
          <w:rFonts w:cs="Times New Roman"/>
        </w:rPr>
        <w:t>EPA ICR No. 2594.01</w:t>
      </w:r>
      <w:r w:rsidR="00E61EE7">
        <w:rPr>
          <w:rFonts w:cs="Times New Roman"/>
        </w:rPr>
        <w:t xml:space="preserve"> </w:t>
      </w:r>
      <w:r w:rsidRPr="002B1022">
        <w:rPr>
          <w:rFonts w:cs="Times New Roman"/>
        </w:rPr>
        <w:t xml:space="preserve">and OMB Control No. </w:t>
      </w:r>
      <w:r w:rsidRPr="008C5E78">
        <w:rPr>
          <w:rFonts w:cs="Times New Roman"/>
        </w:rPr>
        <w:t>2070</w:t>
      </w:r>
      <w:r>
        <w:rPr>
          <w:rFonts w:cs="Times New Roman"/>
        </w:rPr>
        <w:t>-</w:t>
      </w:r>
      <w:r w:rsidR="00441A43">
        <w:rPr>
          <w:rFonts w:cs="Times New Roman"/>
        </w:rPr>
        <w:t>NEW</w:t>
      </w:r>
      <w:r w:rsidRPr="008C5E78">
        <w:rPr>
          <w:rFonts w:cs="Times New Roman"/>
        </w:rPr>
        <w:t xml:space="preserve">, </w:t>
      </w:r>
      <w:r w:rsidRPr="002B1022">
        <w:rPr>
          <w:rFonts w:cs="Times New Roman"/>
        </w:rPr>
        <w:t xml:space="preserve">to </w:t>
      </w:r>
      <w:r>
        <w:rPr>
          <w:rFonts w:cs="Times New Roman"/>
        </w:rPr>
        <w:t xml:space="preserve">both </w:t>
      </w:r>
      <w:r w:rsidRPr="002B1022">
        <w:rPr>
          <w:rFonts w:cs="Times New Roman"/>
        </w:rPr>
        <w:t xml:space="preserve">(1) EPA online using </w:t>
      </w:r>
      <w:hyperlink r:id="rId16" w:history="1">
        <w:r w:rsidRPr="002B1022">
          <w:rPr>
            <w:rFonts w:cs="Times New Roman"/>
          </w:rPr>
          <w:t>http://www.regulations.gov</w:t>
        </w:r>
      </w:hyperlink>
      <w:r w:rsidRPr="002B1022">
        <w:rPr>
          <w:rFonts w:cs="Times New Roman"/>
        </w:rPr>
        <w:t xml:space="preserve"> (our preferred method), or by mail to: Pollution Prevention and Toxics Docket, Environmental Protection Agency Docket Center (EPA/DC), Mailcode: 28221T, 1200 Pennsylvania Ave., N.W., Washington, DC 20460, and (2) OMB </w:t>
      </w:r>
      <w:r w:rsidRPr="00292829">
        <w:rPr>
          <w:rFonts w:cs="Times New Roman"/>
        </w:rPr>
        <w:t xml:space="preserve">via email to </w:t>
      </w:r>
      <w:r w:rsidRPr="00292829">
        <w:rPr>
          <w:rFonts w:cs="Times New Roman"/>
          <w:i/>
        </w:rPr>
        <w:t>oira_submission@omb.eop.gov</w:t>
      </w:r>
      <w:r w:rsidRPr="00292829">
        <w:rPr>
          <w:rFonts w:cs="Times New Roman"/>
        </w:rPr>
        <w:t>. Address comments to OMB Desk Officer for EPA.</w:t>
      </w:r>
    </w:p>
    <w:p w14:paraId="1A91A169" w14:textId="77777777" w:rsidR="00A11A1C" w:rsidRDefault="00A11A1C" w:rsidP="00126678"/>
    <w:p w14:paraId="16CCF758" w14:textId="77777777" w:rsidR="00E2293D" w:rsidRDefault="00E2293D">
      <w:pPr>
        <w:spacing w:after="200" w:line="276" w:lineRule="auto"/>
        <w:rPr>
          <w:rFonts w:cs="Arial"/>
          <w:b/>
          <w:bCs/>
          <w:kern w:val="32"/>
          <w:szCs w:val="32"/>
        </w:rPr>
      </w:pPr>
      <w:r>
        <w:br w:type="page"/>
      </w:r>
    </w:p>
    <w:p w14:paraId="37A0B501" w14:textId="4959D854" w:rsidR="00126678" w:rsidRPr="00126678" w:rsidRDefault="00126678" w:rsidP="00C500B5">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rPr>
      </w:pPr>
      <w:r>
        <w:t>REFERENCES</w:t>
      </w:r>
    </w:p>
    <w:p w14:paraId="020081EA" w14:textId="2FEE2F82" w:rsidR="00F07528" w:rsidRPr="006C2938" w:rsidRDefault="00126678" w:rsidP="006C2938">
      <w:pPr>
        <w:pStyle w:val="Bibliography"/>
        <w:rPr>
          <w:rFonts w:cs="Times New Roman"/>
        </w:rPr>
      </w:pPr>
      <w:r>
        <w:fldChar w:fldCharType="begin"/>
      </w:r>
      <w:r w:rsidR="00F07528">
        <w:instrText xml:space="preserve"> ADDIN ZOTERO_BIBL {} CSL_BIBLIOGRAPHY </w:instrText>
      </w:r>
      <w:r>
        <w:fldChar w:fldCharType="separate"/>
      </w:r>
      <w:r w:rsidR="00F07528" w:rsidRPr="00F07528">
        <w:rPr>
          <w:rFonts w:cs="Times New Roman"/>
        </w:rPr>
        <w:t xml:space="preserve">Environmental Protection Agency (EPA). (2002). </w:t>
      </w:r>
      <w:r w:rsidR="00F07528" w:rsidRPr="00F07528">
        <w:rPr>
          <w:rFonts w:cs="Times New Roman"/>
          <w:i/>
          <w:iCs/>
        </w:rPr>
        <w:t>Revised Economic Analysis for the Amended Inventory Update Rule: Final Report</w:t>
      </w:r>
      <w:r w:rsidR="00F07528" w:rsidRPr="00241E37">
        <w:rPr>
          <w:rFonts w:cs="Times New Roman"/>
        </w:rPr>
        <w:t>. Retrieved from https://www.regulations.gov/document?D=EP</w:t>
      </w:r>
      <w:r w:rsidR="00F07528" w:rsidRPr="006C2938">
        <w:rPr>
          <w:rFonts w:cs="Times New Roman"/>
        </w:rPr>
        <w:t>A-HQ-OPPT-2014-0650-0011</w:t>
      </w:r>
    </w:p>
    <w:p w14:paraId="688494BE" w14:textId="77777777" w:rsidR="00F07528" w:rsidRPr="006C2938" w:rsidRDefault="00F07528" w:rsidP="006C2938">
      <w:pPr>
        <w:pStyle w:val="Bibliography"/>
        <w:rPr>
          <w:rFonts w:cs="Times New Roman"/>
        </w:rPr>
      </w:pPr>
      <w:r w:rsidRPr="006C2938">
        <w:rPr>
          <w:rFonts w:cs="Times New Roman"/>
        </w:rPr>
        <w:t xml:space="preserve">EPA. (2009). </w:t>
      </w:r>
      <w:r w:rsidRPr="006C2938">
        <w:rPr>
          <w:rFonts w:cs="Times New Roman"/>
          <w:i/>
          <w:iCs/>
        </w:rPr>
        <w:t>ICR Handbook: EPA’s Guide to Writing Information Collection Requests under the Paperwork Reduction Act of 1995</w:t>
      </w:r>
      <w:r w:rsidRPr="006C2938">
        <w:rPr>
          <w:rFonts w:cs="Times New Roman"/>
        </w:rPr>
        <w:t>. Retrieved from https://www.pdffiller.com/10247637--ICR-Handbook---Environmental-Protection-Agency-</w:t>
      </w:r>
    </w:p>
    <w:p w14:paraId="414B39B5" w14:textId="77777777" w:rsidR="00F07528" w:rsidRPr="006C2938" w:rsidRDefault="00F07528" w:rsidP="006C2938">
      <w:pPr>
        <w:pStyle w:val="Bibliography"/>
        <w:rPr>
          <w:rFonts w:cs="Times New Roman"/>
        </w:rPr>
      </w:pPr>
      <w:r w:rsidRPr="006C2938">
        <w:rPr>
          <w:rFonts w:cs="Times New Roman"/>
        </w:rPr>
        <w:t xml:space="preserve">EPA. (2017). </w:t>
      </w:r>
      <w:r w:rsidRPr="006C2938">
        <w:rPr>
          <w:rFonts w:cs="Times New Roman"/>
          <w:i/>
          <w:iCs/>
        </w:rPr>
        <w:t>Burden and Cost Report for the Final Rule: TSCA Inventory Notification Requirements. Docket Number EPA-HQ-OPPT-2016-0426 (August 11, 2017)</w:t>
      </w:r>
      <w:r w:rsidRPr="006C2938">
        <w:rPr>
          <w:rFonts w:cs="Times New Roman"/>
        </w:rPr>
        <w:t>.</w:t>
      </w:r>
    </w:p>
    <w:p w14:paraId="7DF1A8D2" w14:textId="77777777" w:rsidR="00F07528" w:rsidRPr="006C2938" w:rsidRDefault="00F07528" w:rsidP="006C2938">
      <w:pPr>
        <w:pStyle w:val="Bibliography"/>
        <w:rPr>
          <w:rFonts w:cs="Times New Roman"/>
        </w:rPr>
      </w:pPr>
      <w:r w:rsidRPr="006C2938">
        <w:rPr>
          <w:rFonts w:cs="Times New Roman"/>
        </w:rPr>
        <w:t xml:space="preserve">EPA. (2018, August 30). </w:t>
      </w:r>
      <w:r w:rsidRPr="006C2938">
        <w:rPr>
          <w:rFonts w:cs="Times New Roman"/>
          <w:i/>
          <w:iCs/>
        </w:rPr>
        <w:t>NOA Submissions datafiles delivered from William Burlew (Industrial Chemistry Branch) to Laura Nielsen (Economics and Policy Analysis Branch) on August 30, 2018 via CBI G Drive. Modified to develop the EPAB 2018 Generic NOA Datafile, internal EPA interim release (November 4, 2018)</w:t>
      </w:r>
      <w:r w:rsidRPr="006C2938">
        <w:rPr>
          <w:rFonts w:cs="Times New Roman"/>
        </w:rPr>
        <w:t>.</w:t>
      </w:r>
    </w:p>
    <w:p w14:paraId="3AE678D9" w14:textId="77777777" w:rsidR="00F07528" w:rsidRPr="006C2938" w:rsidRDefault="00F07528" w:rsidP="006C2938">
      <w:pPr>
        <w:pStyle w:val="Bibliography"/>
        <w:rPr>
          <w:rFonts w:cs="Times New Roman"/>
        </w:rPr>
      </w:pPr>
      <w:r w:rsidRPr="006C2938">
        <w:rPr>
          <w:rFonts w:cs="Times New Roman"/>
        </w:rPr>
        <w:t>Office of Personnel Management (OPM). (2017). Pay &amp; Leave: Salaries &amp; Wages: Salary Table 2017-DCB. Retrieved from www.opm.gov/policy-data-oversight/pay-leave/salaries-wages/salary-tables/17Tables/html/DCB_h.aspx</w:t>
      </w:r>
    </w:p>
    <w:p w14:paraId="36B700B6" w14:textId="77777777" w:rsidR="00F07528" w:rsidRPr="006C2938" w:rsidRDefault="00F07528" w:rsidP="006C2938">
      <w:pPr>
        <w:pStyle w:val="Bibliography"/>
        <w:rPr>
          <w:rFonts w:cs="Times New Roman"/>
        </w:rPr>
      </w:pPr>
      <w:r w:rsidRPr="006C2938">
        <w:rPr>
          <w:rFonts w:cs="Times New Roman"/>
        </w:rPr>
        <w:t xml:space="preserve">Rice, C. (2002). </w:t>
      </w:r>
      <w:r w:rsidRPr="006C2938">
        <w:rPr>
          <w:rFonts w:cs="Times New Roman"/>
          <w:i/>
          <w:iCs/>
        </w:rPr>
        <w:t>Wage Rates for Economic Analysis of the Toxics Release Inventory Program</w:t>
      </w:r>
      <w:r w:rsidRPr="006C2938">
        <w:rPr>
          <w:rFonts w:cs="Times New Roman"/>
        </w:rPr>
        <w:t>. Retrieved from https://www.regulations.gov/document?D=EPA-HQ-OPPT-2014-0650-0005</w:t>
      </w:r>
    </w:p>
    <w:p w14:paraId="25A324D4" w14:textId="77777777" w:rsidR="00F07528" w:rsidRPr="006C2938" w:rsidRDefault="00F07528" w:rsidP="006C2938">
      <w:pPr>
        <w:pStyle w:val="Bibliography"/>
        <w:rPr>
          <w:rFonts w:cs="Times New Roman"/>
        </w:rPr>
      </w:pPr>
      <w:r w:rsidRPr="006C2938">
        <w:rPr>
          <w:rFonts w:cs="Times New Roman"/>
        </w:rPr>
        <w:t xml:space="preserve">Williamson, T. (2016). Email from Tracy Williamson to Cody Rice and Laura Nielsen. October 26, 2016. </w:t>
      </w:r>
      <w:r w:rsidRPr="006C2938">
        <w:rPr>
          <w:rFonts w:cs="Times New Roman"/>
          <w:i/>
          <w:iCs/>
        </w:rPr>
        <w:t>RE: INV Rule - Internal Resources.</w:t>
      </w:r>
    </w:p>
    <w:p w14:paraId="5DE43AC9" w14:textId="7EC8A344" w:rsidR="00E2293D" w:rsidRDefault="00126678" w:rsidP="00BA778E">
      <w:pPr>
        <w:pStyle w:val="Reference"/>
        <w:spacing w:after="240"/>
        <w:ind w:left="0" w:firstLine="0"/>
      </w:pPr>
      <w:r>
        <w:fldChar w:fldCharType="end"/>
      </w:r>
    </w:p>
    <w:sectPr w:rsidR="00E2293D" w:rsidSect="00442314">
      <w:headerReference w:type="even" r:id="rId17"/>
      <w:footerReference w:type="default" r:id="rId18"/>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156E9" w14:textId="77777777" w:rsidR="00441A43" w:rsidRDefault="00441A43" w:rsidP="004D4A44">
      <w:r>
        <w:separator/>
      </w:r>
    </w:p>
    <w:p w14:paraId="08CFFDEB" w14:textId="77777777" w:rsidR="00441A43" w:rsidRDefault="00441A43"/>
  </w:endnote>
  <w:endnote w:type="continuationSeparator" w:id="0">
    <w:p w14:paraId="52B8D0E7" w14:textId="77777777" w:rsidR="00441A43" w:rsidRDefault="00441A43" w:rsidP="004D4A44">
      <w:r>
        <w:continuationSeparator/>
      </w:r>
    </w:p>
    <w:p w14:paraId="17330BA8" w14:textId="77777777" w:rsidR="00441A43" w:rsidRDefault="00441A43"/>
  </w:endnote>
  <w:endnote w:type="continuationNotice" w:id="1">
    <w:p w14:paraId="33AB6082" w14:textId="77777777" w:rsidR="00441A43" w:rsidRDefault="00441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69141"/>
      <w:docPartObj>
        <w:docPartGallery w:val="Page Numbers (Bottom of Page)"/>
        <w:docPartUnique/>
      </w:docPartObj>
    </w:sdtPr>
    <w:sdtEndPr>
      <w:rPr>
        <w:noProof/>
      </w:rPr>
    </w:sdtEndPr>
    <w:sdtContent>
      <w:p w14:paraId="1160A76E" w14:textId="2998CA08" w:rsidR="00441A43" w:rsidRDefault="00441A43" w:rsidP="00101277">
        <w:pPr>
          <w:pStyle w:val="Footer"/>
          <w:jc w:val="center"/>
        </w:pPr>
        <w:r>
          <w:fldChar w:fldCharType="begin"/>
        </w:r>
        <w:r>
          <w:instrText xml:space="preserve"> PAGE   \* MERGEFORMAT </w:instrText>
        </w:r>
        <w:r>
          <w:fldChar w:fldCharType="separate"/>
        </w:r>
        <w:r w:rsidR="00EA3EBE">
          <w:rPr>
            <w:noProof/>
          </w:rPr>
          <w:t>1</w:t>
        </w:r>
        <w:r>
          <w:rPr>
            <w:noProof/>
          </w:rPr>
          <w:fldChar w:fldCharType="end"/>
        </w:r>
      </w:p>
    </w:sdtContent>
  </w:sdt>
  <w:p w14:paraId="05A4B2C2" w14:textId="77777777" w:rsidR="00441A43" w:rsidRDefault="00441A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5F001" w14:textId="77777777" w:rsidR="00441A43" w:rsidRDefault="00441A43" w:rsidP="004D4A44">
      <w:r>
        <w:separator/>
      </w:r>
    </w:p>
    <w:p w14:paraId="30154569" w14:textId="77777777" w:rsidR="00441A43" w:rsidRDefault="00441A43"/>
  </w:footnote>
  <w:footnote w:type="continuationSeparator" w:id="0">
    <w:p w14:paraId="1DB0D8C3" w14:textId="77777777" w:rsidR="00441A43" w:rsidRDefault="00441A43" w:rsidP="004D4A44">
      <w:r>
        <w:continuationSeparator/>
      </w:r>
    </w:p>
    <w:p w14:paraId="24787600" w14:textId="77777777" w:rsidR="00441A43" w:rsidRDefault="00441A43"/>
  </w:footnote>
  <w:footnote w:type="continuationNotice" w:id="1">
    <w:p w14:paraId="70C3BBAA" w14:textId="77777777" w:rsidR="00441A43" w:rsidRDefault="00441A43"/>
  </w:footnote>
  <w:footnote w:id="2">
    <w:p w14:paraId="3C1ABAF6" w14:textId="2DC5B452" w:rsidR="00441A43" w:rsidRDefault="00441A43">
      <w:pPr>
        <w:pStyle w:val="FootnoteText"/>
      </w:pPr>
      <w:r w:rsidRPr="00731D51">
        <w:rPr>
          <w:rStyle w:val="FootnoteReference"/>
        </w:rPr>
        <w:footnoteRef/>
      </w:r>
      <w:r>
        <w:t xml:space="preserve"> The NOA Form A information collection was conducted from August 12, 2017 to February 8, 2018 for manufactures (including importers) and from February 9, 2018– October 5, 2018 for processors</w:t>
      </w:r>
      <w:r w:rsidRPr="002F6F1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13AC6" w14:textId="77777777" w:rsidR="00441A43" w:rsidRDefault="00441A43">
    <w:pPr>
      <w:pStyle w:val="Header"/>
    </w:pPr>
  </w:p>
  <w:p w14:paraId="28A4B228" w14:textId="77777777" w:rsidR="00441A43" w:rsidRDefault="00441A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A344730"/>
    <w:lvl w:ilvl="0">
      <w:start w:val="1"/>
      <w:numFmt w:val="bullet"/>
      <w:pStyle w:val="ListBullet2"/>
      <w:lvlText w:val="o"/>
      <w:lvlJc w:val="left"/>
      <w:pPr>
        <w:ind w:left="720" w:hanging="360"/>
      </w:pPr>
      <w:rPr>
        <w:rFonts w:ascii="Courier New" w:hAnsi="Courier New" w:cs="Courier New" w:hint="default"/>
      </w:rPr>
    </w:lvl>
  </w:abstractNum>
  <w:abstractNum w:abstractNumId="1">
    <w:nsid w:val="099C61B1"/>
    <w:multiLevelType w:val="hybridMultilevel"/>
    <w:tmpl w:val="5CD61812"/>
    <w:lvl w:ilvl="0" w:tplc="B90C98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F07D9"/>
    <w:multiLevelType w:val="hybridMultilevel"/>
    <w:tmpl w:val="A098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578A9"/>
    <w:multiLevelType w:val="hybridMultilevel"/>
    <w:tmpl w:val="DA9297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7B6113"/>
    <w:multiLevelType w:val="hybridMultilevel"/>
    <w:tmpl w:val="27CACE08"/>
    <w:lvl w:ilvl="0" w:tplc="C19AC216">
      <w:start w:val="1"/>
      <w:numFmt w:val="bullet"/>
      <w:pStyle w:val="List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434F82"/>
    <w:multiLevelType w:val="multilevel"/>
    <w:tmpl w:val="73AE73DA"/>
    <w:lvl w:ilvl="0">
      <w:start w:val="1"/>
      <w:numFmt w:val="decimal"/>
      <w:pStyle w:val="Heading1"/>
      <w:lvlText w:val="%1."/>
      <w:lvlJc w:val="left"/>
      <w:pPr>
        <w:tabs>
          <w:tab w:val="num" w:pos="720"/>
        </w:tabs>
        <w:ind w:left="720" w:hanging="720"/>
      </w:pPr>
      <w:rPr>
        <w:rFonts w:hint="default"/>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1(%2)"/>
      <w:lvlJc w:val="left"/>
      <w:pPr>
        <w:tabs>
          <w:tab w:val="num" w:pos="1080"/>
        </w:tabs>
        <w:ind w:left="108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5040"/>
        </w:tabs>
        <w:ind w:left="5040" w:firstLine="0"/>
      </w:pPr>
      <w:rPr>
        <w:rFonts w:ascii="Times New Roman" w:hAnsi="Times New Roman" w:cs="Times New Roman" w:hint="default"/>
        <w:b/>
        <w:i w:val="0"/>
        <w:sz w:val="24"/>
        <w:szCs w:val="24"/>
      </w:rPr>
    </w:lvl>
    <w:lvl w:ilvl="3">
      <w:start w:val="1"/>
      <w:numFmt w:val="decimal"/>
      <w:pStyle w:val="Heading4"/>
      <w:suff w:val="space"/>
      <w:lvlText w:val="%1%2.%3.%4"/>
      <w:lvlJc w:val="left"/>
      <w:pPr>
        <w:ind w:left="720" w:hanging="720"/>
      </w:pPr>
      <w:rPr>
        <w:rFonts w:hint="default"/>
        <w:b/>
        <w:i/>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B6127E0"/>
    <w:multiLevelType w:val="hybridMultilevel"/>
    <w:tmpl w:val="FE3E498A"/>
    <w:lvl w:ilvl="0" w:tplc="1FA084C8">
      <w:start w:val="1"/>
      <w:numFmt w:val="lowerLetter"/>
      <w:pStyle w:val="ListContinu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CEA27C1"/>
    <w:multiLevelType w:val="hybridMultilevel"/>
    <w:tmpl w:val="1D1AD4D8"/>
    <w:lvl w:ilvl="0" w:tplc="ED18599E">
      <w:start w:val="1"/>
      <w:numFmt w:val="decimal"/>
      <w:pStyle w:val="ListContinue"/>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AD33C4"/>
    <w:multiLevelType w:val="multilevel"/>
    <w:tmpl w:val="0CD6E25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00"/>
        </w:tabs>
        <w:ind w:left="900" w:hanging="720"/>
      </w:pPr>
      <w:rPr>
        <w:rFonts w:ascii="Arial" w:hAnsi="Arial" w:cs="Arial" w:hint="default"/>
      </w:rPr>
    </w:lvl>
    <w:lvl w:ilvl="2">
      <w:start w:val="1"/>
      <w:numFmt w:val="decimal"/>
      <w:lvlText w:val="%1.%2.%3"/>
      <w:lvlJc w:val="left"/>
      <w:pPr>
        <w:tabs>
          <w:tab w:val="num" w:pos="720"/>
        </w:tabs>
        <w:ind w:left="720" w:hanging="720"/>
      </w:pPr>
      <w:rPr>
        <w:rFonts w:hint="default"/>
        <w:color w:val="FF0000"/>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4B9A20B2"/>
    <w:multiLevelType w:val="hybridMultilevel"/>
    <w:tmpl w:val="54FA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940F92"/>
    <w:multiLevelType w:val="hybridMultilevel"/>
    <w:tmpl w:val="DC6E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4C34F5"/>
    <w:multiLevelType w:val="multilevel"/>
    <w:tmpl w:val="2720684C"/>
    <w:styleLink w:val="ListNumber1"/>
    <w:lvl w:ilvl="0">
      <w:start w:val="1"/>
      <w:numFmt w:val="decimal"/>
      <w:lvlText w:val="%1)"/>
      <w:lvlJc w:val="left"/>
      <w:pPr>
        <w:ind w:left="108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61722EDD"/>
    <w:multiLevelType w:val="hybridMultilevel"/>
    <w:tmpl w:val="F3E2E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3CF3DC2"/>
    <w:multiLevelType w:val="hybridMultilevel"/>
    <w:tmpl w:val="842E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366440"/>
    <w:multiLevelType w:val="hybridMultilevel"/>
    <w:tmpl w:val="54546F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6953B8A"/>
    <w:multiLevelType w:val="hybridMultilevel"/>
    <w:tmpl w:val="C4AA692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BC5798"/>
    <w:multiLevelType w:val="hybridMultilevel"/>
    <w:tmpl w:val="AC2EF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0D612F6"/>
    <w:multiLevelType w:val="hybridMultilevel"/>
    <w:tmpl w:val="3A3445B0"/>
    <w:lvl w:ilvl="0" w:tplc="DC9CF99C">
      <w:start w:val="5"/>
      <w:numFmt w:val="decimal"/>
      <w:lvlText w:val="(%1)"/>
      <w:lvlJc w:val="left"/>
      <w:pPr>
        <w:ind w:left="100" w:hanging="340"/>
      </w:pPr>
      <w:rPr>
        <w:rFonts w:ascii="Times New Roman" w:eastAsia="Times New Roman" w:hAnsi="Times New Roman" w:hint="default"/>
        <w:sz w:val="24"/>
        <w:szCs w:val="24"/>
      </w:rPr>
    </w:lvl>
    <w:lvl w:ilvl="1" w:tplc="5B88D2EA">
      <w:start w:val="1"/>
      <w:numFmt w:val="bullet"/>
      <w:lvlText w:val=""/>
      <w:lvlJc w:val="left"/>
      <w:pPr>
        <w:ind w:left="1180" w:hanging="360"/>
      </w:pPr>
      <w:rPr>
        <w:rFonts w:ascii="Symbol" w:eastAsia="Symbol" w:hAnsi="Symbol" w:hint="default"/>
        <w:sz w:val="24"/>
        <w:szCs w:val="24"/>
      </w:rPr>
    </w:lvl>
    <w:lvl w:ilvl="2" w:tplc="D84C5AE6">
      <w:start w:val="1"/>
      <w:numFmt w:val="bullet"/>
      <w:lvlText w:val="•"/>
      <w:lvlJc w:val="left"/>
      <w:pPr>
        <w:ind w:left="2106" w:hanging="360"/>
      </w:pPr>
      <w:rPr>
        <w:rFonts w:hint="default"/>
      </w:rPr>
    </w:lvl>
    <w:lvl w:ilvl="3" w:tplc="9EB8943C">
      <w:start w:val="1"/>
      <w:numFmt w:val="bullet"/>
      <w:lvlText w:val="•"/>
      <w:lvlJc w:val="left"/>
      <w:pPr>
        <w:ind w:left="3033" w:hanging="360"/>
      </w:pPr>
      <w:rPr>
        <w:rFonts w:hint="default"/>
      </w:rPr>
    </w:lvl>
    <w:lvl w:ilvl="4" w:tplc="391C6958">
      <w:start w:val="1"/>
      <w:numFmt w:val="bullet"/>
      <w:lvlText w:val="•"/>
      <w:lvlJc w:val="left"/>
      <w:pPr>
        <w:ind w:left="3960" w:hanging="360"/>
      </w:pPr>
      <w:rPr>
        <w:rFonts w:hint="default"/>
      </w:rPr>
    </w:lvl>
    <w:lvl w:ilvl="5" w:tplc="B2DC176A">
      <w:start w:val="1"/>
      <w:numFmt w:val="bullet"/>
      <w:lvlText w:val="•"/>
      <w:lvlJc w:val="left"/>
      <w:pPr>
        <w:ind w:left="4886" w:hanging="360"/>
      </w:pPr>
      <w:rPr>
        <w:rFonts w:hint="default"/>
      </w:rPr>
    </w:lvl>
    <w:lvl w:ilvl="6" w:tplc="BBECD9E8">
      <w:start w:val="1"/>
      <w:numFmt w:val="bullet"/>
      <w:lvlText w:val="•"/>
      <w:lvlJc w:val="left"/>
      <w:pPr>
        <w:ind w:left="5813" w:hanging="360"/>
      </w:pPr>
      <w:rPr>
        <w:rFonts w:hint="default"/>
      </w:rPr>
    </w:lvl>
    <w:lvl w:ilvl="7" w:tplc="5CA6C302">
      <w:start w:val="1"/>
      <w:numFmt w:val="bullet"/>
      <w:lvlText w:val="•"/>
      <w:lvlJc w:val="left"/>
      <w:pPr>
        <w:ind w:left="6740" w:hanging="360"/>
      </w:pPr>
      <w:rPr>
        <w:rFonts w:hint="default"/>
      </w:rPr>
    </w:lvl>
    <w:lvl w:ilvl="8" w:tplc="CA06D168">
      <w:start w:val="1"/>
      <w:numFmt w:val="bullet"/>
      <w:lvlText w:val="•"/>
      <w:lvlJc w:val="left"/>
      <w:pPr>
        <w:ind w:left="7666" w:hanging="360"/>
      </w:pPr>
      <w:rPr>
        <w:rFonts w:hint="default"/>
      </w:rPr>
    </w:lvl>
  </w:abstractNum>
  <w:abstractNum w:abstractNumId="18">
    <w:nsid w:val="76EB65C5"/>
    <w:multiLevelType w:val="hybridMultilevel"/>
    <w:tmpl w:val="0BC8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AE6FA5"/>
    <w:multiLevelType w:val="hybridMultilevel"/>
    <w:tmpl w:val="5D748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5"/>
  </w:num>
  <w:num w:numId="4">
    <w:abstractNumId w:val="0"/>
  </w:num>
  <w:num w:numId="5">
    <w:abstractNumId w:val="11"/>
  </w:num>
  <w:num w:numId="6">
    <w:abstractNumId w:val="7"/>
  </w:num>
  <w:num w:numId="7">
    <w:abstractNumId w:val="6"/>
  </w:num>
  <w:num w:numId="8">
    <w:abstractNumId w:val="17"/>
    <w:lvlOverride w:ilvl="0">
      <w:startOverride w:val="5"/>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3"/>
  </w:num>
  <w:num w:numId="16">
    <w:abstractNumId w:val="13"/>
  </w:num>
  <w:num w:numId="17">
    <w:abstractNumId w:val="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44"/>
    <w:rsid w:val="00001023"/>
    <w:rsid w:val="0000136E"/>
    <w:rsid w:val="0000151B"/>
    <w:rsid w:val="0000193A"/>
    <w:rsid w:val="0000287A"/>
    <w:rsid w:val="000034FC"/>
    <w:rsid w:val="000037EF"/>
    <w:rsid w:val="00003E7C"/>
    <w:rsid w:val="000048B1"/>
    <w:rsid w:val="00005332"/>
    <w:rsid w:val="00005782"/>
    <w:rsid w:val="0000590E"/>
    <w:rsid w:val="00006E78"/>
    <w:rsid w:val="0000719D"/>
    <w:rsid w:val="00010B2D"/>
    <w:rsid w:val="00011CEA"/>
    <w:rsid w:val="000123E4"/>
    <w:rsid w:val="000130AD"/>
    <w:rsid w:val="000132A1"/>
    <w:rsid w:val="000140E5"/>
    <w:rsid w:val="00016CB1"/>
    <w:rsid w:val="00016E96"/>
    <w:rsid w:val="00020307"/>
    <w:rsid w:val="00022174"/>
    <w:rsid w:val="000231F0"/>
    <w:rsid w:val="00023B5A"/>
    <w:rsid w:val="0002408A"/>
    <w:rsid w:val="00024924"/>
    <w:rsid w:val="000264DE"/>
    <w:rsid w:val="00026827"/>
    <w:rsid w:val="000277B2"/>
    <w:rsid w:val="00030478"/>
    <w:rsid w:val="00034191"/>
    <w:rsid w:val="000342CD"/>
    <w:rsid w:val="00034F93"/>
    <w:rsid w:val="000360F9"/>
    <w:rsid w:val="00036D45"/>
    <w:rsid w:val="0004000D"/>
    <w:rsid w:val="000404E0"/>
    <w:rsid w:val="00040C06"/>
    <w:rsid w:val="00040DA1"/>
    <w:rsid w:val="00041B93"/>
    <w:rsid w:val="00042AEA"/>
    <w:rsid w:val="00042DB5"/>
    <w:rsid w:val="00044BCD"/>
    <w:rsid w:val="00045C8D"/>
    <w:rsid w:val="00046689"/>
    <w:rsid w:val="000469EE"/>
    <w:rsid w:val="00047DBB"/>
    <w:rsid w:val="00050BAA"/>
    <w:rsid w:val="00050F6F"/>
    <w:rsid w:val="0005160D"/>
    <w:rsid w:val="00052D8F"/>
    <w:rsid w:val="0005506A"/>
    <w:rsid w:val="0005600B"/>
    <w:rsid w:val="000568E8"/>
    <w:rsid w:val="000609EF"/>
    <w:rsid w:val="00063270"/>
    <w:rsid w:val="00063460"/>
    <w:rsid w:val="000639AC"/>
    <w:rsid w:val="00063CE7"/>
    <w:rsid w:val="0006407C"/>
    <w:rsid w:val="0006418F"/>
    <w:rsid w:val="00065B71"/>
    <w:rsid w:val="00067736"/>
    <w:rsid w:val="00071382"/>
    <w:rsid w:val="000713D4"/>
    <w:rsid w:val="00073CC5"/>
    <w:rsid w:val="0007482E"/>
    <w:rsid w:val="0007649A"/>
    <w:rsid w:val="00076595"/>
    <w:rsid w:val="00076B12"/>
    <w:rsid w:val="00081907"/>
    <w:rsid w:val="00081D93"/>
    <w:rsid w:val="00082431"/>
    <w:rsid w:val="0008389A"/>
    <w:rsid w:val="000859A8"/>
    <w:rsid w:val="0008629E"/>
    <w:rsid w:val="0008635A"/>
    <w:rsid w:val="00086579"/>
    <w:rsid w:val="000868C2"/>
    <w:rsid w:val="0008706D"/>
    <w:rsid w:val="00087B66"/>
    <w:rsid w:val="00091424"/>
    <w:rsid w:val="00091A50"/>
    <w:rsid w:val="00091CA9"/>
    <w:rsid w:val="00091DA9"/>
    <w:rsid w:val="0009270C"/>
    <w:rsid w:val="00093970"/>
    <w:rsid w:val="00093B28"/>
    <w:rsid w:val="00094DD3"/>
    <w:rsid w:val="00095B1E"/>
    <w:rsid w:val="00095D5F"/>
    <w:rsid w:val="000962FC"/>
    <w:rsid w:val="00096EC5"/>
    <w:rsid w:val="000A0675"/>
    <w:rsid w:val="000A1BC7"/>
    <w:rsid w:val="000A31C1"/>
    <w:rsid w:val="000A3BC6"/>
    <w:rsid w:val="000A3E60"/>
    <w:rsid w:val="000A4973"/>
    <w:rsid w:val="000A5024"/>
    <w:rsid w:val="000A58FE"/>
    <w:rsid w:val="000A66F1"/>
    <w:rsid w:val="000A6EC3"/>
    <w:rsid w:val="000A7A51"/>
    <w:rsid w:val="000A7D7E"/>
    <w:rsid w:val="000A7F62"/>
    <w:rsid w:val="000B0108"/>
    <w:rsid w:val="000B095E"/>
    <w:rsid w:val="000B0E13"/>
    <w:rsid w:val="000B12A1"/>
    <w:rsid w:val="000B1ACA"/>
    <w:rsid w:val="000B2908"/>
    <w:rsid w:val="000C0879"/>
    <w:rsid w:val="000C191A"/>
    <w:rsid w:val="000C1967"/>
    <w:rsid w:val="000C25A5"/>
    <w:rsid w:val="000C25C0"/>
    <w:rsid w:val="000C25CE"/>
    <w:rsid w:val="000C2C17"/>
    <w:rsid w:val="000C2F38"/>
    <w:rsid w:val="000C3602"/>
    <w:rsid w:val="000C37B7"/>
    <w:rsid w:val="000C37FE"/>
    <w:rsid w:val="000C40CE"/>
    <w:rsid w:val="000C422A"/>
    <w:rsid w:val="000C491A"/>
    <w:rsid w:val="000C5024"/>
    <w:rsid w:val="000C5092"/>
    <w:rsid w:val="000D00AE"/>
    <w:rsid w:val="000D0156"/>
    <w:rsid w:val="000D200D"/>
    <w:rsid w:val="000D2D6D"/>
    <w:rsid w:val="000D32B5"/>
    <w:rsid w:val="000D4798"/>
    <w:rsid w:val="000D503F"/>
    <w:rsid w:val="000D5217"/>
    <w:rsid w:val="000D52FB"/>
    <w:rsid w:val="000D531B"/>
    <w:rsid w:val="000D5C96"/>
    <w:rsid w:val="000D66EC"/>
    <w:rsid w:val="000E00E7"/>
    <w:rsid w:val="000E04F7"/>
    <w:rsid w:val="000E053E"/>
    <w:rsid w:val="000E0B06"/>
    <w:rsid w:val="000E1479"/>
    <w:rsid w:val="000E24D5"/>
    <w:rsid w:val="000E264E"/>
    <w:rsid w:val="000E2C54"/>
    <w:rsid w:val="000E3045"/>
    <w:rsid w:val="000E3721"/>
    <w:rsid w:val="000E3BE8"/>
    <w:rsid w:val="000E3BF2"/>
    <w:rsid w:val="000E3F9C"/>
    <w:rsid w:val="000E425C"/>
    <w:rsid w:val="000E5DBC"/>
    <w:rsid w:val="000E600B"/>
    <w:rsid w:val="000E6234"/>
    <w:rsid w:val="000E7620"/>
    <w:rsid w:val="000F1C92"/>
    <w:rsid w:val="000F290B"/>
    <w:rsid w:val="000F3608"/>
    <w:rsid w:val="000F448E"/>
    <w:rsid w:val="000F4DE5"/>
    <w:rsid w:val="000F507F"/>
    <w:rsid w:val="000F5A5E"/>
    <w:rsid w:val="000F5A63"/>
    <w:rsid w:val="000F5F27"/>
    <w:rsid w:val="000F6020"/>
    <w:rsid w:val="000F60D0"/>
    <w:rsid w:val="000F6439"/>
    <w:rsid w:val="000F6615"/>
    <w:rsid w:val="001006FB"/>
    <w:rsid w:val="001007E6"/>
    <w:rsid w:val="00100A40"/>
    <w:rsid w:val="00101277"/>
    <w:rsid w:val="0010127A"/>
    <w:rsid w:val="00102313"/>
    <w:rsid w:val="001033D4"/>
    <w:rsid w:val="00103584"/>
    <w:rsid w:val="00104EF7"/>
    <w:rsid w:val="001056CD"/>
    <w:rsid w:val="001056D5"/>
    <w:rsid w:val="00106F72"/>
    <w:rsid w:val="00106FB0"/>
    <w:rsid w:val="001078CD"/>
    <w:rsid w:val="00113827"/>
    <w:rsid w:val="00114110"/>
    <w:rsid w:val="00114C01"/>
    <w:rsid w:val="0011600C"/>
    <w:rsid w:val="00116F41"/>
    <w:rsid w:val="00117319"/>
    <w:rsid w:val="001177C2"/>
    <w:rsid w:val="00117A17"/>
    <w:rsid w:val="00117C74"/>
    <w:rsid w:val="001215B5"/>
    <w:rsid w:val="00122904"/>
    <w:rsid w:val="00124475"/>
    <w:rsid w:val="00124A5A"/>
    <w:rsid w:val="00126678"/>
    <w:rsid w:val="0012676E"/>
    <w:rsid w:val="00126D52"/>
    <w:rsid w:val="001273FE"/>
    <w:rsid w:val="00127438"/>
    <w:rsid w:val="00131C7B"/>
    <w:rsid w:val="00131EA0"/>
    <w:rsid w:val="00131F40"/>
    <w:rsid w:val="0013249D"/>
    <w:rsid w:val="00132848"/>
    <w:rsid w:val="0013288F"/>
    <w:rsid w:val="00134135"/>
    <w:rsid w:val="00134695"/>
    <w:rsid w:val="00134778"/>
    <w:rsid w:val="00136E87"/>
    <w:rsid w:val="00142C83"/>
    <w:rsid w:val="00142E6E"/>
    <w:rsid w:val="00143215"/>
    <w:rsid w:val="00144927"/>
    <w:rsid w:val="00144C5B"/>
    <w:rsid w:val="001450FF"/>
    <w:rsid w:val="001454D1"/>
    <w:rsid w:val="0014602A"/>
    <w:rsid w:val="00146FEB"/>
    <w:rsid w:val="00147A40"/>
    <w:rsid w:val="00150181"/>
    <w:rsid w:val="001503BB"/>
    <w:rsid w:val="0015092F"/>
    <w:rsid w:val="001510E1"/>
    <w:rsid w:val="00151A9B"/>
    <w:rsid w:val="00153D46"/>
    <w:rsid w:val="00153E81"/>
    <w:rsid w:val="001543E3"/>
    <w:rsid w:val="00157550"/>
    <w:rsid w:val="00157676"/>
    <w:rsid w:val="0015785E"/>
    <w:rsid w:val="00157E46"/>
    <w:rsid w:val="00160301"/>
    <w:rsid w:val="0016072B"/>
    <w:rsid w:val="00161393"/>
    <w:rsid w:val="00161C52"/>
    <w:rsid w:val="00163046"/>
    <w:rsid w:val="00164631"/>
    <w:rsid w:val="001646F6"/>
    <w:rsid w:val="00165CD2"/>
    <w:rsid w:val="001671FE"/>
    <w:rsid w:val="001707E7"/>
    <w:rsid w:val="00170E58"/>
    <w:rsid w:val="00172159"/>
    <w:rsid w:val="00172909"/>
    <w:rsid w:val="00173291"/>
    <w:rsid w:val="00174B72"/>
    <w:rsid w:val="001757D5"/>
    <w:rsid w:val="00175902"/>
    <w:rsid w:val="0017649F"/>
    <w:rsid w:val="00177BF5"/>
    <w:rsid w:val="0018316F"/>
    <w:rsid w:val="001836BC"/>
    <w:rsid w:val="00184EFB"/>
    <w:rsid w:val="00184F90"/>
    <w:rsid w:val="0018557C"/>
    <w:rsid w:val="00185742"/>
    <w:rsid w:val="00185D89"/>
    <w:rsid w:val="00187A77"/>
    <w:rsid w:val="00190F1C"/>
    <w:rsid w:val="00191A0C"/>
    <w:rsid w:val="00192B8C"/>
    <w:rsid w:val="00193490"/>
    <w:rsid w:val="001935F8"/>
    <w:rsid w:val="00193670"/>
    <w:rsid w:val="001938DE"/>
    <w:rsid w:val="00193C3C"/>
    <w:rsid w:val="00193F80"/>
    <w:rsid w:val="00193FF5"/>
    <w:rsid w:val="001953DE"/>
    <w:rsid w:val="00195D8B"/>
    <w:rsid w:val="00195ECD"/>
    <w:rsid w:val="001A0B53"/>
    <w:rsid w:val="001A0B85"/>
    <w:rsid w:val="001A10F7"/>
    <w:rsid w:val="001A14FF"/>
    <w:rsid w:val="001A3939"/>
    <w:rsid w:val="001A41E6"/>
    <w:rsid w:val="001A4C49"/>
    <w:rsid w:val="001A51E3"/>
    <w:rsid w:val="001A5F13"/>
    <w:rsid w:val="001A686C"/>
    <w:rsid w:val="001A6C48"/>
    <w:rsid w:val="001A702E"/>
    <w:rsid w:val="001A7496"/>
    <w:rsid w:val="001B1C0B"/>
    <w:rsid w:val="001B1F39"/>
    <w:rsid w:val="001B1FAD"/>
    <w:rsid w:val="001B2926"/>
    <w:rsid w:val="001B2FFA"/>
    <w:rsid w:val="001B3A68"/>
    <w:rsid w:val="001B4BBE"/>
    <w:rsid w:val="001B4E1A"/>
    <w:rsid w:val="001B6BEE"/>
    <w:rsid w:val="001B7355"/>
    <w:rsid w:val="001B7809"/>
    <w:rsid w:val="001B7C18"/>
    <w:rsid w:val="001C0C7E"/>
    <w:rsid w:val="001C2293"/>
    <w:rsid w:val="001C2375"/>
    <w:rsid w:val="001C2B3A"/>
    <w:rsid w:val="001C4388"/>
    <w:rsid w:val="001C4D6B"/>
    <w:rsid w:val="001C76B7"/>
    <w:rsid w:val="001D06D7"/>
    <w:rsid w:val="001D07B2"/>
    <w:rsid w:val="001D16B5"/>
    <w:rsid w:val="001D213D"/>
    <w:rsid w:val="001D238D"/>
    <w:rsid w:val="001D25A8"/>
    <w:rsid w:val="001D3214"/>
    <w:rsid w:val="001D368C"/>
    <w:rsid w:val="001D435A"/>
    <w:rsid w:val="001D4BD9"/>
    <w:rsid w:val="001D5B63"/>
    <w:rsid w:val="001D622A"/>
    <w:rsid w:val="001D69A7"/>
    <w:rsid w:val="001D6A21"/>
    <w:rsid w:val="001D6DB0"/>
    <w:rsid w:val="001D747A"/>
    <w:rsid w:val="001D7B05"/>
    <w:rsid w:val="001E1685"/>
    <w:rsid w:val="001E21B3"/>
    <w:rsid w:val="001E3355"/>
    <w:rsid w:val="001E3CF0"/>
    <w:rsid w:val="001E6070"/>
    <w:rsid w:val="001F17A3"/>
    <w:rsid w:val="001F24DF"/>
    <w:rsid w:val="001F3A86"/>
    <w:rsid w:val="001F4375"/>
    <w:rsid w:val="002008AA"/>
    <w:rsid w:val="00201F9A"/>
    <w:rsid w:val="0020294F"/>
    <w:rsid w:val="002033CC"/>
    <w:rsid w:val="00204322"/>
    <w:rsid w:val="002048E9"/>
    <w:rsid w:val="00205802"/>
    <w:rsid w:val="00205AC8"/>
    <w:rsid w:val="00205E8D"/>
    <w:rsid w:val="00206888"/>
    <w:rsid w:val="0020725A"/>
    <w:rsid w:val="002104A0"/>
    <w:rsid w:val="00210E8E"/>
    <w:rsid w:val="002115ED"/>
    <w:rsid w:val="00212A19"/>
    <w:rsid w:val="00212BBF"/>
    <w:rsid w:val="00212D93"/>
    <w:rsid w:val="00213570"/>
    <w:rsid w:val="0021370F"/>
    <w:rsid w:val="00220B99"/>
    <w:rsid w:val="00221B4E"/>
    <w:rsid w:val="00221B51"/>
    <w:rsid w:val="002221D6"/>
    <w:rsid w:val="002229FD"/>
    <w:rsid w:val="0022348B"/>
    <w:rsid w:val="00223628"/>
    <w:rsid w:val="00223DBF"/>
    <w:rsid w:val="002246C4"/>
    <w:rsid w:val="00224869"/>
    <w:rsid w:val="00224B48"/>
    <w:rsid w:val="002264BE"/>
    <w:rsid w:val="00226821"/>
    <w:rsid w:val="00227318"/>
    <w:rsid w:val="00227E05"/>
    <w:rsid w:val="002300FF"/>
    <w:rsid w:val="00230ADB"/>
    <w:rsid w:val="00230BC8"/>
    <w:rsid w:val="002338C7"/>
    <w:rsid w:val="00233DCF"/>
    <w:rsid w:val="00233E0C"/>
    <w:rsid w:val="00234F59"/>
    <w:rsid w:val="00235395"/>
    <w:rsid w:val="002356D0"/>
    <w:rsid w:val="0023571C"/>
    <w:rsid w:val="00240A8F"/>
    <w:rsid w:val="00240D08"/>
    <w:rsid w:val="002411A1"/>
    <w:rsid w:val="002417DE"/>
    <w:rsid w:val="00241E37"/>
    <w:rsid w:val="002420A7"/>
    <w:rsid w:val="00242AE8"/>
    <w:rsid w:val="0024444A"/>
    <w:rsid w:val="002444F3"/>
    <w:rsid w:val="0024593A"/>
    <w:rsid w:val="002471B2"/>
    <w:rsid w:val="00247B60"/>
    <w:rsid w:val="0025023A"/>
    <w:rsid w:val="00250714"/>
    <w:rsid w:val="002535D5"/>
    <w:rsid w:val="00254169"/>
    <w:rsid w:val="00254565"/>
    <w:rsid w:val="00257330"/>
    <w:rsid w:val="002576FE"/>
    <w:rsid w:val="00257B94"/>
    <w:rsid w:val="00257CB7"/>
    <w:rsid w:val="00261728"/>
    <w:rsid w:val="00262BEC"/>
    <w:rsid w:val="0026317C"/>
    <w:rsid w:val="00263365"/>
    <w:rsid w:val="002635CB"/>
    <w:rsid w:val="002667E2"/>
    <w:rsid w:val="00266AD2"/>
    <w:rsid w:val="00272F3D"/>
    <w:rsid w:val="00272F4D"/>
    <w:rsid w:val="002732D0"/>
    <w:rsid w:val="002742F5"/>
    <w:rsid w:val="0027470C"/>
    <w:rsid w:val="002749BD"/>
    <w:rsid w:val="00275024"/>
    <w:rsid w:val="0027532C"/>
    <w:rsid w:val="002770BA"/>
    <w:rsid w:val="00277C77"/>
    <w:rsid w:val="00280548"/>
    <w:rsid w:val="00280B76"/>
    <w:rsid w:val="00281576"/>
    <w:rsid w:val="00281719"/>
    <w:rsid w:val="0028217F"/>
    <w:rsid w:val="00284894"/>
    <w:rsid w:val="002852B4"/>
    <w:rsid w:val="00285750"/>
    <w:rsid w:val="00285C2E"/>
    <w:rsid w:val="00286444"/>
    <w:rsid w:val="002879AF"/>
    <w:rsid w:val="00290375"/>
    <w:rsid w:val="00290E29"/>
    <w:rsid w:val="00291313"/>
    <w:rsid w:val="002918AA"/>
    <w:rsid w:val="00291A46"/>
    <w:rsid w:val="00291AFE"/>
    <w:rsid w:val="00291D42"/>
    <w:rsid w:val="00291F3B"/>
    <w:rsid w:val="00294A6B"/>
    <w:rsid w:val="0029722E"/>
    <w:rsid w:val="002A0A22"/>
    <w:rsid w:val="002A10EE"/>
    <w:rsid w:val="002A1C42"/>
    <w:rsid w:val="002A2C16"/>
    <w:rsid w:val="002A3D63"/>
    <w:rsid w:val="002A405A"/>
    <w:rsid w:val="002A4582"/>
    <w:rsid w:val="002A4B0A"/>
    <w:rsid w:val="002A5029"/>
    <w:rsid w:val="002A60F4"/>
    <w:rsid w:val="002A6C64"/>
    <w:rsid w:val="002A7ADA"/>
    <w:rsid w:val="002A7D1A"/>
    <w:rsid w:val="002B0103"/>
    <w:rsid w:val="002B055C"/>
    <w:rsid w:val="002B17BF"/>
    <w:rsid w:val="002B2089"/>
    <w:rsid w:val="002B2393"/>
    <w:rsid w:val="002B2BD9"/>
    <w:rsid w:val="002B2F07"/>
    <w:rsid w:val="002B3AB8"/>
    <w:rsid w:val="002B60C7"/>
    <w:rsid w:val="002B60F0"/>
    <w:rsid w:val="002B7BDC"/>
    <w:rsid w:val="002B7BE3"/>
    <w:rsid w:val="002C01AD"/>
    <w:rsid w:val="002C0E6F"/>
    <w:rsid w:val="002C0E92"/>
    <w:rsid w:val="002C1543"/>
    <w:rsid w:val="002C1D6B"/>
    <w:rsid w:val="002C285B"/>
    <w:rsid w:val="002C3DE9"/>
    <w:rsid w:val="002C4223"/>
    <w:rsid w:val="002C67B6"/>
    <w:rsid w:val="002C76D1"/>
    <w:rsid w:val="002C7A9A"/>
    <w:rsid w:val="002C7E5A"/>
    <w:rsid w:val="002D00F5"/>
    <w:rsid w:val="002D1E33"/>
    <w:rsid w:val="002D20C9"/>
    <w:rsid w:val="002D21BF"/>
    <w:rsid w:val="002D2E74"/>
    <w:rsid w:val="002D32DE"/>
    <w:rsid w:val="002D335B"/>
    <w:rsid w:val="002D3D60"/>
    <w:rsid w:val="002D53A8"/>
    <w:rsid w:val="002D5595"/>
    <w:rsid w:val="002D6353"/>
    <w:rsid w:val="002D63B7"/>
    <w:rsid w:val="002D6C47"/>
    <w:rsid w:val="002E0223"/>
    <w:rsid w:val="002E0424"/>
    <w:rsid w:val="002E0CCA"/>
    <w:rsid w:val="002E1304"/>
    <w:rsid w:val="002E1F59"/>
    <w:rsid w:val="002E2230"/>
    <w:rsid w:val="002E25E7"/>
    <w:rsid w:val="002E4675"/>
    <w:rsid w:val="002F00B9"/>
    <w:rsid w:val="002F0AD4"/>
    <w:rsid w:val="002F29F3"/>
    <w:rsid w:val="002F3D90"/>
    <w:rsid w:val="002F3FA1"/>
    <w:rsid w:val="002F4130"/>
    <w:rsid w:val="002F48B9"/>
    <w:rsid w:val="002F6F12"/>
    <w:rsid w:val="002F71DB"/>
    <w:rsid w:val="002F7F23"/>
    <w:rsid w:val="00300511"/>
    <w:rsid w:val="003009B6"/>
    <w:rsid w:val="0030197B"/>
    <w:rsid w:val="003019B7"/>
    <w:rsid w:val="00301D74"/>
    <w:rsid w:val="0030439E"/>
    <w:rsid w:val="003046B6"/>
    <w:rsid w:val="0030492D"/>
    <w:rsid w:val="00304BD4"/>
    <w:rsid w:val="003062F7"/>
    <w:rsid w:val="00306861"/>
    <w:rsid w:val="00307E21"/>
    <w:rsid w:val="00310FA5"/>
    <w:rsid w:val="003119C8"/>
    <w:rsid w:val="00313147"/>
    <w:rsid w:val="00313702"/>
    <w:rsid w:val="00313FF7"/>
    <w:rsid w:val="00314AF0"/>
    <w:rsid w:val="00315865"/>
    <w:rsid w:val="003169B3"/>
    <w:rsid w:val="0031745F"/>
    <w:rsid w:val="00321074"/>
    <w:rsid w:val="00322341"/>
    <w:rsid w:val="003227C0"/>
    <w:rsid w:val="00323AB8"/>
    <w:rsid w:val="00323E1C"/>
    <w:rsid w:val="00324E71"/>
    <w:rsid w:val="00325811"/>
    <w:rsid w:val="00326EED"/>
    <w:rsid w:val="00330732"/>
    <w:rsid w:val="00330FB9"/>
    <w:rsid w:val="00331AE5"/>
    <w:rsid w:val="003336C6"/>
    <w:rsid w:val="00333EC6"/>
    <w:rsid w:val="00333EF3"/>
    <w:rsid w:val="0033469A"/>
    <w:rsid w:val="00335B33"/>
    <w:rsid w:val="003366FC"/>
    <w:rsid w:val="00340417"/>
    <w:rsid w:val="00341633"/>
    <w:rsid w:val="00342153"/>
    <w:rsid w:val="0034258B"/>
    <w:rsid w:val="0034296D"/>
    <w:rsid w:val="00344687"/>
    <w:rsid w:val="00346031"/>
    <w:rsid w:val="00346387"/>
    <w:rsid w:val="0034667E"/>
    <w:rsid w:val="00346AB1"/>
    <w:rsid w:val="0034710F"/>
    <w:rsid w:val="00351D68"/>
    <w:rsid w:val="00352A94"/>
    <w:rsid w:val="00354FB4"/>
    <w:rsid w:val="00355549"/>
    <w:rsid w:val="003562E4"/>
    <w:rsid w:val="0035670B"/>
    <w:rsid w:val="00356D60"/>
    <w:rsid w:val="00357047"/>
    <w:rsid w:val="00357362"/>
    <w:rsid w:val="003577EE"/>
    <w:rsid w:val="00357FBC"/>
    <w:rsid w:val="00360FCC"/>
    <w:rsid w:val="003615E6"/>
    <w:rsid w:val="00361F18"/>
    <w:rsid w:val="00364FF0"/>
    <w:rsid w:val="00365145"/>
    <w:rsid w:val="00365A0E"/>
    <w:rsid w:val="00365CC1"/>
    <w:rsid w:val="00366165"/>
    <w:rsid w:val="003665CF"/>
    <w:rsid w:val="0037036E"/>
    <w:rsid w:val="00370DA0"/>
    <w:rsid w:val="003719C0"/>
    <w:rsid w:val="0037279C"/>
    <w:rsid w:val="00373774"/>
    <w:rsid w:val="003749A7"/>
    <w:rsid w:val="00374C9F"/>
    <w:rsid w:val="00375EA9"/>
    <w:rsid w:val="00377AAB"/>
    <w:rsid w:val="00377AF4"/>
    <w:rsid w:val="00380B9C"/>
    <w:rsid w:val="00380EE0"/>
    <w:rsid w:val="003812B0"/>
    <w:rsid w:val="003815E5"/>
    <w:rsid w:val="00381CA6"/>
    <w:rsid w:val="0038429F"/>
    <w:rsid w:val="00384CEE"/>
    <w:rsid w:val="00384D85"/>
    <w:rsid w:val="003853E4"/>
    <w:rsid w:val="00385834"/>
    <w:rsid w:val="003867F5"/>
    <w:rsid w:val="00387EBE"/>
    <w:rsid w:val="00390359"/>
    <w:rsid w:val="00391F63"/>
    <w:rsid w:val="00392801"/>
    <w:rsid w:val="00392A91"/>
    <w:rsid w:val="00392D59"/>
    <w:rsid w:val="00394B46"/>
    <w:rsid w:val="00395674"/>
    <w:rsid w:val="00395A33"/>
    <w:rsid w:val="00396A0F"/>
    <w:rsid w:val="00396D04"/>
    <w:rsid w:val="003A112A"/>
    <w:rsid w:val="003A224F"/>
    <w:rsid w:val="003A352A"/>
    <w:rsid w:val="003A4CA4"/>
    <w:rsid w:val="003A5295"/>
    <w:rsid w:val="003A6843"/>
    <w:rsid w:val="003A695D"/>
    <w:rsid w:val="003B0CF3"/>
    <w:rsid w:val="003B17AA"/>
    <w:rsid w:val="003B254F"/>
    <w:rsid w:val="003B2835"/>
    <w:rsid w:val="003B2AFC"/>
    <w:rsid w:val="003B344F"/>
    <w:rsid w:val="003B3A5B"/>
    <w:rsid w:val="003B435E"/>
    <w:rsid w:val="003B50C1"/>
    <w:rsid w:val="003B51DD"/>
    <w:rsid w:val="003B54E8"/>
    <w:rsid w:val="003B58C0"/>
    <w:rsid w:val="003B59E5"/>
    <w:rsid w:val="003B7E25"/>
    <w:rsid w:val="003C0C63"/>
    <w:rsid w:val="003C14EE"/>
    <w:rsid w:val="003C2691"/>
    <w:rsid w:val="003C2814"/>
    <w:rsid w:val="003C2E59"/>
    <w:rsid w:val="003C4AF3"/>
    <w:rsid w:val="003C5A80"/>
    <w:rsid w:val="003C612A"/>
    <w:rsid w:val="003C77A5"/>
    <w:rsid w:val="003C7B87"/>
    <w:rsid w:val="003C7CA4"/>
    <w:rsid w:val="003D0229"/>
    <w:rsid w:val="003D0D65"/>
    <w:rsid w:val="003D0F51"/>
    <w:rsid w:val="003D15FF"/>
    <w:rsid w:val="003D2702"/>
    <w:rsid w:val="003D32C7"/>
    <w:rsid w:val="003D39A9"/>
    <w:rsid w:val="003D3A49"/>
    <w:rsid w:val="003D3EBB"/>
    <w:rsid w:val="003D4487"/>
    <w:rsid w:val="003D4D2F"/>
    <w:rsid w:val="003D58A1"/>
    <w:rsid w:val="003D5A51"/>
    <w:rsid w:val="003D6AAD"/>
    <w:rsid w:val="003E0EAE"/>
    <w:rsid w:val="003E1961"/>
    <w:rsid w:val="003E1AF7"/>
    <w:rsid w:val="003E2866"/>
    <w:rsid w:val="003E2A57"/>
    <w:rsid w:val="003E2EFD"/>
    <w:rsid w:val="003E37B6"/>
    <w:rsid w:val="003E40AA"/>
    <w:rsid w:val="003E436C"/>
    <w:rsid w:val="003E4B6B"/>
    <w:rsid w:val="003E4D8A"/>
    <w:rsid w:val="003E5AB2"/>
    <w:rsid w:val="003E6367"/>
    <w:rsid w:val="003E7337"/>
    <w:rsid w:val="003F0FB8"/>
    <w:rsid w:val="003F4ACB"/>
    <w:rsid w:val="003F4E78"/>
    <w:rsid w:val="003F6039"/>
    <w:rsid w:val="003F61A5"/>
    <w:rsid w:val="003F6B68"/>
    <w:rsid w:val="00400E5B"/>
    <w:rsid w:val="00400EC1"/>
    <w:rsid w:val="00401D1E"/>
    <w:rsid w:val="00402826"/>
    <w:rsid w:val="00402E0D"/>
    <w:rsid w:val="004040D5"/>
    <w:rsid w:val="00404204"/>
    <w:rsid w:val="00404523"/>
    <w:rsid w:val="004045A4"/>
    <w:rsid w:val="00404BD0"/>
    <w:rsid w:val="004059A1"/>
    <w:rsid w:val="004063DF"/>
    <w:rsid w:val="004064BD"/>
    <w:rsid w:val="004066F5"/>
    <w:rsid w:val="00406857"/>
    <w:rsid w:val="00406D38"/>
    <w:rsid w:val="00406E2E"/>
    <w:rsid w:val="00407675"/>
    <w:rsid w:val="00411427"/>
    <w:rsid w:val="00411E30"/>
    <w:rsid w:val="00412323"/>
    <w:rsid w:val="00413D66"/>
    <w:rsid w:val="0041465C"/>
    <w:rsid w:val="00414BDF"/>
    <w:rsid w:val="004153FD"/>
    <w:rsid w:val="004167B8"/>
    <w:rsid w:val="00416BD8"/>
    <w:rsid w:val="0041738E"/>
    <w:rsid w:val="00421504"/>
    <w:rsid w:val="004221DD"/>
    <w:rsid w:val="004225FD"/>
    <w:rsid w:val="004230E2"/>
    <w:rsid w:val="00423EED"/>
    <w:rsid w:val="004243AE"/>
    <w:rsid w:val="0042526D"/>
    <w:rsid w:val="004277F9"/>
    <w:rsid w:val="0043065E"/>
    <w:rsid w:val="00430851"/>
    <w:rsid w:val="00431394"/>
    <w:rsid w:val="00432AF5"/>
    <w:rsid w:val="004340F3"/>
    <w:rsid w:val="0043463F"/>
    <w:rsid w:val="00434FC5"/>
    <w:rsid w:val="004355FC"/>
    <w:rsid w:val="00435A9C"/>
    <w:rsid w:val="00435F37"/>
    <w:rsid w:val="004363E2"/>
    <w:rsid w:val="004368E7"/>
    <w:rsid w:val="00437C1A"/>
    <w:rsid w:val="00440139"/>
    <w:rsid w:val="00441A43"/>
    <w:rsid w:val="00441D73"/>
    <w:rsid w:val="00441F72"/>
    <w:rsid w:val="00442314"/>
    <w:rsid w:val="00442858"/>
    <w:rsid w:val="00442E59"/>
    <w:rsid w:val="00443515"/>
    <w:rsid w:val="00443E78"/>
    <w:rsid w:val="00444002"/>
    <w:rsid w:val="004440E5"/>
    <w:rsid w:val="00444176"/>
    <w:rsid w:val="00444835"/>
    <w:rsid w:val="0044750B"/>
    <w:rsid w:val="00450056"/>
    <w:rsid w:val="004503F7"/>
    <w:rsid w:val="004523B1"/>
    <w:rsid w:val="00452D76"/>
    <w:rsid w:val="00452F79"/>
    <w:rsid w:val="00453470"/>
    <w:rsid w:val="004556C2"/>
    <w:rsid w:val="004578F3"/>
    <w:rsid w:val="004579CA"/>
    <w:rsid w:val="004605AC"/>
    <w:rsid w:val="004636C4"/>
    <w:rsid w:val="0046382D"/>
    <w:rsid w:val="00464711"/>
    <w:rsid w:val="00464DC6"/>
    <w:rsid w:val="00464FCD"/>
    <w:rsid w:val="00465A8B"/>
    <w:rsid w:val="0046756F"/>
    <w:rsid w:val="00473C11"/>
    <w:rsid w:val="00473FCE"/>
    <w:rsid w:val="004766BB"/>
    <w:rsid w:val="004777D7"/>
    <w:rsid w:val="00480224"/>
    <w:rsid w:val="00480751"/>
    <w:rsid w:val="00481BDB"/>
    <w:rsid w:val="004821BA"/>
    <w:rsid w:val="004851E9"/>
    <w:rsid w:val="00485ECB"/>
    <w:rsid w:val="00487B54"/>
    <w:rsid w:val="004912B8"/>
    <w:rsid w:val="0049253D"/>
    <w:rsid w:val="00492956"/>
    <w:rsid w:val="00492CDC"/>
    <w:rsid w:val="00494B81"/>
    <w:rsid w:val="00494D27"/>
    <w:rsid w:val="0049528D"/>
    <w:rsid w:val="00495A25"/>
    <w:rsid w:val="00497E09"/>
    <w:rsid w:val="004A1547"/>
    <w:rsid w:val="004A1FF4"/>
    <w:rsid w:val="004A2583"/>
    <w:rsid w:val="004A29CB"/>
    <w:rsid w:val="004A498C"/>
    <w:rsid w:val="004A583E"/>
    <w:rsid w:val="004A6505"/>
    <w:rsid w:val="004A6953"/>
    <w:rsid w:val="004A7249"/>
    <w:rsid w:val="004A7B60"/>
    <w:rsid w:val="004B0910"/>
    <w:rsid w:val="004B0CA0"/>
    <w:rsid w:val="004B10E4"/>
    <w:rsid w:val="004B1887"/>
    <w:rsid w:val="004B1CD9"/>
    <w:rsid w:val="004B218D"/>
    <w:rsid w:val="004B2E6E"/>
    <w:rsid w:val="004B36E5"/>
    <w:rsid w:val="004B4B28"/>
    <w:rsid w:val="004B61FC"/>
    <w:rsid w:val="004B67E4"/>
    <w:rsid w:val="004B69EB"/>
    <w:rsid w:val="004B7C7A"/>
    <w:rsid w:val="004B7CF3"/>
    <w:rsid w:val="004C02EF"/>
    <w:rsid w:val="004C1908"/>
    <w:rsid w:val="004C1960"/>
    <w:rsid w:val="004C1CD1"/>
    <w:rsid w:val="004C2C1D"/>
    <w:rsid w:val="004C40A5"/>
    <w:rsid w:val="004C4ED9"/>
    <w:rsid w:val="004C6D58"/>
    <w:rsid w:val="004C6DE3"/>
    <w:rsid w:val="004C74BB"/>
    <w:rsid w:val="004C770B"/>
    <w:rsid w:val="004D049A"/>
    <w:rsid w:val="004D06B8"/>
    <w:rsid w:val="004D08D3"/>
    <w:rsid w:val="004D2748"/>
    <w:rsid w:val="004D2ED2"/>
    <w:rsid w:val="004D31E3"/>
    <w:rsid w:val="004D337A"/>
    <w:rsid w:val="004D4349"/>
    <w:rsid w:val="004D4A44"/>
    <w:rsid w:val="004D4DC1"/>
    <w:rsid w:val="004D596B"/>
    <w:rsid w:val="004D59BA"/>
    <w:rsid w:val="004D5E1F"/>
    <w:rsid w:val="004D6CA7"/>
    <w:rsid w:val="004E195C"/>
    <w:rsid w:val="004E2468"/>
    <w:rsid w:val="004E31D7"/>
    <w:rsid w:val="004E3EC1"/>
    <w:rsid w:val="004E6DE2"/>
    <w:rsid w:val="004F04BE"/>
    <w:rsid w:val="004F08FD"/>
    <w:rsid w:val="004F1853"/>
    <w:rsid w:val="004F1DD8"/>
    <w:rsid w:val="004F2183"/>
    <w:rsid w:val="004F259C"/>
    <w:rsid w:val="004F2BF9"/>
    <w:rsid w:val="004F3ED6"/>
    <w:rsid w:val="004F4DA7"/>
    <w:rsid w:val="004F5039"/>
    <w:rsid w:val="004F6766"/>
    <w:rsid w:val="004F6802"/>
    <w:rsid w:val="004F6E79"/>
    <w:rsid w:val="004F7195"/>
    <w:rsid w:val="005003AD"/>
    <w:rsid w:val="00500AFB"/>
    <w:rsid w:val="00500C7F"/>
    <w:rsid w:val="005022B9"/>
    <w:rsid w:val="005027A2"/>
    <w:rsid w:val="005028B4"/>
    <w:rsid w:val="00502BC7"/>
    <w:rsid w:val="00504AAF"/>
    <w:rsid w:val="0050525C"/>
    <w:rsid w:val="005059CD"/>
    <w:rsid w:val="005059CE"/>
    <w:rsid w:val="0050672B"/>
    <w:rsid w:val="005070D5"/>
    <w:rsid w:val="00507A12"/>
    <w:rsid w:val="00507E0A"/>
    <w:rsid w:val="00511546"/>
    <w:rsid w:val="005116AB"/>
    <w:rsid w:val="00512292"/>
    <w:rsid w:val="00512FF6"/>
    <w:rsid w:val="00513434"/>
    <w:rsid w:val="005141A2"/>
    <w:rsid w:val="00515831"/>
    <w:rsid w:val="00517347"/>
    <w:rsid w:val="0052026A"/>
    <w:rsid w:val="0052163C"/>
    <w:rsid w:val="00522065"/>
    <w:rsid w:val="0052227D"/>
    <w:rsid w:val="005227A2"/>
    <w:rsid w:val="005232BF"/>
    <w:rsid w:val="0052362B"/>
    <w:rsid w:val="00524BD3"/>
    <w:rsid w:val="005252B2"/>
    <w:rsid w:val="00525B80"/>
    <w:rsid w:val="00527225"/>
    <w:rsid w:val="00527A97"/>
    <w:rsid w:val="00527E74"/>
    <w:rsid w:val="0053044F"/>
    <w:rsid w:val="005317DB"/>
    <w:rsid w:val="00531B9A"/>
    <w:rsid w:val="00531C86"/>
    <w:rsid w:val="00531F2F"/>
    <w:rsid w:val="00533DC3"/>
    <w:rsid w:val="005346AC"/>
    <w:rsid w:val="00536184"/>
    <w:rsid w:val="00536529"/>
    <w:rsid w:val="0053704B"/>
    <w:rsid w:val="00537988"/>
    <w:rsid w:val="00537A6F"/>
    <w:rsid w:val="00537CCA"/>
    <w:rsid w:val="00540733"/>
    <w:rsid w:val="00540BAC"/>
    <w:rsid w:val="00541ACA"/>
    <w:rsid w:val="005434FB"/>
    <w:rsid w:val="00543A95"/>
    <w:rsid w:val="00544ACE"/>
    <w:rsid w:val="00545FE8"/>
    <w:rsid w:val="00546890"/>
    <w:rsid w:val="00547595"/>
    <w:rsid w:val="005508C4"/>
    <w:rsid w:val="005517E4"/>
    <w:rsid w:val="0055276B"/>
    <w:rsid w:val="0055397A"/>
    <w:rsid w:val="005546DC"/>
    <w:rsid w:val="005550F3"/>
    <w:rsid w:val="00555D55"/>
    <w:rsid w:val="00557ADC"/>
    <w:rsid w:val="00557F93"/>
    <w:rsid w:val="00561314"/>
    <w:rsid w:val="0056276A"/>
    <w:rsid w:val="00562837"/>
    <w:rsid w:val="0056396E"/>
    <w:rsid w:val="0056457D"/>
    <w:rsid w:val="00564890"/>
    <w:rsid w:val="005648DC"/>
    <w:rsid w:val="00564EA9"/>
    <w:rsid w:val="0056533F"/>
    <w:rsid w:val="0056741A"/>
    <w:rsid w:val="00571134"/>
    <w:rsid w:val="00571292"/>
    <w:rsid w:val="00571BF5"/>
    <w:rsid w:val="00571C32"/>
    <w:rsid w:val="00572568"/>
    <w:rsid w:val="0057323F"/>
    <w:rsid w:val="0057326C"/>
    <w:rsid w:val="0057382E"/>
    <w:rsid w:val="00574A02"/>
    <w:rsid w:val="00576562"/>
    <w:rsid w:val="00576818"/>
    <w:rsid w:val="00576DC5"/>
    <w:rsid w:val="00577417"/>
    <w:rsid w:val="00577964"/>
    <w:rsid w:val="00577D5E"/>
    <w:rsid w:val="0058003B"/>
    <w:rsid w:val="00580682"/>
    <w:rsid w:val="005817BE"/>
    <w:rsid w:val="00581E3A"/>
    <w:rsid w:val="00584352"/>
    <w:rsid w:val="005867AD"/>
    <w:rsid w:val="00586EB3"/>
    <w:rsid w:val="00587104"/>
    <w:rsid w:val="005873C8"/>
    <w:rsid w:val="00590682"/>
    <w:rsid w:val="0059248D"/>
    <w:rsid w:val="00593621"/>
    <w:rsid w:val="005938A0"/>
    <w:rsid w:val="00593BF8"/>
    <w:rsid w:val="00594266"/>
    <w:rsid w:val="00594576"/>
    <w:rsid w:val="0059518E"/>
    <w:rsid w:val="00596AB1"/>
    <w:rsid w:val="00597CD8"/>
    <w:rsid w:val="005A1076"/>
    <w:rsid w:val="005A266A"/>
    <w:rsid w:val="005A27F6"/>
    <w:rsid w:val="005A2AD5"/>
    <w:rsid w:val="005A4180"/>
    <w:rsid w:val="005A4220"/>
    <w:rsid w:val="005A4C9A"/>
    <w:rsid w:val="005A5888"/>
    <w:rsid w:val="005A5D3B"/>
    <w:rsid w:val="005A70A5"/>
    <w:rsid w:val="005A725F"/>
    <w:rsid w:val="005B0A17"/>
    <w:rsid w:val="005B0DA1"/>
    <w:rsid w:val="005B33BA"/>
    <w:rsid w:val="005B364A"/>
    <w:rsid w:val="005B3ABE"/>
    <w:rsid w:val="005B4E3F"/>
    <w:rsid w:val="005B4EF7"/>
    <w:rsid w:val="005B7EAD"/>
    <w:rsid w:val="005C0271"/>
    <w:rsid w:val="005C0529"/>
    <w:rsid w:val="005C10DB"/>
    <w:rsid w:val="005C1CAC"/>
    <w:rsid w:val="005C250A"/>
    <w:rsid w:val="005C2D7C"/>
    <w:rsid w:val="005C2F7D"/>
    <w:rsid w:val="005C345A"/>
    <w:rsid w:val="005C4A2E"/>
    <w:rsid w:val="005C64A2"/>
    <w:rsid w:val="005C64E3"/>
    <w:rsid w:val="005C661A"/>
    <w:rsid w:val="005C682A"/>
    <w:rsid w:val="005C78C2"/>
    <w:rsid w:val="005C79B2"/>
    <w:rsid w:val="005C7B90"/>
    <w:rsid w:val="005D0186"/>
    <w:rsid w:val="005D0385"/>
    <w:rsid w:val="005D0B63"/>
    <w:rsid w:val="005D4CF2"/>
    <w:rsid w:val="005D54CC"/>
    <w:rsid w:val="005D5962"/>
    <w:rsid w:val="005D657C"/>
    <w:rsid w:val="005D6A86"/>
    <w:rsid w:val="005D7E7C"/>
    <w:rsid w:val="005E015B"/>
    <w:rsid w:val="005E152E"/>
    <w:rsid w:val="005E193C"/>
    <w:rsid w:val="005E2D30"/>
    <w:rsid w:val="005E3032"/>
    <w:rsid w:val="005E33CC"/>
    <w:rsid w:val="005E45D4"/>
    <w:rsid w:val="005E4D08"/>
    <w:rsid w:val="005E6500"/>
    <w:rsid w:val="005E6E4E"/>
    <w:rsid w:val="005E72F0"/>
    <w:rsid w:val="005E75A2"/>
    <w:rsid w:val="005E786A"/>
    <w:rsid w:val="005F0C2C"/>
    <w:rsid w:val="005F1D0B"/>
    <w:rsid w:val="005F2A04"/>
    <w:rsid w:val="005F2B58"/>
    <w:rsid w:val="005F3C21"/>
    <w:rsid w:val="005F4273"/>
    <w:rsid w:val="005F51FB"/>
    <w:rsid w:val="005F56D6"/>
    <w:rsid w:val="005F610A"/>
    <w:rsid w:val="005F7D5C"/>
    <w:rsid w:val="00600C6D"/>
    <w:rsid w:val="00602A12"/>
    <w:rsid w:val="00602C74"/>
    <w:rsid w:val="00603898"/>
    <w:rsid w:val="00603C5B"/>
    <w:rsid w:val="006052E0"/>
    <w:rsid w:val="00606149"/>
    <w:rsid w:val="00607A10"/>
    <w:rsid w:val="006108D4"/>
    <w:rsid w:val="006113AE"/>
    <w:rsid w:val="006114F6"/>
    <w:rsid w:val="0061180B"/>
    <w:rsid w:val="00613C69"/>
    <w:rsid w:val="00613CDC"/>
    <w:rsid w:val="006157EA"/>
    <w:rsid w:val="00615D64"/>
    <w:rsid w:val="00616661"/>
    <w:rsid w:val="006168F4"/>
    <w:rsid w:val="00617B9C"/>
    <w:rsid w:val="00617F03"/>
    <w:rsid w:val="00620259"/>
    <w:rsid w:val="0062084A"/>
    <w:rsid w:val="00620AFD"/>
    <w:rsid w:val="006212C7"/>
    <w:rsid w:val="0062223C"/>
    <w:rsid w:val="00623356"/>
    <w:rsid w:val="00623C8A"/>
    <w:rsid w:val="006246FB"/>
    <w:rsid w:val="0062491B"/>
    <w:rsid w:val="00626157"/>
    <w:rsid w:val="00627015"/>
    <w:rsid w:val="006304A9"/>
    <w:rsid w:val="0063176C"/>
    <w:rsid w:val="00631BBF"/>
    <w:rsid w:val="0063242D"/>
    <w:rsid w:val="00632D01"/>
    <w:rsid w:val="006337AA"/>
    <w:rsid w:val="00633DB6"/>
    <w:rsid w:val="00634C7E"/>
    <w:rsid w:val="00635437"/>
    <w:rsid w:val="00635C55"/>
    <w:rsid w:val="00636488"/>
    <w:rsid w:val="006366D7"/>
    <w:rsid w:val="0064015C"/>
    <w:rsid w:val="00640BDB"/>
    <w:rsid w:val="006416F7"/>
    <w:rsid w:val="0064348C"/>
    <w:rsid w:val="0064382D"/>
    <w:rsid w:val="0064463B"/>
    <w:rsid w:val="00644DFC"/>
    <w:rsid w:val="00645368"/>
    <w:rsid w:val="00646372"/>
    <w:rsid w:val="00646A87"/>
    <w:rsid w:val="0064701D"/>
    <w:rsid w:val="00647186"/>
    <w:rsid w:val="00647862"/>
    <w:rsid w:val="00647DB8"/>
    <w:rsid w:val="00647F3D"/>
    <w:rsid w:val="00647F57"/>
    <w:rsid w:val="00650738"/>
    <w:rsid w:val="00652D84"/>
    <w:rsid w:val="00652FB2"/>
    <w:rsid w:val="00653776"/>
    <w:rsid w:val="00654885"/>
    <w:rsid w:val="00655376"/>
    <w:rsid w:val="006555FE"/>
    <w:rsid w:val="00656750"/>
    <w:rsid w:val="006567EE"/>
    <w:rsid w:val="006573DC"/>
    <w:rsid w:val="00660C07"/>
    <w:rsid w:val="00661442"/>
    <w:rsid w:val="00661580"/>
    <w:rsid w:val="00661730"/>
    <w:rsid w:val="00662527"/>
    <w:rsid w:val="00662F48"/>
    <w:rsid w:val="006639A0"/>
    <w:rsid w:val="00663C07"/>
    <w:rsid w:val="0066473C"/>
    <w:rsid w:val="0066512A"/>
    <w:rsid w:val="00665479"/>
    <w:rsid w:val="0066568E"/>
    <w:rsid w:val="00666638"/>
    <w:rsid w:val="006674C3"/>
    <w:rsid w:val="00667A4E"/>
    <w:rsid w:val="006701EC"/>
    <w:rsid w:val="00670462"/>
    <w:rsid w:val="00671CAA"/>
    <w:rsid w:val="00672D75"/>
    <w:rsid w:val="00672DD1"/>
    <w:rsid w:val="00672F50"/>
    <w:rsid w:val="00673097"/>
    <w:rsid w:val="006732B1"/>
    <w:rsid w:val="00674A64"/>
    <w:rsid w:val="00674F07"/>
    <w:rsid w:val="00675F3D"/>
    <w:rsid w:val="006768EF"/>
    <w:rsid w:val="006833BF"/>
    <w:rsid w:val="00684860"/>
    <w:rsid w:val="00685929"/>
    <w:rsid w:val="00685F9A"/>
    <w:rsid w:val="00686490"/>
    <w:rsid w:val="00686903"/>
    <w:rsid w:val="00687DD3"/>
    <w:rsid w:val="006908B1"/>
    <w:rsid w:val="006910B3"/>
    <w:rsid w:val="006918E2"/>
    <w:rsid w:val="006918FF"/>
    <w:rsid w:val="00691CDA"/>
    <w:rsid w:val="00693868"/>
    <w:rsid w:val="00693A3F"/>
    <w:rsid w:val="00695498"/>
    <w:rsid w:val="0069549C"/>
    <w:rsid w:val="006956AF"/>
    <w:rsid w:val="0069798B"/>
    <w:rsid w:val="00697A3A"/>
    <w:rsid w:val="006A0537"/>
    <w:rsid w:val="006A604A"/>
    <w:rsid w:val="006A6E96"/>
    <w:rsid w:val="006A7E9B"/>
    <w:rsid w:val="006B0030"/>
    <w:rsid w:val="006B0313"/>
    <w:rsid w:val="006B0EC1"/>
    <w:rsid w:val="006B4A0F"/>
    <w:rsid w:val="006B4F67"/>
    <w:rsid w:val="006B5ACD"/>
    <w:rsid w:val="006B5FC6"/>
    <w:rsid w:val="006B66FB"/>
    <w:rsid w:val="006C2676"/>
    <w:rsid w:val="006C2938"/>
    <w:rsid w:val="006C2C19"/>
    <w:rsid w:val="006C3073"/>
    <w:rsid w:val="006C5348"/>
    <w:rsid w:val="006C618D"/>
    <w:rsid w:val="006C66C5"/>
    <w:rsid w:val="006C71BB"/>
    <w:rsid w:val="006D0623"/>
    <w:rsid w:val="006D1F9D"/>
    <w:rsid w:val="006D3008"/>
    <w:rsid w:val="006D4C03"/>
    <w:rsid w:val="006D5403"/>
    <w:rsid w:val="006D5F05"/>
    <w:rsid w:val="006D5F46"/>
    <w:rsid w:val="006D6021"/>
    <w:rsid w:val="006D6F5E"/>
    <w:rsid w:val="006D706B"/>
    <w:rsid w:val="006E00B1"/>
    <w:rsid w:val="006E0DBA"/>
    <w:rsid w:val="006E0FB4"/>
    <w:rsid w:val="006E1EF1"/>
    <w:rsid w:val="006E4E30"/>
    <w:rsid w:val="006E7187"/>
    <w:rsid w:val="006E7465"/>
    <w:rsid w:val="006E7EC7"/>
    <w:rsid w:val="006F0242"/>
    <w:rsid w:val="006F02D8"/>
    <w:rsid w:val="006F0813"/>
    <w:rsid w:val="006F0C3C"/>
    <w:rsid w:val="006F1146"/>
    <w:rsid w:val="006F1223"/>
    <w:rsid w:val="006F15DF"/>
    <w:rsid w:val="006F1E98"/>
    <w:rsid w:val="006F3079"/>
    <w:rsid w:val="006F371A"/>
    <w:rsid w:val="006F4662"/>
    <w:rsid w:val="006F4751"/>
    <w:rsid w:val="006F51AE"/>
    <w:rsid w:val="006F5F36"/>
    <w:rsid w:val="00702608"/>
    <w:rsid w:val="007028A2"/>
    <w:rsid w:val="00703458"/>
    <w:rsid w:val="00703B94"/>
    <w:rsid w:val="00704488"/>
    <w:rsid w:val="0070495C"/>
    <w:rsid w:val="0070504C"/>
    <w:rsid w:val="00706799"/>
    <w:rsid w:val="00706F47"/>
    <w:rsid w:val="0070709A"/>
    <w:rsid w:val="00707AE1"/>
    <w:rsid w:val="00707DAA"/>
    <w:rsid w:val="007102FC"/>
    <w:rsid w:val="0071076A"/>
    <w:rsid w:val="007127D1"/>
    <w:rsid w:val="007154CC"/>
    <w:rsid w:val="00715636"/>
    <w:rsid w:val="007161A0"/>
    <w:rsid w:val="00716510"/>
    <w:rsid w:val="00720492"/>
    <w:rsid w:val="0072137A"/>
    <w:rsid w:val="007213AF"/>
    <w:rsid w:val="007215AE"/>
    <w:rsid w:val="0072180C"/>
    <w:rsid w:val="0072239A"/>
    <w:rsid w:val="00723200"/>
    <w:rsid w:val="0072325C"/>
    <w:rsid w:val="00724285"/>
    <w:rsid w:val="007256A8"/>
    <w:rsid w:val="007268F0"/>
    <w:rsid w:val="00726B13"/>
    <w:rsid w:val="00726F3B"/>
    <w:rsid w:val="00730F4B"/>
    <w:rsid w:val="007312F7"/>
    <w:rsid w:val="007317FE"/>
    <w:rsid w:val="00731D51"/>
    <w:rsid w:val="007327AC"/>
    <w:rsid w:val="00732D68"/>
    <w:rsid w:val="0073332B"/>
    <w:rsid w:val="0073618A"/>
    <w:rsid w:val="00737012"/>
    <w:rsid w:val="00737772"/>
    <w:rsid w:val="007378D8"/>
    <w:rsid w:val="00737D2B"/>
    <w:rsid w:val="0074011A"/>
    <w:rsid w:val="00740EF4"/>
    <w:rsid w:val="007412EB"/>
    <w:rsid w:val="00741ADA"/>
    <w:rsid w:val="00742A87"/>
    <w:rsid w:val="00742FF2"/>
    <w:rsid w:val="00743704"/>
    <w:rsid w:val="007443D8"/>
    <w:rsid w:val="00744A0D"/>
    <w:rsid w:val="00744BAF"/>
    <w:rsid w:val="00745D9A"/>
    <w:rsid w:val="00746675"/>
    <w:rsid w:val="00750AFD"/>
    <w:rsid w:val="007517C6"/>
    <w:rsid w:val="007518C5"/>
    <w:rsid w:val="00751D4C"/>
    <w:rsid w:val="00752B6A"/>
    <w:rsid w:val="00753C16"/>
    <w:rsid w:val="0075788E"/>
    <w:rsid w:val="00757E23"/>
    <w:rsid w:val="00760526"/>
    <w:rsid w:val="00762299"/>
    <w:rsid w:val="00762488"/>
    <w:rsid w:val="007624BE"/>
    <w:rsid w:val="00764871"/>
    <w:rsid w:val="00764956"/>
    <w:rsid w:val="007651AC"/>
    <w:rsid w:val="00765370"/>
    <w:rsid w:val="00765D23"/>
    <w:rsid w:val="00766E5F"/>
    <w:rsid w:val="00770491"/>
    <w:rsid w:val="00770498"/>
    <w:rsid w:val="00770A1F"/>
    <w:rsid w:val="00771E3E"/>
    <w:rsid w:val="00772947"/>
    <w:rsid w:val="00772CAF"/>
    <w:rsid w:val="00773CB0"/>
    <w:rsid w:val="007761BA"/>
    <w:rsid w:val="0077713A"/>
    <w:rsid w:val="00777D6D"/>
    <w:rsid w:val="00780003"/>
    <w:rsid w:val="007807FD"/>
    <w:rsid w:val="007816B5"/>
    <w:rsid w:val="00781C0F"/>
    <w:rsid w:val="007827E2"/>
    <w:rsid w:val="00783D7F"/>
    <w:rsid w:val="007841BB"/>
    <w:rsid w:val="00784EC0"/>
    <w:rsid w:val="0078547B"/>
    <w:rsid w:val="0078602A"/>
    <w:rsid w:val="007869C1"/>
    <w:rsid w:val="00787049"/>
    <w:rsid w:val="0078719A"/>
    <w:rsid w:val="00787493"/>
    <w:rsid w:val="00787A3B"/>
    <w:rsid w:val="0079117B"/>
    <w:rsid w:val="007913CB"/>
    <w:rsid w:val="00791405"/>
    <w:rsid w:val="00791965"/>
    <w:rsid w:val="007931C8"/>
    <w:rsid w:val="007934D9"/>
    <w:rsid w:val="00793A66"/>
    <w:rsid w:val="00794402"/>
    <w:rsid w:val="007963F9"/>
    <w:rsid w:val="00796DDC"/>
    <w:rsid w:val="00796F67"/>
    <w:rsid w:val="007979B8"/>
    <w:rsid w:val="007A0C61"/>
    <w:rsid w:val="007A16EA"/>
    <w:rsid w:val="007A1B16"/>
    <w:rsid w:val="007A3745"/>
    <w:rsid w:val="007A63AA"/>
    <w:rsid w:val="007A65D0"/>
    <w:rsid w:val="007A6B3F"/>
    <w:rsid w:val="007A7CCE"/>
    <w:rsid w:val="007B051C"/>
    <w:rsid w:val="007B1AD4"/>
    <w:rsid w:val="007B294B"/>
    <w:rsid w:val="007B3298"/>
    <w:rsid w:val="007B765B"/>
    <w:rsid w:val="007B7CA0"/>
    <w:rsid w:val="007C1271"/>
    <w:rsid w:val="007C12B7"/>
    <w:rsid w:val="007C1422"/>
    <w:rsid w:val="007C15D7"/>
    <w:rsid w:val="007C25AA"/>
    <w:rsid w:val="007C278A"/>
    <w:rsid w:val="007D0334"/>
    <w:rsid w:val="007D124F"/>
    <w:rsid w:val="007D1787"/>
    <w:rsid w:val="007D1D00"/>
    <w:rsid w:val="007D2AE7"/>
    <w:rsid w:val="007D2C2B"/>
    <w:rsid w:val="007D300F"/>
    <w:rsid w:val="007D3694"/>
    <w:rsid w:val="007D515E"/>
    <w:rsid w:val="007D6064"/>
    <w:rsid w:val="007D62EC"/>
    <w:rsid w:val="007D7522"/>
    <w:rsid w:val="007D7D62"/>
    <w:rsid w:val="007E0467"/>
    <w:rsid w:val="007E33E9"/>
    <w:rsid w:val="007E3537"/>
    <w:rsid w:val="007E3617"/>
    <w:rsid w:val="007E40D7"/>
    <w:rsid w:val="007E4D35"/>
    <w:rsid w:val="007E53CA"/>
    <w:rsid w:val="007E5670"/>
    <w:rsid w:val="007E5A92"/>
    <w:rsid w:val="007E6B03"/>
    <w:rsid w:val="007E70D4"/>
    <w:rsid w:val="007F0F1B"/>
    <w:rsid w:val="007F1757"/>
    <w:rsid w:val="007F233A"/>
    <w:rsid w:val="007F34F8"/>
    <w:rsid w:val="007F385C"/>
    <w:rsid w:val="007F4E09"/>
    <w:rsid w:val="007F60C7"/>
    <w:rsid w:val="007F6E85"/>
    <w:rsid w:val="007F73B0"/>
    <w:rsid w:val="007F7A40"/>
    <w:rsid w:val="008000EF"/>
    <w:rsid w:val="00800106"/>
    <w:rsid w:val="008022B9"/>
    <w:rsid w:val="00802750"/>
    <w:rsid w:val="008035C8"/>
    <w:rsid w:val="00803DAA"/>
    <w:rsid w:val="00804115"/>
    <w:rsid w:val="008046B9"/>
    <w:rsid w:val="00805545"/>
    <w:rsid w:val="00806B75"/>
    <w:rsid w:val="00807758"/>
    <w:rsid w:val="00810FB3"/>
    <w:rsid w:val="008111C2"/>
    <w:rsid w:val="008111E9"/>
    <w:rsid w:val="008117C5"/>
    <w:rsid w:val="008118DA"/>
    <w:rsid w:val="00811D11"/>
    <w:rsid w:val="008126B5"/>
    <w:rsid w:val="00812D32"/>
    <w:rsid w:val="008134CF"/>
    <w:rsid w:val="00813CAE"/>
    <w:rsid w:val="00814847"/>
    <w:rsid w:val="00815490"/>
    <w:rsid w:val="008155B3"/>
    <w:rsid w:val="00815C22"/>
    <w:rsid w:val="00816296"/>
    <w:rsid w:val="00816442"/>
    <w:rsid w:val="00816B7E"/>
    <w:rsid w:val="00817F43"/>
    <w:rsid w:val="0082088A"/>
    <w:rsid w:val="00821462"/>
    <w:rsid w:val="008217FF"/>
    <w:rsid w:val="008234AF"/>
    <w:rsid w:val="0082464D"/>
    <w:rsid w:val="00824839"/>
    <w:rsid w:val="0082605E"/>
    <w:rsid w:val="00826A80"/>
    <w:rsid w:val="00826C3F"/>
    <w:rsid w:val="008271EE"/>
    <w:rsid w:val="00827850"/>
    <w:rsid w:val="00827E7E"/>
    <w:rsid w:val="008333B9"/>
    <w:rsid w:val="0083485C"/>
    <w:rsid w:val="0083644A"/>
    <w:rsid w:val="0083696D"/>
    <w:rsid w:val="00836D83"/>
    <w:rsid w:val="0083728D"/>
    <w:rsid w:val="00837805"/>
    <w:rsid w:val="00837990"/>
    <w:rsid w:val="00840369"/>
    <w:rsid w:val="008410BA"/>
    <w:rsid w:val="00841285"/>
    <w:rsid w:val="008414CE"/>
    <w:rsid w:val="00844302"/>
    <w:rsid w:val="008450C2"/>
    <w:rsid w:val="00845740"/>
    <w:rsid w:val="00846563"/>
    <w:rsid w:val="0084669E"/>
    <w:rsid w:val="0084694A"/>
    <w:rsid w:val="00846E86"/>
    <w:rsid w:val="00847C6A"/>
    <w:rsid w:val="008505EC"/>
    <w:rsid w:val="00851312"/>
    <w:rsid w:val="008523CE"/>
    <w:rsid w:val="00852CF3"/>
    <w:rsid w:val="00852F55"/>
    <w:rsid w:val="00852F7D"/>
    <w:rsid w:val="008534E9"/>
    <w:rsid w:val="00854C5F"/>
    <w:rsid w:val="00855347"/>
    <w:rsid w:val="00855575"/>
    <w:rsid w:val="00855966"/>
    <w:rsid w:val="008565BC"/>
    <w:rsid w:val="00856D55"/>
    <w:rsid w:val="008574A1"/>
    <w:rsid w:val="008601B2"/>
    <w:rsid w:val="00860331"/>
    <w:rsid w:val="008609D1"/>
    <w:rsid w:val="00862337"/>
    <w:rsid w:val="008627B4"/>
    <w:rsid w:val="00863296"/>
    <w:rsid w:val="00863B3C"/>
    <w:rsid w:val="00863FA9"/>
    <w:rsid w:val="0086492A"/>
    <w:rsid w:val="00864E23"/>
    <w:rsid w:val="00864E92"/>
    <w:rsid w:val="00865D47"/>
    <w:rsid w:val="00871081"/>
    <w:rsid w:val="0087122A"/>
    <w:rsid w:val="00871908"/>
    <w:rsid w:val="0087292F"/>
    <w:rsid w:val="00873EE3"/>
    <w:rsid w:val="008742E5"/>
    <w:rsid w:val="00875D3D"/>
    <w:rsid w:val="008763F3"/>
    <w:rsid w:val="00877097"/>
    <w:rsid w:val="008770F0"/>
    <w:rsid w:val="0087781A"/>
    <w:rsid w:val="00877E03"/>
    <w:rsid w:val="008802B7"/>
    <w:rsid w:val="00880B42"/>
    <w:rsid w:val="008816EC"/>
    <w:rsid w:val="00882B16"/>
    <w:rsid w:val="00884F23"/>
    <w:rsid w:val="00885DF8"/>
    <w:rsid w:val="00886316"/>
    <w:rsid w:val="0088698A"/>
    <w:rsid w:val="0088744C"/>
    <w:rsid w:val="00890C4F"/>
    <w:rsid w:val="00891447"/>
    <w:rsid w:val="00891680"/>
    <w:rsid w:val="008917CE"/>
    <w:rsid w:val="0089182E"/>
    <w:rsid w:val="00891F4E"/>
    <w:rsid w:val="0089420A"/>
    <w:rsid w:val="0089469F"/>
    <w:rsid w:val="00896434"/>
    <w:rsid w:val="008968D3"/>
    <w:rsid w:val="00897121"/>
    <w:rsid w:val="008979B6"/>
    <w:rsid w:val="00897C15"/>
    <w:rsid w:val="008A0198"/>
    <w:rsid w:val="008A037A"/>
    <w:rsid w:val="008A0874"/>
    <w:rsid w:val="008A17D2"/>
    <w:rsid w:val="008A1A58"/>
    <w:rsid w:val="008A22C1"/>
    <w:rsid w:val="008A25D9"/>
    <w:rsid w:val="008A2AD3"/>
    <w:rsid w:val="008A56DA"/>
    <w:rsid w:val="008A6B5D"/>
    <w:rsid w:val="008A7BF9"/>
    <w:rsid w:val="008B0A4B"/>
    <w:rsid w:val="008B1959"/>
    <w:rsid w:val="008B1FF0"/>
    <w:rsid w:val="008B2029"/>
    <w:rsid w:val="008B238A"/>
    <w:rsid w:val="008B445B"/>
    <w:rsid w:val="008B4ACD"/>
    <w:rsid w:val="008B4C2E"/>
    <w:rsid w:val="008B59A4"/>
    <w:rsid w:val="008B5CC5"/>
    <w:rsid w:val="008B65CE"/>
    <w:rsid w:val="008B7284"/>
    <w:rsid w:val="008B7BFD"/>
    <w:rsid w:val="008C0984"/>
    <w:rsid w:val="008C106B"/>
    <w:rsid w:val="008C34C7"/>
    <w:rsid w:val="008C36C9"/>
    <w:rsid w:val="008C3AF8"/>
    <w:rsid w:val="008C4CBE"/>
    <w:rsid w:val="008C7758"/>
    <w:rsid w:val="008D0116"/>
    <w:rsid w:val="008D12F8"/>
    <w:rsid w:val="008D2F7D"/>
    <w:rsid w:val="008D33AB"/>
    <w:rsid w:val="008D384E"/>
    <w:rsid w:val="008D3B5F"/>
    <w:rsid w:val="008D3BE4"/>
    <w:rsid w:val="008D412D"/>
    <w:rsid w:val="008D5EDF"/>
    <w:rsid w:val="008D6521"/>
    <w:rsid w:val="008D6FF3"/>
    <w:rsid w:val="008D7D10"/>
    <w:rsid w:val="008E0519"/>
    <w:rsid w:val="008E14D8"/>
    <w:rsid w:val="008E1828"/>
    <w:rsid w:val="008E1BDA"/>
    <w:rsid w:val="008E2A9A"/>
    <w:rsid w:val="008E2F62"/>
    <w:rsid w:val="008E4A1D"/>
    <w:rsid w:val="008E6236"/>
    <w:rsid w:val="008E760B"/>
    <w:rsid w:val="008E777F"/>
    <w:rsid w:val="008E7FFC"/>
    <w:rsid w:val="008F0C1E"/>
    <w:rsid w:val="008F2821"/>
    <w:rsid w:val="008F3071"/>
    <w:rsid w:val="008F54C8"/>
    <w:rsid w:val="008F6852"/>
    <w:rsid w:val="008F6B66"/>
    <w:rsid w:val="008F73E1"/>
    <w:rsid w:val="008F76F5"/>
    <w:rsid w:val="008F7C9D"/>
    <w:rsid w:val="00900251"/>
    <w:rsid w:val="009002E5"/>
    <w:rsid w:val="00900E06"/>
    <w:rsid w:val="0090129C"/>
    <w:rsid w:val="009018B4"/>
    <w:rsid w:val="00901CB8"/>
    <w:rsid w:val="0090298A"/>
    <w:rsid w:val="0090393B"/>
    <w:rsid w:val="0090404C"/>
    <w:rsid w:val="009045F6"/>
    <w:rsid w:val="00904629"/>
    <w:rsid w:val="009048B8"/>
    <w:rsid w:val="00904BAA"/>
    <w:rsid w:val="00905129"/>
    <w:rsid w:val="0090559C"/>
    <w:rsid w:val="00906FC9"/>
    <w:rsid w:val="00910A99"/>
    <w:rsid w:val="0091223A"/>
    <w:rsid w:val="009132B4"/>
    <w:rsid w:val="009132EA"/>
    <w:rsid w:val="00914567"/>
    <w:rsid w:val="00914848"/>
    <w:rsid w:val="00914B6F"/>
    <w:rsid w:val="00915581"/>
    <w:rsid w:val="00915C22"/>
    <w:rsid w:val="009160CE"/>
    <w:rsid w:val="00916953"/>
    <w:rsid w:val="00917F22"/>
    <w:rsid w:val="0092080E"/>
    <w:rsid w:val="00921211"/>
    <w:rsid w:val="009219D1"/>
    <w:rsid w:val="00921FD1"/>
    <w:rsid w:val="00922084"/>
    <w:rsid w:val="00922383"/>
    <w:rsid w:val="00923919"/>
    <w:rsid w:val="00923E83"/>
    <w:rsid w:val="0092430F"/>
    <w:rsid w:val="00924A46"/>
    <w:rsid w:val="00924AEE"/>
    <w:rsid w:val="00926729"/>
    <w:rsid w:val="00927D8B"/>
    <w:rsid w:val="00930140"/>
    <w:rsid w:val="0093182F"/>
    <w:rsid w:val="00933A6D"/>
    <w:rsid w:val="009349E3"/>
    <w:rsid w:val="00936CDB"/>
    <w:rsid w:val="009375E3"/>
    <w:rsid w:val="00937F9C"/>
    <w:rsid w:val="0094089B"/>
    <w:rsid w:val="009408C8"/>
    <w:rsid w:val="00941C92"/>
    <w:rsid w:val="00942EB5"/>
    <w:rsid w:val="00943E26"/>
    <w:rsid w:val="0094430B"/>
    <w:rsid w:val="00945F41"/>
    <w:rsid w:val="0094705A"/>
    <w:rsid w:val="009504C3"/>
    <w:rsid w:val="009505F1"/>
    <w:rsid w:val="00951966"/>
    <w:rsid w:val="009519DC"/>
    <w:rsid w:val="00951D70"/>
    <w:rsid w:val="00951E21"/>
    <w:rsid w:val="009533EA"/>
    <w:rsid w:val="0095379C"/>
    <w:rsid w:val="00955A2A"/>
    <w:rsid w:val="009563FB"/>
    <w:rsid w:val="0095691B"/>
    <w:rsid w:val="00960105"/>
    <w:rsid w:val="009603A2"/>
    <w:rsid w:val="00961A8B"/>
    <w:rsid w:val="009622CA"/>
    <w:rsid w:val="009627D1"/>
    <w:rsid w:val="009630D6"/>
    <w:rsid w:val="0096340D"/>
    <w:rsid w:val="00963561"/>
    <w:rsid w:val="00963DD2"/>
    <w:rsid w:val="00964112"/>
    <w:rsid w:val="0096563A"/>
    <w:rsid w:val="009668F5"/>
    <w:rsid w:val="00966B70"/>
    <w:rsid w:val="00967663"/>
    <w:rsid w:val="009736F0"/>
    <w:rsid w:val="009738A2"/>
    <w:rsid w:val="00973E01"/>
    <w:rsid w:val="00975054"/>
    <w:rsid w:val="00975EA1"/>
    <w:rsid w:val="00977536"/>
    <w:rsid w:val="00977FC1"/>
    <w:rsid w:val="009805D7"/>
    <w:rsid w:val="00980895"/>
    <w:rsid w:val="009818A7"/>
    <w:rsid w:val="00982E87"/>
    <w:rsid w:val="009847C2"/>
    <w:rsid w:val="00985322"/>
    <w:rsid w:val="00985351"/>
    <w:rsid w:val="009855E9"/>
    <w:rsid w:val="00986A8F"/>
    <w:rsid w:val="00986C32"/>
    <w:rsid w:val="00987B17"/>
    <w:rsid w:val="00987E8A"/>
    <w:rsid w:val="00990B71"/>
    <w:rsid w:val="0099116B"/>
    <w:rsid w:val="00991FC6"/>
    <w:rsid w:val="0099392F"/>
    <w:rsid w:val="00994527"/>
    <w:rsid w:val="009956C8"/>
    <w:rsid w:val="009959A5"/>
    <w:rsid w:val="0099636D"/>
    <w:rsid w:val="00996B3A"/>
    <w:rsid w:val="00997A38"/>
    <w:rsid w:val="009A0B3C"/>
    <w:rsid w:val="009A10D0"/>
    <w:rsid w:val="009A1A2D"/>
    <w:rsid w:val="009A1B14"/>
    <w:rsid w:val="009A1BF1"/>
    <w:rsid w:val="009A3B0F"/>
    <w:rsid w:val="009A407A"/>
    <w:rsid w:val="009A5095"/>
    <w:rsid w:val="009A5988"/>
    <w:rsid w:val="009A6F97"/>
    <w:rsid w:val="009A7188"/>
    <w:rsid w:val="009A75CE"/>
    <w:rsid w:val="009A7EE8"/>
    <w:rsid w:val="009B1308"/>
    <w:rsid w:val="009B1361"/>
    <w:rsid w:val="009B161A"/>
    <w:rsid w:val="009B36A0"/>
    <w:rsid w:val="009B7929"/>
    <w:rsid w:val="009C01F1"/>
    <w:rsid w:val="009C072C"/>
    <w:rsid w:val="009C0F3F"/>
    <w:rsid w:val="009C125E"/>
    <w:rsid w:val="009C2C7B"/>
    <w:rsid w:val="009C2DAD"/>
    <w:rsid w:val="009C337D"/>
    <w:rsid w:val="009C3E13"/>
    <w:rsid w:val="009C5091"/>
    <w:rsid w:val="009C5A5F"/>
    <w:rsid w:val="009C5CAE"/>
    <w:rsid w:val="009C63D0"/>
    <w:rsid w:val="009C63D6"/>
    <w:rsid w:val="009C7C15"/>
    <w:rsid w:val="009D0376"/>
    <w:rsid w:val="009D1526"/>
    <w:rsid w:val="009D2B2E"/>
    <w:rsid w:val="009D655B"/>
    <w:rsid w:val="009E038D"/>
    <w:rsid w:val="009E058D"/>
    <w:rsid w:val="009E4079"/>
    <w:rsid w:val="009E42A3"/>
    <w:rsid w:val="009E4A04"/>
    <w:rsid w:val="009E5947"/>
    <w:rsid w:val="009E74E7"/>
    <w:rsid w:val="009E7989"/>
    <w:rsid w:val="009F0514"/>
    <w:rsid w:val="009F0FB4"/>
    <w:rsid w:val="009F1972"/>
    <w:rsid w:val="009F1DB6"/>
    <w:rsid w:val="009F296C"/>
    <w:rsid w:val="009F2A39"/>
    <w:rsid w:val="009F2D20"/>
    <w:rsid w:val="009F2E88"/>
    <w:rsid w:val="009F2FD1"/>
    <w:rsid w:val="009F3789"/>
    <w:rsid w:val="009F3825"/>
    <w:rsid w:val="009F384B"/>
    <w:rsid w:val="009F41B8"/>
    <w:rsid w:val="009F41E9"/>
    <w:rsid w:val="009F4844"/>
    <w:rsid w:val="009F5194"/>
    <w:rsid w:val="009F5426"/>
    <w:rsid w:val="009F5FA0"/>
    <w:rsid w:val="009F6522"/>
    <w:rsid w:val="009F7A3E"/>
    <w:rsid w:val="00A00789"/>
    <w:rsid w:val="00A017D1"/>
    <w:rsid w:val="00A01F30"/>
    <w:rsid w:val="00A0226C"/>
    <w:rsid w:val="00A02834"/>
    <w:rsid w:val="00A03726"/>
    <w:rsid w:val="00A056EB"/>
    <w:rsid w:val="00A05C78"/>
    <w:rsid w:val="00A05DC1"/>
    <w:rsid w:val="00A10BC5"/>
    <w:rsid w:val="00A113B5"/>
    <w:rsid w:val="00A11A1C"/>
    <w:rsid w:val="00A143DB"/>
    <w:rsid w:val="00A14BD8"/>
    <w:rsid w:val="00A15289"/>
    <w:rsid w:val="00A15430"/>
    <w:rsid w:val="00A16087"/>
    <w:rsid w:val="00A16711"/>
    <w:rsid w:val="00A172FB"/>
    <w:rsid w:val="00A17B6F"/>
    <w:rsid w:val="00A2154C"/>
    <w:rsid w:val="00A2232E"/>
    <w:rsid w:val="00A23540"/>
    <w:rsid w:val="00A236F0"/>
    <w:rsid w:val="00A2463F"/>
    <w:rsid w:val="00A25164"/>
    <w:rsid w:val="00A263DD"/>
    <w:rsid w:val="00A2675B"/>
    <w:rsid w:val="00A27AB4"/>
    <w:rsid w:val="00A30919"/>
    <w:rsid w:val="00A30D0A"/>
    <w:rsid w:val="00A32CE8"/>
    <w:rsid w:val="00A35A9E"/>
    <w:rsid w:val="00A36664"/>
    <w:rsid w:val="00A37ABC"/>
    <w:rsid w:val="00A40EE7"/>
    <w:rsid w:val="00A4148E"/>
    <w:rsid w:val="00A41CA3"/>
    <w:rsid w:val="00A421D1"/>
    <w:rsid w:val="00A44F7D"/>
    <w:rsid w:val="00A45562"/>
    <w:rsid w:val="00A46C28"/>
    <w:rsid w:val="00A472A1"/>
    <w:rsid w:val="00A5029C"/>
    <w:rsid w:val="00A50A17"/>
    <w:rsid w:val="00A52B61"/>
    <w:rsid w:val="00A5446B"/>
    <w:rsid w:val="00A54555"/>
    <w:rsid w:val="00A54F2F"/>
    <w:rsid w:val="00A5585E"/>
    <w:rsid w:val="00A55A8E"/>
    <w:rsid w:val="00A55B39"/>
    <w:rsid w:val="00A602F5"/>
    <w:rsid w:val="00A607E0"/>
    <w:rsid w:val="00A60A3B"/>
    <w:rsid w:val="00A67380"/>
    <w:rsid w:val="00A67972"/>
    <w:rsid w:val="00A71D62"/>
    <w:rsid w:val="00A72D9B"/>
    <w:rsid w:val="00A730E8"/>
    <w:rsid w:val="00A742F1"/>
    <w:rsid w:val="00A745D6"/>
    <w:rsid w:val="00A75C68"/>
    <w:rsid w:val="00A762E6"/>
    <w:rsid w:val="00A77302"/>
    <w:rsid w:val="00A7763C"/>
    <w:rsid w:val="00A778E3"/>
    <w:rsid w:val="00A80041"/>
    <w:rsid w:val="00A81877"/>
    <w:rsid w:val="00A82000"/>
    <w:rsid w:val="00A83092"/>
    <w:rsid w:val="00A83436"/>
    <w:rsid w:val="00A8354E"/>
    <w:rsid w:val="00A84450"/>
    <w:rsid w:val="00A861B2"/>
    <w:rsid w:val="00A87CA6"/>
    <w:rsid w:val="00A90573"/>
    <w:rsid w:val="00A9120F"/>
    <w:rsid w:val="00A91562"/>
    <w:rsid w:val="00A92191"/>
    <w:rsid w:val="00A93360"/>
    <w:rsid w:val="00A933F5"/>
    <w:rsid w:val="00A93D65"/>
    <w:rsid w:val="00A93F54"/>
    <w:rsid w:val="00A94810"/>
    <w:rsid w:val="00A94C8F"/>
    <w:rsid w:val="00A953CE"/>
    <w:rsid w:val="00A95AA1"/>
    <w:rsid w:val="00A95C6F"/>
    <w:rsid w:val="00A978D2"/>
    <w:rsid w:val="00AA005A"/>
    <w:rsid w:val="00AA0C9A"/>
    <w:rsid w:val="00AA2D3C"/>
    <w:rsid w:val="00AA3107"/>
    <w:rsid w:val="00AA36F4"/>
    <w:rsid w:val="00AA4F06"/>
    <w:rsid w:val="00AA535C"/>
    <w:rsid w:val="00AA67D2"/>
    <w:rsid w:val="00AA67DD"/>
    <w:rsid w:val="00AB2CA2"/>
    <w:rsid w:val="00AB4515"/>
    <w:rsid w:val="00AB5FF4"/>
    <w:rsid w:val="00AB763E"/>
    <w:rsid w:val="00AC0A9B"/>
    <w:rsid w:val="00AC0F04"/>
    <w:rsid w:val="00AC186D"/>
    <w:rsid w:val="00AC29BB"/>
    <w:rsid w:val="00AC36EB"/>
    <w:rsid w:val="00AC3D8D"/>
    <w:rsid w:val="00AC44CA"/>
    <w:rsid w:val="00AC6213"/>
    <w:rsid w:val="00AC6B49"/>
    <w:rsid w:val="00AC774F"/>
    <w:rsid w:val="00AD0397"/>
    <w:rsid w:val="00AD16CF"/>
    <w:rsid w:val="00AD1E07"/>
    <w:rsid w:val="00AD2E4D"/>
    <w:rsid w:val="00AD3549"/>
    <w:rsid w:val="00AD40EC"/>
    <w:rsid w:val="00AD6833"/>
    <w:rsid w:val="00AD6FDB"/>
    <w:rsid w:val="00AD717E"/>
    <w:rsid w:val="00AE047C"/>
    <w:rsid w:val="00AE05D0"/>
    <w:rsid w:val="00AE1568"/>
    <w:rsid w:val="00AE1D52"/>
    <w:rsid w:val="00AE24D1"/>
    <w:rsid w:val="00AE251B"/>
    <w:rsid w:val="00AE324B"/>
    <w:rsid w:val="00AE447A"/>
    <w:rsid w:val="00AE4975"/>
    <w:rsid w:val="00AE5B15"/>
    <w:rsid w:val="00AE5D8F"/>
    <w:rsid w:val="00AE6002"/>
    <w:rsid w:val="00AE739C"/>
    <w:rsid w:val="00AE75C6"/>
    <w:rsid w:val="00AF0699"/>
    <w:rsid w:val="00AF0AA0"/>
    <w:rsid w:val="00AF1376"/>
    <w:rsid w:val="00AF218F"/>
    <w:rsid w:val="00AF2364"/>
    <w:rsid w:val="00AF248A"/>
    <w:rsid w:val="00AF49AA"/>
    <w:rsid w:val="00AF5E48"/>
    <w:rsid w:val="00AF682A"/>
    <w:rsid w:val="00AF72EF"/>
    <w:rsid w:val="00AF7540"/>
    <w:rsid w:val="00AF7828"/>
    <w:rsid w:val="00B00AFF"/>
    <w:rsid w:val="00B010CA"/>
    <w:rsid w:val="00B01264"/>
    <w:rsid w:val="00B01275"/>
    <w:rsid w:val="00B01583"/>
    <w:rsid w:val="00B015A8"/>
    <w:rsid w:val="00B01857"/>
    <w:rsid w:val="00B01CA3"/>
    <w:rsid w:val="00B02766"/>
    <w:rsid w:val="00B028EE"/>
    <w:rsid w:val="00B02BB3"/>
    <w:rsid w:val="00B0340F"/>
    <w:rsid w:val="00B0446E"/>
    <w:rsid w:val="00B050C4"/>
    <w:rsid w:val="00B0518F"/>
    <w:rsid w:val="00B059C6"/>
    <w:rsid w:val="00B062CE"/>
    <w:rsid w:val="00B06591"/>
    <w:rsid w:val="00B06AE1"/>
    <w:rsid w:val="00B07A1E"/>
    <w:rsid w:val="00B10BF9"/>
    <w:rsid w:val="00B11660"/>
    <w:rsid w:val="00B119DE"/>
    <w:rsid w:val="00B128D6"/>
    <w:rsid w:val="00B13E70"/>
    <w:rsid w:val="00B1573F"/>
    <w:rsid w:val="00B158B6"/>
    <w:rsid w:val="00B1598F"/>
    <w:rsid w:val="00B15DC7"/>
    <w:rsid w:val="00B16B1D"/>
    <w:rsid w:val="00B17495"/>
    <w:rsid w:val="00B1759C"/>
    <w:rsid w:val="00B20F7D"/>
    <w:rsid w:val="00B22763"/>
    <w:rsid w:val="00B2292A"/>
    <w:rsid w:val="00B22E60"/>
    <w:rsid w:val="00B249E5"/>
    <w:rsid w:val="00B24AE5"/>
    <w:rsid w:val="00B25D51"/>
    <w:rsid w:val="00B2667A"/>
    <w:rsid w:val="00B26C52"/>
    <w:rsid w:val="00B26CDC"/>
    <w:rsid w:val="00B2771B"/>
    <w:rsid w:val="00B277D3"/>
    <w:rsid w:val="00B301E9"/>
    <w:rsid w:val="00B30D3C"/>
    <w:rsid w:val="00B31059"/>
    <w:rsid w:val="00B31265"/>
    <w:rsid w:val="00B3159F"/>
    <w:rsid w:val="00B32150"/>
    <w:rsid w:val="00B3255B"/>
    <w:rsid w:val="00B32EA0"/>
    <w:rsid w:val="00B332EE"/>
    <w:rsid w:val="00B33371"/>
    <w:rsid w:val="00B33601"/>
    <w:rsid w:val="00B3451F"/>
    <w:rsid w:val="00B347AD"/>
    <w:rsid w:val="00B356A0"/>
    <w:rsid w:val="00B3631B"/>
    <w:rsid w:val="00B364DE"/>
    <w:rsid w:val="00B366ED"/>
    <w:rsid w:val="00B37260"/>
    <w:rsid w:val="00B4006C"/>
    <w:rsid w:val="00B407B9"/>
    <w:rsid w:val="00B41648"/>
    <w:rsid w:val="00B421D9"/>
    <w:rsid w:val="00B43006"/>
    <w:rsid w:val="00B4374C"/>
    <w:rsid w:val="00B4387A"/>
    <w:rsid w:val="00B43CFA"/>
    <w:rsid w:val="00B44884"/>
    <w:rsid w:val="00B45DED"/>
    <w:rsid w:val="00B45EB4"/>
    <w:rsid w:val="00B46545"/>
    <w:rsid w:val="00B4689B"/>
    <w:rsid w:val="00B50008"/>
    <w:rsid w:val="00B51EE2"/>
    <w:rsid w:val="00B55545"/>
    <w:rsid w:val="00B55E70"/>
    <w:rsid w:val="00B571F3"/>
    <w:rsid w:val="00B600A4"/>
    <w:rsid w:val="00B60990"/>
    <w:rsid w:val="00B61614"/>
    <w:rsid w:val="00B63D32"/>
    <w:rsid w:val="00B640B3"/>
    <w:rsid w:val="00B6459B"/>
    <w:rsid w:val="00B654DE"/>
    <w:rsid w:val="00B67A24"/>
    <w:rsid w:val="00B72C08"/>
    <w:rsid w:val="00B73499"/>
    <w:rsid w:val="00B73705"/>
    <w:rsid w:val="00B7384C"/>
    <w:rsid w:val="00B750BE"/>
    <w:rsid w:val="00B75BBD"/>
    <w:rsid w:val="00B76280"/>
    <w:rsid w:val="00B766E6"/>
    <w:rsid w:val="00B801E1"/>
    <w:rsid w:val="00B80888"/>
    <w:rsid w:val="00B81202"/>
    <w:rsid w:val="00B8156E"/>
    <w:rsid w:val="00B81B86"/>
    <w:rsid w:val="00B82A15"/>
    <w:rsid w:val="00B832C6"/>
    <w:rsid w:val="00B86289"/>
    <w:rsid w:val="00B8649F"/>
    <w:rsid w:val="00B86510"/>
    <w:rsid w:val="00B87336"/>
    <w:rsid w:val="00B921CF"/>
    <w:rsid w:val="00B934E7"/>
    <w:rsid w:val="00B9366F"/>
    <w:rsid w:val="00B969E2"/>
    <w:rsid w:val="00B96DDF"/>
    <w:rsid w:val="00B97501"/>
    <w:rsid w:val="00BA035A"/>
    <w:rsid w:val="00BA0B58"/>
    <w:rsid w:val="00BA174B"/>
    <w:rsid w:val="00BA21E5"/>
    <w:rsid w:val="00BA228D"/>
    <w:rsid w:val="00BA2AEF"/>
    <w:rsid w:val="00BA3A81"/>
    <w:rsid w:val="00BA3CB1"/>
    <w:rsid w:val="00BA49A5"/>
    <w:rsid w:val="00BA5B1F"/>
    <w:rsid w:val="00BA5E5E"/>
    <w:rsid w:val="00BA6086"/>
    <w:rsid w:val="00BA778E"/>
    <w:rsid w:val="00BA7888"/>
    <w:rsid w:val="00BA790E"/>
    <w:rsid w:val="00BB1DCE"/>
    <w:rsid w:val="00BB2D91"/>
    <w:rsid w:val="00BB3E5E"/>
    <w:rsid w:val="00BB41D0"/>
    <w:rsid w:val="00BB530F"/>
    <w:rsid w:val="00BB565A"/>
    <w:rsid w:val="00BB5788"/>
    <w:rsid w:val="00BB7C17"/>
    <w:rsid w:val="00BC00C3"/>
    <w:rsid w:val="00BC0503"/>
    <w:rsid w:val="00BC111A"/>
    <w:rsid w:val="00BC3E2D"/>
    <w:rsid w:val="00BC672F"/>
    <w:rsid w:val="00BC74CE"/>
    <w:rsid w:val="00BC768B"/>
    <w:rsid w:val="00BC7DE6"/>
    <w:rsid w:val="00BD0ED8"/>
    <w:rsid w:val="00BD14D3"/>
    <w:rsid w:val="00BD1AA0"/>
    <w:rsid w:val="00BD3085"/>
    <w:rsid w:val="00BD3E82"/>
    <w:rsid w:val="00BD433D"/>
    <w:rsid w:val="00BD507B"/>
    <w:rsid w:val="00BD530B"/>
    <w:rsid w:val="00BD6845"/>
    <w:rsid w:val="00BD6BC5"/>
    <w:rsid w:val="00BD715D"/>
    <w:rsid w:val="00BE0079"/>
    <w:rsid w:val="00BE01E4"/>
    <w:rsid w:val="00BE035B"/>
    <w:rsid w:val="00BE058B"/>
    <w:rsid w:val="00BE195C"/>
    <w:rsid w:val="00BE3666"/>
    <w:rsid w:val="00BE37D2"/>
    <w:rsid w:val="00BE472E"/>
    <w:rsid w:val="00BE6956"/>
    <w:rsid w:val="00BE6A3E"/>
    <w:rsid w:val="00BE72C4"/>
    <w:rsid w:val="00BF0B9C"/>
    <w:rsid w:val="00BF182C"/>
    <w:rsid w:val="00BF252B"/>
    <w:rsid w:val="00BF25D7"/>
    <w:rsid w:val="00BF30E8"/>
    <w:rsid w:val="00BF3592"/>
    <w:rsid w:val="00BF437D"/>
    <w:rsid w:val="00BF4788"/>
    <w:rsid w:val="00BF6780"/>
    <w:rsid w:val="00BF6FB5"/>
    <w:rsid w:val="00BF7570"/>
    <w:rsid w:val="00C004E3"/>
    <w:rsid w:val="00C01377"/>
    <w:rsid w:val="00C01436"/>
    <w:rsid w:val="00C039CB"/>
    <w:rsid w:val="00C039F4"/>
    <w:rsid w:val="00C0432E"/>
    <w:rsid w:val="00C04422"/>
    <w:rsid w:val="00C04559"/>
    <w:rsid w:val="00C05D43"/>
    <w:rsid w:val="00C0632D"/>
    <w:rsid w:val="00C06755"/>
    <w:rsid w:val="00C06F9F"/>
    <w:rsid w:val="00C0745B"/>
    <w:rsid w:val="00C07B32"/>
    <w:rsid w:val="00C10F2E"/>
    <w:rsid w:val="00C1199B"/>
    <w:rsid w:val="00C11D0F"/>
    <w:rsid w:val="00C11D4B"/>
    <w:rsid w:val="00C11D6E"/>
    <w:rsid w:val="00C120E8"/>
    <w:rsid w:val="00C12127"/>
    <w:rsid w:val="00C1374F"/>
    <w:rsid w:val="00C14435"/>
    <w:rsid w:val="00C14754"/>
    <w:rsid w:val="00C147A4"/>
    <w:rsid w:val="00C14988"/>
    <w:rsid w:val="00C14FC2"/>
    <w:rsid w:val="00C16AB5"/>
    <w:rsid w:val="00C16E9E"/>
    <w:rsid w:val="00C171B8"/>
    <w:rsid w:val="00C20AE0"/>
    <w:rsid w:val="00C20C8B"/>
    <w:rsid w:val="00C21C2F"/>
    <w:rsid w:val="00C227AE"/>
    <w:rsid w:val="00C233FD"/>
    <w:rsid w:val="00C236EF"/>
    <w:rsid w:val="00C239EB"/>
    <w:rsid w:val="00C245CA"/>
    <w:rsid w:val="00C318CE"/>
    <w:rsid w:val="00C31FCD"/>
    <w:rsid w:val="00C3505F"/>
    <w:rsid w:val="00C356B9"/>
    <w:rsid w:val="00C35FE2"/>
    <w:rsid w:val="00C36542"/>
    <w:rsid w:val="00C3758A"/>
    <w:rsid w:val="00C37827"/>
    <w:rsid w:val="00C40270"/>
    <w:rsid w:val="00C40B60"/>
    <w:rsid w:val="00C421DD"/>
    <w:rsid w:val="00C4242B"/>
    <w:rsid w:val="00C44630"/>
    <w:rsid w:val="00C453B6"/>
    <w:rsid w:val="00C46E31"/>
    <w:rsid w:val="00C500B5"/>
    <w:rsid w:val="00C50B56"/>
    <w:rsid w:val="00C51CF2"/>
    <w:rsid w:val="00C5321B"/>
    <w:rsid w:val="00C5461A"/>
    <w:rsid w:val="00C56261"/>
    <w:rsid w:val="00C5659F"/>
    <w:rsid w:val="00C567FE"/>
    <w:rsid w:val="00C57469"/>
    <w:rsid w:val="00C57C9A"/>
    <w:rsid w:val="00C607AF"/>
    <w:rsid w:val="00C63A0D"/>
    <w:rsid w:val="00C64745"/>
    <w:rsid w:val="00C64922"/>
    <w:rsid w:val="00C649CA"/>
    <w:rsid w:val="00C663D5"/>
    <w:rsid w:val="00C7048D"/>
    <w:rsid w:val="00C71164"/>
    <w:rsid w:val="00C714C3"/>
    <w:rsid w:val="00C7155E"/>
    <w:rsid w:val="00C71865"/>
    <w:rsid w:val="00C72F8D"/>
    <w:rsid w:val="00C730A6"/>
    <w:rsid w:val="00C74FE3"/>
    <w:rsid w:val="00C7519E"/>
    <w:rsid w:val="00C752D8"/>
    <w:rsid w:val="00C75685"/>
    <w:rsid w:val="00C76289"/>
    <w:rsid w:val="00C7641F"/>
    <w:rsid w:val="00C80858"/>
    <w:rsid w:val="00C81F9E"/>
    <w:rsid w:val="00C82EFE"/>
    <w:rsid w:val="00C830E6"/>
    <w:rsid w:val="00C8426D"/>
    <w:rsid w:val="00C8599D"/>
    <w:rsid w:val="00C85DE4"/>
    <w:rsid w:val="00C87E34"/>
    <w:rsid w:val="00C902F6"/>
    <w:rsid w:val="00C91195"/>
    <w:rsid w:val="00C917DE"/>
    <w:rsid w:val="00C91AA1"/>
    <w:rsid w:val="00C91F2B"/>
    <w:rsid w:val="00C92CE5"/>
    <w:rsid w:val="00C932B8"/>
    <w:rsid w:val="00C93B41"/>
    <w:rsid w:val="00C94933"/>
    <w:rsid w:val="00C9595D"/>
    <w:rsid w:val="00CA069D"/>
    <w:rsid w:val="00CA1785"/>
    <w:rsid w:val="00CA1FD0"/>
    <w:rsid w:val="00CA288A"/>
    <w:rsid w:val="00CA5BB0"/>
    <w:rsid w:val="00CA629B"/>
    <w:rsid w:val="00CA6E36"/>
    <w:rsid w:val="00CA7FAB"/>
    <w:rsid w:val="00CB02C0"/>
    <w:rsid w:val="00CB0514"/>
    <w:rsid w:val="00CB0AED"/>
    <w:rsid w:val="00CB28AF"/>
    <w:rsid w:val="00CB328D"/>
    <w:rsid w:val="00CB3800"/>
    <w:rsid w:val="00CB5ED4"/>
    <w:rsid w:val="00CB6CFC"/>
    <w:rsid w:val="00CB6DB5"/>
    <w:rsid w:val="00CB764E"/>
    <w:rsid w:val="00CB77B1"/>
    <w:rsid w:val="00CC1D1D"/>
    <w:rsid w:val="00CC224E"/>
    <w:rsid w:val="00CC2EDB"/>
    <w:rsid w:val="00CC32CC"/>
    <w:rsid w:val="00CC3F54"/>
    <w:rsid w:val="00CC450B"/>
    <w:rsid w:val="00CC4915"/>
    <w:rsid w:val="00CC4930"/>
    <w:rsid w:val="00CC51E3"/>
    <w:rsid w:val="00CC5618"/>
    <w:rsid w:val="00CC60B9"/>
    <w:rsid w:val="00CC68FC"/>
    <w:rsid w:val="00CC78FB"/>
    <w:rsid w:val="00CD0EC3"/>
    <w:rsid w:val="00CD24A6"/>
    <w:rsid w:val="00CD25F6"/>
    <w:rsid w:val="00CD32A4"/>
    <w:rsid w:val="00CD33F4"/>
    <w:rsid w:val="00CD5307"/>
    <w:rsid w:val="00CD5378"/>
    <w:rsid w:val="00CD70E6"/>
    <w:rsid w:val="00CE0151"/>
    <w:rsid w:val="00CE0180"/>
    <w:rsid w:val="00CE0B7B"/>
    <w:rsid w:val="00CE100A"/>
    <w:rsid w:val="00CE1448"/>
    <w:rsid w:val="00CE295C"/>
    <w:rsid w:val="00CE3788"/>
    <w:rsid w:val="00CE48BA"/>
    <w:rsid w:val="00CE4934"/>
    <w:rsid w:val="00CE5AFD"/>
    <w:rsid w:val="00CE754B"/>
    <w:rsid w:val="00CE78D4"/>
    <w:rsid w:val="00CF19AB"/>
    <w:rsid w:val="00CF1BBF"/>
    <w:rsid w:val="00CF274E"/>
    <w:rsid w:val="00CF34D7"/>
    <w:rsid w:val="00CF3BBF"/>
    <w:rsid w:val="00CF5455"/>
    <w:rsid w:val="00CF5830"/>
    <w:rsid w:val="00CF5F40"/>
    <w:rsid w:val="00CF7288"/>
    <w:rsid w:val="00D01A22"/>
    <w:rsid w:val="00D02E7F"/>
    <w:rsid w:val="00D02F63"/>
    <w:rsid w:val="00D033BC"/>
    <w:rsid w:val="00D03D67"/>
    <w:rsid w:val="00D05696"/>
    <w:rsid w:val="00D05FDA"/>
    <w:rsid w:val="00D10FD1"/>
    <w:rsid w:val="00D11078"/>
    <w:rsid w:val="00D11129"/>
    <w:rsid w:val="00D11243"/>
    <w:rsid w:val="00D11D02"/>
    <w:rsid w:val="00D11D17"/>
    <w:rsid w:val="00D1297A"/>
    <w:rsid w:val="00D12BC2"/>
    <w:rsid w:val="00D1348B"/>
    <w:rsid w:val="00D13688"/>
    <w:rsid w:val="00D1420F"/>
    <w:rsid w:val="00D16864"/>
    <w:rsid w:val="00D170CC"/>
    <w:rsid w:val="00D177EA"/>
    <w:rsid w:val="00D2402D"/>
    <w:rsid w:val="00D246A5"/>
    <w:rsid w:val="00D2507D"/>
    <w:rsid w:val="00D25972"/>
    <w:rsid w:val="00D2696E"/>
    <w:rsid w:val="00D26E4F"/>
    <w:rsid w:val="00D27D05"/>
    <w:rsid w:val="00D30110"/>
    <w:rsid w:val="00D30372"/>
    <w:rsid w:val="00D30B03"/>
    <w:rsid w:val="00D31CC5"/>
    <w:rsid w:val="00D32131"/>
    <w:rsid w:val="00D32704"/>
    <w:rsid w:val="00D328A1"/>
    <w:rsid w:val="00D33285"/>
    <w:rsid w:val="00D33469"/>
    <w:rsid w:val="00D33B4E"/>
    <w:rsid w:val="00D35441"/>
    <w:rsid w:val="00D3618C"/>
    <w:rsid w:val="00D36CCF"/>
    <w:rsid w:val="00D37965"/>
    <w:rsid w:val="00D37F13"/>
    <w:rsid w:val="00D40DEC"/>
    <w:rsid w:val="00D41B4F"/>
    <w:rsid w:val="00D43D04"/>
    <w:rsid w:val="00D44B7F"/>
    <w:rsid w:val="00D455A3"/>
    <w:rsid w:val="00D457DE"/>
    <w:rsid w:val="00D463A4"/>
    <w:rsid w:val="00D4770D"/>
    <w:rsid w:val="00D47A74"/>
    <w:rsid w:val="00D5197F"/>
    <w:rsid w:val="00D51F13"/>
    <w:rsid w:val="00D52911"/>
    <w:rsid w:val="00D52C52"/>
    <w:rsid w:val="00D53402"/>
    <w:rsid w:val="00D53DC0"/>
    <w:rsid w:val="00D551BF"/>
    <w:rsid w:val="00D57AF8"/>
    <w:rsid w:val="00D6208C"/>
    <w:rsid w:val="00D6210A"/>
    <w:rsid w:val="00D636F7"/>
    <w:rsid w:val="00D653C2"/>
    <w:rsid w:val="00D655AA"/>
    <w:rsid w:val="00D65685"/>
    <w:rsid w:val="00D66190"/>
    <w:rsid w:val="00D66CB0"/>
    <w:rsid w:val="00D66DBA"/>
    <w:rsid w:val="00D6754F"/>
    <w:rsid w:val="00D67A1C"/>
    <w:rsid w:val="00D72172"/>
    <w:rsid w:val="00D72479"/>
    <w:rsid w:val="00D726FD"/>
    <w:rsid w:val="00D73539"/>
    <w:rsid w:val="00D736EF"/>
    <w:rsid w:val="00D73B69"/>
    <w:rsid w:val="00D74787"/>
    <w:rsid w:val="00D74B76"/>
    <w:rsid w:val="00D75488"/>
    <w:rsid w:val="00D758BB"/>
    <w:rsid w:val="00D762F8"/>
    <w:rsid w:val="00D76F4A"/>
    <w:rsid w:val="00D77234"/>
    <w:rsid w:val="00D8016E"/>
    <w:rsid w:val="00D80243"/>
    <w:rsid w:val="00D80D79"/>
    <w:rsid w:val="00D837A9"/>
    <w:rsid w:val="00D83E9E"/>
    <w:rsid w:val="00D840C8"/>
    <w:rsid w:val="00D84F9A"/>
    <w:rsid w:val="00D86C28"/>
    <w:rsid w:val="00D87081"/>
    <w:rsid w:val="00D8730C"/>
    <w:rsid w:val="00D913E4"/>
    <w:rsid w:val="00D93B14"/>
    <w:rsid w:val="00D93DD7"/>
    <w:rsid w:val="00D96E3B"/>
    <w:rsid w:val="00DA03BE"/>
    <w:rsid w:val="00DA336B"/>
    <w:rsid w:val="00DA3B09"/>
    <w:rsid w:val="00DA7E73"/>
    <w:rsid w:val="00DB16AE"/>
    <w:rsid w:val="00DB20CE"/>
    <w:rsid w:val="00DB33E3"/>
    <w:rsid w:val="00DB384E"/>
    <w:rsid w:val="00DB4764"/>
    <w:rsid w:val="00DB57F5"/>
    <w:rsid w:val="00DB6C15"/>
    <w:rsid w:val="00DC22BA"/>
    <w:rsid w:val="00DC3BB2"/>
    <w:rsid w:val="00DC4756"/>
    <w:rsid w:val="00DC4822"/>
    <w:rsid w:val="00DC4BE6"/>
    <w:rsid w:val="00DC4D2E"/>
    <w:rsid w:val="00DC523C"/>
    <w:rsid w:val="00DC5414"/>
    <w:rsid w:val="00DC594D"/>
    <w:rsid w:val="00DC7F85"/>
    <w:rsid w:val="00DD0215"/>
    <w:rsid w:val="00DD026E"/>
    <w:rsid w:val="00DD0EA9"/>
    <w:rsid w:val="00DD1527"/>
    <w:rsid w:val="00DD3A09"/>
    <w:rsid w:val="00DD3AAD"/>
    <w:rsid w:val="00DD616D"/>
    <w:rsid w:val="00DD6359"/>
    <w:rsid w:val="00DD7165"/>
    <w:rsid w:val="00DD7284"/>
    <w:rsid w:val="00DD7788"/>
    <w:rsid w:val="00DD7C51"/>
    <w:rsid w:val="00DE0119"/>
    <w:rsid w:val="00DE0792"/>
    <w:rsid w:val="00DE08B9"/>
    <w:rsid w:val="00DE2888"/>
    <w:rsid w:val="00DE5A72"/>
    <w:rsid w:val="00DE5F10"/>
    <w:rsid w:val="00DE6BDE"/>
    <w:rsid w:val="00DE6FA8"/>
    <w:rsid w:val="00DF0168"/>
    <w:rsid w:val="00DF0BBE"/>
    <w:rsid w:val="00DF17C9"/>
    <w:rsid w:val="00DF1AF6"/>
    <w:rsid w:val="00DF31D4"/>
    <w:rsid w:val="00DF41B1"/>
    <w:rsid w:val="00DF4A70"/>
    <w:rsid w:val="00DF4B8A"/>
    <w:rsid w:val="00DF4FEA"/>
    <w:rsid w:val="00DF571B"/>
    <w:rsid w:val="00DF6097"/>
    <w:rsid w:val="00DF616E"/>
    <w:rsid w:val="00DF6A5B"/>
    <w:rsid w:val="00DF749F"/>
    <w:rsid w:val="00E00FA7"/>
    <w:rsid w:val="00E013E6"/>
    <w:rsid w:val="00E02B0B"/>
    <w:rsid w:val="00E02DBE"/>
    <w:rsid w:val="00E0361E"/>
    <w:rsid w:val="00E04207"/>
    <w:rsid w:val="00E044FF"/>
    <w:rsid w:val="00E051A7"/>
    <w:rsid w:val="00E0733C"/>
    <w:rsid w:val="00E11DFA"/>
    <w:rsid w:val="00E12231"/>
    <w:rsid w:val="00E128EF"/>
    <w:rsid w:val="00E13A2F"/>
    <w:rsid w:val="00E1406B"/>
    <w:rsid w:val="00E14E8B"/>
    <w:rsid w:val="00E15401"/>
    <w:rsid w:val="00E155FB"/>
    <w:rsid w:val="00E163A3"/>
    <w:rsid w:val="00E16CAA"/>
    <w:rsid w:val="00E17B53"/>
    <w:rsid w:val="00E21C7B"/>
    <w:rsid w:val="00E2293D"/>
    <w:rsid w:val="00E22DBF"/>
    <w:rsid w:val="00E238C2"/>
    <w:rsid w:val="00E23A8D"/>
    <w:rsid w:val="00E23CDC"/>
    <w:rsid w:val="00E251D2"/>
    <w:rsid w:val="00E257C9"/>
    <w:rsid w:val="00E268A5"/>
    <w:rsid w:val="00E268CE"/>
    <w:rsid w:val="00E30166"/>
    <w:rsid w:val="00E30C0E"/>
    <w:rsid w:val="00E30EA1"/>
    <w:rsid w:val="00E315AA"/>
    <w:rsid w:val="00E31B13"/>
    <w:rsid w:val="00E32EC5"/>
    <w:rsid w:val="00E32FA8"/>
    <w:rsid w:val="00E332D6"/>
    <w:rsid w:val="00E33619"/>
    <w:rsid w:val="00E33BAE"/>
    <w:rsid w:val="00E33BB4"/>
    <w:rsid w:val="00E34242"/>
    <w:rsid w:val="00E351C0"/>
    <w:rsid w:val="00E35602"/>
    <w:rsid w:val="00E35C15"/>
    <w:rsid w:val="00E367E2"/>
    <w:rsid w:val="00E36DF5"/>
    <w:rsid w:val="00E3725C"/>
    <w:rsid w:val="00E3767A"/>
    <w:rsid w:val="00E42E8D"/>
    <w:rsid w:val="00E4330D"/>
    <w:rsid w:val="00E43A3D"/>
    <w:rsid w:val="00E443DA"/>
    <w:rsid w:val="00E458DF"/>
    <w:rsid w:val="00E45927"/>
    <w:rsid w:val="00E46035"/>
    <w:rsid w:val="00E47B65"/>
    <w:rsid w:val="00E512E2"/>
    <w:rsid w:val="00E515A2"/>
    <w:rsid w:val="00E51B16"/>
    <w:rsid w:val="00E5336B"/>
    <w:rsid w:val="00E544E9"/>
    <w:rsid w:val="00E54E41"/>
    <w:rsid w:val="00E55067"/>
    <w:rsid w:val="00E55574"/>
    <w:rsid w:val="00E558B2"/>
    <w:rsid w:val="00E562D4"/>
    <w:rsid w:val="00E56594"/>
    <w:rsid w:val="00E56D4D"/>
    <w:rsid w:val="00E6141D"/>
    <w:rsid w:val="00E61EE7"/>
    <w:rsid w:val="00E63197"/>
    <w:rsid w:val="00E6337E"/>
    <w:rsid w:val="00E633F2"/>
    <w:rsid w:val="00E63764"/>
    <w:rsid w:val="00E637B6"/>
    <w:rsid w:val="00E63EA9"/>
    <w:rsid w:val="00E64FBE"/>
    <w:rsid w:val="00E653C7"/>
    <w:rsid w:val="00E65BD2"/>
    <w:rsid w:val="00E65EB4"/>
    <w:rsid w:val="00E66348"/>
    <w:rsid w:val="00E66935"/>
    <w:rsid w:val="00E67A38"/>
    <w:rsid w:val="00E7168D"/>
    <w:rsid w:val="00E71DA5"/>
    <w:rsid w:val="00E73709"/>
    <w:rsid w:val="00E753DB"/>
    <w:rsid w:val="00E75766"/>
    <w:rsid w:val="00E775DC"/>
    <w:rsid w:val="00E77E7E"/>
    <w:rsid w:val="00E77FF9"/>
    <w:rsid w:val="00E80BC2"/>
    <w:rsid w:val="00E83D86"/>
    <w:rsid w:val="00E8513F"/>
    <w:rsid w:val="00E851E1"/>
    <w:rsid w:val="00E8534A"/>
    <w:rsid w:val="00E8570A"/>
    <w:rsid w:val="00E873A4"/>
    <w:rsid w:val="00E900AB"/>
    <w:rsid w:val="00E90731"/>
    <w:rsid w:val="00E90C0B"/>
    <w:rsid w:val="00E90D3B"/>
    <w:rsid w:val="00E91B20"/>
    <w:rsid w:val="00E92C32"/>
    <w:rsid w:val="00E93686"/>
    <w:rsid w:val="00E94CBD"/>
    <w:rsid w:val="00E9565D"/>
    <w:rsid w:val="00E95F5F"/>
    <w:rsid w:val="00E96808"/>
    <w:rsid w:val="00E96A3F"/>
    <w:rsid w:val="00E96D42"/>
    <w:rsid w:val="00E9706A"/>
    <w:rsid w:val="00EA143F"/>
    <w:rsid w:val="00EA1A9A"/>
    <w:rsid w:val="00EA3EBE"/>
    <w:rsid w:val="00EA3F2A"/>
    <w:rsid w:val="00EA418B"/>
    <w:rsid w:val="00EA53E4"/>
    <w:rsid w:val="00EA5CFA"/>
    <w:rsid w:val="00EA5E8A"/>
    <w:rsid w:val="00EB0646"/>
    <w:rsid w:val="00EB0B45"/>
    <w:rsid w:val="00EB16A6"/>
    <w:rsid w:val="00EB1FDE"/>
    <w:rsid w:val="00EB2099"/>
    <w:rsid w:val="00EB262F"/>
    <w:rsid w:val="00EB2883"/>
    <w:rsid w:val="00EB2E21"/>
    <w:rsid w:val="00EB3823"/>
    <w:rsid w:val="00EB3968"/>
    <w:rsid w:val="00EB3ECD"/>
    <w:rsid w:val="00EB4ADC"/>
    <w:rsid w:val="00EB528A"/>
    <w:rsid w:val="00EB5AF0"/>
    <w:rsid w:val="00EB6448"/>
    <w:rsid w:val="00EB729E"/>
    <w:rsid w:val="00EB7397"/>
    <w:rsid w:val="00EB759F"/>
    <w:rsid w:val="00EB7DCF"/>
    <w:rsid w:val="00EC05A0"/>
    <w:rsid w:val="00EC0EBF"/>
    <w:rsid w:val="00EC12F6"/>
    <w:rsid w:val="00EC2313"/>
    <w:rsid w:val="00EC2554"/>
    <w:rsid w:val="00EC2C33"/>
    <w:rsid w:val="00EC3C01"/>
    <w:rsid w:val="00EC4C2D"/>
    <w:rsid w:val="00EC51FA"/>
    <w:rsid w:val="00EC52C9"/>
    <w:rsid w:val="00EC6E9F"/>
    <w:rsid w:val="00ED0B5A"/>
    <w:rsid w:val="00ED0D23"/>
    <w:rsid w:val="00ED1044"/>
    <w:rsid w:val="00ED203D"/>
    <w:rsid w:val="00ED219C"/>
    <w:rsid w:val="00ED2898"/>
    <w:rsid w:val="00ED3770"/>
    <w:rsid w:val="00ED3802"/>
    <w:rsid w:val="00ED493F"/>
    <w:rsid w:val="00ED53BA"/>
    <w:rsid w:val="00ED5BFA"/>
    <w:rsid w:val="00ED7014"/>
    <w:rsid w:val="00EE00E3"/>
    <w:rsid w:val="00EE020F"/>
    <w:rsid w:val="00EE0B80"/>
    <w:rsid w:val="00EE0F64"/>
    <w:rsid w:val="00EE1004"/>
    <w:rsid w:val="00EE1013"/>
    <w:rsid w:val="00EE11D1"/>
    <w:rsid w:val="00EE1F3E"/>
    <w:rsid w:val="00EE2249"/>
    <w:rsid w:val="00EE2849"/>
    <w:rsid w:val="00EE4236"/>
    <w:rsid w:val="00EE7944"/>
    <w:rsid w:val="00EF14E9"/>
    <w:rsid w:val="00EF16D7"/>
    <w:rsid w:val="00EF29CC"/>
    <w:rsid w:val="00EF4541"/>
    <w:rsid w:val="00EF55CB"/>
    <w:rsid w:val="00EF5F40"/>
    <w:rsid w:val="00EF64EE"/>
    <w:rsid w:val="00EF6F0E"/>
    <w:rsid w:val="00EF7268"/>
    <w:rsid w:val="00EF74C2"/>
    <w:rsid w:val="00F01688"/>
    <w:rsid w:val="00F01D4F"/>
    <w:rsid w:val="00F02DC5"/>
    <w:rsid w:val="00F0452C"/>
    <w:rsid w:val="00F04AF7"/>
    <w:rsid w:val="00F04B25"/>
    <w:rsid w:val="00F05346"/>
    <w:rsid w:val="00F054A8"/>
    <w:rsid w:val="00F0668A"/>
    <w:rsid w:val="00F06BA6"/>
    <w:rsid w:val="00F07528"/>
    <w:rsid w:val="00F07D9F"/>
    <w:rsid w:val="00F07E18"/>
    <w:rsid w:val="00F1215D"/>
    <w:rsid w:val="00F12D3A"/>
    <w:rsid w:val="00F1382B"/>
    <w:rsid w:val="00F14131"/>
    <w:rsid w:val="00F145DF"/>
    <w:rsid w:val="00F14D75"/>
    <w:rsid w:val="00F14F36"/>
    <w:rsid w:val="00F1541D"/>
    <w:rsid w:val="00F15D42"/>
    <w:rsid w:val="00F173AA"/>
    <w:rsid w:val="00F17CE4"/>
    <w:rsid w:val="00F17EFB"/>
    <w:rsid w:val="00F202B1"/>
    <w:rsid w:val="00F208C5"/>
    <w:rsid w:val="00F20BA8"/>
    <w:rsid w:val="00F20E03"/>
    <w:rsid w:val="00F2197D"/>
    <w:rsid w:val="00F2303F"/>
    <w:rsid w:val="00F25762"/>
    <w:rsid w:val="00F2798C"/>
    <w:rsid w:val="00F3010F"/>
    <w:rsid w:val="00F30F53"/>
    <w:rsid w:val="00F311CE"/>
    <w:rsid w:val="00F3128A"/>
    <w:rsid w:val="00F319D7"/>
    <w:rsid w:val="00F319EE"/>
    <w:rsid w:val="00F31DF7"/>
    <w:rsid w:val="00F3237A"/>
    <w:rsid w:val="00F33371"/>
    <w:rsid w:val="00F333E0"/>
    <w:rsid w:val="00F3359D"/>
    <w:rsid w:val="00F3507B"/>
    <w:rsid w:val="00F367AA"/>
    <w:rsid w:val="00F4075C"/>
    <w:rsid w:val="00F419FD"/>
    <w:rsid w:val="00F41DEA"/>
    <w:rsid w:val="00F42D61"/>
    <w:rsid w:val="00F434EC"/>
    <w:rsid w:val="00F4353D"/>
    <w:rsid w:val="00F43DD7"/>
    <w:rsid w:val="00F44340"/>
    <w:rsid w:val="00F44B0D"/>
    <w:rsid w:val="00F451A2"/>
    <w:rsid w:val="00F453CE"/>
    <w:rsid w:val="00F45688"/>
    <w:rsid w:val="00F52554"/>
    <w:rsid w:val="00F53AE7"/>
    <w:rsid w:val="00F54909"/>
    <w:rsid w:val="00F55406"/>
    <w:rsid w:val="00F55464"/>
    <w:rsid w:val="00F55D80"/>
    <w:rsid w:val="00F567D9"/>
    <w:rsid w:val="00F573F3"/>
    <w:rsid w:val="00F615E2"/>
    <w:rsid w:val="00F622BF"/>
    <w:rsid w:val="00F626F1"/>
    <w:rsid w:val="00F63FBA"/>
    <w:rsid w:val="00F6550D"/>
    <w:rsid w:val="00F6693F"/>
    <w:rsid w:val="00F66FFF"/>
    <w:rsid w:val="00F677D8"/>
    <w:rsid w:val="00F67BAF"/>
    <w:rsid w:val="00F715BE"/>
    <w:rsid w:val="00F71B26"/>
    <w:rsid w:val="00F71F86"/>
    <w:rsid w:val="00F73230"/>
    <w:rsid w:val="00F73E6C"/>
    <w:rsid w:val="00F74A85"/>
    <w:rsid w:val="00F802A5"/>
    <w:rsid w:val="00F81601"/>
    <w:rsid w:val="00F82573"/>
    <w:rsid w:val="00F83B52"/>
    <w:rsid w:val="00F85960"/>
    <w:rsid w:val="00F85FF2"/>
    <w:rsid w:val="00F85FF3"/>
    <w:rsid w:val="00F9078A"/>
    <w:rsid w:val="00F9147B"/>
    <w:rsid w:val="00F91759"/>
    <w:rsid w:val="00F91BA2"/>
    <w:rsid w:val="00F92D99"/>
    <w:rsid w:val="00F92E95"/>
    <w:rsid w:val="00F94ED4"/>
    <w:rsid w:val="00F95306"/>
    <w:rsid w:val="00F95E75"/>
    <w:rsid w:val="00F96358"/>
    <w:rsid w:val="00F967A2"/>
    <w:rsid w:val="00F968B6"/>
    <w:rsid w:val="00F96A18"/>
    <w:rsid w:val="00F96A8F"/>
    <w:rsid w:val="00F96BCB"/>
    <w:rsid w:val="00F97813"/>
    <w:rsid w:val="00F97A09"/>
    <w:rsid w:val="00F97BA4"/>
    <w:rsid w:val="00FA00D8"/>
    <w:rsid w:val="00FA0271"/>
    <w:rsid w:val="00FA0A14"/>
    <w:rsid w:val="00FA0CF8"/>
    <w:rsid w:val="00FA368C"/>
    <w:rsid w:val="00FA37A2"/>
    <w:rsid w:val="00FA70BD"/>
    <w:rsid w:val="00FA79E1"/>
    <w:rsid w:val="00FB30DE"/>
    <w:rsid w:val="00FB33CC"/>
    <w:rsid w:val="00FB5FE4"/>
    <w:rsid w:val="00FB67C4"/>
    <w:rsid w:val="00FC0EC7"/>
    <w:rsid w:val="00FC10B0"/>
    <w:rsid w:val="00FC16D2"/>
    <w:rsid w:val="00FC2B1C"/>
    <w:rsid w:val="00FC6321"/>
    <w:rsid w:val="00FC76CF"/>
    <w:rsid w:val="00FD0913"/>
    <w:rsid w:val="00FD2495"/>
    <w:rsid w:val="00FD3B2B"/>
    <w:rsid w:val="00FD48B1"/>
    <w:rsid w:val="00FD612F"/>
    <w:rsid w:val="00FD6CA3"/>
    <w:rsid w:val="00FD7093"/>
    <w:rsid w:val="00FD70CB"/>
    <w:rsid w:val="00FE28E9"/>
    <w:rsid w:val="00FE45E5"/>
    <w:rsid w:val="00FE52A5"/>
    <w:rsid w:val="00FE5EB7"/>
    <w:rsid w:val="00FE6064"/>
    <w:rsid w:val="00FE7AEE"/>
    <w:rsid w:val="00FF026C"/>
    <w:rsid w:val="00FF0B3F"/>
    <w:rsid w:val="00FF2475"/>
    <w:rsid w:val="00FF2DAD"/>
    <w:rsid w:val="00FF32BE"/>
    <w:rsid w:val="00FF3571"/>
    <w:rsid w:val="00FF43EC"/>
    <w:rsid w:val="00FF455D"/>
    <w:rsid w:val="00FF4CDF"/>
    <w:rsid w:val="00FF51AC"/>
    <w:rsid w:val="00FF6D32"/>
    <w:rsid w:val="00FF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95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qFormat="1"/>
    <w:lsdException w:name="page number" w:uiPriority="0"/>
    <w:lsdException w:name="List Bulle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1A"/>
    <w:pPr>
      <w:spacing w:after="0" w:line="240" w:lineRule="auto"/>
    </w:pPr>
  </w:style>
  <w:style w:type="paragraph" w:styleId="Heading1">
    <w:name w:val="heading 1"/>
    <w:link w:val="Heading1Char"/>
    <w:uiPriority w:val="9"/>
    <w:qFormat/>
    <w:rsid w:val="00FA0CF8"/>
    <w:pPr>
      <w:keepNext/>
      <w:numPr>
        <w:numId w:val="3"/>
      </w:numPr>
      <w:spacing w:before="240" w:after="240" w:line="240" w:lineRule="auto"/>
      <w:outlineLvl w:val="0"/>
    </w:pPr>
    <w:rPr>
      <w:rFonts w:cs="Arial"/>
      <w:b/>
      <w:bCs/>
      <w:kern w:val="32"/>
      <w:szCs w:val="32"/>
    </w:rPr>
  </w:style>
  <w:style w:type="paragraph" w:styleId="Heading2">
    <w:name w:val="heading 2"/>
    <w:link w:val="Heading2Char"/>
    <w:qFormat/>
    <w:rsid w:val="000D2D6D"/>
    <w:pPr>
      <w:keepNext/>
      <w:numPr>
        <w:ilvl w:val="1"/>
        <w:numId w:val="3"/>
      </w:numPr>
      <w:spacing w:before="240" w:after="220" w:line="240" w:lineRule="auto"/>
      <w:ind w:hanging="360"/>
      <w:outlineLvl w:val="1"/>
    </w:pPr>
    <w:rPr>
      <w:rFonts w:cs="Arial"/>
      <w:b/>
      <w:bCs/>
      <w:iCs/>
      <w:szCs w:val="28"/>
    </w:rPr>
  </w:style>
  <w:style w:type="paragraph" w:styleId="Heading3">
    <w:name w:val="heading 3"/>
    <w:link w:val="Heading3Char"/>
    <w:qFormat/>
    <w:rsid w:val="00FA0CF8"/>
    <w:pPr>
      <w:keepNext/>
      <w:numPr>
        <w:ilvl w:val="2"/>
        <w:numId w:val="3"/>
      </w:numPr>
      <w:spacing w:before="240" w:after="120" w:line="240" w:lineRule="auto"/>
      <w:outlineLvl w:val="2"/>
    </w:pPr>
    <w:rPr>
      <w:rFonts w:cs="Arial"/>
      <w:b/>
      <w:bCs/>
      <w:szCs w:val="26"/>
    </w:rPr>
  </w:style>
  <w:style w:type="paragraph" w:styleId="Heading4">
    <w:name w:val="heading 4"/>
    <w:basedOn w:val="Normal"/>
    <w:next w:val="Normal"/>
    <w:link w:val="Heading4Char"/>
    <w:qFormat/>
    <w:rsid w:val="004D4A44"/>
    <w:pPr>
      <w:keepNext/>
      <w:numPr>
        <w:ilvl w:val="3"/>
        <w:numId w:val="3"/>
      </w:numPr>
      <w:spacing w:before="240" w:after="60"/>
      <w:outlineLvl w:val="3"/>
    </w:pPr>
    <w:rPr>
      <w:b/>
      <w:bCs/>
      <w:sz w:val="28"/>
      <w:szCs w:val="28"/>
    </w:rPr>
  </w:style>
  <w:style w:type="paragraph" w:styleId="Heading5">
    <w:name w:val="heading 5"/>
    <w:basedOn w:val="Normal"/>
    <w:next w:val="BodyText"/>
    <w:link w:val="Heading5Char"/>
    <w:qFormat/>
    <w:rsid w:val="007A63AA"/>
    <w:pPr>
      <w:keepNext/>
      <w:keepLines/>
      <w:spacing w:before="60" w:after="60" w:line="264" w:lineRule="auto"/>
      <w:outlineLvl w:val="4"/>
    </w:pPr>
    <w:rPr>
      <w:rFonts w:eastAsia="Times New Roman" w:cs="Times New Roman"/>
      <w:b/>
      <w:i/>
      <w:color w:val="DA291C"/>
      <w:sz w:val="22"/>
      <w:szCs w:val="20"/>
    </w:rPr>
  </w:style>
  <w:style w:type="paragraph" w:styleId="Heading6">
    <w:name w:val="heading 6"/>
    <w:basedOn w:val="Normal"/>
    <w:next w:val="Normal"/>
    <w:link w:val="Heading6Char"/>
    <w:qFormat/>
    <w:rsid w:val="007A63AA"/>
    <w:pPr>
      <w:keepNext/>
      <w:keepLines/>
      <w:pageBreakBefore/>
      <w:pBdr>
        <w:top w:val="single" w:sz="6" w:space="3" w:color="DA291C"/>
        <w:bottom w:val="single" w:sz="6" w:space="3" w:color="DA291C"/>
      </w:pBdr>
      <w:shd w:val="clear" w:color="auto" w:fill="DA291C"/>
      <w:spacing w:before="60" w:after="60" w:line="264" w:lineRule="auto"/>
      <w:outlineLvl w:val="5"/>
    </w:pPr>
    <w:rPr>
      <w:rFonts w:ascii="Arial" w:eastAsia="Times New Roman" w:hAnsi="Arial" w:cs="Times New Roman"/>
      <w:bCs/>
      <w:color w:val="FFFFFF"/>
      <w:kern w:val="28"/>
      <w:sz w:val="28"/>
      <w:szCs w:val="22"/>
    </w:rPr>
  </w:style>
  <w:style w:type="paragraph" w:styleId="Heading7">
    <w:name w:val="heading 7"/>
    <w:basedOn w:val="Normal"/>
    <w:next w:val="Normal"/>
    <w:link w:val="Heading7Char"/>
    <w:qFormat/>
    <w:rsid w:val="007A63AA"/>
    <w:pPr>
      <w:keepNext/>
      <w:keepLines/>
      <w:pageBreakBefore/>
      <w:pBdr>
        <w:top w:val="single" w:sz="6" w:space="3" w:color="DA291C"/>
        <w:bottom w:val="single" w:sz="6" w:space="3" w:color="DA291C"/>
      </w:pBdr>
      <w:shd w:val="clear" w:color="auto" w:fill="DA291C"/>
      <w:spacing w:before="240" w:after="60" w:line="264" w:lineRule="auto"/>
      <w:outlineLvl w:val="6"/>
    </w:pPr>
    <w:rPr>
      <w:rFonts w:ascii="Arial" w:eastAsia="Times New Roman" w:hAnsi="Arial" w:cs="Times New Roman"/>
      <w:b/>
      <w:color w:val="FFFFFF"/>
      <w:kern w:val="28"/>
      <w:sz w:val="28"/>
    </w:rPr>
  </w:style>
  <w:style w:type="paragraph" w:styleId="Heading9">
    <w:name w:val="heading 9"/>
    <w:basedOn w:val="Normal"/>
    <w:next w:val="Normal"/>
    <w:link w:val="Heading9Char"/>
    <w:qFormat/>
    <w:rsid w:val="007A63AA"/>
    <w:pPr>
      <w:spacing w:before="240" w:after="60" w:line="264"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CF8"/>
    <w:rPr>
      <w:rFonts w:cs="Arial"/>
      <w:b/>
      <w:bCs/>
      <w:kern w:val="32"/>
      <w:szCs w:val="32"/>
    </w:rPr>
  </w:style>
  <w:style w:type="character" w:customStyle="1" w:styleId="Heading2Char">
    <w:name w:val="Heading 2 Char"/>
    <w:basedOn w:val="DefaultParagraphFont"/>
    <w:link w:val="Heading2"/>
    <w:rsid w:val="000D2D6D"/>
    <w:rPr>
      <w:rFonts w:cs="Arial"/>
      <w:b/>
      <w:bCs/>
      <w:iCs/>
      <w:szCs w:val="28"/>
    </w:rPr>
  </w:style>
  <w:style w:type="character" w:customStyle="1" w:styleId="Heading3Char">
    <w:name w:val="Heading 3 Char"/>
    <w:basedOn w:val="DefaultParagraphFont"/>
    <w:link w:val="Heading3"/>
    <w:rsid w:val="00FA0CF8"/>
    <w:rPr>
      <w:rFonts w:cs="Arial"/>
      <w:b/>
      <w:bCs/>
      <w:szCs w:val="26"/>
    </w:rPr>
  </w:style>
  <w:style w:type="character" w:customStyle="1" w:styleId="Heading4Char">
    <w:name w:val="Heading 4 Char"/>
    <w:basedOn w:val="DefaultParagraphFont"/>
    <w:link w:val="Heading4"/>
    <w:rsid w:val="004D4A44"/>
    <w:rPr>
      <w:b/>
      <w:bCs/>
      <w:sz w:val="28"/>
      <w:szCs w:val="28"/>
    </w:rPr>
  </w:style>
  <w:style w:type="paragraph" w:styleId="Footer">
    <w:name w:val="footer"/>
    <w:basedOn w:val="Normal"/>
    <w:link w:val="FooterChar"/>
    <w:uiPriority w:val="99"/>
    <w:rsid w:val="004D4A44"/>
    <w:pPr>
      <w:tabs>
        <w:tab w:val="center" w:pos="4320"/>
        <w:tab w:val="right" w:pos="8640"/>
      </w:tabs>
    </w:pPr>
  </w:style>
  <w:style w:type="character" w:customStyle="1" w:styleId="FooterChar">
    <w:name w:val="Footer Char"/>
    <w:basedOn w:val="DefaultParagraphFont"/>
    <w:link w:val="Footer"/>
    <w:uiPriority w:val="99"/>
    <w:rsid w:val="004D4A44"/>
    <w:rPr>
      <w:rFonts w:eastAsia="Times New Roman" w:cs="Times New Roman"/>
      <w:szCs w:val="24"/>
    </w:rPr>
  </w:style>
  <w:style w:type="character" w:styleId="PageNumber">
    <w:name w:val="page number"/>
    <w:basedOn w:val="DefaultParagraphFont"/>
    <w:rsid w:val="004D4A44"/>
  </w:style>
  <w:style w:type="paragraph" w:styleId="Header">
    <w:name w:val="header"/>
    <w:basedOn w:val="Normal"/>
    <w:link w:val="HeaderChar"/>
    <w:uiPriority w:val="99"/>
    <w:rsid w:val="004D4A44"/>
    <w:pPr>
      <w:tabs>
        <w:tab w:val="center" w:pos="4320"/>
        <w:tab w:val="right" w:pos="8640"/>
      </w:tabs>
    </w:pPr>
  </w:style>
  <w:style w:type="character" w:customStyle="1" w:styleId="HeaderChar">
    <w:name w:val="Header Char"/>
    <w:basedOn w:val="DefaultParagraphFont"/>
    <w:link w:val="Header"/>
    <w:uiPriority w:val="99"/>
    <w:rsid w:val="004D4A44"/>
    <w:rPr>
      <w:rFonts w:eastAsia="Times New Roman" w:cs="Times New Roman"/>
      <w:szCs w:val="24"/>
    </w:rPr>
  </w:style>
  <w:style w:type="paragraph" w:customStyle="1" w:styleId="ListBulletlast">
    <w:name w:val="List Bullet_last"/>
    <w:basedOn w:val="ListBullet"/>
    <w:qFormat/>
    <w:rsid w:val="00FA0CF8"/>
    <w:pPr>
      <w:spacing w:after="240"/>
    </w:pPr>
  </w:style>
  <w:style w:type="character" w:styleId="CommentReference">
    <w:name w:val="annotation reference"/>
    <w:uiPriority w:val="99"/>
    <w:rsid w:val="004D4A44"/>
    <w:rPr>
      <w:sz w:val="16"/>
      <w:szCs w:val="16"/>
    </w:rPr>
  </w:style>
  <w:style w:type="paragraph" w:styleId="CommentText">
    <w:name w:val="annotation text"/>
    <w:basedOn w:val="Normal"/>
    <w:link w:val="CommentTextChar"/>
    <w:rsid w:val="004D4A44"/>
    <w:rPr>
      <w:sz w:val="20"/>
      <w:szCs w:val="20"/>
    </w:rPr>
  </w:style>
  <w:style w:type="character" w:customStyle="1" w:styleId="CommentTextChar">
    <w:name w:val="Comment Text Char"/>
    <w:basedOn w:val="DefaultParagraphFont"/>
    <w:link w:val="CommentText"/>
    <w:rsid w:val="004D4A44"/>
    <w:rPr>
      <w:rFonts w:eastAsia="Times New Roman" w:cs="Times New Roman"/>
      <w:sz w:val="20"/>
      <w:szCs w:val="20"/>
    </w:rPr>
  </w:style>
  <w:style w:type="character" w:customStyle="1" w:styleId="CommentSubjectChar">
    <w:name w:val="Comment Subject Char"/>
    <w:basedOn w:val="CommentTextChar"/>
    <w:link w:val="CommentSubject"/>
    <w:semiHidden/>
    <w:rsid w:val="004D4A44"/>
    <w:rPr>
      <w:rFonts w:eastAsia="Times New Roman" w:cs="Times New Roman"/>
      <w:b/>
      <w:bCs/>
      <w:sz w:val="20"/>
      <w:szCs w:val="20"/>
    </w:rPr>
  </w:style>
  <w:style w:type="paragraph" w:styleId="CommentSubject">
    <w:name w:val="annotation subject"/>
    <w:basedOn w:val="CommentText"/>
    <w:next w:val="CommentText"/>
    <w:link w:val="CommentSubjectChar"/>
    <w:semiHidden/>
    <w:rsid w:val="004D4A44"/>
    <w:rPr>
      <w:b/>
      <w:bCs/>
    </w:rPr>
  </w:style>
  <w:style w:type="paragraph" w:customStyle="1" w:styleId="ListBulletsingle">
    <w:name w:val="List Bullet_single"/>
    <w:basedOn w:val="ListBullet"/>
    <w:qFormat/>
    <w:rsid w:val="00FA0CF8"/>
    <w:pPr>
      <w:spacing w:after="60"/>
    </w:pPr>
  </w:style>
  <w:style w:type="paragraph" w:styleId="BalloonText">
    <w:name w:val="Balloon Text"/>
    <w:basedOn w:val="Normal"/>
    <w:link w:val="BalloonTextChar"/>
    <w:uiPriority w:val="99"/>
    <w:semiHidden/>
    <w:rsid w:val="004D4A44"/>
    <w:rPr>
      <w:rFonts w:ascii="Tahoma" w:hAnsi="Tahoma" w:cs="Tahoma"/>
      <w:sz w:val="16"/>
      <w:szCs w:val="16"/>
    </w:rPr>
  </w:style>
  <w:style w:type="character" w:customStyle="1" w:styleId="BalloonTextChar">
    <w:name w:val="Balloon Text Char"/>
    <w:basedOn w:val="DefaultParagraphFont"/>
    <w:link w:val="BalloonText"/>
    <w:uiPriority w:val="99"/>
    <w:semiHidden/>
    <w:rsid w:val="004D4A44"/>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395A33"/>
    <w:rPr>
      <w:color w:val="808080"/>
      <w:shd w:val="clear" w:color="auto" w:fill="E6E6E6"/>
    </w:rPr>
  </w:style>
  <w:style w:type="paragraph" w:styleId="FootnoteText">
    <w:name w:val="footnote text"/>
    <w:basedOn w:val="Normal"/>
    <w:link w:val="FootnoteTextChar"/>
    <w:qFormat/>
    <w:rsid w:val="00FA0CF8"/>
    <w:pPr>
      <w:tabs>
        <w:tab w:val="left" w:pos="360"/>
      </w:tabs>
      <w:spacing w:before="60"/>
    </w:pPr>
    <w:rPr>
      <w:sz w:val="18"/>
      <w:szCs w:val="20"/>
    </w:rPr>
  </w:style>
  <w:style w:type="character" w:customStyle="1" w:styleId="FootnoteTextChar">
    <w:name w:val="Footnote Text Char"/>
    <w:basedOn w:val="DefaultParagraphFont"/>
    <w:link w:val="FootnoteText"/>
    <w:rsid w:val="00FA0CF8"/>
    <w:rPr>
      <w:sz w:val="18"/>
      <w:szCs w:val="20"/>
    </w:rPr>
  </w:style>
  <w:style w:type="character" w:styleId="FootnoteReference">
    <w:name w:val="footnote reference"/>
    <w:uiPriority w:val="99"/>
    <w:qFormat/>
    <w:rsid w:val="006567EE"/>
    <w:rPr>
      <w:rFonts w:ascii="Times New Roman" w:hAnsi="Times New Roman"/>
      <w:sz w:val="20"/>
      <w:vertAlign w:val="superscript"/>
    </w:rPr>
  </w:style>
  <w:style w:type="paragraph" w:styleId="ListParagraph">
    <w:name w:val="List Paragraph"/>
    <w:basedOn w:val="Normal"/>
    <w:uiPriority w:val="34"/>
    <w:qFormat/>
    <w:rsid w:val="004D4A44"/>
    <w:pPr>
      <w:ind w:left="720"/>
    </w:pPr>
  </w:style>
  <w:style w:type="paragraph" w:styleId="ListBullet">
    <w:name w:val="List Bullet"/>
    <w:qFormat/>
    <w:rsid w:val="00FA0CF8"/>
    <w:pPr>
      <w:numPr>
        <w:numId w:val="2"/>
      </w:numPr>
      <w:spacing w:after="120" w:line="240" w:lineRule="auto"/>
      <w:ind w:left="1080" w:hanging="360"/>
    </w:pPr>
    <w:rPr>
      <w:szCs w:val="20"/>
    </w:rPr>
  </w:style>
  <w:style w:type="character" w:styleId="Hyperlink">
    <w:name w:val="Hyperlink"/>
    <w:uiPriority w:val="99"/>
    <w:rsid w:val="004D4A44"/>
    <w:rPr>
      <w:color w:val="0000FF"/>
      <w:u w:val="single"/>
    </w:rPr>
  </w:style>
  <w:style w:type="paragraph" w:styleId="ListBullet2">
    <w:name w:val="List Bullet 2"/>
    <w:basedOn w:val="Normal"/>
    <w:uiPriority w:val="99"/>
    <w:unhideWhenUsed/>
    <w:rsid w:val="00FA0CF8"/>
    <w:pPr>
      <w:numPr>
        <w:numId w:val="4"/>
      </w:numPr>
      <w:spacing w:after="60"/>
      <w:ind w:left="1440"/>
    </w:pPr>
  </w:style>
  <w:style w:type="paragraph" w:customStyle="1" w:styleId="ListBullet2last">
    <w:name w:val="List Bullet 2_last"/>
    <w:basedOn w:val="ListBullet2"/>
    <w:qFormat/>
    <w:rsid w:val="007F0F1B"/>
    <w:pPr>
      <w:spacing w:after="240"/>
    </w:pPr>
  </w:style>
  <w:style w:type="paragraph" w:styleId="BodyText">
    <w:name w:val="Body Text"/>
    <w:link w:val="BodyTextChar"/>
    <w:rsid w:val="00FA0CF8"/>
    <w:pPr>
      <w:spacing w:after="240" w:line="240" w:lineRule="auto"/>
      <w:ind w:firstLine="720"/>
    </w:pPr>
    <w:rPr>
      <w:rFonts w:eastAsia="Times New Roman" w:cs="Times New Roman"/>
    </w:rPr>
  </w:style>
  <w:style w:type="character" w:customStyle="1" w:styleId="BodyTextChar">
    <w:name w:val="Body Text Char"/>
    <w:basedOn w:val="DefaultParagraphFont"/>
    <w:link w:val="BodyText"/>
    <w:rsid w:val="00FA0CF8"/>
    <w:rPr>
      <w:rFonts w:eastAsia="Times New Roman" w:cs="Times New Roman"/>
    </w:rPr>
  </w:style>
  <w:style w:type="paragraph" w:styleId="Caption">
    <w:name w:val="caption"/>
    <w:basedOn w:val="Normal"/>
    <w:next w:val="Normal"/>
    <w:qFormat/>
    <w:rsid w:val="004A7249"/>
    <w:rPr>
      <w:b/>
      <w:bCs/>
      <w:szCs w:val="20"/>
    </w:rPr>
  </w:style>
  <w:style w:type="paragraph" w:customStyle="1" w:styleId="TableTitle">
    <w:name w:val="Table Title"/>
    <w:link w:val="TableTitleChar"/>
    <w:qFormat/>
    <w:rsid w:val="00101277"/>
    <w:pPr>
      <w:keepNext/>
      <w:spacing w:before="80" w:after="80" w:line="240" w:lineRule="auto"/>
      <w:jc w:val="center"/>
    </w:pPr>
    <w:rPr>
      <w:rFonts w:cs="Arial"/>
      <w:b/>
      <w:szCs w:val="22"/>
    </w:rPr>
  </w:style>
  <w:style w:type="character" w:customStyle="1" w:styleId="TableTitleChar">
    <w:name w:val="Table Title Char"/>
    <w:link w:val="TableTitle"/>
    <w:rsid w:val="00101277"/>
    <w:rPr>
      <w:rFonts w:cs="Arial"/>
      <w:b/>
      <w:szCs w:val="22"/>
    </w:rPr>
  </w:style>
  <w:style w:type="character" w:customStyle="1" w:styleId="ptext-2">
    <w:name w:val="ptext-2"/>
    <w:basedOn w:val="DefaultParagraphFont"/>
    <w:rsid w:val="004D4A44"/>
  </w:style>
  <w:style w:type="paragraph" w:styleId="NormalWeb">
    <w:name w:val="Normal (Web)"/>
    <w:basedOn w:val="Normal"/>
    <w:rsid w:val="004D4A44"/>
    <w:pPr>
      <w:spacing w:before="100" w:beforeAutospacing="1" w:after="100" w:afterAutospacing="1"/>
    </w:pPr>
  </w:style>
  <w:style w:type="paragraph" w:styleId="HTMLPreformatted">
    <w:name w:val="HTML Preformatted"/>
    <w:basedOn w:val="Normal"/>
    <w:link w:val="HTMLPreformattedChar"/>
    <w:rsid w:val="004D4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D4A44"/>
    <w:rPr>
      <w:rFonts w:ascii="Courier New" w:eastAsia="Times New Roman" w:hAnsi="Courier New" w:cs="Courier New"/>
      <w:sz w:val="20"/>
      <w:szCs w:val="20"/>
    </w:rPr>
  </w:style>
  <w:style w:type="paragraph" w:customStyle="1" w:styleId="Default">
    <w:name w:val="Default"/>
    <w:rsid w:val="004D4A44"/>
    <w:pPr>
      <w:autoSpaceDE w:val="0"/>
      <w:autoSpaceDN w:val="0"/>
      <w:adjustRightInd w:val="0"/>
      <w:spacing w:after="0" w:line="240" w:lineRule="auto"/>
    </w:pPr>
    <w:rPr>
      <w:rFonts w:eastAsia="Times New Roman" w:cs="Times New Roman"/>
      <w:color w:val="000000"/>
    </w:rPr>
  </w:style>
  <w:style w:type="character" w:styleId="FollowedHyperlink">
    <w:name w:val="FollowedHyperlink"/>
    <w:rsid w:val="004D4A44"/>
    <w:rPr>
      <w:color w:val="800080"/>
      <w:u w:val="single"/>
    </w:rPr>
  </w:style>
  <w:style w:type="paragraph" w:customStyle="1" w:styleId="Reference">
    <w:name w:val="Reference"/>
    <w:basedOn w:val="Normal"/>
    <w:qFormat/>
    <w:rsid w:val="004D4A44"/>
    <w:pPr>
      <w:autoSpaceDE w:val="0"/>
      <w:autoSpaceDN w:val="0"/>
      <w:adjustRightInd w:val="0"/>
      <w:spacing w:after="120"/>
      <w:ind w:left="360" w:hanging="360"/>
    </w:pPr>
    <w:rPr>
      <w:color w:val="000000"/>
      <w:sz w:val="22"/>
    </w:rPr>
  </w:style>
  <w:style w:type="character" w:customStyle="1" w:styleId="DocumentMapChar">
    <w:name w:val="Document Map Char"/>
    <w:basedOn w:val="DefaultParagraphFont"/>
    <w:link w:val="DocumentMap"/>
    <w:semiHidden/>
    <w:rsid w:val="004D4A4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4D4A44"/>
    <w:pPr>
      <w:shd w:val="clear" w:color="auto" w:fill="000080"/>
    </w:pPr>
    <w:rPr>
      <w:rFonts w:ascii="Tahoma" w:hAnsi="Tahoma" w:cs="Tahoma"/>
      <w:sz w:val="20"/>
      <w:szCs w:val="20"/>
    </w:rPr>
  </w:style>
  <w:style w:type="paragraph" w:styleId="EndnoteText">
    <w:name w:val="endnote text"/>
    <w:basedOn w:val="Normal"/>
    <w:link w:val="EndnoteTextChar"/>
    <w:uiPriority w:val="99"/>
    <w:semiHidden/>
    <w:unhideWhenUsed/>
    <w:rsid w:val="004D4A44"/>
    <w:rPr>
      <w:sz w:val="20"/>
      <w:szCs w:val="20"/>
    </w:rPr>
  </w:style>
  <w:style w:type="character" w:customStyle="1" w:styleId="EndnoteTextChar">
    <w:name w:val="Endnote Text Char"/>
    <w:basedOn w:val="DefaultParagraphFont"/>
    <w:link w:val="EndnoteText"/>
    <w:uiPriority w:val="99"/>
    <w:semiHidden/>
    <w:rsid w:val="004D4A44"/>
    <w:rPr>
      <w:rFonts w:eastAsia="Times New Roman" w:cs="Times New Roman"/>
      <w:sz w:val="20"/>
      <w:szCs w:val="20"/>
    </w:rPr>
  </w:style>
  <w:style w:type="character" w:styleId="EndnoteReference">
    <w:name w:val="endnote reference"/>
    <w:basedOn w:val="DefaultParagraphFont"/>
    <w:uiPriority w:val="99"/>
    <w:unhideWhenUsed/>
    <w:rsid w:val="004D4A44"/>
    <w:rPr>
      <w:vertAlign w:val="superscript"/>
    </w:rPr>
  </w:style>
  <w:style w:type="paragraph" w:styleId="NoSpacing">
    <w:name w:val="No Spacing"/>
    <w:uiPriority w:val="1"/>
    <w:qFormat/>
    <w:rsid w:val="002C76D1"/>
    <w:pPr>
      <w:spacing w:after="0" w:line="240" w:lineRule="auto"/>
    </w:pPr>
    <w:rPr>
      <w:rFonts w:eastAsia="Times New Roman" w:cs="Times New Roman"/>
    </w:rPr>
  </w:style>
  <w:style w:type="paragraph" w:styleId="Revision">
    <w:name w:val="Revision"/>
    <w:hidden/>
    <w:uiPriority w:val="99"/>
    <w:semiHidden/>
    <w:rsid w:val="00D653C2"/>
    <w:pPr>
      <w:spacing w:after="0" w:line="240" w:lineRule="auto"/>
    </w:pPr>
    <w:rPr>
      <w:rFonts w:eastAsia="Times New Roman" w:cs="Times New Roman"/>
    </w:rPr>
  </w:style>
  <w:style w:type="table" w:styleId="TableGrid">
    <w:name w:val="Table Grid"/>
    <w:basedOn w:val="TableNormal"/>
    <w:uiPriority w:val="59"/>
    <w:rsid w:val="00F0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Number1">
    <w:name w:val="List Number_1"/>
    <w:uiPriority w:val="99"/>
    <w:rsid w:val="00C57469"/>
    <w:pPr>
      <w:numPr>
        <w:numId w:val="5"/>
      </w:numPr>
    </w:pPr>
  </w:style>
  <w:style w:type="paragraph" w:styleId="ListContinue">
    <w:name w:val="List Continue"/>
    <w:basedOn w:val="Normal"/>
    <w:uiPriority w:val="99"/>
    <w:unhideWhenUsed/>
    <w:rsid w:val="00FA0CF8"/>
    <w:pPr>
      <w:numPr>
        <w:numId w:val="6"/>
      </w:numPr>
      <w:spacing w:after="120"/>
    </w:pPr>
  </w:style>
  <w:style w:type="paragraph" w:styleId="ListContinue2">
    <w:name w:val="List Continue 2"/>
    <w:basedOn w:val="Normal"/>
    <w:uiPriority w:val="99"/>
    <w:unhideWhenUsed/>
    <w:rsid w:val="00FA0CF8"/>
    <w:pPr>
      <w:numPr>
        <w:numId w:val="7"/>
      </w:numPr>
      <w:spacing w:after="120"/>
    </w:pPr>
  </w:style>
  <w:style w:type="paragraph" w:customStyle="1" w:styleId="Heading3nonumber">
    <w:name w:val="Heading 3_no number"/>
    <w:qFormat/>
    <w:rsid w:val="00FA0CF8"/>
    <w:pPr>
      <w:keepNext/>
      <w:spacing w:before="240" w:after="120" w:line="240" w:lineRule="auto"/>
      <w:ind w:firstLine="720"/>
    </w:pPr>
    <w:rPr>
      <w:i/>
    </w:rPr>
  </w:style>
  <w:style w:type="paragraph" w:styleId="BodyTextFirstIndent">
    <w:name w:val="Body Text First Indent"/>
    <w:basedOn w:val="BodyText"/>
    <w:link w:val="BodyTextFirstIndentChar"/>
    <w:uiPriority w:val="99"/>
    <w:unhideWhenUsed/>
    <w:rsid w:val="00A16087"/>
    <w:pPr>
      <w:spacing w:before="240"/>
      <w:ind w:left="720" w:right="720" w:firstLine="0"/>
    </w:pPr>
    <w:rPr>
      <w:rFonts w:eastAsiaTheme="minorHAnsi" w:cstheme="minorBidi"/>
    </w:rPr>
  </w:style>
  <w:style w:type="character" w:customStyle="1" w:styleId="BodyTextFirstIndentChar">
    <w:name w:val="Body Text First Indent Char"/>
    <w:basedOn w:val="BodyTextChar"/>
    <w:link w:val="BodyTextFirstIndent"/>
    <w:uiPriority w:val="99"/>
    <w:rsid w:val="00A16087"/>
    <w:rPr>
      <w:rFonts w:eastAsia="Times New Roman" w:cs="Times New Roman"/>
      <w:szCs w:val="24"/>
      <w:shd w:val="clear" w:color="auto" w:fill="DBE5F1" w:themeFill="accent1" w:themeFillTint="33"/>
    </w:rPr>
  </w:style>
  <w:style w:type="paragraph" w:customStyle="1" w:styleId="Footnotetables">
    <w:name w:val="Footnote_tables"/>
    <w:qFormat/>
    <w:rsid w:val="00FA0CF8"/>
    <w:pPr>
      <w:spacing w:before="60" w:after="0" w:line="240" w:lineRule="auto"/>
      <w:ind w:left="360" w:hanging="360"/>
    </w:pPr>
    <w:rPr>
      <w:rFonts w:ascii="Arial Narrow" w:hAnsi="Arial Narrow"/>
      <w:sz w:val="18"/>
      <w:szCs w:val="20"/>
    </w:rPr>
  </w:style>
  <w:style w:type="table" w:customStyle="1" w:styleId="TableGrid1">
    <w:name w:val="Table Grid1"/>
    <w:basedOn w:val="TableNormal"/>
    <w:next w:val="TableGrid"/>
    <w:uiPriority w:val="39"/>
    <w:rsid w:val="00B934E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046B9"/>
    <w:pPr>
      <w:ind w:left="720" w:hanging="720"/>
    </w:pPr>
  </w:style>
  <w:style w:type="character" w:customStyle="1" w:styleId="UnresolvedMention2">
    <w:name w:val="Unresolved Mention2"/>
    <w:basedOn w:val="DefaultParagraphFont"/>
    <w:uiPriority w:val="99"/>
    <w:semiHidden/>
    <w:unhideWhenUsed/>
    <w:rsid w:val="00F55464"/>
    <w:rPr>
      <w:color w:val="808080"/>
      <w:shd w:val="clear" w:color="auto" w:fill="E6E6E6"/>
    </w:rPr>
  </w:style>
  <w:style w:type="numbering" w:customStyle="1" w:styleId="NoList1">
    <w:name w:val="No List1"/>
    <w:next w:val="NoList"/>
    <w:uiPriority w:val="99"/>
    <w:semiHidden/>
    <w:unhideWhenUsed/>
    <w:rsid w:val="009533EA"/>
  </w:style>
  <w:style w:type="paragraph" w:customStyle="1" w:styleId="Level1">
    <w:name w:val="Level 1"/>
    <w:basedOn w:val="Normal"/>
    <w:rsid w:val="009533EA"/>
    <w:pPr>
      <w:widowControl w:val="0"/>
    </w:pPr>
    <w:rPr>
      <w:rFonts w:eastAsia="Times New Roman" w:cs="Times New Roman"/>
      <w:szCs w:val="20"/>
    </w:rPr>
  </w:style>
  <w:style w:type="character" w:customStyle="1" w:styleId="CommentSubjectChar1">
    <w:name w:val="Comment Subject Char1"/>
    <w:basedOn w:val="CommentTextChar"/>
    <w:uiPriority w:val="99"/>
    <w:semiHidden/>
    <w:rsid w:val="009533EA"/>
    <w:rPr>
      <w:rFonts w:eastAsia="Times New Roman" w:cs="Times New Roman"/>
      <w:b/>
      <w:bCs/>
      <w:sz w:val="20"/>
      <w:szCs w:val="20"/>
    </w:rPr>
  </w:style>
  <w:style w:type="paragraph" w:customStyle="1" w:styleId="a">
    <w:name w:val="آ"/>
    <w:basedOn w:val="Normal"/>
    <w:rsid w:val="009533EA"/>
    <w:pPr>
      <w:widowControl w:val="0"/>
    </w:pPr>
    <w:rPr>
      <w:rFonts w:eastAsia="Times New Roman" w:cs="Times New Roman"/>
      <w:szCs w:val="20"/>
    </w:rPr>
  </w:style>
  <w:style w:type="paragraph" w:customStyle="1" w:styleId="Bullet">
    <w:name w:val="Bullet"/>
    <w:basedOn w:val="Normal"/>
    <w:link w:val="BulletChar"/>
    <w:rsid w:val="009533EA"/>
    <w:pPr>
      <w:tabs>
        <w:tab w:val="num" w:pos="360"/>
      </w:tabs>
      <w:ind w:left="360" w:hanging="360"/>
    </w:pPr>
    <w:rPr>
      <w:rFonts w:eastAsia="Times New Roman" w:cs="Times New Roman"/>
      <w:sz w:val="22"/>
    </w:rPr>
  </w:style>
  <w:style w:type="character" w:customStyle="1" w:styleId="BulletChar">
    <w:name w:val="Bullet Char"/>
    <w:link w:val="Bullet"/>
    <w:rsid w:val="009533EA"/>
    <w:rPr>
      <w:rFonts w:eastAsia="Times New Roman" w:cs="Times New Roman"/>
      <w:sz w:val="22"/>
    </w:rPr>
  </w:style>
  <w:style w:type="character" w:customStyle="1" w:styleId="enumbell">
    <w:name w:val="enumbell"/>
    <w:basedOn w:val="DefaultParagraphFont"/>
    <w:rsid w:val="009533EA"/>
  </w:style>
  <w:style w:type="character" w:customStyle="1" w:styleId="defaultlabelstyle6">
    <w:name w:val="defaultlabelstyle6"/>
    <w:rsid w:val="009533EA"/>
    <w:rPr>
      <w:rFonts w:ascii="Verdana" w:hAnsi="Verdana" w:hint="default"/>
      <w:color w:val="333333"/>
      <w:sz w:val="18"/>
      <w:szCs w:val="18"/>
    </w:rPr>
  </w:style>
  <w:style w:type="paragraph" w:customStyle="1" w:styleId="CM40">
    <w:name w:val="CM40"/>
    <w:basedOn w:val="Default"/>
    <w:next w:val="Default"/>
    <w:rsid w:val="009533EA"/>
    <w:pPr>
      <w:widowControl w:val="0"/>
    </w:pPr>
    <w:rPr>
      <w:color w:val="auto"/>
    </w:rPr>
  </w:style>
  <w:style w:type="character" w:customStyle="1" w:styleId="CharChar1">
    <w:name w:val="Char Char1"/>
    <w:rsid w:val="009533EA"/>
    <w:rPr>
      <w:sz w:val="22"/>
      <w:szCs w:val="24"/>
      <w:lang w:val="en-US" w:eastAsia="en-US" w:bidi="ar-SA"/>
    </w:rPr>
  </w:style>
  <w:style w:type="character" w:customStyle="1" w:styleId="DocumentMapChar1">
    <w:name w:val="Document Map Char1"/>
    <w:basedOn w:val="DefaultParagraphFont"/>
    <w:uiPriority w:val="99"/>
    <w:semiHidden/>
    <w:rsid w:val="009533EA"/>
    <w:rPr>
      <w:rFonts w:ascii="Segoe UI" w:eastAsia="Times New Roman" w:hAnsi="Segoe UI" w:cs="Segoe UI"/>
      <w:sz w:val="16"/>
      <w:szCs w:val="16"/>
    </w:rPr>
  </w:style>
  <w:style w:type="paragraph" w:customStyle="1" w:styleId="StyleHeading411pt">
    <w:name w:val="Style Heading 4 + 11 pt"/>
    <w:basedOn w:val="Heading4"/>
    <w:link w:val="StyleHeading411ptChar"/>
    <w:rsid w:val="009533EA"/>
    <w:pPr>
      <w:ind w:left="1440"/>
    </w:pPr>
    <w:rPr>
      <w:rFonts w:eastAsia="Times New Roman" w:cs="Times New Roman"/>
      <w:sz w:val="24"/>
    </w:rPr>
  </w:style>
  <w:style w:type="character" w:customStyle="1" w:styleId="StyleHeading411ptChar">
    <w:name w:val="Style Heading 4 + 11 pt Char"/>
    <w:link w:val="StyleHeading411pt"/>
    <w:rsid w:val="009533EA"/>
    <w:rPr>
      <w:rFonts w:eastAsia="Times New Roman" w:cs="Times New Roman"/>
      <w:b/>
      <w:bCs/>
      <w:szCs w:val="28"/>
    </w:rPr>
  </w:style>
  <w:style w:type="character" w:customStyle="1" w:styleId="highlight">
    <w:name w:val="highlight"/>
    <w:basedOn w:val="DefaultParagraphFont"/>
    <w:rsid w:val="009533EA"/>
  </w:style>
  <w:style w:type="character" w:customStyle="1" w:styleId="UnresolvedMention3">
    <w:name w:val="Unresolved Mention3"/>
    <w:basedOn w:val="DefaultParagraphFont"/>
    <w:uiPriority w:val="99"/>
    <w:semiHidden/>
    <w:unhideWhenUsed/>
    <w:rsid w:val="002F3D90"/>
    <w:rPr>
      <w:color w:val="808080"/>
      <w:shd w:val="clear" w:color="auto" w:fill="E6E6E6"/>
    </w:rPr>
  </w:style>
  <w:style w:type="table" w:customStyle="1" w:styleId="TableGrid2">
    <w:name w:val="Table Grid2"/>
    <w:basedOn w:val="TableNormal"/>
    <w:next w:val="TableGrid"/>
    <w:uiPriority w:val="39"/>
    <w:rsid w:val="00B277D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utory-body-2em">
    <w:name w:val="statutory-body-2em"/>
    <w:basedOn w:val="Normal"/>
    <w:rsid w:val="00B277D3"/>
    <w:pPr>
      <w:ind w:left="480" w:firstLine="240"/>
    </w:pPr>
    <w:rPr>
      <w:rFonts w:eastAsia="Times New Roman" w:cs="Times New Roman"/>
    </w:rPr>
  </w:style>
  <w:style w:type="paragraph" w:customStyle="1" w:styleId="statutory-body-3em">
    <w:name w:val="statutory-body-3em"/>
    <w:basedOn w:val="Normal"/>
    <w:rsid w:val="00B277D3"/>
    <w:pPr>
      <w:ind w:left="720" w:firstLine="240"/>
    </w:pPr>
    <w:rPr>
      <w:rFonts w:eastAsia="Times New Roman" w:cs="Times New Roman"/>
    </w:rPr>
  </w:style>
  <w:style w:type="paragraph" w:customStyle="1" w:styleId="statutory-body-4em">
    <w:name w:val="statutory-body-4em"/>
    <w:basedOn w:val="Normal"/>
    <w:rsid w:val="00B277D3"/>
    <w:pPr>
      <w:ind w:left="960" w:firstLine="240"/>
    </w:pPr>
    <w:rPr>
      <w:rFonts w:eastAsia="Times New Roman" w:cs="Times New Roman"/>
    </w:rPr>
  </w:style>
  <w:style w:type="table" w:customStyle="1" w:styleId="TableGrid11">
    <w:name w:val="Table Grid11"/>
    <w:basedOn w:val="TableNormal"/>
    <w:next w:val="TableGrid"/>
    <w:uiPriority w:val="39"/>
    <w:rsid w:val="00B277D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uiPriority w:val="39"/>
    <w:qFormat/>
    <w:rsid w:val="00261728"/>
    <w:pPr>
      <w:widowControl w:val="0"/>
      <w:autoSpaceDE w:val="0"/>
      <w:autoSpaceDN w:val="0"/>
      <w:adjustRightInd w:val="0"/>
      <w:spacing w:before="20" w:after="100"/>
      <w:contextualSpacing/>
    </w:pPr>
    <w:rPr>
      <w:rFonts w:eastAsia="Times New Roman" w:cs="Times New Roman"/>
      <w:i/>
      <w:sz w:val="22"/>
      <w:szCs w:val="23"/>
    </w:rPr>
  </w:style>
  <w:style w:type="character" w:customStyle="1" w:styleId="UnresolvedMention4">
    <w:name w:val="Unresolved Mention4"/>
    <w:basedOn w:val="DefaultParagraphFont"/>
    <w:uiPriority w:val="99"/>
    <w:semiHidden/>
    <w:unhideWhenUsed/>
    <w:rsid w:val="00224B48"/>
    <w:rPr>
      <w:color w:val="605E5C"/>
      <w:shd w:val="clear" w:color="auto" w:fill="E1DFDD"/>
    </w:rPr>
  </w:style>
  <w:style w:type="paragraph" w:customStyle="1" w:styleId="Sources">
    <w:name w:val="Sources"/>
    <w:rsid w:val="00224B48"/>
    <w:pPr>
      <w:spacing w:after="240" w:line="240" w:lineRule="auto"/>
      <w:ind w:left="720" w:hanging="720"/>
    </w:pPr>
    <w:rPr>
      <w:rFonts w:eastAsia="Times New Roman" w:cs="Times New Roman"/>
      <w:sz w:val="22"/>
      <w:szCs w:val="22"/>
    </w:rPr>
  </w:style>
  <w:style w:type="paragraph" w:customStyle="1" w:styleId="CoverText-Address">
    <w:name w:val="Cover Text - Address"/>
    <w:basedOn w:val="Normal"/>
    <w:rsid w:val="002D6C47"/>
    <w:pPr>
      <w:tabs>
        <w:tab w:val="left" w:pos="720"/>
        <w:tab w:val="left" w:pos="1080"/>
        <w:tab w:val="left" w:pos="1440"/>
        <w:tab w:val="left" w:pos="1800"/>
        <w:tab w:val="left" w:pos="6660"/>
      </w:tabs>
      <w:spacing w:before="20" w:line="264" w:lineRule="auto"/>
      <w:ind w:right="-540"/>
      <w:jc w:val="center"/>
    </w:pPr>
    <w:rPr>
      <w:rFonts w:eastAsia="Times New Roman" w:cs="Times New Roman"/>
      <w:szCs w:val="20"/>
    </w:rPr>
  </w:style>
  <w:style w:type="character" w:customStyle="1" w:styleId="Heading5Char">
    <w:name w:val="Heading 5 Char"/>
    <w:basedOn w:val="DefaultParagraphFont"/>
    <w:link w:val="Heading5"/>
    <w:rsid w:val="007A63AA"/>
    <w:rPr>
      <w:rFonts w:eastAsia="Times New Roman" w:cs="Times New Roman"/>
      <w:b/>
      <w:i/>
      <w:color w:val="DA291C"/>
      <w:sz w:val="22"/>
      <w:szCs w:val="20"/>
    </w:rPr>
  </w:style>
  <w:style w:type="character" w:customStyle="1" w:styleId="Heading6Char">
    <w:name w:val="Heading 6 Char"/>
    <w:basedOn w:val="DefaultParagraphFont"/>
    <w:link w:val="Heading6"/>
    <w:rsid w:val="007A63AA"/>
    <w:rPr>
      <w:rFonts w:ascii="Arial" w:eastAsia="Times New Roman" w:hAnsi="Arial" w:cs="Times New Roman"/>
      <w:bCs/>
      <w:color w:val="FFFFFF"/>
      <w:kern w:val="28"/>
      <w:sz w:val="28"/>
      <w:szCs w:val="22"/>
      <w:shd w:val="clear" w:color="auto" w:fill="DA291C"/>
    </w:rPr>
  </w:style>
  <w:style w:type="character" w:customStyle="1" w:styleId="Heading7Char">
    <w:name w:val="Heading 7 Char"/>
    <w:basedOn w:val="DefaultParagraphFont"/>
    <w:link w:val="Heading7"/>
    <w:rsid w:val="007A63AA"/>
    <w:rPr>
      <w:rFonts w:ascii="Arial" w:eastAsia="Times New Roman" w:hAnsi="Arial" w:cs="Times New Roman"/>
      <w:b/>
      <w:color w:val="FFFFFF"/>
      <w:kern w:val="28"/>
      <w:sz w:val="28"/>
      <w:shd w:val="clear" w:color="auto" w:fill="DA291C"/>
    </w:rPr>
  </w:style>
  <w:style w:type="character" w:customStyle="1" w:styleId="Heading9Char">
    <w:name w:val="Heading 9 Char"/>
    <w:basedOn w:val="DefaultParagraphFont"/>
    <w:link w:val="Heading9"/>
    <w:rsid w:val="007A63AA"/>
    <w:rPr>
      <w:rFonts w:ascii="Arial" w:eastAsia="Times New Roman" w:hAnsi="Arial" w:cs="Arial"/>
      <w:sz w:val="22"/>
      <w:szCs w:val="22"/>
    </w:rPr>
  </w:style>
  <w:style w:type="table" w:customStyle="1" w:styleId="TableGrid3">
    <w:name w:val="Table Grid3"/>
    <w:basedOn w:val="TableNormal"/>
    <w:next w:val="TableGrid"/>
    <w:uiPriority w:val="59"/>
    <w:rsid w:val="007A63A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A63A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233F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ection-1">
    <w:name w:val="psection-1"/>
    <w:basedOn w:val="Normal"/>
    <w:rsid w:val="00C36542"/>
    <w:pPr>
      <w:spacing w:before="150" w:after="150"/>
    </w:pPr>
    <w:rPr>
      <w:rFonts w:eastAsia="Times New Roman" w:cs="Times New Roman"/>
    </w:rPr>
  </w:style>
  <w:style w:type="paragraph" w:customStyle="1" w:styleId="psection-2">
    <w:name w:val="psection-2"/>
    <w:basedOn w:val="Normal"/>
    <w:rsid w:val="00C36542"/>
    <w:pPr>
      <w:spacing w:after="150"/>
      <w:ind w:left="240"/>
    </w:pPr>
    <w:rPr>
      <w:rFonts w:eastAsia="Times New Roman" w:cs="Times New Roman"/>
    </w:rPr>
  </w:style>
  <w:style w:type="paragraph" w:customStyle="1" w:styleId="psection-3">
    <w:name w:val="psection-3"/>
    <w:basedOn w:val="Normal"/>
    <w:rsid w:val="00C36542"/>
    <w:pPr>
      <w:spacing w:after="150"/>
      <w:ind w:left="480"/>
    </w:pPr>
    <w:rPr>
      <w:rFonts w:eastAsia="Times New Roman" w:cs="Times New Roman"/>
    </w:rPr>
  </w:style>
  <w:style w:type="character" w:customStyle="1" w:styleId="enumxml1">
    <w:name w:val="enumxml1"/>
    <w:basedOn w:val="DefaultParagraphFont"/>
    <w:rsid w:val="00C36542"/>
    <w:rPr>
      <w:b/>
      <w:bCs/>
    </w:rPr>
  </w:style>
  <w:style w:type="character" w:customStyle="1" w:styleId="et031">
    <w:name w:val="et031"/>
    <w:basedOn w:val="DefaultParagraphFont"/>
    <w:rsid w:val="00C36542"/>
    <w:rPr>
      <w:i/>
      <w:iCs/>
    </w:rPr>
  </w:style>
  <w:style w:type="character" w:customStyle="1" w:styleId="enumxml2">
    <w:name w:val="enumxml2"/>
    <w:basedOn w:val="DefaultParagraphFont"/>
    <w:rsid w:val="00C36542"/>
    <w:rPr>
      <w:b/>
      <w:bCs/>
    </w:rPr>
  </w:style>
  <w:style w:type="character" w:customStyle="1" w:styleId="enumxml3">
    <w:name w:val="enumxml3"/>
    <w:basedOn w:val="DefaultParagraphFont"/>
    <w:rsid w:val="00C36542"/>
    <w:rPr>
      <w:b/>
      <w:bCs/>
    </w:rPr>
  </w:style>
  <w:style w:type="paragraph" w:customStyle="1" w:styleId="ExhibitRowHeader">
    <w:name w:val="Exhibit Row Header"/>
    <w:basedOn w:val="BodyText"/>
    <w:rsid w:val="00882B16"/>
    <w:pPr>
      <w:spacing w:before="20" w:after="20"/>
      <w:ind w:firstLine="0"/>
      <w:jc w:val="center"/>
    </w:pPr>
    <w:rPr>
      <w:rFonts w:ascii="Arial" w:hAnsi="Arial" w:cs="Arial"/>
      <w:b/>
      <w:color w:val="F8F8F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qFormat="1"/>
    <w:lsdException w:name="page number" w:uiPriority="0"/>
    <w:lsdException w:name="List Bulle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1A"/>
    <w:pPr>
      <w:spacing w:after="0" w:line="240" w:lineRule="auto"/>
    </w:pPr>
  </w:style>
  <w:style w:type="paragraph" w:styleId="Heading1">
    <w:name w:val="heading 1"/>
    <w:link w:val="Heading1Char"/>
    <w:uiPriority w:val="9"/>
    <w:qFormat/>
    <w:rsid w:val="00FA0CF8"/>
    <w:pPr>
      <w:keepNext/>
      <w:numPr>
        <w:numId w:val="3"/>
      </w:numPr>
      <w:spacing w:before="240" w:after="240" w:line="240" w:lineRule="auto"/>
      <w:outlineLvl w:val="0"/>
    </w:pPr>
    <w:rPr>
      <w:rFonts w:cs="Arial"/>
      <w:b/>
      <w:bCs/>
      <w:kern w:val="32"/>
      <w:szCs w:val="32"/>
    </w:rPr>
  </w:style>
  <w:style w:type="paragraph" w:styleId="Heading2">
    <w:name w:val="heading 2"/>
    <w:link w:val="Heading2Char"/>
    <w:qFormat/>
    <w:rsid w:val="000D2D6D"/>
    <w:pPr>
      <w:keepNext/>
      <w:numPr>
        <w:ilvl w:val="1"/>
        <w:numId w:val="3"/>
      </w:numPr>
      <w:spacing w:before="240" w:after="220" w:line="240" w:lineRule="auto"/>
      <w:ind w:hanging="360"/>
      <w:outlineLvl w:val="1"/>
    </w:pPr>
    <w:rPr>
      <w:rFonts w:cs="Arial"/>
      <w:b/>
      <w:bCs/>
      <w:iCs/>
      <w:szCs w:val="28"/>
    </w:rPr>
  </w:style>
  <w:style w:type="paragraph" w:styleId="Heading3">
    <w:name w:val="heading 3"/>
    <w:link w:val="Heading3Char"/>
    <w:qFormat/>
    <w:rsid w:val="00FA0CF8"/>
    <w:pPr>
      <w:keepNext/>
      <w:numPr>
        <w:ilvl w:val="2"/>
        <w:numId w:val="3"/>
      </w:numPr>
      <w:spacing w:before="240" w:after="120" w:line="240" w:lineRule="auto"/>
      <w:outlineLvl w:val="2"/>
    </w:pPr>
    <w:rPr>
      <w:rFonts w:cs="Arial"/>
      <w:b/>
      <w:bCs/>
      <w:szCs w:val="26"/>
    </w:rPr>
  </w:style>
  <w:style w:type="paragraph" w:styleId="Heading4">
    <w:name w:val="heading 4"/>
    <w:basedOn w:val="Normal"/>
    <w:next w:val="Normal"/>
    <w:link w:val="Heading4Char"/>
    <w:qFormat/>
    <w:rsid w:val="004D4A44"/>
    <w:pPr>
      <w:keepNext/>
      <w:numPr>
        <w:ilvl w:val="3"/>
        <w:numId w:val="3"/>
      </w:numPr>
      <w:spacing w:before="240" w:after="60"/>
      <w:outlineLvl w:val="3"/>
    </w:pPr>
    <w:rPr>
      <w:b/>
      <w:bCs/>
      <w:sz w:val="28"/>
      <w:szCs w:val="28"/>
    </w:rPr>
  </w:style>
  <w:style w:type="paragraph" w:styleId="Heading5">
    <w:name w:val="heading 5"/>
    <w:basedOn w:val="Normal"/>
    <w:next w:val="BodyText"/>
    <w:link w:val="Heading5Char"/>
    <w:qFormat/>
    <w:rsid w:val="007A63AA"/>
    <w:pPr>
      <w:keepNext/>
      <w:keepLines/>
      <w:spacing w:before="60" w:after="60" w:line="264" w:lineRule="auto"/>
      <w:outlineLvl w:val="4"/>
    </w:pPr>
    <w:rPr>
      <w:rFonts w:eastAsia="Times New Roman" w:cs="Times New Roman"/>
      <w:b/>
      <w:i/>
      <w:color w:val="DA291C"/>
      <w:sz w:val="22"/>
      <w:szCs w:val="20"/>
    </w:rPr>
  </w:style>
  <w:style w:type="paragraph" w:styleId="Heading6">
    <w:name w:val="heading 6"/>
    <w:basedOn w:val="Normal"/>
    <w:next w:val="Normal"/>
    <w:link w:val="Heading6Char"/>
    <w:qFormat/>
    <w:rsid w:val="007A63AA"/>
    <w:pPr>
      <w:keepNext/>
      <w:keepLines/>
      <w:pageBreakBefore/>
      <w:pBdr>
        <w:top w:val="single" w:sz="6" w:space="3" w:color="DA291C"/>
        <w:bottom w:val="single" w:sz="6" w:space="3" w:color="DA291C"/>
      </w:pBdr>
      <w:shd w:val="clear" w:color="auto" w:fill="DA291C"/>
      <w:spacing w:before="60" w:after="60" w:line="264" w:lineRule="auto"/>
      <w:outlineLvl w:val="5"/>
    </w:pPr>
    <w:rPr>
      <w:rFonts w:ascii="Arial" w:eastAsia="Times New Roman" w:hAnsi="Arial" w:cs="Times New Roman"/>
      <w:bCs/>
      <w:color w:val="FFFFFF"/>
      <w:kern w:val="28"/>
      <w:sz w:val="28"/>
      <w:szCs w:val="22"/>
    </w:rPr>
  </w:style>
  <w:style w:type="paragraph" w:styleId="Heading7">
    <w:name w:val="heading 7"/>
    <w:basedOn w:val="Normal"/>
    <w:next w:val="Normal"/>
    <w:link w:val="Heading7Char"/>
    <w:qFormat/>
    <w:rsid w:val="007A63AA"/>
    <w:pPr>
      <w:keepNext/>
      <w:keepLines/>
      <w:pageBreakBefore/>
      <w:pBdr>
        <w:top w:val="single" w:sz="6" w:space="3" w:color="DA291C"/>
        <w:bottom w:val="single" w:sz="6" w:space="3" w:color="DA291C"/>
      </w:pBdr>
      <w:shd w:val="clear" w:color="auto" w:fill="DA291C"/>
      <w:spacing w:before="240" w:after="60" w:line="264" w:lineRule="auto"/>
      <w:outlineLvl w:val="6"/>
    </w:pPr>
    <w:rPr>
      <w:rFonts w:ascii="Arial" w:eastAsia="Times New Roman" w:hAnsi="Arial" w:cs="Times New Roman"/>
      <w:b/>
      <w:color w:val="FFFFFF"/>
      <w:kern w:val="28"/>
      <w:sz w:val="28"/>
    </w:rPr>
  </w:style>
  <w:style w:type="paragraph" w:styleId="Heading9">
    <w:name w:val="heading 9"/>
    <w:basedOn w:val="Normal"/>
    <w:next w:val="Normal"/>
    <w:link w:val="Heading9Char"/>
    <w:qFormat/>
    <w:rsid w:val="007A63AA"/>
    <w:pPr>
      <w:spacing w:before="240" w:after="60" w:line="264"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CF8"/>
    <w:rPr>
      <w:rFonts w:cs="Arial"/>
      <w:b/>
      <w:bCs/>
      <w:kern w:val="32"/>
      <w:szCs w:val="32"/>
    </w:rPr>
  </w:style>
  <w:style w:type="character" w:customStyle="1" w:styleId="Heading2Char">
    <w:name w:val="Heading 2 Char"/>
    <w:basedOn w:val="DefaultParagraphFont"/>
    <w:link w:val="Heading2"/>
    <w:rsid w:val="000D2D6D"/>
    <w:rPr>
      <w:rFonts w:cs="Arial"/>
      <w:b/>
      <w:bCs/>
      <w:iCs/>
      <w:szCs w:val="28"/>
    </w:rPr>
  </w:style>
  <w:style w:type="character" w:customStyle="1" w:styleId="Heading3Char">
    <w:name w:val="Heading 3 Char"/>
    <w:basedOn w:val="DefaultParagraphFont"/>
    <w:link w:val="Heading3"/>
    <w:rsid w:val="00FA0CF8"/>
    <w:rPr>
      <w:rFonts w:cs="Arial"/>
      <w:b/>
      <w:bCs/>
      <w:szCs w:val="26"/>
    </w:rPr>
  </w:style>
  <w:style w:type="character" w:customStyle="1" w:styleId="Heading4Char">
    <w:name w:val="Heading 4 Char"/>
    <w:basedOn w:val="DefaultParagraphFont"/>
    <w:link w:val="Heading4"/>
    <w:rsid w:val="004D4A44"/>
    <w:rPr>
      <w:b/>
      <w:bCs/>
      <w:sz w:val="28"/>
      <w:szCs w:val="28"/>
    </w:rPr>
  </w:style>
  <w:style w:type="paragraph" w:styleId="Footer">
    <w:name w:val="footer"/>
    <w:basedOn w:val="Normal"/>
    <w:link w:val="FooterChar"/>
    <w:uiPriority w:val="99"/>
    <w:rsid w:val="004D4A44"/>
    <w:pPr>
      <w:tabs>
        <w:tab w:val="center" w:pos="4320"/>
        <w:tab w:val="right" w:pos="8640"/>
      </w:tabs>
    </w:pPr>
  </w:style>
  <w:style w:type="character" w:customStyle="1" w:styleId="FooterChar">
    <w:name w:val="Footer Char"/>
    <w:basedOn w:val="DefaultParagraphFont"/>
    <w:link w:val="Footer"/>
    <w:uiPriority w:val="99"/>
    <w:rsid w:val="004D4A44"/>
    <w:rPr>
      <w:rFonts w:eastAsia="Times New Roman" w:cs="Times New Roman"/>
      <w:szCs w:val="24"/>
    </w:rPr>
  </w:style>
  <w:style w:type="character" w:styleId="PageNumber">
    <w:name w:val="page number"/>
    <w:basedOn w:val="DefaultParagraphFont"/>
    <w:rsid w:val="004D4A44"/>
  </w:style>
  <w:style w:type="paragraph" w:styleId="Header">
    <w:name w:val="header"/>
    <w:basedOn w:val="Normal"/>
    <w:link w:val="HeaderChar"/>
    <w:uiPriority w:val="99"/>
    <w:rsid w:val="004D4A44"/>
    <w:pPr>
      <w:tabs>
        <w:tab w:val="center" w:pos="4320"/>
        <w:tab w:val="right" w:pos="8640"/>
      </w:tabs>
    </w:pPr>
  </w:style>
  <w:style w:type="character" w:customStyle="1" w:styleId="HeaderChar">
    <w:name w:val="Header Char"/>
    <w:basedOn w:val="DefaultParagraphFont"/>
    <w:link w:val="Header"/>
    <w:uiPriority w:val="99"/>
    <w:rsid w:val="004D4A44"/>
    <w:rPr>
      <w:rFonts w:eastAsia="Times New Roman" w:cs="Times New Roman"/>
      <w:szCs w:val="24"/>
    </w:rPr>
  </w:style>
  <w:style w:type="paragraph" w:customStyle="1" w:styleId="ListBulletlast">
    <w:name w:val="List Bullet_last"/>
    <w:basedOn w:val="ListBullet"/>
    <w:qFormat/>
    <w:rsid w:val="00FA0CF8"/>
    <w:pPr>
      <w:spacing w:after="240"/>
    </w:pPr>
  </w:style>
  <w:style w:type="character" w:styleId="CommentReference">
    <w:name w:val="annotation reference"/>
    <w:uiPriority w:val="99"/>
    <w:rsid w:val="004D4A44"/>
    <w:rPr>
      <w:sz w:val="16"/>
      <w:szCs w:val="16"/>
    </w:rPr>
  </w:style>
  <w:style w:type="paragraph" w:styleId="CommentText">
    <w:name w:val="annotation text"/>
    <w:basedOn w:val="Normal"/>
    <w:link w:val="CommentTextChar"/>
    <w:rsid w:val="004D4A44"/>
    <w:rPr>
      <w:sz w:val="20"/>
      <w:szCs w:val="20"/>
    </w:rPr>
  </w:style>
  <w:style w:type="character" w:customStyle="1" w:styleId="CommentTextChar">
    <w:name w:val="Comment Text Char"/>
    <w:basedOn w:val="DefaultParagraphFont"/>
    <w:link w:val="CommentText"/>
    <w:rsid w:val="004D4A44"/>
    <w:rPr>
      <w:rFonts w:eastAsia="Times New Roman" w:cs="Times New Roman"/>
      <w:sz w:val="20"/>
      <w:szCs w:val="20"/>
    </w:rPr>
  </w:style>
  <w:style w:type="character" w:customStyle="1" w:styleId="CommentSubjectChar">
    <w:name w:val="Comment Subject Char"/>
    <w:basedOn w:val="CommentTextChar"/>
    <w:link w:val="CommentSubject"/>
    <w:semiHidden/>
    <w:rsid w:val="004D4A44"/>
    <w:rPr>
      <w:rFonts w:eastAsia="Times New Roman" w:cs="Times New Roman"/>
      <w:b/>
      <w:bCs/>
      <w:sz w:val="20"/>
      <w:szCs w:val="20"/>
    </w:rPr>
  </w:style>
  <w:style w:type="paragraph" w:styleId="CommentSubject">
    <w:name w:val="annotation subject"/>
    <w:basedOn w:val="CommentText"/>
    <w:next w:val="CommentText"/>
    <w:link w:val="CommentSubjectChar"/>
    <w:semiHidden/>
    <w:rsid w:val="004D4A44"/>
    <w:rPr>
      <w:b/>
      <w:bCs/>
    </w:rPr>
  </w:style>
  <w:style w:type="paragraph" w:customStyle="1" w:styleId="ListBulletsingle">
    <w:name w:val="List Bullet_single"/>
    <w:basedOn w:val="ListBullet"/>
    <w:qFormat/>
    <w:rsid w:val="00FA0CF8"/>
    <w:pPr>
      <w:spacing w:after="60"/>
    </w:pPr>
  </w:style>
  <w:style w:type="paragraph" w:styleId="BalloonText">
    <w:name w:val="Balloon Text"/>
    <w:basedOn w:val="Normal"/>
    <w:link w:val="BalloonTextChar"/>
    <w:uiPriority w:val="99"/>
    <w:semiHidden/>
    <w:rsid w:val="004D4A44"/>
    <w:rPr>
      <w:rFonts w:ascii="Tahoma" w:hAnsi="Tahoma" w:cs="Tahoma"/>
      <w:sz w:val="16"/>
      <w:szCs w:val="16"/>
    </w:rPr>
  </w:style>
  <w:style w:type="character" w:customStyle="1" w:styleId="BalloonTextChar">
    <w:name w:val="Balloon Text Char"/>
    <w:basedOn w:val="DefaultParagraphFont"/>
    <w:link w:val="BalloonText"/>
    <w:uiPriority w:val="99"/>
    <w:semiHidden/>
    <w:rsid w:val="004D4A44"/>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395A33"/>
    <w:rPr>
      <w:color w:val="808080"/>
      <w:shd w:val="clear" w:color="auto" w:fill="E6E6E6"/>
    </w:rPr>
  </w:style>
  <w:style w:type="paragraph" w:styleId="FootnoteText">
    <w:name w:val="footnote text"/>
    <w:basedOn w:val="Normal"/>
    <w:link w:val="FootnoteTextChar"/>
    <w:qFormat/>
    <w:rsid w:val="00FA0CF8"/>
    <w:pPr>
      <w:tabs>
        <w:tab w:val="left" w:pos="360"/>
      </w:tabs>
      <w:spacing w:before="60"/>
    </w:pPr>
    <w:rPr>
      <w:sz w:val="18"/>
      <w:szCs w:val="20"/>
    </w:rPr>
  </w:style>
  <w:style w:type="character" w:customStyle="1" w:styleId="FootnoteTextChar">
    <w:name w:val="Footnote Text Char"/>
    <w:basedOn w:val="DefaultParagraphFont"/>
    <w:link w:val="FootnoteText"/>
    <w:rsid w:val="00FA0CF8"/>
    <w:rPr>
      <w:sz w:val="18"/>
      <w:szCs w:val="20"/>
    </w:rPr>
  </w:style>
  <w:style w:type="character" w:styleId="FootnoteReference">
    <w:name w:val="footnote reference"/>
    <w:uiPriority w:val="99"/>
    <w:qFormat/>
    <w:rsid w:val="006567EE"/>
    <w:rPr>
      <w:rFonts w:ascii="Times New Roman" w:hAnsi="Times New Roman"/>
      <w:sz w:val="20"/>
      <w:vertAlign w:val="superscript"/>
    </w:rPr>
  </w:style>
  <w:style w:type="paragraph" w:styleId="ListParagraph">
    <w:name w:val="List Paragraph"/>
    <w:basedOn w:val="Normal"/>
    <w:uiPriority w:val="34"/>
    <w:qFormat/>
    <w:rsid w:val="004D4A44"/>
    <w:pPr>
      <w:ind w:left="720"/>
    </w:pPr>
  </w:style>
  <w:style w:type="paragraph" w:styleId="ListBullet">
    <w:name w:val="List Bullet"/>
    <w:qFormat/>
    <w:rsid w:val="00FA0CF8"/>
    <w:pPr>
      <w:numPr>
        <w:numId w:val="2"/>
      </w:numPr>
      <w:spacing w:after="120" w:line="240" w:lineRule="auto"/>
      <w:ind w:left="1080" w:hanging="360"/>
    </w:pPr>
    <w:rPr>
      <w:szCs w:val="20"/>
    </w:rPr>
  </w:style>
  <w:style w:type="character" w:styleId="Hyperlink">
    <w:name w:val="Hyperlink"/>
    <w:uiPriority w:val="99"/>
    <w:rsid w:val="004D4A44"/>
    <w:rPr>
      <w:color w:val="0000FF"/>
      <w:u w:val="single"/>
    </w:rPr>
  </w:style>
  <w:style w:type="paragraph" w:styleId="ListBullet2">
    <w:name w:val="List Bullet 2"/>
    <w:basedOn w:val="Normal"/>
    <w:uiPriority w:val="99"/>
    <w:unhideWhenUsed/>
    <w:rsid w:val="00FA0CF8"/>
    <w:pPr>
      <w:numPr>
        <w:numId w:val="4"/>
      </w:numPr>
      <w:spacing w:after="60"/>
      <w:ind w:left="1440"/>
    </w:pPr>
  </w:style>
  <w:style w:type="paragraph" w:customStyle="1" w:styleId="ListBullet2last">
    <w:name w:val="List Bullet 2_last"/>
    <w:basedOn w:val="ListBullet2"/>
    <w:qFormat/>
    <w:rsid w:val="007F0F1B"/>
    <w:pPr>
      <w:spacing w:after="240"/>
    </w:pPr>
  </w:style>
  <w:style w:type="paragraph" w:styleId="BodyText">
    <w:name w:val="Body Text"/>
    <w:link w:val="BodyTextChar"/>
    <w:rsid w:val="00FA0CF8"/>
    <w:pPr>
      <w:spacing w:after="240" w:line="240" w:lineRule="auto"/>
      <w:ind w:firstLine="720"/>
    </w:pPr>
    <w:rPr>
      <w:rFonts w:eastAsia="Times New Roman" w:cs="Times New Roman"/>
    </w:rPr>
  </w:style>
  <w:style w:type="character" w:customStyle="1" w:styleId="BodyTextChar">
    <w:name w:val="Body Text Char"/>
    <w:basedOn w:val="DefaultParagraphFont"/>
    <w:link w:val="BodyText"/>
    <w:rsid w:val="00FA0CF8"/>
    <w:rPr>
      <w:rFonts w:eastAsia="Times New Roman" w:cs="Times New Roman"/>
    </w:rPr>
  </w:style>
  <w:style w:type="paragraph" w:styleId="Caption">
    <w:name w:val="caption"/>
    <w:basedOn w:val="Normal"/>
    <w:next w:val="Normal"/>
    <w:qFormat/>
    <w:rsid w:val="004A7249"/>
    <w:rPr>
      <w:b/>
      <w:bCs/>
      <w:szCs w:val="20"/>
    </w:rPr>
  </w:style>
  <w:style w:type="paragraph" w:customStyle="1" w:styleId="TableTitle">
    <w:name w:val="Table Title"/>
    <w:link w:val="TableTitleChar"/>
    <w:qFormat/>
    <w:rsid w:val="00101277"/>
    <w:pPr>
      <w:keepNext/>
      <w:spacing w:before="80" w:after="80" w:line="240" w:lineRule="auto"/>
      <w:jc w:val="center"/>
    </w:pPr>
    <w:rPr>
      <w:rFonts w:cs="Arial"/>
      <w:b/>
      <w:szCs w:val="22"/>
    </w:rPr>
  </w:style>
  <w:style w:type="character" w:customStyle="1" w:styleId="TableTitleChar">
    <w:name w:val="Table Title Char"/>
    <w:link w:val="TableTitle"/>
    <w:rsid w:val="00101277"/>
    <w:rPr>
      <w:rFonts w:cs="Arial"/>
      <w:b/>
      <w:szCs w:val="22"/>
    </w:rPr>
  </w:style>
  <w:style w:type="character" w:customStyle="1" w:styleId="ptext-2">
    <w:name w:val="ptext-2"/>
    <w:basedOn w:val="DefaultParagraphFont"/>
    <w:rsid w:val="004D4A44"/>
  </w:style>
  <w:style w:type="paragraph" w:styleId="NormalWeb">
    <w:name w:val="Normal (Web)"/>
    <w:basedOn w:val="Normal"/>
    <w:rsid w:val="004D4A44"/>
    <w:pPr>
      <w:spacing w:before="100" w:beforeAutospacing="1" w:after="100" w:afterAutospacing="1"/>
    </w:pPr>
  </w:style>
  <w:style w:type="paragraph" w:styleId="HTMLPreformatted">
    <w:name w:val="HTML Preformatted"/>
    <w:basedOn w:val="Normal"/>
    <w:link w:val="HTMLPreformattedChar"/>
    <w:rsid w:val="004D4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D4A44"/>
    <w:rPr>
      <w:rFonts w:ascii="Courier New" w:eastAsia="Times New Roman" w:hAnsi="Courier New" w:cs="Courier New"/>
      <w:sz w:val="20"/>
      <w:szCs w:val="20"/>
    </w:rPr>
  </w:style>
  <w:style w:type="paragraph" w:customStyle="1" w:styleId="Default">
    <w:name w:val="Default"/>
    <w:rsid w:val="004D4A44"/>
    <w:pPr>
      <w:autoSpaceDE w:val="0"/>
      <w:autoSpaceDN w:val="0"/>
      <w:adjustRightInd w:val="0"/>
      <w:spacing w:after="0" w:line="240" w:lineRule="auto"/>
    </w:pPr>
    <w:rPr>
      <w:rFonts w:eastAsia="Times New Roman" w:cs="Times New Roman"/>
      <w:color w:val="000000"/>
    </w:rPr>
  </w:style>
  <w:style w:type="character" w:styleId="FollowedHyperlink">
    <w:name w:val="FollowedHyperlink"/>
    <w:rsid w:val="004D4A44"/>
    <w:rPr>
      <w:color w:val="800080"/>
      <w:u w:val="single"/>
    </w:rPr>
  </w:style>
  <w:style w:type="paragraph" w:customStyle="1" w:styleId="Reference">
    <w:name w:val="Reference"/>
    <w:basedOn w:val="Normal"/>
    <w:qFormat/>
    <w:rsid w:val="004D4A44"/>
    <w:pPr>
      <w:autoSpaceDE w:val="0"/>
      <w:autoSpaceDN w:val="0"/>
      <w:adjustRightInd w:val="0"/>
      <w:spacing w:after="120"/>
      <w:ind w:left="360" w:hanging="360"/>
    </w:pPr>
    <w:rPr>
      <w:color w:val="000000"/>
      <w:sz w:val="22"/>
    </w:rPr>
  </w:style>
  <w:style w:type="character" w:customStyle="1" w:styleId="DocumentMapChar">
    <w:name w:val="Document Map Char"/>
    <w:basedOn w:val="DefaultParagraphFont"/>
    <w:link w:val="DocumentMap"/>
    <w:semiHidden/>
    <w:rsid w:val="004D4A4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4D4A44"/>
    <w:pPr>
      <w:shd w:val="clear" w:color="auto" w:fill="000080"/>
    </w:pPr>
    <w:rPr>
      <w:rFonts w:ascii="Tahoma" w:hAnsi="Tahoma" w:cs="Tahoma"/>
      <w:sz w:val="20"/>
      <w:szCs w:val="20"/>
    </w:rPr>
  </w:style>
  <w:style w:type="paragraph" w:styleId="EndnoteText">
    <w:name w:val="endnote text"/>
    <w:basedOn w:val="Normal"/>
    <w:link w:val="EndnoteTextChar"/>
    <w:uiPriority w:val="99"/>
    <w:semiHidden/>
    <w:unhideWhenUsed/>
    <w:rsid w:val="004D4A44"/>
    <w:rPr>
      <w:sz w:val="20"/>
      <w:szCs w:val="20"/>
    </w:rPr>
  </w:style>
  <w:style w:type="character" w:customStyle="1" w:styleId="EndnoteTextChar">
    <w:name w:val="Endnote Text Char"/>
    <w:basedOn w:val="DefaultParagraphFont"/>
    <w:link w:val="EndnoteText"/>
    <w:uiPriority w:val="99"/>
    <w:semiHidden/>
    <w:rsid w:val="004D4A44"/>
    <w:rPr>
      <w:rFonts w:eastAsia="Times New Roman" w:cs="Times New Roman"/>
      <w:sz w:val="20"/>
      <w:szCs w:val="20"/>
    </w:rPr>
  </w:style>
  <w:style w:type="character" w:styleId="EndnoteReference">
    <w:name w:val="endnote reference"/>
    <w:basedOn w:val="DefaultParagraphFont"/>
    <w:uiPriority w:val="99"/>
    <w:unhideWhenUsed/>
    <w:rsid w:val="004D4A44"/>
    <w:rPr>
      <w:vertAlign w:val="superscript"/>
    </w:rPr>
  </w:style>
  <w:style w:type="paragraph" w:styleId="NoSpacing">
    <w:name w:val="No Spacing"/>
    <w:uiPriority w:val="1"/>
    <w:qFormat/>
    <w:rsid w:val="002C76D1"/>
    <w:pPr>
      <w:spacing w:after="0" w:line="240" w:lineRule="auto"/>
    </w:pPr>
    <w:rPr>
      <w:rFonts w:eastAsia="Times New Roman" w:cs="Times New Roman"/>
    </w:rPr>
  </w:style>
  <w:style w:type="paragraph" w:styleId="Revision">
    <w:name w:val="Revision"/>
    <w:hidden/>
    <w:uiPriority w:val="99"/>
    <w:semiHidden/>
    <w:rsid w:val="00D653C2"/>
    <w:pPr>
      <w:spacing w:after="0" w:line="240" w:lineRule="auto"/>
    </w:pPr>
    <w:rPr>
      <w:rFonts w:eastAsia="Times New Roman" w:cs="Times New Roman"/>
    </w:rPr>
  </w:style>
  <w:style w:type="table" w:styleId="TableGrid">
    <w:name w:val="Table Grid"/>
    <w:basedOn w:val="TableNormal"/>
    <w:uiPriority w:val="59"/>
    <w:rsid w:val="00F0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Number1">
    <w:name w:val="List Number_1"/>
    <w:uiPriority w:val="99"/>
    <w:rsid w:val="00C57469"/>
    <w:pPr>
      <w:numPr>
        <w:numId w:val="5"/>
      </w:numPr>
    </w:pPr>
  </w:style>
  <w:style w:type="paragraph" w:styleId="ListContinue">
    <w:name w:val="List Continue"/>
    <w:basedOn w:val="Normal"/>
    <w:uiPriority w:val="99"/>
    <w:unhideWhenUsed/>
    <w:rsid w:val="00FA0CF8"/>
    <w:pPr>
      <w:numPr>
        <w:numId w:val="6"/>
      </w:numPr>
      <w:spacing w:after="120"/>
    </w:pPr>
  </w:style>
  <w:style w:type="paragraph" w:styleId="ListContinue2">
    <w:name w:val="List Continue 2"/>
    <w:basedOn w:val="Normal"/>
    <w:uiPriority w:val="99"/>
    <w:unhideWhenUsed/>
    <w:rsid w:val="00FA0CF8"/>
    <w:pPr>
      <w:numPr>
        <w:numId w:val="7"/>
      </w:numPr>
      <w:spacing w:after="120"/>
    </w:pPr>
  </w:style>
  <w:style w:type="paragraph" w:customStyle="1" w:styleId="Heading3nonumber">
    <w:name w:val="Heading 3_no number"/>
    <w:qFormat/>
    <w:rsid w:val="00FA0CF8"/>
    <w:pPr>
      <w:keepNext/>
      <w:spacing w:before="240" w:after="120" w:line="240" w:lineRule="auto"/>
      <w:ind w:firstLine="720"/>
    </w:pPr>
    <w:rPr>
      <w:i/>
    </w:rPr>
  </w:style>
  <w:style w:type="paragraph" w:styleId="BodyTextFirstIndent">
    <w:name w:val="Body Text First Indent"/>
    <w:basedOn w:val="BodyText"/>
    <w:link w:val="BodyTextFirstIndentChar"/>
    <w:uiPriority w:val="99"/>
    <w:unhideWhenUsed/>
    <w:rsid w:val="00A16087"/>
    <w:pPr>
      <w:spacing w:before="240"/>
      <w:ind w:left="720" w:right="720" w:firstLine="0"/>
    </w:pPr>
    <w:rPr>
      <w:rFonts w:eastAsiaTheme="minorHAnsi" w:cstheme="minorBidi"/>
    </w:rPr>
  </w:style>
  <w:style w:type="character" w:customStyle="1" w:styleId="BodyTextFirstIndentChar">
    <w:name w:val="Body Text First Indent Char"/>
    <w:basedOn w:val="BodyTextChar"/>
    <w:link w:val="BodyTextFirstIndent"/>
    <w:uiPriority w:val="99"/>
    <w:rsid w:val="00A16087"/>
    <w:rPr>
      <w:rFonts w:eastAsia="Times New Roman" w:cs="Times New Roman"/>
      <w:szCs w:val="24"/>
      <w:shd w:val="clear" w:color="auto" w:fill="DBE5F1" w:themeFill="accent1" w:themeFillTint="33"/>
    </w:rPr>
  </w:style>
  <w:style w:type="paragraph" w:customStyle="1" w:styleId="Footnotetables">
    <w:name w:val="Footnote_tables"/>
    <w:qFormat/>
    <w:rsid w:val="00FA0CF8"/>
    <w:pPr>
      <w:spacing w:before="60" w:after="0" w:line="240" w:lineRule="auto"/>
      <w:ind w:left="360" w:hanging="360"/>
    </w:pPr>
    <w:rPr>
      <w:rFonts w:ascii="Arial Narrow" w:hAnsi="Arial Narrow"/>
      <w:sz w:val="18"/>
      <w:szCs w:val="20"/>
    </w:rPr>
  </w:style>
  <w:style w:type="table" w:customStyle="1" w:styleId="TableGrid1">
    <w:name w:val="Table Grid1"/>
    <w:basedOn w:val="TableNormal"/>
    <w:next w:val="TableGrid"/>
    <w:uiPriority w:val="39"/>
    <w:rsid w:val="00B934E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046B9"/>
    <w:pPr>
      <w:ind w:left="720" w:hanging="720"/>
    </w:pPr>
  </w:style>
  <w:style w:type="character" w:customStyle="1" w:styleId="UnresolvedMention2">
    <w:name w:val="Unresolved Mention2"/>
    <w:basedOn w:val="DefaultParagraphFont"/>
    <w:uiPriority w:val="99"/>
    <w:semiHidden/>
    <w:unhideWhenUsed/>
    <w:rsid w:val="00F55464"/>
    <w:rPr>
      <w:color w:val="808080"/>
      <w:shd w:val="clear" w:color="auto" w:fill="E6E6E6"/>
    </w:rPr>
  </w:style>
  <w:style w:type="numbering" w:customStyle="1" w:styleId="NoList1">
    <w:name w:val="No List1"/>
    <w:next w:val="NoList"/>
    <w:uiPriority w:val="99"/>
    <w:semiHidden/>
    <w:unhideWhenUsed/>
    <w:rsid w:val="009533EA"/>
  </w:style>
  <w:style w:type="paragraph" w:customStyle="1" w:styleId="Level1">
    <w:name w:val="Level 1"/>
    <w:basedOn w:val="Normal"/>
    <w:rsid w:val="009533EA"/>
    <w:pPr>
      <w:widowControl w:val="0"/>
    </w:pPr>
    <w:rPr>
      <w:rFonts w:eastAsia="Times New Roman" w:cs="Times New Roman"/>
      <w:szCs w:val="20"/>
    </w:rPr>
  </w:style>
  <w:style w:type="character" w:customStyle="1" w:styleId="CommentSubjectChar1">
    <w:name w:val="Comment Subject Char1"/>
    <w:basedOn w:val="CommentTextChar"/>
    <w:uiPriority w:val="99"/>
    <w:semiHidden/>
    <w:rsid w:val="009533EA"/>
    <w:rPr>
      <w:rFonts w:eastAsia="Times New Roman" w:cs="Times New Roman"/>
      <w:b/>
      <w:bCs/>
      <w:sz w:val="20"/>
      <w:szCs w:val="20"/>
    </w:rPr>
  </w:style>
  <w:style w:type="paragraph" w:customStyle="1" w:styleId="a">
    <w:name w:val="آ"/>
    <w:basedOn w:val="Normal"/>
    <w:rsid w:val="009533EA"/>
    <w:pPr>
      <w:widowControl w:val="0"/>
    </w:pPr>
    <w:rPr>
      <w:rFonts w:eastAsia="Times New Roman" w:cs="Times New Roman"/>
      <w:szCs w:val="20"/>
    </w:rPr>
  </w:style>
  <w:style w:type="paragraph" w:customStyle="1" w:styleId="Bullet">
    <w:name w:val="Bullet"/>
    <w:basedOn w:val="Normal"/>
    <w:link w:val="BulletChar"/>
    <w:rsid w:val="009533EA"/>
    <w:pPr>
      <w:tabs>
        <w:tab w:val="num" w:pos="360"/>
      </w:tabs>
      <w:ind w:left="360" w:hanging="360"/>
    </w:pPr>
    <w:rPr>
      <w:rFonts w:eastAsia="Times New Roman" w:cs="Times New Roman"/>
      <w:sz w:val="22"/>
    </w:rPr>
  </w:style>
  <w:style w:type="character" w:customStyle="1" w:styleId="BulletChar">
    <w:name w:val="Bullet Char"/>
    <w:link w:val="Bullet"/>
    <w:rsid w:val="009533EA"/>
    <w:rPr>
      <w:rFonts w:eastAsia="Times New Roman" w:cs="Times New Roman"/>
      <w:sz w:val="22"/>
    </w:rPr>
  </w:style>
  <w:style w:type="character" w:customStyle="1" w:styleId="enumbell">
    <w:name w:val="enumbell"/>
    <w:basedOn w:val="DefaultParagraphFont"/>
    <w:rsid w:val="009533EA"/>
  </w:style>
  <w:style w:type="character" w:customStyle="1" w:styleId="defaultlabelstyle6">
    <w:name w:val="defaultlabelstyle6"/>
    <w:rsid w:val="009533EA"/>
    <w:rPr>
      <w:rFonts w:ascii="Verdana" w:hAnsi="Verdana" w:hint="default"/>
      <w:color w:val="333333"/>
      <w:sz w:val="18"/>
      <w:szCs w:val="18"/>
    </w:rPr>
  </w:style>
  <w:style w:type="paragraph" w:customStyle="1" w:styleId="CM40">
    <w:name w:val="CM40"/>
    <w:basedOn w:val="Default"/>
    <w:next w:val="Default"/>
    <w:rsid w:val="009533EA"/>
    <w:pPr>
      <w:widowControl w:val="0"/>
    </w:pPr>
    <w:rPr>
      <w:color w:val="auto"/>
    </w:rPr>
  </w:style>
  <w:style w:type="character" w:customStyle="1" w:styleId="CharChar1">
    <w:name w:val="Char Char1"/>
    <w:rsid w:val="009533EA"/>
    <w:rPr>
      <w:sz w:val="22"/>
      <w:szCs w:val="24"/>
      <w:lang w:val="en-US" w:eastAsia="en-US" w:bidi="ar-SA"/>
    </w:rPr>
  </w:style>
  <w:style w:type="character" w:customStyle="1" w:styleId="DocumentMapChar1">
    <w:name w:val="Document Map Char1"/>
    <w:basedOn w:val="DefaultParagraphFont"/>
    <w:uiPriority w:val="99"/>
    <w:semiHidden/>
    <w:rsid w:val="009533EA"/>
    <w:rPr>
      <w:rFonts w:ascii="Segoe UI" w:eastAsia="Times New Roman" w:hAnsi="Segoe UI" w:cs="Segoe UI"/>
      <w:sz w:val="16"/>
      <w:szCs w:val="16"/>
    </w:rPr>
  </w:style>
  <w:style w:type="paragraph" w:customStyle="1" w:styleId="StyleHeading411pt">
    <w:name w:val="Style Heading 4 + 11 pt"/>
    <w:basedOn w:val="Heading4"/>
    <w:link w:val="StyleHeading411ptChar"/>
    <w:rsid w:val="009533EA"/>
    <w:pPr>
      <w:ind w:left="1440"/>
    </w:pPr>
    <w:rPr>
      <w:rFonts w:eastAsia="Times New Roman" w:cs="Times New Roman"/>
      <w:sz w:val="24"/>
    </w:rPr>
  </w:style>
  <w:style w:type="character" w:customStyle="1" w:styleId="StyleHeading411ptChar">
    <w:name w:val="Style Heading 4 + 11 pt Char"/>
    <w:link w:val="StyleHeading411pt"/>
    <w:rsid w:val="009533EA"/>
    <w:rPr>
      <w:rFonts w:eastAsia="Times New Roman" w:cs="Times New Roman"/>
      <w:b/>
      <w:bCs/>
      <w:szCs w:val="28"/>
    </w:rPr>
  </w:style>
  <w:style w:type="character" w:customStyle="1" w:styleId="highlight">
    <w:name w:val="highlight"/>
    <w:basedOn w:val="DefaultParagraphFont"/>
    <w:rsid w:val="009533EA"/>
  </w:style>
  <w:style w:type="character" w:customStyle="1" w:styleId="UnresolvedMention3">
    <w:name w:val="Unresolved Mention3"/>
    <w:basedOn w:val="DefaultParagraphFont"/>
    <w:uiPriority w:val="99"/>
    <w:semiHidden/>
    <w:unhideWhenUsed/>
    <w:rsid w:val="002F3D90"/>
    <w:rPr>
      <w:color w:val="808080"/>
      <w:shd w:val="clear" w:color="auto" w:fill="E6E6E6"/>
    </w:rPr>
  </w:style>
  <w:style w:type="table" w:customStyle="1" w:styleId="TableGrid2">
    <w:name w:val="Table Grid2"/>
    <w:basedOn w:val="TableNormal"/>
    <w:next w:val="TableGrid"/>
    <w:uiPriority w:val="39"/>
    <w:rsid w:val="00B277D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utory-body-2em">
    <w:name w:val="statutory-body-2em"/>
    <w:basedOn w:val="Normal"/>
    <w:rsid w:val="00B277D3"/>
    <w:pPr>
      <w:ind w:left="480" w:firstLine="240"/>
    </w:pPr>
    <w:rPr>
      <w:rFonts w:eastAsia="Times New Roman" w:cs="Times New Roman"/>
    </w:rPr>
  </w:style>
  <w:style w:type="paragraph" w:customStyle="1" w:styleId="statutory-body-3em">
    <w:name w:val="statutory-body-3em"/>
    <w:basedOn w:val="Normal"/>
    <w:rsid w:val="00B277D3"/>
    <w:pPr>
      <w:ind w:left="720" w:firstLine="240"/>
    </w:pPr>
    <w:rPr>
      <w:rFonts w:eastAsia="Times New Roman" w:cs="Times New Roman"/>
    </w:rPr>
  </w:style>
  <w:style w:type="paragraph" w:customStyle="1" w:styleId="statutory-body-4em">
    <w:name w:val="statutory-body-4em"/>
    <w:basedOn w:val="Normal"/>
    <w:rsid w:val="00B277D3"/>
    <w:pPr>
      <w:ind w:left="960" w:firstLine="240"/>
    </w:pPr>
    <w:rPr>
      <w:rFonts w:eastAsia="Times New Roman" w:cs="Times New Roman"/>
    </w:rPr>
  </w:style>
  <w:style w:type="table" w:customStyle="1" w:styleId="TableGrid11">
    <w:name w:val="Table Grid11"/>
    <w:basedOn w:val="TableNormal"/>
    <w:next w:val="TableGrid"/>
    <w:uiPriority w:val="39"/>
    <w:rsid w:val="00B277D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uiPriority w:val="39"/>
    <w:qFormat/>
    <w:rsid w:val="00261728"/>
    <w:pPr>
      <w:widowControl w:val="0"/>
      <w:autoSpaceDE w:val="0"/>
      <w:autoSpaceDN w:val="0"/>
      <w:adjustRightInd w:val="0"/>
      <w:spacing w:before="20" w:after="100"/>
      <w:contextualSpacing/>
    </w:pPr>
    <w:rPr>
      <w:rFonts w:eastAsia="Times New Roman" w:cs="Times New Roman"/>
      <w:i/>
      <w:sz w:val="22"/>
      <w:szCs w:val="23"/>
    </w:rPr>
  </w:style>
  <w:style w:type="character" w:customStyle="1" w:styleId="UnresolvedMention4">
    <w:name w:val="Unresolved Mention4"/>
    <w:basedOn w:val="DefaultParagraphFont"/>
    <w:uiPriority w:val="99"/>
    <w:semiHidden/>
    <w:unhideWhenUsed/>
    <w:rsid w:val="00224B48"/>
    <w:rPr>
      <w:color w:val="605E5C"/>
      <w:shd w:val="clear" w:color="auto" w:fill="E1DFDD"/>
    </w:rPr>
  </w:style>
  <w:style w:type="paragraph" w:customStyle="1" w:styleId="Sources">
    <w:name w:val="Sources"/>
    <w:rsid w:val="00224B48"/>
    <w:pPr>
      <w:spacing w:after="240" w:line="240" w:lineRule="auto"/>
      <w:ind w:left="720" w:hanging="720"/>
    </w:pPr>
    <w:rPr>
      <w:rFonts w:eastAsia="Times New Roman" w:cs="Times New Roman"/>
      <w:sz w:val="22"/>
      <w:szCs w:val="22"/>
    </w:rPr>
  </w:style>
  <w:style w:type="paragraph" w:customStyle="1" w:styleId="CoverText-Address">
    <w:name w:val="Cover Text - Address"/>
    <w:basedOn w:val="Normal"/>
    <w:rsid w:val="002D6C47"/>
    <w:pPr>
      <w:tabs>
        <w:tab w:val="left" w:pos="720"/>
        <w:tab w:val="left" w:pos="1080"/>
        <w:tab w:val="left" w:pos="1440"/>
        <w:tab w:val="left" w:pos="1800"/>
        <w:tab w:val="left" w:pos="6660"/>
      </w:tabs>
      <w:spacing w:before="20" w:line="264" w:lineRule="auto"/>
      <w:ind w:right="-540"/>
      <w:jc w:val="center"/>
    </w:pPr>
    <w:rPr>
      <w:rFonts w:eastAsia="Times New Roman" w:cs="Times New Roman"/>
      <w:szCs w:val="20"/>
    </w:rPr>
  </w:style>
  <w:style w:type="character" w:customStyle="1" w:styleId="Heading5Char">
    <w:name w:val="Heading 5 Char"/>
    <w:basedOn w:val="DefaultParagraphFont"/>
    <w:link w:val="Heading5"/>
    <w:rsid w:val="007A63AA"/>
    <w:rPr>
      <w:rFonts w:eastAsia="Times New Roman" w:cs="Times New Roman"/>
      <w:b/>
      <w:i/>
      <w:color w:val="DA291C"/>
      <w:sz w:val="22"/>
      <w:szCs w:val="20"/>
    </w:rPr>
  </w:style>
  <w:style w:type="character" w:customStyle="1" w:styleId="Heading6Char">
    <w:name w:val="Heading 6 Char"/>
    <w:basedOn w:val="DefaultParagraphFont"/>
    <w:link w:val="Heading6"/>
    <w:rsid w:val="007A63AA"/>
    <w:rPr>
      <w:rFonts w:ascii="Arial" w:eastAsia="Times New Roman" w:hAnsi="Arial" w:cs="Times New Roman"/>
      <w:bCs/>
      <w:color w:val="FFFFFF"/>
      <w:kern w:val="28"/>
      <w:sz w:val="28"/>
      <w:szCs w:val="22"/>
      <w:shd w:val="clear" w:color="auto" w:fill="DA291C"/>
    </w:rPr>
  </w:style>
  <w:style w:type="character" w:customStyle="1" w:styleId="Heading7Char">
    <w:name w:val="Heading 7 Char"/>
    <w:basedOn w:val="DefaultParagraphFont"/>
    <w:link w:val="Heading7"/>
    <w:rsid w:val="007A63AA"/>
    <w:rPr>
      <w:rFonts w:ascii="Arial" w:eastAsia="Times New Roman" w:hAnsi="Arial" w:cs="Times New Roman"/>
      <w:b/>
      <w:color w:val="FFFFFF"/>
      <w:kern w:val="28"/>
      <w:sz w:val="28"/>
      <w:shd w:val="clear" w:color="auto" w:fill="DA291C"/>
    </w:rPr>
  </w:style>
  <w:style w:type="character" w:customStyle="1" w:styleId="Heading9Char">
    <w:name w:val="Heading 9 Char"/>
    <w:basedOn w:val="DefaultParagraphFont"/>
    <w:link w:val="Heading9"/>
    <w:rsid w:val="007A63AA"/>
    <w:rPr>
      <w:rFonts w:ascii="Arial" w:eastAsia="Times New Roman" w:hAnsi="Arial" w:cs="Arial"/>
      <w:sz w:val="22"/>
      <w:szCs w:val="22"/>
    </w:rPr>
  </w:style>
  <w:style w:type="table" w:customStyle="1" w:styleId="TableGrid3">
    <w:name w:val="Table Grid3"/>
    <w:basedOn w:val="TableNormal"/>
    <w:next w:val="TableGrid"/>
    <w:uiPriority w:val="59"/>
    <w:rsid w:val="007A63A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A63A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233F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ection-1">
    <w:name w:val="psection-1"/>
    <w:basedOn w:val="Normal"/>
    <w:rsid w:val="00C36542"/>
    <w:pPr>
      <w:spacing w:before="150" w:after="150"/>
    </w:pPr>
    <w:rPr>
      <w:rFonts w:eastAsia="Times New Roman" w:cs="Times New Roman"/>
    </w:rPr>
  </w:style>
  <w:style w:type="paragraph" w:customStyle="1" w:styleId="psection-2">
    <w:name w:val="psection-2"/>
    <w:basedOn w:val="Normal"/>
    <w:rsid w:val="00C36542"/>
    <w:pPr>
      <w:spacing w:after="150"/>
      <w:ind w:left="240"/>
    </w:pPr>
    <w:rPr>
      <w:rFonts w:eastAsia="Times New Roman" w:cs="Times New Roman"/>
    </w:rPr>
  </w:style>
  <w:style w:type="paragraph" w:customStyle="1" w:styleId="psection-3">
    <w:name w:val="psection-3"/>
    <w:basedOn w:val="Normal"/>
    <w:rsid w:val="00C36542"/>
    <w:pPr>
      <w:spacing w:after="150"/>
      <w:ind w:left="480"/>
    </w:pPr>
    <w:rPr>
      <w:rFonts w:eastAsia="Times New Roman" w:cs="Times New Roman"/>
    </w:rPr>
  </w:style>
  <w:style w:type="character" w:customStyle="1" w:styleId="enumxml1">
    <w:name w:val="enumxml1"/>
    <w:basedOn w:val="DefaultParagraphFont"/>
    <w:rsid w:val="00C36542"/>
    <w:rPr>
      <w:b/>
      <w:bCs/>
    </w:rPr>
  </w:style>
  <w:style w:type="character" w:customStyle="1" w:styleId="et031">
    <w:name w:val="et031"/>
    <w:basedOn w:val="DefaultParagraphFont"/>
    <w:rsid w:val="00C36542"/>
    <w:rPr>
      <w:i/>
      <w:iCs/>
    </w:rPr>
  </w:style>
  <w:style w:type="character" w:customStyle="1" w:styleId="enumxml2">
    <w:name w:val="enumxml2"/>
    <w:basedOn w:val="DefaultParagraphFont"/>
    <w:rsid w:val="00C36542"/>
    <w:rPr>
      <w:b/>
      <w:bCs/>
    </w:rPr>
  </w:style>
  <w:style w:type="character" w:customStyle="1" w:styleId="enumxml3">
    <w:name w:val="enumxml3"/>
    <w:basedOn w:val="DefaultParagraphFont"/>
    <w:rsid w:val="00C36542"/>
    <w:rPr>
      <w:b/>
      <w:bCs/>
    </w:rPr>
  </w:style>
  <w:style w:type="paragraph" w:customStyle="1" w:styleId="ExhibitRowHeader">
    <w:name w:val="Exhibit Row Header"/>
    <w:basedOn w:val="BodyText"/>
    <w:rsid w:val="00882B16"/>
    <w:pPr>
      <w:spacing w:before="20" w:after="20"/>
      <w:ind w:firstLine="0"/>
      <w:jc w:val="center"/>
    </w:pPr>
    <w:rPr>
      <w:rFonts w:ascii="Arial" w:hAnsi="Arial" w:cs="Arial"/>
      <w:b/>
      <w:color w:val="F8F8F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043">
      <w:bodyDiv w:val="1"/>
      <w:marLeft w:val="0"/>
      <w:marRight w:val="0"/>
      <w:marTop w:val="0"/>
      <w:marBottom w:val="0"/>
      <w:divBdr>
        <w:top w:val="none" w:sz="0" w:space="0" w:color="auto"/>
        <w:left w:val="none" w:sz="0" w:space="0" w:color="auto"/>
        <w:bottom w:val="none" w:sz="0" w:space="0" w:color="auto"/>
        <w:right w:val="none" w:sz="0" w:space="0" w:color="auto"/>
      </w:divBdr>
    </w:div>
    <w:div w:id="66854117">
      <w:bodyDiv w:val="1"/>
      <w:marLeft w:val="0"/>
      <w:marRight w:val="0"/>
      <w:marTop w:val="0"/>
      <w:marBottom w:val="0"/>
      <w:divBdr>
        <w:top w:val="none" w:sz="0" w:space="0" w:color="auto"/>
        <w:left w:val="none" w:sz="0" w:space="0" w:color="auto"/>
        <w:bottom w:val="none" w:sz="0" w:space="0" w:color="auto"/>
        <w:right w:val="none" w:sz="0" w:space="0" w:color="auto"/>
      </w:divBdr>
    </w:div>
    <w:div w:id="119420945">
      <w:bodyDiv w:val="1"/>
      <w:marLeft w:val="0"/>
      <w:marRight w:val="0"/>
      <w:marTop w:val="0"/>
      <w:marBottom w:val="0"/>
      <w:divBdr>
        <w:top w:val="none" w:sz="0" w:space="0" w:color="auto"/>
        <w:left w:val="none" w:sz="0" w:space="0" w:color="auto"/>
        <w:bottom w:val="none" w:sz="0" w:space="0" w:color="auto"/>
        <w:right w:val="none" w:sz="0" w:space="0" w:color="auto"/>
      </w:divBdr>
    </w:div>
    <w:div w:id="143544959">
      <w:bodyDiv w:val="1"/>
      <w:marLeft w:val="0"/>
      <w:marRight w:val="0"/>
      <w:marTop w:val="0"/>
      <w:marBottom w:val="0"/>
      <w:divBdr>
        <w:top w:val="none" w:sz="0" w:space="0" w:color="auto"/>
        <w:left w:val="none" w:sz="0" w:space="0" w:color="auto"/>
        <w:bottom w:val="none" w:sz="0" w:space="0" w:color="auto"/>
        <w:right w:val="none" w:sz="0" w:space="0" w:color="auto"/>
      </w:divBdr>
    </w:div>
    <w:div w:id="194316644">
      <w:bodyDiv w:val="1"/>
      <w:marLeft w:val="0"/>
      <w:marRight w:val="0"/>
      <w:marTop w:val="0"/>
      <w:marBottom w:val="0"/>
      <w:divBdr>
        <w:top w:val="none" w:sz="0" w:space="0" w:color="auto"/>
        <w:left w:val="none" w:sz="0" w:space="0" w:color="auto"/>
        <w:bottom w:val="none" w:sz="0" w:space="0" w:color="auto"/>
        <w:right w:val="none" w:sz="0" w:space="0" w:color="auto"/>
      </w:divBdr>
    </w:div>
    <w:div w:id="216015954">
      <w:bodyDiv w:val="1"/>
      <w:marLeft w:val="0"/>
      <w:marRight w:val="0"/>
      <w:marTop w:val="0"/>
      <w:marBottom w:val="0"/>
      <w:divBdr>
        <w:top w:val="none" w:sz="0" w:space="0" w:color="auto"/>
        <w:left w:val="none" w:sz="0" w:space="0" w:color="auto"/>
        <w:bottom w:val="none" w:sz="0" w:space="0" w:color="auto"/>
        <w:right w:val="none" w:sz="0" w:space="0" w:color="auto"/>
      </w:divBdr>
    </w:div>
    <w:div w:id="228810372">
      <w:bodyDiv w:val="1"/>
      <w:marLeft w:val="0"/>
      <w:marRight w:val="0"/>
      <w:marTop w:val="0"/>
      <w:marBottom w:val="0"/>
      <w:divBdr>
        <w:top w:val="none" w:sz="0" w:space="0" w:color="auto"/>
        <w:left w:val="none" w:sz="0" w:space="0" w:color="auto"/>
        <w:bottom w:val="none" w:sz="0" w:space="0" w:color="auto"/>
        <w:right w:val="none" w:sz="0" w:space="0" w:color="auto"/>
      </w:divBdr>
    </w:div>
    <w:div w:id="249193719">
      <w:bodyDiv w:val="1"/>
      <w:marLeft w:val="0"/>
      <w:marRight w:val="0"/>
      <w:marTop w:val="0"/>
      <w:marBottom w:val="0"/>
      <w:divBdr>
        <w:top w:val="none" w:sz="0" w:space="0" w:color="auto"/>
        <w:left w:val="none" w:sz="0" w:space="0" w:color="auto"/>
        <w:bottom w:val="none" w:sz="0" w:space="0" w:color="auto"/>
        <w:right w:val="none" w:sz="0" w:space="0" w:color="auto"/>
      </w:divBdr>
    </w:div>
    <w:div w:id="274410059">
      <w:bodyDiv w:val="1"/>
      <w:marLeft w:val="0"/>
      <w:marRight w:val="0"/>
      <w:marTop w:val="0"/>
      <w:marBottom w:val="0"/>
      <w:divBdr>
        <w:top w:val="none" w:sz="0" w:space="0" w:color="auto"/>
        <w:left w:val="none" w:sz="0" w:space="0" w:color="auto"/>
        <w:bottom w:val="none" w:sz="0" w:space="0" w:color="auto"/>
        <w:right w:val="none" w:sz="0" w:space="0" w:color="auto"/>
      </w:divBdr>
    </w:div>
    <w:div w:id="301614572">
      <w:bodyDiv w:val="1"/>
      <w:marLeft w:val="0"/>
      <w:marRight w:val="0"/>
      <w:marTop w:val="0"/>
      <w:marBottom w:val="0"/>
      <w:divBdr>
        <w:top w:val="none" w:sz="0" w:space="0" w:color="auto"/>
        <w:left w:val="none" w:sz="0" w:space="0" w:color="auto"/>
        <w:bottom w:val="none" w:sz="0" w:space="0" w:color="auto"/>
        <w:right w:val="none" w:sz="0" w:space="0" w:color="auto"/>
      </w:divBdr>
    </w:div>
    <w:div w:id="319165282">
      <w:bodyDiv w:val="1"/>
      <w:marLeft w:val="0"/>
      <w:marRight w:val="0"/>
      <w:marTop w:val="0"/>
      <w:marBottom w:val="0"/>
      <w:divBdr>
        <w:top w:val="none" w:sz="0" w:space="0" w:color="auto"/>
        <w:left w:val="none" w:sz="0" w:space="0" w:color="auto"/>
        <w:bottom w:val="none" w:sz="0" w:space="0" w:color="auto"/>
        <w:right w:val="none" w:sz="0" w:space="0" w:color="auto"/>
      </w:divBdr>
    </w:div>
    <w:div w:id="336007768">
      <w:bodyDiv w:val="1"/>
      <w:marLeft w:val="0"/>
      <w:marRight w:val="0"/>
      <w:marTop w:val="0"/>
      <w:marBottom w:val="0"/>
      <w:divBdr>
        <w:top w:val="none" w:sz="0" w:space="0" w:color="auto"/>
        <w:left w:val="none" w:sz="0" w:space="0" w:color="auto"/>
        <w:bottom w:val="none" w:sz="0" w:space="0" w:color="auto"/>
        <w:right w:val="none" w:sz="0" w:space="0" w:color="auto"/>
      </w:divBdr>
    </w:div>
    <w:div w:id="350960196">
      <w:bodyDiv w:val="1"/>
      <w:marLeft w:val="0"/>
      <w:marRight w:val="0"/>
      <w:marTop w:val="0"/>
      <w:marBottom w:val="0"/>
      <w:divBdr>
        <w:top w:val="none" w:sz="0" w:space="0" w:color="auto"/>
        <w:left w:val="none" w:sz="0" w:space="0" w:color="auto"/>
        <w:bottom w:val="none" w:sz="0" w:space="0" w:color="auto"/>
        <w:right w:val="none" w:sz="0" w:space="0" w:color="auto"/>
      </w:divBdr>
    </w:div>
    <w:div w:id="355037395">
      <w:bodyDiv w:val="1"/>
      <w:marLeft w:val="0"/>
      <w:marRight w:val="0"/>
      <w:marTop w:val="0"/>
      <w:marBottom w:val="0"/>
      <w:divBdr>
        <w:top w:val="none" w:sz="0" w:space="0" w:color="auto"/>
        <w:left w:val="none" w:sz="0" w:space="0" w:color="auto"/>
        <w:bottom w:val="none" w:sz="0" w:space="0" w:color="auto"/>
        <w:right w:val="none" w:sz="0" w:space="0" w:color="auto"/>
      </w:divBdr>
    </w:div>
    <w:div w:id="399795735">
      <w:bodyDiv w:val="1"/>
      <w:marLeft w:val="0"/>
      <w:marRight w:val="0"/>
      <w:marTop w:val="0"/>
      <w:marBottom w:val="0"/>
      <w:divBdr>
        <w:top w:val="none" w:sz="0" w:space="0" w:color="auto"/>
        <w:left w:val="none" w:sz="0" w:space="0" w:color="auto"/>
        <w:bottom w:val="none" w:sz="0" w:space="0" w:color="auto"/>
        <w:right w:val="none" w:sz="0" w:space="0" w:color="auto"/>
      </w:divBdr>
    </w:div>
    <w:div w:id="407383655">
      <w:bodyDiv w:val="1"/>
      <w:marLeft w:val="0"/>
      <w:marRight w:val="0"/>
      <w:marTop w:val="0"/>
      <w:marBottom w:val="0"/>
      <w:divBdr>
        <w:top w:val="none" w:sz="0" w:space="0" w:color="auto"/>
        <w:left w:val="none" w:sz="0" w:space="0" w:color="auto"/>
        <w:bottom w:val="none" w:sz="0" w:space="0" w:color="auto"/>
        <w:right w:val="none" w:sz="0" w:space="0" w:color="auto"/>
      </w:divBdr>
    </w:div>
    <w:div w:id="439227962">
      <w:bodyDiv w:val="1"/>
      <w:marLeft w:val="0"/>
      <w:marRight w:val="0"/>
      <w:marTop w:val="0"/>
      <w:marBottom w:val="0"/>
      <w:divBdr>
        <w:top w:val="none" w:sz="0" w:space="0" w:color="auto"/>
        <w:left w:val="none" w:sz="0" w:space="0" w:color="auto"/>
        <w:bottom w:val="none" w:sz="0" w:space="0" w:color="auto"/>
        <w:right w:val="none" w:sz="0" w:space="0" w:color="auto"/>
      </w:divBdr>
    </w:div>
    <w:div w:id="450317826">
      <w:bodyDiv w:val="1"/>
      <w:marLeft w:val="0"/>
      <w:marRight w:val="0"/>
      <w:marTop w:val="0"/>
      <w:marBottom w:val="0"/>
      <w:divBdr>
        <w:top w:val="none" w:sz="0" w:space="0" w:color="auto"/>
        <w:left w:val="none" w:sz="0" w:space="0" w:color="auto"/>
        <w:bottom w:val="none" w:sz="0" w:space="0" w:color="auto"/>
        <w:right w:val="none" w:sz="0" w:space="0" w:color="auto"/>
      </w:divBdr>
    </w:div>
    <w:div w:id="453985042">
      <w:bodyDiv w:val="1"/>
      <w:marLeft w:val="0"/>
      <w:marRight w:val="0"/>
      <w:marTop w:val="0"/>
      <w:marBottom w:val="0"/>
      <w:divBdr>
        <w:top w:val="none" w:sz="0" w:space="0" w:color="auto"/>
        <w:left w:val="none" w:sz="0" w:space="0" w:color="auto"/>
        <w:bottom w:val="none" w:sz="0" w:space="0" w:color="auto"/>
        <w:right w:val="none" w:sz="0" w:space="0" w:color="auto"/>
      </w:divBdr>
    </w:div>
    <w:div w:id="501434188">
      <w:bodyDiv w:val="1"/>
      <w:marLeft w:val="0"/>
      <w:marRight w:val="0"/>
      <w:marTop w:val="0"/>
      <w:marBottom w:val="0"/>
      <w:divBdr>
        <w:top w:val="none" w:sz="0" w:space="0" w:color="auto"/>
        <w:left w:val="none" w:sz="0" w:space="0" w:color="auto"/>
        <w:bottom w:val="none" w:sz="0" w:space="0" w:color="auto"/>
        <w:right w:val="none" w:sz="0" w:space="0" w:color="auto"/>
      </w:divBdr>
    </w:div>
    <w:div w:id="508953960">
      <w:bodyDiv w:val="1"/>
      <w:marLeft w:val="0"/>
      <w:marRight w:val="0"/>
      <w:marTop w:val="0"/>
      <w:marBottom w:val="0"/>
      <w:divBdr>
        <w:top w:val="none" w:sz="0" w:space="0" w:color="auto"/>
        <w:left w:val="none" w:sz="0" w:space="0" w:color="auto"/>
        <w:bottom w:val="none" w:sz="0" w:space="0" w:color="auto"/>
        <w:right w:val="none" w:sz="0" w:space="0" w:color="auto"/>
      </w:divBdr>
    </w:div>
    <w:div w:id="516039308">
      <w:bodyDiv w:val="1"/>
      <w:marLeft w:val="0"/>
      <w:marRight w:val="0"/>
      <w:marTop w:val="0"/>
      <w:marBottom w:val="0"/>
      <w:divBdr>
        <w:top w:val="none" w:sz="0" w:space="0" w:color="auto"/>
        <w:left w:val="none" w:sz="0" w:space="0" w:color="auto"/>
        <w:bottom w:val="none" w:sz="0" w:space="0" w:color="auto"/>
        <w:right w:val="none" w:sz="0" w:space="0" w:color="auto"/>
      </w:divBdr>
    </w:div>
    <w:div w:id="516580090">
      <w:bodyDiv w:val="1"/>
      <w:marLeft w:val="0"/>
      <w:marRight w:val="0"/>
      <w:marTop w:val="0"/>
      <w:marBottom w:val="0"/>
      <w:divBdr>
        <w:top w:val="none" w:sz="0" w:space="0" w:color="auto"/>
        <w:left w:val="none" w:sz="0" w:space="0" w:color="auto"/>
        <w:bottom w:val="none" w:sz="0" w:space="0" w:color="auto"/>
        <w:right w:val="none" w:sz="0" w:space="0" w:color="auto"/>
      </w:divBdr>
    </w:div>
    <w:div w:id="517235754">
      <w:bodyDiv w:val="1"/>
      <w:marLeft w:val="0"/>
      <w:marRight w:val="0"/>
      <w:marTop w:val="0"/>
      <w:marBottom w:val="0"/>
      <w:divBdr>
        <w:top w:val="none" w:sz="0" w:space="0" w:color="auto"/>
        <w:left w:val="none" w:sz="0" w:space="0" w:color="auto"/>
        <w:bottom w:val="none" w:sz="0" w:space="0" w:color="auto"/>
        <w:right w:val="none" w:sz="0" w:space="0" w:color="auto"/>
      </w:divBdr>
    </w:div>
    <w:div w:id="584650634">
      <w:bodyDiv w:val="1"/>
      <w:marLeft w:val="0"/>
      <w:marRight w:val="0"/>
      <w:marTop w:val="0"/>
      <w:marBottom w:val="0"/>
      <w:divBdr>
        <w:top w:val="none" w:sz="0" w:space="0" w:color="auto"/>
        <w:left w:val="none" w:sz="0" w:space="0" w:color="auto"/>
        <w:bottom w:val="none" w:sz="0" w:space="0" w:color="auto"/>
        <w:right w:val="none" w:sz="0" w:space="0" w:color="auto"/>
      </w:divBdr>
    </w:div>
    <w:div w:id="614824611">
      <w:bodyDiv w:val="1"/>
      <w:marLeft w:val="0"/>
      <w:marRight w:val="0"/>
      <w:marTop w:val="0"/>
      <w:marBottom w:val="0"/>
      <w:divBdr>
        <w:top w:val="none" w:sz="0" w:space="0" w:color="auto"/>
        <w:left w:val="none" w:sz="0" w:space="0" w:color="auto"/>
        <w:bottom w:val="none" w:sz="0" w:space="0" w:color="auto"/>
        <w:right w:val="none" w:sz="0" w:space="0" w:color="auto"/>
      </w:divBdr>
    </w:div>
    <w:div w:id="658921574">
      <w:bodyDiv w:val="1"/>
      <w:marLeft w:val="0"/>
      <w:marRight w:val="0"/>
      <w:marTop w:val="0"/>
      <w:marBottom w:val="0"/>
      <w:divBdr>
        <w:top w:val="none" w:sz="0" w:space="0" w:color="auto"/>
        <w:left w:val="none" w:sz="0" w:space="0" w:color="auto"/>
        <w:bottom w:val="none" w:sz="0" w:space="0" w:color="auto"/>
        <w:right w:val="none" w:sz="0" w:space="0" w:color="auto"/>
      </w:divBdr>
    </w:div>
    <w:div w:id="676225618">
      <w:bodyDiv w:val="1"/>
      <w:marLeft w:val="0"/>
      <w:marRight w:val="0"/>
      <w:marTop w:val="0"/>
      <w:marBottom w:val="0"/>
      <w:divBdr>
        <w:top w:val="none" w:sz="0" w:space="0" w:color="auto"/>
        <w:left w:val="none" w:sz="0" w:space="0" w:color="auto"/>
        <w:bottom w:val="none" w:sz="0" w:space="0" w:color="auto"/>
        <w:right w:val="none" w:sz="0" w:space="0" w:color="auto"/>
      </w:divBdr>
    </w:div>
    <w:div w:id="695933276">
      <w:bodyDiv w:val="1"/>
      <w:marLeft w:val="0"/>
      <w:marRight w:val="0"/>
      <w:marTop w:val="0"/>
      <w:marBottom w:val="0"/>
      <w:divBdr>
        <w:top w:val="none" w:sz="0" w:space="0" w:color="auto"/>
        <w:left w:val="none" w:sz="0" w:space="0" w:color="auto"/>
        <w:bottom w:val="none" w:sz="0" w:space="0" w:color="auto"/>
        <w:right w:val="none" w:sz="0" w:space="0" w:color="auto"/>
      </w:divBdr>
    </w:div>
    <w:div w:id="725105302">
      <w:bodyDiv w:val="1"/>
      <w:marLeft w:val="0"/>
      <w:marRight w:val="0"/>
      <w:marTop w:val="0"/>
      <w:marBottom w:val="0"/>
      <w:divBdr>
        <w:top w:val="none" w:sz="0" w:space="0" w:color="auto"/>
        <w:left w:val="none" w:sz="0" w:space="0" w:color="auto"/>
        <w:bottom w:val="none" w:sz="0" w:space="0" w:color="auto"/>
        <w:right w:val="none" w:sz="0" w:space="0" w:color="auto"/>
      </w:divBdr>
    </w:div>
    <w:div w:id="726689680">
      <w:bodyDiv w:val="1"/>
      <w:marLeft w:val="0"/>
      <w:marRight w:val="0"/>
      <w:marTop w:val="0"/>
      <w:marBottom w:val="0"/>
      <w:divBdr>
        <w:top w:val="none" w:sz="0" w:space="0" w:color="auto"/>
        <w:left w:val="none" w:sz="0" w:space="0" w:color="auto"/>
        <w:bottom w:val="none" w:sz="0" w:space="0" w:color="auto"/>
        <w:right w:val="none" w:sz="0" w:space="0" w:color="auto"/>
      </w:divBdr>
    </w:div>
    <w:div w:id="734815421">
      <w:bodyDiv w:val="1"/>
      <w:marLeft w:val="0"/>
      <w:marRight w:val="0"/>
      <w:marTop w:val="0"/>
      <w:marBottom w:val="0"/>
      <w:divBdr>
        <w:top w:val="none" w:sz="0" w:space="0" w:color="auto"/>
        <w:left w:val="none" w:sz="0" w:space="0" w:color="auto"/>
        <w:bottom w:val="none" w:sz="0" w:space="0" w:color="auto"/>
        <w:right w:val="none" w:sz="0" w:space="0" w:color="auto"/>
      </w:divBdr>
    </w:div>
    <w:div w:id="760302076">
      <w:bodyDiv w:val="1"/>
      <w:marLeft w:val="0"/>
      <w:marRight w:val="0"/>
      <w:marTop w:val="0"/>
      <w:marBottom w:val="0"/>
      <w:divBdr>
        <w:top w:val="none" w:sz="0" w:space="0" w:color="auto"/>
        <w:left w:val="none" w:sz="0" w:space="0" w:color="auto"/>
        <w:bottom w:val="none" w:sz="0" w:space="0" w:color="auto"/>
        <w:right w:val="none" w:sz="0" w:space="0" w:color="auto"/>
      </w:divBdr>
    </w:div>
    <w:div w:id="837425763">
      <w:bodyDiv w:val="1"/>
      <w:marLeft w:val="0"/>
      <w:marRight w:val="0"/>
      <w:marTop w:val="0"/>
      <w:marBottom w:val="0"/>
      <w:divBdr>
        <w:top w:val="none" w:sz="0" w:space="0" w:color="auto"/>
        <w:left w:val="none" w:sz="0" w:space="0" w:color="auto"/>
        <w:bottom w:val="none" w:sz="0" w:space="0" w:color="auto"/>
        <w:right w:val="none" w:sz="0" w:space="0" w:color="auto"/>
      </w:divBdr>
    </w:div>
    <w:div w:id="853956917">
      <w:bodyDiv w:val="1"/>
      <w:marLeft w:val="0"/>
      <w:marRight w:val="0"/>
      <w:marTop w:val="0"/>
      <w:marBottom w:val="0"/>
      <w:divBdr>
        <w:top w:val="none" w:sz="0" w:space="0" w:color="auto"/>
        <w:left w:val="none" w:sz="0" w:space="0" w:color="auto"/>
        <w:bottom w:val="none" w:sz="0" w:space="0" w:color="auto"/>
        <w:right w:val="none" w:sz="0" w:space="0" w:color="auto"/>
      </w:divBdr>
    </w:div>
    <w:div w:id="854347195">
      <w:bodyDiv w:val="1"/>
      <w:marLeft w:val="0"/>
      <w:marRight w:val="0"/>
      <w:marTop w:val="0"/>
      <w:marBottom w:val="0"/>
      <w:divBdr>
        <w:top w:val="none" w:sz="0" w:space="0" w:color="auto"/>
        <w:left w:val="none" w:sz="0" w:space="0" w:color="auto"/>
        <w:bottom w:val="none" w:sz="0" w:space="0" w:color="auto"/>
        <w:right w:val="none" w:sz="0" w:space="0" w:color="auto"/>
      </w:divBdr>
    </w:div>
    <w:div w:id="861019808">
      <w:bodyDiv w:val="1"/>
      <w:marLeft w:val="0"/>
      <w:marRight w:val="0"/>
      <w:marTop w:val="0"/>
      <w:marBottom w:val="0"/>
      <w:divBdr>
        <w:top w:val="none" w:sz="0" w:space="0" w:color="auto"/>
        <w:left w:val="none" w:sz="0" w:space="0" w:color="auto"/>
        <w:bottom w:val="none" w:sz="0" w:space="0" w:color="auto"/>
        <w:right w:val="none" w:sz="0" w:space="0" w:color="auto"/>
      </w:divBdr>
    </w:div>
    <w:div w:id="880871625">
      <w:bodyDiv w:val="1"/>
      <w:marLeft w:val="0"/>
      <w:marRight w:val="0"/>
      <w:marTop w:val="0"/>
      <w:marBottom w:val="0"/>
      <w:divBdr>
        <w:top w:val="none" w:sz="0" w:space="0" w:color="auto"/>
        <w:left w:val="none" w:sz="0" w:space="0" w:color="auto"/>
        <w:bottom w:val="none" w:sz="0" w:space="0" w:color="auto"/>
        <w:right w:val="none" w:sz="0" w:space="0" w:color="auto"/>
      </w:divBdr>
    </w:div>
    <w:div w:id="911692897">
      <w:bodyDiv w:val="1"/>
      <w:marLeft w:val="0"/>
      <w:marRight w:val="0"/>
      <w:marTop w:val="0"/>
      <w:marBottom w:val="0"/>
      <w:divBdr>
        <w:top w:val="none" w:sz="0" w:space="0" w:color="auto"/>
        <w:left w:val="none" w:sz="0" w:space="0" w:color="auto"/>
        <w:bottom w:val="none" w:sz="0" w:space="0" w:color="auto"/>
        <w:right w:val="none" w:sz="0" w:space="0" w:color="auto"/>
      </w:divBdr>
    </w:div>
    <w:div w:id="925381215">
      <w:bodyDiv w:val="1"/>
      <w:marLeft w:val="0"/>
      <w:marRight w:val="0"/>
      <w:marTop w:val="0"/>
      <w:marBottom w:val="0"/>
      <w:divBdr>
        <w:top w:val="none" w:sz="0" w:space="0" w:color="auto"/>
        <w:left w:val="none" w:sz="0" w:space="0" w:color="auto"/>
        <w:bottom w:val="none" w:sz="0" w:space="0" w:color="auto"/>
        <w:right w:val="none" w:sz="0" w:space="0" w:color="auto"/>
      </w:divBdr>
    </w:div>
    <w:div w:id="942346730">
      <w:bodyDiv w:val="1"/>
      <w:marLeft w:val="0"/>
      <w:marRight w:val="0"/>
      <w:marTop w:val="0"/>
      <w:marBottom w:val="0"/>
      <w:divBdr>
        <w:top w:val="none" w:sz="0" w:space="0" w:color="auto"/>
        <w:left w:val="none" w:sz="0" w:space="0" w:color="auto"/>
        <w:bottom w:val="none" w:sz="0" w:space="0" w:color="auto"/>
        <w:right w:val="none" w:sz="0" w:space="0" w:color="auto"/>
      </w:divBdr>
    </w:div>
    <w:div w:id="957835102">
      <w:bodyDiv w:val="1"/>
      <w:marLeft w:val="0"/>
      <w:marRight w:val="0"/>
      <w:marTop w:val="0"/>
      <w:marBottom w:val="0"/>
      <w:divBdr>
        <w:top w:val="none" w:sz="0" w:space="0" w:color="auto"/>
        <w:left w:val="none" w:sz="0" w:space="0" w:color="auto"/>
        <w:bottom w:val="none" w:sz="0" w:space="0" w:color="auto"/>
        <w:right w:val="none" w:sz="0" w:space="0" w:color="auto"/>
      </w:divBdr>
    </w:div>
    <w:div w:id="989478244">
      <w:bodyDiv w:val="1"/>
      <w:marLeft w:val="0"/>
      <w:marRight w:val="0"/>
      <w:marTop w:val="0"/>
      <w:marBottom w:val="0"/>
      <w:divBdr>
        <w:top w:val="none" w:sz="0" w:space="0" w:color="auto"/>
        <w:left w:val="none" w:sz="0" w:space="0" w:color="auto"/>
        <w:bottom w:val="none" w:sz="0" w:space="0" w:color="auto"/>
        <w:right w:val="none" w:sz="0" w:space="0" w:color="auto"/>
      </w:divBdr>
    </w:div>
    <w:div w:id="997809711">
      <w:bodyDiv w:val="1"/>
      <w:marLeft w:val="0"/>
      <w:marRight w:val="0"/>
      <w:marTop w:val="0"/>
      <w:marBottom w:val="0"/>
      <w:divBdr>
        <w:top w:val="none" w:sz="0" w:space="0" w:color="auto"/>
        <w:left w:val="none" w:sz="0" w:space="0" w:color="auto"/>
        <w:bottom w:val="none" w:sz="0" w:space="0" w:color="auto"/>
        <w:right w:val="none" w:sz="0" w:space="0" w:color="auto"/>
      </w:divBdr>
    </w:div>
    <w:div w:id="1020207814">
      <w:bodyDiv w:val="1"/>
      <w:marLeft w:val="0"/>
      <w:marRight w:val="0"/>
      <w:marTop w:val="0"/>
      <w:marBottom w:val="0"/>
      <w:divBdr>
        <w:top w:val="none" w:sz="0" w:space="0" w:color="auto"/>
        <w:left w:val="none" w:sz="0" w:space="0" w:color="auto"/>
        <w:bottom w:val="none" w:sz="0" w:space="0" w:color="auto"/>
        <w:right w:val="none" w:sz="0" w:space="0" w:color="auto"/>
      </w:divBdr>
    </w:div>
    <w:div w:id="1142967304">
      <w:bodyDiv w:val="1"/>
      <w:marLeft w:val="0"/>
      <w:marRight w:val="0"/>
      <w:marTop w:val="0"/>
      <w:marBottom w:val="0"/>
      <w:divBdr>
        <w:top w:val="none" w:sz="0" w:space="0" w:color="auto"/>
        <w:left w:val="none" w:sz="0" w:space="0" w:color="auto"/>
        <w:bottom w:val="none" w:sz="0" w:space="0" w:color="auto"/>
        <w:right w:val="none" w:sz="0" w:space="0" w:color="auto"/>
      </w:divBdr>
    </w:div>
    <w:div w:id="1149640319">
      <w:bodyDiv w:val="1"/>
      <w:marLeft w:val="0"/>
      <w:marRight w:val="0"/>
      <w:marTop w:val="0"/>
      <w:marBottom w:val="0"/>
      <w:divBdr>
        <w:top w:val="none" w:sz="0" w:space="0" w:color="auto"/>
        <w:left w:val="none" w:sz="0" w:space="0" w:color="auto"/>
        <w:bottom w:val="none" w:sz="0" w:space="0" w:color="auto"/>
        <w:right w:val="none" w:sz="0" w:space="0" w:color="auto"/>
      </w:divBdr>
    </w:div>
    <w:div w:id="1191380038">
      <w:bodyDiv w:val="1"/>
      <w:marLeft w:val="0"/>
      <w:marRight w:val="0"/>
      <w:marTop w:val="0"/>
      <w:marBottom w:val="0"/>
      <w:divBdr>
        <w:top w:val="none" w:sz="0" w:space="0" w:color="auto"/>
        <w:left w:val="none" w:sz="0" w:space="0" w:color="auto"/>
        <w:bottom w:val="none" w:sz="0" w:space="0" w:color="auto"/>
        <w:right w:val="none" w:sz="0" w:space="0" w:color="auto"/>
      </w:divBdr>
    </w:div>
    <w:div w:id="1242331242">
      <w:bodyDiv w:val="1"/>
      <w:marLeft w:val="0"/>
      <w:marRight w:val="0"/>
      <w:marTop w:val="0"/>
      <w:marBottom w:val="0"/>
      <w:divBdr>
        <w:top w:val="none" w:sz="0" w:space="0" w:color="auto"/>
        <w:left w:val="none" w:sz="0" w:space="0" w:color="auto"/>
        <w:bottom w:val="none" w:sz="0" w:space="0" w:color="auto"/>
        <w:right w:val="none" w:sz="0" w:space="0" w:color="auto"/>
      </w:divBdr>
    </w:div>
    <w:div w:id="1280527424">
      <w:bodyDiv w:val="1"/>
      <w:marLeft w:val="0"/>
      <w:marRight w:val="0"/>
      <w:marTop w:val="0"/>
      <w:marBottom w:val="0"/>
      <w:divBdr>
        <w:top w:val="none" w:sz="0" w:space="0" w:color="auto"/>
        <w:left w:val="none" w:sz="0" w:space="0" w:color="auto"/>
        <w:bottom w:val="none" w:sz="0" w:space="0" w:color="auto"/>
        <w:right w:val="none" w:sz="0" w:space="0" w:color="auto"/>
      </w:divBdr>
    </w:div>
    <w:div w:id="1360860573">
      <w:bodyDiv w:val="1"/>
      <w:marLeft w:val="0"/>
      <w:marRight w:val="0"/>
      <w:marTop w:val="0"/>
      <w:marBottom w:val="0"/>
      <w:divBdr>
        <w:top w:val="none" w:sz="0" w:space="0" w:color="auto"/>
        <w:left w:val="none" w:sz="0" w:space="0" w:color="auto"/>
        <w:bottom w:val="none" w:sz="0" w:space="0" w:color="auto"/>
        <w:right w:val="none" w:sz="0" w:space="0" w:color="auto"/>
      </w:divBdr>
    </w:div>
    <w:div w:id="1362365690">
      <w:bodyDiv w:val="1"/>
      <w:marLeft w:val="0"/>
      <w:marRight w:val="0"/>
      <w:marTop w:val="0"/>
      <w:marBottom w:val="0"/>
      <w:divBdr>
        <w:top w:val="none" w:sz="0" w:space="0" w:color="auto"/>
        <w:left w:val="none" w:sz="0" w:space="0" w:color="auto"/>
        <w:bottom w:val="none" w:sz="0" w:space="0" w:color="auto"/>
        <w:right w:val="none" w:sz="0" w:space="0" w:color="auto"/>
      </w:divBdr>
    </w:div>
    <w:div w:id="1377313605">
      <w:bodyDiv w:val="1"/>
      <w:marLeft w:val="0"/>
      <w:marRight w:val="0"/>
      <w:marTop w:val="0"/>
      <w:marBottom w:val="0"/>
      <w:divBdr>
        <w:top w:val="none" w:sz="0" w:space="0" w:color="auto"/>
        <w:left w:val="none" w:sz="0" w:space="0" w:color="auto"/>
        <w:bottom w:val="none" w:sz="0" w:space="0" w:color="auto"/>
        <w:right w:val="none" w:sz="0" w:space="0" w:color="auto"/>
      </w:divBdr>
    </w:div>
    <w:div w:id="1420832814">
      <w:bodyDiv w:val="1"/>
      <w:marLeft w:val="0"/>
      <w:marRight w:val="0"/>
      <w:marTop w:val="0"/>
      <w:marBottom w:val="0"/>
      <w:divBdr>
        <w:top w:val="none" w:sz="0" w:space="0" w:color="auto"/>
        <w:left w:val="none" w:sz="0" w:space="0" w:color="auto"/>
        <w:bottom w:val="none" w:sz="0" w:space="0" w:color="auto"/>
        <w:right w:val="none" w:sz="0" w:space="0" w:color="auto"/>
      </w:divBdr>
    </w:div>
    <w:div w:id="1430852991">
      <w:bodyDiv w:val="1"/>
      <w:marLeft w:val="0"/>
      <w:marRight w:val="0"/>
      <w:marTop w:val="0"/>
      <w:marBottom w:val="0"/>
      <w:divBdr>
        <w:top w:val="none" w:sz="0" w:space="0" w:color="auto"/>
        <w:left w:val="none" w:sz="0" w:space="0" w:color="auto"/>
        <w:bottom w:val="none" w:sz="0" w:space="0" w:color="auto"/>
        <w:right w:val="none" w:sz="0" w:space="0" w:color="auto"/>
      </w:divBdr>
    </w:div>
    <w:div w:id="1462268511">
      <w:bodyDiv w:val="1"/>
      <w:marLeft w:val="0"/>
      <w:marRight w:val="0"/>
      <w:marTop w:val="0"/>
      <w:marBottom w:val="0"/>
      <w:divBdr>
        <w:top w:val="none" w:sz="0" w:space="0" w:color="auto"/>
        <w:left w:val="none" w:sz="0" w:space="0" w:color="auto"/>
        <w:bottom w:val="none" w:sz="0" w:space="0" w:color="auto"/>
        <w:right w:val="none" w:sz="0" w:space="0" w:color="auto"/>
      </w:divBdr>
    </w:div>
    <w:div w:id="1514881095">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86262385">
      <w:bodyDiv w:val="1"/>
      <w:marLeft w:val="0"/>
      <w:marRight w:val="0"/>
      <w:marTop w:val="0"/>
      <w:marBottom w:val="0"/>
      <w:divBdr>
        <w:top w:val="none" w:sz="0" w:space="0" w:color="auto"/>
        <w:left w:val="none" w:sz="0" w:space="0" w:color="auto"/>
        <w:bottom w:val="none" w:sz="0" w:space="0" w:color="auto"/>
        <w:right w:val="none" w:sz="0" w:space="0" w:color="auto"/>
      </w:divBdr>
    </w:div>
    <w:div w:id="1647006972">
      <w:bodyDiv w:val="1"/>
      <w:marLeft w:val="0"/>
      <w:marRight w:val="0"/>
      <w:marTop w:val="0"/>
      <w:marBottom w:val="0"/>
      <w:divBdr>
        <w:top w:val="none" w:sz="0" w:space="0" w:color="auto"/>
        <w:left w:val="none" w:sz="0" w:space="0" w:color="auto"/>
        <w:bottom w:val="none" w:sz="0" w:space="0" w:color="auto"/>
        <w:right w:val="none" w:sz="0" w:space="0" w:color="auto"/>
      </w:divBdr>
    </w:div>
    <w:div w:id="1654524438">
      <w:bodyDiv w:val="1"/>
      <w:marLeft w:val="0"/>
      <w:marRight w:val="0"/>
      <w:marTop w:val="0"/>
      <w:marBottom w:val="0"/>
      <w:divBdr>
        <w:top w:val="none" w:sz="0" w:space="0" w:color="auto"/>
        <w:left w:val="none" w:sz="0" w:space="0" w:color="auto"/>
        <w:bottom w:val="none" w:sz="0" w:space="0" w:color="auto"/>
        <w:right w:val="none" w:sz="0" w:space="0" w:color="auto"/>
      </w:divBdr>
    </w:div>
    <w:div w:id="1704666662">
      <w:bodyDiv w:val="1"/>
      <w:marLeft w:val="0"/>
      <w:marRight w:val="0"/>
      <w:marTop w:val="0"/>
      <w:marBottom w:val="0"/>
      <w:divBdr>
        <w:top w:val="none" w:sz="0" w:space="0" w:color="auto"/>
        <w:left w:val="none" w:sz="0" w:space="0" w:color="auto"/>
        <w:bottom w:val="none" w:sz="0" w:space="0" w:color="auto"/>
        <w:right w:val="none" w:sz="0" w:space="0" w:color="auto"/>
      </w:divBdr>
    </w:div>
    <w:div w:id="1733235730">
      <w:bodyDiv w:val="1"/>
      <w:marLeft w:val="0"/>
      <w:marRight w:val="0"/>
      <w:marTop w:val="0"/>
      <w:marBottom w:val="0"/>
      <w:divBdr>
        <w:top w:val="none" w:sz="0" w:space="0" w:color="auto"/>
        <w:left w:val="none" w:sz="0" w:space="0" w:color="auto"/>
        <w:bottom w:val="none" w:sz="0" w:space="0" w:color="auto"/>
        <w:right w:val="none" w:sz="0" w:space="0" w:color="auto"/>
      </w:divBdr>
    </w:div>
    <w:div w:id="1740980612">
      <w:bodyDiv w:val="1"/>
      <w:marLeft w:val="0"/>
      <w:marRight w:val="0"/>
      <w:marTop w:val="0"/>
      <w:marBottom w:val="0"/>
      <w:divBdr>
        <w:top w:val="none" w:sz="0" w:space="0" w:color="auto"/>
        <w:left w:val="none" w:sz="0" w:space="0" w:color="auto"/>
        <w:bottom w:val="none" w:sz="0" w:space="0" w:color="auto"/>
        <w:right w:val="none" w:sz="0" w:space="0" w:color="auto"/>
      </w:divBdr>
    </w:div>
    <w:div w:id="1757021379">
      <w:bodyDiv w:val="1"/>
      <w:marLeft w:val="0"/>
      <w:marRight w:val="0"/>
      <w:marTop w:val="0"/>
      <w:marBottom w:val="0"/>
      <w:divBdr>
        <w:top w:val="none" w:sz="0" w:space="0" w:color="auto"/>
        <w:left w:val="none" w:sz="0" w:space="0" w:color="auto"/>
        <w:bottom w:val="none" w:sz="0" w:space="0" w:color="auto"/>
        <w:right w:val="none" w:sz="0" w:space="0" w:color="auto"/>
      </w:divBdr>
    </w:div>
    <w:div w:id="1761442982">
      <w:bodyDiv w:val="1"/>
      <w:marLeft w:val="0"/>
      <w:marRight w:val="0"/>
      <w:marTop w:val="0"/>
      <w:marBottom w:val="0"/>
      <w:divBdr>
        <w:top w:val="none" w:sz="0" w:space="0" w:color="auto"/>
        <w:left w:val="none" w:sz="0" w:space="0" w:color="auto"/>
        <w:bottom w:val="none" w:sz="0" w:space="0" w:color="auto"/>
        <w:right w:val="none" w:sz="0" w:space="0" w:color="auto"/>
      </w:divBdr>
    </w:div>
    <w:div w:id="1762143561">
      <w:bodyDiv w:val="1"/>
      <w:marLeft w:val="0"/>
      <w:marRight w:val="0"/>
      <w:marTop w:val="0"/>
      <w:marBottom w:val="0"/>
      <w:divBdr>
        <w:top w:val="none" w:sz="0" w:space="0" w:color="auto"/>
        <w:left w:val="none" w:sz="0" w:space="0" w:color="auto"/>
        <w:bottom w:val="none" w:sz="0" w:space="0" w:color="auto"/>
        <w:right w:val="none" w:sz="0" w:space="0" w:color="auto"/>
      </w:divBdr>
    </w:div>
    <w:div w:id="1781024498">
      <w:bodyDiv w:val="1"/>
      <w:marLeft w:val="0"/>
      <w:marRight w:val="0"/>
      <w:marTop w:val="0"/>
      <w:marBottom w:val="0"/>
      <w:divBdr>
        <w:top w:val="none" w:sz="0" w:space="0" w:color="auto"/>
        <w:left w:val="none" w:sz="0" w:space="0" w:color="auto"/>
        <w:bottom w:val="none" w:sz="0" w:space="0" w:color="auto"/>
        <w:right w:val="none" w:sz="0" w:space="0" w:color="auto"/>
      </w:divBdr>
    </w:div>
    <w:div w:id="1783063555">
      <w:bodyDiv w:val="1"/>
      <w:marLeft w:val="0"/>
      <w:marRight w:val="0"/>
      <w:marTop w:val="0"/>
      <w:marBottom w:val="0"/>
      <w:divBdr>
        <w:top w:val="none" w:sz="0" w:space="0" w:color="auto"/>
        <w:left w:val="none" w:sz="0" w:space="0" w:color="auto"/>
        <w:bottom w:val="none" w:sz="0" w:space="0" w:color="auto"/>
        <w:right w:val="none" w:sz="0" w:space="0" w:color="auto"/>
      </w:divBdr>
    </w:div>
    <w:div w:id="1783379746">
      <w:bodyDiv w:val="1"/>
      <w:marLeft w:val="0"/>
      <w:marRight w:val="0"/>
      <w:marTop w:val="0"/>
      <w:marBottom w:val="0"/>
      <w:divBdr>
        <w:top w:val="none" w:sz="0" w:space="0" w:color="auto"/>
        <w:left w:val="none" w:sz="0" w:space="0" w:color="auto"/>
        <w:bottom w:val="none" w:sz="0" w:space="0" w:color="auto"/>
        <w:right w:val="none" w:sz="0" w:space="0" w:color="auto"/>
      </w:divBdr>
    </w:div>
    <w:div w:id="1824394985">
      <w:bodyDiv w:val="1"/>
      <w:marLeft w:val="0"/>
      <w:marRight w:val="0"/>
      <w:marTop w:val="0"/>
      <w:marBottom w:val="0"/>
      <w:divBdr>
        <w:top w:val="none" w:sz="0" w:space="0" w:color="auto"/>
        <w:left w:val="none" w:sz="0" w:space="0" w:color="auto"/>
        <w:bottom w:val="none" w:sz="0" w:space="0" w:color="auto"/>
        <w:right w:val="none" w:sz="0" w:space="0" w:color="auto"/>
      </w:divBdr>
    </w:div>
    <w:div w:id="1827235894">
      <w:bodyDiv w:val="1"/>
      <w:marLeft w:val="0"/>
      <w:marRight w:val="0"/>
      <w:marTop w:val="0"/>
      <w:marBottom w:val="0"/>
      <w:divBdr>
        <w:top w:val="none" w:sz="0" w:space="0" w:color="auto"/>
        <w:left w:val="none" w:sz="0" w:space="0" w:color="auto"/>
        <w:bottom w:val="none" w:sz="0" w:space="0" w:color="auto"/>
        <w:right w:val="none" w:sz="0" w:space="0" w:color="auto"/>
      </w:divBdr>
    </w:div>
    <w:div w:id="1829708688">
      <w:bodyDiv w:val="1"/>
      <w:marLeft w:val="0"/>
      <w:marRight w:val="0"/>
      <w:marTop w:val="0"/>
      <w:marBottom w:val="0"/>
      <w:divBdr>
        <w:top w:val="none" w:sz="0" w:space="0" w:color="auto"/>
        <w:left w:val="none" w:sz="0" w:space="0" w:color="auto"/>
        <w:bottom w:val="none" w:sz="0" w:space="0" w:color="auto"/>
        <w:right w:val="none" w:sz="0" w:space="0" w:color="auto"/>
      </w:divBdr>
    </w:div>
    <w:div w:id="1845197841">
      <w:bodyDiv w:val="1"/>
      <w:marLeft w:val="0"/>
      <w:marRight w:val="0"/>
      <w:marTop w:val="0"/>
      <w:marBottom w:val="0"/>
      <w:divBdr>
        <w:top w:val="none" w:sz="0" w:space="0" w:color="auto"/>
        <w:left w:val="none" w:sz="0" w:space="0" w:color="auto"/>
        <w:bottom w:val="none" w:sz="0" w:space="0" w:color="auto"/>
        <w:right w:val="none" w:sz="0" w:space="0" w:color="auto"/>
      </w:divBdr>
    </w:div>
    <w:div w:id="1853182646">
      <w:bodyDiv w:val="1"/>
      <w:marLeft w:val="0"/>
      <w:marRight w:val="0"/>
      <w:marTop w:val="0"/>
      <w:marBottom w:val="0"/>
      <w:divBdr>
        <w:top w:val="none" w:sz="0" w:space="0" w:color="auto"/>
        <w:left w:val="none" w:sz="0" w:space="0" w:color="auto"/>
        <w:bottom w:val="none" w:sz="0" w:space="0" w:color="auto"/>
        <w:right w:val="none" w:sz="0" w:space="0" w:color="auto"/>
      </w:divBdr>
    </w:div>
    <w:div w:id="1950041191">
      <w:bodyDiv w:val="1"/>
      <w:marLeft w:val="0"/>
      <w:marRight w:val="0"/>
      <w:marTop w:val="0"/>
      <w:marBottom w:val="0"/>
      <w:divBdr>
        <w:top w:val="none" w:sz="0" w:space="0" w:color="auto"/>
        <w:left w:val="none" w:sz="0" w:space="0" w:color="auto"/>
        <w:bottom w:val="none" w:sz="0" w:space="0" w:color="auto"/>
        <w:right w:val="none" w:sz="0" w:space="0" w:color="auto"/>
      </w:divBdr>
    </w:div>
    <w:div w:id="1963418089">
      <w:bodyDiv w:val="1"/>
      <w:marLeft w:val="0"/>
      <w:marRight w:val="0"/>
      <w:marTop w:val="0"/>
      <w:marBottom w:val="0"/>
      <w:divBdr>
        <w:top w:val="none" w:sz="0" w:space="0" w:color="auto"/>
        <w:left w:val="none" w:sz="0" w:space="0" w:color="auto"/>
        <w:bottom w:val="none" w:sz="0" w:space="0" w:color="auto"/>
        <w:right w:val="none" w:sz="0" w:space="0" w:color="auto"/>
      </w:divBdr>
    </w:div>
    <w:div w:id="1980500113">
      <w:bodyDiv w:val="1"/>
      <w:marLeft w:val="0"/>
      <w:marRight w:val="0"/>
      <w:marTop w:val="0"/>
      <w:marBottom w:val="0"/>
      <w:divBdr>
        <w:top w:val="none" w:sz="0" w:space="0" w:color="auto"/>
        <w:left w:val="none" w:sz="0" w:space="0" w:color="auto"/>
        <w:bottom w:val="none" w:sz="0" w:space="0" w:color="auto"/>
        <w:right w:val="none" w:sz="0" w:space="0" w:color="auto"/>
      </w:divBdr>
    </w:div>
    <w:div w:id="2056199256">
      <w:bodyDiv w:val="1"/>
      <w:marLeft w:val="0"/>
      <w:marRight w:val="0"/>
      <w:marTop w:val="0"/>
      <w:marBottom w:val="0"/>
      <w:divBdr>
        <w:top w:val="none" w:sz="0" w:space="0" w:color="auto"/>
        <w:left w:val="none" w:sz="0" w:space="0" w:color="auto"/>
        <w:bottom w:val="none" w:sz="0" w:space="0" w:color="auto"/>
        <w:right w:val="none" w:sz="0" w:space="0" w:color="auto"/>
      </w:divBdr>
    </w:div>
    <w:div w:id="2063867823">
      <w:bodyDiv w:val="1"/>
      <w:marLeft w:val="0"/>
      <w:marRight w:val="0"/>
      <w:marTop w:val="0"/>
      <w:marBottom w:val="0"/>
      <w:divBdr>
        <w:top w:val="none" w:sz="0" w:space="0" w:color="auto"/>
        <w:left w:val="none" w:sz="0" w:space="0" w:color="auto"/>
        <w:bottom w:val="none" w:sz="0" w:space="0" w:color="auto"/>
        <w:right w:val="none" w:sz="0" w:space="0" w:color="auto"/>
      </w:divBdr>
    </w:div>
    <w:div w:id="2076967394">
      <w:bodyDiv w:val="1"/>
      <w:marLeft w:val="0"/>
      <w:marRight w:val="0"/>
      <w:marTop w:val="0"/>
      <w:marBottom w:val="0"/>
      <w:divBdr>
        <w:top w:val="none" w:sz="0" w:space="0" w:color="auto"/>
        <w:left w:val="none" w:sz="0" w:space="0" w:color="auto"/>
        <w:bottom w:val="none" w:sz="0" w:space="0" w:color="auto"/>
        <w:right w:val="none" w:sz="0" w:space="0" w:color="auto"/>
      </w:divBdr>
    </w:div>
    <w:div w:id="21239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regulations.gov/document?D=EPA-HQ-OPPT-2016-0426-007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regulations.gov"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ulations.gov/document?D=EPA-HQ-OPPT-2016-0426-0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2018-06-27T12:04:26+00:00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a5d1ca4e-0a3f-4119-b619-e20b93ebd1aa">
      <UserInfo>
        <DisplayName>Lloyd, Tyler</DisplayName>
        <AccountId>2652</AccountId>
        <AccountType/>
      </UserInfo>
      <UserInfo>
        <DisplayName>Sharkey, Susan</DisplayName>
        <AccountId>1734</AccountId>
        <AccountType/>
      </UserInfo>
      <UserInfo>
        <DisplayName>Kramek, Niva</DisplayName>
        <AccountId>1719</AccountId>
        <AccountType/>
      </UserInfo>
      <UserInfo>
        <DisplayName>Blake-Hedges, Lynne</DisplayName>
        <AccountId>390</AccountId>
        <AccountType/>
      </UserInfo>
      <UserInfo>
        <DisplayName>Nielsen, Laura</DisplayName>
        <AccountId>3586</AccountId>
        <AccountType/>
      </UserInfo>
      <UserInfo>
        <DisplayName>Forrest, Kesha</DisplayName>
        <AccountId>4606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C8C2356F9D6448FFDE9D3A41E262B" ma:contentTypeVersion="8" ma:contentTypeDescription="Create a new document." ma:contentTypeScope="" ma:versionID="d68a0b5b62e80dad511815a930dba8a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8f87ca9-d116-4246-8a47-f69c28fe3c5d" xmlns:ns6="a5d1ca4e-0a3f-4119-b619-e20b93ebd1aa" targetNamespace="http://schemas.microsoft.com/office/2006/metadata/properties" ma:root="true" ma:fieldsID="10284ca58394ae42dc534a64880e308e" ns1:_="" ns2:_="" ns3:_="" ns4:_="" ns5:_="" ns6:_="">
    <xsd:import namespace="http://schemas.microsoft.com/sharepoint/v3"/>
    <xsd:import namespace="4ffa91fb-a0ff-4ac5-b2db-65c790d184a4"/>
    <xsd:import namespace="http://schemas.microsoft.com/sharepoint.v3"/>
    <xsd:import namespace="http://schemas.microsoft.com/sharepoint/v3/fields"/>
    <xsd:import namespace="88f87ca9-d116-4246-8a47-f69c28fe3c5d"/>
    <xsd:import namespace="a5d1ca4e-0a3f-4119-b619-e20b93ebd1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87ca9-d116-4246-8a47-f69c28fe3c5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C19C6-111B-48C6-A2C0-78627F2DD92D}">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a5d1ca4e-0a3f-4119-b619-e20b93ebd1aa"/>
  </ds:schemaRefs>
</ds:datastoreItem>
</file>

<file path=customXml/itemProps2.xml><?xml version="1.0" encoding="utf-8"?>
<ds:datastoreItem xmlns:ds="http://schemas.openxmlformats.org/officeDocument/2006/customXml" ds:itemID="{E369224C-A83E-49BF-B34B-5CC002EE4121}">
  <ds:schemaRefs>
    <ds:schemaRef ds:uri="http://schemas.microsoft.com/sharepoint/v3/contenttype/forms"/>
  </ds:schemaRefs>
</ds:datastoreItem>
</file>

<file path=customXml/itemProps3.xml><?xml version="1.0" encoding="utf-8"?>
<ds:datastoreItem xmlns:ds="http://schemas.openxmlformats.org/officeDocument/2006/customXml" ds:itemID="{2C4BC7A4-35AF-447E-A55A-2B72ECF81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8f87ca9-d116-4246-8a47-f69c28fe3c5d"/>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766B4-9592-45AD-B2D8-22301358537E}">
  <ds:schemaRefs>
    <ds:schemaRef ds:uri="Microsoft.SharePoint.Taxonomy.ContentTypeSync"/>
  </ds:schemaRefs>
</ds:datastoreItem>
</file>

<file path=customXml/itemProps5.xml><?xml version="1.0" encoding="utf-8"?>
<ds:datastoreItem xmlns:ds="http://schemas.openxmlformats.org/officeDocument/2006/customXml" ds:itemID="{5C492E62-3050-47E4-9F43-0457CEF1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8075</Words>
  <Characters>46029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53997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Hoffman</dc:creator>
  <cp:keywords/>
  <dc:description/>
  <cp:lastModifiedBy>SYSTEM</cp:lastModifiedBy>
  <cp:revision>2</cp:revision>
  <cp:lastPrinted>2018-10-24T21:55:00Z</cp:lastPrinted>
  <dcterms:created xsi:type="dcterms:W3CDTF">2019-04-17T14:49:00Z</dcterms:created>
  <dcterms:modified xsi:type="dcterms:W3CDTF">2019-04-17T14:49:00Z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0x010100C40C8C2356F9D6448FFDE9D3A41E262B</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ZOTERO_PREF_1">
    <vt:lpwstr>&lt;data data-version="3" zotero-version="5.0.65"&gt;&lt;session id="zpHGsLt0"/&gt;&lt;style id="http://www.zotero.org/styles/apa-single-spaced" locale="en-US" hasBibliography="1" bibliographyStyleHasBeenSet="1"/&gt;&lt;prefs&gt;&lt;pref name="fieldType" value="Field"/&gt;&lt;pref name="</vt:lpwstr>
  </property>
  <property fmtid="{D5CDD505-2E9C-101B-9397-08002B2CF9AE}" pid="7" name="ZOTERO_PREF_2">
    <vt:lpwstr>automaticJournalAbbreviations" value="true"/&gt;&lt;/prefs&gt;&lt;/data&gt;</vt:lpwstr>
  </property>
</Properties>
</file>